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53C765B2" w:rsidR="00DD3D9E" w:rsidRPr="009D3681" w:rsidRDefault="00A93F0A" w:rsidP="00BC707D">
      <w:pPr>
        <w:pStyle w:val="Els-Title"/>
        <w:jc w:val="both"/>
        <w:rPr>
          <w:color w:val="000000" w:themeColor="text1"/>
          <w:sz w:val="40"/>
        </w:rPr>
      </w:pPr>
      <w:r w:rsidRPr="009D3681">
        <w:rPr>
          <w:color w:val="222222"/>
          <w:szCs w:val="27"/>
          <w:shd w:val="clear" w:color="auto" w:fill="FFFFFF"/>
        </w:rPr>
        <w:t>Optimal design of an energy</w:t>
      </w:r>
      <w:r w:rsidR="00F0729E" w:rsidRPr="009D3681">
        <w:rPr>
          <w:color w:val="222222"/>
          <w:szCs w:val="27"/>
          <w:shd w:val="clear" w:color="auto" w:fill="FFFFFF"/>
        </w:rPr>
        <w:t>-</w:t>
      </w:r>
      <w:r w:rsidR="00B44F1E" w:rsidRPr="009D3681">
        <w:rPr>
          <w:color w:val="222222"/>
          <w:szCs w:val="27"/>
          <w:shd w:val="clear" w:color="auto" w:fill="FFFFFF"/>
        </w:rPr>
        <w:t>integrated biogas</w:t>
      </w:r>
      <w:r w:rsidR="00F0729E" w:rsidRPr="009D3681">
        <w:rPr>
          <w:color w:val="222222"/>
          <w:szCs w:val="27"/>
          <w:shd w:val="clear" w:color="auto" w:fill="FFFFFF"/>
        </w:rPr>
        <w:t>-</w:t>
      </w:r>
      <w:r w:rsidR="00B44F1E" w:rsidRPr="009D3681">
        <w:rPr>
          <w:color w:val="222222"/>
          <w:szCs w:val="27"/>
          <w:shd w:val="clear" w:color="auto" w:fill="FFFFFF"/>
        </w:rPr>
        <w:t>powered fuel c</w:t>
      </w:r>
      <w:r w:rsidRPr="009D3681">
        <w:rPr>
          <w:color w:val="222222"/>
          <w:szCs w:val="27"/>
          <w:shd w:val="clear" w:color="auto" w:fill="FFFFFF"/>
        </w:rPr>
        <w:t>ell system</w:t>
      </w:r>
    </w:p>
    <w:p w14:paraId="34CCC4BA" w14:textId="63F5093D" w:rsidR="00A93F0A" w:rsidRDefault="00A93F0A" w:rsidP="00A93F0A">
      <w:pPr>
        <w:pStyle w:val="Els-Author"/>
      </w:pPr>
      <w:r>
        <w:t xml:space="preserve">Vikram Uday, </w:t>
      </w:r>
      <w:r w:rsidR="001F22E4" w:rsidRPr="00300E15">
        <w:rPr>
          <w:szCs w:val="22"/>
        </w:rPr>
        <w:t>Sujit Jogwar</w:t>
      </w:r>
      <w:bookmarkStart w:id="0" w:name="_GoBack"/>
      <w:bookmarkEnd w:id="0"/>
    </w:p>
    <w:p w14:paraId="144DE682" w14:textId="6F1092C2" w:rsidR="00DD3D9E" w:rsidRPr="00BF68E7" w:rsidRDefault="00A93F0A" w:rsidP="00A93F0A">
      <w:pPr>
        <w:pStyle w:val="Els-Author"/>
        <w:rPr>
          <w:i/>
        </w:rPr>
      </w:pPr>
      <w:r w:rsidRPr="00BF68E7">
        <w:rPr>
          <w:i/>
          <w:sz w:val="20"/>
        </w:rPr>
        <w:t>Department of Chemical Engineering, Indian Institute of Technology Bombay</w:t>
      </w:r>
      <w:r w:rsidR="00BF68E7" w:rsidRPr="00BF68E7">
        <w:rPr>
          <w:i/>
          <w:sz w:val="20"/>
        </w:rPr>
        <w:t xml:space="preserve"> </w:t>
      </w:r>
      <w:r w:rsidRPr="00BF68E7">
        <w:rPr>
          <w:i/>
          <w:sz w:val="20"/>
        </w:rPr>
        <w:t>Mumbai-40076, India</w:t>
      </w:r>
    </w:p>
    <w:p w14:paraId="144DE683" w14:textId="053BBEA8" w:rsidR="008D2649" w:rsidRPr="00A94774" w:rsidRDefault="00A93F0A" w:rsidP="008D2649">
      <w:pPr>
        <w:pStyle w:val="Els-Affiliation"/>
        <w:spacing w:after="120"/>
      </w:pPr>
      <w:r>
        <w:t>jogwar@iitb.ac.in</w:t>
      </w:r>
    </w:p>
    <w:p w14:paraId="144DE684" w14:textId="77777777" w:rsidR="008D2649" w:rsidRDefault="008D2649" w:rsidP="008D2649">
      <w:pPr>
        <w:pStyle w:val="Els-Abstract"/>
      </w:pPr>
      <w:r>
        <w:t>Abstract</w:t>
      </w:r>
    </w:p>
    <w:p w14:paraId="1DC0419A" w14:textId="023C0DBB" w:rsidR="004A737D" w:rsidRDefault="004A737D" w:rsidP="004A737D">
      <w:pPr>
        <w:pStyle w:val="Els-body-text"/>
        <w:spacing w:after="120"/>
        <w:rPr>
          <w:lang w:val="en-GB"/>
        </w:rPr>
      </w:pPr>
      <w:r>
        <w:t>This paper present</w:t>
      </w:r>
      <w:r w:rsidR="000A0749">
        <w:t>s</w:t>
      </w:r>
      <w:r>
        <w:t xml:space="preserve"> </w:t>
      </w:r>
      <w:r w:rsidR="000A0749">
        <w:t xml:space="preserve">an </w:t>
      </w:r>
      <w:r>
        <w:t>optimal energy</w:t>
      </w:r>
      <w:r w:rsidR="000A0749">
        <w:t>-</w:t>
      </w:r>
      <w:r>
        <w:t>integrated biogas</w:t>
      </w:r>
      <w:r w:rsidR="000A0749">
        <w:t>-</w:t>
      </w:r>
      <w:r>
        <w:t xml:space="preserve">SOFC system for renewable electricity generation. </w:t>
      </w:r>
      <w:r w:rsidR="000A0749">
        <w:t>It explores the impact of biogas upgradation (CO</w:t>
      </w:r>
      <w:r w:rsidR="000A0749" w:rsidRPr="000A0749">
        <w:rPr>
          <w:vertAlign w:val="subscript"/>
        </w:rPr>
        <w:t>2</w:t>
      </w:r>
      <w:r w:rsidR="000A0749">
        <w:t xml:space="preserve"> removal) on the material and energy integration between bio-hydrogen production and subsequent power generation. To this end, optimal design of a</w:t>
      </w:r>
      <w:r>
        <w:t xml:space="preserve">n upgraded biogas system with </w:t>
      </w:r>
      <w:r w:rsidR="000A25FF">
        <w:t xml:space="preserve">partial </w:t>
      </w:r>
      <w:r>
        <w:t>exte</w:t>
      </w:r>
      <w:r w:rsidR="000A25FF">
        <w:t>rnal</w:t>
      </w:r>
      <w:r w:rsidR="008479BD">
        <w:t>/internal</w:t>
      </w:r>
      <w:r>
        <w:t xml:space="preserve"> reforming and co-generation via steam turbine is consider</w:t>
      </w:r>
      <w:r w:rsidR="000A0749">
        <w:t>ed.</w:t>
      </w:r>
      <w:r>
        <w:t xml:space="preserve"> </w:t>
      </w:r>
      <w:r w:rsidR="000A0749">
        <w:t xml:space="preserve">With the help of </w:t>
      </w:r>
      <w:r>
        <w:t>two optimization</w:t>
      </w:r>
      <w:r w:rsidR="000A0749">
        <w:t xml:space="preserve"> problems - f</w:t>
      </w:r>
      <w:r>
        <w:t>eed minimization</w:t>
      </w:r>
      <w:r w:rsidR="000A0749">
        <w:t xml:space="preserve"> and </w:t>
      </w:r>
      <w:r>
        <w:t>operating cost minimization</w:t>
      </w:r>
      <w:r w:rsidR="000A0749">
        <w:t>, along with energy integration using pinch analysis, an</w:t>
      </w:r>
      <w:r>
        <w:t xml:space="preserve"> optimal energy</w:t>
      </w:r>
      <w:r w:rsidR="000A0749">
        <w:t>-</w:t>
      </w:r>
      <w:r>
        <w:t>integrated system</w:t>
      </w:r>
      <w:r w:rsidR="000A0749">
        <w:t xml:space="preserve"> is developed.</w:t>
      </w:r>
      <w:r>
        <w:t xml:space="preserve"> </w:t>
      </w:r>
      <w:r w:rsidR="000A0749">
        <w:t xml:space="preserve">The proposed design </w:t>
      </w:r>
      <w:r w:rsidR="000A0749">
        <w:rPr>
          <w:lang w:val="en-GB"/>
        </w:rPr>
        <w:t>offers</w:t>
      </w:r>
      <w:r w:rsidRPr="008D0E23">
        <w:rPr>
          <w:lang w:val="en-GB"/>
        </w:rPr>
        <w:t xml:space="preserve"> </w:t>
      </w:r>
      <w:r>
        <w:rPr>
          <w:lang w:val="en-GB"/>
        </w:rPr>
        <w:t>4.4</w:t>
      </w:r>
      <w:r w:rsidRPr="008D0E23">
        <w:rPr>
          <w:lang w:val="en-GB"/>
        </w:rPr>
        <w:t xml:space="preserve">% improvement </w:t>
      </w:r>
      <w:r w:rsidR="000A0749">
        <w:rPr>
          <w:lang w:val="en-GB"/>
        </w:rPr>
        <w:t xml:space="preserve">in net electrical efficiency </w:t>
      </w:r>
      <w:r w:rsidRPr="008D0E23">
        <w:rPr>
          <w:lang w:val="en-GB"/>
        </w:rPr>
        <w:t xml:space="preserve">over a previously reported </w:t>
      </w:r>
      <w:r w:rsidR="000A0749">
        <w:rPr>
          <w:lang w:val="en-GB"/>
        </w:rPr>
        <w:t>design</w:t>
      </w:r>
      <w:r w:rsidRPr="008D0E23">
        <w:rPr>
          <w:lang w:val="en-GB"/>
        </w:rPr>
        <w:t>.</w:t>
      </w:r>
    </w:p>
    <w:p w14:paraId="144DE687" w14:textId="42E96B5A" w:rsidR="008D2649" w:rsidRDefault="008D2649" w:rsidP="008D2649">
      <w:pPr>
        <w:pStyle w:val="Els-body-text"/>
        <w:spacing w:after="120"/>
        <w:rPr>
          <w:lang w:val="en-GB"/>
        </w:rPr>
      </w:pPr>
      <w:r>
        <w:rPr>
          <w:b/>
          <w:bCs/>
          <w:lang w:val="en-GB"/>
        </w:rPr>
        <w:t>Keywords</w:t>
      </w:r>
      <w:r w:rsidR="000D3614">
        <w:rPr>
          <w:lang w:val="en-GB"/>
        </w:rPr>
        <w:t xml:space="preserve">: Process design, </w:t>
      </w:r>
      <w:r w:rsidR="000A0749">
        <w:rPr>
          <w:lang w:val="en-GB"/>
        </w:rPr>
        <w:t>o</w:t>
      </w:r>
      <w:r w:rsidR="000D3614">
        <w:rPr>
          <w:lang w:val="en-GB"/>
        </w:rPr>
        <w:t xml:space="preserve">ptimization, SOFC, </w:t>
      </w:r>
      <w:r w:rsidR="000A0749">
        <w:rPr>
          <w:lang w:val="en-GB"/>
        </w:rPr>
        <w:t>h</w:t>
      </w:r>
      <w:r w:rsidR="000D3614">
        <w:rPr>
          <w:lang w:val="en-GB"/>
        </w:rPr>
        <w:t xml:space="preserve">eat integration, </w:t>
      </w:r>
      <w:r w:rsidR="000A0749">
        <w:rPr>
          <w:lang w:val="en-GB"/>
        </w:rPr>
        <w:t>r</w:t>
      </w:r>
      <w:r w:rsidR="000D3614">
        <w:rPr>
          <w:lang w:val="en-GB"/>
        </w:rPr>
        <w:t>enewable electricity</w:t>
      </w:r>
    </w:p>
    <w:p w14:paraId="0BDABB8D" w14:textId="77777777" w:rsidR="00EB53BF" w:rsidRDefault="00EB53BF" w:rsidP="00EB53BF">
      <w:pPr>
        <w:pStyle w:val="Els-1storder-head"/>
      </w:pPr>
      <w:r>
        <w:t>Introduction</w:t>
      </w:r>
    </w:p>
    <w:p w14:paraId="3FA698BD" w14:textId="14C616B2" w:rsidR="000A0749" w:rsidRDefault="000A0749" w:rsidP="006C203C">
      <w:pPr>
        <w:pStyle w:val="Els-body-text"/>
      </w:pPr>
      <w:r>
        <w:t xml:space="preserve">Recent push towards sustainable practices has led to increased activity in the area of renewable power production. </w:t>
      </w:r>
      <w:r w:rsidR="00ED7326">
        <w:t>Biogas has a key role to play in this context as it serves as a source of renewable hydrogen, which can be subsequently converted into electricity using a fuel cell</w:t>
      </w:r>
      <w:r w:rsidR="00493862">
        <w:t xml:space="preserve"> (</w:t>
      </w:r>
      <w:proofErr w:type="spellStart"/>
      <w:r w:rsidR="00493862">
        <w:t>Galvagno</w:t>
      </w:r>
      <w:proofErr w:type="spellEnd"/>
      <w:r w:rsidR="00493862">
        <w:t xml:space="preserve"> et al 2013)</w:t>
      </w:r>
      <w:r w:rsidR="00ED7326">
        <w:t xml:space="preserve">. Thus biogas-based power system consists of two steps – biogas reforming for hydrogen production and electrochemical conversion to generate power. Efficient material and energy integration of these steps is crucial in achieving optimal efficiency of the overall process (Uday and </w:t>
      </w:r>
      <w:proofErr w:type="spellStart"/>
      <w:r w:rsidR="00ED7326">
        <w:t>Jogwar</w:t>
      </w:r>
      <w:proofErr w:type="spellEnd"/>
      <w:r w:rsidR="00ED7326">
        <w:t xml:space="preserve">, 2023).    </w:t>
      </w:r>
    </w:p>
    <w:p w14:paraId="3FD4CA2F" w14:textId="081F6253" w:rsidR="00310364" w:rsidRDefault="00310364" w:rsidP="006C203C">
      <w:pPr>
        <w:pStyle w:val="Els-body-text"/>
      </w:pPr>
      <w:r>
        <w:t>Biogas contains significant amount of CO</w:t>
      </w:r>
      <w:r w:rsidRPr="00310364">
        <w:rPr>
          <w:vertAlign w:val="subscript"/>
        </w:rPr>
        <w:t>2</w:t>
      </w:r>
      <w:r>
        <w:t xml:space="preserve"> which does not have any fuel value. On the contrary, it promotes dry reforming which can have detrimental effect on the fuel cell anode, it dilutes process streams and thus leads to increased capital and operating cost. To this end, biogas upgradation by CO</w:t>
      </w:r>
      <w:r w:rsidRPr="009D3681">
        <w:rPr>
          <w:vertAlign w:val="subscript"/>
        </w:rPr>
        <w:t>2</w:t>
      </w:r>
      <w:r>
        <w:t xml:space="preserve"> removal has been proposed in literature (</w:t>
      </w:r>
      <w:proofErr w:type="spellStart"/>
      <w:r>
        <w:t>Baldienelli</w:t>
      </w:r>
      <w:proofErr w:type="spellEnd"/>
      <w:r>
        <w:t>, et al.,</w:t>
      </w:r>
      <w:r w:rsidR="00EB53BF">
        <w:t xml:space="preserve"> </w:t>
      </w:r>
      <w:r>
        <w:t xml:space="preserve">2017). </w:t>
      </w:r>
      <w:r w:rsidR="00EB53BF">
        <w:t>Among the available biogas upgradation technologies, membrane separation technology is noted as the most cost-effective (</w:t>
      </w:r>
      <w:proofErr w:type="spellStart"/>
      <w:r w:rsidR="00EB53BF">
        <w:t>Makaruk</w:t>
      </w:r>
      <w:proofErr w:type="spellEnd"/>
      <w:r w:rsidR="00EB53BF">
        <w:t xml:space="preserve"> et al., 2010). U</w:t>
      </w:r>
      <w:r>
        <w:t xml:space="preserve">pgradation </w:t>
      </w:r>
      <w:r w:rsidR="00EB53BF">
        <w:t>via</w:t>
      </w:r>
      <w:r>
        <w:t xml:space="preserve"> membrane separation </w:t>
      </w:r>
      <w:r w:rsidR="00EB53BF">
        <w:t xml:space="preserve">requires biogas compression </w:t>
      </w:r>
      <w:r>
        <w:t xml:space="preserve">and thus </w:t>
      </w:r>
      <w:r w:rsidR="00EB53BF">
        <w:t>can</w:t>
      </w:r>
      <w:r>
        <w:t xml:space="preserve"> increase capital and operating cost. However, the existing studies exploring this option lack formal optimization to systematically analyze the trade offs associated with biogas upgradation and energy integration strategy to improve system efficiency. </w:t>
      </w:r>
    </w:p>
    <w:p w14:paraId="160DB08A" w14:textId="1BB7046E" w:rsidR="001F6F1B" w:rsidRDefault="00EB53BF" w:rsidP="006C203C">
      <w:pPr>
        <w:pStyle w:val="Els-body-text"/>
      </w:pPr>
      <w:r>
        <w:t xml:space="preserve">Motivated by this, we explore the impact of biogas upgradation on the integrated biogas-SOFC system using optimization. Firstly, optimal material integration is achieved by solving a feed minimization problem. The heating and cooling demands </w:t>
      </w:r>
      <w:r w:rsidR="002A3314">
        <w:t xml:space="preserve">of this process are matched using pinch analysis to determine the structure of energy integration. Subsequently, operating cost minimization problem is solved to arrive at the optimal integrated flowsheet. Additional features like cogeneration using steam turbine or micro gas turbine, possibility of pre-reforming or cathode gas recycle are also included in the </w:t>
      </w:r>
      <w:r w:rsidR="009D3681">
        <w:rPr>
          <w:noProof/>
          <w:lang w:val="en-IN" w:eastAsia="en-IN"/>
        </w:rPr>
        <w:lastRenderedPageBreak/>
        <mc:AlternateContent>
          <mc:Choice Requires="wps">
            <w:drawing>
              <wp:anchor distT="0" distB="0" distL="114300" distR="114300" simplePos="0" relativeHeight="251668480" behindDoc="0" locked="0" layoutInCell="1" allowOverlap="1" wp14:anchorId="57319F51" wp14:editId="020E87D8">
                <wp:simplePos x="0" y="0"/>
                <wp:positionH relativeFrom="column">
                  <wp:posOffset>0</wp:posOffset>
                </wp:positionH>
                <wp:positionV relativeFrom="paragraph">
                  <wp:posOffset>2221230</wp:posOffset>
                </wp:positionV>
                <wp:extent cx="449961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499610" cy="635"/>
                        </a:xfrm>
                        <a:prstGeom prst="rect">
                          <a:avLst/>
                        </a:prstGeom>
                        <a:solidFill>
                          <a:prstClr val="white"/>
                        </a:solidFill>
                        <a:ln>
                          <a:noFill/>
                        </a:ln>
                      </wps:spPr>
                      <wps:txbx>
                        <w:txbxContent>
                          <w:p w14:paraId="044D11F8" w14:textId="03A18BA1" w:rsidR="009D3681" w:rsidRPr="00205A4F" w:rsidRDefault="009D3681" w:rsidP="009D3681">
                            <w:pPr>
                              <w:pStyle w:val="Didascalia"/>
                              <w:rPr>
                                <w:sz w:val="22"/>
                              </w:rPr>
                            </w:pPr>
                            <w:r w:rsidRPr="00205A4F">
                              <w:rPr>
                                <w:sz w:val="20"/>
                              </w:rPr>
                              <w:t xml:space="preserve">Figure </w:t>
                            </w:r>
                            <w:r w:rsidRPr="00205A4F">
                              <w:rPr>
                                <w:sz w:val="20"/>
                              </w:rPr>
                              <w:fldChar w:fldCharType="begin"/>
                            </w:r>
                            <w:r w:rsidRPr="00205A4F">
                              <w:rPr>
                                <w:sz w:val="20"/>
                              </w:rPr>
                              <w:instrText xml:space="preserve"> SEQ Figure \* ARABIC </w:instrText>
                            </w:r>
                            <w:r w:rsidRPr="00205A4F">
                              <w:rPr>
                                <w:sz w:val="20"/>
                              </w:rPr>
                              <w:fldChar w:fldCharType="separate"/>
                            </w:r>
                            <w:r w:rsidR="00970532">
                              <w:rPr>
                                <w:noProof/>
                                <w:sz w:val="20"/>
                              </w:rPr>
                              <w:t>1</w:t>
                            </w:r>
                            <w:r w:rsidRPr="00205A4F">
                              <w:rPr>
                                <w:sz w:val="20"/>
                              </w:rPr>
                              <w:fldChar w:fldCharType="end"/>
                            </w:r>
                            <w:r w:rsidRPr="00205A4F">
                              <w:rPr>
                                <w:sz w:val="20"/>
                              </w:rPr>
                              <w:t>: Integrated biogas - SOFC system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7319F51" id="_x0000_t202" coordsize="21600,21600" o:spt="202" path="m,l,21600r21600,l21600,xe">
                <v:stroke joinstyle="miter"/>
                <v:path gradientshapeok="t" o:connecttype="rect"/>
              </v:shapetype>
              <v:shape id="Text Box 1" o:spid="_x0000_s1026" type="#_x0000_t202" style="position:absolute;left:0;text-align:left;margin-left:0;margin-top:174.9pt;width:354.3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" stroked="f">
                <v:textbox style="mso-fit-shape-to-text:t" inset="0,0,0,0">
                  <w:txbxContent>
                    <w:p w14:paraId="044D11F8" w14:textId="03A18BA1" w:rsidR="009D3681" w:rsidRPr="00205A4F" w:rsidRDefault="009D3681" w:rsidP="009D3681">
                      <w:pPr>
                        <w:pStyle w:val="Caption"/>
                        <w:rPr>
                          <w:sz w:val="22"/>
                        </w:rPr>
                      </w:pPr>
                      <w:r w:rsidRPr="00205A4F">
                        <w:rPr>
                          <w:sz w:val="20"/>
                        </w:rPr>
                        <w:t xml:space="preserve">Figure </w:t>
                      </w:r>
                      <w:r w:rsidRPr="00205A4F">
                        <w:rPr>
                          <w:sz w:val="20"/>
                        </w:rPr>
                        <w:fldChar w:fldCharType="begin"/>
                      </w:r>
                      <w:r w:rsidRPr="00205A4F">
                        <w:rPr>
                          <w:sz w:val="20"/>
                        </w:rPr>
                        <w:instrText xml:space="preserve"> SEQ Figure \* ARABIC </w:instrText>
                      </w:r>
                      <w:r w:rsidRPr="00205A4F">
                        <w:rPr>
                          <w:sz w:val="20"/>
                        </w:rPr>
                        <w:fldChar w:fldCharType="separate"/>
                      </w:r>
                      <w:r w:rsidR="00970532">
                        <w:rPr>
                          <w:noProof/>
                          <w:sz w:val="20"/>
                        </w:rPr>
                        <w:t>1</w:t>
                      </w:r>
                      <w:r w:rsidRPr="00205A4F">
                        <w:rPr>
                          <w:sz w:val="20"/>
                        </w:rPr>
                        <w:fldChar w:fldCharType="end"/>
                      </w:r>
                      <w:r w:rsidRPr="00205A4F">
                        <w:rPr>
                          <w:sz w:val="20"/>
                        </w:rPr>
                        <w:t>: Integrated biogas - SOFC system</w:t>
                      </w:r>
                    </w:p>
                  </w:txbxContent>
                </v:textbox>
                <w10:wrap type="square"/>
              </v:shape>
            </w:pict>
          </mc:Fallback>
        </mc:AlternateContent>
      </w:r>
      <w:r w:rsidR="009D3681">
        <w:rPr>
          <w:noProof/>
          <w:lang w:val="en-IN" w:eastAsia="en-IN"/>
        </w:rPr>
        <w:drawing>
          <wp:anchor distT="0" distB="0" distL="114300" distR="114300" simplePos="0" relativeHeight="251666432" behindDoc="0" locked="0" layoutInCell="1" allowOverlap="1" wp14:anchorId="51444269" wp14:editId="7ACB49FF">
            <wp:simplePos x="0" y="0"/>
            <wp:positionH relativeFrom="margin">
              <wp:align>right</wp:align>
            </wp:positionH>
            <wp:positionV relativeFrom="paragraph">
              <wp:posOffset>0</wp:posOffset>
            </wp:positionV>
            <wp:extent cx="4499610" cy="21640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ape_problem_system.jpg"/>
                    <pic:cNvPicPr/>
                  </pic:nvPicPr>
                  <pic:blipFill>
                    <a:blip r:embed="rId8">
                      <a:extLst>
                        <a:ext uri="{28A0092B-C50C-407E-A947-70E740481C1C}">
                          <a14:useLocalDpi xmlns:a14="http://schemas.microsoft.com/office/drawing/2010/main" val="0"/>
                        </a:ext>
                      </a:extLst>
                    </a:blip>
                    <a:stretch>
                      <a:fillRect/>
                    </a:stretch>
                  </pic:blipFill>
                  <pic:spPr>
                    <a:xfrm>
                      <a:off x="0" y="0"/>
                      <a:ext cx="4499610" cy="2164080"/>
                    </a:xfrm>
                    <a:prstGeom prst="rect">
                      <a:avLst/>
                    </a:prstGeom>
                  </pic:spPr>
                </pic:pic>
              </a:graphicData>
            </a:graphic>
            <wp14:sizeRelH relativeFrom="page">
              <wp14:pctWidth>0</wp14:pctWidth>
            </wp14:sizeRelH>
            <wp14:sizeRelV relativeFrom="page">
              <wp14:pctHeight>0</wp14:pctHeight>
            </wp14:sizeRelV>
          </wp:anchor>
        </w:drawing>
      </w:r>
      <w:r w:rsidR="002A3314">
        <w:t xml:space="preserve">design process. The rest of the paper is organized as follows. </w:t>
      </w:r>
      <w:r w:rsidR="006A52F3">
        <w:t>Section</w:t>
      </w:r>
      <w:r w:rsidR="001F6F1B">
        <w:t xml:space="preserve"> 2 </w:t>
      </w:r>
      <w:r w:rsidR="002A3314">
        <w:t>describes the considered system</w:t>
      </w:r>
      <w:r w:rsidR="006A52F3">
        <w:t>.</w:t>
      </w:r>
      <w:r w:rsidR="001F6F1B">
        <w:t xml:space="preserve"> </w:t>
      </w:r>
      <w:r w:rsidR="00DB7049">
        <w:t>Section 3</w:t>
      </w:r>
      <w:r w:rsidR="001F6F1B">
        <w:t xml:space="preserve"> presents the </w:t>
      </w:r>
      <w:r w:rsidR="006A52F3">
        <w:t>formulation</w:t>
      </w:r>
      <w:r w:rsidR="001F6F1B">
        <w:t xml:space="preserve"> </w:t>
      </w:r>
      <w:r w:rsidR="006A52F3">
        <w:t xml:space="preserve">of </w:t>
      </w:r>
      <w:r w:rsidR="002A3314">
        <w:t xml:space="preserve">the two </w:t>
      </w:r>
      <w:r w:rsidR="006A52F3">
        <w:t>optimization</w:t>
      </w:r>
      <w:r w:rsidR="001F6F1B">
        <w:t xml:space="preserve"> </w:t>
      </w:r>
      <w:r w:rsidR="006A52F3">
        <w:t>problems. Section</w:t>
      </w:r>
      <w:r w:rsidR="00DB7049">
        <w:t xml:space="preserve"> 4</w:t>
      </w:r>
      <w:r w:rsidR="001F6F1B">
        <w:t xml:space="preserve"> </w:t>
      </w:r>
      <w:r w:rsidR="002A3314">
        <w:t>presents key results and comparison with the literature design.</w:t>
      </w:r>
    </w:p>
    <w:p w14:paraId="082A556B" w14:textId="116BE207" w:rsidR="00EB159F" w:rsidRDefault="00EB159F" w:rsidP="00EB159F">
      <w:pPr>
        <w:pStyle w:val="Els-1storder-head"/>
      </w:pPr>
      <w:r>
        <w:t>Process description</w:t>
      </w:r>
    </w:p>
    <w:p w14:paraId="3BBC454F" w14:textId="68AA0300" w:rsidR="0068274C" w:rsidRDefault="0068274C" w:rsidP="00906642">
      <w:pPr>
        <w:pStyle w:val="Els-body-text"/>
      </w:pPr>
      <w:r>
        <w:t xml:space="preserve">The considered process is depicted in Figure 1. </w:t>
      </w:r>
      <w:r w:rsidR="00906642" w:rsidRPr="00906642">
        <w:t>Clean biogas is supplied into the process via air blower or a compressor (C</w:t>
      </w:r>
      <w:r w:rsidR="00F10311">
        <w:t>3</w:t>
      </w:r>
      <w:r w:rsidR="00906642" w:rsidRPr="00906642">
        <w:t xml:space="preserve">). Biogas is compressed </w:t>
      </w:r>
      <w:r>
        <w:t>using</w:t>
      </w:r>
      <w:r w:rsidR="00906642" w:rsidRPr="00906642">
        <w:t xml:space="preserve"> two compressor</w:t>
      </w:r>
      <w:r>
        <w:t>s</w:t>
      </w:r>
      <w:r w:rsidR="00906642" w:rsidRPr="00906642">
        <w:t xml:space="preserve"> (C</w:t>
      </w:r>
      <w:r w:rsidR="00F10311">
        <w:t>1</w:t>
      </w:r>
      <w:r w:rsidR="00906642" w:rsidRPr="00906642">
        <w:t>) and (C</w:t>
      </w:r>
      <w:r w:rsidR="00F10311">
        <w:t>2</w:t>
      </w:r>
      <w:r w:rsidR="00906642" w:rsidRPr="00906642">
        <w:t xml:space="preserve">) with inter-stage </w:t>
      </w:r>
      <w:r>
        <w:t xml:space="preserve">and after-stage </w:t>
      </w:r>
      <w:r w:rsidR="00906642" w:rsidRPr="00906642">
        <w:t>cooler</w:t>
      </w:r>
      <w:r>
        <w:t>s</w:t>
      </w:r>
      <w:r w:rsidR="00906642" w:rsidRPr="00906642">
        <w:t xml:space="preserve">. </w:t>
      </w:r>
      <w:r>
        <w:t>The c</w:t>
      </w:r>
      <w:r w:rsidR="00906642" w:rsidRPr="00906642">
        <w:t xml:space="preserve">ompressed biogas is fed to the membrane separator </w:t>
      </w:r>
      <w:r>
        <w:t>wherein CO</w:t>
      </w:r>
      <w:r w:rsidRPr="0068274C">
        <w:rPr>
          <w:vertAlign w:val="subscript"/>
        </w:rPr>
        <w:t>2</w:t>
      </w:r>
      <w:r>
        <w:t xml:space="preserve"> preferentially permeates from the system. The h</w:t>
      </w:r>
      <w:r w:rsidR="00906642" w:rsidRPr="00906642">
        <w:t xml:space="preserve">igh pressure </w:t>
      </w:r>
      <w:r w:rsidRPr="00906642">
        <w:t>retentate</w:t>
      </w:r>
      <w:r w:rsidR="00906642" w:rsidRPr="00906642">
        <w:t xml:space="preserve"> is expanded o</w:t>
      </w:r>
      <w:r w:rsidR="000D3614">
        <w:t>ver the micro gas turbine</w:t>
      </w:r>
      <w:r>
        <w:t xml:space="preserve"> </w:t>
      </w:r>
      <w:r w:rsidR="000D3614">
        <w:t>(T2)</w:t>
      </w:r>
      <w:r>
        <w:t xml:space="preserve"> to generate auxiliary power and subsequently sent for reforming</w:t>
      </w:r>
      <w:r w:rsidR="000D3614">
        <w:t>.</w:t>
      </w:r>
      <w:r>
        <w:t xml:space="preserve"> The bypass stream around the reformer controls the relative extents of external and internal reforming. The hydrogen-rich gas from reformer enters the anode section of the SOFC. A part of the cathode exit gas can be recycled back to achieve material and energy integration. The rest of the cathode and anode gas exiting the fuel cell are sent to a combustor. A part of the hot flue gas from the combustor is used to generate high pressure steam, which subsequently generates power through a turbine (</w:t>
      </w:r>
      <w:r w:rsidR="009421FD">
        <w:t>T1). The rest of the flue gas can be used to meet heating demands of the process.</w:t>
      </w:r>
      <w:r>
        <w:t xml:space="preserve">  </w:t>
      </w:r>
    </w:p>
    <w:p w14:paraId="6929F4C2" w14:textId="67570C0B" w:rsidR="009421FD" w:rsidRPr="00277BC2" w:rsidRDefault="006E21B6" w:rsidP="002E244A">
      <w:pPr>
        <w:pStyle w:val="Els-body-text"/>
      </w:pPr>
      <w:r>
        <w:t xml:space="preserve">The performance of the </w:t>
      </w:r>
      <w:r w:rsidR="009421FD">
        <w:t xml:space="preserve">integrated </w:t>
      </w:r>
      <w:r>
        <w:t xml:space="preserve">process is quantified </w:t>
      </w:r>
      <w:r w:rsidR="009421FD">
        <w:t>through</w:t>
      </w:r>
      <w:r>
        <w:t xml:space="preserve"> the net electrical efficiency </w:t>
      </w:r>
      <w:r w:rsidR="009421FD">
        <w:t xml:space="preserve">which is defined as the ratio of the total output electrical power to the thermal energy fed to the system. It is computed using the following equation. </w:t>
      </w:r>
    </w:p>
    <w:tbl>
      <w:tblPr>
        <w:tblW w:w="7087" w:type="dxa"/>
        <w:tblLook w:val="04A0" w:firstRow="1" w:lastRow="0" w:firstColumn="1" w:lastColumn="0" w:noHBand="0" w:noVBand="1"/>
      </w:tblPr>
      <w:tblGrid>
        <w:gridCol w:w="6123"/>
        <w:gridCol w:w="964"/>
      </w:tblGrid>
      <w:tr w:rsidR="00277BC2" w:rsidRPr="00A94774" w14:paraId="0454523D" w14:textId="77777777" w:rsidTr="00D22D28">
        <w:tc>
          <w:tcPr>
            <w:tcW w:w="6123" w:type="dxa"/>
            <w:shd w:val="clear" w:color="auto" w:fill="auto"/>
            <w:vAlign w:val="center"/>
          </w:tcPr>
          <w:p w14:paraId="3B1EF053" w14:textId="34B635A4" w:rsidR="00277BC2" w:rsidRPr="00370749" w:rsidRDefault="008413A8" w:rsidP="00D22D28">
            <w:pPr>
              <w:pStyle w:val="Els-body-text"/>
              <w:spacing w:before="240" w:after="240"/>
              <w:rPr>
                <w:lang w:val="en-GB"/>
              </w:rPr>
            </w:pPr>
            <m:oMathPara>
              <m:oMathParaPr>
                <m:jc m:val="left"/>
              </m:oMathParaPr>
              <m:oMath>
                <m:sSub>
                  <m:sSubPr>
                    <m:ctrlPr>
                      <w:rPr>
                        <w:rFonts w:ascii="Cambria Math" w:eastAsia="Cambria Math" w:hAnsi="Cambria Math"/>
                        <w:i/>
                        <w:color w:val="000000"/>
                        <w:lang w:val="en-IN" w:eastAsia="en-IN"/>
                      </w:rPr>
                    </m:ctrlPr>
                  </m:sSubPr>
                  <m:e>
                    <m:r>
                      <m:rPr>
                        <m:sty m:val="p"/>
                      </m:rPr>
                      <w:rPr>
                        <w:rFonts w:ascii="Cambria Math" w:hAnsi="Cambria Math"/>
                        <w:color w:val="202122"/>
                        <w:shd w:val="clear" w:color="auto" w:fill="FFFFFF"/>
                      </w:rPr>
                      <m:t>η</m:t>
                    </m:r>
                  </m:e>
                  <m:sub>
                    <m:r>
                      <w:rPr>
                        <w:rFonts w:ascii="Cambria Math" w:eastAsia="Cambria Math" w:hAnsi="Cambria Math"/>
                      </w:rPr>
                      <m:t>net-elec</m:t>
                    </m:r>
                  </m:sub>
                </m:sSub>
                <m:r>
                  <w:rPr>
                    <w:rFonts w:ascii="Cambria Math" w:eastAsia="Cambria Math" w:hAnsi="Cambria Math"/>
                  </w:rPr>
                  <m:t>=</m:t>
                </m:r>
                <m:f>
                  <m:fPr>
                    <m:ctrlPr>
                      <w:rPr>
                        <w:rFonts w:ascii="Cambria Math" w:eastAsia="Cambria Math" w:hAnsi="Cambria Math"/>
                        <w:i/>
                        <w:color w:val="000000"/>
                        <w:lang w:val="en-IN" w:eastAsia="en-IN"/>
                      </w:rPr>
                    </m:ctrlPr>
                  </m:fPr>
                  <m:num>
                    <m:sSub>
                      <m:sSubPr>
                        <m:ctrlPr>
                          <w:rPr>
                            <w:rFonts w:ascii="Cambria Math" w:eastAsia="Cambria Math" w:hAnsi="Cambria Math"/>
                            <w:i/>
                            <w:color w:val="000000"/>
                            <w:lang w:val="en-IN" w:eastAsia="en-IN"/>
                          </w:rPr>
                        </m:ctrlPr>
                      </m:sSubPr>
                      <m:e>
                        <m:sSub>
                          <m:sSubPr>
                            <m:ctrlPr>
                              <w:rPr>
                                <w:rFonts w:ascii="Cambria Math" w:eastAsia="Cambria Math" w:hAnsi="Cambria Math"/>
                                <w:i/>
                                <w:color w:val="000000"/>
                                <w:lang w:val="en-IN" w:eastAsia="en-IN"/>
                              </w:rPr>
                            </m:ctrlPr>
                          </m:sSubPr>
                          <m:e>
                            <m:r>
                              <w:rPr>
                                <w:rFonts w:ascii="Cambria Math" w:eastAsia="Cambria Math" w:hAnsi="Cambria Math"/>
                              </w:rPr>
                              <m:t>P</m:t>
                            </m:r>
                          </m:e>
                          <m:sub>
                            <m:r>
                              <w:rPr>
                                <w:rFonts w:ascii="Cambria Math" w:eastAsia="Cambria Math" w:hAnsi="Cambria Math"/>
                              </w:rPr>
                              <m:t>SOFC</m:t>
                            </m:r>
                          </m:sub>
                        </m:sSub>
                        <m:r>
                          <w:rPr>
                            <w:rFonts w:ascii="Cambria Math" w:eastAsia="Cambria Math" w:hAnsi="Cambria Math"/>
                          </w:rPr>
                          <m:t xml:space="preserve">   </m:t>
                        </m:r>
                        <m:r>
                          <w:rPr>
                            <w:rFonts w:ascii="Cambria Math" w:hAnsi="Cambria Math"/>
                            <w:color w:val="202122"/>
                            <w:shd w:val="clear" w:color="auto" w:fill="FFFFFF"/>
                          </w:rPr>
                          <m:t>η</m:t>
                        </m:r>
                      </m:e>
                      <m:sub>
                        <m:r>
                          <w:rPr>
                            <w:rFonts w:ascii="Cambria Math" w:eastAsia="Cambria Math" w:hAnsi="Cambria Math"/>
                          </w:rPr>
                          <m:t xml:space="preserve">DC/AC    </m:t>
                        </m:r>
                      </m:sub>
                    </m:sSub>
                    <m:r>
                      <w:rPr>
                        <w:rFonts w:ascii="Cambria Math" w:hAnsi="Cambria Math"/>
                        <w:lang w:val="en-GB"/>
                      </w:rPr>
                      <m:t xml:space="preserve">+  </m:t>
                    </m:r>
                    <m:nary>
                      <m:naryPr>
                        <m:chr m:val="∑"/>
                        <m:limLoc m:val="subSup"/>
                        <m:supHide m:val="1"/>
                        <m:ctrlPr>
                          <w:rPr>
                            <w:rFonts w:ascii="Cambria Math" w:hAnsi="Cambria Math"/>
                            <w:i/>
                            <w:lang w:val="en-GB"/>
                          </w:rPr>
                        </m:ctrlPr>
                      </m:naryPr>
                      <m:sub>
                        <m:r>
                          <w:rPr>
                            <w:rFonts w:ascii="Cambria Math" w:hAnsi="Cambria Math"/>
                            <w:lang w:val="en-GB"/>
                          </w:rPr>
                          <m:t>j</m:t>
                        </m:r>
                      </m:sub>
                      <m:sup/>
                      <m:e>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 xml:space="preserve">turb,j   </m:t>
                            </m:r>
                          </m:sub>
                        </m:sSub>
                      </m:e>
                    </m:nary>
                    <m:r>
                      <w:rPr>
                        <w:rFonts w:ascii="Cambria Math" w:hAnsi="Cambria Math"/>
                        <w:lang w:val="en-GB"/>
                      </w:rPr>
                      <m:t xml:space="preserve">-  </m:t>
                    </m:r>
                    <m:nary>
                      <m:naryPr>
                        <m:chr m:val="∑"/>
                        <m:limLoc m:val="subSup"/>
                        <m:supHide m:val="1"/>
                        <m:ctrlPr>
                          <w:rPr>
                            <w:rFonts w:ascii="Cambria Math" w:hAnsi="Cambria Math"/>
                            <w:i/>
                            <w:lang w:val="en-GB"/>
                          </w:rPr>
                        </m:ctrlPr>
                      </m:naryPr>
                      <m:sub>
                        <m:r>
                          <w:rPr>
                            <w:rFonts w:ascii="Cambria Math" w:hAnsi="Cambria Math"/>
                            <w:lang w:val="en-GB"/>
                          </w:rPr>
                          <m:t>j</m:t>
                        </m:r>
                      </m:sub>
                      <m:sup/>
                      <m:e>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 xml:space="preserve">comp,j  </m:t>
                            </m:r>
                          </m:sub>
                        </m:sSub>
                      </m:e>
                    </m:nary>
                    <m:r>
                      <w:rPr>
                        <w:rFonts w:ascii="Cambria Math" w:eastAsia="Cambria Math" w:hAnsi="Cambria Math"/>
                        <w:color w:val="000000"/>
                        <w:lang w:val="en-IN" w:eastAsia="en-IN"/>
                      </w:rPr>
                      <m:t xml:space="preserve">  </m:t>
                    </m:r>
                  </m:num>
                  <m:den>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feed</m:t>
                        </m:r>
                      </m:sub>
                    </m:sSub>
                    <m:r>
                      <w:rPr>
                        <w:rFonts w:ascii="Cambria Math" w:eastAsia="Cambria Math" w:hAnsi="Cambria Math"/>
                      </w:rPr>
                      <m:t>LH</m:t>
                    </m:r>
                    <m:sSub>
                      <m:sSubPr>
                        <m:ctrlPr>
                          <w:rPr>
                            <w:rFonts w:ascii="Cambria Math" w:eastAsia="Cambria Math" w:hAnsi="Cambria Math"/>
                            <w:i/>
                          </w:rPr>
                        </m:ctrlPr>
                      </m:sSubPr>
                      <m:e>
                        <m:r>
                          <w:rPr>
                            <w:rFonts w:ascii="Cambria Math" w:eastAsia="Cambria Math" w:hAnsi="Cambria Math"/>
                          </w:rPr>
                          <m:t>V</m:t>
                        </m:r>
                      </m:e>
                      <m:sub>
                        <m:r>
                          <w:rPr>
                            <w:rFonts w:ascii="Cambria Math" w:eastAsia="Cambria Math" w:hAnsi="Cambria Math"/>
                          </w:rPr>
                          <m:t>BG</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Q</m:t>
                        </m:r>
                      </m:e>
                      <m:sub>
                        <m:r>
                          <w:rPr>
                            <w:rFonts w:ascii="Cambria Math" w:eastAsia="Cambria Math" w:hAnsi="Cambria Math"/>
                          </w:rPr>
                          <m:t>HU</m:t>
                        </m:r>
                      </m:sub>
                    </m:sSub>
                  </m:den>
                </m:f>
                <m:r>
                  <w:rPr>
                    <w:rFonts w:ascii="Cambria Math" w:eastAsia="Cambria Math" w:hAnsi="Cambria Math"/>
                    <w:color w:val="000000"/>
                    <w:lang w:val="en-IN" w:eastAsia="en-IN"/>
                  </w:rPr>
                  <m:t xml:space="preserve">  </m:t>
                </m:r>
              </m:oMath>
            </m:oMathPara>
          </w:p>
        </w:tc>
        <w:tc>
          <w:tcPr>
            <w:tcW w:w="964" w:type="dxa"/>
            <w:shd w:val="clear" w:color="auto" w:fill="auto"/>
            <w:vAlign w:val="center"/>
          </w:tcPr>
          <w:p w14:paraId="2CF66A2F" w14:textId="08C6DE60" w:rsidR="00277BC2" w:rsidRPr="00A94774" w:rsidRDefault="00277BC2" w:rsidP="00D22D28">
            <w:pPr>
              <w:pStyle w:val="Els-body-text"/>
              <w:spacing w:before="240" w:after="240" w:line="264" w:lineRule="auto"/>
              <w:jc w:val="right"/>
              <w:rPr>
                <w:lang w:val="en-GB"/>
              </w:rPr>
            </w:pPr>
            <w:r w:rsidRPr="00A94774">
              <w:rPr>
                <w:lang w:val="en-GB"/>
              </w:rPr>
              <w:t>(</w:t>
            </w:r>
            <w:r>
              <w:rPr>
                <w:lang w:val="en-GB"/>
              </w:rPr>
              <w:t>1</w:t>
            </w:r>
            <w:r w:rsidRPr="00A94774">
              <w:rPr>
                <w:lang w:val="en-GB"/>
              </w:rPr>
              <w:t>)</w:t>
            </w:r>
          </w:p>
        </w:tc>
      </w:tr>
    </w:tbl>
    <w:p w14:paraId="7520BF23" w14:textId="77777777" w:rsidR="009D3681" w:rsidRDefault="00277BC2" w:rsidP="009D3681">
      <w:pPr>
        <w:pStyle w:val="Els-body-text"/>
      </w:pPr>
      <w:r>
        <w:rPr>
          <w:color w:val="000000"/>
          <w:lang w:val="en-IN" w:eastAsia="en-IN"/>
        </w:rPr>
        <w:t xml:space="preserve">where </w:t>
      </w:r>
      <m:oMath>
        <m:sSub>
          <m:sSubPr>
            <m:ctrlPr>
              <w:rPr>
                <w:rFonts w:ascii="Cambria Math" w:eastAsia="Cambria Math" w:hAnsi="Cambria Math"/>
                <w:i/>
                <w:color w:val="000000"/>
                <w:lang w:val="en-IN" w:eastAsia="en-IN"/>
              </w:rPr>
            </m:ctrlPr>
          </m:sSubPr>
          <m:e>
            <m:r>
              <w:rPr>
                <w:rFonts w:ascii="Cambria Math" w:eastAsia="Cambria Math" w:hAnsi="Cambria Math"/>
              </w:rPr>
              <m:t>P</m:t>
            </m:r>
          </m:e>
          <m:sub>
            <m:r>
              <w:rPr>
                <w:rFonts w:ascii="Cambria Math" w:eastAsia="Cambria Math" w:hAnsi="Cambria Math"/>
              </w:rPr>
              <m:t>SOFC</m:t>
            </m:r>
          </m:sub>
        </m:sSub>
      </m:oMath>
      <w:r>
        <w:rPr>
          <w:color w:val="000000"/>
          <w:lang w:val="en-IN" w:eastAsia="en-IN"/>
        </w:rPr>
        <w:t xml:space="preserve"> and </w:t>
      </w:r>
      <w:r w:rsidR="009421FD">
        <w:rPr>
          <w:color w:val="000000"/>
          <w:lang w:val="en-IN" w:eastAsia="en-IN"/>
        </w:rPr>
        <w:tab/>
      </w:r>
      <m:oMath>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turb</m:t>
            </m:r>
          </m:sub>
        </m:sSub>
      </m:oMath>
      <w:r w:rsidR="00AD7474">
        <w:rPr>
          <w:lang w:val="en-GB"/>
        </w:rPr>
        <w:t xml:space="preserve"> refer to power generation via SOFC and turbine, respectively. </w:t>
      </w:r>
      <m:oMath>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comp</m:t>
            </m:r>
          </m:sub>
        </m:sSub>
      </m:oMath>
      <w:r w:rsidR="00AD7474">
        <w:rPr>
          <w:lang w:val="en-GB"/>
        </w:rPr>
        <w:t xml:space="preserve"> refers to power consumption by compressors.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feed</m:t>
            </m:r>
          </m:sub>
        </m:sSub>
      </m:oMath>
      <w:r w:rsidR="00AD7474">
        <w:t xml:space="preserve"> </w:t>
      </w:r>
      <w:r w:rsidR="00FE78A1">
        <w:t>represents</w:t>
      </w:r>
      <w:r w:rsidR="00AD7474">
        <w:t xml:space="preserve"> the biogas feed rate, </w:t>
      </w:r>
      <w:r w:rsidR="00AD7474">
        <w:rPr>
          <w:lang w:val="en-GB"/>
        </w:rPr>
        <w:t xml:space="preserve"> </w:t>
      </w:r>
      <m:oMath>
        <m:r>
          <w:rPr>
            <w:rFonts w:ascii="Cambria Math" w:eastAsia="Cambria Math" w:hAnsi="Cambria Math"/>
          </w:rPr>
          <m:t>LH</m:t>
        </m:r>
        <m:sSub>
          <m:sSubPr>
            <m:ctrlPr>
              <w:rPr>
                <w:rFonts w:ascii="Cambria Math" w:eastAsia="Cambria Math" w:hAnsi="Cambria Math"/>
                <w:i/>
              </w:rPr>
            </m:ctrlPr>
          </m:sSubPr>
          <m:e>
            <m:r>
              <w:rPr>
                <w:rFonts w:ascii="Cambria Math" w:eastAsia="Cambria Math" w:hAnsi="Cambria Math"/>
              </w:rPr>
              <m:t>V</m:t>
            </m:r>
          </m:e>
          <m:sub>
            <m:r>
              <w:rPr>
                <w:rFonts w:ascii="Cambria Math" w:eastAsia="Cambria Math" w:hAnsi="Cambria Math"/>
              </w:rPr>
              <m:t>BG</m:t>
            </m:r>
          </m:sub>
        </m:sSub>
      </m:oMath>
      <w:r w:rsidR="00AD7474">
        <w:t xml:space="preserve"> </w:t>
      </w:r>
      <w:r w:rsidR="00FE78A1">
        <w:t>represents</w:t>
      </w:r>
      <w:r w:rsidR="00AD7474">
        <w:t xml:space="preserve"> the heating value of biogas and </w:t>
      </w:r>
      <m:oMath>
        <m:sSub>
          <m:sSubPr>
            <m:ctrlPr>
              <w:rPr>
                <w:rFonts w:ascii="Cambria Math" w:eastAsia="Cambria Math" w:hAnsi="Cambria Math"/>
                <w:i/>
              </w:rPr>
            </m:ctrlPr>
          </m:sSubPr>
          <m:e>
            <m:r>
              <w:rPr>
                <w:rFonts w:ascii="Cambria Math" w:eastAsia="Cambria Math" w:hAnsi="Cambria Math"/>
              </w:rPr>
              <m:t>Q</m:t>
            </m:r>
          </m:e>
          <m:sub>
            <m:r>
              <w:rPr>
                <w:rFonts w:ascii="Cambria Math" w:eastAsia="Cambria Math" w:hAnsi="Cambria Math"/>
              </w:rPr>
              <m:t>HU</m:t>
            </m:r>
          </m:sub>
        </m:sSub>
      </m:oMath>
      <w:r w:rsidR="00AD7474">
        <w:t xml:space="preserve"> represents the hot utility consumption in the</w:t>
      </w:r>
      <w:r w:rsidR="00F10311">
        <w:t xml:space="preserve"> </w:t>
      </w:r>
      <w:r w:rsidR="00AD7474">
        <w:t xml:space="preserve">process.  </w:t>
      </w:r>
    </w:p>
    <w:p w14:paraId="4753AD6F" w14:textId="77777777" w:rsidR="009D3681" w:rsidRPr="009D3681" w:rsidRDefault="009D3681" w:rsidP="009D3681">
      <w:pPr>
        <w:pStyle w:val="Els-body-text"/>
        <w:rPr>
          <w:b/>
        </w:rPr>
      </w:pPr>
    </w:p>
    <w:p w14:paraId="6A829247" w14:textId="5E4B9CA8" w:rsidR="00AD7474" w:rsidRPr="009D3681" w:rsidRDefault="009D3681" w:rsidP="009D3681">
      <w:pPr>
        <w:pStyle w:val="Els-body-text"/>
        <w:rPr>
          <w:b/>
        </w:rPr>
      </w:pPr>
      <w:r w:rsidRPr="009D3681">
        <w:rPr>
          <w:b/>
        </w:rPr>
        <w:t xml:space="preserve">3. </w:t>
      </w:r>
      <w:r w:rsidR="00AD7474" w:rsidRPr="009D3681">
        <w:rPr>
          <w:b/>
        </w:rPr>
        <w:t>Optimization problem formulation</w:t>
      </w:r>
    </w:p>
    <w:p w14:paraId="6929BB9B" w14:textId="53EC5791" w:rsidR="00711346" w:rsidRPr="00F10311" w:rsidRDefault="002D1164" w:rsidP="00F10311">
      <w:pPr>
        <w:pStyle w:val="Els-body-text"/>
        <w:rPr>
          <w:lang w:val="en-GB"/>
        </w:rPr>
      </w:pPr>
      <w:r>
        <w:t>The optimal design of the integrated system involves obtaining operating parameters for each of the process units as well as synthesizing the structure of the heat exchanger</w:t>
      </w:r>
      <w:r w:rsidR="009D3681">
        <w:t xml:space="preserve"> </w:t>
      </w:r>
      <w:r>
        <w:lastRenderedPageBreak/>
        <w:t>network</w:t>
      </w:r>
      <w:r w:rsidR="00A81D67">
        <w:t xml:space="preserve"> (HEN)</w:t>
      </w:r>
      <w:r>
        <w:t xml:space="preserve"> for energy integration. </w:t>
      </w:r>
      <w:r w:rsidR="00A81D67">
        <w:t xml:space="preserve">As these two tasks are inter-connected, </w:t>
      </w:r>
      <w:r w:rsidR="00711346" w:rsidRPr="00AA5F73">
        <w:t>a t</w:t>
      </w:r>
      <w:r w:rsidR="00A81D67">
        <w:t>hree</w:t>
      </w:r>
      <w:r w:rsidR="00711346" w:rsidRPr="00AA5F73">
        <w:t xml:space="preserve">-step approach is pursued. </w:t>
      </w:r>
      <w:r w:rsidR="00A81D67">
        <w:t>In the first step, a base case design with material integration is developed by solving a feed</w:t>
      </w:r>
      <w:r w:rsidR="00711346" w:rsidRPr="00AA5F73">
        <w:t xml:space="preserve"> minimization.</w:t>
      </w:r>
      <w:r w:rsidR="00A81D67">
        <w:t xml:space="preserve"> In the next step, the hot and cold streams are extracted from this design and HEN structure is synthesized using pinch analysis. Subsequently, in the third step, the HEN is integrated with the base case design and optimized for minimization of operating cost. The </w:t>
      </w:r>
      <w:r w:rsidR="00855BD5">
        <w:t xml:space="preserve">key </w:t>
      </w:r>
      <w:r w:rsidR="00A81D67">
        <w:t xml:space="preserve">decision variables and the corresponding </w:t>
      </w:r>
      <w:r w:rsidR="00855BD5">
        <w:t>trade-offs</w:t>
      </w:r>
      <w:r w:rsidR="00A81D67">
        <w:t xml:space="preserve"> are given below.</w:t>
      </w:r>
      <w:r w:rsidR="00711346" w:rsidRPr="00AA5F73">
        <w:t xml:space="preserve"> </w:t>
      </w:r>
    </w:p>
    <w:p w14:paraId="1BC7E8DB" w14:textId="295FB631" w:rsidR="00711346" w:rsidRDefault="000E3489" w:rsidP="000E3489">
      <w:pPr>
        <w:pStyle w:val="Els-body-text"/>
        <w:numPr>
          <w:ilvl w:val="0"/>
          <w:numId w:val="20"/>
        </w:numPr>
      </w:pPr>
      <w:r w:rsidRPr="000E3489">
        <w:t>SOFC operating pressure (</w:t>
      </w:r>
      <m:oMath>
        <m:sSub>
          <m:sSubPr>
            <m:ctrlPr>
              <w:rPr>
                <w:rFonts w:ascii="Cambria Math" w:hAnsi="Cambria Math"/>
                <w:i/>
              </w:rPr>
            </m:ctrlPr>
          </m:sSubPr>
          <m:e>
            <m:r>
              <w:rPr>
                <w:rFonts w:ascii="Cambria Math" w:hAnsi="Cambria Math"/>
              </w:rPr>
              <m:t>Pr</m:t>
            </m:r>
          </m:e>
          <m:sub>
            <m:r>
              <w:rPr>
                <w:rFonts w:ascii="Cambria Math" w:hAnsi="Cambria Math"/>
              </w:rPr>
              <m:t>SOFC</m:t>
            </m:r>
          </m:sub>
        </m:sSub>
        <m:r>
          <w:rPr>
            <w:rFonts w:ascii="Cambria Math" w:hAnsi="Cambria Math"/>
          </w:rPr>
          <m:t>)</m:t>
        </m:r>
      </m:oMath>
      <w:r w:rsidR="00711346" w:rsidRPr="000E3489">
        <w:t xml:space="preserve">: </w:t>
      </w:r>
      <w:r w:rsidR="00711346">
        <w:t xml:space="preserve">High </w:t>
      </w:r>
      <w:r>
        <w:t xml:space="preserve">SOFC </w:t>
      </w:r>
      <w:r w:rsidR="00711346">
        <w:t xml:space="preserve">pressure favors high </w:t>
      </w:r>
      <w:r>
        <w:t>open circuit voltage</w:t>
      </w:r>
      <w:r w:rsidR="00711346">
        <w:t xml:space="preserve"> and SOFC efficiency, however</w:t>
      </w:r>
      <w:r>
        <w:t>,</w:t>
      </w:r>
      <w:r w:rsidR="00711346">
        <w:t xml:space="preserve"> </w:t>
      </w:r>
      <w:r>
        <w:t>it results in increased power consumption in</w:t>
      </w:r>
      <w:r w:rsidR="00711346">
        <w:t xml:space="preserve"> air compress</w:t>
      </w:r>
      <w:r>
        <w:t>or and lower power production via micro gas turbine</w:t>
      </w:r>
      <w:r w:rsidR="00711346">
        <w:t xml:space="preserve">. </w:t>
      </w:r>
    </w:p>
    <w:p w14:paraId="5F3CD6C6" w14:textId="01EBDBF9" w:rsidR="00711346" w:rsidRDefault="000E3489" w:rsidP="000E3489">
      <w:pPr>
        <w:pStyle w:val="Els-body-text"/>
        <w:numPr>
          <w:ilvl w:val="0"/>
          <w:numId w:val="20"/>
        </w:numPr>
      </w:pPr>
      <w:r w:rsidRPr="000E3489">
        <w:t>SOFC operating temperature (</w:t>
      </w:r>
      <m:oMath>
        <m:sSub>
          <m:sSubPr>
            <m:ctrlPr>
              <w:rPr>
                <w:rFonts w:ascii="Cambria Math" w:hAnsi="Cambria Math"/>
                <w:i/>
              </w:rPr>
            </m:ctrlPr>
          </m:sSubPr>
          <m:e>
            <m:r>
              <w:rPr>
                <w:rFonts w:ascii="Cambria Math" w:hAnsi="Cambria Math"/>
              </w:rPr>
              <m:t>T</m:t>
            </m:r>
          </m:e>
          <m:sub>
            <m:r>
              <w:rPr>
                <w:rFonts w:ascii="Cambria Math" w:hAnsi="Cambria Math"/>
              </w:rPr>
              <m:t>SOFC</m:t>
            </m:r>
          </m:sub>
        </m:sSub>
      </m:oMath>
      <w:r w:rsidRPr="000E3489">
        <w:t>)</w:t>
      </w:r>
      <w:r w:rsidR="00711346" w:rsidRPr="000E3489">
        <w:t>:</w:t>
      </w:r>
      <w:r w:rsidR="00711346">
        <w:t xml:space="preserve">   High SOFC temperature reduces voltage losses</w:t>
      </w:r>
      <w:r>
        <w:t xml:space="preserve"> in SOFC, requires less airflow</w:t>
      </w:r>
      <w:r w:rsidR="00711346">
        <w:t xml:space="preserve"> </w:t>
      </w:r>
      <w:r>
        <w:t xml:space="preserve">to carry exothermic heat and exit gases have high energy integration potential. </w:t>
      </w:r>
      <w:r w:rsidR="00711346">
        <w:t xml:space="preserve">However, </w:t>
      </w:r>
      <w:r>
        <w:t>it reduces open circuit voltage and increases hot utility consumption</w:t>
      </w:r>
      <w:r w:rsidR="00711346">
        <w:t>.</w:t>
      </w:r>
    </w:p>
    <w:p w14:paraId="3C085321" w14:textId="6BF1E70F" w:rsidR="00711346" w:rsidRDefault="000E3489" w:rsidP="000E3489">
      <w:pPr>
        <w:pStyle w:val="Els-body-text"/>
        <w:numPr>
          <w:ilvl w:val="0"/>
          <w:numId w:val="20"/>
        </w:numPr>
      </w:pPr>
      <w:r>
        <w:t>SOFC Fuel utilization factor (</w:t>
      </w:r>
      <m:oMath>
        <m:sSub>
          <m:sSubPr>
            <m:ctrlPr>
              <w:rPr>
                <w:rFonts w:ascii="Cambria Math" w:hAnsi="Cambria Math"/>
                <w:i/>
              </w:rPr>
            </m:ctrlPr>
          </m:sSubPr>
          <m:e>
            <m:r>
              <w:rPr>
                <w:rFonts w:ascii="Cambria Math" w:hAnsi="Cambria Math"/>
              </w:rPr>
              <m:t>U</m:t>
            </m:r>
          </m:e>
          <m:sub>
            <m:r>
              <w:rPr>
                <w:rFonts w:ascii="Cambria Math" w:hAnsi="Cambria Math"/>
              </w:rPr>
              <m:t>f</m:t>
            </m:r>
          </m:sub>
        </m:sSub>
      </m:oMath>
      <w:r>
        <w:t>)</w:t>
      </w:r>
      <w:r w:rsidR="00711346" w:rsidRPr="000E3489">
        <w:t>:</w:t>
      </w:r>
      <w:r w:rsidR="00711346">
        <w:t xml:space="preserve"> </w:t>
      </w:r>
      <w:r>
        <w:t>It represents the fractional conversion of hydrogen via the electrochemical reaction.</w:t>
      </w:r>
      <w:r w:rsidR="00711346">
        <w:t xml:space="preserve"> </w:t>
      </w:r>
      <w:r w:rsidR="0046512C">
        <w:t>A h</w:t>
      </w:r>
      <w:r w:rsidR="00711346">
        <w:t>igh</w:t>
      </w:r>
      <w:r>
        <w:t xml:space="preserve"> value of </w:t>
      </w:r>
      <m:oMath>
        <m:sSub>
          <m:sSubPr>
            <m:ctrlPr>
              <w:rPr>
                <w:rFonts w:ascii="Cambria Math" w:hAnsi="Cambria Math"/>
                <w:i/>
              </w:rPr>
            </m:ctrlPr>
          </m:sSubPr>
          <m:e>
            <m:r>
              <w:rPr>
                <w:rFonts w:ascii="Cambria Math" w:hAnsi="Cambria Math"/>
              </w:rPr>
              <m:t>U</m:t>
            </m:r>
          </m:e>
          <m:sub>
            <m:r>
              <w:rPr>
                <w:rFonts w:ascii="Cambria Math" w:hAnsi="Cambria Math"/>
              </w:rPr>
              <m:t>f</m:t>
            </m:r>
          </m:sub>
        </m:sSub>
      </m:oMath>
      <w:r w:rsidR="00711346">
        <w:t xml:space="preserve"> increases</w:t>
      </w:r>
      <w:r>
        <w:t xml:space="preserve"> </w:t>
      </w:r>
      <w:r w:rsidR="00711346">
        <w:t>power generation from the SOFC.</w:t>
      </w:r>
      <w:r>
        <w:t xml:space="preserve"> However, it leads to</w:t>
      </w:r>
      <w:r w:rsidR="00711346">
        <w:t xml:space="preserve"> </w:t>
      </w:r>
      <w:r>
        <w:t>increased c</w:t>
      </w:r>
      <w:r w:rsidR="00711346">
        <w:t>urrent density</w:t>
      </w:r>
      <w:r>
        <w:t xml:space="preserve"> and</w:t>
      </w:r>
      <w:r w:rsidR="00711346">
        <w:t xml:space="preserve"> voltage losses</w:t>
      </w:r>
      <w:r>
        <w:t xml:space="preserve"> as well as an increase in </w:t>
      </w:r>
      <w:r w:rsidR="0046512C">
        <w:t>airflow to maintain SOFC temperature</w:t>
      </w:r>
      <w:r w:rsidR="00711346">
        <w:t xml:space="preserve">. </w:t>
      </w:r>
    </w:p>
    <w:p w14:paraId="2669F3BA" w14:textId="0989033A" w:rsidR="00711346" w:rsidRDefault="0046512C" w:rsidP="000E3489">
      <w:pPr>
        <w:pStyle w:val="Els-body-text"/>
        <w:numPr>
          <w:ilvl w:val="0"/>
          <w:numId w:val="20"/>
        </w:numPr>
      </w:pPr>
      <w:r>
        <w:t>SOFC Air utilization factor (</w:t>
      </w:r>
      <m:oMath>
        <m:sSub>
          <m:sSubPr>
            <m:ctrlPr>
              <w:rPr>
                <w:rFonts w:ascii="Cambria Math" w:hAnsi="Cambria Math"/>
                <w:i/>
              </w:rPr>
            </m:ctrlPr>
          </m:sSubPr>
          <m:e>
            <m:r>
              <w:rPr>
                <w:rFonts w:ascii="Cambria Math" w:hAnsi="Cambria Math"/>
              </w:rPr>
              <m:t>U</m:t>
            </m:r>
          </m:e>
          <m:sub>
            <m:r>
              <w:rPr>
                <w:rFonts w:ascii="Cambria Math" w:hAnsi="Cambria Math"/>
              </w:rPr>
              <m:t>a</m:t>
            </m:r>
          </m:sub>
        </m:sSub>
      </m:oMath>
      <w:r>
        <w:t>)</w:t>
      </w:r>
      <w:r w:rsidR="00711346" w:rsidRPr="0046512C">
        <w:t xml:space="preserve">: </w:t>
      </w:r>
      <w:r>
        <w:t>It represents the fractional conversion of oxygen in the SOFC.</w:t>
      </w:r>
      <w:r w:rsidR="00711346" w:rsidRPr="0046512C">
        <w:t xml:space="preserve"> </w:t>
      </w:r>
      <w:r>
        <w:t>A low</w:t>
      </w:r>
      <w:r w:rsidR="00711346">
        <w:t xml:space="preserve"> value </w:t>
      </w:r>
      <w:r>
        <w:t xml:space="preserve">of </w:t>
      </w:r>
      <m:oMath>
        <m:sSub>
          <m:sSubPr>
            <m:ctrlPr>
              <w:rPr>
                <w:rFonts w:ascii="Cambria Math" w:hAnsi="Cambria Math"/>
                <w:i/>
              </w:rPr>
            </m:ctrlPr>
          </m:sSubPr>
          <m:e>
            <m:r>
              <w:rPr>
                <w:rFonts w:ascii="Cambria Math" w:hAnsi="Cambria Math"/>
              </w:rPr>
              <m:t>U</m:t>
            </m:r>
          </m:e>
          <m:sub>
            <m:r>
              <w:rPr>
                <w:rFonts w:ascii="Cambria Math" w:hAnsi="Cambria Math"/>
              </w:rPr>
              <m:t>a</m:t>
            </m:r>
          </m:sub>
        </m:sSub>
      </m:oMath>
      <w:r>
        <w:t xml:space="preserve"> </w:t>
      </w:r>
      <w:r w:rsidR="00711346">
        <w:t>allow</w:t>
      </w:r>
      <w:r>
        <w:t>s for better heat management in SOFC; however, it results in increased air compression power and dilution at cathode.</w:t>
      </w:r>
      <w:r w:rsidR="00711346">
        <w:t xml:space="preserve"> </w:t>
      </w:r>
    </w:p>
    <w:p w14:paraId="49B7FF23" w14:textId="063AA438" w:rsidR="00711346" w:rsidRDefault="0046512C" w:rsidP="000E3489">
      <w:pPr>
        <w:pStyle w:val="Els-body-text"/>
        <w:numPr>
          <w:ilvl w:val="0"/>
          <w:numId w:val="20"/>
        </w:numPr>
      </w:pPr>
      <w:r>
        <w:t>Reformer temperature (</w:t>
      </w:r>
      <m:oMath>
        <m:sSub>
          <m:sSubPr>
            <m:ctrlPr>
              <w:rPr>
                <w:rFonts w:ascii="Cambria Math" w:hAnsi="Cambria Math"/>
                <w:i/>
              </w:rPr>
            </m:ctrlPr>
          </m:sSubPr>
          <m:e>
            <m:r>
              <w:rPr>
                <w:rFonts w:ascii="Cambria Math" w:hAnsi="Cambria Math"/>
              </w:rPr>
              <m:t>T</m:t>
            </m:r>
          </m:e>
          <m:sub>
            <m:r>
              <w:rPr>
                <w:rFonts w:ascii="Cambria Math" w:hAnsi="Cambria Math"/>
              </w:rPr>
              <m:t>ref</m:t>
            </m:r>
          </m:sub>
        </m:sSub>
      </m:oMath>
      <w:r>
        <w:t>)</w:t>
      </w:r>
      <w:r w:rsidR="00711346" w:rsidRPr="0046512C">
        <w:t xml:space="preserve">: </w:t>
      </w:r>
      <w:r w:rsidR="009B5113">
        <w:t>H</w:t>
      </w:r>
      <w:r w:rsidR="00711346">
        <w:t xml:space="preserve">igh </w:t>
      </w:r>
      <w:r w:rsidR="009B5113">
        <w:t xml:space="preserve">reformer </w:t>
      </w:r>
      <w:r w:rsidR="00711346">
        <w:t>temperature</w:t>
      </w:r>
      <w:r w:rsidR="009B5113">
        <w:t xml:space="preserve"> results in increased</w:t>
      </w:r>
      <w:r w:rsidR="00711346">
        <w:t xml:space="preserve"> CH</w:t>
      </w:r>
      <w:r w:rsidR="00711346" w:rsidRPr="00C438D5">
        <w:rPr>
          <w:vertAlign w:val="subscript"/>
        </w:rPr>
        <w:t>4</w:t>
      </w:r>
      <w:r w:rsidR="00711346">
        <w:t xml:space="preserve"> conversion and H</w:t>
      </w:r>
      <w:r w:rsidR="00711346" w:rsidRPr="00C438D5">
        <w:rPr>
          <w:vertAlign w:val="subscript"/>
        </w:rPr>
        <w:t>2</w:t>
      </w:r>
      <w:r w:rsidR="00711346">
        <w:t xml:space="preserve"> yield</w:t>
      </w:r>
      <w:r w:rsidR="009B5113">
        <w:t>, subsequently leading to</w:t>
      </w:r>
      <w:r w:rsidR="00711346">
        <w:t xml:space="preserve"> high cell</w:t>
      </w:r>
      <w:r w:rsidR="009B5113">
        <w:t xml:space="preserve"> voltage</w:t>
      </w:r>
      <w:r w:rsidR="00711346">
        <w:t xml:space="preserve"> and </w:t>
      </w:r>
      <w:r w:rsidR="009B5113">
        <w:t xml:space="preserve">SOFC </w:t>
      </w:r>
      <w:r w:rsidR="00711346">
        <w:t>power generation</w:t>
      </w:r>
      <w:r w:rsidR="009B5113">
        <w:t>. H</w:t>
      </w:r>
      <w:r w:rsidR="00711346">
        <w:t>owever</w:t>
      </w:r>
      <w:r w:rsidR="00FE78A1">
        <w:t>,</w:t>
      </w:r>
      <w:r w:rsidR="00711346">
        <w:t xml:space="preserve"> </w:t>
      </w:r>
      <w:r w:rsidR="009B5113">
        <w:t>it also increases the heat load</w:t>
      </w:r>
      <w:r w:rsidR="00711346">
        <w:t xml:space="preserve"> of </w:t>
      </w:r>
      <w:r w:rsidR="009B5113">
        <w:t xml:space="preserve">the </w:t>
      </w:r>
      <w:r w:rsidR="00711346">
        <w:t xml:space="preserve">reformer </w:t>
      </w:r>
      <w:r w:rsidR="009B5113">
        <w:t>and reduces</w:t>
      </w:r>
      <w:r w:rsidR="00711346">
        <w:t xml:space="preserve"> the net electrical efficiency. </w:t>
      </w:r>
    </w:p>
    <w:p w14:paraId="32C3B004" w14:textId="7FD0EACB" w:rsidR="00711346" w:rsidRDefault="009B5113" w:rsidP="000E3489">
      <w:pPr>
        <w:pStyle w:val="Els-body-text"/>
        <w:numPr>
          <w:ilvl w:val="0"/>
          <w:numId w:val="20"/>
        </w:numPr>
      </w:pPr>
      <w:r>
        <w:t xml:space="preserve">Reformer S/C ratio </w:t>
      </w:r>
      <w:r w:rsidRPr="009B5113">
        <w:t>(</w:t>
      </w:r>
      <m:oMath>
        <m:r>
          <w:rPr>
            <w:rFonts w:ascii="Cambria Math" w:hAnsi="Cambria Math"/>
          </w:rPr>
          <m:t>SCR</m:t>
        </m:r>
      </m:oMath>
      <w:r w:rsidRPr="009B5113">
        <w:t>)</w:t>
      </w:r>
      <w:r w:rsidR="00711346" w:rsidRPr="009B5113">
        <w:t>:</w:t>
      </w:r>
      <w:r w:rsidR="00711346">
        <w:t xml:space="preserve">  </w:t>
      </w:r>
      <w:r>
        <w:t xml:space="preserve">A high value of SCR </w:t>
      </w:r>
      <w:r w:rsidR="00711346">
        <w:t>increases H</w:t>
      </w:r>
      <w:r w:rsidR="00711346" w:rsidRPr="008F3DD5">
        <w:rPr>
          <w:vertAlign w:val="subscript"/>
        </w:rPr>
        <w:t>2</w:t>
      </w:r>
      <w:r w:rsidR="00711346">
        <w:t xml:space="preserve"> yield. </w:t>
      </w:r>
      <w:r>
        <w:t>However, it also dilutes the anode gas leading to lower open circuit voltage and increased</w:t>
      </w:r>
      <w:r w:rsidR="00711346">
        <w:t xml:space="preserve"> h</w:t>
      </w:r>
      <w:r>
        <w:t>ot utility</w:t>
      </w:r>
      <w:r w:rsidR="00711346">
        <w:t xml:space="preserve"> for steam generation.</w:t>
      </w:r>
    </w:p>
    <w:p w14:paraId="18445C2D" w14:textId="5104217B" w:rsidR="00711346" w:rsidRDefault="009B5113" w:rsidP="000E3489">
      <w:pPr>
        <w:pStyle w:val="Els-body-text"/>
        <w:numPr>
          <w:ilvl w:val="0"/>
          <w:numId w:val="20"/>
        </w:numPr>
      </w:pPr>
      <w:r w:rsidRPr="009B5113">
        <w:t>Reformer bypass fraction (</w:t>
      </w:r>
      <m:oMath>
        <m:sSub>
          <m:sSubPr>
            <m:ctrlPr>
              <w:rPr>
                <w:rFonts w:ascii="Cambria Math" w:hAnsi="Cambria Math"/>
                <w:i/>
              </w:rPr>
            </m:ctrlPr>
          </m:sSubPr>
          <m:e>
            <m:r>
              <w:rPr>
                <w:rFonts w:ascii="Cambria Math" w:hAnsi="Cambria Math"/>
              </w:rPr>
              <m:t>f</m:t>
            </m:r>
          </m:e>
          <m:sub>
            <m:r>
              <w:rPr>
                <w:rFonts w:ascii="Cambria Math" w:hAnsi="Cambria Math"/>
              </w:rPr>
              <m:t>byp</m:t>
            </m:r>
          </m:sub>
        </m:sSub>
      </m:oMath>
      <w:r w:rsidRPr="009B5113">
        <w:t>)</w:t>
      </w:r>
      <w:r w:rsidR="00711346" w:rsidRPr="009B5113">
        <w:t>:</w:t>
      </w:r>
      <w:r w:rsidR="00711346">
        <w:t xml:space="preserve"> </w:t>
      </w:r>
      <w:r>
        <w:t>This fraction controls the extents of external and internal reforming. While external reforming results in high hydrogen partial pressure in the SOFC, it also suffers from increased utility requirements and difficult thermal management in the SOFC. On the other hand, direct internal reforming provides better synergy between endothermic reforming and exothermic electrochemical reactions, but results in lower partial pressure of hydrogen and cell voltage</w:t>
      </w:r>
      <w:r w:rsidR="00711346">
        <w:t xml:space="preserve">. </w:t>
      </w:r>
    </w:p>
    <w:p w14:paraId="1190F235" w14:textId="49023145" w:rsidR="00711346" w:rsidRDefault="009B5113" w:rsidP="000E3489">
      <w:pPr>
        <w:pStyle w:val="Els-body-text"/>
        <w:numPr>
          <w:ilvl w:val="0"/>
          <w:numId w:val="20"/>
        </w:numPr>
      </w:pPr>
      <w:r>
        <w:t xml:space="preserve">Flue gas split fraction </w:t>
      </w:r>
      <w:r w:rsidRPr="009B5113">
        <w:t>(</w:t>
      </w:r>
      <m:oMath>
        <m:sSub>
          <m:sSubPr>
            <m:ctrlPr>
              <w:rPr>
                <w:rFonts w:ascii="Cambria Math" w:hAnsi="Cambria Math"/>
                <w:i/>
              </w:rPr>
            </m:ctrlPr>
          </m:sSubPr>
          <m:e>
            <m:r>
              <w:rPr>
                <w:rFonts w:ascii="Cambria Math" w:hAnsi="Cambria Math"/>
              </w:rPr>
              <m:t>f</m:t>
            </m:r>
          </m:e>
          <m:sub>
            <m:r>
              <w:rPr>
                <w:rFonts w:ascii="Cambria Math" w:hAnsi="Cambria Math"/>
              </w:rPr>
              <m:t>split</m:t>
            </m:r>
          </m:sub>
        </m:sSub>
      </m:oMath>
      <w:r w:rsidRPr="009B5113">
        <w:t>)</w:t>
      </w:r>
      <w:r w:rsidR="00711346" w:rsidRPr="009B5113">
        <w:t>:</w:t>
      </w:r>
      <w:r w:rsidR="00711346">
        <w:t xml:space="preserve"> </w:t>
      </w:r>
      <w:r>
        <w:t xml:space="preserve">This fraction </w:t>
      </w:r>
      <w:r w:rsidR="005848D2">
        <w:t xml:space="preserve">manages the extents of internal energy integration and auxiliary power production via steam turbine. A </w:t>
      </w:r>
      <w:r w:rsidR="00711346">
        <w:t>high fraction going to the steam generator</w:t>
      </w:r>
      <w:r w:rsidR="005848D2">
        <w:t xml:space="preserve"> increases turbine power contribution and unloads the SOFC</w:t>
      </w:r>
      <w:r w:rsidR="00711346">
        <w:t>. However</w:t>
      </w:r>
      <w:r w:rsidR="005848D2">
        <w:t>,</w:t>
      </w:r>
      <w:r w:rsidR="00711346">
        <w:t xml:space="preserve"> </w:t>
      </w:r>
      <w:r w:rsidR="005848D2">
        <w:t xml:space="preserve">it limits internal energy integration and increases </w:t>
      </w:r>
      <w:r w:rsidR="00711346">
        <w:t xml:space="preserve">hot utility </w:t>
      </w:r>
      <w:r w:rsidR="005848D2">
        <w:t>consumption</w:t>
      </w:r>
      <w:r w:rsidR="00711346">
        <w:t>.</w:t>
      </w:r>
    </w:p>
    <w:p w14:paraId="4C8F563A" w14:textId="77777777" w:rsidR="005848D2" w:rsidRDefault="009B5113" w:rsidP="000E3489">
      <w:pPr>
        <w:pStyle w:val="Els-body-text"/>
        <w:numPr>
          <w:ilvl w:val="0"/>
          <w:numId w:val="20"/>
        </w:numPr>
      </w:pPr>
      <w:r>
        <w:t>Cathode gas recycle fraction (</w:t>
      </w:r>
      <m:oMath>
        <m:sSub>
          <m:sSubPr>
            <m:ctrlPr>
              <w:rPr>
                <w:rFonts w:ascii="Cambria Math" w:hAnsi="Cambria Math"/>
                <w:i/>
              </w:rPr>
            </m:ctrlPr>
          </m:sSubPr>
          <m:e>
            <m:r>
              <w:rPr>
                <w:rFonts w:ascii="Cambria Math" w:hAnsi="Cambria Math"/>
              </w:rPr>
              <m:t>f</m:t>
            </m:r>
          </m:e>
          <m:sub>
            <m:r>
              <w:rPr>
                <w:rFonts w:ascii="Cambria Math" w:hAnsi="Cambria Math"/>
              </w:rPr>
              <m:t>CGR</m:t>
            </m:r>
          </m:sub>
        </m:sSub>
      </m:oMath>
      <w:r>
        <w:t>):</w:t>
      </w:r>
      <w:r w:rsidR="005848D2">
        <w:t xml:space="preserve"> A high value of cathode gas recycle fraction reduces the fresh air flow and the corresponding heating and compression loads. However, it causes dilution of cathode gas and reduces cell voltage.</w:t>
      </w:r>
    </w:p>
    <w:p w14:paraId="1A6D8549" w14:textId="241036A2" w:rsidR="009B5113" w:rsidRDefault="00B669CC" w:rsidP="005848D2">
      <w:pPr>
        <w:pStyle w:val="Els-body-text"/>
      </w:pPr>
      <w:r>
        <w:t>Eq. (2) describes the feed minimization problem. The optimization variables (</w:t>
      </w:r>
      <m:oMath>
        <m:r>
          <w:rPr>
            <w:rFonts w:ascii="Cambria Math" w:hAnsi="Cambria Math"/>
          </w:rPr>
          <m:t>x</m:t>
        </m:r>
      </m:oMath>
      <w:r>
        <w:t>) are the decision variables mentioned above. The key equality constraints are material and energy balance equations for each process unit. The key inequality constraint corresponds to net power production and target (</w:t>
      </w:r>
      <m:oMath>
        <m:sSub>
          <m:sSubPr>
            <m:ctrlPr>
              <w:rPr>
                <w:rFonts w:ascii="Cambria Math" w:hAnsi="Cambria Math"/>
                <w:i/>
              </w:rPr>
            </m:ctrlPr>
          </m:sSubPr>
          <m:e>
            <m:r>
              <w:rPr>
                <w:rFonts w:ascii="Cambria Math" w:hAnsi="Cambria Math"/>
              </w:rPr>
              <m:t>P</m:t>
            </m:r>
          </m:e>
          <m:sub>
            <m:r>
              <w:rPr>
                <w:rFonts w:ascii="Cambria Math" w:hAnsi="Cambria Math"/>
              </w:rPr>
              <m:t>target</m:t>
            </m:r>
          </m:sub>
        </m:sSub>
      </m:oMath>
      <w:r>
        <w:t xml:space="preserve">) matching. </w:t>
      </w:r>
    </w:p>
    <w:tbl>
      <w:tblPr>
        <w:tblW w:w="0" w:type="auto"/>
        <w:tblLook w:val="04A0" w:firstRow="1" w:lastRow="0" w:firstColumn="1" w:lastColumn="0" w:noHBand="0" w:noVBand="1"/>
      </w:tblPr>
      <w:tblGrid>
        <w:gridCol w:w="6122"/>
        <w:gridCol w:w="965"/>
      </w:tblGrid>
      <w:tr w:rsidR="00412A49" w:rsidRPr="00A94774" w14:paraId="29C58E9F" w14:textId="77777777" w:rsidTr="00D22D28">
        <w:tc>
          <w:tcPr>
            <w:tcW w:w="6317" w:type="dxa"/>
            <w:shd w:val="clear" w:color="auto" w:fill="auto"/>
            <w:vAlign w:val="center"/>
          </w:tcPr>
          <w:p w14:paraId="1D1145F9" w14:textId="67A5DD0F" w:rsidR="00412A49" w:rsidRPr="00763E59" w:rsidRDefault="008413A8" w:rsidP="00D22D28">
            <w:pPr>
              <w:pStyle w:val="Els-body-text"/>
              <w:spacing w:before="240"/>
            </w:pPr>
            <m:oMathPara>
              <m:oMathParaPr>
                <m:jc m:val="lef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x</m:t>
                        </m:r>
                      </m:lim>
                    </m:limLow>
                  </m:fName>
                  <m:e>
                    <m:sSub>
                      <m:sSubPr>
                        <m:ctrlPr>
                          <w:rPr>
                            <w:rFonts w:ascii="Cambria Math" w:hAnsi="Cambria Math"/>
                            <w:i/>
                          </w:rPr>
                        </m:ctrlPr>
                      </m:sSubPr>
                      <m:e>
                        <m:r>
                          <w:rPr>
                            <w:rFonts w:ascii="Cambria Math" w:hAnsi="Cambria Math"/>
                          </w:rPr>
                          <m:t>n</m:t>
                        </m:r>
                      </m:e>
                      <m:sub>
                        <m:r>
                          <w:rPr>
                            <w:rFonts w:ascii="Cambria Math" w:hAnsi="Cambria Math"/>
                          </w:rPr>
                          <m:t>feed</m:t>
                        </m:r>
                      </m:sub>
                    </m:sSub>
                  </m:e>
                </m:func>
              </m:oMath>
            </m:oMathPara>
          </w:p>
          <w:p w14:paraId="3AB62F02" w14:textId="5F79846A" w:rsidR="00412A49" w:rsidRDefault="00412A49" w:rsidP="00D22D28">
            <w:pPr>
              <w:pStyle w:val="Els-body-text"/>
            </w:pPr>
            <w:r>
              <w:t xml:space="preserve">Subject to: </w:t>
            </w:r>
            <w:r w:rsidR="00217262">
              <w:t>Material and energy balance of each unit</w:t>
            </w:r>
            <w:r>
              <w:t xml:space="preserve"> </w:t>
            </w:r>
          </w:p>
          <w:p w14:paraId="7A36397D" w14:textId="271983CB" w:rsidR="00412A49" w:rsidRDefault="00412A49" w:rsidP="00D22D28">
            <w:pPr>
              <w:pStyle w:val="Els-body-text"/>
            </w:pPr>
            <w:r>
              <w:t xml:space="preserve">             </w:t>
            </w:r>
            <m:oMath>
              <m:sSub>
                <m:sSubPr>
                  <m:ctrlPr>
                    <w:rPr>
                      <w:rFonts w:ascii="Cambria Math" w:hAnsi="Cambria Math"/>
                      <w:i/>
                    </w:rPr>
                  </m:ctrlPr>
                </m:sSubPr>
                <m:e>
                  <m:r>
                    <w:rPr>
                      <w:rFonts w:ascii="Cambria Math" w:hAnsi="Cambria Math"/>
                    </w:rPr>
                    <m:t>P</m:t>
                  </m:r>
                </m:e>
                <m:sub>
                  <m:r>
                    <w:rPr>
                      <w:rFonts w:ascii="Cambria Math" w:hAnsi="Cambria Math"/>
                    </w:rPr>
                    <m:t>target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SOFC</m:t>
                  </m:r>
                </m:sub>
              </m:sSub>
              <m:r>
                <w:rPr>
                  <w:rFonts w:ascii="Cambria Math" w:hAnsi="Cambria Math"/>
                </w:rPr>
                <m:t>+</m:t>
              </m:r>
              <m:nary>
                <m:naryPr>
                  <m:chr m:val="∑"/>
                  <m:limLoc m:val="subSup"/>
                  <m:supHide m:val="1"/>
                  <m:ctrlPr>
                    <w:rPr>
                      <w:rFonts w:ascii="Cambria Math" w:hAnsi="Cambria Math"/>
                      <w:i/>
                      <w:lang w:val="en-GB"/>
                    </w:rPr>
                  </m:ctrlPr>
                </m:naryPr>
                <m:sub>
                  <m:r>
                    <w:rPr>
                      <w:rFonts w:ascii="Cambria Math" w:hAnsi="Cambria Math"/>
                      <w:lang w:val="en-GB"/>
                    </w:rPr>
                    <m:t>j</m:t>
                  </m:r>
                </m:sub>
                <m:sup/>
                <m:e>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turb,j</m:t>
                      </m:r>
                    </m:sub>
                  </m:sSub>
                </m:e>
              </m:nary>
              <m:r>
                <w:rPr>
                  <w:rFonts w:ascii="Cambria Math" w:hAnsi="Cambria Math"/>
                  <w:lang w:val="en-GB"/>
                </w:rPr>
                <m:t>-</m:t>
              </m:r>
              <m:nary>
                <m:naryPr>
                  <m:chr m:val="∑"/>
                  <m:limLoc m:val="subSup"/>
                  <m:supHide m:val="1"/>
                  <m:ctrlPr>
                    <w:rPr>
                      <w:rFonts w:ascii="Cambria Math" w:hAnsi="Cambria Math"/>
                      <w:i/>
                      <w:lang w:val="en-GB"/>
                    </w:rPr>
                  </m:ctrlPr>
                </m:naryPr>
                <m:sub>
                  <m:r>
                    <w:rPr>
                      <w:rFonts w:ascii="Cambria Math" w:hAnsi="Cambria Math"/>
                      <w:lang w:val="en-GB"/>
                    </w:rPr>
                    <m:t>j</m:t>
                  </m:r>
                </m:sub>
                <m:sup/>
                <m:e>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 xml:space="preserve">comp,j </m:t>
                      </m:r>
                    </m:sub>
                  </m:sSub>
                </m:e>
              </m:nary>
            </m:oMath>
          </w:p>
          <w:p w14:paraId="32083799" w14:textId="3C4032D6" w:rsidR="00412A49" w:rsidRPr="00F56EC0" w:rsidRDefault="00412A49" w:rsidP="00217262">
            <w:pPr>
              <w:pStyle w:val="Els-body-text"/>
              <w:spacing w:after="240"/>
            </w:pPr>
            <w:r>
              <w:t xml:space="preserve">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min</m:t>
                  </m:r>
                </m:sub>
              </m:sSub>
              <m:r>
                <m:rPr>
                  <m:sty m:val="p"/>
                </m:rPr>
                <w:rPr>
                  <w:rFonts w:ascii="Cambria Math" w:hAnsi="Cambria Math"/>
                </w:rPr>
                <m:t>≤x≤</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max</m:t>
                  </m:r>
                </m:sub>
              </m:sSub>
            </m:oMath>
          </w:p>
        </w:tc>
        <w:tc>
          <w:tcPr>
            <w:tcW w:w="985" w:type="dxa"/>
            <w:shd w:val="clear" w:color="auto" w:fill="auto"/>
            <w:vAlign w:val="center"/>
          </w:tcPr>
          <w:p w14:paraId="0049C98B" w14:textId="60E1DCEB" w:rsidR="00412A49" w:rsidRPr="00A94774" w:rsidRDefault="00412A49" w:rsidP="00D22D28">
            <w:pPr>
              <w:pStyle w:val="Els-body-text"/>
              <w:spacing w:before="120" w:after="120" w:line="264" w:lineRule="auto"/>
              <w:jc w:val="right"/>
              <w:rPr>
                <w:lang w:val="en-GB"/>
              </w:rPr>
            </w:pPr>
            <w:r w:rsidRPr="00A94774">
              <w:rPr>
                <w:lang w:val="en-GB"/>
              </w:rPr>
              <w:t>(</w:t>
            </w:r>
            <w:r w:rsidR="00217262">
              <w:rPr>
                <w:lang w:val="en-GB"/>
              </w:rPr>
              <w:t>2</w:t>
            </w:r>
            <w:r w:rsidRPr="00A94774">
              <w:rPr>
                <w:lang w:val="en-GB"/>
              </w:rPr>
              <w:t>)</w:t>
            </w:r>
          </w:p>
        </w:tc>
      </w:tr>
    </w:tbl>
    <w:p w14:paraId="2EBCB38B" w14:textId="21335816" w:rsidR="003A5651" w:rsidRDefault="00217262" w:rsidP="00711346">
      <w:pPr>
        <w:pStyle w:val="Els-body-text"/>
      </w:pPr>
      <w:r>
        <w:t xml:space="preserve">Eq. (3) describes the operating cost minimization problem. </w:t>
      </w:r>
      <w:r w:rsidR="00A10714">
        <w:t>Stream split fractions are included as additional decision variables and t</w:t>
      </w:r>
      <w:r>
        <w:t>wo set of constraints are included to ensure feasibility of heat transfer</w:t>
      </w:r>
      <w:r w:rsidR="00A10714">
        <w:t>.</w:t>
      </w:r>
      <w:r>
        <w:t xml:space="preserve"> </w:t>
      </w:r>
      <m:oMath>
        <m:sSub>
          <m:sSubPr>
            <m:ctrlPr>
              <w:rPr>
                <w:rFonts w:ascii="Cambria Math" w:hAnsi="Cambria Math"/>
                <w:i/>
              </w:rPr>
            </m:ctrlPr>
          </m:sSubPr>
          <m:e>
            <m:r>
              <w:rPr>
                <w:rFonts w:ascii="Cambria Math" w:hAnsi="Cambria Math"/>
              </w:rPr>
              <m:t>C</m:t>
            </m:r>
          </m:e>
          <m:sub>
            <m:r>
              <w:rPr>
                <w:rFonts w:ascii="Cambria Math" w:hAnsi="Cambria Math"/>
              </w:rPr>
              <m:t>biogas</m:t>
            </m:r>
          </m:sub>
        </m:sSub>
      </m:oMath>
      <w:r w:rsidR="00A10714">
        <w:t xml:space="preserve">, </w:t>
      </w:r>
      <m:oMath>
        <m:sSub>
          <m:sSubPr>
            <m:ctrlPr>
              <w:rPr>
                <w:rFonts w:ascii="Cambria Math" w:hAnsi="Cambria Math"/>
                <w:i/>
              </w:rPr>
            </m:ctrlPr>
          </m:sSubPr>
          <m:e>
            <m:r>
              <w:rPr>
                <w:rFonts w:ascii="Cambria Math" w:hAnsi="Cambria Math"/>
              </w:rPr>
              <m:t>C</m:t>
            </m:r>
          </m:e>
          <m:sub>
            <m:r>
              <w:rPr>
                <w:rFonts w:ascii="Cambria Math" w:hAnsi="Cambria Math"/>
              </w:rPr>
              <m:t>HU</m:t>
            </m:r>
          </m:sub>
        </m:sSub>
      </m:oMath>
      <w:r w:rsidR="00A10714">
        <w:t xml:space="preserve"> </w:t>
      </w:r>
      <w:r>
        <w:t xml:space="preserve">and </w:t>
      </w:r>
      <m:oMath>
        <m:sSub>
          <m:sSubPr>
            <m:ctrlPr>
              <w:rPr>
                <w:rFonts w:ascii="Cambria Math" w:hAnsi="Cambria Math"/>
                <w:i/>
              </w:rPr>
            </m:ctrlPr>
          </m:sSubPr>
          <m:e>
            <m:r>
              <w:rPr>
                <w:rFonts w:ascii="Cambria Math" w:hAnsi="Cambria Math"/>
              </w:rPr>
              <m:t>∆T</m:t>
            </m:r>
          </m:e>
          <m:sub>
            <m:r>
              <w:rPr>
                <w:rFonts w:ascii="Cambria Math" w:hAnsi="Cambria Math"/>
              </w:rPr>
              <m:t>min</m:t>
            </m:r>
          </m:sub>
        </m:sSub>
      </m:oMath>
      <w:r>
        <w:t xml:space="preserve"> represent</w:t>
      </w:r>
      <w:r w:rsidR="00A10714">
        <w:t xml:space="preserve"> cost of biogas, cost of hot utility and</w:t>
      </w:r>
      <w:r>
        <w:t xml:space="preserve"> the minimum approach temperature. </w:t>
      </w:r>
    </w:p>
    <w:tbl>
      <w:tblPr>
        <w:tblW w:w="0" w:type="auto"/>
        <w:tblLook w:val="04A0" w:firstRow="1" w:lastRow="0" w:firstColumn="1" w:lastColumn="0" w:noHBand="0" w:noVBand="1"/>
      </w:tblPr>
      <w:tblGrid>
        <w:gridCol w:w="6124"/>
        <w:gridCol w:w="963"/>
      </w:tblGrid>
      <w:tr w:rsidR="00217262" w:rsidRPr="00A94774" w14:paraId="18A57703" w14:textId="77777777" w:rsidTr="00D22D28">
        <w:tc>
          <w:tcPr>
            <w:tcW w:w="6317" w:type="dxa"/>
            <w:shd w:val="clear" w:color="auto" w:fill="auto"/>
            <w:vAlign w:val="center"/>
          </w:tcPr>
          <w:p w14:paraId="23721833" w14:textId="6F0E0B57" w:rsidR="00217262" w:rsidRPr="00763E59" w:rsidRDefault="008413A8" w:rsidP="00D22D28">
            <w:pPr>
              <w:pStyle w:val="Els-body-text"/>
              <w:spacing w:before="240"/>
            </w:pPr>
            <m:oMathPara>
              <m:oMathParaPr>
                <m:jc m:val="lef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x,s</m:t>
                        </m:r>
                      </m:lim>
                    </m:limLow>
                  </m:fName>
                  <m:e>
                    <m:sSub>
                      <m:sSubPr>
                        <m:ctrlPr>
                          <w:rPr>
                            <w:rFonts w:ascii="Cambria Math" w:hAnsi="Cambria Math"/>
                            <w:i/>
                          </w:rPr>
                        </m:ctrlPr>
                      </m:sSubPr>
                      <m:e>
                        <m:r>
                          <w:rPr>
                            <w:rFonts w:ascii="Cambria Math" w:hAnsi="Cambria Math"/>
                          </w:rPr>
                          <m:t>C</m:t>
                        </m:r>
                      </m:e>
                      <m:sub>
                        <m:r>
                          <w:rPr>
                            <w:rFonts w:ascii="Cambria Math" w:hAnsi="Cambria Math"/>
                          </w:rPr>
                          <m:t>biogas</m:t>
                        </m:r>
                      </m:sub>
                    </m:sSub>
                    <m:sSub>
                      <m:sSubPr>
                        <m:ctrlPr>
                          <w:rPr>
                            <w:rFonts w:ascii="Cambria Math" w:hAnsi="Cambria Math"/>
                            <w:i/>
                          </w:rPr>
                        </m:ctrlPr>
                      </m:sSubPr>
                      <m:e>
                        <m:r>
                          <w:rPr>
                            <w:rFonts w:ascii="Cambria Math" w:hAnsi="Cambria Math"/>
                          </w:rPr>
                          <m:t>n</m:t>
                        </m:r>
                      </m:e>
                      <m:sub>
                        <m:r>
                          <w:rPr>
                            <w:rFonts w:ascii="Cambria Math" w:hAnsi="Cambria Math"/>
                          </w:rPr>
                          <m:t>feed</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HU</m:t>
                        </m:r>
                      </m:sub>
                    </m:sSub>
                    <m:nary>
                      <m:naryPr>
                        <m:chr m:val="∑"/>
                        <m:limLoc m:val="undOvr"/>
                        <m:supHide m:val="1"/>
                        <m:ctrlPr>
                          <w:rPr>
                            <w:rFonts w:ascii="Cambria Math" w:hAnsi="Cambria Math"/>
                            <w:i/>
                          </w:rPr>
                        </m:ctrlPr>
                      </m:naryPr>
                      <m:sub>
                        <m:r>
                          <w:rPr>
                            <w:rFonts w:ascii="Cambria Math" w:hAnsi="Cambria Math"/>
                          </w:rPr>
                          <m:t>k</m:t>
                        </m:r>
                      </m:sub>
                      <m:sup/>
                      <m:e>
                        <m:sSub>
                          <m:sSubPr>
                            <m:ctrlPr>
                              <w:rPr>
                                <w:rFonts w:ascii="Cambria Math" w:hAnsi="Cambria Math"/>
                                <w:i/>
                              </w:rPr>
                            </m:ctrlPr>
                          </m:sSubPr>
                          <m:e>
                            <m:r>
                              <w:rPr>
                                <w:rFonts w:ascii="Cambria Math" w:hAnsi="Cambria Math"/>
                              </w:rPr>
                              <m:t>Q</m:t>
                            </m:r>
                          </m:e>
                          <m:sub>
                            <m:r>
                              <w:rPr>
                                <w:rFonts w:ascii="Cambria Math" w:hAnsi="Cambria Math"/>
                              </w:rPr>
                              <m:t>H,k</m:t>
                            </m:r>
                          </m:sub>
                        </m:sSub>
                      </m:e>
                    </m:nary>
                  </m:e>
                </m:func>
              </m:oMath>
            </m:oMathPara>
          </w:p>
          <w:p w14:paraId="6B172A87" w14:textId="77777777" w:rsidR="00217262" w:rsidRDefault="00217262" w:rsidP="00D22D28">
            <w:pPr>
              <w:pStyle w:val="Els-body-text"/>
            </w:pPr>
            <w:r>
              <w:t xml:space="preserve">Subject to: Material and energy balance of each unit </w:t>
            </w:r>
          </w:p>
          <w:p w14:paraId="1274F770" w14:textId="77777777" w:rsidR="00A10714" w:rsidRPr="00A10714" w:rsidRDefault="00217262" w:rsidP="00D22D28">
            <w:pPr>
              <w:pStyle w:val="Els-body-text"/>
              <w:rPr>
                <w:lang w:val="en-GB"/>
              </w:rPr>
            </w:pPr>
            <w:r>
              <w:t xml:space="preserve">             </w:t>
            </w:r>
            <m:oMath>
              <m:sSub>
                <m:sSubPr>
                  <m:ctrlPr>
                    <w:rPr>
                      <w:rFonts w:ascii="Cambria Math" w:hAnsi="Cambria Math"/>
                      <w:i/>
                    </w:rPr>
                  </m:ctrlPr>
                </m:sSubPr>
                <m:e>
                  <m:r>
                    <w:rPr>
                      <w:rFonts w:ascii="Cambria Math" w:hAnsi="Cambria Math"/>
                    </w:rPr>
                    <m:t>P</m:t>
                  </m:r>
                </m:e>
                <m:sub>
                  <m:r>
                    <w:rPr>
                      <w:rFonts w:ascii="Cambria Math" w:hAnsi="Cambria Math"/>
                    </w:rPr>
                    <m:t>target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SOFC</m:t>
                  </m:r>
                </m:sub>
              </m:sSub>
              <m:r>
                <w:rPr>
                  <w:rFonts w:ascii="Cambria Math" w:hAnsi="Cambria Math"/>
                </w:rPr>
                <m:t>+</m:t>
              </m:r>
              <m:nary>
                <m:naryPr>
                  <m:chr m:val="∑"/>
                  <m:limLoc m:val="subSup"/>
                  <m:supHide m:val="1"/>
                  <m:ctrlPr>
                    <w:rPr>
                      <w:rFonts w:ascii="Cambria Math" w:hAnsi="Cambria Math"/>
                      <w:i/>
                      <w:lang w:val="en-GB"/>
                    </w:rPr>
                  </m:ctrlPr>
                </m:naryPr>
                <m:sub>
                  <m:r>
                    <w:rPr>
                      <w:rFonts w:ascii="Cambria Math" w:hAnsi="Cambria Math"/>
                      <w:lang w:val="en-GB"/>
                    </w:rPr>
                    <m:t>j</m:t>
                  </m:r>
                </m:sub>
                <m:sup/>
                <m:e>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turb,j</m:t>
                      </m:r>
                    </m:sub>
                  </m:sSub>
                </m:e>
              </m:nary>
              <m:r>
                <w:rPr>
                  <w:rFonts w:ascii="Cambria Math" w:hAnsi="Cambria Math"/>
                  <w:lang w:val="en-GB"/>
                </w:rPr>
                <m:t>-</m:t>
              </m:r>
              <m:nary>
                <m:naryPr>
                  <m:chr m:val="∑"/>
                  <m:limLoc m:val="subSup"/>
                  <m:supHide m:val="1"/>
                  <m:ctrlPr>
                    <w:rPr>
                      <w:rFonts w:ascii="Cambria Math" w:hAnsi="Cambria Math"/>
                      <w:i/>
                      <w:lang w:val="en-GB"/>
                    </w:rPr>
                  </m:ctrlPr>
                </m:naryPr>
                <m:sub>
                  <m:r>
                    <w:rPr>
                      <w:rFonts w:ascii="Cambria Math" w:hAnsi="Cambria Math"/>
                      <w:lang w:val="en-GB"/>
                    </w:rPr>
                    <m:t>j</m:t>
                  </m:r>
                </m:sub>
                <m:sup/>
                <m:e>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 xml:space="preserve">comp,j </m:t>
                      </m:r>
                    </m:sub>
                  </m:sSub>
                </m:e>
              </m:nary>
            </m:oMath>
          </w:p>
          <w:p w14:paraId="2B8DF6C5" w14:textId="547F7EC0" w:rsidR="00A10714" w:rsidRPr="00A10714" w:rsidRDefault="008413A8" w:rsidP="00D22D28">
            <w:pPr>
              <w:pStyle w:val="Els-body-text"/>
            </w:pPr>
            <m:oMathPara>
              <m:oMathParaPr>
                <m:jc m:val="left"/>
              </m:oMathParaPr>
              <m:oMath>
                <m:sSub>
                  <m:sSubPr>
                    <m:ctrlPr>
                      <w:rPr>
                        <w:rFonts w:ascii="Cambria Math" w:hAnsi="Cambria Math"/>
                        <w:i/>
                      </w:rPr>
                    </m:ctrlPr>
                  </m:sSubPr>
                  <m:e>
                    <m:r>
                      <w:rPr>
                        <w:rFonts w:ascii="Cambria Math" w:hAnsi="Cambria Math"/>
                      </w:rPr>
                      <m:t xml:space="preserve">               T</m:t>
                    </m:r>
                  </m:e>
                  <m:sub>
                    <m:r>
                      <w:rPr>
                        <w:rFonts w:ascii="Cambria Math" w:hAnsi="Cambria Math"/>
                      </w:rPr>
                      <m:t>H,in,j</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C,out,j</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min</m:t>
                    </m:r>
                  </m:sub>
                </m:sSub>
              </m:oMath>
            </m:oMathPara>
          </w:p>
          <w:p w14:paraId="16EDAA09" w14:textId="05905470" w:rsidR="00A10714" w:rsidRPr="00A10714" w:rsidRDefault="008413A8" w:rsidP="00D22D28">
            <w:pPr>
              <w:pStyle w:val="Els-body-text"/>
              <w:rPr>
                <w:lang w:val="en-GB"/>
              </w:rPr>
            </w:pPr>
            <m:oMathPara>
              <m:oMathParaPr>
                <m:jc m:val="left"/>
              </m:oMathParaPr>
              <m:oMath>
                <m:sSub>
                  <m:sSubPr>
                    <m:ctrlPr>
                      <w:rPr>
                        <w:rFonts w:ascii="Cambria Math" w:hAnsi="Cambria Math"/>
                        <w:i/>
                      </w:rPr>
                    </m:ctrlPr>
                  </m:sSubPr>
                  <m:e>
                    <m:r>
                      <w:rPr>
                        <w:rFonts w:ascii="Cambria Math" w:hAnsi="Cambria Math"/>
                      </w:rPr>
                      <m:t xml:space="preserve">               T</m:t>
                    </m:r>
                  </m:e>
                  <m:sub>
                    <m:r>
                      <w:rPr>
                        <w:rFonts w:ascii="Cambria Math" w:hAnsi="Cambria Math"/>
                      </w:rPr>
                      <m:t>H,out,j</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C,in,j</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min</m:t>
                    </m:r>
                  </m:sub>
                </m:sSub>
              </m:oMath>
            </m:oMathPara>
          </w:p>
          <w:p w14:paraId="64DE47F4" w14:textId="77777777" w:rsidR="00217262" w:rsidRPr="00F56EC0" w:rsidRDefault="00217262" w:rsidP="00D22D28">
            <w:pPr>
              <w:pStyle w:val="Els-body-text"/>
              <w:spacing w:after="240"/>
            </w:pPr>
            <w:r>
              <w:t xml:space="preserve">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min</m:t>
                  </m:r>
                </m:sub>
              </m:sSub>
              <m:r>
                <m:rPr>
                  <m:sty m:val="p"/>
                </m:rPr>
                <w:rPr>
                  <w:rFonts w:ascii="Cambria Math" w:hAnsi="Cambria Math"/>
                </w:rPr>
                <m:t>≤x≤</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max</m:t>
                  </m:r>
                </m:sub>
              </m:sSub>
            </m:oMath>
          </w:p>
        </w:tc>
        <w:tc>
          <w:tcPr>
            <w:tcW w:w="985" w:type="dxa"/>
            <w:shd w:val="clear" w:color="auto" w:fill="auto"/>
            <w:vAlign w:val="center"/>
          </w:tcPr>
          <w:p w14:paraId="3E7B3B79" w14:textId="30976F3A" w:rsidR="00217262" w:rsidRPr="00A94774" w:rsidRDefault="00217262" w:rsidP="00D22D28">
            <w:pPr>
              <w:pStyle w:val="Els-body-text"/>
              <w:spacing w:before="120" w:after="120" w:line="264" w:lineRule="auto"/>
              <w:jc w:val="right"/>
              <w:rPr>
                <w:lang w:val="en-GB"/>
              </w:rPr>
            </w:pPr>
            <w:r w:rsidRPr="00A94774">
              <w:rPr>
                <w:lang w:val="en-GB"/>
              </w:rPr>
              <w:t>(</w:t>
            </w:r>
            <w:r>
              <w:rPr>
                <w:lang w:val="en-GB"/>
              </w:rPr>
              <w:t>3</w:t>
            </w:r>
            <w:r w:rsidRPr="00A94774">
              <w:rPr>
                <w:lang w:val="en-GB"/>
              </w:rPr>
              <w:t>)</w:t>
            </w:r>
          </w:p>
        </w:tc>
      </w:tr>
    </w:tbl>
    <w:p w14:paraId="761E9885" w14:textId="0898C593" w:rsidR="00C51576" w:rsidRDefault="00A10714" w:rsidP="00C51576">
      <w:pPr>
        <w:pStyle w:val="Els-body-text"/>
      </w:pPr>
      <w:r>
        <w:t xml:space="preserve">Both these </w:t>
      </w:r>
      <w:r w:rsidR="00711346">
        <w:t>NLP problem</w:t>
      </w:r>
      <w:r>
        <w:t>s</w:t>
      </w:r>
      <w:r w:rsidR="00711346">
        <w:t xml:space="preserve"> </w:t>
      </w:r>
      <w:r>
        <w:t>are</w:t>
      </w:r>
      <w:r w:rsidR="00711346">
        <w:t xml:space="preserve"> formul</w:t>
      </w:r>
      <w:r w:rsidR="0066355D">
        <w:t>ated on GAMS platform and solved</w:t>
      </w:r>
      <w:r w:rsidR="00711346">
        <w:t xml:space="preserve"> using Baron</w:t>
      </w:r>
      <w:r w:rsidR="0066355D">
        <w:t>.</w:t>
      </w:r>
    </w:p>
    <w:p w14:paraId="1BD2398D" w14:textId="3C84DE42" w:rsidR="00E13E7E" w:rsidRDefault="00E13E7E" w:rsidP="00E13E7E">
      <w:pPr>
        <w:pStyle w:val="Els-1storder-head"/>
      </w:pPr>
      <w:r>
        <w:t>Results and discussion</w:t>
      </w:r>
    </w:p>
    <w:p w14:paraId="63108160" w14:textId="3706300A" w:rsidR="002653DE" w:rsidRDefault="00041AFB" w:rsidP="00970532">
      <w:pPr>
        <w:pStyle w:val="Els-body-text"/>
        <w:keepNext/>
      </w:pPr>
      <w:r>
        <w:t>In order to compare with the existing design</w:t>
      </w:r>
      <w:r w:rsidR="00FA0D4C">
        <w:t xml:space="preserve"> </w:t>
      </w:r>
      <w:r w:rsidR="00FA0D4C" w:rsidRPr="00FA0D4C">
        <w:t>(</w:t>
      </w:r>
      <w:proofErr w:type="spellStart"/>
      <w:r w:rsidR="00FA0D4C" w:rsidRPr="00FA0D4C">
        <w:t>Baldienelli</w:t>
      </w:r>
      <w:proofErr w:type="spellEnd"/>
      <w:r w:rsidR="00FA0D4C">
        <w:t xml:space="preserve"> </w:t>
      </w:r>
      <w:r w:rsidR="00FA0D4C" w:rsidRPr="00FA0D4C">
        <w:t>et al,</w:t>
      </w:r>
      <w:r w:rsidR="00FA0D4C">
        <w:t xml:space="preserve"> </w:t>
      </w:r>
      <w:r w:rsidR="00FA0D4C" w:rsidRPr="00FA0D4C">
        <w:t>2017)</w:t>
      </w:r>
      <w:r>
        <w:t xml:space="preserve">, biogas feed composition is taken as 55% </w:t>
      </w:r>
      <w:r w:rsidRPr="00041AFB">
        <w:t>CH</w:t>
      </w:r>
      <w:r w:rsidRPr="00041AFB">
        <w:rPr>
          <w:vertAlign w:val="subscript"/>
        </w:rPr>
        <w:t>4</w:t>
      </w:r>
      <w:r w:rsidRPr="00041AFB">
        <w:t xml:space="preserve">, </w:t>
      </w:r>
      <w:r>
        <w:t xml:space="preserve">35% </w:t>
      </w:r>
      <w:r w:rsidRPr="00041AFB">
        <w:t>CO</w:t>
      </w:r>
      <w:r w:rsidRPr="00041AFB">
        <w:rPr>
          <w:vertAlign w:val="subscript"/>
        </w:rPr>
        <w:t>2</w:t>
      </w:r>
      <w:r w:rsidRPr="00041AFB">
        <w:t xml:space="preserve"> </w:t>
      </w:r>
      <w:r>
        <w:t xml:space="preserve">and 10% </w:t>
      </w:r>
      <w:r w:rsidRPr="00041AFB">
        <w:t>N</w:t>
      </w:r>
      <w:r w:rsidRPr="00041AFB">
        <w:rPr>
          <w:vertAlign w:val="subscript"/>
        </w:rPr>
        <w:t>2</w:t>
      </w:r>
      <w:r>
        <w:t>. A power target of 1402 kW is considered</w:t>
      </w:r>
      <w:r w:rsidR="00FA0D4C">
        <w:t xml:space="preserve">. </w:t>
      </w:r>
      <w:r w:rsidR="00D23B02">
        <w:t xml:space="preserve">The solution of the feed minimization problem is given in Table 1. The optimal solution recommends sending only 37% of the upgraded biogas for internal reforming. </w:t>
      </w:r>
      <w:r w:rsidR="004E71CA">
        <w:t>The SOFC operates at ambient pressure</w:t>
      </w:r>
      <w:r w:rsidR="00740AB2">
        <w:t>,</w:t>
      </w:r>
      <w:r w:rsidR="004E71CA">
        <w:t xml:space="preserve"> highest possible temperature</w:t>
      </w:r>
      <w:r w:rsidR="00740AB2">
        <w:t xml:space="preserve"> and maximum allowed fuel utilization. Similarly, the reformer operates at the highest temperature and minimum SCR. </w:t>
      </w:r>
      <w:r w:rsidR="00931E83">
        <w:t xml:space="preserve">The cathode gas recycle option is not selected as the dilution effects outweigh the integration benefits. </w:t>
      </w:r>
      <w:r w:rsidR="00D23B02">
        <w:t>As there is no penalty on hot utility consumption, the entire flue gas is used power generation and thus the contribution of SOFC towards the target power is 56%.</w:t>
      </w:r>
      <w:r w:rsidR="004E71CA">
        <w:t xml:space="preserve"> </w:t>
      </w:r>
      <w:r w:rsidR="00740AB2">
        <w:t>However, high utility requirement of 6362 kW results in low net electrical efficiency of 17.8%.</w:t>
      </w:r>
      <w:r w:rsidR="00DD62A4">
        <w:t xml:space="preserve"> The corresponding HEN utilizes the heat available with the steam turbine condensate to meet some of the heating demands. </w:t>
      </w:r>
      <w:r w:rsidR="00BB65F0">
        <w:t xml:space="preserve">This increases the </w:t>
      </w:r>
      <w:r w:rsidR="0084634D">
        <w:t xml:space="preserve">efficiency to </w:t>
      </w:r>
      <w:r w:rsidR="00F10311">
        <w:t>24.4</w:t>
      </w:r>
      <w:r w:rsidR="0084634D">
        <w:t xml:space="preserve">%. </w:t>
      </w:r>
      <w:r w:rsidR="00DD62A4">
        <w:t>In order to determine the energy integration potential of the flue gas, the feed minimization problem was solved without including the steam turbine. The corresponding solution is also presented in Table 1. For this case, the entire heating demands are met by the flue gas and the corresp</w:t>
      </w:r>
      <w:r w:rsidR="009D3681">
        <w:t>onding net electrical efficienc</w:t>
      </w:r>
      <w:r w:rsidR="00AD74DB">
        <w:t xml:space="preserve">y </w:t>
      </w:r>
      <w:r w:rsidR="00970532">
        <w:rPr>
          <w:noProof/>
        </w:rPr>
        <w:lastRenderedPageBreak/>
        <mc:AlternateContent>
          <mc:Choice Requires="wps">
            <w:drawing>
              <wp:anchor distT="0" distB="0" distL="114300" distR="114300" simplePos="0" relativeHeight="251671552" behindDoc="0" locked="0" layoutInCell="1" allowOverlap="1" wp14:anchorId="6B1145C1" wp14:editId="036DC102">
                <wp:simplePos x="0" y="0"/>
                <wp:positionH relativeFrom="margin">
                  <wp:align>left</wp:align>
                </wp:positionH>
                <wp:positionV relativeFrom="paragraph">
                  <wp:posOffset>2323907</wp:posOffset>
                </wp:positionV>
                <wp:extent cx="4572000"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487B3A98" w14:textId="44BA2362" w:rsidR="00970532" w:rsidRPr="00FE605D" w:rsidRDefault="00970532" w:rsidP="00970532">
                            <w:pPr>
                              <w:pStyle w:val="Didascalia"/>
                              <w:rPr>
                                <w:sz w:val="20"/>
                              </w:rPr>
                            </w:pPr>
                            <w:r>
                              <w:t xml:space="preserve">Figure </w:t>
                            </w:r>
                            <w:r>
                              <w:fldChar w:fldCharType="begin"/>
                            </w:r>
                            <w:r>
                              <w:instrText xml:space="preserve"> SEQ Figure \* ARABIC </w:instrText>
                            </w:r>
                            <w:r>
                              <w:fldChar w:fldCharType="separate"/>
                            </w:r>
                            <w:r>
                              <w:rPr>
                                <w:noProof/>
                              </w:rPr>
                              <w:t>2</w:t>
                            </w:r>
                            <w:r>
                              <w:fldChar w:fldCharType="end"/>
                            </w:r>
                            <w:r>
                              <w:t xml:space="preserve">: </w:t>
                            </w:r>
                            <w:r w:rsidRPr="00AF35B3">
                              <w:t>Optimal integrated flowsheet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B1145C1" id="Text Box 4" o:spid="_x0000_s1027" type="#_x0000_t202" style="position:absolute;left:0;text-align:left;margin-left:0;margin-top:183pt;width:5in;height:.05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" stroked="f">
                <v:textbox style="mso-fit-shape-to-text:t" inset="0,0,0,0">
                  <w:txbxContent>
                    <w:p w14:paraId="487B3A98" w14:textId="44BA2362" w:rsidR="00970532" w:rsidRPr="00FE605D" w:rsidRDefault="00970532" w:rsidP="00970532">
                      <w:pPr>
                        <w:pStyle w:val="Caption"/>
                        <w:rPr>
                          <w:sz w:val="20"/>
                        </w:rPr>
                      </w:pPr>
                      <w:r>
                        <w:t xml:space="preserve">Figure </w:t>
                      </w:r>
                      <w:r>
                        <w:fldChar w:fldCharType="begin"/>
                      </w:r>
                      <w:r>
                        <w:instrText xml:space="preserve"> SEQ Figure \* ARABIC </w:instrText>
                      </w:r>
                      <w:r>
                        <w:fldChar w:fldCharType="separate"/>
                      </w:r>
                      <w:r>
                        <w:rPr>
                          <w:noProof/>
                        </w:rPr>
                        <w:t>2</w:t>
                      </w:r>
                      <w:r>
                        <w:fldChar w:fldCharType="end"/>
                      </w:r>
                      <w:r>
                        <w:t xml:space="preserve">: </w:t>
                      </w:r>
                      <w:r w:rsidRPr="00AF35B3">
                        <w:t>Optimal integrated flowsheet</w:t>
                      </w:r>
                    </w:p>
                  </w:txbxContent>
                </v:textbox>
                <w10:wrap type="square" anchorx="margin"/>
              </v:shape>
            </w:pict>
          </mc:Fallback>
        </mc:AlternateContent>
      </w:r>
      <w:r w:rsidR="00A75101">
        <w:rPr>
          <w:noProof/>
          <w:lang w:val="en-IN" w:eastAsia="en-IN"/>
        </w:rPr>
        <w:drawing>
          <wp:anchor distT="0" distB="0" distL="114300" distR="114300" simplePos="0" relativeHeight="251669504" behindDoc="0" locked="0" layoutInCell="1" allowOverlap="1" wp14:anchorId="4A2BD5DD" wp14:editId="45F3EB01">
            <wp:simplePos x="1526540" y="1947545"/>
            <wp:positionH relativeFrom="margin">
              <wp:align>left</wp:align>
            </wp:positionH>
            <wp:positionV relativeFrom="margin">
              <wp:align>top</wp:align>
            </wp:positionV>
            <wp:extent cx="4572000" cy="23088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dates_escape_paper_fig_ne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0" cy="2308860"/>
                    </a:xfrm>
                    <a:prstGeom prst="rect">
                      <a:avLst/>
                    </a:prstGeom>
                  </pic:spPr>
                </pic:pic>
              </a:graphicData>
            </a:graphic>
          </wp:anchor>
        </w:drawing>
      </w:r>
      <w:r w:rsidR="00970532">
        <w:t xml:space="preserve">increases to 41.8%. However, the feed requirement increases by 115%. This suggests that there is an optimal split for the flue gas to achieve a balance between power </w:t>
      </w:r>
      <w:proofErr w:type="spellStart"/>
      <w:r w:rsidR="00970532">
        <w:t>production.</w:t>
      </w:r>
      <w:r w:rsidR="0092268D">
        <w:t>and</w:t>
      </w:r>
      <w:proofErr w:type="spellEnd"/>
      <w:r w:rsidR="0092268D">
        <w:t xml:space="preserve"> meeting heat demands. This is essentially exploited by the operating cost minimization problem. The HENs obtained for the first two solutions are merged with to obtained the final energy integration scheme.</w:t>
      </w:r>
      <w:r w:rsidR="00DD62A4">
        <w:t xml:space="preserve"> </w:t>
      </w:r>
    </w:p>
    <w:p w14:paraId="455E8B78" w14:textId="233F4175" w:rsidR="009B1020" w:rsidRPr="00946108" w:rsidRDefault="009B1020" w:rsidP="009B1020">
      <w:pPr>
        <w:pStyle w:val="Didascalia"/>
        <w:keepNext/>
        <w:rPr>
          <w:sz w:val="20"/>
        </w:rPr>
      </w:pPr>
      <w:r w:rsidRPr="00946108">
        <w:rPr>
          <w:sz w:val="20"/>
        </w:rPr>
        <w:t xml:space="preserve">Table </w:t>
      </w:r>
      <w:r w:rsidRPr="00946108">
        <w:rPr>
          <w:sz w:val="20"/>
        </w:rPr>
        <w:fldChar w:fldCharType="begin"/>
      </w:r>
      <w:r w:rsidRPr="00946108">
        <w:rPr>
          <w:sz w:val="20"/>
        </w:rPr>
        <w:instrText xml:space="preserve"> SEQ Table \* ARABIC </w:instrText>
      </w:r>
      <w:r w:rsidRPr="00946108">
        <w:rPr>
          <w:sz w:val="20"/>
        </w:rPr>
        <w:fldChar w:fldCharType="separate"/>
      </w:r>
      <w:r w:rsidRPr="00946108">
        <w:rPr>
          <w:noProof/>
          <w:sz w:val="20"/>
        </w:rPr>
        <w:t>1</w:t>
      </w:r>
      <w:r w:rsidRPr="00946108">
        <w:rPr>
          <w:sz w:val="20"/>
        </w:rPr>
        <w:fldChar w:fldCharType="end"/>
      </w:r>
      <w:r w:rsidRPr="00946108">
        <w:rPr>
          <w:sz w:val="20"/>
        </w:rPr>
        <w:t>: Details of optimal solutions</w:t>
      </w:r>
    </w:p>
    <w:tbl>
      <w:tblPr>
        <w:tblStyle w:val="Grigliatabella"/>
        <w:tblW w:w="708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559"/>
        <w:gridCol w:w="1985"/>
        <w:gridCol w:w="1559"/>
      </w:tblGrid>
      <w:tr w:rsidR="00946108" w:rsidRPr="00F95BD4" w14:paraId="402B11DD" w14:textId="77777777" w:rsidTr="00946108">
        <w:tc>
          <w:tcPr>
            <w:tcW w:w="1980" w:type="dxa"/>
            <w:tcBorders>
              <w:bottom w:val="single" w:sz="4" w:space="0" w:color="auto"/>
            </w:tcBorders>
            <w:vAlign w:val="center"/>
          </w:tcPr>
          <w:p w14:paraId="5719612B" w14:textId="77777777" w:rsidR="00946108" w:rsidRPr="00F95BD4" w:rsidRDefault="00946108" w:rsidP="003B0BC5">
            <w:pPr>
              <w:pStyle w:val="Els-body-text"/>
              <w:jc w:val="center"/>
              <w:rPr>
                <w:b/>
                <w:lang w:val="en-GB"/>
              </w:rPr>
            </w:pPr>
            <w:r w:rsidRPr="00F95BD4">
              <w:rPr>
                <w:b/>
                <w:lang w:val="en-GB"/>
              </w:rPr>
              <w:t>Variable</w:t>
            </w:r>
          </w:p>
        </w:tc>
        <w:tc>
          <w:tcPr>
            <w:tcW w:w="1559" w:type="dxa"/>
            <w:tcBorders>
              <w:bottom w:val="single" w:sz="4" w:space="0" w:color="auto"/>
            </w:tcBorders>
            <w:vAlign w:val="center"/>
          </w:tcPr>
          <w:p w14:paraId="03B1A204" w14:textId="1EFD9FD5" w:rsidR="00946108" w:rsidRPr="00F95BD4" w:rsidRDefault="00946108" w:rsidP="003B0BC5">
            <w:pPr>
              <w:pStyle w:val="Els-body-text"/>
              <w:jc w:val="center"/>
              <w:rPr>
                <w:b/>
                <w:lang w:val="en-GB"/>
              </w:rPr>
            </w:pPr>
            <w:r>
              <w:rPr>
                <w:b/>
                <w:lang w:val="en-GB"/>
              </w:rPr>
              <w:t>Feed minimization</w:t>
            </w:r>
          </w:p>
        </w:tc>
        <w:tc>
          <w:tcPr>
            <w:tcW w:w="1985" w:type="dxa"/>
            <w:tcBorders>
              <w:bottom w:val="single" w:sz="4" w:space="0" w:color="auto"/>
            </w:tcBorders>
            <w:vAlign w:val="center"/>
          </w:tcPr>
          <w:p w14:paraId="50A11C70" w14:textId="6753DB16" w:rsidR="00946108" w:rsidRPr="00F95BD4" w:rsidRDefault="00946108" w:rsidP="003B0BC5">
            <w:pPr>
              <w:pStyle w:val="Els-body-text"/>
              <w:jc w:val="center"/>
              <w:rPr>
                <w:b/>
                <w:lang w:val="en-GB"/>
              </w:rPr>
            </w:pPr>
            <w:r>
              <w:rPr>
                <w:b/>
                <w:lang w:val="en-GB"/>
              </w:rPr>
              <w:t>Feed minimization without S</w:t>
            </w:r>
            <w:r w:rsidRPr="00F95BD4">
              <w:rPr>
                <w:b/>
                <w:lang w:val="en-GB"/>
              </w:rPr>
              <w:t>team turbine</w:t>
            </w:r>
          </w:p>
        </w:tc>
        <w:tc>
          <w:tcPr>
            <w:tcW w:w="1559" w:type="dxa"/>
            <w:tcBorders>
              <w:bottom w:val="single" w:sz="4" w:space="0" w:color="auto"/>
            </w:tcBorders>
            <w:vAlign w:val="center"/>
          </w:tcPr>
          <w:p w14:paraId="4FCCDC3D" w14:textId="75D83AC3" w:rsidR="00946108" w:rsidRPr="00F95BD4" w:rsidRDefault="00946108" w:rsidP="003B0BC5">
            <w:pPr>
              <w:pStyle w:val="Els-body-text"/>
              <w:jc w:val="center"/>
              <w:rPr>
                <w:b/>
                <w:lang w:val="en-GB"/>
              </w:rPr>
            </w:pPr>
            <w:r>
              <w:rPr>
                <w:b/>
                <w:lang w:val="en-GB"/>
              </w:rPr>
              <w:t>Operating c</w:t>
            </w:r>
            <w:r w:rsidRPr="00F95BD4">
              <w:rPr>
                <w:b/>
                <w:lang w:val="en-GB"/>
              </w:rPr>
              <w:t>ost minimization</w:t>
            </w:r>
          </w:p>
        </w:tc>
      </w:tr>
      <w:tr w:rsidR="00946108" w:rsidRPr="00F95BD4" w14:paraId="72928BC8" w14:textId="77777777" w:rsidTr="00946108">
        <w:tc>
          <w:tcPr>
            <w:tcW w:w="1980" w:type="dxa"/>
            <w:tcBorders>
              <w:top w:val="single" w:sz="4" w:space="0" w:color="auto"/>
            </w:tcBorders>
            <w:vAlign w:val="center"/>
          </w:tcPr>
          <w:p w14:paraId="4F591158" w14:textId="7C1B597D" w:rsidR="00946108" w:rsidRPr="00F95BD4" w:rsidRDefault="00946108" w:rsidP="003B0BC5">
            <w:pPr>
              <w:pStyle w:val="Els-body-text"/>
              <w:jc w:val="center"/>
              <w:rPr>
                <w:lang w:val="en-GB"/>
              </w:rPr>
            </w:pPr>
            <w:r>
              <w:rPr>
                <w:lang w:val="en-GB"/>
              </w:rPr>
              <w:t>Operating cost ($/y)</w:t>
            </w:r>
          </w:p>
        </w:tc>
        <w:tc>
          <w:tcPr>
            <w:tcW w:w="1559" w:type="dxa"/>
            <w:tcBorders>
              <w:top w:val="single" w:sz="4" w:space="0" w:color="auto"/>
            </w:tcBorders>
            <w:vAlign w:val="center"/>
          </w:tcPr>
          <w:p w14:paraId="26FB3BE8" w14:textId="5F13BBD9" w:rsidR="00946108" w:rsidRPr="00F95BD4" w:rsidRDefault="00946108" w:rsidP="003B0BC5">
            <w:pPr>
              <w:pStyle w:val="Els-body-text"/>
              <w:jc w:val="center"/>
              <w:rPr>
                <w:lang w:val="en-GB"/>
              </w:rPr>
            </w:pPr>
            <w:r>
              <w:rPr>
                <w:lang w:val="en-GB"/>
              </w:rPr>
              <w:t>6,713,449</w:t>
            </w:r>
          </w:p>
        </w:tc>
        <w:tc>
          <w:tcPr>
            <w:tcW w:w="1985" w:type="dxa"/>
            <w:tcBorders>
              <w:top w:val="single" w:sz="4" w:space="0" w:color="auto"/>
            </w:tcBorders>
            <w:vAlign w:val="center"/>
          </w:tcPr>
          <w:p w14:paraId="0F35EC15" w14:textId="72FD32D6" w:rsidR="00946108" w:rsidRPr="00F95BD4" w:rsidRDefault="00946108" w:rsidP="003B0BC5">
            <w:pPr>
              <w:pStyle w:val="Els-body-text"/>
              <w:jc w:val="center"/>
              <w:rPr>
                <w:lang w:val="en-GB"/>
              </w:rPr>
            </w:pPr>
            <w:r>
              <w:rPr>
                <w:lang w:val="en-GB"/>
              </w:rPr>
              <w:t>3,904,547</w:t>
            </w:r>
          </w:p>
        </w:tc>
        <w:tc>
          <w:tcPr>
            <w:tcW w:w="1559" w:type="dxa"/>
            <w:tcBorders>
              <w:top w:val="single" w:sz="4" w:space="0" w:color="auto"/>
            </w:tcBorders>
            <w:vAlign w:val="center"/>
          </w:tcPr>
          <w:p w14:paraId="22AE88F8" w14:textId="2C430D53" w:rsidR="00946108" w:rsidRPr="00F95BD4" w:rsidRDefault="00946108" w:rsidP="003B0BC5">
            <w:pPr>
              <w:pStyle w:val="Els-body-text"/>
              <w:jc w:val="center"/>
              <w:rPr>
                <w:lang w:val="en-GB"/>
              </w:rPr>
            </w:pPr>
            <w:r>
              <w:rPr>
                <w:lang w:val="en-GB"/>
              </w:rPr>
              <w:t>2,983,511</w:t>
            </w:r>
          </w:p>
        </w:tc>
      </w:tr>
      <w:tr w:rsidR="00946108" w:rsidRPr="00F95BD4" w14:paraId="4CCCE619" w14:textId="77777777" w:rsidTr="00946108">
        <w:tc>
          <w:tcPr>
            <w:tcW w:w="1980" w:type="dxa"/>
            <w:vAlign w:val="center"/>
          </w:tcPr>
          <w:p w14:paraId="7B097C47" w14:textId="2953DA23" w:rsidR="00946108" w:rsidRPr="00F95BD4" w:rsidRDefault="008413A8" w:rsidP="003B0BC5">
            <w:pPr>
              <w:pStyle w:val="Els-body-text"/>
              <w:jc w:val="center"/>
              <w:rPr>
                <w:lang w:val="en-GB"/>
              </w:rPr>
            </w:pPr>
            <m:oMathPara>
              <m:oMath>
                <m:sSub>
                  <m:sSubPr>
                    <m:ctrlPr>
                      <w:rPr>
                        <w:rFonts w:ascii="Cambria Math" w:hAnsi="Cambria Math"/>
                        <w:i/>
                        <w:color w:val="282828"/>
                        <w:shd w:val="clear" w:color="auto" w:fill="FFFFFF"/>
                        <w:vertAlign w:val="subscript"/>
                      </w:rPr>
                    </m:ctrlPr>
                  </m:sSubPr>
                  <m:e>
                    <m:r>
                      <w:rPr>
                        <w:rFonts w:ascii="Cambria Math" w:hAnsi="Cambria Math"/>
                        <w:color w:val="282828"/>
                        <w:shd w:val="clear" w:color="auto" w:fill="FFFFFF"/>
                      </w:rPr>
                      <m:t>η</m:t>
                    </m:r>
                    <m:ctrlPr>
                      <w:rPr>
                        <w:rFonts w:ascii="Cambria Math" w:hAnsi="Cambria Math"/>
                        <w:i/>
                        <w:color w:val="282828"/>
                        <w:shd w:val="clear" w:color="auto" w:fill="FFFFFF"/>
                      </w:rPr>
                    </m:ctrlPr>
                  </m:e>
                  <m:sub>
                    <m:r>
                      <w:rPr>
                        <w:rFonts w:ascii="Cambria Math" w:hAnsi="Cambria Math"/>
                        <w:color w:val="282828"/>
                        <w:shd w:val="clear" w:color="auto" w:fill="FFFFFF"/>
                        <w:vertAlign w:val="subscript"/>
                      </w:rPr>
                      <m:t>net-elec</m:t>
                    </m:r>
                  </m:sub>
                </m:sSub>
                <m:r>
                  <w:rPr>
                    <w:rFonts w:ascii="Cambria Math" w:hAnsi="Cambria Math"/>
                    <w:color w:val="282828"/>
                    <w:shd w:val="clear" w:color="auto" w:fill="FFFFFF"/>
                    <w:vertAlign w:val="subscript"/>
                  </w:rPr>
                  <m:t>(%)</m:t>
                </m:r>
              </m:oMath>
            </m:oMathPara>
          </w:p>
        </w:tc>
        <w:tc>
          <w:tcPr>
            <w:tcW w:w="1559" w:type="dxa"/>
            <w:vAlign w:val="center"/>
          </w:tcPr>
          <w:p w14:paraId="35F19D1D" w14:textId="77777777" w:rsidR="00946108" w:rsidRPr="00F95BD4" w:rsidRDefault="00946108" w:rsidP="003B0BC5">
            <w:pPr>
              <w:pStyle w:val="Els-body-text"/>
              <w:jc w:val="center"/>
              <w:rPr>
                <w:lang w:val="en-GB"/>
              </w:rPr>
            </w:pPr>
            <w:r w:rsidRPr="00F95BD4">
              <w:rPr>
                <w:lang w:val="en-GB"/>
              </w:rPr>
              <w:t>17.8</w:t>
            </w:r>
          </w:p>
        </w:tc>
        <w:tc>
          <w:tcPr>
            <w:tcW w:w="1985" w:type="dxa"/>
            <w:vAlign w:val="center"/>
          </w:tcPr>
          <w:p w14:paraId="11253BFA" w14:textId="77777777" w:rsidR="00946108" w:rsidRPr="00F95BD4" w:rsidRDefault="00946108" w:rsidP="003B0BC5">
            <w:pPr>
              <w:pStyle w:val="Els-body-text"/>
              <w:jc w:val="center"/>
              <w:rPr>
                <w:lang w:val="en-GB"/>
              </w:rPr>
            </w:pPr>
            <w:r w:rsidRPr="00F95BD4">
              <w:rPr>
                <w:lang w:val="en-GB"/>
              </w:rPr>
              <w:t>41.8</w:t>
            </w:r>
          </w:p>
        </w:tc>
        <w:tc>
          <w:tcPr>
            <w:tcW w:w="1559" w:type="dxa"/>
            <w:vAlign w:val="center"/>
          </w:tcPr>
          <w:p w14:paraId="5C7AA283" w14:textId="77777777" w:rsidR="00946108" w:rsidRPr="00F95BD4" w:rsidRDefault="00946108" w:rsidP="003B0BC5">
            <w:pPr>
              <w:pStyle w:val="Els-body-text"/>
              <w:jc w:val="center"/>
              <w:rPr>
                <w:lang w:val="en-GB"/>
              </w:rPr>
            </w:pPr>
            <w:r w:rsidRPr="00F95BD4">
              <w:rPr>
                <w:lang w:val="en-GB"/>
              </w:rPr>
              <w:t>54.67</w:t>
            </w:r>
          </w:p>
        </w:tc>
      </w:tr>
      <w:tr w:rsidR="00946108" w:rsidRPr="00F95BD4" w14:paraId="432456C2" w14:textId="77777777" w:rsidTr="00946108">
        <w:tc>
          <w:tcPr>
            <w:tcW w:w="1980" w:type="dxa"/>
            <w:vAlign w:val="center"/>
          </w:tcPr>
          <w:p w14:paraId="6BA42306" w14:textId="74AEA2B9" w:rsidR="00946108" w:rsidRPr="00F95BD4" w:rsidRDefault="008413A8" w:rsidP="003B0BC5">
            <w:pPr>
              <w:pStyle w:val="Els-body-text"/>
              <w:jc w:val="center"/>
              <w:rPr>
                <w:lang w:val="en-GB"/>
              </w:rPr>
            </w:pPr>
            <m:oMath>
              <m:sSub>
                <m:sSubPr>
                  <m:ctrlPr>
                    <w:rPr>
                      <w:rFonts w:ascii="Cambria Math" w:hAnsi="Cambria Math"/>
                      <w:i/>
                      <w:lang w:val="en-GB"/>
                    </w:rPr>
                  </m:ctrlPr>
                </m:sSubPr>
                <m:e>
                  <m:r>
                    <w:rPr>
                      <w:rFonts w:ascii="Cambria Math" w:hAnsi="Cambria Math"/>
                      <w:lang w:val="en-GB"/>
                    </w:rPr>
                    <m:t>P</m:t>
                  </m:r>
                </m:e>
                <m:sub>
                  <m:r>
                    <w:rPr>
                      <w:rFonts w:ascii="Cambria Math" w:hAnsi="Cambria Math"/>
                      <w:vertAlign w:val="subscript"/>
                      <w:lang w:val="en-GB"/>
                    </w:rPr>
                    <m:t>SOFC</m:t>
                  </m:r>
                </m:sub>
              </m:sSub>
            </m:oMath>
            <w:r w:rsidR="00946108">
              <w:rPr>
                <w:lang w:val="en-GB"/>
              </w:rPr>
              <w:t>(kW)</w:t>
            </w:r>
          </w:p>
        </w:tc>
        <w:tc>
          <w:tcPr>
            <w:tcW w:w="1559" w:type="dxa"/>
            <w:vAlign w:val="center"/>
          </w:tcPr>
          <w:p w14:paraId="12E08422" w14:textId="6CC198B7" w:rsidR="00946108" w:rsidRPr="00F95BD4" w:rsidRDefault="00946108" w:rsidP="003B0BC5">
            <w:pPr>
              <w:pStyle w:val="Els-body-text"/>
              <w:jc w:val="center"/>
              <w:rPr>
                <w:lang w:val="en-GB"/>
              </w:rPr>
            </w:pPr>
            <w:r w:rsidRPr="00F95BD4">
              <w:rPr>
                <w:lang w:val="en-GB"/>
              </w:rPr>
              <w:t>782.3</w:t>
            </w:r>
          </w:p>
        </w:tc>
        <w:tc>
          <w:tcPr>
            <w:tcW w:w="1985" w:type="dxa"/>
            <w:vAlign w:val="center"/>
          </w:tcPr>
          <w:p w14:paraId="4A39D601" w14:textId="2F05E2B4" w:rsidR="00946108" w:rsidRPr="00F95BD4" w:rsidRDefault="00946108" w:rsidP="003B0BC5">
            <w:pPr>
              <w:pStyle w:val="Els-body-text"/>
              <w:jc w:val="center"/>
              <w:rPr>
                <w:lang w:val="en-GB"/>
              </w:rPr>
            </w:pPr>
            <w:r w:rsidRPr="00F95BD4">
              <w:rPr>
                <w:lang w:val="en-GB"/>
              </w:rPr>
              <w:t>1677.3</w:t>
            </w:r>
          </w:p>
        </w:tc>
        <w:tc>
          <w:tcPr>
            <w:tcW w:w="1559" w:type="dxa"/>
            <w:vAlign w:val="center"/>
          </w:tcPr>
          <w:p w14:paraId="27D3D369" w14:textId="417D7772" w:rsidR="00946108" w:rsidRPr="00F95BD4" w:rsidRDefault="00946108" w:rsidP="003B0BC5">
            <w:pPr>
              <w:pStyle w:val="Els-body-text"/>
              <w:jc w:val="center"/>
              <w:rPr>
                <w:lang w:val="en-GB"/>
              </w:rPr>
            </w:pPr>
            <w:r w:rsidRPr="00F95BD4">
              <w:rPr>
                <w:lang w:val="en-GB"/>
              </w:rPr>
              <w:t>1276.4</w:t>
            </w:r>
          </w:p>
        </w:tc>
      </w:tr>
      <w:tr w:rsidR="00946108" w:rsidRPr="00F95BD4" w14:paraId="7D774BFC" w14:textId="77777777" w:rsidTr="00946108">
        <w:tc>
          <w:tcPr>
            <w:tcW w:w="1980" w:type="dxa"/>
            <w:vAlign w:val="center"/>
          </w:tcPr>
          <w:p w14:paraId="64213BFF" w14:textId="256DB4A5" w:rsidR="00946108" w:rsidRPr="00F95BD4" w:rsidRDefault="008413A8" w:rsidP="003B0BC5">
            <w:pPr>
              <w:pStyle w:val="Els-body-text"/>
              <w:jc w:val="center"/>
              <w:rPr>
                <w:lang w:val="en-GB"/>
              </w:rPr>
            </w:pPr>
            <m:oMath>
              <m:sSub>
                <m:sSubPr>
                  <m:ctrlPr>
                    <w:rPr>
                      <w:rFonts w:ascii="Cambria Math" w:hAnsi="Cambria Math"/>
                      <w:i/>
                      <w:lang w:val="en-GB"/>
                    </w:rPr>
                  </m:ctrlPr>
                </m:sSubPr>
                <m:e>
                  <m:r>
                    <w:rPr>
                      <w:rFonts w:ascii="Cambria Math" w:hAnsi="Cambria Math"/>
                      <w:lang w:val="en-GB"/>
                    </w:rPr>
                    <m:t>W</m:t>
                  </m:r>
                </m:e>
                <m:sub>
                  <m:r>
                    <w:rPr>
                      <w:rFonts w:ascii="Cambria Math" w:hAnsi="Cambria Math"/>
                      <w:vertAlign w:val="subscript"/>
                      <w:lang w:val="en-GB"/>
                    </w:rPr>
                    <m:t>turb,stm</m:t>
                  </m:r>
                </m:sub>
              </m:sSub>
            </m:oMath>
            <w:r w:rsidR="00946108">
              <w:rPr>
                <w:lang w:val="en-GB"/>
              </w:rPr>
              <w:t xml:space="preserve"> (kW)</w:t>
            </w:r>
          </w:p>
        </w:tc>
        <w:tc>
          <w:tcPr>
            <w:tcW w:w="1559" w:type="dxa"/>
            <w:vAlign w:val="center"/>
          </w:tcPr>
          <w:p w14:paraId="6A079893" w14:textId="5C08476E" w:rsidR="00946108" w:rsidRPr="00F95BD4" w:rsidRDefault="00FD3741" w:rsidP="003B0BC5">
            <w:pPr>
              <w:pStyle w:val="Els-body-text"/>
              <w:jc w:val="center"/>
              <w:rPr>
                <w:lang w:val="en-GB"/>
              </w:rPr>
            </w:pPr>
            <w:r>
              <w:rPr>
                <w:lang w:val="en-GB"/>
              </w:rPr>
              <w:t>782.3</w:t>
            </w:r>
          </w:p>
        </w:tc>
        <w:tc>
          <w:tcPr>
            <w:tcW w:w="1985" w:type="dxa"/>
            <w:vAlign w:val="center"/>
          </w:tcPr>
          <w:p w14:paraId="407531AB" w14:textId="3E9B4013" w:rsidR="00946108" w:rsidRPr="00F95BD4" w:rsidRDefault="00946108" w:rsidP="003B0BC5">
            <w:pPr>
              <w:pStyle w:val="Els-body-text"/>
              <w:jc w:val="center"/>
              <w:rPr>
                <w:lang w:val="en-GB"/>
              </w:rPr>
            </w:pPr>
            <w:r>
              <w:rPr>
                <w:lang w:val="en-GB"/>
              </w:rPr>
              <w:t>0</w:t>
            </w:r>
          </w:p>
        </w:tc>
        <w:tc>
          <w:tcPr>
            <w:tcW w:w="1559" w:type="dxa"/>
            <w:vAlign w:val="center"/>
          </w:tcPr>
          <w:p w14:paraId="6AFF4708" w14:textId="64F5EB8C" w:rsidR="00946108" w:rsidRPr="00F95BD4" w:rsidRDefault="00946108" w:rsidP="003B0BC5">
            <w:pPr>
              <w:pStyle w:val="Els-body-text"/>
              <w:jc w:val="center"/>
              <w:rPr>
                <w:lang w:val="en-GB"/>
              </w:rPr>
            </w:pPr>
            <w:r w:rsidRPr="00F95BD4">
              <w:rPr>
                <w:lang w:val="en-GB"/>
              </w:rPr>
              <w:t>333.7</w:t>
            </w:r>
          </w:p>
        </w:tc>
      </w:tr>
      <w:tr w:rsidR="00946108" w:rsidRPr="00F95BD4" w14:paraId="32AF49D4" w14:textId="77777777" w:rsidTr="00946108">
        <w:tc>
          <w:tcPr>
            <w:tcW w:w="1980" w:type="dxa"/>
            <w:vAlign w:val="center"/>
          </w:tcPr>
          <w:p w14:paraId="64AAFE7A" w14:textId="374AD51B" w:rsidR="00946108" w:rsidRPr="00F95BD4" w:rsidRDefault="008413A8" w:rsidP="003B0BC5">
            <w:pPr>
              <w:pStyle w:val="Els-body-text"/>
              <w:jc w:val="center"/>
              <w:rPr>
                <w:lang w:val="en-GB"/>
              </w:rPr>
            </w:pPr>
            <m:oMath>
              <m:sSub>
                <m:sSubPr>
                  <m:ctrlPr>
                    <w:rPr>
                      <w:rFonts w:ascii="Cambria Math" w:hAnsi="Cambria Math"/>
                      <w:i/>
                      <w:lang w:val="en-GB"/>
                    </w:rPr>
                  </m:ctrlPr>
                </m:sSubPr>
                <m:e>
                  <m:r>
                    <w:rPr>
                      <w:rFonts w:ascii="Cambria Math" w:hAnsi="Cambria Math"/>
                      <w:lang w:val="en-GB"/>
                    </w:rPr>
                    <m:t>W</m:t>
                  </m:r>
                </m:e>
                <m:sub>
                  <m:r>
                    <w:rPr>
                      <w:rFonts w:ascii="Cambria Math" w:hAnsi="Cambria Math"/>
                      <w:vertAlign w:val="subscript"/>
                      <w:lang w:val="en-GB"/>
                    </w:rPr>
                    <m:t>turb,gas</m:t>
                  </m:r>
                </m:sub>
              </m:sSub>
            </m:oMath>
            <w:r w:rsidR="00946108">
              <w:rPr>
                <w:lang w:val="en-GB"/>
              </w:rPr>
              <w:t xml:space="preserve"> (kW)</w:t>
            </w:r>
          </w:p>
        </w:tc>
        <w:tc>
          <w:tcPr>
            <w:tcW w:w="1559" w:type="dxa"/>
            <w:vAlign w:val="center"/>
          </w:tcPr>
          <w:p w14:paraId="0EF178F2" w14:textId="5A93FDCF" w:rsidR="00946108" w:rsidRPr="00F95BD4" w:rsidRDefault="00946108" w:rsidP="003B0BC5">
            <w:pPr>
              <w:pStyle w:val="Els-body-text"/>
              <w:jc w:val="center"/>
              <w:rPr>
                <w:lang w:val="en-GB"/>
              </w:rPr>
            </w:pPr>
            <w:r w:rsidRPr="00F95BD4">
              <w:rPr>
                <w:lang w:val="en-GB"/>
              </w:rPr>
              <w:t>26.3</w:t>
            </w:r>
          </w:p>
        </w:tc>
        <w:tc>
          <w:tcPr>
            <w:tcW w:w="1985" w:type="dxa"/>
            <w:vAlign w:val="center"/>
          </w:tcPr>
          <w:p w14:paraId="60B9A199" w14:textId="77777777" w:rsidR="00946108" w:rsidRPr="00F95BD4" w:rsidRDefault="00946108" w:rsidP="003B0BC5">
            <w:pPr>
              <w:pStyle w:val="Els-body-text"/>
              <w:jc w:val="center"/>
              <w:rPr>
                <w:lang w:val="en-GB"/>
              </w:rPr>
            </w:pPr>
            <w:r w:rsidRPr="00F95BD4">
              <w:rPr>
                <w:lang w:val="en-GB"/>
              </w:rPr>
              <w:t>56.5</w:t>
            </w:r>
          </w:p>
        </w:tc>
        <w:tc>
          <w:tcPr>
            <w:tcW w:w="1559" w:type="dxa"/>
            <w:vAlign w:val="center"/>
          </w:tcPr>
          <w:p w14:paraId="4C794193" w14:textId="21E4A45B" w:rsidR="00946108" w:rsidRPr="00F95BD4" w:rsidRDefault="00946108" w:rsidP="003B0BC5">
            <w:pPr>
              <w:pStyle w:val="Els-body-text"/>
              <w:jc w:val="center"/>
              <w:rPr>
                <w:lang w:val="en-GB"/>
              </w:rPr>
            </w:pPr>
            <w:r w:rsidRPr="00F95BD4">
              <w:rPr>
                <w:lang w:val="en-GB"/>
              </w:rPr>
              <w:t>43.</w:t>
            </w:r>
            <w:r>
              <w:rPr>
                <w:lang w:val="en-GB"/>
              </w:rPr>
              <w:t>2</w:t>
            </w:r>
          </w:p>
        </w:tc>
      </w:tr>
      <w:tr w:rsidR="00946108" w:rsidRPr="00F95BD4" w14:paraId="17CBD009" w14:textId="77777777" w:rsidTr="00946108">
        <w:tc>
          <w:tcPr>
            <w:tcW w:w="1980" w:type="dxa"/>
            <w:vAlign w:val="center"/>
          </w:tcPr>
          <w:p w14:paraId="09B00A02" w14:textId="7EDDD290" w:rsidR="00946108" w:rsidRPr="00F95BD4" w:rsidRDefault="008413A8" w:rsidP="003B0BC5">
            <w:pPr>
              <w:pStyle w:val="Els-body-text"/>
              <w:jc w:val="center"/>
              <w:rPr>
                <w:lang w:val="en-GB"/>
              </w:rPr>
            </w:pPr>
            <m:oMath>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comp</m:t>
                  </m:r>
                </m:sub>
              </m:sSub>
            </m:oMath>
            <w:r w:rsidR="00946108">
              <w:rPr>
                <w:lang w:val="en-GB"/>
              </w:rPr>
              <w:t>(kW)</w:t>
            </w:r>
          </w:p>
        </w:tc>
        <w:tc>
          <w:tcPr>
            <w:tcW w:w="1559" w:type="dxa"/>
            <w:vAlign w:val="center"/>
          </w:tcPr>
          <w:p w14:paraId="417CA6D9" w14:textId="27ED537E" w:rsidR="00946108" w:rsidRPr="00F95BD4" w:rsidRDefault="00946108" w:rsidP="003B0BC5">
            <w:pPr>
              <w:pStyle w:val="Els-body-text"/>
              <w:jc w:val="center"/>
              <w:rPr>
                <w:lang w:val="en-GB"/>
              </w:rPr>
            </w:pPr>
            <w:r>
              <w:rPr>
                <w:lang w:val="en-GB"/>
              </w:rPr>
              <w:t>110.7</w:t>
            </w:r>
          </w:p>
        </w:tc>
        <w:tc>
          <w:tcPr>
            <w:tcW w:w="1985" w:type="dxa"/>
            <w:vAlign w:val="center"/>
          </w:tcPr>
          <w:p w14:paraId="6619AE8B" w14:textId="23224B39" w:rsidR="00946108" w:rsidRPr="00F95BD4" w:rsidRDefault="00946108" w:rsidP="003B0BC5">
            <w:pPr>
              <w:pStyle w:val="Els-body-text"/>
              <w:jc w:val="center"/>
              <w:rPr>
                <w:lang w:val="en-GB"/>
              </w:rPr>
            </w:pPr>
            <w:r>
              <w:rPr>
                <w:lang w:val="en-GB"/>
              </w:rPr>
              <w:t>164.3</w:t>
            </w:r>
          </w:p>
        </w:tc>
        <w:tc>
          <w:tcPr>
            <w:tcW w:w="1559" w:type="dxa"/>
            <w:vAlign w:val="center"/>
          </w:tcPr>
          <w:p w14:paraId="0249F0ED" w14:textId="7AA6680E" w:rsidR="00946108" w:rsidRPr="00F95BD4" w:rsidRDefault="00946108" w:rsidP="003B0BC5">
            <w:pPr>
              <w:pStyle w:val="Els-body-text"/>
              <w:jc w:val="center"/>
              <w:rPr>
                <w:lang w:val="en-GB"/>
              </w:rPr>
            </w:pPr>
            <w:r>
              <w:rPr>
                <w:lang w:val="en-GB"/>
              </w:rPr>
              <w:t>123.7</w:t>
            </w:r>
          </w:p>
        </w:tc>
      </w:tr>
      <w:tr w:rsidR="00946108" w:rsidRPr="00F95BD4" w14:paraId="3AC04218" w14:textId="77777777" w:rsidTr="00946108">
        <w:tc>
          <w:tcPr>
            <w:tcW w:w="1980" w:type="dxa"/>
            <w:vAlign w:val="center"/>
          </w:tcPr>
          <w:p w14:paraId="00F89A5A" w14:textId="66F1D276" w:rsidR="00946108" w:rsidRPr="00F95BD4" w:rsidRDefault="008413A8" w:rsidP="003B0BC5">
            <w:pPr>
              <w:pStyle w:val="Els-body-text"/>
              <w:jc w:val="center"/>
              <w:rPr>
                <w:lang w:val="en-GB"/>
              </w:rPr>
            </w:pP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feed</m:t>
                  </m:r>
                </m:sub>
              </m:sSub>
            </m:oMath>
            <w:r w:rsidR="00946108">
              <w:rPr>
                <w:lang w:val="en-GB"/>
              </w:rPr>
              <w:t xml:space="preserve"> (mol/s)</w:t>
            </w:r>
          </w:p>
        </w:tc>
        <w:tc>
          <w:tcPr>
            <w:tcW w:w="1559" w:type="dxa"/>
            <w:vAlign w:val="center"/>
          </w:tcPr>
          <w:p w14:paraId="5C462132" w14:textId="77777777" w:rsidR="00946108" w:rsidRPr="00F95BD4" w:rsidRDefault="00946108" w:rsidP="003B0BC5">
            <w:pPr>
              <w:pStyle w:val="Els-body-text"/>
              <w:jc w:val="center"/>
              <w:rPr>
                <w:lang w:val="en-GB"/>
              </w:rPr>
            </w:pPr>
            <w:r w:rsidRPr="00F95BD4">
              <w:rPr>
                <w:lang w:val="en-GB"/>
              </w:rPr>
              <w:t>3.542</w:t>
            </w:r>
          </w:p>
        </w:tc>
        <w:tc>
          <w:tcPr>
            <w:tcW w:w="1985" w:type="dxa"/>
            <w:vAlign w:val="center"/>
          </w:tcPr>
          <w:p w14:paraId="09746558" w14:textId="77777777" w:rsidR="00946108" w:rsidRPr="00F95BD4" w:rsidRDefault="00946108" w:rsidP="003B0BC5">
            <w:pPr>
              <w:pStyle w:val="Els-body-text"/>
              <w:jc w:val="center"/>
              <w:rPr>
                <w:lang w:val="en-GB"/>
              </w:rPr>
            </w:pPr>
            <w:r w:rsidRPr="00F95BD4">
              <w:rPr>
                <w:lang w:val="en-GB"/>
              </w:rPr>
              <w:t>7.608</w:t>
            </w:r>
          </w:p>
        </w:tc>
        <w:tc>
          <w:tcPr>
            <w:tcW w:w="1559" w:type="dxa"/>
            <w:vAlign w:val="center"/>
          </w:tcPr>
          <w:p w14:paraId="5160884E" w14:textId="77777777" w:rsidR="00946108" w:rsidRPr="00F95BD4" w:rsidRDefault="00946108" w:rsidP="003B0BC5">
            <w:pPr>
              <w:pStyle w:val="Els-body-text"/>
              <w:jc w:val="center"/>
              <w:rPr>
                <w:lang w:val="en-GB"/>
              </w:rPr>
            </w:pPr>
            <w:r w:rsidRPr="00F95BD4">
              <w:rPr>
                <w:lang w:val="en-GB"/>
              </w:rPr>
              <w:t>5.808</w:t>
            </w:r>
          </w:p>
        </w:tc>
      </w:tr>
      <w:tr w:rsidR="00946108" w:rsidRPr="00F95BD4" w14:paraId="66DFC82E" w14:textId="77777777" w:rsidTr="00946108">
        <w:tc>
          <w:tcPr>
            <w:tcW w:w="1980" w:type="dxa"/>
            <w:vAlign w:val="center"/>
          </w:tcPr>
          <w:p w14:paraId="7CB4710D" w14:textId="0CCAA1EF" w:rsidR="00946108" w:rsidRPr="00F95BD4" w:rsidRDefault="008413A8" w:rsidP="003B0BC5">
            <w:pPr>
              <w:pStyle w:val="Els-body-text"/>
              <w:jc w:val="center"/>
              <w:rPr>
                <w:lang w:val="en-GB"/>
              </w:rPr>
            </w:pP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air</m:t>
                  </m:r>
                </m:sub>
              </m:sSub>
            </m:oMath>
            <w:r w:rsidR="00946108">
              <w:rPr>
                <w:lang w:val="en-GB"/>
              </w:rPr>
              <w:t xml:space="preserve"> (mol/s)</w:t>
            </w:r>
          </w:p>
        </w:tc>
        <w:tc>
          <w:tcPr>
            <w:tcW w:w="1559" w:type="dxa"/>
            <w:vAlign w:val="center"/>
          </w:tcPr>
          <w:p w14:paraId="3161F3DD" w14:textId="39201A1A" w:rsidR="00946108" w:rsidRPr="00F95BD4" w:rsidRDefault="00946108" w:rsidP="003B0BC5">
            <w:pPr>
              <w:pStyle w:val="Els-body-text"/>
              <w:jc w:val="center"/>
              <w:rPr>
                <w:lang w:val="en-GB"/>
              </w:rPr>
            </w:pPr>
            <w:r w:rsidRPr="00F95BD4">
              <w:rPr>
                <w:lang w:val="en-GB"/>
              </w:rPr>
              <w:t>291.4</w:t>
            </w:r>
          </w:p>
        </w:tc>
        <w:tc>
          <w:tcPr>
            <w:tcW w:w="1985" w:type="dxa"/>
            <w:vAlign w:val="center"/>
          </w:tcPr>
          <w:p w14:paraId="15D52DBE" w14:textId="1F961CE8" w:rsidR="00946108" w:rsidRPr="00F95BD4" w:rsidRDefault="00946108" w:rsidP="003B0BC5">
            <w:pPr>
              <w:pStyle w:val="Els-body-text"/>
              <w:jc w:val="center"/>
              <w:rPr>
                <w:lang w:val="en-GB"/>
              </w:rPr>
            </w:pPr>
            <w:r w:rsidRPr="00F95BD4">
              <w:rPr>
                <w:lang w:val="en-GB"/>
              </w:rPr>
              <w:t>239.7</w:t>
            </w:r>
          </w:p>
        </w:tc>
        <w:tc>
          <w:tcPr>
            <w:tcW w:w="1559" w:type="dxa"/>
            <w:vAlign w:val="center"/>
          </w:tcPr>
          <w:p w14:paraId="2E489E4D" w14:textId="5CDFB25E" w:rsidR="00946108" w:rsidRPr="00F95BD4" w:rsidRDefault="00946108" w:rsidP="003B0BC5">
            <w:pPr>
              <w:pStyle w:val="Els-body-text"/>
              <w:jc w:val="center"/>
              <w:rPr>
                <w:lang w:val="en-GB"/>
              </w:rPr>
            </w:pPr>
            <w:r w:rsidRPr="00F95BD4">
              <w:rPr>
                <w:lang w:val="en-GB"/>
              </w:rPr>
              <w:t>174.3</w:t>
            </w:r>
          </w:p>
        </w:tc>
      </w:tr>
      <w:tr w:rsidR="00946108" w:rsidRPr="00F95BD4" w14:paraId="23E7D902" w14:textId="77777777" w:rsidTr="00946108">
        <w:tc>
          <w:tcPr>
            <w:tcW w:w="1980" w:type="dxa"/>
            <w:vAlign w:val="center"/>
          </w:tcPr>
          <w:p w14:paraId="320F8A38" w14:textId="2D6D093F" w:rsidR="00946108" w:rsidRPr="007D31EB" w:rsidRDefault="008413A8" w:rsidP="003B0BC5">
            <w:pPr>
              <w:pStyle w:val="Els-body-text"/>
              <w:jc w:val="center"/>
              <w:rPr>
                <w:i/>
                <w:lang w:val="en-GB"/>
              </w:rPr>
            </w:pP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BFW</m:t>
                  </m:r>
                </m:sub>
              </m:sSub>
            </m:oMath>
            <w:r w:rsidR="00946108">
              <w:rPr>
                <w:lang w:val="en-GB"/>
              </w:rPr>
              <w:t xml:space="preserve"> </w:t>
            </w:r>
            <w:r w:rsidR="00946108" w:rsidRPr="003B0BC5">
              <w:rPr>
                <w:lang w:val="en-GB"/>
              </w:rPr>
              <w:t>(</w:t>
            </w:r>
            <w:r w:rsidR="00946108">
              <w:rPr>
                <w:lang w:val="en-GB"/>
              </w:rPr>
              <w:t>mol/s</w:t>
            </w:r>
            <w:r w:rsidR="00946108" w:rsidRPr="003B0BC5">
              <w:rPr>
                <w:lang w:val="en-GB"/>
              </w:rPr>
              <w:t>)</w:t>
            </w:r>
          </w:p>
        </w:tc>
        <w:tc>
          <w:tcPr>
            <w:tcW w:w="1559" w:type="dxa"/>
            <w:vAlign w:val="center"/>
          </w:tcPr>
          <w:p w14:paraId="19364357" w14:textId="77777777" w:rsidR="00946108" w:rsidRPr="00F95BD4" w:rsidRDefault="00946108" w:rsidP="003B0BC5">
            <w:pPr>
              <w:pStyle w:val="Els-body-text"/>
              <w:jc w:val="center"/>
              <w:rPr>
                <w:lang w:val="en-GB"/>
              </w:rPr>
            </w:pPr>
            <w:r w:rsidRPr="00F95BD4">
              <w:rPr>
                <w:lang w:val="en-GB"/>
              </w:rPr>
              <w:t>109.307</w:t>
            </w:r>
          </w:p>
        </w:tc>
        <w:tc>
          <w:tcPr>
            <w:tcW w:w="1985" w:type="dxa"/>
            <w:vAlign w:val="center"/>
          </w:tcPr>
          <w:p w14:paraId="51C20E89" w14:textId="77777777" w:rsidR="00946108" w:rsidRPr="00F95BD4" w:rsidRDefault="00946108" w:rsidP="003B0BC5">
            <w:pPr>
              <w:pStyle w:val="Els-body-text"/>
              <w:jc w:val="center"/>
              <w:rPr>
                <w:lang w:val="en-GB"/>
              </w:rPr>
            </w:pPr>
            <w:r>
              <w:rPr>
                <w:lang w:val="en-GB"/>
              </w:rPr>
              <w:t>3.817</w:t>
            </w:r>
          </w:p>
        </w:tc>
        <w:tc>
          <w:tcPr>
            <w:tcW w:w="1559" w:type="dxa"/>
            <w:vAlign w:val="center"/>
          </w:tcPr>
          <w:p w14:paraId="1CB484E0" w14:textId="77777777" w:rsidR="00946108" w:rsidRPr="00F95BD4" w:rsidRDefault="00946108" w:rsidP="003B0BC5">
            <w:pPr>
              <w:pStyle w:val="Els-body-text"/>
              <w:jc w:val="center"/>
              <w:rPr>
                <w:lang w:val="en-GB"/>
              </w:rPr>
            </w:pPr>
            <w:r w:rsidRPr="00F95BD4">
              <w:rPr>
                <w:lang w:val="en-GB"/>
              </w:rPr>
              <w:t>46.29</w:t>
            </w:r>
          </w:p>
        </w:tc>
      </w:tr>
      <w:tr w:rsidR="00946108" w:rsidRPr="00F95BD4" w14:paraId="11F23F7E" w14:textId="77777777" w:rsidTr="00946108">
        <w:tc>
          <w:tcPr>
            <w:tcW w:w="1980" w:type="dxa"/>
            <w:vAlign w:val="center"/>
          </w:tcPr>
          <w:p w14:paraId="107CE58A" w14:textId="7D5D5CFC" w:rsidR="00946108" w:rsidRPr="003B0BC5" w:rsidRDefault="008413A8" w:rsidP="003B0BC5">
            <w:pPr>
              <w:pStyle w:val="Els-body-text"/>
              <w:jc w:val="center"/>
              <w:rPr>
                <w:lang w:val="en-GB"/>
              </w:rPr>
            </w:pPr>
            <m:oMath>
              <m:sSub>
                <m:sSubPr>
                  <m:ctrlPr>
                    <w:rPr>
                      <w:rFonts w:ascii="Cambria Math" w:hAnsi="Cambria Math"/>
                      <w:i/>
                    </w:rPr>
                  </m:ctrlPr>
                </m:sSubPr>
                <m:e>
                  <m:r>
                    <w:rPr>
                      <w:rFonts w:ascii="Cambria Math" w:hAnsi="Cambria Math"/>
                    </w:rPr>
                    <m:t>Pr</m:t>
                  </m:r>
                </m:e>
                <m:sub>
                  <m:r>
                    <w:rPr>
                      <w:rFonts w:ascii="Cambria Math" w:hAnsi="Cambria Math"/>
                    </w:rPr>
                    <m:t>SOFC</m:t>
                  </m:r>
                </m:sub>
              </m:sSub>
            </m:oMath>
            <w:r w:rsidR="00946108">
              <w:t xml:space="preserve"> (bar)</w:t>
            </w:r>
          </w:p>
        </w:tc>
        <w:tc>
          <w:tcPr>
            <w:tcW w:w="1559" w:type="dxa"/>
            <w:vAlign w:val="center"/>
          </w:tcPr>
          <w:p w14:paraId="227EA15F" w14:textId="77777777" w:rsidR="00946108" w:rsidRPr="00F95BD4" w:rsidRDefault="00946108" w:rsidP="003B0BC5">
            <w:pPr>
              <w:pStyle w:val="Els-body-text"/>
              <w:jc w:val="center"/>
              <w:rPr>
                <w:lang w:val="en-GB"/>
              </w:rPr>
            </w:pPr>
            <w:r w:rsidRPr="00F95BD4">
              <w:rPr>
                <w:lang w:val="en-GB"/>
              </w:rPr>
              <w:t>1.01(LB)</w:t>
            </w:r>
          </w:p>
        </w:tc>
        <w:tc>
          <w:tcPr>
            <w:tcW w:w="1985" w:type="dxa"/>
            <w:vAlign w:val="center"/>
          </w:tcPr>
          <w:p w14:paraId="6F0182DD" w14:textId="77777777" w:rsidR="00946108" w:rsidRPr="00F95BD4" w:rsidRDefault="00946108" w:rsidP="003B0BC5">
            <w:pPr>
              <w:pStyle w:val="Els-body-text"/>
              <w:jc w:val="center"/>
              <w:rPr>
                <w:lang w:val="en-GB"/>
              </w:rPr>
            </w:pPr>
            <w:r w:rsidRPr="00F95BD4">
              <w:rPr>
                <w:lang w:val="en-GB"/>
              </w:rPr>
              <w:t>1.01(LB)</w:t>
            </w:r>
          </w:p>
        </w:tc>
        <w:tc>
          <w:tcPr>
            <w:tcW w:w="1559" w:type="dxa"/>
            <w:vAlign w:val="center"/>
          </w:tcPr>
          <w:p w14:paraId="280651D2" w14:textId="77777777" w:rsidR="00946108" w:rsidRPr="00F95BD4" w:rsidRDefault="00946108" w:rsidP="003B0BC5">
            <w:pPr>
              <w:pStyle w:val="Els-body-text"/>
              <w:jc w:val="center"/>
              <w:rPr>
                <w:lang w:val="en-GB"/>
              </w:rPr>
            </w:pPr>
            <w:r w:rsidRPr="00F95BD4">
              <w:rPr>
                <w:lang w:val="en-GB"/>
              </w:rPr>
              <w:t>1.01(LB)</w:t>
            </w:r>
          </w:p>
        </w:tc>
      </w:tr>
      <w:tr w:rsidR="00946108" w:rsidRPr="00F95BD4" w14:paraId="78FA58E0" w14:textId="77777777" w:rsidTr="00946108">
        <w:tc>
          <w:tcPr>
            <w:tcW w:w="1980" w:type="dxa"/>
            <w:vAlign w:val="center"/>
          </w:tcPr>
          <w:p w14:paraId="157A8FC8" w14:textId="76F93DAA" w:rsidR="00946108" w:rsidRPr="003B0BC5" w:rsidRDefault="008413A8" w:rsidP="003B0BC5">
            <w:pPr>
              <w:pStyle w:val="Els-body-text"/>
              <w:jc w:val="center"/>
              <w:rPr>
                <w:lang w:val="en-GB"/>
              </w:rPr>
            </w:pPr>
            <m:oMath>
              <m:sSub>
                <m:sSubPr>
                  <m:ctrlPr>
                    <w:rPr>
                      <w:rFonts w:ascii="Cambria Math" w:hAnsi="Cambria Math"/>
                      <w:i/>
                    </w:rPr>
                  </m:ctrlPr>
                </m:sSubPr>
                <m:e>
                  <m:r>
                    <w:rPr>
                      <w:rFonts w:ascii="Cambria Math" w:hAnsi="Cambria Math"/>
                    </w:rPr>
                    <m:t>T</m:t>
                  </m:r>
                </m:e>
                <m:sub>
                  <m:r>
                    <w:rPr>
                      <w:rFonts w:ascii="Cambria Math" w:hAnsi="Cambria Math"/>
                    </w:rPr>
                    <m:t>SOFC</m:t>
                  </m:r>
                </m:sub>
              </m:sSub>
            </m:oMath>
            <w:r w:rsidR="00946108" w:rsidRPr="003B0BC5">
              <w:t xml:space="preserve"> </w:t>
            </w:r>
            <w:r w:rsidR="00946108">
              <w:t>(K)</w:t>
            </w:r>
          </w:p>
        </w:tc>
        <w:tc>
          <w:tcPr>
            <w:tcW w:w="1559" w:type="dxa"/>
            <w:vAlign w:val="center"/>
          </w:tcPr>
          <w:p w14:paraId="19EA9851" w14:textId="77777777" w:rsidR="00946108" w:rsidRPr="00F95BD4" w:rsidRDefault="00946108" w:rsidP="003B0BC5">
            <w:pPr>
              <w:pStyle w:val="Els-body-text"/>
              <w:jc w:val="center"/>
              <w:rPr>
                <w:lang w:val="en-GB"/>
              </w:rPr>
            </w:pPr>
            <w:r w:rsidRPr="00F95BD4">
              <w:rPr>
                <w:lang w:val="en-GB"/>
              </w:rPr>
              <w:t>1073(UB)</w:t>
            </w:r>
          </w:p>
        </w:tc>
        <w:tc>
          <w:tcPr>
            <w:tcW w:w="1985" w:type="dxa"/>
            <w:vAlign w:val="center"/>
          </w:tcPr>
          <w:p w14:paraId="57E218CA" w14:textId="77777777" w:rsidR="00946108" w:rsidRPr="00F95BD4" w:rsidRDefault="00946108" w:rsidP="003B0BC5">
            <w:pPr>
              <w:pStyle w:val="Els-body-text"/>
              <w:jc w:val="center"/>
              <w:rPr>
                <w:lang w:val="en-GB"/>
              </w:rPr>
            </w:pPr>
            <w:r w:rsidRPr="00F95BD4">
              <w:rPr>
                <w:lang w:val="en-GB"/>
              </w:rPr>
              <w:t>1073(UB)</w:t>
            </w:r>
          </w:p>
        </w:tc>
        <w:tc>
          <w:tcPr>
            <w:tcW w:w="1559" w:type="dxa"/>
            <w:vAlign w:val="center"/>
          </w:tcPr>
          <w:p w14:paraId="17DDF486" w14:textId="77777777" w:rsidR="00946108" w:rsidRPr="00F95BD4" w:rsidRDefault="00946108" w:rsidP="003B0BC5">
            <w:pPr>
              <w:pStyle w:val="Els-body-text"/>
              <w:jc w:val="center"/>
              <w:rPr>
                <w:b/>
                <w:lang w:val="en-GB"/>
              </w:rPr>
            </w:pPr>
            <w:r w:rsidRPr="00F95BD4">
              <w:rPr>
                <w:lang w:val="en-GB"/>
              </w:rPr>
              <w:t>1073(UB)</w:t>
            </w:r>
          </w:p>
        </w:tc>
      </w:tr>
      <w:tr w:rsidR="00946108" w:rsidRPr="00F95BD4" w14:paraId="147C0998" w14:textId="77777777" w:rsidTr="00946108">
        <w:tc>
          <w:tcPr>
            <w:tcW w:w="1980" w:type="dxa"/>
            <w:vAlign w:val="center"/>
          </w:tcPr>
          <w:p w14:paraId="373076FF" w14:textId="50F0CC4E" w:rsidR="00946108" w:rsidRPr="007D31EB" w:rsidRDefault="008413A8" w:rsidP="003B0BC5">
            <w:pPr>
              <w:pStyle w:val="Els-body-text"/>
              <w:jc w:val="center"/>
              <w:rPr>
                <w:i/>
                <w:lang w:val="en-GB"/>
              </w:rPr>
            </w:pPr>
            <m:oMathPara>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f</m:t>
                    </m:r>
                  </m:sub>
                </m:sSub>
              </m:oMath>
            </m:oMathPara>
          </w:p>
        </w:tc>
        <w:tc>
          <w:tcPr>
            <w:tcW w:w="1559" w:type="dxa"/>
            <w:vAlign w:val="center"/>
          </w:tcPr>
          <w:p w14:paraId="5951E496" w14:textId="77777777" w:rsidR="00946108" w:rsidRPr="00F95BD4" w:rsidRDefault="00946108" w:rsidP="003B0BC5">
            <w:pPr>
              <w:pStyle w:val="Els-body-text"/>
              <w:jc w:val="center"/>
              <w:rPr>
                <w:lang w:val="en-GB"/>
              </w:rPr>
            </w:pPr>
            <w:r w:rsidRPr="00F95BD4">
              <w:rPr>
                <w:lang w:val="en-GB"/>
              </w:rPr>
              <w:t>.85(UB)</w:t>
            </w:r>
          </w:p>
        </w:tc>
        <w:tc>
          <w:tcPr>
            <w:tcW w:w="1985" w:type="dxa"/>
            <w:vAlign w:val="center"/>
          </w:tcPr>
          <w:p w14:paraId="35BB2110" w14:textId="77777777" w:rsidR="00946108" w:rsidRPr="00F95BD4" w:rsidRDefault="00946108" w:rsidP="003B0BC5">
            <w:pPr>
              <w:pStyle w:val="Els-body-text"/>
              <w:jc w:val="center"/>
              <w:rPr>
                <w:lang w:val="en-GB"/>
              </w:rPr>
            </w:pPr>
            <w:r w:rsidRPr="00F95BD4">
              <w:rPr>
                <w:lang w:val="en-GB"/>
              </w:rPr>
              <w:t>.85(UB)</w:t>
            </w:r>
          </w:p>
        </w:tc>
        <w:tc>
          <w:tcPr>
            <w:tcW w:w="1559" w:type="dxa"/>
            <w:vAlign w:val="center"/>
          </w:tcPr>
          <w:p w14:paraId="66F04318" w14:textId="77777777" w:rsidR="00946108" w:rsidRPr="00F95BD4" w:rsidRDefault="00946108" w:rsidP="003B0BC5">
            <w:pPr>
              <w:pStyle w:val="Els-body-text"/>
              <w:jc w:val="center"/>
              <w:rPr>
                <w:lang w:val="en-GB"/>
              </w:rPr>
            </w:pPr>
            <w:r w:rsidRPr="00F95BD4">
              <w:rPr>
                <w:lang w:val="en-GB"/>
              </w:rPr>
              <w:t>.85(UB)</w:t>
            </w:r>
          </w:p>
        </w:tc>
      </w:tr>
      <w:tr w:rsidR="00946108" w:rsidRPr="00F95BD4" w14:paraId="5FDE5444" w14:textId="77777777" w:rsidTr="00946108">
        <w:tc>
          <w:tcPr>
            <w:tcW w:w="1980" w:type="dxa"/>
            <w:vAlign w:val="center"/>
          </w:tcPr>
          <w:p w14:paraId="7588D44C" w14:textId="4777EE76" w:rsidR="00946108" w:rsidRPr="007D31EB" w:rsidRDefault="008413A8" w:rsidP="003B0BC5">
            <w:pPr>
              <w:pStyle w:val="Els-body-text"/>
              <w:jc w:val="center"/>
              <w:rPr>
                <w:i/>
                <w:lang w:val="en-GB"/>
              </w:rPr>
            </w:pPr>
            <m:oMathPara>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a</m:t>
                    </m:r>
                  </m:sub>
                </m:sSub>
              </m:oMath>
            </m:oMathPara>
          </w:p>
        </w:tc>
        <w:tc>
          <w:tcPr>
            <w:tcW w:w="1559" w:type="dxa"/>
            <w:vAlign w:val="center"/>
          </w:tcPr>
          <w:p w14:paraId="1D455DC6" w14:textId="77777777" w:rsidR="00946108" w:rsidRPr="00F95BD4" w:rsidRDefault="00946108" w:rsidP="003B0BC5">
            <w:pPr>
              <w:pStyle w:val="Els-body-text"/>
              <w:jc w:val="center"/>
              <w:rPr>
                <w:lang w:val="en-GB"/>
              </w:rPr>
            </w:pPr>
            <w:r w:rsidRPr="00F95BD4">
              <w:rPr>
                <w:lang w:val="en-GB"/>
              </w:rPr>
              <w:t>.054</w:t>
            </w:r>
          </w:p>
        </w:tc>
        <w:tc>
          <w:tcPr>
            <w:tcW w:w="1985" w:type="dxa"/>
            <w:vAlign w:val="center"/>
          </w:tcPr>
          <w:p w14:paraId="092B39A5" w14:textId="77777777" w:rsidR="00946108" w:rsidRPr="00F95BD4" w:rsidRDefault="00946108" w:rsidP="003B0BC5">
            <w:pPr>
              <w:pStyle w:val="Els-body-text"/>
              <w:jc w:val="center"/>
              <w:rPr>
                <w:lang w:val="en-GB"/>
              </w:rPr>
            </w:pPr>
            <w:r w:rsidRPr="00F95BD4">
              <w:rPr>
                <w:lang w:val="en-GB"/>
              </w:rPr>
              <w:t>.140</w:t>
            </w:r>
          </w:p>
        </w:tc>
        <w:tc>
          <w:tcPr>
            <w:tcW w:w="1559" w:type="dxa"/>
            <w:vAlign w:val="center"/>
          </w:tcPr>
          <w:p w14:paraId="5A4F11B5" w14:textId="77777777" w:rsidR="00946108" w:rsidRPr="00F95BD4" w:rsidRDefault="00946108" w:rsidP="003B0BC5">
            <w:pPr>
              <w:pStyle w:val="Els-body-text"/>
              <w:jc w:val="center"/>
              <w:rPr>
                <w:lang w:val="en-GB"/>
              </w:rPr>
            </w:pPr>
            <w:r w:rsidRPr="00F95BD4">
              <w:rPr>
                <w:lang w:val="en-GB"/>
              </w:rPr>
              <w:t>.0.147</w:t>
            </w:r>
          </w:p>
        </w:tc>
      </w:tr>
      <w:tr w:rsidR="00946108" w:rsidRPr="00F95BD4" w14:paraId="2066EEB2" w14:textId="77777777" w:rsidTr="00946108">
        <w:tc>
          <w:tcPr>
            <w:tcW w:w="1980" w:type="dxa"/>
            <w:vAlign w:val="center"/>
          </w:tcPr>
          <w:p w14:paraId="6F53A278" w14:textId="40DD8A3B" w:rsidR="00946108" w:rsidRPr="003B0BC5" w:rsidRDefault="008413A8" w:rsidP="003B0BC5">
            <w:pPr>
              <w:pStyle w:val="Els-body-text"/>
              <w:jc w:val="center"/>
              <w:rPr>
                <w:lang w:val="en-GB"/>
              </w:rPr>
            </w:pPr>
            <m:oMath>
              <m:sSub>
                <m:sSubPr>
                  <m:ctrlPr>
                    <w:rPr>
                      <w:rFonts w:ascii="Cambria Math" w:hAnsi="Cambria Math"/>
                      <w:i/>
                      <w:lang w:val="en-GB"/>
                    </w:rPr>
                  </m:ctrlPr>
                </m:sSubPr>
                <m:e>
                  <m:r>
                    <w:rPr>
                      <w:rFonts w:ascii="Cambria Math" w:hAnsi="Cambria Math"/>
                      <w:lang w:val="en-GB"/>
                    </w:rPr>
                    <m:t>T</m:t>
                  </m:r>
                </m:e>
                <m:sub>
                  <m:r>
                    <w:rPr>
                      <w:rFonts w:ascii="Cambria Math" w:hAnsi="Cambria Math"/>
                      <w:vertAlign w:val="subscript"/>
                      <w:lang w:val="en-GB"/>
                    </w:rPr>
                    <m:t>ref</m:t>
                  </m:r>
                </m:sub>
              </m:sSub>
            </m:oMath>
            <w:r w:rsidR="00946108">
              <w:rPr>
                <w:lang w:val="en-GB"/>
              </w:rPr>
              <w:t xml:space="preserve"> (K)</w:t>
            </w:r>
          </w:p>
        </w:tc>
        <w:tc>
          <w:tcPr>
            <w:tcW w:w="1559" w:type="dxa"/>
            <w:vAlign w:val="center"/>
          </w:tcPr>
          <w:p w14:paraId="768CD9C4" w14:textId="77777777" w:rsidR="00946108" w:rsidRPr="00F95BD4" w:rsidRDefault="00946108" w:rsidP="003B0BC5">
            <w:pPr>
              <w:pStyle w:val="Els-body-text"/>
              <w:jc w:val="center"/>
              <w:rPr>
                <w:lang w:val="en-GB"/>
              </w:rPr>
            </w:pPr>
            <w:r w:rsidRPr="00F95BD4">
              <w:rPr>
                <w:lang w:val="en-GB"/>
              </w:rPr>
              <w:t>1023(UB)</w:t>
            </w:r>
          </w:p>
        </w:tc>
        <w:tc>
          <w:tcPr>
            <w:tcW w:w="1985" w:type="dxa"/>
            <w:vAlign w:val="center"/>
          </w:tcPr>
          <w:p w14:paraId="148B1DEE" w14:textId="77777777" w:rsidR="00946108" w:rsidRPr="00F95BD4" w:rsidRDefault="00946108" w:rsidP="003B0BC5">
            <w:pPr>
              <w:pStyle w:val="Els-body-text"/>
              <w:jc w:val="center"/>
              <w:rPr>
                <w:lang w:val="en-GB"/>
              </w:rPr>
            </w:pPr>
            <w:r w:rsidRPr="00F95BD4">
              <w:rPr>
                <w:lang w:val="en-GB"/>
              </w:rPr>
              <w:t>1023(UB)</w:t>
            </w:r>
          </w:p>
        </w:tc>
        <w:tc>
          <w:tcPr>
            <w:tcW w:w="1559" w:type="dxa"/>
            <w:vAlign w:val="center"/>
          </w:tcPr>
          <w:p w14:paraId="3807F254" w14:textId="77777777" w:rsidR="00946108" w:rsidRPr="00F95BD4" w:rsidRDefault="00946108" w:rsidP="003B0BC5">
            <w:pPr>
              <w:pStyle w:val="Els-body-text"/>
              <w:jc w:val="center"/>
              <w:rPr>
                <w:lang w:val="en-GB"/>
              </w:rPr>
            </w:pPr>
            <w:r w:rsidRPr="00F95BD4">
              <w:rPr>
                <w:lang w:val="en-GB"/>
              </w:rPr>
              <w:t>1023(UB)</w:t>
            </w:r>
          </w:p>
        </w:tc>
      </w:tr>
      <w:tr w:rsidR="00946108" w:rsidRPr="00F95BD4" w14:paraId="2678D281" w14:textId="77777777" w:rsidTr="00946108">
        <w:tc>
          <w:tcPr>
            <w:tcW w:w="1980" w:type="dxa"/>
            <w:vAlign w:val="center"/>
          </w:tcPr>
          <w:p w14:paraId="27DFDD1C" w14:textId="7D108FD6" w:rsidR="00946108" w:rsidRPr="003B0BC5" w:rsidRDefault="00946108" w:rsidP="003B0BC5">
            <w:pPr>
              <w:pStyle w:val="Els-body-text"/>
              <w:jc w:val="center"/>
              <w:rPr>
                <w:lang w:val="en-GB"/>
              </w:rPr>
            </w:pPr>
            <m:oMathPara>
              <m:oMath>
                <m:r>
                  <w:rPr>
                    <w:rFonts w:ascii="Cambria Math" w:hAnsi="Cambria Math"/>
                    <w:lang w:val="en-GB"/>
                  </w:rPr>
                  <m:t>SCR</m:t>
                </m:r>
              </m:oMath>
            </m:oMathPara>
          </w:p>
        </w:tc>
        <w:tc>
          <w:tcPr>
            <w:tcW w:w="1559" w:type="dxa"/>
            <w:vAlign w:val="center"/>
          </w:tcPr>
          <w:p w14:paraId="523248B9" w14:textId="77777777" w:rsidR="00946108" w:rsidRPr="00F95BD4" w:rsidRDefault="00946108" w:rsidP="003B0BC5">
            <w:pPr>
              <w:pStyle w:val="Els-body-text"/>
              <w:jc w:val="center"/>
              <w:rPr>
                <w:lang w:val="en-GB"/>
              </w:rPr>
            </w:pPr>
            <w:r w:rsidRPr="00F95BD4">
              <w:rPr>
                <w:lang w:val="en-GB"/>
              </w:rPr>
              <w:t>2(LB)</w:t>
            </w:r>
          </w:p>
        </w:tc>
        <w:tc>
          <w:tcPr>
            <w:tcW w:w="1985" w:type="dxa"/>
            <w:vAlign w:val="center"/>
          </w:tcPr>
          <w:p w14:paraId="6E1CBAF8" w14:textId="77777777" w:rsidR="00946108" w:rsidRPr="00F95BD4" w:rsidRDefault="00946108" w:rsidP="003B0BC5">
            <w:pPr>
              <w:pStyle w:val="Els-body-text"/>
              <w:jc w:val="center"/>
              <w:rPr>
                <w:lang w:val="en-GB"/>
              </w:rPr>
            </w:pPr>
            <w:r w:rsidRPr="00F95BD4">
              <w:rPr>
                <w:lang w:val="en-GB"/>
              </w:rPr>
              <w:t>2(LB)</w:t>
            </w:r>
          </w:p>
        </w:tc>
        <w:tc>
          <w:tcPr>
            <w:tcW w:w="1559" w:type="dxa"/>
            <w:vAlign w:val="center"/>
          </w:tcPr>
          <w:p w14:paraId="5F3DAD29" w14:textId="77777777" w:rsidR="00946108" w:rsidRPr="00F95BD4" w:rsidRDefault="00946108" w:rsidP="003B0BC5">
            <w:pPr>
              <w:pStyle w:val="Els-body-text"/>
              <w:jc w:val="center"/>
              <w:rPr>
                <w:lang w:val="en-GB"/>
              </w:rPr>
            </w:pPr>
            <w:r w:rsidRPr="00F95BD4">
              <w:rPr>
                <w:lang w:val="en-GB"/>
              </w:rPr>
              <w:t>2(LB)</w:t>
            </w:r>
          </w:p>
        </w:tc>
      </w:tr>
      <w:tr w:rsidR="00946108" w:rsidRPr="00F95BD4" w14:paraId="26ECA9FC" w14:textId="77777777" w:rsidTr="00946108">
        <w:tc>
          <w:tcPr>
            <w:tcW w:w="1980" w:type="dxa"/>
            <w:vAlign w:val="center"/>
          </w:tcPr>
          <w:p w14:paraId="04306A05" w14:textId="28274D07" w:rsidR="00946108" w:rsidRPr="003B0BC5" w:rsidRDefault="008413A8" w:rsidP="003B0BC5">
            <w:pPr>
              <w:pStyle w:val="Els-body-text"/>
              <w:jc w:val="center"/>
              <w:rPr>
                <w:lang w:val="en-GB"/>
              </w:rPr>
            </w:pPr>
            <m:oMathPara>
              <m:oMath>
                <m:sSub>
                  <m:sSubPr>
                    <m:ctrlPr>
                      <w:rPr>
                        <w:rFonts w:ascii="Cambria Math" w:hAnsi="Cambria Math"/>
                        <w:i/>
                        <w:lang w:val="en-GB"/>
                      </w:rPr>
                    </m:ctrlPr>
                  </m:sSubPr>
                  <m:e>
                    <m:r>
                      <w:rPr>
                        <w:rFonts w:ascii="Cambria Math" w:hAnsi="Cambria Math"/>
                        <w:lang w:val="en-GB"/>
                      </w:rPr>
                      <m:t>f</m:t>
                    </m:r>
                  </m:e>
                  <m:sub>
                    <m:r>
                      <w:rPr>
                        <w:rFonts w:ascii="Cambria Math" w:hAnsi="Cambria Math"/>
                        <w:vertAlign w:val="subscript"/>
                        <w:lang w:val="en-GB"/>
                      </w:rPr>
                      <m:t>byp</m:t>
                    </m:r>
                  </m:sub>
                </m:sSub>
              </m:oMath>
            </m:oMathPara>
          </w:p>
        </w:tc>
        <w:tc>
          <w:tcPr>
            <w:tcW w:w="1559" w:type="dxa"/>
            <w:vAlign w:val="center"/>
          </w:tcPr>
          <w:p w14:paraId="505FFC69" w14:textId="77777777" w:rsidR="00946108" w:rsidRPr="00F95BD4" w:rsidRDefault="00946108" w:rsidP="003B0BC5">
            <w:pPr>
              <w:pStyle w:val="Els-body-text"/>
              <w:jc w:val="center"/>
              <w:rPr>
                <w:lang w:val="en-GB"/>
              </w:rPr>
            </w:pPr>
            <w:r w:rsidRPr="00F95BD4">
              <w:rPr>
                <w:lang w:val="en-GB"/>
              </w:rPr>
              <w:t>0.631</w:t>
            </w:r>
          </w:p>
        </w:tc>
        <w:tc>
          <w:tcPr>
            <w:tcW w:w="1985" w:type="dxa"/>
            <w:vAlign w:val="center"/>
          </w:tcPr>
          <w:p w14:paraId="0D6323A3" w14:textId="77777777" w:rsidR="00946108" w:rsidRPr="00F95BD4" w:rsidRDefault="00946108" w:rsidP="003B0BC5">
            <w:pPr>
              <w:pStyle w:val="Els-body-text"/>
              <w:jc w:val="center"/>
              <w:rPr>
                <w:lang w:val="en-GB"/>
              </w:rPr>
            </w:pPr>
            <w:r w:rsidRPr="00F95BD4">
              <w:rPr>
                <w:lang w:val="en-GB"/>
              </w:rPr>
              <w:t>0.459</w:t>
            </w:r>
          </w:p>
        </w:tc>
        <w:tc>
          <w:tcPr>
            <w:tcW w:w="1559" w:type="dxa"/>
            <w:vAlign w:val="center"/>
          </w:tcPr>
          <w:p w14:paraId="2F5ACF60" w14:textId="77777777" w:rsidR="00946108" w:rsidRPr="00F95BD4" w:rsidRDefault="00946108" w:rsidP="003B0BC5">
            <w:pPr>
              <w:pStyle w:val="Els-body-text"/>
              <w:jc w:val="center"/>
              <w:rPr>
                <w:lang w:val="en-GB"/>
              </w:rPr>
            </w:pPr>
            <w:r w:rsidRPr="00F95BD4">
              <w:rPr>
                <w:lang w:val="en-GB"/>
              </w:rPr>
              <w:t>0.289</w:t>
            </w:r>
          </w:p>
        </w:tc>
      </w:tr>
      <w:tr w:rsidR="00946108" w:rsidRPr="00F95BD4" w14:paraId="376B1F2F" w14:textId="77777777" w:rsidTr="00946108">
        <w:tc>
          <w:tcPr>
            <w:tcW w:w="1980" w:type="dxa"/>
            <w:vAlign w:val="center"/>
          </w:tcPr>
          <w:p w14:paraId="6041F38C" w14:textId="17E821AA" w:rsidR="00946108" w:rsidRPr="003B0BC5" w:rsidRDefault="008413A8" w:rsidP="003B0BC5">
            <w:pPr>
              <w:pStyle w:val="Els-body-text"/>
              <w:jc w:val="center"/>
              <w:rPr>
                <w:lang w:val="en-GB"/>
              </w:rPr>
            </w:pPr>
            <m:oMathPara>
              <m:oMath>
                <m:sSub>
                  <m:sSubPr>
                    <m:ctrlPr>
                      <w:rPr>
                        <w:rFonts w:ascii="Cambria Math" w:hAnsi="Cambria Math"/>
                        <w:i/>
                        <w:lang w:val="en-GB"/>
                      </w:rPr>
                    </m:ctrlPr>
                  </m:sSubPr>
                  <m:e>
                    <m:r>
                      <w:rPr>
                        <w:rFonts w:ascii="Cambria Math" w:hAnsi="Cambria Math"/>
                        <w:lang w:val="en-GB"/>
                      </w:rPr>
                      <m:t>f</m:t>
                    </m:r>
                  </m:e>
                  <m:sub>
                    <m:r>
                      <w:rPr>
                        <w:rFonts w:ascii="Cambria Math" w:hAnsi="Cambria Math"/>
                        <w:vertAlign w:val="subscript"/>
                        <w:lang w:val="en-GB"/>
                      </w:rPr>
                      <m:t>split</m:t>
                    </m:r>
                  </m:sub>
                </m:sSub>
              </m:oMath>
            </m:oMathPara>
          </w:p>
        </w:tc>
        <w:tc>
          <w:tcPr>
            <w:tcW w:w="1559" w:type="dxa"/>
            <w:vAlign w:val="center"/>
          </w:tcPr>
          <w:p w14:paraId="5D293B3E" w14:textId="77777777" w:rsidR="00946108" w:rsidRDefault="00946108" w:rsidP="003B0BC5">
            <w:pPr>
              <w:pStyle w:val="Els-body-text"/>
              <w:jc w:val="center"/>
              <w:rPr>
                <w:lang w:val="en-GB"/>
              </w:rPr>
            </w:pPr>
            <w:r>
              <w:rPr>
                <w:lang w:val="en-GB"/>
              </w:rPr>
              <w:t>1</w:t>
            </w:r>
          </w:p>
        </w:tc>
        <w:tc>
          <w:tcPr>
            <w:tcW w:w="1985" w:type="dxa"/>
            <w:vAlign w:val="center"/>
          </w:tcPr>
          <w:p w14:paraId="11D29D42" w14:textId="77777777" w:rsidR="00946108" w:rsidRDefault="00946108" w:rsidP="003B0BC5">
            <w:pPr>
              <w:pStyle w:val="Els-body-text"/>
              <w:jc w:val="center"/>
              <w:rPr>
                <w:lang w:val="en-GB"/>
              </w:rPr>
            </w:pPr>
            <w:r>
              <w:rPr>
                <w:lang w:val="en-GB"/>
              </w:rPr>
              <w:t>0</w:t>
            </w:r>
          </w:p>
        </w:tc>
        <w:tc>
          <w:tcPr>
            <w:tcW w:w="1559" w:type="dxa"/>
            <w:vAlign w:val="center"/>
          </w:tcPr>
          <w:p w14:paraId="57E79763" w14:textId="77777777" w:rsidR="00946108" w:rsidRDefault="00946108" w:rsidP="003B0BC5">
            <w:pPr>
              <w:pStyle w:val="Els-body-text"/>
              <w:jc w:val="center"/>
              <w:rPr>
                <w:lang w:val="en-GB"/>
              </w:rPr>
            </w:pPr>
            <w:r>
              <w:rPr>
                <w:lang w:val="en-GB"/>
              </w:rPr>
              <w:t>0.647</w:t>
            </w:r>
          </w:p>
        </w:tc>
      </w:tr>
      <w:tr w:rsidR="00946108" w:rsidRPr="00F95BD4" w14:paraId="14A3CA57" w14:textId="77777777" w:rsidTr="00946108">
        <w:tc>
          <w:tcPr>
            <w:tcW w:w="1980" w:type="dxa"/>
            <w:vAlign w:val="center"/>
          </w:tcPr>
          <w:p w14:paraId="75B1EEFC" w14:textId="1B02EE54" w:rsidR="00946108" w:rsidRDefault="008413A8" w:rsidP="003B0BC5">
            <w:pPr>
              <w:pStyle w:val="Els-body-text"/>
              <w:jc w:val="center"/>
              <w:rPr>
                <w:lang w:val="en-GB"/>
              </w:rPr>
            </w:pPr>
            <m:oMathPara>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CGR</m:t>
                    </m:r>
                  </m:sub>
                </m:sSub>
              </m:oMath>
            </m:oMathPara>
          </w:p>
        </w:tc>
        <w:tc>
          <w:tcPr>
            <w:tcW w:w="1559" w:type="dxa"/>
            <w:vAlign w:val="center"/>
          </w:tcPr>
          <w:p w14:paraId="462A1E7A" w14:textId="2901197E" w:rsidR="00946108" w:rsidRDefault="00946108" w:rsidP="003B0BC5">
            <w:pPr>
              <w:pStyle w:val="Els-body-text"/>
              <w:jc w:val="center"/>
              <w:rPr>
                <w:lang w:val="en-GB"/>
              </w:rPr>
            </w:pPr>
            <w:r>
              <w:rPr>
                <w:lang w:val="en-GB"/>
              </w:rPr>
              <w:t>0</w:t>
            </w:r>
          </w:p>
        </w:tc>
        <w:tc>
          <w:tcPr>
            <w:tcW w:w="1985" w:type="dxa"/>
            <w:vAlign w:val="center"/>
          </w:tcPr>
          <w:p w14:paraId="58DFFB92" w14:textId="2A3BCC91" w:rsidR="00946108" w:rsidRDefault="00946108" w:rsidP="003B0BC5">
            <w:pPr>
              <w:pStyle w:val="Els-body-text"/>
              <w:jc w:val="center"/>
              <w:rPr>
                <w:lang w:val="en-GB"/>
              </w:rPr>
            </w:pPr>
            <w:r>
              <w:rPr>
                <w:lang w:val="en-GB"/>
              </w:rPr>
              <w:t>0</w:t>
            </w:r>
          </w:p>
        </w:tc>
        <w:tc>
          <w:tcPr>
            <w:tcW w:w="1559" w:type="dxa"/>
            <w:vAlign w:val="center"/>
          </w:tcPr>
          <w:p w14:paraId="23C2F44C" w14:textId="5323AFB1" w:rsidR="00946108" w:rsidRDefault="00946108" w:rsidP="003B0BC5">
            <w:pPr>
              <w:pStyle w:val="Els-body-text"/>
              <w:jc w:val="center"/>
              <w:rPr>
                <w:lang w:val="en-GB"/>
              </w:rPr>
            </w:pPr>
            <w:r>
              <w:rPr>
                <w:lang w:val="en-GB"/>
              </w:rPr>
              <w:t>0</w:t>
            </w:r>
          </w:p>
        </w:tc>
      </w:tr>
    </w:tbl>
    <w:p w14:paraId="27713492" w14:textId="01893C46" w:rsidR="00936972" w:rsidRDefault="002653DE" w:rsidP="00936972">
      <w:pPr>
        <w:jc w:val="both"/>
      </w:pPr>
      <w:r w:rsidRPr="00A1068C">
        <w:t>The integrated flow sheet resulting from the cost minimization pro</w:t>
      </w:r>
      <w:r>
        <w:t>blem is illustrat</w:t>
      </w:r>
      <w:r w:rsidR="00A4362A">
        <w:t>ed in Figure 2</w:t>
      </w:r>
      <w:r w:rsidRPr="00A1068C">
        <w:t xml:space="preserve">. </w:t>
      </w:r>
      <w:r w:rsidR="00931E83">
        <w:t xml:space="preserve">It is worth noting that the key system variables like SOFC temperature and pressure, fuel utilization factor, reformer temperature and S/C ratio approach the same </w:t>
      </w:r>
      <w:r w:rsidR="00931E83">
        <w:lastRenderedPageBreak/>
        <w:t xml:space="preserve">bounds as the feed minimization case. The major deviation is in the flue gas split fraction. </w:t>
      </w:r>
      <w:r w:rsidR="00BA1135">
        <w:t xml:space="preserve">It can be noted that </w:t>
      </w:r>
      <w:r w:rsidRPr="00A1068C">
        <w:t>6</w:t>
      </w:r>
      <w:r w:rsidR="00BA1135">
        <w:t>5</w:t>
      </w:r>
      <w:r w:rsidRPr="00A1068C">
        <w:t xml:space="preserve">% of </w:t>
      </w:r>
      <w:r w:rsidR="00BA1135">
        <w:t xml:space="preserve">the flue gas </w:t>
      </w:r>
      <w:r w:rsidRPr="00A1068C">
        <w:t>i</w:t>
      </w:r>
      <w:r w:rsidR="00BA1135">
        <w:t>s</w:t>
      </w:r>
      <w:r w:rsidRPr="00A1068C">
        <w:t xml:space="preserve"> directed</w:t>
      </w:r>
      <w:r w:rsidR="00BA1135">
        <w:t xml:space="preserve"> for power generation and the rest is utilized to meet the energy demands of the process</w:t>
      </w:r>
      <w:r w:rsidRPr="00A1068C">
        <w:t xml:space="preserve">. The exit of the steam turbine provides </w:t>
      </w:r>
      <w:r w:rsidR="00BA1135">
        <w:t>preheating duty for some of the</w:t>
      </w:r>
      <w:r w:rsidRPr="00A1068C">
        <w:t xml:space="preserve"> cold steams. </w:t>
      </w:r>
      <w:r w:rsidR="00BA1135">
        <w:t xml:space="preserve">It is interesting to note that the fraction of upgraded biogas going for internal reforming (71%) has increased as compared to the first design (37%). </w:t>
      </w:r>
      <w:r w:rsidRPr="00A1068C">
        <w:t>This helps reduce the heating demand for reforming reactions</w:t>
      </w:r>
      <w:r w:rsidR="00BA1135">
        <w:t xml:space="preserve"> and thus provides a balance between heat integration and auxiliary power production</w:t>
      </w:r>
      <w:r w:rsidRPr="00A1068C">
        <w:t>.</w:t>
      </w:r>
      <w:r w:rsidR="00BA1135">
        <w:t xml:space="preserve"> In the optimal flowsheet, the SOFC contributes to 91% of the target power. </w:t>
      </w:r>
      <w:r w:rsidR="00936972">
        <w:t>Due to effective heat integration, only 2.4 kW of hot utility is required. The synergy between the SOFC and the steam turbine makes the system largely independent of external heat sources, resulting in a substantial increase in net electrical efficiency (54.7%), along with an optimal operating cost of $2,983,511/y. As compared to the flowsheet with feed minimization, there is 67.5% reduction in the operating cost.</w:t>
      </w:r>
    </w:p>
    <w:p w14:paraId="7FB450EA" w14:textId="629A9A0C" w:rsidR="005D0F6F" w:rsidRDefault="00931E83" w:rsidP="00C60805">
      <w:pPr>
        <w:pStyle w:val="Els-2ndorder-head"/>
        <w:numPr>
          <w:ilvl w:val="0"/>
          <w:numId w:val="0"/>
        </w:numPr>
        <w:spacing w:after="120"/>
        <w:rPr>
          <w:i w:val="0"/>
        </w:rPr>
      </w:pPr>
      <w:r>
        <w:rPr>
          <w:i w:val="0"/>
        </w:rPr>
        <w:t xml:space="preserve">Let us now compare the proposed flowsheet with a reported design </w:t>
      </w:r>
      <w:r w:rsidRPr="00931E83">
        <w:rPr>
          <w:i w:val="0"/>
        </w:rPr>
        <w:t>(</w:t>
      </w:r>
      <w:proofErr w:type="spellStart"/>
      <w:r w:rsidRPr="00931E83">
        <w:rPr>
          <w:i w:val="0"/>
        </w:rPr>
        <w:t>Baldienelli</w:t>
      </w:r>
      <w:proofErr w:type="spellEnd"/>
      <w:r w:rsidRPr="00931E83">
        <w:rPr>
          <w:i w:val="0"/>
        </w:rPr>
        <w:t xml:space="preserve"> et al, 2017)</w:t>
      </w:r>
      <w:r>
        <w:rPr>
          <w:i w:val="0"/>
        </w:rPr>
        <w:t>. The reported flowsheet does not include micro gas turbine or a steam turbine. Instead, the combustion is carried out at elevated pressure and the flu</w:t>
      </w:r>
      <w:r w:rsidR="005D0F6F">
        <w:rPr>
          <w:i w:val="0"/>
        </w:rPr>
        <w:t>e</w:t>
      </w:r>
      <w:r>
        <w:rPr>
          <w:i w:val="0"/>
        </w:rPr>
        <w:t xml:space="preserve"> gas is expanded over a turbine. Only direct internal reforming is considered and energy integration is implemented in an ad hoc manner. </w:t>
      </w:r>
      <w:r w:rsidR="005D0F6F">
        <w:rPr>
          <w:i w:val="0"/>
        </w:rPr>
        <w:t>In order to meet the same power target of 1402 kW, the reported process requires 6.1 mol/s biogas feed and results in an operating cost of $3,109,758/y with the net electrical efficiency of 52.5%. It can thus be noted that the proposed design reduces the operating cost by 4.1% and improves the net electrical efficiency by 4.2%. This improvement can be linked to increased auxiliary power production, better coordination between external and internal reforming and efficient energy integration.</w:t>
      </w:r>
    </w:p>
    <w:p w14:paraId="1566DCEE" w14:textId="6FE8CBD1" w:rsidR="005D0F6F" w:rsidRDefault="005D0F6F" w:rsidP="005D0F6F">
      <w:pPr>
        <w:pStyle w:val="Els-1storder-head"/>
      </w:pPr>
      <w:r>
        <w:t>Conclusions</w:t>
      </w:r>
    </w:p>
    <w:p w14:paraId="39B2FF07" w14:textId="516F23F3" w:rsidR="00F93C75" w:rsidRPr="006C203C" w:rsidRDefault="00627F50" w:rsidP="00627F50">
      <w:pPr>
        <w:pStyle w:val="Els-body-text"/>
        <w:spacing w:after="120"/>
        <w:rPr>
          <w:vertAlign w:val="subscript"/>
        </w:rPr>
      </w:pPr>
      <w:r>
        <w:t xml:space="preserve">In this paper, </w:t>
      </w:r>
      <w:r w:rsidR="00D22D28">
        <w:t>an optimal design for a biogas-based fuel cell system is presented. The option of biogas upgrading is considered and its impact on the overall process design is systematically analyzed through formal optimization. The effect of various design alternatives like external versus internal reforming, cathode gas recycle, auxiliary power production via steam turbine is evaluated and it is shown that the trade-offs associated with these options play a significant role in the synthesis of the optimal flowsheet. Specifically, an optimal value of the extent of pre-reforming and the fraction of flue gas enthalpy used for power generation or energy integration is required to m</w:t>
      </w:r>
      <w:r w:rsidR="00E16C89">
        <w:t>in</w:t>
      </w:r>
      <w:r w:rsidR="00D22D28">
        <w:t xml:space="preserve">imize </w:t>
      </w:r>
      <w:r w:rsidR="00E0753C">
        <w:t xml:space="preserve">the </w:t>
      </w:r>
      <w:r w:rsidR="00D22D28">
        <w:t xml:space="preserve">operating cost or </w:t>
      </w:r>
      <w:r w:rsidR="00E16C89">
        <w:t xml:space="preserve">maximize </w:t>
      </w:r>
      <w:r w:rsidR="00D22D28">
        <w:t xml:space="preserve">the net electrical efficiency. </w:t>
      </w:r>
      <w:r w:rsidR="00BC5140" w:rsidRPr="00627F50">
        <w:t>The synergy between the SOFC and the steam</w:t>
      </w:r>
      <w:r w:rsidR="00D22D28">
        <w:t>/gas</w:t>
      </w:r>
      <w:r w:rsidR="00BC5140" w:rsidRPr="00627F50">
        <w:t xml:space="preserve"> turbine</w:t>
      </w:r>
      <w:r w:rsidR="00D22D28">
        <w:t xml:space="preserve"> towards meeting power target</w:t>
      </w:r>
      <w:r w:rsidR="00BC5140" w:rsidRPr="00627F50">
        <w:t xml:space="preserve"> </w:t>
      </w:r>
      <w:r w:rsidR="00C5388D">
        <w:t xml:space="preserve">also </w:t>
      </w:r>
      <w:r w:rsidR="00BC5140" w:rsidRPr="00627F50">
        <w:t xml:space="preserve">results in </w:t>
      </w:r>
      <w:r w:rsidR="00C5388D">
        <w:t>optimal</w:t>
      </w:r>
      <w:r w:rsidR="00BC5140" w:rsidRPr="00627F50">
        <w:t xml:space="preserve"> net electrical efficiency.</w:t>
      </w:r>
      <w:r w:rsidR="00EB083F">
        <w:t xml:space="preserve"> </w:t>
      </w:r>
      <w:r w:rsidR="00BC5140" w:rsidRPr="00AA78C8">
        <w:t xml:space="preserve">The </w:t>
      </w:r>
      <w:r w:rsidR="00C5388D">
        <w:t>proposed design results in</w:t>
      </w:r>
      <w:r w:rsidR="00BC5140" w:rsidRPr="00AA78C8">
        <w:t xml:space="preserve"> 4.</w:t>
      </w:r>
      <w:r w:rsidR="00C5388D">
        <w:t>1</w:t>
      </w:r>
      <w:r w:rsidR="00BC5140" w:rsidRPr="00AA78C8">
        <w:t xml:space="preserve">% reduction in operating cost </w:t>
      </w:r>
      <w:r w:rsidR="00C5388D">
        <w:t xml:space="preserve">and 4.2% increase in net electrical efficiency as </w:t>
      </w:r>
      <w:r w:rsidR="00BC5140" w:rsidRPr="00AA78C8">
        <w:t xml:space="preserve">compared to </w:t>
      </w:r>
      <w:r w:rsidR="00C5388D">
        <w:t>a</w:t>
      </w:r>
      <w:r w:rsidR="00BC5140" w:rsidRPr="00AA78C8">
        <w:t xml:space="preserve"> </w:t>
      </w:r>
      <w:r w:rsidR="00C5388D">
        <w:t>reported design</w:t>
      </w:r>
      <w:r w:rsidR="00BC5140" w:rsidRPr="00AA78C8">
        <w:t>.</w:t>
      </w:r>
    </w:p>
    <w:p w14:paraId="4C8DB8C3" w14:textId="2CBE6193" w:rsidR="00F259EC" w:rsidRDefault="00F259EC" w:rsidP="00F259EC">
      <w:pPr>
        <w:pStyle w:val="Els-reference-head"/>
      </w:pPr>
      <w:r>
        <w:t>References</w:t>
      </w:r>
    </w:p>
    <w:p w14:paraId="0AF4CD60" w14:textId="730432F0" w:rsidR="00E55311" w:rsidRDefault="00F259EC" w:rsidP="006F148B">
      <w:pPr>
        <w:pStyle w:val="Els-referenceno-number"/>
        <w:jc w:val="both"/>
        <w:rPr>
          <w:lang w:val="en-US"/>
        </w:rPr>
      </w:pPr>
      <w:r w:rsidRPr="00FB2C5A">
        <w:rPr>
          <w:color w:val="222222"/>
          <w:shd w:val="clear" w:color="auto" w:fill="FFFFFF"/>
        </w:rPr>
        <w:t>A.</w:t>
      </w:r>
      <w:r w:rsidR="00C04626">
        <w:rPr>
          <w:color w:val="222222"/>
          <w:shd w:val="clear" w:color="auto" w:fill="FFFFFF"/>
        </w:rPr>
        <w:t xml:space="preserve"> </w:t>
      </w:r>
      <w:r w:rsidRPr="00FB2C5A">
        <w:rPr>
          <w:color w:val="222222"/>
          <w:shd w:val="clear" w:color="auto" w:fill="FFFFFF"/>
        </w:rPr>
        <w:t>Baldinelli,</w:t>
      </w:r>
      <w:r w:rsidR="00E55311">
        <w:rPr>
          <w:color w:val="222222"/>
          <w:shd w:val="clear" w:color="auto" w:fill="FFFFFF"/>
        </w:rPr>
        <w:t xml:space="preserve"> </w:t>
      </w:r>
      <w:r w:rsidRPr="00FB2C5A">
        <w:rPr>
          <w:color w:val="222222"/>
          <w:shd w:val="clear" w:color="auto" w:fill="FFFFFF"/>
        </w:rPr>
        <w:t xml:space="preserve">L. Barelli, G. Bidini, </w:t>
      </w:r>
      <w:r>
        <w:rPr>
          <w:color w:val="222222"/>
          <w:shd w:val="clear" w:color="auto" w:fill="FFFFFF"/>
        </w:rPr>
        <w:t>2017</w:t>
      </w:r>
      <w:r w:rsidR="00C04626">
        <w:rPr>
          <w:color w:val="222222"/>
          <w:shd w:val="clear" w:color="auto" w:fill="FFFFFF"/>
        </w:rPr>
        <w:t>,</w:t>
      </w:r>
      <w:r w:rsidRPr="00FB2C5A">
        <w:rPr>
          <w:color w:val="222222"/>
          <w:shd w:val="clear" w:color="auto" w:fill="FFFFFF"/>
        </w:rPr>
        <w:t xml:space="preserve"> Upgrading versus reforming: An energy and exergy analysis of two Solid Oxide Fuel Cell-based systems for a convenient biogas-to-electricity conversion</w:t>
      </w:r>
      <w:r w:rsidR="00ED060B">
        <w:rPr>
          <w:color w:val="222222"/>
          <w:shd w:val="clear" w:color="auto" w:fill="FFFFFF"/>
        </w:rPr>
        <w:t>,</w:t>
      </w:r>
      <w:r w:rsidRPr="00FB2C5A">
        <w:rPr>
          <w:color w:val="222222"/>
          <w:shd w:val="clear" w:color="auto" w:fill="FFFFFF"/>
        </w:rPr>
        <w:t> </w:t>
      </w:r>
      <w:r w:rsidRPr="00FB2C5A">
        <w:rPr>
          <w:iCs/>
          <w:color w:val="222222"/>
          <w:shd w:val="clear" w:color="auto" w:fill="FFFFFF"/>
        </w:rPr>
        <w:t>Energy Conversion and Management</w:t>
      </w:r>
      <w:r w:rsidRPr="00FB2C5A">
        <w:rPr>
          <w:color w:val="222222"/>
          <w:shd w:val="clear" w:color="auto" w:fill="FFFFFF"/>
        </w:rPr>
        <w:t>, </w:t>
      </w:r>
      <w:r w:rsidRPr="00FB2C5A">
        <w:rPr>
          <w:iCs/>
          <w:color w:val="222222"/>
          <w:shd w:val="clear" w:color="auto" w:fill="FFFFFF"/>
        </w:rPr>
        <w:t>138</w:t>
      </w:r>
      <w:r w:rsidRPr="00FB2C5A">
        <w:rPr>
          <w:color w:val="222222"/>
          <w:shd w:val="clear" w:color="auto" w:fill="FFFFFF"/>
        </w:rPr>
        <w:t>, 360-374</w:t>
      </w:r>
      <w:r w:rsidR="00C04626">
        <w:rPr>
          <w:color w:val="222222"/>
          <w:szCs w:val="18"/>
          <w:shd w:val="clear" w:color="auto" w:fill="FFFFFF"/>
        </w:rPr>
        <w:t>.</w:t>
      </w:r>
    </w:p>
    <w:p w14:paraId="09B28F80" w14:textId="1350C171" w:rsidR="00493862" w:rsidRDefault="00493862" w:rsidP="00493862">
      <w:pPr>
        <w:pStyle w:val="Els-referenceno-number"/>
        <w:jc w:val="both"/>
        <w:rPr>
          <w:color w:val="222222"/>
          <w:shd w:val="clear" w:color="auto" w:fill="FFFFFF"/>
        </w:rPr>
      </w:pPr>
      <w:r>
        <w:rPr>
          <w:color w:val="222222"/>
          <w:shd w:val="clear" w:color="auto" w:fill="FFFFFF"/>
        </w:rPr>
        <w:t xml:space="preserve">A. </w:t>
      </w:r>
      <w:r w:rsidRPr="00493862">
        <w:rPr>
          <w:color w:val="222222"/>
          <w:shd w:val="clear" w:color="auto" w:fill="FFFFFF"/>
        </w:rPr>
        <w:t xml:space="preserve">Galvagno, </w:t>
      </w:r>
      <w:r>
        <w:rPr>
          <w:color w:val="222222"/>
          <w:shd w:val="clear" w:color="auto" w:fill="FFFFFF"/>
        </w:rPr>
        <w:t xml:space="preserve">V. </w:t>
      </w:r>
      <w:r w:rsidRPr="00493862">
        <w:rPr>
          <w:color w:val="222222"/>
          <w:shd w:val="clear" w:color="auto" w:fill="FFFFFF"/>
        </w:rPr>
        <w:t xml:space="preserve">Chiodo, </w:t>
      </w:r>
      <w:r>
        <w:rPr>
          <w:color w:val="222222"/>
          <w:shd w:val="clear" w:color="auto" w:fill="FFFFFF"/>
        </w:rPr>
        <w:t xml:space="preserve">F. </w:t>
      </w:r>
      <w:r w:rsidRPr="00493862">
        <w:rPr>
          <w:color w:val="222222"/>
          <w:shd w:val="clear" w:color="auto" w:fill="FFFFFF"/>
        </w:rPr>
        <w:t xml:space="preserve">Urbani, </w:t>
      </w:r>
      <w:r>
        <w:rPr>
          <w:color w:val="222222"/>
          <w:shd w:val="clear" w:color="auto" w:fill="FFFFFF"/>
        </w:rPr>
        <w:t xml:space="preserve">F. </w:t>
      </w:r>
      <w:r w:rsidRPr="00493862">
        <w:rPr>
          <w:color w:val="222222"/>
          <w:shd w:val="clear" w:color="auto" w:fill="FFFFFF"/>
        </w:rPr>
        <w:t xml:space="preserve">Freni, </w:t>
      </w:r>
      <w:r>
        <w:rPr>
          <w:color w:val="222222"/>
          <w:shd w:val="clear" w:color="auto" w:fill="FFFFFF"/>
        </w:rPr>
        <w:t xml:space="preserve">2013, </w:t>
      </w:r>
      <w:r w:rsidRPr="00493862">
        <w:rPr>
          <w:color w:val="222222"/>
          <w:shd w:val="clear" w:color="auto" w:fill="FFFFFF"/>
        </w:rPr>
        <w:t>Biogas as hydrogen source for fuel cell</w:t>
      </w:r>
      <w:r>
        <w:rPr>
          <w:color w:val="222222"/>
          <w:shd w:val="clear" w:color="auto" w:fill="FFFFFF"/>
        </w:rPr>
        <w:t xml:space="preserve"> </w:t>
      </w:r>
      <w:r w:rsidRPr="00493862">
        <w:rPr>
          <w:color w:val="222222"/>
          <w:shd w:val="clear" w:color="auto" w:fill="FFFFFF"/>
        </w:rPr>
        <w:t>applications</w:t>
      </w:r>
      <w:r>
        <w:rPr>
          <w:color w:val="222222"/>
          <w:shd w:val="clear" w:color="auto" w:fill="FFFFFF"/>
        </w:rPr>
        <w:t>,</w:t>
      </w:r>
      <w:r w:rsidRPr="00493862">
        <w:rPr>
          <w:color w:val="222222"/>
          <w:shd w:val="clear" w:color="auto" w:fill="FFFFFF"/>
        </w:rPr>
        <w:t xml:space="preserve"> International Journal of Hydrogen Energy</w:t>
      </w:r>
      <w:r>
        <w:rPr>
          <w:color w:val="222222"/>
          <w:shd w:val="clear" w:color="auto" w:fill="FFFFFF"/>
        </w:rPr>
        <w:t>,</w:t>
      </w:r>
      <w:r w:rsidRPr="00493862">
        <w:rPr>
          <w:color w:val="222222"/>
          <w:shd w:val="clear" w:color="auto" w:fill="FFFFFF"/>
        </w:rPr>
        <w:t xml:space="preserve"> 38, 3913–3920.</w:t>
      </w:r>
    </w:p>
    <w:p w14:paraId="3B8E191A" w14:textId="426FA470" w:rsidR="00DF669B" w:rsidRDefault="006F148B" w:rsidP="003B02D6">
      <w:pPr>
        <w:pStyle w:val="Els-referenceno-number"/>
        <w:jc w:val="both"/>
        <w:rPr>
          <w:color w:val="222222"/>
          <w:shd w:val="clear" w:color="auto" w:fill="FFFFFF"/>
        </w:rPr>
      </w:pPr>
      <w:r>
        <w:rPr>
          <w:color w:val="222222"/>
          <w:shd w:val="clear" w:color="auto" w:fill="FFFFFF"/>
        </w:rPr>
        <w:t>A.</w:t>
      </w:r>
      <w:r w:rsidR="00C04626">
        <w:rPr>
          <w:color w:val="222222"/>
          <w:shd w:val="clear" w:color="auto" w:fill="FFFFFF"/>
        </w:rPr>
        <w:t xml:space="preserve"> </w:t>
      </w:r>
      <w:r>
        <w:rPr>
          <w:color w:val="222222"/>
          <w:shd w:val="clear" w:color="auto" w:fill="FFFFFF"/>
        </w:rPr>
        <w:t>Makaruk, M. Miltner, M. Harasek, 2010</w:t>
      </w:r>
      <w:r w:rsidR="00C04626">
        <w:rPr>
          <w:color w:val="222222"/>
          <w:shd w:val="clear" w:color="auto" w:fill="FFFFFF"/>
        </w:rPr>
        <w:t>,</w:t>
      </w:r>
      <w:r w:rsidRPr="006F148B">
        <w:rPr>
          <w:color w:val="222222"/>
          <w:shd w:val="clear" w:color="auto" w:fill="FFFFFF"/>
        </w:rPr>
        <w:t xml:space="preserve"> </w:t>
      </w:r>
      <w:r w:rsidRPr="00F259EC">
        <w:rPr>
          <w:color w:val="222222"/>
          <w:shd w:val="clear" w:color="auto" w:fill="FFFFFF"/>
        </w:rPr>
        <w:t>Membrane biogas upgrading processes for the production of natural gas substitute</w:t>
      </w:r>
      <w:r w:rsidR="00ED060B">
        <w:rPr>
          <w:color w:val="222222"/>
          <w:shd w:val="clear" w:color="auto" w:fill="FFFFFF"/>
        </w:rPr>
        <w:t xml:space="preserve">, </w:t>
      </w:r>
      <w:r>
        <w:rPr>
          <w:color w:val="222222"/>
          <w:shd w:val="clear" w:color="auto" w:fill="FFFFFF"/>
        </w:rPr>
        <w:t>Separation and Purification, 74(1),</w:t>
      </w:r>
      <w:r w:rsidR="00B36C26">
        <w:rPr>
          <w:color w:val="222222"/>
          <w:shd w:val="clear" w:color="auto" w:fill="FFFFFF"/>
        </w:rPr>
        <w:t xml:space="preserve"> </w:t>
      </w:r>
      <w:r>
        <w:rPr>
          <w:color w:val="222222"/>
          <w:shd w:val="clear" w:color="auto" w:fill="FFFFFF"/>
        </w:rPr>
        <w:t>83-92</w:t>
      </w:r>
      <w:r w:rsidR="00C04626">
        <w:rPr>
          <w:color w:val="222222"/>
          <w:shd w:val="clear" w:color="auto" w:fill="FFFFFF"/>
        </w:rPr>
        <w:t>.</w:t>
      </w:r>
      <w:r>
        <w:rPr>
          <w:color w:val="222222"/>
          <w:shd w:val="clear" w:color="auto" w:fill="FFFFFF"/>
        </w:rPr>
        <w:t xml:space="preserve"> </w:t>
      </w:r>
    </w:p>
    <w:p w14:paraId="144DE6C3" w14:textId="2FD649F1" w:rsidR="008D2649" w:rsidRPr="00946108" w:rsidRDefault="00C04626" w:rsidP="00946108">
      <w:pPr>
        <w:pStyle w:val="Els-referenceno-number"/>
        <w:rPr>
          <w:color w:val="222222"/>
          <w:shd w:val="clear" w:color="auto" w:fill="FFFFFF"/>
        </w:rPr>
      </w:pPr>
      <w:r>
        <w:rPr>
          <w:color w:val="222222"/>
          <w:shd w:val="clear" w:color="auto" w:fill="FFFFFF"/>
        </w:rPr>
        <w:t xml:space="preserve">V. Uday and S. S. Jogwar, 2023, </w:t>
      </w:r>
      <w:r w:rsidR="00ED060B" w:rsidRPr="00ED060B">
        <w:rPr>
          <w:color w:val="222222"/>
          <w:shd w:val="clear" w:color="auto" w:fill="FFFFFF"/>
        </w:rPr>
        <w:t>Optimal design of an integrated biogas-based fuel cell system</w:t>
      </w:r>
      <w:r w:rsidR="00ED060B">
        <w:rPr>
          <w:color w:val="222222"/>
          <w:shd w:val="clear" w:color="auto" w:fill="FFFFFF"/>
        </w:rPr>
        <w:t>, Industrial and Engineering Chemistry Research, submitted for publication.</w:t>
      </w:r>
    </w:p>
    <w:sectPr w:rsidR="008D2649" w:rsidRPr="00946108" w:rsidSect="000A0749">
      <w:headerReference w:type="even" r:id="rId10"/>
      <w:headerReference w:type="default" r:id="rId11"/>
      <w:headerReference w:type="first" r:id="rId12"/>
      <w:type w:val="continuous"/>
      <w:pgSz w:w="11906" w:h="16838" w:code="9"/>
      <w:pgMar w:top="2376"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AAD39" w14:textId="77777777" w:rsidR="008413A8" w:rsidRDefault="008413A8">
      <w:r>
        <w:separator/>
      </w:r>
    </w:p>
  </w:endnote>
  <w:endnote w:type="continuationSeparator" w:id="0">
    <w:p w14:paraId="55E4E815" w14:textId="77777777" w:rsidR="008413A8" w:rsidRDefault="0084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4DCFA" w14:textId="77777777" w:rsidR="008413A8" w:rsidRDefault="008413A8">
      <w:r>
        <w:separator/>
      </w:r>
    </w:p>
  </w:footnote>
  <w:footnote w:type="continuationSeparator" w:id="0">
    <w:p w14:paraId="410974B0" w14:textId="77777777" w:rsidR="008413A8" w:rsidRDefault="00841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489EA0A7" w:rsidR="00D22D28" w:rsidRPr="00FB2C5A" w:rsidRDefault="00D22D28" w:rsidP="00FB2C5A">
    <w:pPr>
      <w:pStyle w:val="Intestazione"/>
      <w:tabs>
        <w:tab w:val="clear" w:pos="7200"/>
        <w:tab w:val="right" w:pos="7088"/>
      </w:tabs>
      <w:jc w:val="right"/>
      <w:rPr>
        <w:lang w:val="en-IN"/>
      </w:rPr>
    </w:pPr>
    <w:r>
      <w:rPr>
        <w:i/>
        <w:lang w:val="en-IN"/>
      </w:rPr>
      <w:t>Uday and Jogwar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5A8EA94F" w:rsidR="00D22D28" w:rsidRPr="00FB2C5A" w:rsidRDefault="00D22D28" w:rsidP="000A0749">
    <w:pPr>
      <w:pStyle w:val="Intestazione"/>
      <w:tabs>
        <w:tab w:val="clear" w:pos="7200"/>
        <w:tab w:val="right" w:pos="7088"/>
      </w:tabs>
      <w:rPr>
        <w:i/>
        <w:sz w:val="24"/>
      </w:rPr>
    </w:pPr>
    <w:r w:rsidRPr="00FB2C5A">
      <w:rPr>
        <w:i/>
        <w:color w:val="222222"/>
        <w:szCs w:val="27"/>
        <w:shd w:val="clear" w:color="auto" w:fill="FFFFFF"/>
      </w:rPr>
      <w:t>Optimal design of an energy</w:t>
    </w:r>
    <w:r>
      <w:rPr>
        <w:i/>
        <w:color w:val="222222"/>
        <w:szCs w:val="27"/>
        <w:shd w:val="clear" w:color="auto" w:fill="FFFFFF"/>
      </w:rPr>
      <w:t>-</w:t>
    </w:r>
    <w:r w:rsidRPr="00FB2C5A">
      <w:rPr>
        <w:i/>
        <w:color w:val="222222"/>
        <w:szCs w:val="27"/>
        <w:shd w:val="clear" w:color="auto" w:fill="FFFFFF"/>
      </w:rPr>
      <w:t>integrated biogas</w:t>
    </w:r>
    <w:r>
      <w:rPr>
        <w:i/>
        <w:color w:val="222222"/>
        <w:szCs w:val="27"/>
        <w:shd w:val="clear" w:color="auto" w:fill="FFFFFF"/>
      </w:rPr>
      <w:t>-</w:t>
    </w:r>
    <w:r w:rsidRPr="00FB2C5A">
      <w:rPr>
        <w:i/>
        <w:color w:val="222222"/>
        <w:szCs w:val="27"/>
        <w:shd w:val="clear" w:color="auto" w:fill="FFFFFF"/>
      </w:rPr>
      <w:t>powered fuel cell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D22D28" w:rsidRPr="003B50B5" w:rsidRDefault="00D22D28"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22D28" w:rsidRDefault="00D22D28"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CC1536C"/>
    <w:multiLevelType w:val="hybridMultilevel"/>
    <w:tmpl w:val="CBE0F3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1E1F44E4"/>
    <w:multiLevelType w:val="hybridMultilevel"/>
    <w:tmpl w:val="3AB8185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1985"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3"/>
  </w:num>
  <w:num w:numId="3">
    <w:abstractNumId w:val="13"/>
  </w:num>
  <w:num w:numId="4">
    <w:abstractNumId w:val="13"/>
  </w:num>
  <w:num w:numId="5">
    <w:abstractNumId w:val="0"/>
  </w:num>
  <w:num w:numId="6">
    <w:abstractNumId w:val="8"/>
  </w:num>
  <w:num w:numId="7">
    <w:abstractNumId w:val="14"/>
  </w:num>
  <w:num w:numId="8">
    <w:abstractNumId w:val="1"/>
  </w:num>
  <w:num w:numId="9">
    <w:abstractNumId w:val="12"/>
  </w:num>
  <w:num w:numId="10">
    <w:abstractNumId w:val="16"/>
  </w:num>
  <w:num w:numId="11">
    <w:abstractNumId w:val="15"/>
  </w:num>
  <w:num w:numId="12">
    <w:abstractNumId w:val="7"/>
  </w:num>
  <w:num w:numId="13">
    <w:abstractNumId w:val="10"/>
  </w:num>
  <w:num w:numId="14">
    <w:abstractNumId w:val="3"/>
  </w:num>
  <w:num w:numId="15">
    <w:abstractNumId w:val="9"/>
  </w:num>
  <w:num w:numId="16">
    <w:abstractNumId w:val="5"/>
  </w:num>
  <w:num w:numId="17">
    <w:abstractNumId w:val="6"/>
  </w:num>
  <w:num w:numId="18">
    <w:abstractNumId w:val="11"/>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2C98"/>
    <w:rsid w:val="000264B7"/>
    <w:rsid w:val="00041AFB"/>
    <w:rsid w:val="00061B7C"/>
    <w:rsid w:val="00084238"/>
    <w:rsid w:val="000A0749"/>
    <w:rsid w:val="000A25FF"/>
    <w:rsid w:val="000D3614"/>
    <w:rsid w:val="000D3D9B"/>
    <w:rsid w:val="000E3489"/>
    <w:rsid w:val="000E78F7"/>
    <w:rsid w:val="0016032F"/>
    <w:rsid w:val="001879F6"/>
    <w:rsid w:val="001C0148"/>
    <w:rsid w:val="001C757E"/>
    <w:rsid w:val="001F22E4"/>
    <w:rsid w:val="001F6F1B"/>
    <w:rsid w:val="0020390F"/>
    <w:rsid w:val="00205A4F"/>
    <w:rsid w:val="00217262"/>
    <w:rsid w:val="00264926"/>
    <w:rsid w:val="002653DE"/>
    <w:rsid w:val="00277BC2"/>
    <w:rsid w:val="002A3314"/>
    <w:rsid w:val="002C49FA"/>
    <w:rsid w:val="002D1164"/>
    <w:rsid w:val="002E244A"/>
    <w:rsid w:val="00310364"/>
    <w:rsid w:val="003639DF"/>
    <w:rsid w:val="003A4880"/>
    <w:rsid w:val="003A5651"/>
    <w:rsid w:val="003B02D6"/>
    <w:rsid w:val="003B0BC5"/>
    <w:rsid w:val="003D1582"/>
    <w:rsid w:val="003D7E4C"/>
    <w:rsid w:val="003E41C2"/>
    <w:rsid w:val="00412A49"/>
    <w:rsid w:val="0046512C"/>
    <w:rsid w:val="0048076F"/>
    <w:rsid w:val="00493862"/>
    <w:rsid w:val="0049772C"/>
    <w:rsid w:val="00497A28"/>
    <w:rsid w:val="004A737D"/>
    <w:rsid w:val="004B33A0"/>
    <w:rsid w:val="004E71CA"/>
    <w:rsid w:val="004F415F"/>
    <w:rsid w:val="004F6FC6"/>
    <w:rsid w:val="00552EEB"/>
    <w:rsid w:val="0055486F"/>
    <w:rsid w:val="0055783D"/>
    <w:rsid w:val="005848D2"/>
    <w:rsid w:val="005D0F6F"/>
    <w:rsid w:val="006105F7"/>
    <w:rsid w:val="00627F50"/>
    <w:rsid w:val="0066355D"/>
    <w:rsid w:val="0068274C"/>
    <w:rsid w:val="00694DE6"/>
    <w:rsid w:val="006A52F3"/>
    <w:rsid w:val="006A69BF"/>
    <w:rsid w:val="006C203C"/>
    <w:rsid w:val="006E21B6"/>
    <w:rsid w:val="006E3DDB"/>
    <w:rsid w:val="006F148B"/>
    <w:rsid w:val="00711346"/>
    <w:rsid w:val="00711DF4"/>
    <w:rsid w:val="00740AB2"/>
    <w:rsid w:val="0079224C"/>
    <w:rsid w:val="007D31EB"/>
    <w:rsid w:val="007D70A1"/>
    <w:rsid w:val="008132E8"/>
    <w:rsid w:val="00817622"/>
    <w:rsid w:val="00823407"/>
    <w:rsid w:val="008413A8"/>
    <w:rsid w:val="0084634D"/>
    <w:rsid w:val="008479BD"/>
    <w:rsid w:val="00855BD5"/>
    <w:rsid w:val="00860ED6"/>
    <w:rsid w:val="008932C2"/>
    <w:rsid w:val="008B0184"/>
    <w:rsid w:val="008C5D02"/>
    <w:rsid w:val="008D2649"/>
    <w:rsid w:val="0090568D"/>
    <w:rsid w:val="00906642"/>
    <w:rsid w:val="009125C9"/>
    <w:rsid w:val="00913879"/>
    <w:rsid w:val="00917661"/>
    <w:rsid w:val="0092268D"/>
    <w:rsid w:val="00923FC2"/>
    <w:rsid w:val="00931E83"/>
    <w:rsid w:val="00936972"/>
    <w:rsid w:val="009421FD"/>
    <w:rsid w:val="00946108"/>
    <w:rsid w:val="00965543"/>
    <w:rsid w:val="00970532"/>
    <w:rsid w:val="00970E5D"/>
    <w:rsid w:val="0097143F"/>
    <w:rsid w:val="0097701C"/>
    <w:rsid w:val="00980A65"/>
    <w:rsid w:val="009B04FF"/>
    <w:rsid w:val="009B1020"/>
    <w:rsid w:val="009B5113"/>
    <w:rsid w:val="009D3681"/>
    <w:rsid w:val="009D7E8C"/>
    <w:rsid w:val="00A06A77"/>
    <w:rsid w:val="00A10714"/>
    <w:rsid w:val="00A25E70"/>
    <w:rsid w:val="00A33765"/>
    <w:rsid w:val="00A4362A"/>
    <w:rsid w:val="00A53058"/>
    <w:rsid w:val="00A63269"/>
    <w:rsid w:val="00A75101"/>
    <w:rsid w:val="00A81D67"/>
    <w:rsid w:val="00A92377"/>
    <w:rsid w:val="00A93F0A"/>
    <w:rsid w:val="00AA78C8"/>
    <w:rsid w:val="00AB0850"/>
    <w:rsid w:val="00AB29ED"/>
    <w:rsid w:val="00AD7474"/>
    <w:rsid w:val="00AD74DB"/>
    <w:rsid w:val="00AE4BD8"/>
    <w:rsid w:val="00B2582C"/>
    <w:rsid w:val="00B345AF"/>
    <w:rsid w:val="00B36C26"/>
    <w:rsid w:val="00B4388F"/>
    <w:rsid w:val="00B44F1E"/>
    <w:rsid w:val="00B63237"/>
    <w:rsid w:val="00B669CC"/>
    <w:rsid w:val="00BA1135"/>
    <w:rsid w:val="00BB07D4"/>
    <w:rsid w:val="00BB65F0"/>
    <w:rsid w:val="00BC5140"/>
    <w:rsid w:val="00BC707D"/>
    <w:rsid w:val="00BE7D62"/>
    <w:rsid w:val="00BF68E7"/>
    <w:rsid w:val="00C04626"/>
    <w:rsid w:val="00C26D5C"/>
    <w:rsid w:val="00C42C50"/>
    <w:rsid w:val="00C51576"/>
    <w:rsid w:val="00C5388D"/>
    <w:rsid w:val="00C60805"/>
    <w:rsid w:val="00C8169B"/>
    <w:rsid w:val="00C960DC"/>
    <w:rsid w:val="00D02C75"/>
    <w:rsid w:val="00D10E22"/>
    <w:rsid w:val="00D13D2C"/>
    <w:rsid w:val="00D22D28"/>
    <w:rsid w:val="00D23B02"/>
    <w:rsid w:val="00D35B1C"/>
    <w:rsid w:val="00D677E6"/>
    <w:rsid w:val="00DB6176"/>
    <w:rsid w:val="00DB7049"/>
    <w:rsid w:val="00DC2F94"/>
    <w:rsid w:val="00DD3D9E"/>
    <w:rsid w:val="00DD62A4"/>
    <w:rsid w:val="00DD7908"/>
    <w:rsid w:val="00DE32DF"/>
    <w:rsid w:val="00DF669B"/>
    <w:rsid w:val="00E0753C"/>
    <w:rsid w:val="00E13E7E"/>
    <w:rsid w:val="00E16C89"/>
    <w:rsid w:val="00E224AC"/>
    <w:rsid w:val="00E371B9"/>
    <w:rsid w:val="00E55311"/>
    <w:rsid w:val="00E82297"/>
    <w:rsid w:val="00EB083F"/>
    <w:rsid w:val="00EB159F"/>
    <w:rsid w:val="00EB53BF"/>
    <w:rsid w:val="00ED060B"/>
    <w:rsid w:val="00ED7326"/>
    <w:rsid w:val="00EE3E24"/>
    <w:rsid w:val="00EF39FD"/>
    <w:rsid w:val="00F06842"/>
    <w:rsid w:val="00F0729E"/>
    <w:rsid w:val="00F10311"/>
    <w:rsid w:val="00F107FD"/>
    <w:rsid w:val="00F259EC"/>
    <w:rsid w:val="00F436AB"/>
    <w:rsid w:val="00F9396F"/>
    <w:rsid w:val="00F93C75"/>
    <w:rsid w:val="00F95BD4"/>
    <w:rsid w:val="00FA0D4C"/>
    <w:rsid w:val="00FB2C5A"/>
    <w:rsid w:val="00FB64A8"/>
    <w:rsid w:val="00FD3741"/>
    <w:rsid w:val="00FE78A1"/>
    <w:rsid w:val="00FF5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styleId="NormaleWeb">
    <w:name w:val="Normal (Web)"/>
    <w:basedOn w:val="Normale"/>
    <w:uiPriority w:val="99"/>
    <w:semiHidden/>
    <w:unhideWhenUsed/>
    <w:rsid w:val="00F9396F"/>
    <w:pPr>
      <w:spacing w:before="100" w:beforeAutospacing="1" w:after="100" w:afterAutospacing="1"/>
    </w:pPr>
    <w:rPr>
      <w:sz w:val="24"/>
      <w:szCs w:val="24"/>
      <w:lang w:val="en-IN" w:eastAsia="en-IN"/>
    </w:rPr>
  </w:style>
  <w:style w:type="table" w:styleId="Grigliatabella">
    <w:name w:val="Table Grid"/>
    <w:basedOn w:val="Tabellanormale"/>
    <w:rsid w:val="00BC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11346"/>
    <w:pPr>
      <w:ind w:left="720"/>
      <w:contextualSpacing/>
    </w:pPr>
  </w:style>
  <w:style w:type="paragraph" w:styleId="Corpotesto">
    <w:name w:val="Body Text"/>
    <w:basedOn w:val="Normale"/>
    <w:link w:val="CorpotestoCarattere"/>
    <w:uiPriority w:val="1"/>
    <w:qFormat/>
    <w:rsid w:val="0066355D"/>
    <w:pPr>
      <w:widowControl w:val="0"/>
      <w:autoSpaceDE w:val="0"/>
      <w:autoSpaceDN w:val="0"/>
    </w:pPr>
    <w:rPr>
      <w:rFonts w:ascii="Calibri" w:eastAsia="Calibri" w:hAnsi="Calibri" w:cs="Calibri"/>
      <w:sz w:val="24"/>
      <w:szCs w:val="24"/>
      <w:lang w:val="en-US"/>
    </w:rPr>
  </w:style>
  <w:style w:type="character" w:customStyle="1" w:styleId="CorpotestoCarattere">
    <w:name w:val="Corpo testo Carattere"/>
    <w:basedOn w:val="Carpredefinitoparagrafo"/>
    <w:link w:val="Corpotesto"/>
    <w:uiPriority w:val="1"/>
    <w:rsid w:val="0066355D"/>
    <w:rPr>
      <w:rFonts w:ascii="Calibri" w:eastAsia="Calibri" w:hAnsi="Calibri" w:cs="Calibri"/>
      <w:sz w:val="24"/>
      <w:szCs w:val="24"/>
      <w:lang w:val="en-US" w:eastAsia="en-US"/>
    </w:rPr>
  </w:style>
  <w:style w:type="character" w:styleId="Testosegnaposto">
    <w:name w:val="Placeholder Text"/>
    <w:basedOn w:val="Carpredefinitoparagrafo"/>
    <w:uiPriority w:val="99"/>
    <w:semiHidden/>
    <w:rsid w:val="00C608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566792">
      <w:bodyDiv w:val="1"/>
      <w:marLeft w:val="0"/>
      <w:marRight w:val="0"/>
      <w:marTop w:val="0"/>
      <w:marBottom w:val="0"/>
      <w:divBdr>
        <w:top w:val="none" w:sz="0" w:space="0" w:color="auto"/>
        <w:left w:val="none" w:sz="0" w:space="0" w:color="auto"/>
        <w:bottom w:val="none" w:sz="0" w:space="0" w:color="auto"/>
        <w:right w:val="none" w:sz="0" w:space="0" w:color="auto"/>
      </w:divBdr>
    </w:div>
    <w:div w:id="176379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32AF5-B1A7-4B40-9982-41C77BF0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402</TotalTime>
  <Pages>6</Pages>
  <Words>2476</Words>
  <Characters>14115</Characters>
  <Application>Microsoft Office Word</Application>
  <DocSecurity>0</DocSecurity>
  <Lines>117</Lines>
  <Paragraphs>33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49</cp:revision>
  <cp:lastPrinted>2023-11-23T11:50:00Z</cp:lastPrinted>
  <dcterms:created xsi:type="dcterms:W3CDTF">2023-11-29T07:04:00Z</dcterms:created>
  <dcterms:modified xsi:type="dcterms:W3CDTF">2024-01-24T13:28:00Z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