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537D3A85" w:rsidR="00DD3D9E" w:rsidRPr="00153119" w:rsidRDefault="005E28BB">
      <w:pPr>
        <w:pStyle w:val="Els-Title"/>
        <w:rPr>
          <w:color w:val="000000" w:themeColor="text1"/>
          <w:lang w:val="en-GB"/>
        </w:rPr>
      </w:pPr>
      <w:r w:rsidRPr="00153119">
        <w:rPr>
          <w:color w:val="000000" w:themeColor="text1"/>
          <w:lang w:val="en-GB"/>
        </w:rPr>
        <w:t xml:space="preserve">Electric </w:t>
      </w:r>
      <w:r w:rsidR="00954096">
        <w:rPr>
          <w:color w:val="000000" w:themeColor="text1"/>
          <w:lang w:val="en-GB"/>
        </w:rPr>
        <w:t>H</w:t>
      </w:r>
      <w:r w:rsidRPr="00153119">
        <w:rPr>
          <w:color w:val="000000" w:themeColor="text1"/>
          <w:lang w:val="en-GB"/>
        </w:rPr>
        <w:t xml:space="preserve">eat </w:t>
      </w:r>
      <w:r w:rsidR="00954096">
        <w:rPr>
          <w:color w:val="000000" w:themeColor="text1"/>
          <w:lang w:val="en-GB"/>
        </w:rPr>
        <w:t>P</w:t>
      </w:r>
      <w:r w:rsidRPr="00153119">
        <w:rPr>
          <w:color w:val="000000" w:themeColor="text1"/>
          <w:lang w:val="en-GB"/>
        </w:rPr>
        <w:t xml:space="preserve">umps and </w:t>
      </w:r>
      <w:r w:rsidR="00954096">
        <w:rPr>
          <w:color w:val="000000" w:themeColor="text1"/>
          <w:lang w:val="en-GB"/>
        </w:rPr>
        <w:t>C</w:t>
      </w:r>
      <w:r w:rsidRPr="00153119">
        <w:rPr>
          <w:color w:val="000000" w:themeColor="text1"/>
          <w:lang w:val="en-GB"/>
        </w:rPr>
        <w:t xml:space="preserve">ombined </w:t>
      </w:r>
      <w:r w:rsidR="00954096">
        <w:rPr>
          <w:color w:val="000000" w:themeColor="text1"/>
          <w:lang w:val="en-GB"/>
        </w:rPr>
        <w:t>H</w:t>
      </w:r>
      <w:r w:rsidRPr="00153119">
        <w:rPr>
          <w:color w:val="000000" w:themeColor="text1"/>
          <w:lang w:val="en-GB"/>
        </w:rPr>
        <w:t xml:space="preserve">eat and </w:t>
      </w:r>
      <w:r w:rsidR="00954096">
        <w:rPr>
          <w:color w:val="000000" w:themeColor="text1"/>
          <w:lang w:val="en-GB"/>
        </w:rPr>
        <w:t>P</w:t>
      </w:r>
      <w:r w:rsidRPr="00153119">
        <w:rPr>
          <w:color w:val="000000" w:themeColor="text1"/>
          <w:lang w:val="en-GB"/>
        </w:rPr>
        <w:t xml:space="preserve">ower </w:t>
      </w:r>
      <w:r w:rsidR="00954096">
        <w:rPr>
          <w:color w:val="000000" w:themeColor="text1"/>
          <w:lang w:val="en-GB"/>
        </w:rPr>
        <w:t>S</w:t>
      </w:r>
      <w:r w:rsidRPr="00153119">
        <w:rPr>
          <w:color w:val="000000" w:themeColor="text1"/>
          <w:lang w:val="en-GB"/>
        </w:rPr>
        <w:t xml:space="preserve">ystems </w:t>
      </w:r>
      <w:r w:rsidR="00334D16">
        <w:rPr>
          <w:color w:val="000000" w:themeColor="text1"/>
          <w:lang w:val="en-GB"/>
        </w:rPr>
        <w:t>for the</w:t>
      </w:r>
      <w:r w:rsidRPr="00153119">
        <w:rPr>
          <w:color w:val="000000" w:themeColor="text1"/>
          <w:lang w:val="en-GB"/>
        </w:rPr>
        <w:t xml:space="preserve"> </w:t>
      </w:r>
      <w:r w:rsidR="00954096">
        <w:rPr>
          <w:color w:val="000000" w:themeColor="text1"/>
          <w:lang w:val="en-GB"/>
        </w:rPr>
        <w:t>O</w:t>
      </w:r>
      <w:r w:rsidRPr="00153119">
        <w:rPr>
          <w:color w:val="000000" w:themeColor="text1"/>
          <w:lang w:val="en-GB"/>
        </w:rPr>
        <w:t xml:space="preserve">ptimal </w:t>
      </w:r>
      <w:r w:rsidR="00954096">
        <w:rPr>
          <w:color w:val="000000" w:themeColor="text1"/>
          <w:lang w:val="en-GB"/>
        </w:rPr>
        <w:t>D</w:t>
      </w:r>
      <w:r w:rsidR="00153119" w:rsidRPr="00153119">
        <w:rPr>
          <w:color w:val="000000" w:themeColor="text1"/>
          <w:lang w:val="en-GB"/>
        </w:rPr>
        <w:t>ecarbonis</w:t>
      </w:r>
      <w:r w:rsidR="00334D16">
        <w:rPr>
          <w:color w:val="000000" w:themeColor="text1"/>
          <w:lang w:val="en-GB"/>
        </w:rPr>
        <w:t>ation of</w:t>
      </w:r>
      <w:r w:rsidRPr="00153119">
        <w:rPr>
          <w:color w:val="000000" w:themeColor="text1"/>
          <w:lang w:val="en-GB"/>
        </w:rPr>
        <w:t xml:space="preserve"> the </w:t>
      </w:r>
      <w:r w:rsidR="00954096">
        <w:rPr>
          <w:color w:val="000000" w:themeColor="text1"/>
          <w:lang w:val="en-GB"/>
        </w:rPr>
        <w:t>I</w:t>
      </w:r>
      <w:r w:rsidRPr="00153119">
        <w:rPr>
          <w:color w:val="000000" w:themeColor="text1"/>
          <w:lang w:val="en-GB"/>
        </w:rPr>
        <w:t xml:space="preserve">ntegrated UK </w:t>
      </w:r>
      <w:r w:rsidR="00954096">
        <w:rPr>
          <w:color w:val="000000" w:themeColor="text1"/>
          <w:lang w:val="en-GB"/>
        </w:rPr>
        <w:t>E</w:t>
      </w:r>
      <w:r w:rsidRPr="00153119">
        <w:rPr>
          <w:color w:val="000000" w:themeColor="text1"/>
          <w:lang w:val="en-GB"/>
        </w:rPr>
        <w:t xml:space="preserve">nergy </w:t>
      </w:r>
      <w:r w:rsidR="00954096">
        <w:rPr>
          <w:color w:val="000000" w:themeColor="text1"/>
          <w:lang w:val="en-GB"/>
        </w:rPr>
        <w:t>S</w:t>
      </w:r>
      <w:r w:rsidRPr="00153119">
        <w:rPr>
          <w:color w:val="000000" w:themeColor="text1"/>
          <w:lang w:val="en-GB"/>
        </w:rPr>
        <w:t>ystem</w:t>
      </w:r>
    </w:p>
    <w:p w14:paraId="144DE680" w14:textId="127FE9A2" w:rsidR="00DD3D9E" w:rsidRPr="007B02E5" w:rsidRDefault="0021291B">
      <w:pPr>
        <w:pStyle w:val="Els-Author"/>
      </w:pPr>
      <w:r w:rsidRPr="00153119">
        <w:t>Matthias Mersch,</w:t>
      </w:r>
      <w:r w:rsidRPr="00153119">
        <w:rPr>
          <w:vertAlign w:val="superscript"/>
        </w:rPr>
        <w:t>a,b,c</w:t>
      </w:r>
      <w:r w:rsidR="007826B9" w:rsidRPr="00153119">
        <w:rPr>
          <w:vertAlign w:val="subscript"/>
        </w:rPr>
        <w:t xml:space="preserve"> </w:t>
      </w:r>
      <w:r w:rsidR="007826B9" w:rsidRPr="00153119">
        <w:t>Andreas V. Olympios,</w:t>
      </w:r>
      <w:r w:rsidR="007826B9" w:rsidRPr="00153119">
        <w:rPr>
          <w:vertAlign w:val="superscript"/>
        </w:rPr>
        <w:t>a,</w:t>
      </w:r>
      <w:r w:rsidR="00ED1BD5" w:rsidRPr="00153119">
        <w:rPr>
          <w:vertAlign w:val="superscript"/>
        </w:rPr>
        <w:t>c</w:t>
      </w:r>
      <w:r w:rsidR="007826B9" w:rsidRPr="00153119">
        <w:rPr>
          <w:vertAlign w:val="superscript"/>
        </w:rPr>
        <w:t>,d</w:t>
      </w:r>
      <w:r w:rsidR="007826B9" w:rsidRPr="00153119">
        <w:t xml:space="preserve"> Christos N. Markides</w:t>
      </w:r>
      <w:r w:rsidR="00ED1BD5" w:rsidRPr="00153119">
        <w:t>,</w:t>
      </w:r>
      <w:r w:rsidR="00ED1BD5" w:rsidRPr="00153119">
        <w:rPr>
          <w:vertAlign w:val="superscript"/>
        </w:rPr>
        <w:t>a,c</w:t>
      </w:r>
      <w:r w:rsidR="00715A1F" w:rsidRPr="00153119">
        <w:t xml:space="preserve"> </w:t>
      </w:r>
      <w:r w:rsidR="00122AF5">
        <w:br/>
      </w:r>
      <w:r w:rsidR="00715A1F" w:rsidRPr="00153119">
        <w:t>Niall Mac Dowell</w:t>
      </w:r>
      <w:r w:rsidR="004E5C64" w:rsidRPr="00153119">
        <w:rPr>
          <w:vertAlign w:val="superscript"/>
        </w:rPr>
        <w:t>b,c</w:t>
      </w:r>
      <w:r w:rsidR="007B02E5">
        <w:t>*</w:t>
      </w:r>
    </w:p>
    <w:p w14:paraId="144DE681" w14:textId="7B09CC17" w:rsidR="00DD3D9E" w:rsidRPr="00153119" w:rsidRDefault="009876B1" w:rsidP="00BE1E40">
      <w:pPr>
        <w:pStyle w:val="Els-Affiliation"/>
        <w:ind w:left="113" w:hanging="113"/>
      </w:pPr>
      <w:r w:rsidRPr="00153119">
        <w:rPr>
          <w:vertAlign w:val="superscript"/>
        </w:rPr>
        <w:t>a</w:t>
      </w:r>
      <w:r w:rsidRPr="00153119">
        <w:t>Clean Energy Processes (CEP) Laboratory, Department of Chemical Engineering, Imperial College London</w:t>
      </w:r>
      <w:r w:rsidR="000C3998" w:rsidRPr="00153119">
        <w:t>, London SW7 2AZ, UK</w:t>
      </w:r>
    </w:p>
    <w:p w14:paraId="144DE682" w14:textId="579F6F58" w:rsidR="00DD3D9E" w:rsidRPr="00153119" w:rsidRDefault="00FB185C" w:rsidP="00BE1E40">
      <w:pPr>
        <w:pStyle w:val="Els-Affiliation"/>
        <w:ind w:left="113" w:hanging="113"/>
      </w:pPr>
      <w:r w:rsidRPr="00153119">
        <w:rPr>
          <w:vertAlign w:val="superscript"/>
        </w:rPr>
        <w:t>b</w:t>
      </w:r>
      <w:r w:rsidRPr="00153119">
        <w:t>Centre for Environmental Policy, Imperial College London, London SW7 2AZ, UK</w:t>
      </w:r>
    </w:p>
    <w:p w14:paraId="258AE6AE" w14:textId="1B0539C5" w:rsidR="00FB185C" w:rsidRPr="00153119" w:rsidRDefault="00FB185C" w:rsidP="00BE1E40">
      <w:pPr>
        <w:pStyle w:val="Els-Affiliation"/>
        <w:ind w:left="113" w:hanging="113"/>
      </w:pPr>
      <w:r w:rsidRPr="00153119">
        <w:rPr>
          <w:vertAlign w:val="superscript"/>
        </w:rPr>
        <w:t>c</w:t>
      </w:r>
      <w:r w:rsidR="007366C1" w:rsidRPr="00153119">
        <w:t>Sargent Centre for Process Systems Engineering, Department of Chemical Engineering, Imperial College London, London SW7 2AZ, UK</w:t>
      </w:r>
    </w:p>
    <w:p w14:paraId="5A00CB86" w14:textId="7BAE3BB4" w:rsidR="007366C1" w:rsidRPr="00153119" w:rsidRDefault="007366C1" w:rsidP="00BE1E40">
      <w:pPr>
        <w:pStyle w:val="Els-Affiliation"/>
        <w:ind w:left="113" w:hanging="113"/>
      </w:pPr>
      <w:r w:rsidRPr="00153119">
        <w:rPr>
          <w:vertAlign w:val="superscript"/>
        </w:rPr>
        <w:t>d</w:t>
      </w:r>
      <w:r w:rsidR="00DF3BFC" w:rsidRPr="00153119">
        <w:t>PV Technology Laboratory, FOSS Research Centre for Sustainable Energy, Department of Electrical and Computer Engineering, University of Cyprus, Nicosia, 2109, Cyprus</w:t>
      </w:r>
    </w:p>
    <w:p w14:paraId="144DE683" w14:textId="6911351A" w:rsidR="008D2649" w:rsidRPr="00153119" w:rsidRDefault="00BE1E40" w:rsidP="008D2649">
      <w:pPr>
        <w:pStyle w:val="Els-Affiliation"/>
        <w:spacing w:after="120"/>
      </w:pPr>
      <w:r w:rsidRPr="00153119">
        <w:t>niall@imperial.ac.uk</w:t>
      </w:r>
    </w:p>
    <w:p w14:paraId="144DE684" w14:textId="77777777" w:rsidR="008D2649" w:rsidRPr="00153119" w:rsidRDefault="008D2649" w:rsidP="008D2649">
      <w:pPr>
        <w:pStyle w:val="Els-Abstract"/>
        <w:rPr>
          <w:lang w:val="en-GB"/>
        </w:rPr>
      </w:pPr>
      <w:r w:rsidRPr="00153119">
        <w:rPr>
          <w:lang w:val="en-GB"/>
        </w:rPr>
        <w:t>Abstract</w:t>
      </w:r>
    </w:p>
    <w:p w14:paraId="4AC5A621" w14:textId="4141F966" w:rsidR="00E21503" w:rsidRPr="00DB22F0" w:rsidRDefault="003F1789" w:rsidP="00D87493">
      <w:pPr>
        <w:pStyle w:val="Els-body-text"/>
        <w:spacing w:after="120"/>
        <w:rPr>
          <w:highlight w:val="cyan"/>
          <w:lang w:val="en-GB"/>
        </w:rPr>
      </w:pPr>
      <w:r w:rsidRPr="003F1789">
        <w:rPr>
          <w:lang w:val="en-GB"/>
        </w:rPr>
        <w:t>Electric</w:t>
      </w:r>
      <w:r w:rsidR="00EE7659">
        <w:rPr>
          <w:lang w:val="en-GB"/>
        </w:rPr>
        <w:t xml:space="preserve"> heat pumps and combined heat and power (CHP) systems</w:t>
      </w:r>
      <w:r w:rsidR="000E104B">
        <w:rPr>
          <w:lang w:val="en-GB"/>
        </w:rPr>
        <w:t xml:space="preserve"> are potentially key technologies to decarbonise heating, which currently accounts for over a third of the UK’s carbon emissions.</w:t>
      </w:r>
      <w:r w:rsidR="00C35086">
        <w:rPr>
          <w:lang w:val="en-GB"/>
        </w:rPr>
        <w:t xml:space="preserve"> </w:t>
      </w:r>
      <w:r w:rsidR="00533B67">
        <w:rPr>
          <w:lang w:val="en-GB"/>
        </w:rPr>
        <w:t xml:space="preserve">In this work, we </w:t>
      </w:r>
      <w:r w:rsidR="001C2EDF">
        <w:rPr>
          <w:lang w:val="en-GB"/>
        </w:rPr>
        <w:t xml:space="preserve">use an integrated energy system optimisation model to investigate </w:t>
      </w:r>
      <w:r w:rsidR="00A70B86">
        <w:rPr>
          <w:lang w:val="en-GB"/>
        </w:rPr>
        <w:t>the role of both in the energy system transition, studying interactions between the heating and power sectors.</w:t>
      </w:r>
      <w:r w:rsidR="00AC6FA6">
        <w:rPr>
          <w:lang w:val="en-GB"/>
        </w:rPr>
        <w:t xml:space="preserve"> To increase the robustness of the analysis, a Monte Carlo approach is used to </w:t>
      </w:r>
      <w:r w:rsidR="00E21503">
        <w:rPr>
          <w:lang w:val="en-GB"/>
        </w:rPr>
        <w:t>account for uncertainties in key model input parameters, such as fuel costs and capital costs of key technologies.</w:t>
      </w:r>
      <w:r w:rsidR="00D87493">
        <w:rPr>
          <w:lang w:val="en-GB"/>
        </w:rPr>
        <w:t xml:space="preserve"> Results show that </w:t>
      </w:r>
      <w:r w:rsidR="00BE2053">
        <w:rPr>
          <w:lang w:val="en-GB"/>
        </w:rPr>
        <w:t xml:space="preserve">heat pumps provide 40 to 80 % of all heat in the UK in 2050, while CHP systems are especially valuable </w:t>
      </w:r>
      <w:r w:rsidR="00C95A8E">
        <w:rPr>
          <w:lang w:val="en-GB"/>
        </w:rPr>
        <w:t>as intermediate technology in the 2030s.</w:t>
      </w:r>
    </w:p>
    <w:p w14:paraId="144DE687" w14:textId="42515245" w:rsidR="008D2649" w:rsidRPr="00153119" w:rsidRDefault="008D2649" w:rsidP="008D2649">
      <w:pPr>
        <w:pStyle w:val="Els-body-text"/>
        <w:spacing w:after="120"/>
        <w:rPr>
          <w:lang w:val="en-GB"/>
        </w:rPr>
      </w:pPr>
      <w:r w:rsidRPr="00CC21A4">
        <w:rPr>
          <w:b/>
          <w:bCs/>
          <w:lang w:val="en-GB"/>
        </w:rPr>
        <w:t>Keywords</w:t>
      </w:r>
      <w:r w:rsidRPr="00CC21A4">
        <w:rPr>
          <w:lang w:val="en-GB"/>
        </w:rPr>
        <w:t xml:space="preserve">: </w:t>
      </w:r>
      <w:r w:rsidR="00CC21A4">
        <w:rPr>
          <w:lang w:val="en-GB"/>
        </w:rPr>
        <w:t xml:space="preserve">Energy system optimisation, heat decarbonisation, </w:t>
      </w:r>
      <w:r w:rsidR="00AA06A0">
        <w:rPr>
          <w:lang w:val="en-GB"/>
        </w:rPr>
        <w:t>heat pump, combined heat and power, integrated energy systems</w:t>
      </w:r>
    </w:p>
    <w:p w14:paraId="75CCADE2" w14:textId="68C12FDC" w:rsidR="0086743B" w:rsidRDefault="0086743B" w:rsidP="008D2649">
      <w:pPr>
        <w:pStyle w:val="Els-1storder-head"/>
        <w:rPr>
          <w:lang w:val="en-GB"/>
        </w:rPr>
      </w:pPr>
      <w:r>
        <w:rPr>
          <w:lang w:val="en-GB"/>
        </w:rPr>
        <w:t>Introduction</w:t>
      </w:r>
    </w:p>
    <w:p w14:paraId="58FB0B4A" w14:textId="204EB691" w:rsidR="007C3A52" w:rsidRDefault="006F40DD" w:rsidP="0086743B">
      <w:pPr>
        <w:pStyle w:val="Els-body-text"/>
        <w:rPr>
          <w:lang w:val="en-GB"/>
        </w:rPr>
      </w:pPr>
      <w:r>
        <w:rPr>
          <w:lang w:val="en-GB"/>
        </w:rPr>
        <w:t xml:space="preserve">Heating accounts for </w:t>
      </w:r>
      <w:r w:rsidR="00ED086D">
        <w:rPr>
          <w:lang w:val="en-GB"/>
        </w:rPr>
        <w:t xml:space="preserve">about 37 % </w:t>
      </w:r>
      <w:r w:rsidR="00EA3A67">
        <w:rPr>
          <w:lang w:val="en-GB"/>
        </w:rPr>
        <w:t xml:space="preserve">of </w:t>
      </w:r>
      <w:r w:rsidR="00A72B8F">
        <w:rPr>
          <w:lang w:val="en-GB"/>
        </w:rPr>
        <w:t>UK carbon emissions</w:t>
      </w:r>
      <w:r w:rsidR="000D7422">
        <w:rPr>
          <w:lang w:val="en-GB"/>
        </w:rPr>
        <w:t xml:space="preserve"> (BEIS,</w:t>
      </w:r>
      <w:r w:rsidR="004B6EFE">
        <w:rPr>
          <w:lang w:val="en-GB"/>
        </w:rPr>
        <w:t> </w:t>
      </w:r>
      <w:r w:rsidR="000D7422">
        <w:rPr>
          <w:lang w:val="en-GB"/>
        </w:rPr>
        <w:t>2018)</w:t>
      </w:r>
      <w:r w:rsidR="00365B1F">
        <w:rPr>
          <w:lang w:val="en-GB"/>
        </w:rPr>
        <w:t xml:space="preserve"> and urgently needs to be decarbonised </w:t>
      </w:r>
      <w:r w:rsidR="00976C27">
        <w:rPr>
          <w:lang w:val="en-GB"/>
        </w:rPr>
        <w:t>to</w:t>
      </w:r>
      <w:r w:rsidR="00365B1F">
        <w:rPr>
          <w:lang w:val="en-GB"/>
        </w:rPr>
        <w:t xml:space="preserve"> meet ambitious climate targets.</w:t>
      </w:r>
      <w:r w:rsidR="009D725A">
        <w:rPr>
          <w:lang w:val="en-GB"/>
        </w:rPr>
        <w:t xml:space="preserve"> </w:t>
      </w:r>
      <w:r w:rsidR="00977D50">
        <w:rPr>
          <w:lang w:val="en-GB"/>
        </w:rPr>
        <w:t>C</w:t>
      </w:r>
      <w:r w:rsidR="009D725A">
        <w:rPr>
          <w:lang w:val="en-GB"/>
        </w:rPr>
        <w:t>urrently</w:t>
      </w:r>
      <w:r w:rsidR="00977D50">
        <w:rPr>
          <w:lang w:val="en-GB"/>
        </w:rPr>
        <w:t>,</w:t>
      </w:r>
      <w:r w:rsidR="009D725A">
        <w:rPr>
          <w:lang w:val="en-GB"/>
        </w:rPr>
        <w:t xml:space="preserve"> heating </w:t>
      </w:r>
      <w:r w:rsidR="00BE69F4">
        <w:rPr>
          <w:lang w:val="en-GB"/>
        </w:rPr>
        <w:t>is mainly provided by natural gas boilers</w:t>
      </w:r>
      <w:r w:rsidR="00977D50">
        <w:rPr>
          <w:lang w:val="en-GB"/>
        </w:rPr>
        <w:t>.</w:t>
      </w:r>
      <w:r w:rsidR="007129DE">
        <w:rPr>
          <w:lang w:val="en-GB"/>
        </w:rPr>
        <w:t xml:space="preserve"> </w:t>
      </w:r>
      <w:r w:rsidR="00C505AC">
        <w:rPr>
          <w:lang w:val="en-GB"/>
        </w:rPr>
        <w:t>Low-carbon alternatives such as heat pumps, hydrogen boilers</w:t>
      </w:r>
      <w:r w:rsidR="009656CA">
        <w:rPr>
          <w:lang w:val="en-GB"/>
        </w:rPr>
        <w:t>, and CHP</w:t>
      </w:r>
      <w:r w:rsidR="00640BC0">
        <w:rPr>
          <w:lang w:val="en-GB"/>
        </w:rPr>
        <w:t xml:space="preserve"> systems</w:t>
      </w:r>
      <w:r w:rsidR="00756087">
        <w:rPr>
          <w:lang w:val="en-GB"/>
        </w:rPr>
        <w:t xml:space="preserve"> </w:t>
      </w:r>
      <w:r w:rsidR="00FD5469">
        <w:rPr>
          <w:lang w:val="en-GB"/>
        </w:rPr>
        <w:t xml:space="preserve">result in a </w:t>
      </w:r>
      <w:r w:rsidR="00CF400F">
        <w:rPr>
          <w:lang w:val="en-GB"/>
        </w:rPr>
        <w:t xml:space="preserve">strong integration </w:t>
      </w:r>
      <w:r w:rsidR="00B82629">
        <w:rPr>
          <w:lang w:val="en-GB"/>
        </w:rPr>
        <w:t xml:space="preserve">of different sectors of the energy system, especially heating and power generation. </w:t>
      </w:r>
      <w:r w:rsidR="00371440">
        <w:rPr>
          <w:lang w:val="en-GB"/>
        </w:rPr>
        <w:t>In this work, we use an integrated energy system optimisation model (Mersch,</w:t>
      </w:r>
      <w:r w:rsidR="004B6EFE">
        <w:rPr>
          <w:lang w:val="en-GB"/>
        </w:rPr>
        <w:t> </w:t>
      </w:r>
      <w:r w:rsidR="00371440">
        <w:rPr>
          <w:lang w:val="en-GB"/>
        </w:rPr>
        <w:t>2023)</w:t>
      </w:r>
      <w:r w:rsidR="004B6EFE">
        <w:rPr>
          <w:lang w:val="en-GB"/>
        </w:rPr>
        <w:t xml:space="preserve"> to assess the role of heat</w:t>
      </w:r>
      <w:r w:rsidR="000D283F">
        <w:rPr>
          <w:lang w:val="en-GB"/>
        </w:rPr>
        <w:t xml:space="preserve"> pumps</w:t>
      </w:r>
      <w:r w:rsidR="001760AC">
        <w:rPr>
          <w:lang w:val="en-GB"/>
        </w:rPr>
        <w:t xml:space="preserve"> and CHP systems</w:t>
      </w:r>
      <w:r w:rsidR="007A1D5A">
        <w:rPr>
          <w:lang w:val="en-GB"/>
        </w:rPr>
        <w:t xml:space="preserve"> in the decarbonisation of the UK energy system</w:t>
      </w:r>
      <w:r w:rsidR="00700388">
        <w:rPr>
          <w:lang w:val="en-GB"/>
        </w:rPr>
        <w:t>, considering both individual solutions and district heating networks.</w:t>
      </w:r>
      <w:r w:rsidR="007E701A">
        <w:rPr>
          <w:lang w:val="en-GB"/>
        </w:rPr>
        <w:t xml:space="preserve"> Hydrogen boilers are also</w:t>
      </w:r>
      <w:r w:rsidR="00B238F8">
        <w:rPr>
          <w:lang w:val="en-GB"/>
        </w:rPr>
        <w:t xml:space="preserve"> considered as</w:t>
      </w:r>
      <w:r w:rsidR="007E701A">
        <w:rPr>
          <w:lang w:val="en-GB"/>
        </w:rPr>
        <w:t xml:space="preserve"> an </w:t>
      </w:r>
      <w:r w:rsidR="00A2449C">
        <w:rPr>
          <w:lang w:val="en-GB"/>
        </w:rPr>
        <w:t>alternative</w:t>
      </w:r>
      <w:r w:rsidR="00B238F8">
        <w:rPr>
          <w:lang w:val="en-GB"/>
        </w:rPr>
        <w:t xml:space="preserve">, and hydrogen can </w:t>
      </w:r>
      <w:r w:rsidR="00947108">
        <w:rPr>
          <w:lang w:val="en-GB"/>
        </w:rPr>
        <w:t xml:space="preserve">also </w:t>
      </w:r>
      <w:r w:rsidR="00B238F8">
        <w:rPr>
          <w:lang w:val="en-GB"/>
        </w:rPr>
        <w:t>be used to power CHP systems.</w:t>
      </w:r>
    </w:p>
    <w:p w14:paraId="01B6A1F9" w14:textId="313348C2" w:rsidR="007C3A52" w:rsidRDefault="00417F32" w:rsidP="0086743B">
      <w:pPr>
        <w:pStyle w:val="Els-body-text"/>
        <w:rPr>
          <w:lang w:val="en-GB"/>
        </w:rPr>
      </w:pPr>
      <w:r>
        <w:rPr>
          <w:lang w:val="en-GB"/>
        </w:rPr>
        <w:t>In their meta-analysis of UK energy system decarbonisation pathways,</w:t>
      </w:r>
      <w:r w:rsidR="00214B5B">
        <w:rPr>
          <w:lang w:val="en-GB"/>
        </w:rPr>
        <w:t xml:space="preserve"> Dixon</w:t>
      </w:r>
      <w:r w:rsidR="00FB4CC7">
        <w:rPr>
          <w:lang w:val="en-GB"/>
        </w:rPr>
        <w:t xml:space="preserve"> </w:t>
      </w:r>
      <w:r w:rsidR="00214B5B">
        <w:rPr>
          <w:lang w:val="en-GB"/>
        </w:rPr>
        <w:t xml:space="preserve">et al. (2022) </w:t>
      </w:r>
      <w:r w:rsidR="00367E62">
        <w:rPr>
          <w:lang w:val="en-GB"/>
        </w:rPr>
        <w:t xml:space="preserve">found that in 6 of the 7 reviewed pathways air-source heat pumps (ASHPs) </w:t>
      </w:r>
      <w:r w:rsidR="000B1745">
        <w:rPr>
          <w:lang w:val="en-GB"/>
        </w:rPr>
        <w:t>and district heat</w:t>
      </w:r>
      <w:r w:rsidR="0028358D">
        <w:rPr>
          <w:lang w:val="en-GB"/>
        </w:rPr>
        <w:t>ing are the dominant low-carbon heating technologies</w:t>
      </w:r>
      <w:r w:rsidR="00B6061F">
        <w:rPr>
          <w:lang w:val="en-GB"/>
        </w:rPr>
        <w:t>, while the last one mainly relies on hydrogen boilers.</w:t>
      </w:r>
      <w:r w:rsidR="005C289C">
        <w:rPr>
          <w:lang w:val="en-GB"/>
        </w:rPr>
        <w:t xml:space="preserve"> The share of individual heat pumps</w:t>
      </w:r>
      <w:r w:rsidR="006C6E30">
        <w:rPr>
          <w:lang w:val="en-GB"/>
        </w:rPr>
        <w:t xml:space="preserve"> in UK homes ranges from 27 % to 74 %</w:t>
      </w:r>
      <w:r w:rsidR="005B7942">
        <w:rPr>
          <w:lang w:val="en-GB"/>
        </w:rPr>
        <w:t>, while district heating shares range from 10 % to 42 %.</w:t>
      </w:r>
      <w:r w:rsidR="00107B66">
        <w:rPr>
          <w:lang w:val="en-GB"/>
        </w:rPr>
        <w:t xml:space="preserve"> </w:t>
      </w:r>
      <w:proofErr w:type="spellStart"/>
      <w:r w:rsidR="004E535A">
        <w:rPr>
          <w:lang w:val="en-GB"/>
        </w:rPr>
        <w:lastRenderedPageBreak/>
        <w:t>Aunedi</w:t>
      </w:r>
      <w:proofErr w:type="spellEnd"/>
      <w:r w:rsidR="00813831">
        <w:rPr>
          <w:lang w:val="en-GB"/>
        </w:rPr>
        <w:t> </w:t>
      </w:r>
      <w:r w:rsidR="004E535A">
        <w:rPr>
          <w:lang w:val="en-GB"/>
        </w:rPr>
        <w:t>et</w:t>
      </w:r>
      <w:r w:rsidR="00813831">
        <w:rPr>
          <w:lang w:val="en-GB"/>
        </w:rPr>
        <w:t> </w:t>
      </w:r>
      <w:r w:rsidR="004E535A">
        <w:rPr>
          <w:lang w:val="en-GB"/>
        </w:rPr>
        <w:t>al.</w:t>
      </w:r>
      <w:r w:rsidR="00813831">
        <w:rPr>
          <w:lang w:val="en-GB"/>
        </w:rPr>
        <w:t xml:space="preserve"> (2022) </w:t>
      </w:r>
      <w:r w:rsidR="004F76CD">
        <w:rPr>
          <w:lang w:val="en-GB"/>
        </w:rPr>
        <w:t xml:space="preserve">soft-linked an electricity system model with a </w:t>
      </w:r>
      <w:r w:rsidR="002D58EC">
        <w:rPr>
          <w:lang w:val="en-GB"/>
        </w:rPr>
        <w:t xml:space="preserve">heating model to study optimal heat decarbonisation options for the UK. </w:t>
      </w:r>
      <w:r w:rsidR="000773EA">
        <w:rPr>
          <w:lang w:val="en-GB"/>
        </w:rPr>
        <w:t xml:space="preserve">The authors </w:t>
      </w:r>
      <w:r w:rsidR="003B12BF">
        <w:rPr>
          <w:lang w:val="en-GB"/>
        </w:rPr>
        <w:t>found a strong role for hybrid heating systems consisting of ASHPs and hydrogen boilers</w:t>
      </w:r>
      <w:r w:rsidR="00B3073E">
        <w:rPr>
          <w:lang w:val="en-GB"/>
        </w:rPr>
        <w:t xml:space="preserve">. However, </w:t>
      </w:r>
      <w:r w:rsidR="001568E0">
        <w:rPr>
          <w:lang w:val="en-GB"/>
        </w:rPr>
        <w:t>the sectors are only soft-linked, CHP</w:t>
      </w:r>
      <w:r w:rsidR="002C1712">
        <w:rPr>
          <w:lang w:val="en-GB"/>
        </w:rPr>
        <w:t xml:space="preserve"> system</w:t>
      </w:r>
      <w:r w:rsidR="001568E0">
        <w:rPr>
          <w:lang w:val="en-GB"/>
        </w:rPr>
        <w:t>s are not considered</w:t>
      </w:r>
      <w:r w:rsidR="00300E7C">
        <w:rPr>
          <w:lang w:val="en-GB"/>
        </w:rPr>
        <w:t>,</w:t>
      </w:r>
      <w:r w:rsidR="00EA5705">
        <w:rPr>
          <w:lang w:val="en-GB"/>
        </w:rPr>
        <w:t xml:space="preserve"> and no uncertainty analysis is performed.</w:t>
      </w:r>
      <w:r w:rsidR="009D7BF9">
        <w:rPr>
          <w:lang w:val="en-GB"/>
        </w:rPr>
        <w:t xml:space="preserve"> </w:t>
      </w:r>
      <w:proofErr w:type="spellStart"/>
      <w:r w:rsidR="00747C07" w:rsidRPr="00747C07">
        <w:rPr>
          <w:lang w:val="en-GB"/>
        </w:rPr>
        <w:t>Pavičević</w:t>
      </w:r>
      <w:proofErr w:type="spellEnd"/>
      <w:r w:rsidR="00747C07">
        <w:rPr>
          <w:lang w:val="en-GB"/>
        </w:rPr>
        <w:t xml:space="preserve"> et al. (2020) </w:t>
      </w:r>
      <w:r w:rsidR="00EF7519">
        <w:rPr>
          <w:lang w:val="en-GB"/>
        </w:rPr>
        <w:t>investigated decarbonisation pathways for integrated energy systems</w:t>
      </w:r>
      <w:r w:rsidR="00090D0F">
        <w:rPr>
          <w:lang w:val="en-GB"/>
        </w:rPr>
        <w:t xml:space="preserve"> and the </w:t>
      </w:r>
      <w:r w:rsidR="009F01E4">
        <w:rPr>
          <w:lang w:val="en-GB"/>
        </w:rPr>
        <w:t>benefits of sector-coupling</w:t>
      </w:r>
      <w:r w:rsidR="00EF7519">
        <w:rPr>
          <w:lang w:val="en-GB"/>
        </w:rPr>
        <w:t xml:space="preserve"> in Europe by soft-linking a capacity-expansion and a unit-commitment model.</w:t>
      </w:r>
      <w:r w:rsidR="00687956">
        <w:rPr>
          <w:lang w:val="en-GB"/>
        </w:rPr>
        <w:t xml:space="preserve"> The results showed </w:t>
      </w:r>
      <w:r w:rsidR="00E819F8">
        <w:rPr>
          <w:lang w:val="en-GB"/>
        </w:rPr>
        <w:t xml:space="preserve">that </w:t>
      </w:r>
      <w:r w:rsidR="00F1178D">
        <w:rPr>
          <w:lang w:val="en-GB"/>
        </w:rPr>
        <w:t xml:space="preserve">in the optimal system about 30 % of heat is provided by biomass and </w:t>
      </w:r>
      <w:r w:rsidR="00EB72A8">
        <w:rPr>
          <w:lang w:val="en-GB"/>
        </w:rPr>
        <w:t>n</w:t>
      </w:r>
      <w:r w:rsidR="00B02C9F">
        <w:rPr>
          <w:lang w:val="en-GB"/>
        </w:rPr>
        <w:t xml:space="preserve">atural </w:t>
      </w:r>
      <w:r w:rsidR="00F1178D">
        <w:rPr>
          <w:lang w:val="en-GB"/>
        </w:rPr>
        <w:t>gas</w:t>
      </w:r>
      <w:r w:rsidR="00775A39">
        <w:rPr>
          <w:lang w:val="en-GB"/>
        </w:rPr>
        <w:t xml:space="preserve">-fired CHP systems, </w:t>
      </w:r>
      <w:r w:rsidR="0034018C">
        <w:rPr>
          <w:lang w:val="en-GB"/>
        </w:rPr>
        <w:t xml:space="preserve">about 50 % from </w:t>
      </w:r>
      <w:r w:rsidR="004718F9">
        <w:rPr>
          <w:lang w:val="en-GB"/>
        </w:rPr>
        <w:t xml:space="preserve">ASHPs and electric heaters, </w:t>
      </w:r>
      <w:r w:rsidR="00A84640">
        <w:rPr>
          <w:lang w:val="en-GB"/>
        </w:rPr>
        <w:t>and the rest from backup gas boilers.</w:t>
      </w:r>
      <w:r w:rsidR="00D420EE">
        <w:rPr>
          <w:lang w:val="en-GB"/>
        </w:rPr>
        <w:t xml:space="preserve"> Hydrogen heating options are not considered, and </w:t>
      </w:r>
      <w:r w:rsidR="000E336B">
        <w:rPr>
          <w:lang w:val="en-GB"/>
        </w:rPr>
        <w:t>no uncertainty analysis is performed.</w:t>
      </w:r>
      <w:r w:rsidR="00690946">
        <w:rPr>
          <w:lang w:val="en-GB"/>
        </w:rPr>
        <w:t xml:space="preserve"> </w:t>
      </w:r>
      <w:proofErr w:type="spellStart"/>
      <w:r w:rsidR="00C85C52">
        <w:rPr>
          <w:lang w:val="en-GB"/>
        </w:rPr>
        <w:t>Charitopoulos</w:t>
      </w:r>
      <w:proofErr w:type="spellEnd"/>
      <w:r w:rsidR="00EC52BE">
        <w:rPr>
          <w:lang w:val="en-GB"/>
        </w:rPr>
        <w:t xml:space="preserve"> </w:t>
      </w:r>
      <w:r w:rsidR="00C85C52">
        <w:rPr>
          <w:lang w:val="en-GB"/>
        </w:rPr>
        <w:t xml:space="preserve">et al. (2023) </w:t>
      </w:r>
      <w:r w:rsidR="00EC52BE">
        <w:rPr>
          <w:lang w:val="en-GB"/>
        </w:rPr>
        <w:t xml:space="preserve">used a spatially explicit </w:t>
      </w:r>
      <w:r w:rsidR="003721E6">
        <w:rPr>
          <w:lang w:val="en-GB"/>
        </w:rPr>
        <w:t xml:space="preserve">optimisation model to analyse the impact of </w:t>
      </w:r>
      <w:r w:rsidR="00705727">
        <w:rPr>
          <w:lang w:val="en-GB"/>
        </w:rPr>
        <w:t>fully electrifying domestic heating in the UK on the power sector.</w:t>
      </w:r>
      <w:r w:rsidR="008815DA">
        <w:rPr>
          <w:lang w:val="en-GB"/>
        </w:rPr>
        <w:t xml:space="preserve"> The authors showed that </w:t>
      </w:r>
      <w:r w:rsidR="003958B5">
        <w:rPr>
          <w:lang w:val="en-GB"/>
        </w:rPr>
        <w:t>if thermal energy storage</w:t>
      </w:r>
      <w:r w:rsidR="00CF0B6C">
        <w:rPr>
          <w:lang w:val="en-GB"/>
        </w:rPr>
        <w:t> (TES)</w:t>
      </w:r>
      <w:r w:rsidR="003958B5">
        <w:rPr>
          <w:lang w:val="en-GB"/>
        </w:rPr>
        <w:t xml:space="preserve"> is utilised, </w:t>
      </w:r>
      <w:r w:rsidR="00045134">
        <w:rPr>
          <w:lang w:val="en-GB"/>
        </w:rPr>
        <w:t xml:space="preserve">only a 30 % increase of power generation capacity is required to fully electrify domestic heating, while without </w:t>
      </w:r>
      <w:r w:rsidR="00CF0B6C">
        <w:rPr>
          <w:lang w:val="en-GB"/>
        </w:rPr>
        <w:t>TES</w:t>
      </w:r>
      <w:r w:rsidR="00045134">
        <w:rPr>
          <w:lang w:val="en-GB"/>
        </w:rPr>
        <w:t xml:space="preserve"> </w:t>
      </w:r>
      <w:r w:rsidR="00D64EB3">
        <w:rPr>
          <w:lang w:val="en-GB"/>
        </w:rPr>
        <w:t xml:space="preserve">the </w:t>
      </w:r>
      <w:r w:rsidR="00B80F86">
        <w:rPr>
          <w:lang w:val="en-GB"/>
        </w:rPr>
        <w:t xml:space="preserve">required </w:t>
      </w:r>
      <w:r w:rsidR="00D64EB3">
        <w:rPr>
          <w:lang w:val="en-GB"/>
        </w:rPr>
        <w:t>power generation ca</w:t>
      </w:r>
      <w:r w:rsidR="00B80F86">
        <w:rPr>
          <w:lang w:val="en-GB"/>
        </w:rPr>
        <w:t>pacity is another 40 % higher.</w:t>
      </w:r>
      <w:r w:rsidR="00A46522">
        <w:rPr>
          <w:lang w:val="en-GB"/>
        </w:rPr>
        <w:t xml:space="preserve"> </w:t>
      </w:r>
      <w:r w:rsidR="00C61BE6">
        <w:rPr>
          <w:lang w:val="en-GB"/>
        </w:rPr>
        <w:t xml:space="preserve">Furthermore, </w:t>
      </w:r>
      <w:r w:rsidR="00F32683">
        <w:rPr>
          <w:lang w:val="en-GB"/>
        </w:rPr>
        <w:t>Olympios</w:t>
      </w:r>
      <w:r w:rsidR="00D10355">
        <w:rPr>
          <w:lang w:val="en-GB"/>
        </w:rPr>
        <w:t xml:space="preserve"> </w:t>
      </w:r>
      <w:r w:rsidR="007F4178">
        <w:rPr>
          <w:lang w:val="en-GB"/>
        </w:rPr>
        <w:t>et</w:t>
      </w:r>
      <w:r w:rsidR="00D10355">
        <w:rPr>
          <w:lang w:val="en-GB"/>
        </w:rPr>
        <w:t xml:space="preserve"> </w:t>
      </w:r>
      <w:r w:rsidR="007F4178">
        <w:rPr>
          <w:lang w:val="en-GB"/>
        </w:rPr>
        <w:t xml:space="preserve">al. (2020) </w:t>
      </w:r>
      <w:r w:rsidR="00D959EA">
        <w:rPr>
          <w:lang w:val="en-GB"/>
        </w:rPr>
        <w:t xml:space="preserve">compared </w:t>
      </w:r>
      <w:r w:rsidR="00172B31">
        <w:rPr>
          <w:lang w:val="en-GB"/>
        </w:rPr>
        <w:t xml:space="preserve">the deployment of heat pumps and </w:t>
      </w:r>
      <w:r w:rsidR="00881B39">
        <w:rPr>
          <w:lang w:val="en-GB"/>
        </w:rPr>
        <w:t xml:space="preserve">gas-fired </w:t>
      </w:r>
      <w:r w:rsidR="00172B31">
        <w:rPr>
          <w:lang w:val="en-GB"/>
        </w:rPr>
        <w:t xml:space="preserve">CHP systems </w:t>
      </w:r>
      <w:r w:rsidR="00D959EA">
        <w:rPr>
          <w:lang w:val="en-GB"/>
        </w:rPr>
        <w:t>at household level and in district heating networks</w:t>
      </w:r>
      <w:r w:rsidR="0095564C">
        <w:rPr>
          <w:lang w:val="en-GB"/>
        </w:rPr>
        <w:t xml:space="preserve">. The </w:t>
      </w:r>
      <w:r w:rsidR="00BC14F6">
        <w:rPr>
          <w:lang w:val="en-GB"/>
        </w:rPr>
        <w:t>findings indicated</w:t>
      </w:r>
      <w:r w:rsidR="0095564C">
        <w:rPr>
          <w:lang w:val="en-GB"/>
        </w:rPr>
        <w:t xml:space="preserve"> </w:t>
      </w:r>
      <w:r w:rsidR="00E57EC8">
        <w:rPr>
          <w:lang w:val="en-GB"/>
        </w:rPr>
        <w:t>that</w:t>
      </w:r>
      <w:r w:rsidR="008D741D">
        <w:rPr>
          <w:lang w:val="en-GB"/>
        </w:rPr>
        <w:t xml:space="preserve"> </w:t>
      </w:r>
      <w:r w:rsidR="00ED305F">
        <w:rPr>
          <w:lang w:val="en-GB"/>
        </w:rPr>
        <w:t>heat</w:t>
      </w:r>
      <w:r w:rsidR="008D741D">
        <w:rPr>
          <w:lang w:val="en-GB"/>
        </w:rPr>
        <w:t xml:space="preserve"> pumps</w:t>
      </w:r>
      <w:r w:rsidR="00742398" w:rsidRPr="00742398">
        <w:rPr>
          <w:lang w:val="en-GB"/>
        </w:rPr>
        <w:t xml:space="preserve"> can </w:t>
      </w:r>
      <w:r w:rsidR="00CA30C0">
        <w:rPr>
          <w:lang w:val="en-GB"/>
        </w:rPr>
        <w:t>provide</w:t>
      </w:r>
      <w:r w:rsidR="002A72FE">
        <w:rPr>
          <w:lang w:val="en-GB"/>
        </w:rPr>
        <w:t xml:space="preserve"> high emission reduction</w:t>
      </w:r>
      <w:r w:rsidR="008D741D">
        <w:rPr>
          <w:lang w:val="en-GB"/>
        </w:rPr>
        <w:t>s</w:t>
      </w:r>
      <w:r w:rsidR="002A72FE">
        <w:rPr>
          <w:lang w:val="en-GB"/>
        </w:rPr>
        <w:t xml:space="preserve"> </w:t>
      </w:r>
      <w:r w:rsidR="00ED305F" w:rsidRPr="00ED305F">
        <w:rPr>
          <w:lang w:val="en-GB"/>
        </w:rPr>
        <w:t xml:space="preserve">even when powered by the UK electricity grid of 2020 </w:t>
      </w:r>
      <w:r w:rsidR="00742398" w:rsidRPr="00742398">
        <w:rPr>
          <w:lang w:val="en-GB"/>
        </w:rPr>
        <w:t>(55</w:t>
      </w:r>
      <w:r w:rsidR="002C51D3">
        <w:rPr>
          <w:lang w:val="en-GB"/>
        </w:rPr>
        <w:t xml:space="preserve"> to </w:t>
      </w:r>
      <w:r w:rsidR="00742398" w:rsidRPr="00742398">
        <w:rPr>
          <w:lang w:val="en-GB"/>
        </w:rPr>
        <w:t>62</w:t>
      </w:r>
      <w:r w:rsidR="002C51D3">
        <w:rPr>
          <w:lang w:val="en-GB"/>
        </w:rPr>
        <w:t> </w:t>
      </w:r>
      <w:r w:rsidR="00742398" w:rsidRPr="00742398">
        <w:rPr>
          <w:lang w:val="en-GB"/>
        </w:rPr>
        <w:t>%)</w:t>
      </w:r>
      <w:r w:rsidR="002A72FE">
        <w:rPr>
          <w:lang w:val="en-GB"/>
        </w:rPr>
        <w:t xml:space="preserve">, </w:t>
      </w:r>
      <w:r w:rsidR="00ED305F">
        <w:rPr>
          <w:lang w:val="en-GB"/>
        </w:rPr>
        <w:t xml:space="preserve">while </w:t>
      </w:r>
      <w:r w:rsidR="008D741D">
        <w:rPr>
          <w:lang w:val="en-GB"/>
        </w:rPr>
        <w:t xml:space="preserve">gas-fired CHP systems </w:t>
      </w:r>
      <w:r w:rsidR="00ED305F">
        <w:rPr>
          <w:lang w:val="en-GB"/>
        </w:rPr>
        <w:t>integrated</w:t>
      </w:r>
      <w:r w:rsidR="0005090F">
        <w:rPr>
          <w:lang w:val="en-GB"/>
        </w:rPr>
        <w:t xml:space="preserve"> with</w:t>
      </w:r>
      <w:r w:rsidR="00ED305F">
        <w:rPr>
          <w:lang w:val="en-GB"/>
        </w:rPr>
        <w:t>in</w:t>
      </w:r>
      <w:r w:rsidR="0005090F">
        <w:rPr>
          <w:lang w:val="en-GB"/>
        </w:rPr>
        <w:t xml:space="preserve"> district heating</w:t>
      </w:r>
      <w:r w:rsidR="00ED305F">
        <w:rPr>
          <w:lang w:val="en-GB"/>
        </w:rPr>
        <w:t xml:space="preserve"> networks</w:t>
      </w:r>
      <w:r w:rsidR="0005090F">
        <w:rPr>
          <w:lang w:val="en-GB"/>
        </w:rPr>
        <w:t xml:space="preserve"> </w:t>
      </w:r>
      <w:r w:rsidR="00B7235F">
        <w:rPr>
          <w:lang w:val="en-GB"/>
        </w:rPr>
        <w:t>are</w:t>
      </w:r>
      <w:r w:rsidR="0005090F">
        <w:rPr>
          <w:lang w:val="en-GB"/>
        </w:rPr>
        <w:t xml:space="preserve"> the most cost-effective option </w:t>
      </w:r>
      <w:r w:rsidR="00813504">
        <w:rPr>
          <w:lang w:val="en-GB"/>
        </w:rPr>
        <w:t>in</w:t>
      </w:r>
      <w:r w:rsidR="00A9629E" w:rsidRPr="00A9629E">
        <w:t xml:space="preserve"> </w:t>
      </w:r>
      <w:r w:rsidR="00B7235F" w:rsidRPr="00A9629E">
        <w:rPr>
          <w:lang w:val="en-GB"/>
        </w:rPr>
        <w:t>areas</w:t>
      </w:r>
      <w:r w:rsidR="00B7235F">
        <w:rPr>
          <w:lang w:val="en-GB"/>
        </w:rPr>
        <w:t xml:space="preserve"> with </w:t>
      </w:r>
      <w:r w:rsidR="00A9629E" w:rsidRPr="00A9629E">
        <w:rPr>
          <w:lang w:val="en-GB"/>
        </w:rPr>
        <w:t>high energy</w:t>
      </w:r>
      <w:r w:rsidR="00B7235F">
        <w:rPr>
          <w:lang w:val="en-GB"/>
        </w:rPr>
        <w:t xml:space="preserve"> </w:t>
      </w:r>
      <w:r w:rsidR="00A9629E" w:rsidRPr="00A9629E">
        <w:rPr>
          <w:lang w:val="en-GB"/>
        </w:rPr>
        <w:t>density</w:t>
      </w:r>
      <w:r w:rsidR="00454004">
        <w:rPr>
          <w:lang w:val="en-GB"/>
        </w:rPr>
        <w:t>.</w:t>
      </w:r>
      <w:r w:rsidR="00D10355">
        <w:rPr>
          <w:lang w:val="en-GB"/>
        </w:rPr>
        <w:t xml:space="preserve"> </w:t>
      </w:r>
      <w:r w:rsidR="004056D4">
        <w:rPr>
          <w:lang w:val="en-GB"/>
        </w:rPr>
        <w:t xml:space="preserve">Then, </w:t>
      </w:r>
      <w:r w:rsidR="00D10355">
        <w:rPr>
          <w:lang w:val="en-GB"/>
        </w:rPr>
        <w:t xml:space="preserve">Olympios et al. (2022) compared </w:t>
      </w:r>
      <w:r w:rsidR="00507515">
        <w:rPr>
          <w:lang w:val="en-GB"/>
        </w:rPr>
        <w:t xml:space="preserve">ASHPs and hydrogen heating technologies from a household and whole-energy system perspective, concluding that </w:t>
      </w:r>
      <w:r w:rsidR="00CC5CDF">
        <w:rPr>
          <w:lang w:val="en-GB"/>
        </w:rPr>
        <w:t xml:space="preserve">ASHPs are </w:t>
      </w:r>
      <w:r w:rsidR="00F2344E">
        <w:rPr>
          <w:lang w:val="en-GB"/>
        </w:rPr>
        <w:t xml:space="preserve">the </w:t>
      </w:r>
      <w:r w:rsidR="00F2344E" w:rsidRPr="00F2344E">
        <w:rPr>
          <w:lang w:val="en-GB"/>
        </w:rPr>
        <w:t>least-cost pathway</w:t>
      </w:r>
      <w:r w:rsidR="00F2344E">
        <w:rPr>
          <w:lang w:val="en-GB"/>
        </w:rPr>
        <w:t xml:space="preserve"> for both</w:t>
      </w:r>
      <w:r w:rsidR="004E0BFF">
        <w:rPr>
          <w:lang w:val="en-GB"/>
        </w:rPr>
        <w:t xml:space="preserve">, but hydrogen in the context of CHP systems was not considered. </w:t>
      </w:r>
      <w:r w:rsidR="00FB05A5">
        <w:rPr>
          <w:lang w:val="en-GB"/>
        </w:rPr>
        <w:t>In a related study</w:t>
      </w:r>
      <w:r w:rsidR="00D129EC">
        <w:rPr>
          <w:lang w:val="en-GB"/>
        </w:rPr>
        <w:t xml:space="preserve">, </w:t>
      </w:r>
      <w:proofErr w:type="spellStart"/>
      <w:r w:rsidR="003B676B">
        <w:rPr>
          <w:lang w:val="en-GB"/>
        </w:rPr>
        <w:t>Hoseinpoori</w:t>
      </w:r>
      <w:proofErr w:type="spellEnd"/>
      <w:r w:rsidR="003B676B">
        <w:rPr>
          <w:lang w:val="en-GB"/>
        </w:rPr>
        <w:t xml:space="preserve"> et</w:t>
      </w:r>
      <w:r w:rsidR="00415641">
        <w:rPr>
          <w:lang w:val="en-GB"/>
        </w:rPr>
        <w:t> </w:t>
      </w:r>
      <w:r w:rsidR="003B676B">
        <w:rPr>
          <w:lang w:val="en-GB"/>
        </w:rPr>
        <w:t>al.</w:t>
      </w:r>
      <w:r w:rsidR="00415641">
        <w:rPr>
          <w:lang w:val="en-GB"/>
        </w:rPr>
        <w:t> </w:t>
      </w:r>
      <w:r w:rsidR="003B676B">
        <w:rPr>
          <w:lang w:val="en-GB"/>
        </w:rPr>
        <w:t>(2022)</w:t>
      </w:r>
      <w:r w:rsidR="00D129EC">
        <w:rPr>
          <w:lang w:val="en-GB"/>
        </w:rPr>
        <w:t xml:space="preserve"> </w:t>
      </w:r>
      <w:r w:rsidR="00FB05A5">
        <w:rPr>
          <w:lang w:val="en-GB"/>
        </w:rPr>
        <w:t xml:space="preserve">demonstrated </w:t>
      </w:r>
      <w:r w:rsidR="00D129EC">
        <w:rPr>
          <w:lang w:val="en-GB"/>
        </w:rPr>
        <w:t>the significant role of</w:t>
      </w:r>
      <w:r w:rsidR="00FB05A5">
        <w:rPr>
          <w:lang w:val="en-GB"/>
        </w:rPr>
        <w:t xml:space="preserve"> </w:t>
      </w:r>
      <w:r w:rsidR="003C4A71">
        <w:rPr>
          <w:lang w:val="en-GB"/>
        </w:rPr>
        <w:t xml:space="preserve">ASHPs </w:t>
      </w:r>
      <w:r w:rsidR="00FD54CF">
        <w:rPr>
          <w:lang w:val="en-GB"/>
        </w:rPr>
        <w:t>in UK</w:t>
      </w:r>
      <w:r w:rsidR="00D129EC">
        <w:rPr>
          <w:lang w:val="en-GB"/>
        </w:rPr>
        <w:t xml:space="preserve"> heat decarbonisation</w:t>
      </w:r>
      <w:r w:rsidR="006B6FF4">
        <w:rPr>
          <w:lang w:val="en-GB"/>
        </w:rPr>
        <w:t xml:space="preserve">, with hydrogen boilers being </w:t>
      </w:r>
      <w:r w:rsidR="008C3665">
        <w:rPr>
          <w:lang w:val="en-GB"/>
        </w:rPr>
        <w:t>identified as a supplementary</w:t>
      </w:r>
      <w:r w:rsidR="006B6FF4">
        <w:rPr>
          <w:lang w:val="en-GB"/>
        </w:rPr>
        <w:t xml:space="preserve"> option</w:t>
      </w:r>
      <w:r w:rsidR="00AA0615">
        <w:rPr>
          <w:lang w:val="en-GB"/>
        </w:rPr>
        <w:t xml:space="preserve">. </w:t>
      </w:r>
      <w:r w:rsidR="00ED226C">
        <w:rPr>
          <w:lang w:val="en-GB"/>
        </w:rPr>
        <w:t xml:space="preserve">CHP systems </w:t>
      </w:r>
      <w:r w:rsidR="00F25DC3">
        <w:rPr>
          <w:lang w:val="en-GB"/>
        </w:rPr>
        <w:t>at building or</w:t>
      </w:r>
      <w:r w:rsidR="008C3665">
        <w:rPr>
          <w:lang w:val="en-GB"/>
        </w:rPr>
        <w:t xml:space="preserve"> district</w:t>
      </w:r>
      <w:r w:rsidR="00F25DC3">
        <w:rPr>
          <w:lang w:val="en-GB"/>
        </w:rPr>
        <w:t>-</w:t>
      </w:r>
      <w:r w:rsidR="008C3665">
        <w:rPr>
          <w:lang w:val="en-GB"/>
        </w:rPr>
        <w:t xml:space="preserve">heating </w:t>
      </w:r>
      <w:r w:rsidR="00F25DC3">
        <w:rPr>
          <w:lang w:val="en-GB"/>
        </w:rPr>
        <w:t xml:space="preserve">level </w:t>
      </w:r>
      <w:r w:rsidR="00ED226C">
        <w:rPr>
          <w:lang w:val="en-GB"/>
        </w:rPr>
        <w:t>were</w:t>
      </w:r>
      <w:r w:rsidR="007F4DAA">
        <w:rPr>
          <w:lang w:val="en-GB"/>
        </w:rPr>
        <w:t xml:space="preserve"> </w:t>
      </w:r>
      <w:r w:rsidR="00ED226C">
        <w:rPr>
          <w:lang w:val="en-GB"/>
        </w:rPr>
        <w:t xml:space="preserve">not examined. </w:t>
      </w:r>
    </w:p>
    <w:p w14:paraId="6B758BD5" w14:textId="1C25D8B3" w:rsidR="00FB6210" w:rsidRPr="0086743B" w:rsidRDefault="00F06537" w:rsidP="0086743B">
      <w:pPr>
        <w:pStyle w:val="Els-body-text"/>
        <w:rPr>
          <w:lang w:val="en-GB"/>
        </w:rPr>
      </w:pPr>
      <w:r>
        <w:rPr>
          <w:lang w:val="en-GB"/>
        </w:rPr>
        <w:t xml:space="preserve">In this paper, we investigate the role </w:t>
      </w:r>
      <w:r w:rsidR="006754A1">
        <w:rPr>
          <w:lang w:val="en-GB"/>
        </w:rPr>
        <w:t>of different low-carbon heating technologies in the UK energy system decarbonisation, using a</w:t>
      </w:r>
      <w:r w:rsidR="005E485F">
        <w:rPr>
          <w:lang w:val="en-GB"/>
        </w:rPr>
        <w:t>n integrated whole-energy system model that explicitly links the heating, electricity, and hydrogen sectors.</w:t>
      </w:r>
      <w:r w:rsidR="009E74BA">
        <w:rPr>
          <w:lang w:val="en-GB"/>
        </w:rPr>
        <w:t xml:space="preserve"> </w:t>
      </w:r>
      <w:r w:rsidR="00425D58">
        <w:rPr>
          <w:lang w:val="en-GB"/>
        </w:rPr>
        <w:t xml:space="preserve">The </w:t>
      </w:r>
      <w:r w:rsidR="009E74BA">
        <w:rPr>
          <w:lang w:val="en-GB"/>
        </w:rPr>
        <w:t xml:space="preserve">focus lies hereby </w:t>
      </w:r>
      <w:r w:rsidR="00086887">
        <w:rPr>
          <w:lang w:val="en-GB"/>
        </w:rPr>
        <w:t>on</w:t>
      </w:r>
      <w:r w:rsidR="009E74BA">
        <w:rPr>
          <w:lang w:val="en-GB"/>
        </w:rPr>
        <w:t xml:space="preserve"> heat pumps and CHP systems, which were both shown to have great </w:t>
      </w:r>
      <w:r w:rsidR="0014644B">
        <w:rPr>
          <w:lang w:val="en-GB"/>
        </w:rPr>
        <w:t xml:space="preserve">heat decarbonisation </w:t>
      </w:r>
      <w:r w:rsidR="009E74BA">
        <w:rPr>
          <w:lang w:val="en-GB"/>
        </w:rPr>
        <w:t>potential.</w:t>
      </w:r>
      <w:r w:rsidR="00C855A7">
        <w:rPr>
          <w:lang w:val="en-GB"/>
        </w:rPr>
        <w:t xml:space="preserve"> We explicitly account for uncertainties in technology costs and fuel prices</w:t>
      </w:r>
      <w:r w:rsidR="00917B53">
        <w:rPr>
          <w:lang w:val="en-GB"/>
        </w:rPr>
        <w:t xml:space="preserve">, thus </w:t>
      </w:r>
      <w:r w:rsidR="009120E9">
        <w:rPr>
          <w:lang w:val="en-GB"/>
        </w:rPr>
        <w:t>provid</w:t>
      </w:r>
      <w:r w:rsidR="00917B53">
        <w:rPr>
          <w:lang w:val="en-GB"/>
        </w:rPr>
        <w:t xml:space="preserve">ing </w:t>
      </w:r>
      <w:r w:rsidR="009120E9">
        <w:rPr>
          <w:lang w:val="en-GB"/>
        </w:rPr>
        <w:t>a more robust analysis</w:t>
      </w:r>
      <w:r w:rsidR="0014644B">
        <w:rPr>
          <w:lang w:val="en-GB"/>
        </w:rPr>
        <w:t xml:space="preserve"> </w:t>
      </w:r>
      <w:r w:rsidR="00DD00D5">
        <w:rPr>
          <w:lang w:val="en-GB"/>
        </w:rPr>
        <w:t xml:space="preserve">that allows </w:t>
      </w:r>
      <w:r w:rsidR="00EA7CD2">
        <w:rPr>
          <w:lang w:val="en-GB"/>
        </w:rPr>
        <w:t xml:space="preserve">for </w:t>
      </w:r>
      <w:r w:rsidR="00B60EEA">
        <w:rPr>
          <w:lang w:val="en-GB"/>
        </w:rPr>
        <w:t>a</w:t>
      </w:r>
      <w:r w:rsidR="00DD00D5">
        <w:rPr>
          <w:lang w:val="en-GB"/>
        </w:rPr>
        <w:t xml:space="preserve"> direct </w:t>
      </w:r>
      <w:r w:rsidR="00B60EEA">
        <w:rPr>
          <w:lang w:val="en-GB"/>
        </w:rPr>
        <w:t xml:space="preserve">and comprehensive </w:t>
      </w:r>
      <w:r w:rsidR="00DD00D5">
        <w:rPr>
          <w:lang w:val="en-GB"/>
        </w:rPr>
        <w:t>comparison of these technologies</w:t>
      </w:r>
      <w:r w:rsidR="00B60EEA" w:rsidRPr="00B60EEA">
        <w:t xml:space="preserve"> </w:t>
      </w:r>
      <w:r w:rsidR="00B60EEA" w:rsidRPr="00B60EEA">
        <w:rPr>
          <w:lang w:val="en-GB"/>
        </w:rPr>
        <w:t xml:space="preserve">within the broader context of the </w:t>
      </w:r>
      <w:r w:rsidR="00B60EEA">
        <w:rPr>
          <w:lang w:val="en-GB"/>
        </w:rPr>
        <w:t>whole</w:t>
      </w:r>
      <w:r w:rsidR="00B60EEA" w:rsidRPr="00B60EEA">
        <w:rPr>
          <w:lang w:val="en-GB"/>
        </w:rPr>
        <w:t xml:space="preserve"> energy system.</w:t>
      </w:r>
    </w:p>
    <w:p w14:paraId="6365ED35" w14:textId="5280E1C9" w:rsidR="00E2757B" w:rsidRDefault="00E2757B" w:rsidP="008D2649">
      <w:pPr>
        <w:pStyle w:val="Els-1storder-head"/>
        <w:rPr>
          <w:lang w:val="en-GB"/>
        </w:rPr>
      </w:pPr>
      <w:r>
        <w:rPr>
          <w:lang w:val="en-GB"/>
        </w:rPr>
        <w:t>Methodology</w:t>
      </w:r>
    </w:p>
    <w:p w14:paraId="296B6DA0" w14:textId="3AE2B420" w:rsidR="00E2757B" w:rsidRDefault="00B6305A" w:rsidP="00E2757B">
      <w:pPr>
        <w:pStyle w:val="Els-body-text"/>
        <w:rPr>
          <w:lang w:val="en-GB"/>
        </w:rPr>
      </w:pPr>
      <w:r>
        <w:rPr>
          <w:lang w:val="en-GB"/>
        </w:rPr>
        <w:t xml:space="preserve">The Energy System Optimisation (ESO) model used </w:t>
      </w:r>
      <w:r w:rsidR="001B7435">
        <w:rPr>
          <w:lang w:val="en-GB"/>
        </w:rPr>
        <w:t xml:space="preserve">for the analysis is described in detail </w:t>
      </w:r>
      <w:r w:rsidR="00282B68">
        <w:rPr>
          <w:lang w:val="en-GB"/>
        </w:rPr>
        <w:t>in</w:t>
      </w:r>
      <w:r w:rsidR="001B7435">
        <w:rPr>
          <w:lang w:val="en-GB"/>
        </w:rPr>
        <w:t xml:space="preserve"> Mersch et al. (2023). </w:t>
      </w:r>
      <w:r w:rsidR="00DF16C1">
        <w:rPr>
          <w:lang w:val="en-GB"/>
        </w:rPr>
        <w:t xml:space="preserve">The model performs a simultaneous optimisation of </w:t>
      </w:r>
      <w:r w:rsidR="0036783E">
        <w:rPr>
          <w:lang w:val="en-GB"/>
        </w:rPr>
        <w:t>capacity expansion from 2020 to 2050</w:t>
      </w:r>
      <w:r w:rsidR="00CE74BC">
        <w:rPr>
          <w:lang w:val="en-GB"/>
        </w:rPr>
        <w:t>, allowing investment decisions every 5 years,</w:t>
      </w:r>
      <w:r w:rsidR="0036783E">
        <w:rPr>
          <w:lang w:val="en-GB"/>
        </w:rPr>
        <w:t xml:space="preserve"> and </w:t>
      </w:r>
      <w:r w:rsidR="00CE74BC">
        <w:rPr>
          <w:lang w:val="en-GB"/>
        </w:rPr>
        <w:t>technology dispatch with hourly resolution, using a representative-day approach.</w:t>
      </w:r>
      <w:r w:rsidR="00B45CB7">
        <w:rPr>
          <w:lang w:val="en-GB"/>
        </w:rPr>
        <w:t xml:space="preserve"> </w:t>
      </w:r>
      <w:r w:rsidR="006F2BCE">
        <w:rPr>
          <w:lang w:val="en-GB"/>
        </w:rPr>
        <w:t>This approach allows the model to account for s</w:t>
      </w:r>
      <w:r w:rsidR="00B45CB7">
        <w:rPr>
          <w:lang w:val="en-GB"/>
        </w:rPr>
        <w:t>easonal effects</w:t>
      </w:r>
      <w:r w:rsidR="006F2BCE">
        <w:rPr>
          <w:lang w:val="en-GB"/>
        </w:rPr>
        <w:t>,</w:t>
      </w:r>
      <w:r w:rsidR="00B45CB7">
        <w:rPr>
          <w:lang w:val="en-GB"/>
        </w:rPr>
        <w:t xml:space="preserve"> such as changing demand patterns</w:t>
      </w:r>
      <w:r w:rsidR="006F2BCE">
        <w:rPr>
          <w:lang w:val="en-GB"/>
        </w:rPr>
        <w:t>.</w:t>
      </w:r>
      <w:r w:rsidR="00B45CB7">
        <w:rPr>
          <w:lang w:val="en-GB"/>
        </w:rPr>
        <w:t xml:space="preserve"> </w:t>
      </w:r>
      <w:r w:rsidR="00624C02">
        <w:rPr>
          <w:lang w:val="en-GB"/>
        </w:rPr>
        <w:t xml:space="preserve">Electricity, hydrogen, and </w:t>
      </w:r>
      <w:r w:rsidR="0017122C">
        <w:rPr>
          <w:lang w:val="en-GB"/>
        </w:rPr>
        <w:t>CO</w:t>
      </w:r>
      <w:r w:rsidR="0017122C">
        <w:rPr>
          <w:lang w:val="en-GB"/>
        </w:rPr>
        <w:softHyphen/>
      </w:r>
      <w:r w:rsidR="0017122C" w:rsidRPr="0017122C">
        <w:rPr>
          <w:vertAlign w:val="subscript"/>
          <w:lang w:val="en-GB"/>
        </w:rPr>
        <w:t>2</w:t>
      </w:r>
      <w:r w:rsidR="00624C02">
        <w:rPr>
          <w:lang w:val="en-GB"/>
        </w:rPr>
        <w:t xml:space="preserve"> removal sectors as well as </w:t>
      </w:r>
      <w:r w:rsidR="004B7FFB">
        <w:rPr>
          <w:lang w:val="en-GB"/>
        </w:rPr>
        <w:t>domestic, commercial</w:t>
      </w:r>
      <w:r w:rsidR="00FB4CC7">
        <w:rPr>
          <w:lang w:val="en-GB"/>
        </w:rPr>
        <w:t>,</w:t>
      </w:r>
      <w:r w:rsidR="004B7FFB">
        <w:rPr>
          <w:lang w:val="en-GB"/>
        </w:rPr>
        <w:t xml:space="preserve"> and industrial heat are explicitly represented in the model, while for the transpo</w:t>
      </w:r>
      <w:r w:rsidR="00B566C1">
        <w:rPr>
          <w:lang w:val="en-GB"/>
        </w:rPr>
        <w:t>rt sector assumption</w:t>
      </w:r>
      <w:r w:rsidR="000C1CD2">
        <w:rPr>
          <w:lang w:val="en-GB"/>
        </w:rPr>
        <w:t>s</w:t>
      </w:r>
      <w:r w:rsidR="00B566C1">
        <w:rPr>
          <w:lang w:val="en-GB"/>
        </w:rPr>
        <w:t xml:space="preserve"> on the uptake of electric vehicles and the corresponding electricity demand </w:t>
      </w:r>
      <w:r w:rsidR="000C1CD2">
        <w:rPr>
          <w:lang w:val="en-GB"/>
        </w:rPr>
        <w:t xml:space="preserve">are </w:t>
      </w:r>
      <w:r w:rsidR="00B566C1">
        <w:rPr>
          <w:lang w:val="en-GB"/>
        </w:rPr>
        <w:t>made.</w:t>
      </w:r>
      <w:r w:rsidR="00FE0C64">
        <w:rPr>
          <w:lang w:val="en-GB"/>
        </w:rPr>
        <w:t xml:space="preserve"> The model performs a cost minimisation assuming perfect foresight.</w:t>
      </w:r>
    </w:p>
    <w:p w14:paraId="2E54670B" w14:textId="5DFEA00F" w:rsidR="00D502A5" w:rsidRDefault="002E5546" w:rsidP="00E2757B">
      <w:pPr>
        <w:pStyle w:val="Els-body-text"/>
        <w:rPr>
          <w:lang w:val="en-GB"/>
        </w:rPr>
      </w:pPr>
      <w:r>
        <w:rPr>
          <w:lang w:val="en-GB"/>
        </w:rPr>
        <w:t>For this work, CHP systems</w:t>
      </w:r>
      <w:r w:rsidR="00927988">
        <w:rPr>
          <w:lang w:val="en-GB"/>
        </w:rPr>
        <w:t xml:space="preserve"> and a representation of district heating networks </w:t>
      </w:r>
      <w:r w:rsidR="003B2F40">
        <w:rPr>
          <w:lang w:val="en-GB"/>
        </w:rPr>
        <w:t>have been added to the model.</w:t>
      </w:r>
      <w:r w:rsidR="00A704AE">
        <w:rPr>
          <w:lang w:val="en-GB"/>
        </w:rPr>
        <w:t xml:space="preserve"> Modelled CHP systems are </w:t>
      </w:r>
      <w:r w:rsidR="00EF7606">
        <w:rPr>
          <w:lang w:val="en-GB"/>
        </w:rPr>
        <w:t>natural gas and hydrogen internal combustion engines (ICEs)</w:t>
      </w:r>
      <w:r w:rsidR="00950834">
        <w:rPr>
          <w:lang w:val="en-GB"/>
        </w:rPr>
        <w:t>, which can be deployed either at household, commercial building</w:t>
      </w:r>
      <w:r w:rsidR="00025136">
        <w:rPr>
          <w:lang w:val="en-GB"/>
        </w:rPr>
        <w:t>,</w:t>
      </w:r>
      <w:r w:rsidR="00950834">
        <w:rPr>
          <w:lang w:val="en-GB"/>
        </w:rPr>
        <w:t xml:space="preserve"> or industrial site level, or in district heating networks. </w:t>
      </w:r>
      <w:r w:rsidR="00353423">
        <w:rPr>
          <w:lang w:val="en-GB"/>
        </w:rPr>
        <w:t xml:space="preserve">Other generation technology options for district heating are ground-source heat pumps (GSHPs), </w:t>
      </w:r>
      <w:r w:rsidR="00CF0B6C">
        <w:rPr>
          <w:lang w:val="en-GB"/>
        </w:rPr>
        <w:t xml:space="preserve">natural </w:t>
      </w:r>
      <w:r w:rsidR="00CF0B6C">
        <w:rPr>
          <w:lang w:val="en-GB"/>
        </w:rPr>
        <w:lastRenderedPageBreak/>
        <w:t xml:space="preserve">gas boilers and hydrogen boilers, while hot water tanks are considered as </w:t>
      </w:r>
      <w:r w:rsidR="00DB2C7F">
        <w:rPr>
          <w:lang w:val="en-GB"/>
        </w:rPr>
        <w:t xml:space="preserve">a </w:t>
      </w:r>
      <w:r w:rsidR="00CF0B6C">
        <w:rPr>
          <w:lang w:val="en-GB"/>
        </w:rPr>
        <w:t>TES option.</w:t>
      </w:r>
      <w:r w:rsidR="005E111A">
        <w:rPr>
          <w:lang w:val="en-GB"/>
        </w:rPr>
        <w:t xml:space="preserve"> CHP</w:t>
      </w:r>
      <w:r w:rsidR="007A326A">
        <w:rPr>
          <w:lang w:val="en-GB"/>
        </w:rPr>
        <w:t xml:space="preserve"> system</w:t>
      </w:r>
      <w:r w:rsidR="005E111A">
        <w:rPr>
          <w:lang w:val="en-GB"/>
        </w:rPr>
        <w:t xml:space="preserve">s are assumed to be </w:t>
      </w:r>
      <w:r w:rsidR="005C6C23">
        <w:rPr>
          <w:lang w:val="en-GB"/>
        </w:rPr>
        <w:t>able to</w:t>
      </w:r>
      <w:r w:rsidR="00742974">
        <w:rPr>
          <w:lang w:val="en-GB"/>
        </w:rPr>
        <w:t xml:space="preserve"> feed any generated electricity into the grid.</w:t>
      </w:r>
    </w:p>
    <w:p w14:paraId="47A38E3E" w14:textId="0673B565" w:rsidR="00AC1A97" w:rsidRDefault="00DF7520" w:rsidP="00314170">
      <w:pPr>
        <w:pStyle w:val="Els-body-text"/>
        <w:spacing w:after="120"/>
        <w:rPr>
          <w:lang w:val="en-GB"/>
        </w:rPr>
      </w:pPr>
      <w:r>
        <w:rPr>
          <w:lang w:val="en-GB"/>
        </w:rPr>
        <w:t xml:space="preserve">The cost and performance of </w:t>
      </w:r>
      <w:r w:rsidR="00357A6D">
        <w:rPr>
          <w:lang w:val="en-GB"/>
        </w:rPr>
        <w:t>heating technologies are modelled based on the data collected by Olympios et al. (</w:t>
      </w:r>
      <w:r w:rsidR="00D23AFC">
        <w:rPr>
          <w:lang w:val="en-GB"/>
        </w:rPr>
        <w:t>2021</w:t>
      </w:r>
      <w:r w:rsidR="00357A6D">
        <w:rPr>
          <w:lang w:val="en-GB"/>
        </w:rPr>
        <w:t>)</w:t>
      </w:r>
      <w:r w:rsidR="00E54935">
        <w:rPr>
          <w:lang w:val="en-GB"/>
        </w:rPr>
        <w:t>.</w:t>
      </w:r>
      <w:r w:rsidR="00024E1D">
        <w:rPr>
          <w:lang w:val="en-GB"/>
        </w:rPr>
        <w:t xml:space="preserve"> Key parameters for </w:t>
      </w:r>
      <w:r w:rsidR="006D2B85">
        <w:rPr>
          <w:lang w:val="en-GB"/>
        </w:rPr>
        <w:t xml:space="preserve">small-scale household level systems are shown in </w:t>
      </w:r>
      <w:r w:rsidR="001007E0">
        <w:rPr>
          <w:lang w:val="en-GB"/>
        </w:rPr>
        <w:t xml:space="preserve">Table 1, while </w:t>
      </w:r>
      <w:r w:rsidR="00357124">
        <w:rPr>
          <w:lang w:val="en-GB"/>
        </w:rPr>
        <w:t xml:space="preserve">parameters </w:t>
      </w:r>
      <w:r w:rsidR="009A0C65">
        <w:rPr>
          <w:lang w:val="en-GB"/>
        </w:rPr>
        <w:t>of</w:t>
      </w:r>
      <w:r w:rsidR="00357124">
        <w:rPr>
          <w:lang w:val="en-GB"/>
        </w:rPr>
        <w:t xml:space="preserve"> </w:t>
      </w:r>
      <w:r w:rsidR="00854B3B">
        <w:rPr>
          <w:lang w:val="en-GB"/>
        </w:rPr>
        <w:t xml:space="preserve">larger assets for </w:t>
      </w:r>
      <w:r w:rsidR="00854B3B" w:rsidRPr="00854B3B">
        <w:rPr>
          <w:i/>
          <w:iCs/>
          <w:lang w:val="en-GB"/>
        </w:rPr>
        <w:t>e.g.</w:t>
      </w:r>
      <w:r w:rsidR="00854B3B">
        <w:rPr>
          <w:lang w:val="en-GB"/>
        </w:rPr>
        <w:t xml:space="preserve">, </w:t>
      </w:r>
      <w:r w:rsidR="00357124">
        <w:rPr>
          <w:lang w:val="en-GB"/>
        </w:rPr>
        <w:t xml:space="preserve">district heating systems are shown in Table 2. </w:t>
      </w:r>
      <w:r w:rsidR="003145FE">
        <w:rPr>
          <w:lang w:val="en-GB"/>
        </w:rPr>
        <w:t>Note that these are only the baseline parameters. Some parameters are varied during the Monte Carlo study to account for uncertainties, as described below.</w:t>
      </w:r>
      <w:r w:rsidR="00F037B4">
        <w:rPr>
          <w:lang w:val="en-GB"/>
        </w:rPr>
        <w:t xml:space="preserve"> Efficiencies of ASHPs and GSHPs are calculated</w:t>
      </w:r>
      <w:r w:rsidR="0008347F">
        <w:rPr>
          <w:lang w:val="en-GB"/>
        </w:rPr>
        <w:t xml:space="preserve"> using a correlation</w:t>
      </w:r>
      <w:r w:rsidR="00F037B4">
        <w:rPr>
          <w:lang w:val="en-GB"/>
        </w:rPr>
        <w:t xml:space="preserve"> based on the ambient air and ground temperature, respectively.</w:t>
      </w:r>
    </w:p>
    <w:p w14:paraId="032EA297" w14:textId="6AD3C869" w:rsidR="00AD5D25" w:rsidRDefault="00AD5D25" w:rsidP="003C3D97">
      <w:pPr>
        <w:pStyle w:val="Els-body-text"/>
        <w:keepNext/>
        <w:keepLines/>
        <w:rPr>
          <w:lang w:val="en-GB"/>
        </w:rPr>
      </w:pPr>
      <w:r>
        <w:rPr>
          <w:lang w:val="en-GB"/>
        </w:rPr>
        <w:t xml:space="preserve">Table 1. </w:t>
      </w:r>
      <w:r w:rsidR="00314170">
        <w:rPr>
          <w:lang w:val="en-GB"/>
        </w:rPr>
        <w:t>Key cost and performance parameters of domestic heating technologies</w:t>
      </w:r>
      <w:r w:rsidR="00A001AD">
        <w:rPr>
          <w:lang w:val="en-GB"/>
        </w:rPr>
        <w:t>.</w:t>
      </w:r>
    </w:p>
    <w:tbl>
      <w:tblPr>
        <w:tblStyle w:val="TableGrid"/>
        <w:tblW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18"/>
        <w:gridCol w:w="992"/>
        <w:gridCol w:w="1134"/>
        <w:gridCol w:w="1276"/>
        <w:gridCol w:w="2263"/>
      </w:tblGrid>
      <w:tr w:rsidR="00EA1B45" w14:paraId="09C67161" w14:textId="77777777" w:rsidTr="004D1315">
        <w:tc>
          <w:tcPr>
            <w:tcW w:w="1418" w:type="dxa"/>
            <w:tcBorders>
              <w:top w:val="single" w:sz="4" w:space="0" w:color="auto"/>
              <w:bottom w:val="single" w:sz="4" w:space="0" w:color="auto"/>
            </w:tcBorders>
          </w:tcPr>
          <w:p w14:paraId="669DB34D" w14:textId="6943EC62" w:rsidR="00EA1B45" w:rsidRDefault="00EA1B45" w:rsidP="003C3D97">
            <w:pPr>
              <w:pStyle w:val="Els-body-text"/>
              <w:keepNext/>
              <w:keepLines/>
              <w:rPr>
                <w:lang w:val="en-GB"/>
              </w:rPr>
            </w:pPr>
            <w:r>
              <w:rPr>
                <w:lang w:val="en-GB"/>
              </w:rPr>
              <w:t>Technology</w:t>
            </w:r>
          </w:p>
        </w:tc>
        <w:tc>
          <w:tcPr>
            <w:tcW w:w="992" w:type="dxa"/>
            <w:tcBorders>
              <w:top w:val="single" w:sz="4" w:space="0" w:color="auto"/>
              <w:bottom w:val="single" w:sz="4" w:space="0" w:color="auto"/>
            </w:tcBorders>
          </w:tcPr>
          <w:p w14:paraId="4AF47560" w14:textId="18DA6D9C" w:rsidR="00EA1B45" w:rsidRDefault="00EA1B45" w:rsidP="009B2C8E">
            <w:pPr>
              <w:pStyle w:val="Els-body-text"/>
              <w:keepNext/>
              <w:keepLines/>
              <w:jc w:val="center"/>
              <w:rPr>
                <w:lang w:val="en-GB"/>
              </w:rPr>
            </w:pPr>
            <w:r>
              <w:rPr>
                <w:lang w:val="en-GB"/>
              </w:rPr>
              <w:t>Size [</w:t>
            </w:r>
            <w:proofErr w:type="spellStart"/>
            <w:r>
              <w:rPr>
                <w:lang w:val="en-GB"/>
              </w:rPr>
              <w:t>kW</w:t>
            </w:r>
            <w:r w:rsidR="005179A5" w:rsidRPr="005179A5">
              <w:rPr>
                <w:vertAlign w:val="subscript"/>
                <w:lang w:val="en-GB"/>
              </w:rPr>
              <w:t>th</w:t>
            </w:r>
            <w:proofErr w:type="spellEnd"/>
            <w:r>
              <w:rPr>
                <w:lang w:val="en-GB"/>
              </w:rPr>
              <w:t>]</w:t>
            </w:r>
          </w:p>
        </w:tc>
        <w:tc>
          <w:tcPr>
            <w:tcW w:w="1134" w:type="dxa"/>
            <w:tcBorders>
              <w:top w:val="single" w:sz="4" w:space="0" w:color="auto"/>
              <w:bottom w:val="single" w:sz="4" w:space="0" w:color="auto"/>
            </w:tcBorders>
          </w:tcPr>
          <w:p w14:paraId="1F47CD00" w14:textId="7EAD717B" w:rsidR="00EA1B45" w:rsidRDefault="00EA1B45" w:rsidP="009B2C8E">
            <w:pPr>
              <w:pStyle w:val="Els-body-text"/>
              <w:keepNext/>
              <w:keepLines/>
              <w:jc w:val="center"/>
              <w:rPr>
                <w:lang w:val="en-GB"/>
              </w:rPr>
            </w:pPr>
            <w:r>
              <w:rPr>
                <w:lang w:val="en-GB"/>
              </w:rPr>
              <w:t>CAPEX [£]</w:t>
            </w:r>
          </w:p>
        </w:tc>
        <w:tc>
          <w:tcPr>
            <w:tcW w:w="1276" w:type="dxa"/>
            <w:tcBorders>
              <w:top w:val="single" w:sz="4" w:space="0" w:color="auto"/>
              <w:bottom w:val="single" w:sz="4" w:space="0" w:color="auto"/>
            </w:tcBorders>
          </w:tcPr>
          <w:p w14:paraId="20904CC6" w14:textId="5EE7712B" w:rsidR="00EA1B45" w:rsidRDefault="00EA1B45" w:rsidP="009B2C8E">
            <w:pPr>
              <w:pStyle w:val="Els-body-text"/>
              <w:keepNext/>
              <w:keepLines/>
              <w:jc w:val="center"/>
              <w:rPr>
                <w:lang w:val="en-GB"/>
              </w:rPr>
            </w:pPr>
            <w:r>
              <w:rPr>
                <w:lang w:val="en-GB"/>
              </w:rPr>
              <w:t>OPEX [£/y]</w:t>
            </w:r>
          </w:p>
        </w:tc>
        <w:tc>
          <w:tcPr>
            <w:tcW w:w="2263" w:type="dxa"/>
            <w:tcBorders>
              <w:top w:val="single" w:sz="4" w:space="0" w:color="auto"/>
              <w:bottom w:val="single" w:sz="4" w:space="0" w:color="auto"/>
            </w:tcBorders>
          </w:tcPr>
          <w:p w14:paraId="5ADDFE40" w14:textId="6932D762" w:rsidR="00EA1B45" w:rsidRDefault="00EA1B45" w:rsidP="009B2C8E">
            <w:pPr>
              <w:pStyle w:val="Els-body-text"/>
              <w:keepNext/>
              <w:keepLines/>
              <w:jc w:val="center"/>
              <w:rPr>
                <w:lang w:val="en-GB"/>
              </w:rPr>
            </w:pPr>
            <w:r>
              <w:rPr>
                <w:lang w:val="en-GB"/>
              </w:rPr>
              <w:t>Efficiency</w:t>
            </w:r>
          </w:p>
        </w:tc>
      </w:tr>
      <w:tr w:rsidR="00EA1B45" w14:paraId="2FE03086" w14:textId="77777777" w:rsidTr="004D1315">
        <w:tc>
          <w:tcPr>
            <w:tcW w:w="1418" w:type="dxa"/>
            <w:tcBorders>
              <w:top w:val="single" w:sz="4" w:space="0" w:color="auto"/>
            </w:tcBorders>
          </w:tcPr>
          <w:p w14:paraId="1CF84C57" w14:textId="12DECCBD" w:rsidR="00EA1B45" w:rsidRDefault="00386C2F" w:rsidP="003C3D97">
            <w:pPr>
              <w:pStyle w:val="Els-body-text"/>
              <w:keepNext/>
              <w:keepLines/>
              <w:rPr>
                <w:lang w:val="en-GB"/>
              </w:rPr>
            </w:pPr>
            <w:r>
              <w:rPr>
                <w:lang w:val="en-GB"/>
              </w:rPr>
              <w:t>Gas boiler</w:t>
            </w:r>
          </w:p>
        </w:tc>
        <w:tc>
          <w:tcPr>
            <w:tcW w:w="992" w:type="dxa"/>
            <w:tcBorders>
              <w:top w:val="single" w:sz="4" w:space="0" w:color="auto"/>
            </w:tcBorders>
          </w:tcPr>
          <w:p w14:paraId="7C955E9F" w14:textId="2FDB2111" w:rsidR="00EA1B45" w:rsidRDefault="00DD4895" w:rsidP="009B2C8E">
            <w:pPr>
              <w:pStyle w:val="Els-body-text"/>
              <w:keepNext/>
              <w:keepLines/>
              <w:jc w:val="center"/>
              <w:rPr>
                <w:lang w:val="en-GB"/>
              </w:rPr>
            </w:pPr>
            <w:r>
              <w:rPr>
                <w:lang w:val="en-GB"/>
              </w:rPr>
              <w:t>30</w:t>
            </w:r>
          </w:p>
        </w:tc>
        <w:tc>
          <w:tcPr>
            <w:tcW w:w="1134" w:type="dxa"/>
            <w:tcBorders>
              <w:top w:val="single" w:sz="4" w:space="0" w:color="auto"/>
            </w:tcBorders>
          </w:tcPr>
          <w:p w14:paraId="095C02BC" w14:textId="30ABA209" w:rsidR="00EA1B45" w:rsidRDefault="00407F24" w:rsidP="009B2C8E">
            <w:pPr>
              <w:pStyle w:val="Els-body-text"/>
              <w:keepNext/>
              <w:keepLines/>
              <w:jc w:val="center"/>
              <w:rPr>
                <w:lang w:val="en-GB"/>
              </w:rPr>
            </w:pPr>
            <w:r>
              <w:rPr>
                <w:lang w:val="en-GB"/>
              </w:rPr>
              <w:t>2</w:t>
            </w:r>
            <w:r w:rsidR="00531210">
              <w:rPr>
                <w:lang w:val="en-GB"/>
              </w:rPr>
              <w:t>,</w:t>
            </w:r>
            <w:r>
              <w:rPr>
                <w:lang w:val="en-GB"/>
              </w:rPr>
              <w:t>560</w:t>
            </w:r>
          </w:p>
        </w:tc>
        <w:tc>
          <w:tcPr>
            <w:tcW w:w="1276" w:type="dxa"/>
            <w:tcBorders>
              <w:top w:val="single" w:sz="4" w:space="0" w:color="auto"/>
            </w:tcBorders>
          </w:tcPr>
          <w:p w14:paraId="29E19B46" w14:textId="5F419B86" w:rsidR="00EA1B45" w:rsidRDefault="00407F24" w:rsidP="009B2C8E">
            <w:pPr>
              <w:pStyle w:val="Els-body-text"/>
              <w:keepNext/>
              <w:keepLines/>
              <w:jc w:val="center"/>
              <w:rPr>
                <w:lang w:val="en-GB"/>
              </w:rPr>
            </w:pPr>
            <w:r>
              <w:rPr>
                <w:lang w:val="en-GB"/>
              </w:rPr>
              <w:t>10</w:t>
            </w:r>
            <w:r w:rsidR="001742AD">
              <w:rPr>
                <w:lang w:val="en-GB"/>
              </w:rPr>
              <w:t>0</w:t>
            </w:r>
          </w:p>
        </w:tc>
        <w:tc>
          <w:tcPr>
            <w:tcW w:w="2263" w:type="dxa"/>
            <w:tcBorders>
              <w:top w:val="single" w:sz="4" w:space="0" w:color="auto"/>
            </w:tcBorders>
          </w:tcPr>
          <w:p w14:paraId="4F0E9004" w14:textId="5BB487D5" w:rsidR="00EA1B45" w:rsidRDefault="00407F24" w:rsidP="009B2C8E">
            <w:pPr>
              <w:pStyle w:val="Els-body-text"/>
              <w:keepNext/>
              <w:keepLines/>
              <w:jc w:val="center"/>
              <w:rPr>
                <w:lang w:val="en-GB"/>
              </w:rPr>
            </w:pPr>
            <w:r>
              <w:rPr>
                <w:lang w:val="en-GB"/>
              </w:rPr>
              <w:t>0.9</w:t>
            </w:r>
          </w:p>
        </w:tc>
      </w:tr>
      <w:tr w:rsidR="00EA1B45" w14:paraId="16B54353" w14:textId="77777777" w:rsidTr="004D1315">
        <w:tc>
          <w:tcPr>
            <w:tcW w:w="1418" w:type="dxa"/>
          </w:tcPr>
          <w:p w14:paraId="46B256BA" w14:textId="3CA65144" w:rsidR="00EA1B45" w:rsidRDefault="00386C2F" w:rsidP="003C3D97">
            <w:pPr>
              <w:pStyle w:val="Els-body-text"/>
              <w:keepNext/>
              <w:keepLines/>
              <w:rPr>
                <w:lang w:val="en-GB"/>
              </w:rPr>
            </w:pPr>
            <w:r>
              <w:rPr>
                <w:lang w:val="en-GB"/>
              </w:rPr>
              <w:t>H</w:t>
            </w:r>
            <w:r w:rsidRPr="008B7F1E">
              <w:rPr>
                <w:vertAlign w:val="subscript"/>
                <w:lang w:val="en-GB"/>
              </w:rPr>
              <w:t>2</w:t>
            </w:r>
            <w:r>
              <w:rPr>
                <w:lang w:val="en-GB"/>
              </w:rPr>
              <w:t xml:space="preserve"> boiler</w:t>
            </w:r>
          </w:p>
        </w:tc>
        <w:tc>
          <w:tcPr>
            <w:tcW w:w="992" w:type="dxa"/>
          </w:tcPr>
          <w:p w14:paraId="42B5F370" w14:textId="24D11A0C" w:rsidR="00EA1B45" w:rsidRDefault="00407F24" w:rsidP="009B2C8E">
            <w:pPr>
              <w:pStyle w:val="Els-body-text"/>
              <w:keepNext/>
              <w:keepLines/>
              <w:jc w:val="center"/>
              <w:rPr>
                <w:lang w:val="en-GB"/>
              </w:rPr>
            </w:pPr>
            <w:r>
              <w:rPr>
                <w:lang w:val="en-GB"/>
              </w:rPr>
              <w:t>30</w:t>
            </w:r>
          </w:p>
        </w:tc>
        <w:tc>
          <w:tcPr>
            <w:tcW w:w="1134" w:type="dxa"/>
          </w:tcPr>
          <w:p w14:paraId="5948EFAB" w14:textId="1ABF1C41" w:rsidR="00EA1B45" w:rsidRDefault="00407F24" w:rsidP="009B2C8E">
            <w:pPr>
              <w:pStyle w:val="Els-body-text"/>
              <w:keepNext/>
              <w:keepLines/>
              <w:jc w:val="center"/>
              <w:rPr>
                <w:lang w:val="en-GB"/>
              </w:rPr>
            </w:pPr>
            <w:r>
              <w:rPr>
                <w:lang w:val="en-GB"/>
              </w:rPr>
              <w:t>2</w:t>
            </w:r>
            <w:r w:rsidR="00531210">
              <w:rPr>
                <w:lang w:val="en-GB"/>
              </w:rPr>
              <w:t>,</w:t>
            </w:r>
            <w:r>
              <w:rPr>
                <w:lang w:val="en-GB"/>
              </w:rPr>
              <w:t>560</w:t>
            </w:r>
          </w:p>
        </w:tc>
        <w:tc>
          <w:tcPr>
            <w:tcW w:w="1276" w:type="dxa"/>
          </w:tcPr>
          <w:p w14:paraId="5E1F671C" w14:textId="3AC9CD0E" w:rsidR="00EA1B45" w:rsidRDefault="00407F24" w:rsidP="009B2C8E">
            <w:pPr>
              <w:pStyle w:val="Els-body-text"/>
              <w:keepNext/>
              <w:keepLines/>
              <w:jc w:val="center"/>
              <w:rPr>
                <w:lang w:val="en-GB"/>
              </w:rPr>
            </w:pPr>
            <w:r>
              <w:rPr>
                <w:lang w:val="en-GB"/>
              </w:rPr>
              <w:t>10</w:t>
            </w:r>
            <w:r w:rsidR="001742AD">
              <w:rPr>
                <w:lang w:val="en-GB"/>
              </w:rPr>
              <w:t>0</w:t>
            </w:r>
          </w:p>
        </w:tc>
        <w:tc>
          <w:tcPr>
            <w:tcW w:w="2263" w:type="dxa"/>
          </w:tcPr>
          <w:p w14:paraId="75C37DE7" w14:textId="60959350" w:rsidR="00EA1B45" w:rsidRDefault="00407F24" w:rsidP="009B2C8E">
            <w:pPr>
              <w:pStyle w:val="Els-body-text"/>
              <w:keepNext/>
              <w:keepLines/>
              <w:jc w:val="center"/>
              <w:rPr>
                <w:lang w:val="en-GB"/>
              </w:rPr>
            </w:pPr>
            <w:r>
              <w:rPr>
                <w:lang w:val="en-GB"/>
              </w:rPr>
              <w:t>0.9</w:t>
            </w:r>
          </w:p>
        </w:tc>
      </w:tr>
      <w:tr w:rsidR="00EA1B45" w14:paraId="40BCCE77" w14:textId="77777777" w:rsidTr="004D1315">
        <w:tc>
          <w:tcPr>
            <w:tcW w:w="1418" w:type="dxa"/>
          </w:tcPr>
          <w:p w14:paraId="42E4790E" w14:textId="41249BAC" w:rsidR="00EA1B45" w:rsidRDefault="00386C2F" w:rsidP="003C3D97">
            <w:pPr>
              <w:pStyle w:val="Els-body-text"/>
              <w:keepNext/>
              <w:keepLines/>
              <w:rPr>
                <w:lang w:val="en-GB"/>
              </w:rPr>
            </w:pPr>
            <w:r>
              <w:rPr>
                <w:lang w:val="en-GB"/>
              </w:rPr>
              <w:t>Small ASHP</w:t>
            </w:r>
          </w:p>
        </w:tc>
        <w:tc>
          <w:tcPr>
            <w:tcW w:w="992" w:type="dxa"/>
          </w:tcPr>
          <w:p w14:paraId="5204E6E0" w14:textId="52ABFFD3" w:rsidR="00EA1B45" w:rsidRDefault="00162CD0" w:rsidP="009B2C8E">
            <w:pPr>
              <w:pStyle w:val="Els-body-text"/>
              <w:keepNext/>
              <w:keepLines/>
              <w:jc w:val="center"/>
              <w:rPr>
                <w:lang w:val="en-GB"/>
              </w:rPr>
            </w:pPr>
            <w:r>
              <w:rPr>
                <w:lang w:val="en-GB"/>
              </w:rPr>
              <w:t>5</w:t>
            </w:r>
          </w:p>
        </w:tc>
        <w:tc>
          <w:tcPr>
            <w:tcW w:w="1134" w:type="dxa"/>
          </w:tcPr>
          <w:p w14:paraId="211A0295" w14:textId="5D2EF6CF" w:rsidR="00EA1B45" w:rsidRDefault="00162CD0" w:rsidP="009B2C8E">
            <w:pPr>
              <w:pStyle w:val="Els-body-text"/>
              <w:keepNext/>
              <w:keepLines/>
              <w:jc w:val="center"/>
              <w:rPr>
                <w:lang w:val="en-GB"/>
              </w:rPr>
            </w:pPr>
            <w:r>
              <w:rPr>
                <w:lang w:val="en-GB"/>
              </w:rPr>
              <w:t>6</w:t>
            </w:r>
            <w:r w:rsidR="00531210">
              <w:rPr>
                <w:lang w:val="en-GB"/>
              </w:rPr>
              <w:t>,</w:t>
            </w:r>
            <w:r>
              <w:rPr>
                <w:lang w:val="en-GB"/>
              </w:rPr>
              <w:t>86</w:t>
            </w:r>
            <w:r w:rsidR="001742AD">
              <w:rPr>
                <w:lang w:val="en-GB"/>
              </w:rPr>
              <w:t>0</w:t>
            </w:r>
          </w:p>
        </w:tc>
        <w:tc>
          <w:tcPr>
            <w:tcW w:w="1276" w:type="dxa"/>
          </w:tcPr>
          <w:p w14:paraId="7DE1D47C" w14:textId="3E1EC2BD" w:rsidR="00EA1B45" w:rsidRDefault="00162CD0" w:rsidP="009B2C8E">
            <w:pPr>
              <w:pStyle w:val="Els-body-text"/>
              <w:keepNext/>
              <w:keepLines/>
              <w:jc w:val="center"/>
              <w:rPr>
                <w:lang w:val="en-GB"/>
              </w:rPr>
            </w:pPr>
            <w:r>
              <w:rPr>
                <w:lang w:val="en-GB"/>
              </w:rPr>
              <w:t>24</w:t>
            </w:r>
            <w:r w:rsidR="001742AD">
              <w:rPr>
                <w:lang w:val="en-GB"/>
              </w:rPr>
              <w:t>0</w:t>
            </w:r>
          </w:p>
        </w:tc>
        <w:tc>
          <w:tcPr>
            <w:tcW w:w="2263" w:type="dxa"/>
          </w:tcPr>
          <w:p w14:paraId="5BA18864" w14:textId="3F3148D3" w:rsidR="00EA1B45" w:rsidRDefault="00C44DF0" w:rsidP="009B2C8E">
            <w:pPr>
              <w:pStyle w:val="Els-body-text"/>
              <w:keepNext/>
              <w:keepLines/>
              <w:jc w:val="center"/>
              <w:rPr>
                <w:lang w:val="en-GB"/>
              </w:rPr>
            </w:pPr>
            <w:r>
              <w:rPr>
                <w:lang w:val="en-GB"/>
              </w:rPr>
              <w:t>variable</w:t>
            </w:r>
          </w:p>
        </w:tc>
      </w:tr>
      <w:tr w:rsidR="00EA1B45" w14:paraId="54A14D7F" w14:textId="77777777" w:rsidTr="004D1315">
        <w:tc>
          <w:tcPr>
            <w:tcW w:w="1418" w:type="dxa"/>
          </w:tcPr>
          <w:p w14:paraId="26499003" w14:textId="2DF57EB2" w:rsidR="00EA1B45" w:rsidRDefault="00386C2F" w:rsidP="003C3D97">
            <w:pPr>
              <w:pStyle w:val="Els-body-text"/>
              <w:keepNext/>
              <w:keepLines/>
              <w:rPr>
                <w:lang w:val="en-GB"/>
              </w:rPr>
            </w:pPr>
            <w:r>
              <w:rPr>
                <w:lang w:val="en-GB"/>
              </w:rPr>
              <w:t>Large ASHP</w:t>
            </w:r>
          </w:p>
        </w:tc>
        <w:tc>
          <w:tcPr>
            <w:tcW w:w="992" w:type="dxa"/>
          </w:tcPr>
          <w:p w14:paraId="6F268254" w14:textId="3C1B32C4" w:rsidR="00EA1B45" w:rsidRDefault="00B618EC" w:rsidP="009B2C8E">
            <w:pPr>
              <w:pStyle w:val="Els-body-text"/>
              <w:keepNext/>
              <w:keepLines/>
              <w:jc w:val="center"/>
              <w:rPr>
                <w:lang w:val="en-GB"/>
              </w:rPr>
            </w:pPr>
            <w:r>
              <w:rPr>
                <w:lang w:val="en-GB"/>
              </w:rPr>
              <w:t>10</w:t>
            </w:r>
          </w:p>
        </w:tc>
        <w:tc>
          <w:tcPr>
            <w:tcW w:w="1134" w:type="dxa"/>
          </w:tcPr>
          <w:p w14:paraId="3362B60B" w14:textId="4F7E907A" w:rsidR="00EA1B45" w:rsidRDefault="00B618EC" w:rsidP="009B2C8E">
            <w:pPr>
              <w:pStyle w:val="Els-body-text"/>
              <w:keepNext/>
              <w:keepLines/>
              <w:jc w:val="center"/>
              <w:rPr>
                <w:lang w:val="en-GB"/>
              </w:rPr>
            </w:pPr>
            <w:r>
              <w:rPr>
                <w:lang w:val="en-GB"/>
              </w:rPr>
              <w:t>8</w:t>
            </w:r>
            <w:r w:rsidR="00531210">
              <w:rPr>
                <w:lang w:val="en-GB"/>
              </w:rPr>
              <w:t>,</w:t>
            </w:r>
            <w:r>
              <w:rPr>
                <w:lang w:val="en-GB"/>
              </w:rPr>
              <w:t>2</w:t>
            </w:r>
            <w:r w:rsidR="001742AD">
              <w:rPr>
                <w:lang w:val="en-GB"/>
              </w:rPr>
              <w:t>30</w:t>
            </w:r>
          </w:p>
        </w:tc>
        <w:tc>
          <w:tcPr>
            <w:tcW w:w="1276" w:type="dxa"/>
          </w:tcPr>
          <w:p w14:paraId="6CEEA2A1" w14:textId="4CA76912" w:rsidR="00EA1B45" w:rsidRDefault="00B618EC" w:rsidP="009B2C8E">
            <w:pPr>
              <w:pStyle w:val="Els-body-text"/>
              <w:keepNext/>
              <w:keepLines/>
              <w:jc w:val="center"/>
              <w:rPr>
                <w:lang w:val="en-GB"/>
              </w:rPr>
            </w:pPr>
            <w:r>
              <w:rPr>
                <w:lang w:val="en-GB"/>
              </w:rPr>
              <w:t>24</w:t>
            </w:r>
            <w:r w:rsidR="001742AD">
              <w:rPr>
                <w:lang w:val="en-GB"/>
              </w:rPr>
              <w:t>0</w:t>
            </w:r>
          </w:p>
        </w:tc>
        <w:tc>
          <w:tcPr>
            <w:tcW w:w="2263" w:type="dxa"/>
          </w:tcPr>
          <w:p w14:paraId="19E1E424" w14:textId="3A6DCA51" w:rsidR="00EA1B45" w:rsidRDefault="00B618EC" w:rsidP="009B2C8E">
            <w:pPr>
              <w:pStyle w:val="Els-body-text"/>
              <w:keepNext/>
              <w:keepLines/>
              <w:jc w:val="center"/>
              <w:rPr>
                <w:lang w:val="en-GB"/>
              </w:rPr>
            </w:pPr>
            <w:r>
              <w:rPr>
                <w:lang w:val="en-GB"/>
              </w:rPr>
              <w:t>variable</w:t>
            </w:r>
          </w:p>
        </w:tc>
      </w:tr>
      <w:tr w:rsidR="00EA1B45" w14:paraId="38F71578" w14:textId="77777777" w:rsidTr="004D1315">
        <w:tc>
          <w:tcPr>
            <w:tcW w:w="1418" w:type="dxa"/>
          </w:tcPr>
          <w:p w14:paraId="4B26EFCE" w14:textId="14297864" w:rsidR="00EA1B45" w:rsidRDefault="00386C2F" w:rsidP="003C3D97">
            <w:pPr>
              <w:pStyle w:val="Els-body-text"/>
              <w:keepNext/>
              <w:keepLines/>
              <w:rPr>
                <w:lang w:val="en-GB"/>
              </w:rPr>
            </w:pPr>
            <w:r>
              <w:rPr>
                <w:lang w:val="en-GB"/>
              </w:rPr>
              <w:t>GSHP</w:t>
            </w:r>
          </w:p>
        </w:tc>
        <w:tc>
          <w:tcPr>
            <w:tcW w:w="992" w:type="dxa"/>
          </w:tcPr>
          <w:p w14:paraId="2FCA968A" w14:textId="02B7A45B" w:rsidR="00EA1B45" w:rsidRDefault="00C24F16" w:rsidP="009B2C8E">
            <w:pPr>
              <w:pStyle w:val="Els-body-text"/>
              <w:keepNext/>
              <w:keepLines/>
              <w:jc w:val="center"/>
              <w:rPr>
                <w:lang w:val="en-GB"/>
              </w:rPr>
            </w:pPr>
            <w:r>
              <w:rPr>
                <w:lang w:val="en-GB"/>
              </w:rPr>
              <w:t>10</w:t>
            </w:r>
          </w:p>
        </w:tc>
        <w:tc>
          <w:tcPr>
            <w:tcW w:w="1134" w:type="dxa"/>
          </w:tcPr>
          <w:p w14:paraId="09FE0AC5" w14:textId="0841A1FF" w:rsidR="00EA1B45" w:rsidRDefault="00C24F16" w:rsidP="009B2C8E">
            <w:pPr>
              <w:pStyle w:val="Els-body-text"/>
              <w:keepNext/>
              <w:keepLines/>
              <w:jc w:val="center"/>
              <w:rPr>
                <w:lang w:val="en-GB"/>
              </w:rPr>
            </w:pPr>
            <w:r>
              <w:rPr>
                <w:lang w:val="en-GB"/>
              </w:rPr>
              <w:t>18</w:t>
            </w:r>
            <w:r w:rsidR="00531210">
              <w:rPr>
                <w:lang w:val="en-GB"/>
              </w:rPr>
              <w:t>,</w:t>
            </w:r>
            <w:r>
              <w:rPr>
                <w:lang w:val="en-GB"/>
              </w:rPr>
              <w:t>19</w:t>
            </w:r>
            <w:r w:rsidR="001742AD">
              <w:rPr>
                <w:lang w:val="en-GB"/>
              </w:rPr>
              <w:t>0</w:t>
            </w:r>
          </w:p>
        </w:tc>
        <w:tc>
          <w:tcPr>
            <w:tcW w:w="1276" w:type="dxa"/>
          </w:tcPr>
          <w:p w14:paraId="71EFEAD9" w14:textId="5F6851EC" w:rsidR="00EA1B45" w:rsidRDefault="00C24F16" w:rsidP="009B2C8E">
            <w:pPr>
              <w:pStyle w:val="Els-body-text"/>
              <w:keepNext/>
              <w:keepLines/>
              <w:jc w:val="center"/>
              <w:rPr>
                <w:lang w:val="en-GB"/>
              </w:rPr>
            </w:pPr>
            <w:r>
              <w:rPr>
                <w:lang w:val="en-GB"/>
              </w:rPr>
              <w:t>24</w:t>
            </w:r>
            <w:r w:rsidR="001742AD">
              <w:rPr>
                <w:lang w:val="en-GB"/>
              </w:rPr>
              <w:t>0</w:t>
            </w:r>
          </w:p>
        </w:tc>
        <w:tc>
          <w:tcPr>
            <w:tcW w:w="2263" w:type="dxa"/>
          </w:tcPr>
          <w:p w14:paraId="1C118B62" w14:textId="5C0C6E88" w:rsidR="00EA1B45" w:rsidRDefault="00C24F16" w:rsidP="009B2C8E">
            <w:pPr>
              <w:pStyle w:val="Els-body-text"/>
              <w:keepNext/>
              <w:keepLines/>
              <w:jc w:val="center"/>
              <w:rPr>
                <w:lang w:val="en-GB"/>
              </w:rPr>
            </w:pPr>
            <w:r>
              <w:rPr>
                <w:lang w:val="en-GB"/>
              </w:rPr>
              <w:t>variable</w:t>
            </w:r>
          </w:p>
        </w:tc>
      </w:tr>
      <w:tr w:rsidR="00EA1B45" w14:paraId="2568842F" w14:textId="77777777" w:rsidTr="004D1315">
        <w:tc>
          <w:tcPr>
            <w:tcW w:w="1418" w:type="dxa"/>
          </w:tcPr>
          <w:p w14:paraId="79FF7C6C" w14:textId="14AF7210" w:rsidR="00EA1B45" w:rsidRDefault="00F31A5D" w:rsidP="003C3D97">
            <w:pPr>
              <w:pStyle w:val="Els-body-text"/>
              <w:keepNext/>
              <w:keepLines/>
              <w:rPr>
                <w:lang w:val="en-GB"/>
              </w:rPr>
            </w:pPr>
            <w:r>
              <w:rPr>
                <w:lang w:val="en-GB"/>
              </w:rPr>
              <w:t>Electric backup</w:t>
            </w:r>
          </w:p>
        </w:tc>
        <w:tc>
          <w:tcPr>
            <w:tcW w:w="992" w:type="dxa"/>
          </w:tcPr>
          <w:p w14:paraId="595547A6" w14:textId="7432438D" w:rsidR="00EA1B45" w:rsidRDefault="005179A5" w:rsidP="009B2C8E">
            <w:pPr>
              <w:pStyle w:val="Els-body-text"/>
              <w:keepNext/>
              <w:keepLines/>
              <w:jc w:val="center"/>
              <w:rPr>
                <w:lang w:val="en-GB"/>
              </w:rPr>
            </w:pPr>
            <w:r>
              <w:rPr>
                <w:lang w:val="en-GB"/>
              </w:rPr>
              <w:t>3</w:t>
            </w:r>
          </w:p>
        </w:tc>
        <w:tc>
          <w:tcPr>
            <w:tcW w:w="1134" w:type="dxa"/>
          </w:tcPr>
          <w:p w14:paraId="37AA946E" w14:textId="7B840D86" w:rsidR="00EA1B45" w:rsidRDefault="005179A5" w:rsidP="009B2C8E">
            <w:pPr>
              <w:pStyle w:val="Els-body-text"/>
              <w:keepNext/>
              <w:keepLines/>
              <w:jc w:val="center"/>
              <w:rPr>
                <w:lang w:val="en-GB"/>
              </w:rPr>
            </w:pPr>
            <w:r>
              <w:rPr>
                <w:lang w:val="en-GB"/>
              </w:rPr>
              <w:t>11</w:t>
            </w:r>
            <w:r w:rsidR="001742AD">
              <w:rPr>
                <w:lang w:val="en-GB"/>
              </w:rPr>
              <w:t>0</w:t>
            </w:r>
          </w:p>
        </w:tc>
        <w:tc>
          <w:tcPr>
            <w:tcW w:w="1276" w:type="dxa"/>
          </w:tcPr>
          <w:p w14:paraId="260D13BC" w14:textId="100E685C" w:rsidR="00EA1B45" w:rsidRDefault="005179A5" w:rsidP="009B2C8E">
            <w:pPr>
              <w:pStyle w:val="Els-body-text"/>
              <w:keepNext/>
              <w:keepLines/>
              <w:jc w:val="center"/>
              <w:rPr>
                <w:lang w:val="en-GB"/>
              </w:rPr>
            </w:pPr>
            <w:r>
              <w:rPr>
                <w:lang w:val="en-GB"/>
              </w:rPr>
              <w:t>0</w:t>
            </w:r>
          </w:p>
        </w:tc>
        <w:tc>
          <w:tcPr>
            <w:tcW w:w="2263" w:type="dxa"/>
          </w:tcPr>
          <w:p w14:paraId="5EBAC99E" w14:textId="13C64FC4" w:rsidR="00EA1B45" w:rsidRDefault="005179A5" w:rsidP="009B2C8E">
            <w:pPr>
              <w:pStyle w:val="Els-body-text"/>
              <w:keepNext/>
              <w:keepLines/>
              <w:jc w:val="center"/>
              <w:rPr>
                <w:lang w:val="en-GB"/>
              </w:rPr>
            </w:pPr>
            <w:r>
              <w:rPr>
                <w:lang w:val="en-GB"/>
              </w:rPr>
              <w:t>1</w:t>
            </w:r>
          </w:p>
        </w:tc>
      </w:tr>
      <w:tr w:rsidR="00DA5EFC" w14:paraId="36CD187F" w14:textId="77777777" w:rsidTr="00E76D4D">
        <w:tc>
          <w:tcPr>
            <w:tcW w:w="1418" w:type="dxa"/>
          </w:tcPr>
          <w:p w14:paraId="51D35015" w14:textId="0CF45DD1" w:rsidR="00DA5EFC" w:rsidRDefault="00DA5EFC" w:rsidP="003C3D97">
            <w:pPr>
              <w:pStyle w:val="Els-body-text"/>
              <w:keepNext/>
              <w:keepLines/>
              <w:rPr>
                <w:lang w:val="en-GB"/>
              </w:rPr>
            </w:pPr>
            <w:r>
              <w:rPr>
                <w:lang w:val="en-GB"/>
              </w:rPr>
              <w:t>Gas ICE</w:t>
            </w:r>
          </w:p>
        </w:tc>
        <w:tc>
          <w:tcPr>
            <w:tcW w:w="992" w:type="dxa"/>
          </w:tcPr>
          <w:p w14:paraId="32B42905" w14:textId="69DBD09B" w:rsidR="00DA5EFC" w:rsidRDefault="00DA5EFC" w:rsidP="009B2C8E">
            <w:pPr>
              <w:pStyle w:val="Els-body-text"/>
              <w:keepNext/>
              <w:keepLines/>
              <w:jc w:val="center"/>
              <w:rPr>
                <w:lang w:val="en-GB"/>
              </w:rPr>
            </w:pPr>
            <w:r>
              <w:rPr>
                <w:lang w:val="en-GB"/>
              </w:rPr>
              <w:t>25</w:t>
            </w:r>
          </w:p>
        </w:tc>
        <w:tc>
          <w:tcPr>
            <w:tcW w:w="1134" w:type="dxa"/>
          </w:tcPr>
          <w:p w14:paraId="4496742A" w14:textId="2CF5A876" w:rsidR="00DA5EFC" w:rsidRDefault="00DA5EFC" w:rsidP="009B2C8E">
            <w:pPr>
              <w:pStyle w:val="Els-body-text"/>
              <w:keepNext/>
              <w:keepLines/>
              <w:jc w:val="center"/>
              <w:rPr>
                <w:lang w:val="en-GB"/>
              </w:rPr>
            </w:pPr>
            <w:r>
              <w:rPr>
                <w:lang w:val="en-GB"/>
              </w:rPr>
              <w:t>37,13</w:t>
            </w:r>
            <w:r w:rsidR="001742AD">
              <w:rPr>
                <w:lang w:val="en-GB"/>
              </w:rPr>
              <w:t>0</w:t>
            </w:r>
          </w:p>
        </w:tc>
        <w:tc>
          <w:tcPr>
            <w:tcW w:w="1276" w:type="dxa"/>
          </w:tcPr>
          <w:p w14:paraId="5AF356CF" w14:textId="03B2BCF8" w:rsidR="00DA5EFC" w:rsidRDefault="00DA5EFC" w:rsidP="009B2C8E">
            <w:pPr>
              <w:pStyle w:val="Els-body-text"/>
              <w:keepNext/>
              <w:keepLines/>
              <w:jc w:val="center"/>
              <w:rPr>
                <w:lang w:val="en-GB"/>
              </w:rPr>
            </w:pPr>
            <w:r>
              <w:rPr>
                <w:lang w:val="en-GB"/>
              </w:rPr>
              <w:t>10</w:t>
            </w:r>
            <w:r w:rsidR="001742AD">
              <w:rPr>
                <w:lang w:val="en-GB"/>
              </w:rPr>
              <w:t>0</w:t>
            </w:r>
          </w:p>
        </w:tc>
        <w:tc>
          <w:tcPr>
            <w:tcW w:w="2263" w:type="dxa"/>
          </w:tcPr>
          <w:p w14:paraId="44561E16" w14:textId="1A906650" w:rsidR="00DA5EFC" w:rsidRDefault="00DA5EFC" w:rsidP="009B2C8E">
            <w:pPr>
              <w:pStyle w:val="Els-body-text"/>
              <w:keepNext/>
              <w:keepLines/>
              <w:jc w:val="center"/>
              <w:rPr>
                <w:lang w:val="en-GB"/>
              </w:rPr>
            </w:pPr>
            <w:r>
              <w:rPr>
                <w:lang w:val="en-GB"/>
              </w:rPr>
              <w:t>0.67</w:t>
            </w:r>
            <w:r w:rsidR="00E84F1B">
              <w:rPr>
                <w:lang w:val="en-GB"/>
              </w:rPr>
              <w:t> </w:t>
            </w:r>
            <w:r>
              <w:rPr>
                <w:lang w:val="en-GB"/>
              </w:rPr>
              <w:t xml:space="preserve">thermal, </w:t>
            </w:r>
            <w:r w:rsidR="00E84F1B">
              <w:rPr>
                <w:lang w:val="en-GB"/>
              </w:rPr>
              <w:t>0.27 electric</w:t>
            </w:r>
          </w:p>
        </w:tc>
      </w:tr>
      <w:tr w:rsidR="00E76D4D" w14:paraId="695CA238" w14:textId="77777777" w:rsidTr="00E76D4D">
        <w:tc>
          <w:tcPr>
            <w:tcW w:w="1418" w:type="dxa"/>
          </w:tcPr>
          <w:p w14:paraId="486ABA8E" w14:textId="1DAE2578" w:rsidR="00E76D4D" w:rsidRDefault="00E76D4D" w:rsidP="00E76D4D">
            <w:pPr>
              <w:pStyle w:val="Els-body-text"/>
              <w:keepNext/>
              <w:keepLines/>
              <w:rPr>
                <w:lang w:val="en-GB"/>
              </w:rPr>
            </w:pPr>
            <w:r>
              <w:rPr>
                <w:lang w:val="en-GB"/>
              </w:rPr>
              <w:t>H</w:t>
            </w:r>
            <w:r w:rsidRPr="008B7F1E">
              <w:rPr>
                <w:vertAlign w:val="subscript"/>
                <w:lang w:val="en-GB"/>
              </w:rPr>
              <w:t>2</w:t>
            </w:r>
            <w:r>
              <w:rPr>
                <w:lang w:val="en-GB"/>
              </w:rPr>
              <w:t xml:space="preserve"> ICE</w:t>
            </w:r>
          </w:p>
        </w:tc>
        <w:tc>
          <w:tcPr>
            <w:tcW w:w="992" w:type="dxa"/>
          </w:tcPr>
          <w:p w14:paraId="4183B79F" w14:textId="6BD58EBD" w:rsidR="00E76D4D" w:rsidRDefault="00E76D4D" w:rsidP="00E76D4D">
            <w:pPr>
              <w:pStyle w:val="Els-body-text"/>
              <w:keepNext/>
              <w:keepLines/>
              <w:jc w:val="center"/>
              <w:rPr>
                <w:lang w:val="en-GB"/>
              </w:rPr>
            </w:pPr>
            <w:r>
              <w:rPr>
                <w:lang w:val="en-GB"/>
              </w:rPr>
              <w:t>25</w:t>
            </w:r>
          </w:p>
        </w:tc>
        <w:tc>
          <w:tcPr>
            <w:tcW w:w="1134" w:type="dxa"/>
          </w:tcPr>
          <w:p w14:paraId="75282706" w14:textId="62FB89FD" w:rsidR="00E76D4D" w:rsidRDefault="00E76D4D" w:rsidP="00E76D4D">
            <w:pPr>
              <w:pStyle w:val="Els-body-text"/>
              <w:keepNext/>
              <w:keepLines/>
              <w:jc w:val="center"/>
              <w:rPr>
                <w:lang w:val="en-GB"/>
              </w:rPr>
            </w:pPr>
            <w:r>
              <w:rPr>
                <w:lang w:val="en-GB"/>
              </w:rPr>
              <w:t>37,130</w:t>
            </w:r>
          </w:p>
        </w:tc>
        <w:tc>
          <w:tcPr>
            <w:tcW w:w="1276" w:type="dxa"/>
          </w:tcPr>
          <w:p w14:paraId="206E1056" w14:textId="0357D5E8" w:rsidR="00E76D4D" w:rsidRDefault="00E76D4D" w:rsidP="00E76D4D">
            <w:pPr>
              <w:pStyle w:val="Els-body-text"/>
              <w:keepNext/>
              <w:keepLines/>
              <w:jc w:val="center"/>
              <w:rPr>
                <w:lang w:val="en-GB"/>
              </w:rPr>
            </w:pPr>
            <w:r>
              <w:rPr>
                <w:lang w:val="en-GB"/>
              </w:rPr>
              <w:t>100</w:t>
            </w:r>
          </w:p>
        </w:tc>
        <w:tc>
          <w:tcPr>
            <w:tcW w:w="2263" w:type="dxa"/>
          </w:tcPr>
          <w:p w14:paraId="39757029" w14:textId="0A187DDA" w:rsidR="00E76D4D" w:rsidRDefault="00E76D4D" w:rsidP="00E76D4D">
            <w:pPr>
              <w:pStyle w:val="Els-body-text"/>
              <w:keepNext/>
              <w:keepLines/>
              <w:jc w:val="center"/>
              <w:rPr>
                <w:lang w:val="en-GB"/>
              </w:rPr>
            </w:pPr>
            <w:r>
              <w:rPr>
                <w:lang w:val="en-GB"/>
              </w:rPr>
              <w:t>0.67 thermal, 0.27 electric</w:t>
            </w:r>
          </w:p>
        </w:tc>
      </w:tr>
      <w:tr w:rsidR="00E76D4D" w14:paraId="6A80BF71" w14:textId="77777777" w:rsidTr="004D1315">
        <w:tc>
          <w:tcPr>
            <w:tcW w:w="1418" w:type="dxa"/>
            <w:tcBorders>
              <w:bottom w:val="single" w:sz="4" w:space="0" w:color="auto"/>
            </w:tcBorders>
          </w:tcPr>
          <w:p w14:paraId="10FB7EE4" w14:textId="38347FE0" w:rsidR="00E76D4D" w:rsidRDefault="00E76D4D" w:rsidP="00E76D4D">
            <w:pPr>
              <w:pStyle w:val="Els-body-text"/>
              <w:keepNext/>
              <w:keepLines/>
              <w:rPr>
                <w:lang w:val="en-GB"/>
              </w:rPr>
            </w:pPr>
            <w:r>
              <w:rPr>
                <w:lang w:val="en-GB"/>
              </w:rPr>
              <w:t>District heat</w:t>
            </w:r>
          </w:p>
        </w:tc>
        <w:tc>
          <w:tcPr>
            <w:tcW w:w="992" w:type="dxa"/>
            <w:tcBorders>
              <w:bottom w:val="single" w:sz="4" w:space="0" w:color="auto"/>
            </w:tcBorders>
          </w:tcPr>
          <w:p w14:paraId="1B3F988B" w14:textId="55D8D195" w:rsidR="00E76D4D" w:rsidRDefault="00E76D4D" w:rsidP="00E76D4D">
            <w:pPr>
              <w:pStyle w:val="Els-body-text"/>
              <w:keepNext/>
              <w:keepLines/>
              <w:jc w:val="center"/>
              <w:rPr>
                <w:lang w:val="en-GB"/>
              </w:rPr>
            </w:pPr>
            <w:r>
              <w:rPr>
                <w:lang w:val="en-GB"/>
              </w:rPr>
              <w:t>30</w:t>
            </w:r>
          </w:p>
        </w:tc>
        <w:tc>
          <w:tcPr>
            <w:tcW w:w="1134" w:type="dxa"/>
            <w:tcBorders>
              <w:bottom w:val="single" w:sz="4" w:space="0" w:color="auto"/>
            </w:tcBorders>
          </w:tcPr>
          <w:p w14:paraId="71CBCA4F" w14:textId="2A42DE96" w:rsidR="00E76D4D" w:rsidRDefault="00E76D4D" w:rsidP="00E76D4D">
            <w:pPr>
              <w:pStyle w:val="Els-body-text"/>
              <w:keepNext/>
              <w:keepLines/>
              <w:jc w:val="center"/>
              <w:rPr>
                <w:lang w:val="en-GB"/>
              </w:rPr>
            </w:pPr>
            <w:r>
              <w:rPr>
                <w:lang w:val="en-GB"/>
              </w:rPr>
              <w:t>5,930</w:t>
            </w:r>
          </w:p>
        </w:tc>
        <w:tc>
          <w:tcPr>
            <w:tcW w:w="1276" w:type="dxa"/>
            <w:tcBorders>
              <w:bottom w:val="single" w:sz="4" w:space="0" w:color="auto"/>
            </w:tcBorders>
          </w:tcPr>
          <w:p w14:paraId="321D3348" w14:textId="17292E62" w:rsidR="00E76D4D" w:rsidRDefault="00E76D4D" w:rsidP="00E76D4D">
            <w:pPr>
              <w:pStyle w:val="Els-body-text"/>
              <w:keepNext/>
              <w:keepLines/>
              <w:jc w:val="center"/>
              <w:rPr>
                <w:lang w:val="en-GB"/>
              </w:rPr>
            </w:pPr>
            <w:r>
              <w:rPr>
                <w:lang w:val="en-GB"/>
              </w:rPr>
              <w:t>0</w:t>
            </w:r>
          </w:p>
        </w:tc>
        <w:tc>
          <w:tcPr>
            <w:tcW w:w="2263" w:type="dxa"/>
            <w:tcBorders>
              <w:bottom w:val="single" w:sz="4" w:space="0" w:color="auto"/>
            </w:tcBorders>
          </w:tcPr>
          <w:p w14:paraId="2545314B" w14:textId="6B83D507" w:rsidR="00E76D4D" w:rsidRDefault="00E76D4D" w:rsidP="00E76D4D">
            <w:pPr>
              <w:pStyle w:val="Els-body-text"/>
              <w:keepNext/>
              <w:keepLines/>
              <w:jc w:val="center"/>
              <w:rPr>
                <w:lang w:val="en-GB"/>
              </w:rPr>
            </w:pPr>
            <w:r>
              <w:rPr>
                <w:lang w:val="en-GB"/>
              </w:rPr>
              <w:t>0.94</w:t>
            </w:r>
          </w:p>
        </w:tc>
      </w:tr>
    </w:tbl>
    <w:p w14:paraId="5BB1DCB0" w14:textId="4EB21C75" w:rsidR="00661A30" w:rsidRDefault="00661A30" w:rsidP="0073062B">
      <w:pPr>
        <w:pStyle w:val="Els-body-text"/>
        <w:keepNext/>
        <w:keepLines/>
        <w:spacing w:before="120"/>
        <w:jc w:val="left"/>
        <w:rPr>
          <w:lang w:val="en-GB"/>
        </w:rPr>
      </w:pPr>
      <w:r>
        <w:rPr>
          <w:lang w:val="en-GB"/>
        </w:rPr>
        <w:t xml:space="preserve">Table 2. Key cost and performance parameters of </w:t>
      </w:r>
      <w:r w:rsidR="0073062B">
        <w:rPr>
          <w:lang w:val="en-GB"/>
        </w:rPr>
        <w:t>district</w:t>
      </w:r>
      <w:r>
        <w:rPr>
          <w:lang w:val="en-GB"/>
        </w:rPr>
        <w:t xml:space="preserve"> heating technologies.</w:t>
      </w:r>
    </w:p>
    <w:tbl>
      <w:tblPr>
        <w:tblStyle w:val="TableGrid"/>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76"/>
        <w:gridCol w:w="1772"/>
        <w:gridCol w:w="1772"/>
        <w:gridCol w:w="2268"/>
      </w:tblGrid>
      <w:tr w:rsidR="0073062B" w14:paraId="2AE57DF4" w14:textId="77777777" w:rsidTr="004D1315">
        <w:tc>
          <w:tcPr>
            <w:tcW w:w="1276" w:type="dxa"/>
            <w:tcBorders>
              <w:top w:val="single" w:sz="4" w:space="0" w:color="auto"/>
              <w:bottom w:val="single" w:sz="4" w:space="0" w:color="auto"/>
            </w:tcBorders>
          </w:tcPr>
          <w:p w14:paraId="516C239A" w14:textId="77777777" w:rsidR="0073062B" w:rsidRDefault="0073062B" w:rsidP="00D775E1">
            <w:pPr>
              <w:pStyle w:val="Els-body-text"/>
              <w:keepNext/>
              <w:keepLines/>
              <w:rPr>
                <w:lang w:val="en-GB"/>
              </w:rPr>
            </w:pPr>
            <w:r>
              <w:rPr>
                <w:lang w:val="en-GB"/>
              </w:rPr>
              <w:t>Technology</w:t>
            </w:r>
          </w:p>
        </w:tc>
        <w:tc>
          <w:tcPr>
            <w:tcW w:w="1772" w:type="dxa"/>
            <w:tcBorders>
              <w:top w:val="single" w:sz="4" w:space="0" w:color="auto"/>
              <w:bottom w:val="single" w:sz="4" w:space="0" w:color="auto"/>
            </w:tcBorders>
          </w:tcPr>
          <w:p w14:paraId="3021224B" w14:textId="24AE0101" w:rsidR="0073062B" w:rsidRDefault="0073062B" w:rsidP="00D775E1">
            <w:pPr>
              <w:pStyle w:val="Els-body-text"/>
              <w:keepNext/>
              <w:keepLines/>
              <w:jc w:val="center"/>
              <w:rPr>
                <w:lang w:val="en-GB"/>
              </w:rPr>
            </w:pPr>
            <w:r>
              <w:rPr>
                <w:lang w:val="en-GB"/>
              </w:rPr>
              <w:t>CAPEX [£</w:t>
            </w:r>
            <w:r w:rsidR="00992E33">
              <w:rPr>
                <w:lang w:val="en-GB"/>
              </w:rPr>
              <w:t>/kW</w:t>
            </w:r>
            <w:r>
              <w:rPr>
                <w:lang w:val="en-GB"/>
              </w:rPr>
              <w:t>]</w:t>
            </w:r>
          </w:p>
        </w:tc>
        <w:tc>
          <w:tcPr>
            <w:tcW w:w="1772" w:type="dxa"/>
            <w:tcBorders>
              <w:top w:val="single" w:sz="4" w:space="0" w:color="auto"/>
              <w:bottom w:val="single" w:sz="4" w:space="0" w:color="auto"/>
            </w:tcBorders>
          </w:tcPr>
          <w:p w14:paraId="022D5A9C" w14:textId="1E525A8C" w:rsidR="0073062B" w:rsidRDefault="0073062B" w:rsidP="00D775E1">
            <w:pPr>
              <w:pStyle w:val="Els-body-text"/>
              <w:keepNext/>
              <w:keepLines/>
              <w:jc w:val="center"/>
              <w:rPr>
                <w:lang w:val="en-GB"/>
              </w:rPr>
            </w:pPr>
            <w:r>
              <w:rPr>
                <w:lang w:val="en-GB"/>
              </w:rPr>
              <w:t>OPEX [£/</w:t>
            </w:r>
            <w:r w:rsidR="00BC4498">
              <w:rPr>
                <w:lang w:val="en-GB"/>
              </w:rPr>
              <w:t>kW/</w:t>
            </w:r>
            <w:r>
              <w:rPr>
                <w:lang w:val="en-GB"/>
              </w:rPr>
              <w:t>y]</w:t>
            </w:r>
          </w:p>
        </w:tc>
        <w:tc>
          <w:tcPr>
            <w:tcW w:w="2268" w:type="dxa"/>
            <w:tcBorders>
              <w:top w:val="single" w:sz="4" w:space="0" w:color="auto"/>
              <w:bottom w:val="single" w:sz="4" w:space="0" w:color="auto"/>
            </w:tcBorders>
          </w:tcPr>
          <w:p w14:paraId="20F9D177" w14:textId="77777777" w:rsidR="0073062B" w:rsidRDefault="0073062B" w:rsidP="00D775E1">
            <w:pPr>
              <w:pStyle w:val="Els-body-text"/>
              <w:keepNext/>
              <w:keepLines/>
              <w:jc w:val="center"/>
              <w:rPr>
                <w:lang w:val="en-GB"/>
              </w:rPr>
            </w:pPr>
            <w:r>
              <w:rPr>
                <w:lang w:val="en-GB"/>
              </w:rPr>
              <w:t>Efficiency</w:t>
            </w:r>
          </w:p>
        </w:tc>
      </w:tr>
      <w:tr w:rsidR="0073062B" w14:paraId="64746430" w14:textId="77777777" w:rsidTr="004D1315">
        <w:tc>
          <w:tcPr>
            <w:tcW w:w="1276" w:type="dxa"/>
            <w:tcBorders>
              <w:top w:val="single" w:sz="4" w:space="0" w:color="auto"/>
            </w:tcBorders>
          </w:tcPr>
          <w:p w14:paraId="411DBB34" w14:textId="77777777" w:rsidR="0073062B" w:rsidRDefault="0073062B" w:rsidP="00D775E1">
            <w:pPr>
              <w:pStyle w:val="Els-body-text"/>
              <w:keepNext/>
              <w:keepLines/>
              <w:rPr>
                <w:lang w:val="en-GB"/>
              </w:rPr>
            </w:pPr>
            <w:r>
              <w:rPr>
                <w:lang w:val="en-GB"/>
              </w:rPr>
              <w:t>Gas boiler</w:t>
            </w:r>
          </w:p>
        </w:tc>
        <w:tc>
          <w:tcPr>
            <w:tcW w:w="1772" w:type="dxa"/>
            <w:tcBorders>
              <w:top w:val="single" w:sz="4" w:space="0" w:color="auto"/>
            </w:tcBorders>
          </w:tcPr>
          <w:p w14:paraId="1A0862E0" w14:textId="27178BDF" w:rsidR="0073062B" w:rsidRDefault="00BC4498" w:rsidP="00D775E1">
            <w:pPr>
              <w:pStyle w:val="Els-body-text"/>
              <w:keepNext/>
              <w:keepLines/>
              <w:jc w:val="center"/>
              <w:rPr>
                <w:lang w:val="en-GB"/>
              </w:rPr>
            </w:pPr>
            <w:r>
              <w:rPr>
                <w:lang w:val="en-GB"/>
              </w:rPr>
              <w:t>32</w:t>
            </w:r>
          </w:p>
        </w:tc>
        <w:tc>
          <w:tcPr>
            <w:tcW w:w="1772" w:type="dxa"/>
            <w:tcBorders>
              <w:top w:val="single" w:sz="4" w:space="0" w:color="auto"/>
            </w:tcBorders>
          </w:tcPr>
          <w:p w14:paraId="4EC5F34E" w14:textId="5277062E" w:rsidR="0073062B" w:rsidRDefault="005229C3" w:rsidP="00D775E1">
            <w:pPr>
              <w:pStyle w:val="Els-body-text"/>
              <w:keepNext/>
              <w:keepLines/>
              <w:jc w:val="center"/>
              <w:rPr>
                <w:lang w:val="en-GB"/>
              </w:rPr>
            </w:pPr>
            <w:r>
              <w:rPr>
                <w:lang w:val="en-GB"/>
              </w:rPr>
              <w:t>6.25</w:t>
            </w:r>
          </w:p>
        </w:tc>
        <w:tc>
          <w:tcPr>
            <w:tcW w:w="2268" w:type="dxa"/>
            <w:tcBorders>
              <w:top w:val="single" w:sz="4" w:space="0" w:color="auto"/>
            </w:tcBorders>
          </w:tcPr>
          <w:p w14:paraId="1B13DF90" w14:textId="77777777" w:rsidR="0073062B" w:rsidRDefault="0073062B" w:rsidP="00D775E1">
            <w:pPr>
              <w:pStyle w:val="Els-body-text"/>
              <w:keepNext/>
              <w:keepLines/>
              <w:jc w:val="center"/>
              <w:rPr>
                <w:lang w:val="en-GB"/>
              </w:rPr>
            </w:pPr>
            <w:r>
              <w:rPr>
                <w:lang w:val="en-GB"/>
              </w:rPr>
              <w:t>0.9</w:t>
            </w:r>
          </w:p>
        </w:tc>
      </w:tr>
      <w:tr w:rsidR="0073062B" w14:paraId="475EEA55" w14:textId="77777777" w:rsidTr="004D1315">
        <w:tc>
          <w:tcPr>
            <w:tcW w:w="1276" w:type="dxa"/>
          </w:tcPr>
          <w:p w14:paraId="60346D36" w14:textId="77777777" w:rsidR="0073062B" w:rsidRDefault="0073062B" w:rsidP="00D775E1">
            <w:pPr>
              <w:pStyle w:val="Els-body-text"/>
              <w:keepNext/>
              <w:keepLines/>
              <w:rPr>
                <w:lang w:val="en-GB"/>
              </w:rPr>
            </w:pPr>
            <w:r>
              <w:rPr>
                <w:lang w:val="en-GB"/>
              </w:rPr>
              <w:t>H</w:t>
            </w:r>
            <w:r w:rsidRPr="008B7F1E">
              <w:rPr>
                <w:vertAlign w:val="subscript"/>
                <w:lang w:val="en-GB"/>
              </w:rPr>
              <w:t>2</w:t>
            </w:r>
            <w:r>
              <w:rPr>
                <w:lang w:val="en-GB"/>
              </w:rPr>
              <w:t xml:space="preserve"> boiler</w:t>
            </w:r>
          </w:p>
        </w:tc>
        <w:tc>
          <w:tcPr>
            <w:tcW w:w="1772" w:type="dxa"/>
          </w:tcPr>
          <w:p w14:paraId="216CB649" w14:textId="576F24B2" w:rsidR="0073062B" w:rsidRDefault="00BC4498" w:rsidP="00D775E1">
            <w:pPr>
              <w:pStyle w:val="Els-body-text"/>
              <w:keepNext/>
              <w:keepLines/>
              <w:jc w:val="center"/>
              <w:rPr>
                <w:lang w:val="en-GB"/>
              </w:rPr>
            </w:pPr>
            <w:r>
              <w:rPr>
                <w:lang w:val="en-GB"/>
              </w:rPr>
              <w:t>32</w:t>
            </w:r>
          </w:p>
        </w:tc>
        <w:tc>
          <w:tcPr>
            <w:tcW w:w="1772" w:type="dxa"/>
          </w:tcPr>
          <w:p w14:paraId="6299D5B3" w14:textId="7C3F1FA0" w:rsidR="0073062B" w:rsidRDefault="005229C3" w:rsidP="00D775E1">
            <w:pPr>
              <w:pStyle w:val="Els-body-text"/>
              <w:keepNext/>
              <w:keepLines/>
              <w:jc w:val="center"/>
              <w:rPr>
                <w:lang w:val="en-GB"/>
              </w:rPr>
            </w:pPr>
            <w:r>
              <w:rPr>
                <w:lang w:val="en-GB"/>
              </w:rPr>
              <w:t>6.25</w:t>
            </w:r>
          </w:p>
        </w:tc>
        <w:tc>
          <w:tcPr>
            <w:tcW w:w="2268" w:type="dxa"/>
          </w:tcPr>
          <w:p w14:paraId="42A8234C" w14:textId="77777777" w:rsidR="0073062B" w:rsidRDefault="0073062B" w:rsidP="00D775E1">
            <w:pPr>
              <w:pStyle w:val="Els-body-text"/>
              <w:keepNext/>
              <w:keepLines/>
              <w:jc w:val="center"/>
              <w:rPr>
                <w:lang w:val="en-GB"/>
              </w:rPr>
            </w:pPr>
            <w:r>
              <w:rPr>
                <w:lang w:val="en-GB"/>
              </w:rPr>
              <w:t>0.9</w:t>
            </w:r>
          </w:p>
        </w:tc>
      </w:tr>
      <w:tr w:rsidR="0073062B" w14:paraId="32066379" w14:textId="77777777" w:rsidTr="004D1315">
        <w:tc>
          <w:tcPr>
            <w:tcW w:w="1276" w:type="dxa"/>
          </w:tcPr>
          <w:p w14:paraId="66C659C0" w14:textId="77777777" w:rsidR="0073062B" w:rsidRDefault="0073062B" w:rsidP="00D775E1">
            <w:pPr>
              <w:pStyle w:val="Els-body-text"/>
              <w:keepNext/>
              <w:keepLines/>
              <w:rPr>
                <w:lang w:val="en-GB"/>
              </w:rPr>
            </w:pPr>
            <w:r>
              <w:rPr>
                <w:lang w:val="en-GB"/>
              </w:rPr>
              <w:t>GSHP</w:t>
            </w:r>
          </w:p>
        </w:tc>
        <w:tc>
          <w:tcPr>
            <w:tcW w:w="1772" w:type="dxa"/>
          </w:tcPr>
          <w:p w14:paraId="34EA55DE" w14:textId="2857684E" w:rsidR="0073062B" w:rsidRDefault="005229C3" w:rsidP="00D775E1">
            <w:pPr>
              <w:pStyle w:val="Els-body-text"/>
              <w:keepNext/>
              <w:keepLines/>
              <w:jc w:val="center"/>
              <w:rPr>
                <w:lang w:val="en-GB"/>
              </w:rPr>
            </w:pPr>
            <w:r>
              <w:rPr>
                <w:lang w:val="en-GB"/>
              </w:rPr>
              <w:t>299</w:t>
            </w:r>
          </w:p>
        </w:tc>
        <w:tc>
          <w:tcPr>
            <w:tcW w:w="1772" w:type="dxa"/>
          </w:tcPr>
          <w:p w14:paraId="1CECE3C4" w14:textId="4131E1C9" w:rsidR="0073062B" w:rsidRDefault="005229C3" w:rsidP="00D775E1">
            <w:pPr>
              <w:pStyle w:val="Els-body-text"/>
              <w:keepNext/>
              <w:keepLines/>
              <w:jc w:val="center"/>
              <w:rPr>
                <w:lang w:val="en-GB"/>
              </w:rPr>
            </w:pPr>
            <w:r>
              <w:rPr>
                <w:lang w:val="en-GB"/>
              </w:rPr>
              <w:t>6.67</w:t>
            </w:r>
          </w:p>
        </w:tc>
        <w:tc>
          <w:tcPr>
            <w:tcW w:w="2268" w:type="dxa"/>
          </w:tcPr>
          <w:p w14:paraId="46EA9FEF" w14:textId="77777777" w:rsidR="0073062B" w:rsidRDefault="0073062B" w:rsidP="00D775E1">
            <w:pPr>
              <w:pStyle w:val="Els-body-text"/>
              <w:keepNext/>
              <w:keepLines/>
              <w:jc w:val="center"/>
              <w:rPr>
                <w:lang w:val="en-GB"/>
              </w:rPr>
            </w:pPr>
            <w:r>
              <w:rPr>
                <w:lang w:val="en-GB"/>
              </w:rPr>
              <w:t>variable</w:t>
            </w:r>
          </w:p>
        </w:tc>
      </w:tr>
      <w:tr w:rsidR="0073062B" w14:paraId="2024808D" w14:textId="77777777" w:rsidTr="004D1315">
        <w:tc>
          <w:tcPr>
            <w:tcW w:w="1276" w:type="dxa"/>
          </w:tcPr>
          <w:p w14:paraId="0D4145B5" w14:textId="77777777" w:rsidR="0073062B" w:rsidRDefault="0073062B" w:rsidP="00D775E1">
            <w:pPr>
              <w:pStyle w:val="Els-body-text"/>
              <w:keepNext/>
              <w:keepLines/>
              <w:rPr>
                <w:lang w:val="en-GB"/>
              </w:rPr>
            </w:pPr>
            <w:r>
              <w:rPr>
                <w:lang w:val="en-GB"/>
              </w:rPr>
              <w:t>Gas ICE</w:t>
            </w:r>
          </w:p>
        </w:tc>
        <w:tc>
          <w:tcPr>
            <w:tcW w:w="1772" w:type="dxa"/>
          </w:tcPr>
          <w:p w14:paraId="747A03D4" w14:textId="405E4F9A" w:rsidR="0073062B" w:rsidRDefault="00AF588E" w:rsidP="00D775E1">
            <w:pPr>
              <w:pStyle w:val="Els-body-text"/>
              <w:keepNext/>
              <w:keepLines/>
              <w:jc w:val="center"/>
              <w:rPr>
                <w:lang w:val="en-GB"/>
              </w:rPr>
            </w:pPr>
            <w:r>
              <w:rPr>
                <w:lang w:val="en-GB"/>
              </w:rPr>
              <w:t>207</w:t>
            </w:r>
          </w:p>
        </w:tc>
        <w:tc>
          <w:tcPr>
            <w:tcW w:w="1772" w:type="dxa"/>
          </w:tcPr>
          <w:p w14:paraId="07F1CBE3" w14:textId="72CB97EC" w:rsidR="0073062B" w:rsidRDefault="0073062B" w:rsidP="00D775E1">
            <w:pPr>
              <w:pStyle w:val="Els-body-text"/>
              <w:keepNext/>
              <w:keepLines/>
              <w:jc w:val="center"/>
              <w:rPr>
                <w:lang w:val="en-GB"/>
              </w:rPr>
            </w:pPr>
            <w:r>
              <w:rPr>
                <w:lang w:val="en-GB"/>
              </w:rPr>
              <w:t>10</w:t>
            </w:r>
            <w:r w:rsidR="00AF588E">
              <w:rPr>
                <w:lang w:val="en-GB"/>
              </w:rPr>
              <w:t>.3</w:t>
            </w:r>
          </w:p>
        </w:tc>
        <w:tc>
          <w:tcPr>
            <w:tcW w:w="2268" w:type="dxa"/>
          </w:tcPr>
          <w:p w14:paraId="62277E48" w14:textId="1C8E16AC" w:rsidR="0073062B" w:rsidRDefault="0073062B" w:rsidP="00D775E1">
            <w:pPr>
              <w:pStyle w:val="Els-body-text"/>
              <w:keepNext/>
              <w:keepLines/>
              <w:jc w:val="center"/>
              <w:rPr>
                <w:lang w:val="en-GB"/>
              </w:rPr>
            </w:pPr>
            <w:r>
              <w:rPr>
                <w:lang w:val="en-GB"/>
              </w:rPr>
              <w:t>0.67 thermal, 0.27 electric</w:t>
            </w:r>
          </w:p>
        </w:tc>
      </w:tr>
      <w:tr w:rsidR="00A65EDB" w14:paraId="626180B6" w14:textId="77777777" w:rsidTr="004D1315">
        <w:tc>
          <w:tcPr>
            <w:tcW w:w="1276" w:type="dxa"/>
            <w:tcBorders>
              <w:bottom w:val="single" w:sz="4" w:space="0" w:color="auto"/>
            </w:tcBorders>
          </w:tcPr>
          <w:p w14:paraId="33646662" w14:textId="77777777" w:rsidR="00A65EDB" w:rsidRDefault="00A65EDB" w:rsidP="00A65EDB">
            <w:pPr>
              <w:pStyle w:val="Els-body-text"/>
              <w:keepNext/>
              <w:keepLines/>
              <w:rPr>
                <w:lang w:val="en-GB"/>
              </w:rPr>
            </w:pPr>
            <w:r>
              <w:rPr>
                <w:lang w:val="en-GB"/>
              </w:rPr>
              <w:t>H</w:t>
            </w:r>
            <w:r w:rsidRPr="008B7F1E">
              <w:rPr>
                <w:vertAlign w:val="subscript"/>
                <w:lang w:val="en-GB"/>
              </w:rPr>
              <w:t>2</w:t>
            </w:r>
            <w:r>
              <w:rPr>
                <w:lang w:val="en-GB"/>
              </w:rPr>
              <w:t xml:space="preserve"> ICE</w:t>
            </w:r>
          </w:p>
        </w:tc>
        <w:tc>
          <w:tcPr>
            <w:tcW w:w="1772" w:type="dxa"/>
            <w:tcBorders>
              <w:bottom w:val="single" w:sz="4" w:space="0" w:color="auto"/>
            </w:tcBorders>
          </w:tcPr>
          <w:p w14:paraId="1B99D29E" w14:textId="0C25B5EA" w:rsidR="00A65EDB" w:rsidRDefault="00A65EDB" w:rsidP="00A65EDB">
            <w:pPr>
              <w:pStyle w:val="Els-body-text"/>
              <w:keepNext/>
              <w:keepLines/>
              <w:jc w:val="center"/>
              <w:rPr>
                <w:lang w:val="en-GB"/>
              </w:rPr>
            </w:pPr>
            <w:r>
              <w:rPr>
                <w:lang w:val="en-GB"/>
              </w:rPr>
              <w:t>207</w:t>
            </w:r>
          </w:p>
        </w:tc>
        <w:tc>
          <w:tcPr>
            <w:tcW w:w="1772" w:type="dxa"/>
            <w:tcBorders>
              <w:bottom w:val="single" w:sz="4" w:space="0" w:color="auto"/>
            </w:tcBorders>
          </w:tcPr>
          <w:p w14:paraId="7731AAF2" w14:textId="6EFB194F" w:rsidR="00A65EDB" w:rsidRDefault="00A65EDB" w:rsidP="00A65EDB">
            <w:pPr>
              <w:pStyle w:val="Els-body-text"/>
              <w:keepNext/>
              <w:keepLines/>
              <w:jc w:val="center"/>
              <w:rPr>
                <w:lang w:val="en-GB"/>
              </w:rPr>
            </w:pPr>
            <w:r>
              <w:rPr>
                <w:lang w:val="en-GB"/>
              </w:rPr>
              <w:t>10.3</w:t>
            </w:r>
          </w:p>
        </w:tc>
        <w:tc>
          <w:tcPr>
            <w:tcW w:w="2268" w:type="dxa"/>
            <w:tcBorders>
              <w:bottom w:val="single" w:sz="4" w:space="0" w:color="auto"/>
            </w:tcBorders>
          </w:tcPr>
          <w:p w14:paraId="477804EB" w14:textId="75409C69" w:rsidR="00A65EDB" w:rsidRDefault="00A65EDB" w:rsidP="00A65EDB">
            <w:pPr>
              <w:pStyle w:val="Els-body-text"/>
              <w:keepNext/>
              <w:keepLines/>
              <w:jc w:val="center"/>
              <w:rPr>
                <w:lang w:val="en-GB"/>
              </w:rPr>
            </w:pPr>
            <w:r>
              <w:rPr>
                <w:lang w:val="en-GB"/>
              </w:rPr>
              <w:t>0.67 thermal, 0.27 electric</w:t>
            </w:r>
          </w:p>
        </w:tc>
      </w:tr>
    </w:tbl>
    <w:p w14:paraId="1283CC07" w14:textId="73709DD8" w:rsidR="00847458" w:rsidRDefault="0099274E" w:rsidP="0099274E">
      <w:pPr>
        <w:pStyle w:val="Els-body-text"/>
        <w:spacing w:before="120"/>
        <w:rPr>
          <w:lang w:val="en-GB"/>
        </w:rPr>
      </w:pPr>
      <w:r>
        <w:rPr>
          <w:lang w:val="en-GB"/>
        </w:rPr>
        <w:t>District heating is only viable in areas with</w:t>
      </w:r>
      <w:r w:rsidR="00790E7A">
        <w:rPr>
          <w:lang w:val="en-GB"/>
        </w:rPr>
        <w:t xml:space="preserve"> a</w:t>
      </w:r>
      <w:r>
        <w:rPr>
          <w:lang w:val="en-GB"/>
        </w:rPr>
        <w:t xml:space="preserve"> high heat demand density.</w:t>
      </w:r>
      <w:r w:rsidR="00F653FC">
        <w:rPr>
          <w:lang w:val="en-GB"/>
        </w:rPr>
        <w:t xml:space="preserve"> Based on analysis from the UK Department of Business, Energy &amp; Industrial Strategy (BEIS</w:t>
      </w:r>
      <w:r w:rsidR="004B6778">
        <w:rPr>
          <w:lang w:val="en-GB"/>
        </w:rPr>
        <w:t xml:space="preserve">) (2021), district heating is </w:t>
      </w:r>
      <w:r w:rsidR="00D04B07">
        <w:rPr>
          <w:lang w:val="en-GB"/>
        </w:rPr>
        <w:t>constrained to a maximum of</w:t>
      </w:r>
      <w:r w:rsidR="004B6778">
        <w:rPr>
          <w:lang w:val="en-GB"/>
        </w:rPr>
        <w:t xml:space="preserve"> 20</w:t>
      </w:r>
      <w:r w:rsidR="00D04B07">
        <w:rPr>
          <w:lang w:val="en-GB"/>
        </w:rPr>
        <w:t> % of domestic and commercial properties.</w:t>
      </w:r>
      <w:r w:rsidR="00860707">
        <w:rPr>
          <w:lang w:val="en-GB"/>
        </w:rPr>
        <w:t xml:space="preserve"> The cost of district heating connections is estimated based on data from a Finnish district heating scheme (</w:t>
      </w:r>
      <w:r w:rsidR="00F70DDA">
        <w:rPr>
          <w:lang w:val="en-GB"/>
        </w:rPr>
        <w:t xml:space="preserve">Helen, </w:t>
      </w:r>
      <w:r w:rsidR="00E728D1">
        <w:rPr>
          <w:lang w:val="en-GB"/>
        </w:rPr>
        <w:t>2023)</w:t>
      </w:r>
      <w:r w:rsidR="00375762">
        <w:rPr>
          <w:lang w:val="en-GB"/>
        </w:rPr>
        <w:t xml:space="preserve">, while the cost of the pipe network is </w:t>
      </w:r>
      <w:r w:rsidR="004F6BBC">
        <w:rPr>
          <w:lang w:val="en-GB"/>
        </w:rPr>
        <w:t xml:space="preserve">estimated </w:t>
      </w:r>
      <w:r w:rsidR="00EE2DC0">
        <w:rPr>
          <w:lang w:val="en-GB"/>
        </w:rPr>
        <w:t xml:space="preserve">based </w:t>
      </w:r>
      <w:r w:rsidR="004F6BBC">
        <w:rPr>
          <w:lang w:val="en-GB"/>
        </w:rPr>
        <w:t xml:space="preserve">on the annual </w:t>
      </w:r>
      <w:r w:rsidR="0075424C">
        <w:rPr>
          <w:lang w:val="en-GB"/>
        </w:rPr>
        <w:t>delivered heat, using data from the</w:t>
      </w:r>
      <w:r w:rsidR="004F6BBC">
        <w:rPr>
          <w:lang w:val="en-GB"/>
        </w:rPr>
        <w:t xml:space="preserve"> BEIS (2021) report.</w:t>
      </w:r>
    </w:p>
    <w:p w14:paraId="29C717C4" w14:textId="405C0C2D" w:rsidR="00847458" w:rsidRDefault="00773476" w:rsidP="00773476">
      <w:pPr>
        <w:pStyle w:val="Els-2ndorder-head"/>
        <w:rPr>
          <w:lang w:val="en-GB"/>
        </w:rPr>
      </w:pPr>
      <w:r>
        <w:rPr>
          <w:lang w:val="en-GB"/>
        </w:rPr>
        <w:t>Monte Carlo Analysis</w:t>
      </w:r>
    </w:p>
    <w:p w14:paraId="11223A28" w14:textId="3866CE47" w:rsidR="00773476" w:rsidRDefault="00AE4E48" w:rsidP="00773476">
      <w:pPr>
        <w:pStyle w:val="Els-body-text"/>
        <w:rPr>
          <w:lang w:val="en-GB"/>
        </w:rPr>
      </w:pPr>
      <w:r>
        <w:rPr>
          <w:lang w:val="en-GB"/>
        </w:rPr>
        <w:t xml:space="preserve">A Monte Carlo analysis is used to </w:t>
      </w:r>
      <w:r w:rsidR="00F57BB7">
        <w:rPr>
          <w:lang w:val="en-GB"/>
        </w:rPr>
        <w:t xml:space="preserve">account for uncertainties in key model input parameters, such as capital costs, fuel prices and the </w:t>
      </w:r>
      <w:r w:rsidR="00E74F23">
        <w:rPr>
          <w:lang w:val="en-GB"/>
        </w:rPr>
        <w:t>interest rate.</w:t>
      </w:r>
      <w:r w:rsidR="00272449">
        <w:rPr>
          <w:lang w:val="en-GB"/>
        </w:rPr>
        <w:t xml:space="preserve"> </w:t>
      </w:r>
      <w:r w:rsidR="00BA6132">
        <w:rPr>
          <w:lang w:val="en-GB"/>
        </w:rPr>
        <w:t>The uncertain input parameters and respective bounds considered in the sampling are shown in Table 3.</w:t>
      </w:r>
      <w:r w:rsidR="005A3013">
        <w:rPr>
          <w:lang w:val="en-GB"/>
        </w:rPr>
        <w:t xml:space="preserve"> The gas price bounds cover the variation seen </w:t>
      </w:r>
      <w:r w:rsidR="0099372E">
        <w:rPr>
          <w:lang w:val="en-GB"/>
        </w:rPr>
        <w:t xml:space="preserve">in the UK since 2021. The biomass availability is included as parameter to account for cases where </w:t>
      </w:r>
      <w:r w:rsidR="00313E98">
        <w:rPr>
          <w:lang w:val="en-GB"/>
        </w:rPr>
        <w:t xml:space="preserve">emission offsetting is much more expensive, while the interest rate </w:t>
      </w:r>
      <w:r w:rsidR="00BD5FDA">
        <w:rPr>
          <w:lang w:val="en-GB"/>
        </w:rPr>
        <w:t>influences the trade-off between CAPEX and OPEX.</w:t>
      </w:r>
    </w:p>
    <w:p w14:paraId="6E5626CD" w14:textId="5ED8D34F" w:rsidR="00317727" w:rsidRDefault="00317727" w:rsidP="00317727">
      <w:pPr>
        <w:pStyle w:val="Els-body-text"/>
        <w:keepNext/>
        <w:keepLines/>
        <w:spacing w:before="120"/>
        <w:jc w:val="left"/>
        <w:rPr>
          <w:lang w:val="en-GB"/>
        </w:rPr>
      </w:pPr>
      <w:r>
        <w:rPr>
          <w:lang w:val="en-GB"/>
        </w:rPr>
        <w:lastRenderedPageBreak/>
        <w:t>Table 3. Uncertain input parameter</w:t>
      </w:r>
      <w:r w:rsidR="000D2F54">
        <w:rPr>
          <w:lang w:val="en-GB"/>
        </w:rPr>
        <w:t>s</w:t>
      </w:r>
      <w:r>
        <w:rPr>
          <w:lang w:val="en-GB"/>
        </w:rPr>
        <w:t xml:space="preserve"> and respective bounds considered in the analysis.</w:t>
      </w:r>
    </w:p>
    <w:tbl>
      <w:tblPr>
        <w:tblStyle w:val="TableGrid"/>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268"/>
        <w:gridCol w:w="2126"/>
      </w:tblGrid>
      <w:tr w:rsidR="00D30370" w14:paraId="5432F481" w14:textId="77777777" w:rsidTr="00867626">
        <w:tc>
          <w:tcPr>
            <w:tcW w:w="2694" w:type="dxa"/>
            <w:tcBorders>
              <w:top w:val="single" w:sz="4" w:space="0" w:color="auto"/>
              <w:bottom w:val="single" w:sz="4" w:space="0" w:color="auto"/>
            </w:tcBorders>
          </w:tcPr>
          <w:p w14:paraId="7A1B86F9" w14:textId="4C4D720D" w:rsidR="00D30370" w:rsidRDefault="00D30370" w:rsidP="00D775E1">
            <w:pPr>
              <w:pStyle w:val="Els-body-text"/>
              <w:keepNext/>
              <w:keepLines/>
              <w:rPr>
                <w:lang w:val="en-GB"/>
              </w:rPr>
            </w:pPr>
            <w:r>
              <w:rPr>
                <w:lang w:val="en-GB"/>
              </w:rPr>
              <w:t>Parameter</w:t>
            </w:r>
          </w:p>
        </w:tc>
        <w:tc>
          <w:tcPr>
            <w:tcW w:w="2268" w:type="dxa"/>
            <w:tcBorders>
              <w:top w:val="single" w:sz="4" w:space="0" w:color="auto"/>
              <w:bottom w:val="single" w:sz="4" w:space="0" w:color="auto"/>
            </w:tcBorders>
          </w:tcPr>
          <w:p w14:paraId="0D15EC15" w14:textId="6CB67DF3" w:rsidR="00D30370" w:rsidRDefault="00D30370" w:rsidP="00D775E1">
            <w:pPr>
              <w:pStyle w:val="Els-body-text"/>
              <w:keepNext/>
              <w:keepLines/>
              <w:jc w:val="center"/>
              <w:rPr>
                <w:lang w:val="en-GB"/>
              </w:rPr>
            </w:pPr>
            <w:r>
              <w:rPr>
                <w:lang w:val="en-GB"/>
              </w:rPr>
              <w:t>Lower bound</w:t>
            </w:r>
          </w:p>
        </w:tc>
        <w:tc>
          <w:tcPr>
            <w:tcW w:w="2126" w:type="dxa"/>
            <w:tcBorders>
              <w:top w:val="single" w:sz="4" w:space="0" w:color="auto"/>
              <w:bottom w:val="single" w:sz="4" w:space="0" w:color="auto"/>
            </w:tcBorders>
          </w:tcPr>
          <w:p w14:paraId="1D0E8B37" w14:textId="13ABB0BD" w:rsidR="00D30370" w:rsidRDefault="00D30370" w:rsidP="00D775E1">
            <w:pPr>
              <w:pStyle w:val="Els-body-text"/>
              <w:keepNext/>
              <w:keepLines/>
              <w:jc w:val="center"/>
              <w:rPr>
                <w:lang w:val="en-GB"/>
              </w:rPr>
            </w:pPr>
            <w:r>
              <w:rPr>
                <w:lang w:val="en-GB"/>
              </w:rPr>
              <w:t>Upper bound</w:t>
            </w:r>
          </w:p>
        </w:tc>
      </w:tr>
      <w:tr w:rsidR="00D30370" w14:paraId="689093C5" w14:textId="77777777" w:rsidTr="00867626">
        <w:tc>
          <w:tcPr>
            <w:tcW w:w="2694" w:type="dxa"/>
            <w:tcBorders>
              <w:top w:val="single" w:sz="4" w:space="0" w:color="auto"/>
            </w:tcBorders>
          </w:tcPr>
          <w:p w14:paraId="41DAE25D" w14:textId="726C58E3" w:rsidR="00D30370" w:rsidRDefault="003748F3" w:rsidP="00D775E1">
            <w:pPr>
              <w:pStyle w:val="Els-body-text"/>
              <w:keepNext/>
              <w:keepLines/>
              <w:rPr>
                <w:lang w:val="en-GB"/>
              </w:rPr>
            </w:pPr>
            <w:r>
              <w:rPr>
                <w:lang w:val="en-GB"/>
              </w:rPr>
              <w:t>Gas price</w:t>
            </w:r>
          </w:p>
        </w:tc>
        <w:tc>
          <w:tcPr>
            <w:tcW w:w="2268" w:type="dxa"/>
            <w:tcBorders>
              <w:top w:val="single" w:sz="4" w:space="0" w:color="auto"/>
            </w:tcBorders>
          </w:tcPr>
          <w:p w14:paraId="052ADA0A" w14:textId="463D7BE3" w:rsidR="00D30370" w:rsidRDefault="003748F3" w:rsidP="00D775E1">
            <w:pPr>
              <w:pStyle w:val="Els-body-text"/>
              <w:keepNext/>
              <w:keepLines/>
              <w:jc w:val="center"/>
              <w:rPr>
                <w:lang w:val="en-GB"/>
              </w:rPr>
            </w:pPr>
            <w:r>
              <w:rPr>
                <w:lang w:val="en-GB"/>
              </w:rPr>
              <w:t>10 £/MWh</w:t>
            </w:r>
          </w:p>
        </w:tc>
        <w:tc>
          <w:tcPr>
            <w:tcW w:w="2126" w:type="dxa"/>
            <w:tcBorders>
              <w:top w:val="single" w:sz="4" w:space="0" w:color="auto"/>
            </w:tcBorders>
          </w:tcPr>
          <w:p w14:paraId="57FB5359" w14:textId="6479C3CF" w:rsidR="00D30370" w:rsidRDefault="003748F3" w:rsidP="00D775E1">
            <w:pPr>
              <w:pStyle w:val="Els-body-text"/>
              <w:keepNext/>
              <w:keepLines/>
              <w:jc w:val="center"/>
              <w:rPr>
                <w:lang w:val="en-GB"/>
              </w:rPr>
            </w:pPr>
            <w:r>
              <w:rPr>
                <w:lang w:val="en-GB"/>
              </w:rPr>
              <w:t>150 £/MWh</w:t>
            </w:r>
          </w:p>
        </w:tc>
      </w:tr>
      <w:tr w:rsidR="00D30370" w14:paraId="324005EE" w14:textId="77777777" w:rsidTr="00867626">
        <w:tc>
          <w:tcPr>
            <w:tcW w:w="2694" w:type="dxa"/>
          </w:tcPr>
          <w:p w14:paraId="0D81D518" w14:textId="08A24CD1" w:rsidR="00D30370" w:rsidRDefault="001F67BE" w:rsidP="00D775E1">
            <w:pPr>
              <w:pStyle w:val="Els-body-text"/>
              <w:keepNext/>
              <w:keepLines/>
              <w:rPr>
                <w:lang w:val="en-GB"/>
              </w:rPr>
            </w:pPr>
            <w:r>
              <w:rPr>
                <w:lang w:val="en-GB"/>
              </w:rPr>
              <w:t>Biomass availability</w:t>
            </w:r>
          </w:p>
        </w:tc>
        <w:tc>
          <w:tcPr>
            <w:tcW w:w="2268" w:type="dxa"/>
          </w:tcPr>
          <w:p w14:paraId="48D8BC1B" w14:textId="1F25A003" w:rsidR="00D30370" w:rsidRDefault="001F67BE" w:rsidP="00D775E1">
            <w:pPr>
              <w:pStyle w:val="Els-body-text"/>
              <w:keepNext/>
              <w:keepLines/>
              <w:jc w:val="center"/>
              <w:rPr>
                <w:lang w:val="en-GB"/>
              </w:rPr>
            </w:pPr>
            <w:r>
              <w:rPr>
                <w:lang w:val="en-GB"/>
              </w:rPr>
              <w:t>0</w:t>
            </w:r>
            <w:r w:rsidR="0043261B">
              <w:rPr>
                <w:lang w:val="en-GB"/>
              </w:rPr>
              <w:t xml:space="preserve"> % of baseline</w:t>
            </w:r>
          </w:p>
        </w:tc>
        <w:tc>
          <w:tcPr>
            <w:tcW w:w="2126" w:type="dxa"/>
          </w:tcPr>
          <w:p w14:paraId="3DB52F1A" w14:textId="32D08075" w:rsidR="00D30370" w:rsidRDefault="0043261B" w:rsidP="00D775E1">
            <w:pPr>
              <w:pStyle w:val="Els-body-text"/>
              <w:keepNext/>
              <w:keepLines/>
              <w:jc w:val="center"/>
              <w:rPr>
                <w:lang w:val="en-GB"/>
              </w:rPr>
            </w:pPr>
            <w:r>
              <w:rPr>
                <w:lang w:val="en-GB"/>
              </w:rPr>
              <w:t>100 % of baseline</w:t>
            </w:r>
          </w:p>
        </w:tc>
      </w:tr>
      <w:tr w:rsidR="00D30370" w14:paraId="4BAB5A02" w14:textId="77777777" w:rsidTr="00867626">
        <w:tc>
          <w:tcPr>
            <w:tcW w:w="2694" w:type="dxa"/>
          </w:tcPr>
          <w:p w14:paraId="5D303D06" w14:textId="34C45A0D" w:rsidR="00D30370" w:rsidRDefault="0043261B" w:rsidP="00D775E1">
            <w:pPr>
              <w:pStyle w:val="Els-body-text"/>
              <w:keepNext/>
              <w:keepLines/>
              <w:rPr>
                <w:lang w:val="en-GB"/>
              </w:rPr>
            </w:pPr>
            <w:r>
              <w:rPr>
                <w:lang w:val="en-GB"/>
              </w:rPr>
              <w:t>Heat pump CAPEX</w:t>
            </w:r>
          </w:p>
        </w:tc>
        <w:tc>
          <w:tcPr>
            <w:tcW w:w="2268" w:type="dxa"/>
          </w:tcPr>
          <w:p w14:paraId="1EA1E68C" w14:textId="11D267D1" w:rsidR="00D30370" w:rsidRDefault="0043261B" w:rsidP="00D775E1">
            <w:pPr>
              <w:pStyle w:val="Els-body-text"/>
              <w:keepNext/>
              <w:keepLines/>
              <w:jc w:val="center"/>
              <w:rPr>
                <w:lang w:val="en-GB"/>
              </w:rPr>
            </w:pPr>
            <w:r>
              <w:rPr>
                <w:lang w:val="en-GB"/>
              </w:rPr>
              <w:t>-50 %</w:t>
            </w:r>
          </w:p>
        </w:tc>
        <w:tc>
          <w:tcPr>
            <w:tcW w:w="2126" w:type="dxa"/>
          </w:tcPr>
          <w:p w14:paraId="44165AC2" w14:textId="3AEC2EF6" w:rsidR="00D30370" w:rsidRDefault="0043261B" w:rsidP="00D775E1">
            <w:pPr>
              <w:pStyle w:val="Els-body-text"/>
              <w:keepNext/>
              <w:keepLines/>
              <w:jc w:val="center"/>
              <w:rPr>
                <w:lang w:val="en-GB"/>
              </w:rPr>
            </w:pPr>
            <w:r>
              <w:rPr>
                <w:lang w:val="en-GB"/>
              </w:rPr>
              <w:t>+50 %</w:t>
            </w:r>
          </w:p>
        </w:tc>
      </w:tr>
      <w:tr w:rsidR="00D50EFA" w14:paraId="483DE93E" w14:textId="77777777" w:rsidTr="00867626">
        <w:tc>
          <w:tcPr>
            <w:tcW w:w="2694" w:type="dxa"/>
          </w:tcPr>
          <w:p w14:paraId="07A8CB9B" w14:textId="69082D56" w:rsidR="00D50EFA" w:rsidRDefault="00D50EFA" w:rsidP="00D50EFA">
            <w:pPr>
              <w:pStyle w:val="Els-body-text"/>
              <w:keepNext/>
              <w:keepLines/>
              <w:rPr>
                <w:lang w:val="en-GB"/>
              </w:rPr>
            </w:pPr>
            <w:r>
              <w:rPr>
                <w:lang w:val="en-GB"/>
              </w:rPr>
              <w:t>CHP CAPEX</w:t>
            </w:r>
          </w:p>
        </w:tc>
        <w:tc>
          <w:tcPr>
            <w:tcW w:w="2268" w:type="dxa"/>
          </w:tcPr>
          <w:p w14:paraId="7197BAB8" w14:textId="3F4FABCA" w:rsidR="00D50EFA" w:rsidRDefault="00D50EFA" w:rsidP="00D50EFA">
            <w:pPr>
              <w:pStyle w:val="Els-body-text"/>
              <w:keepNext/>
              <w:keepLines/>
              <w:jc w:val="center"/>
              <w:rPr>
                <w:lang w:val="en-GB"/>
              </w:rPr>
            </w:pPr>
            <w:r>
              <w:rPr>
                <w:lang w:val="en-GB"/>
              </w:rPr>
              <w:t>-50 %</w:t>
            </w:r>
          </w:p>
        </w:tc>
        <w:tc>
          <w:tcPr>
            <w:tcW w:w="2126" w:type="dxa"/>
          </w:tcPr>
          <w:p w14:paraId="64E314A3" w14:textId="7C5C7FEB" w:rsidR="00D50EFA" w:rsidRDefault="00D50EFA" w:rsidP="00D50EFA">
            <w:pPr>
              <w:pStyle w:val="Els-body-text"/>
              <w:keepNext/>
              <w:keepLines/>
              <w:jc w:val="center"/>
              <w:rPr>
                <w:lang w:val="en-GB"/>
              </w:rPr>
            </w:pPr>
            <w:r>
              <w:rPr>
                <w:lang w:val="en-GB"/>
              </w:rPr>
              <w:t>+50 %</w:t>
            </w:r>
          </w:p>
        </w:tc>
      </w:tr>
      <w:tr w:rsidR="00D50EFA" w14:paraId="61501836" w14:textId="77777777" w:rsidTr="00867626">
        <w:tc>
          <w:tcPr>
            <w:tcW w:w="2694" w:type="dxa"/>
          </w:tcPr>
          <w:p w14:paraId="26EC3B65" w14:textId="432D3C16" w:rsidR="00D50EFA" w:rsidRDefault="00D50EFA" w:rsidP="00D50EFA">
            <w:pPr>
              <w:pStyle w:val="Els-body-text"/>
              <w:keepNext/>
              <w:keepLines/>
              <w:rPr>
                <w:lang w:val="en-GB"/>
              </w:rPr>
            </w:pPr>
            <w:r>
              <w:rPr>
                <w:lang w:val="en-GB"/>
              </w:rPr>
              <w:t>District heating network cost</w:t>
            </w:r>
          </w:p>
        </w:tc>
        <w:tc>
          <w:tcPr>
            <w:tcW w:w="2268" w:type="dxa"/>
          </w:tcPr>
          <w:p w14:paraId="4FAF623D" w14:textId="73892312" w:rsidR="00D50EFA" w:rsidRDefault="00D50EFA" w:rsidP="00D50EFA">
            <w:pPr>
              <w:pStyle w:val="Els-body-text"/>
              <w:keepNext/>
              <w:keepLines/>
              <w:jc w:val="center"/>
              <w:rPr>
                <w:lang w:val="en-GB"/>
              </w:rPr>
            </w:pPr>
            <w:r>
              <w:rPr>
                <w:lang w:val="en-GB"/>
              </w:rPr>
              <w:t>-50 %</w:t>
            </w:r>
          </w:p>
        </w:tc>
        <w:tc>
          <w:tcPr>
            <w:tcW w:w="2126" w:type="dxa"/>
          </w:tcPr>
          <w:p w14:paraId="1658A21E" w14:textId="6F135AAE" w:rsidR="00D50EFA" w:rsidRDefault="00D50EFA" w:rsidP="00D50EFA">
            <w:pPr>
              <w:pStyle w:val="Els-body-text"/>
              <w:keepNext/>
              <w:keepLines/>
              <w:jc w:val="center"/>
              <w:rPr>
                <w:lang w:val="en-GB"/>
              </w:rPr>
            </w:pPr>
            <w:r>
              <w:rPr>
                <w:lang w:val="en-GB"/>
              </w:rPr>
              <w:t>+50 %</w:t>
            </w:r>
          </w:p>
        </w:tc>
      </w:tr>
      <w:tr w:rsidR="00D50EFA" w14:paraId="01DC8BD8" w14:textId="77777777" w:rsidTr="00867626">
        <w:tc>
          <w:tcPr>
            <w:tcW w:w="2694" w:type="dxa"/>
            <w:tcBorders>
              <w:bottom w:val="single" w:sz="4" w:space="0" w:color="auto"/>
            </w:tcBorders>
          </w:tcPr>
          <w:p w14:paraId="0A29B895" w14:textId="7A94ADFC" w:rsidR="00D50EFA" w:rsidRDefault="004401CC" w:rsidP="00D50EFA">
            <w:pPr>
              <w:pStyle w:val="Els-body-text"/>
              <w:keepNext/>
              <w:keepLines/>
              <w:rPr>
                <w:lang w:val="en-GB"/>
              </w:rPr>
            </w:pPr>
            <w:r>
              <w:rPr>
                <w:lang w:val="en-GB"/>
              </w:rPr>
              <w:t>Interest rate</w:t>
            </w:r>
          </w:p>
        </w:tc>
        <w:tc>
          <w:tcPr>
            <w:tcW w:w="2268" w:type="dxa"/>
            <w:tcBorders>
              <w:bottom w:val="single" w:sz="4" w:space="0" w:color="auto"/>
            </w:tcBorders>
          </w:tcPr>
          <w:p w14:paraId="7D9AE36C" w14:textId="63FC18FF" w:rsidR="00D50EFA" w:rsidRDefault="004401CC" w:rsidP="00D50EFA">
            <w:pPr>
              <w:pStyle w:val="Els-body-text"/>
              <w:keepNext/>
              <w:keepLines/>
              <w:jc w:val="center"/>
              <w:rPr>
                <w:lang w:val="en-GB"/>
              </w:rPr>
            </w:pPr>
            <w:r>
              <w:rPr>
                <w:lang w:val="en-GB"/>
              </w:rPr>
              <w:t>0 %/y</w:t>
            </w:r>
          </w:p>
        </w:tc>
        <w:tc>
          <w:tcPr>
            <w:tcW w:w="2126" w:type="dxa"/>
            <w:tcBorders>
              <w:bottom w:val="single" w:sz="4" w:space="0" w:color="auto"/>
            </w:tcBorders>
          </w:tcPr>
          <w:p w14:paraId="3A13A863" w14:textId="181A3D57" w:rsidR="00D50EFA" w:rsidRDefault="004401CC" w:rsidP="00D50EFA">
            <w:pPr>
              <w:pStyle w:val="Els-body-text"/>
              <w:keepNext/>
              <w:keepLines/>
              <w:jc w:val="center"/>
              <w:rPr>
                <w:lang w:val="en-GB"/>
              </w:rPr>
            </w:pPr>
            <w:r>
              <w:rPr>
                <w:lang w:val="en-GB"/>
              </w:rPr>
              <w:t>10 %/y</w:t>
            </w:r>
          </w:p>
        </w:tc>
      </w:tr>
    </w:tbl>
    <w:p w14:paraId="3C323CE0" w14:textId="1F2921BA" w:rsidR="00317727" w:rsidRPr="00773476" w:rsidRDefault="00212B36" w:rsidP="00212B36">
      <w:pPr>
        <w:pStyle w:val="Els-body-text"/>
        <w:spacing w:before="120"/>
        <w:rPr>
          <w:lang w:val="en-GB"/>
        </w:rPr>
      </w:pPr>
      <w:r>
        <w:rPr>
          <w:lang w:val="en-GB"/>
        </w:rPr>
        <w:t>A Latin hypercube sampling approach is used to effectively cover the parameter space. For the analysis presented here, the optimisation is performed for 100 sets of input parameters to limit the computational complexity.</w:t>
      </w:r>
    </w:p>
    <w:p w14:paraId="6A394831" w14:textId="64E10FB7" w:rsidR="007E24AE" w:rsidRDefault="007E24AE" w:rsidP="008D2649">
      <w:pPr>
        <w:pStyle w:val="Els-1storder-head"/>
        <w:rPr>
          <w:lang w:val="en-GB"/>
        </w:rPr>
      </w:pPr>
      <w:r>
        <w:rPr>
          <w:lang w:val="en-GB"/>
        </w:rPr>
        <w:t>Results and Discussion</w:t>
      </w:r>
    </w:p>
    <w:p w14:paraId="755B20D9" w14:textId="461A79D7" w:rsidR="00502E95" w:rsidRDefault="00883A4E" w:rsidP="00AB4537">
      <w:pPr>
        <w:pStyle w:val="Els-body-text"/>
        <w:rPr>
          <w:lang w:val="en-GB"/>
        </w:rPr>
      </w:pPr>
      <w:r>
        <w:rPr>
          <w:lang w:val="en-GB"/>
        </w:rPr>
        <w:t xml:space="preserve">Figure 1 shows the share of heat provided by heat pumps </w:t>
      </w:r>
      <w:r w:rsidR="006F4297">
        <w:rPr>
          <w:lang w:val="en-GB"/>
        </w:rPr>
        <w:t>across all sectors, including domestic, commercial</w:t>
      </w:r>
      <w:r w:rsidR="003962B6">
        <w:rPr>
          <w:lang w:val="en-GB"/>
        </w:rPr>
        <w:t>,</w:t>
      </w:r>
      <w:r w:rsidR="00FC3327">
        <w:rPr>
          <w:lang w:val="en-GB"/>
        </w:rPr>
        <w:t xml:space="preserve"> and industrial demand as well as district heating,</w:t>
      </w:r>
      <w:r w:rsidR="00CA3761">
        <w:rPr>
          <w:lang w:val="en-GB"/>
        </w:rPr>
        <w:t xml:space="preserve"> for the different Monte Carlo runs,</w:t>
      </w:r>
      <w:r w:rsidR="00FC3327">
        <w:rPr>
          <w:lang w:val="en-GB"/>
        </w:rPr>
        <w:t xml:space="preserve"> while Figure 2 shows the share of heat provided by CHP</w:t>
      </w:r>
      <w:r w:rsidR="005D5DC9">
        <w:rPr>
          <w:lang w:val="en-GB"/>
        </w:rPr>
        <w:t xml:space="preserve"> system</w:t>
      </w:r>
      <w:r w:rsidR="00FC3327">
        <w:rPr>
          <w:lang w:val="en-GB"/>
        </w:rPr>
        <w:t>s.</w:t>
      </w:r>
    </w:p>
    <w:p w14:paraId="14239EBC" w14:textId="0D8BC864" w:rsidR="00C46EA1" w:rsidRDefault="00AB4537" w:rsidP="00AE29F0">
      <w:pPr>
        <w:pStyle w:val="Els-body-text"/>
        <w:spacing w:after="120"/>
        <w:rPr>
          <w:lang w:val="en-GB"/>
        </w:rPr>
      </w:pPr>
      <w:r>
        <w:rPr>
          <w:lang w:val="en-GB"/>
        </w:rPr>
        <w:t>Not shown in the figures is the degree of district heating deployment</w:t>
      </w:r>
      <w:r w:rsidR="00A13151">
        <w:rPr>
          <w:lang w:val="en-GB"/>
        </w:rPr>
        <w:t>, as in every scenario the maximum amount of district heating</w:t>
      </w:r>
      <w:r w:rsidR="00063E27">
        <w:rPr>
          <w:lang w:val="en-GB"/>
        </w:rPr>
        <w:t>, corresponding to 20 % of domestic and commercial heat demand,</w:t>
      </w:r>
      <w:r w:rsidR="00A13151">
        <w:rPr>
          <w:lang w:val="en-GB"/>
        </w:rPr>
        <w:t xml:space="preserve"> is deployed</w:t>
      </w:r>
      <w:r w:rsidR="00063E27">
        <w:rPr>
          <w:lang w:val="en-GB"/>
        </w:rPr>
        <w:t>, regardless of fuel prices and network costs.</w:t>
      </w:r>
      <w:r w:rsidR="00750A57">
        <w:rPr>
          <w:lang w:val="en-GB"/>
        </w:rPr>
        <w:t xml:space="preserve"> This highlight</w:t>
      </w:r>
      <w:r w:rsidR="002C1C75">
        <w:rPr>
          <w:lang w:val="en-GB"/>
        </w:rPr>
        <w:t>s</w:t>
      </w:r>
      <w:r w:rsidR="00750A57">
        <w:rPr>
          <w:lang w:val="en-GB"/>
        </w:rPr>
        <w:t xml:space="preserve"> the strong potential role for </w:t>
      </w:r>
      <w:r w:rsidR="00256EFF">
        <w:rPr>
          <w:lang w:val="en-GB"/>
        </w:rPr>
        <w:t>such solutions</w:t>
      </w:r>
      <w:r w:rsidR="00B07EC8">
        <w:rPr>
          <w:lang w:val="en-GB"/>
        </w:rPr>
        <w:t>, which benefit from economies of scale and the ability to easily integrate multiple heating technologies.</w:t>
      </w:r>
      <w:r w:rsidR="002C1C75">
        <w:rPr>
          <w:lang w:val="en-GB"/>
        </w:rPr>
        <w:t xml:space="preserve"> Results show that in many cases district heating is powered by</w:t>
      </w:r>
      <w:r w:rsidR="001B59B8">
        <w:rPr>
          <w:lang w:val="en-GB"/>
        </w:rPr>
        <w:t xml:space="preserve"> a combination of</w:t>
      </w:r>
      <w:r w:rsidR="002C1C75">
        <w:rPr>
          <w:lang w:val="en-GB"/>
        </w:rPr>
        <w:t xml:space="preserve"> both GSHPs </w:t>
      </w:r>
      <w:r w:rsidR="00AD73AE">
        <w:rPr>
          <w:lang w:val="en-GB"/>
        </w:rPr>
        <w:t>and CHP</w:t>
      </w:r>
      <w:r w:rsidR="005D5DC9">
        <w:rPr>
          <w:lang w:val="en-GB"/>
        </w:rPr>
        <w:t xml:space="preserve"> system</w:t>
      </w:r>
      <w:r w:rsidR="00AD73AE">
        <w:rPr>
          <w:lang w:val="en-GB"/>
        </w:rPr>
        <w:t>s</w:t>
      </w:r>
      <w:r w:rsidR="00B64EA6">
        <w:rPr>
          <w:lang w:val="en-GB"/>
        </w:rPr>
        <w:t xml:space="preserve">, </w:t>
      </w:r>
      <w:r w:rsidR="001B59B8">
        <w:rPr>
          <w:lang w:val="en-GB"/>
        </w:rPr>
        <w:t>responding to changes in demand in the wider electricity sector.</w:t>
      </w:r>
    </w:p>
    <w:p w14:paraId="09437640" w14:textId="5EE5FE28" w:rsidR="006C08B2" w:rsidRDefault="006C08B2" w:rsidP="005C4B4B">
      <w:pPr>
        <w:pStyle w:val="Els-body-text"/>
        <w:jc w:val="center"/>
        <w:rPr>
          <w:lang w:val="en-GB"/>
        </w:rPr>
      </w:pPr>
      <w:r>
        <w:rPr>
          <w:noProof/>
          <w:lang w:val="en-GB"/>
        </w:rPr>
        <w:drawing>
          <wp:inline distT="0" distB="0" distL="0" distR="0" wp14:anchorId="38542112" wp14:editId="457CF0B3">
            <wp:extent cx="3753360" cy="1620000"/>
            <wp:effectExtent l="0" t="0" r="0" b="0"/>
            <wp:docPr id="655797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797424" name="Picture 1"/>
                    <pic:cNvPicPr/>
                  </pic:nvPicPr>
                  <pic:blipFill rotWithShape="1">
                    <a:blip r:embed="rId8" cstate="print">
                      <a:extLst>
                        <a:ext uri="{28A0092B-C50C-407E-A947-70E740481C1C}">
                          <a14:useLocalDpi xmlns:a14="http://schemas.microsoft.com/office/drawing/2010/main" val="0"/>
                        </a:ext>
                      </a:extLst>
                    </a:blip>
                    <a:srcRect t="12246" r="3432" b="640"/>
                    <a:stretch/>
                  </pic:blipFill>
                  <pic:spPr bwMode="auto">
                    <a:xfrm>
                      <a:off x="0" y="0"/>
                      <a:ext cx="3753360" cy="1620000"/>
                    </a:xfrm>
                    <a:prstGeom prst="rect">
                      <a:avLst/>
                    </a:prstGeom>
                    <a:ln>
                      <a:noFill/>
                    </a:ln>
                    <a:extLst>
                      <a:ext uri="{53640926-AAD7-44D8-BBD7-CCE9431645EC}">
                        <a14:shadowObscured xmlns:a14="http://schemas.microsoft.com/office/drawing/2010/main"/>
                      </a:ext>
                    </a:extLst>
                  </pic:spPr>
                </pic:pic>
              </a:graphicData>
            </a:graphic>
          </wp:inline>
        </w:drawing>
      </w:r>
    </w:p>
    <w:p w14:paraId="111A9C5C" w14:textId="58FBBB3E" w:rsidR="0020177B" w:rsidRDefault="0020177B" w:rsidP="0020177B">
      <w:pPr>
        <w:pStyle w:val="Els-body-text"/>
        <w:jc w:val="left"/>
        <w:rPr>
          <w:lang w:val="en-GB"/>
        </w:rPr>
      </w:pPr>
      <w:r>
        <w:rPr>
          <w:lang w:val="en-GB"/>
        </w:rPr>
        <w:t xml:space="preserve">Figure 1. </w:t>
      </w:r>
      <w:r w:rsidR="00993A9A">
        <w:rPr>
          <w:lang w:val="en-GB"/>
        </w:rPr>
        <w:t>Share of heat provided by heat pumps</w:t>
      </w:r>
      <w:r w:rsidR="004E4309" w:rsidRPr="004E4309">
        <w:rPr>
          <w:lang w:val="en-GB"/>
        </w:rPr>
        <w:t xml:space="preserve"> </w:t>
      </w:r>
      <w:r w:rsidR="004E4309">
        <w:rPr>
          <w:lang w:val="en-GB"/>
        </w:rPr>
        <w:t>across all sectors</w:t>
      </w:r>
      <w:r w:rsidR="00CA3761">
        <w:rPr>
          <w:lang w:val="en-GB"/>
        </w:rPr>
        <w:t>.</w:t>
      </w:r>
    </w:p>
    <w:p w14:paraId="3CA2AD79" w14:textId="065B22D2" w:rsidR="0079774A" w:rsidRDefault="0079774A" w:rsidP="00913CB6">
      <w:pPr>
        <w:pStyle w:val="Els-body-text"/>
        <w:spacing w:before="120" w:after="120"/>
        <w:rPr>
          <w:lang w:val="en-GB"/>
        </w:rPr>
      </w:pPr>
      <w:r>
        <w:rPr>
          <w:lang w:val="en-GB"/>
        </w:rPr>
        <w:t xml:space="preserve">Heat pumps play a significant role in every scenario, providing 40 to 80 % of total heat in 2050. </w:t>
      </w:r>
      <w:r w:rsidR="00DB472F">
        <w:rPr>
          <w:lang w:val="en-GB"/>
        </w:rPr>
        <w:t>A</w:t>
      </w:r>
      <w:r w:rsidR="00CB7F18">
        <w:rPr>
          <w:lang w:val="en-GB"/>
        </w:rPr>
        <w:t>s</w:t>
      </w:r>
      <w:r w:rsidR="00DB472F">
        <w:rPr>
          <w:lang w:val="en-GB"/>
        </w:rPr>
        <w:t xml:space="preserve"> shown in Figure 3, t</w:t>
      </w:r>
      <w:r>
        <w:rPr>
          <w:lang w:val="en-GB"/>
        </w:rPr>
        <w:t xml:space="preserve">he amount of heat pump deployment is strongly correlated with the natural gas price (Pearson correlation coefficient r = 0.92), as the gas price strongly affects the operating costs of alternative heating solutions. A breakdown of heat pump deployment by sector reveals that in every run </w:t>
      </w:r>
      <w:proofErr w:type="gramStart"/>
      <w:r>
        <w:rPr>
          <w:lang w:val="en-GB"/>
        </w:rPr>
        <w:t>all of</w:t>
      </w:r>
      <w:proofErr w:type="gramEnd"/>
      <w:r>
        <w:rPr>
          <w:lang w:val="en-GB"/>
        </w:rPr>
        <w:t xml:space="preserve"> the low-temperature industrial heat is provided by </w:t>
      </w:r>
      <w:r w:rsidR="004921BD">
        <w:rPr>
          <w:lang w:val="en-GB"/>
        </w:rPr>
        <w:t>ASHPs</w:t>
      </w:r>
      <w:r>
        <w:rPr>
          <w:lang w:val="en-GB"/>
        </w:rPr>
        <w:t xml:space="preserve">. Due to the assumed flat demand profile and economies of scale, heat pumps appear to be especially cost-effective there. The same applies to district heating and commercial buildings, where the demand profile is not flat, but economies of scale are still strong. GSHPs supply 52 to 97 % of heat for district heating, while ASHPs cover 32 to 72 % of </w:t>
      </w:r>
      <w:r w:rsidR="009134D1">
        <w:rPr>
          <w:lang w:val="en-GB"/>
        </w:rPr>
        <w:t xml:space="preserve">the </w:t>
      </w:r>
      <w:r>
        <w:rPr>
          <w:lang w:val="en-GB"/>
        </w:rPr>
        <w:t>commercial demand in all scenarios. Deployment in domestic buildings depends strongly on the natural gas price. In scenarios with gas prices</w:t>
      </w:r>
      <w:r w:rsidR="00954DF2">
        <w:rPr>
          <w:lang w:val="en-GB"/>
        </w:rPr>
        <w:t xml:space="preserve"> near the lower bound</w:t>
      </w:r>
      <w:r>
        <w:rPr>
          <w:lang w:val="en-GB"/>
        </w:rPr>
        <w:t xml:space="preserve"> no domestic heat pumps are deployed, while in others up to 80 % of the domestic heating demand is supplied by ASHPs.</w:t>
      </w:r>
    </w:p>
    <w:p w14:paraId="2E11D4AC" w14:textId="344282E3" w:rsidR="00363243" w:rsidRDefault="00363243" w:rsidP="005C4B4B">
      <w:pPr>
        <w:pStyle w:val="Els-body-text"/>
        <w:jc w:val="center"/>
        <w:rPr>
          <w:lang w:val="en-GB"/>
        </w:rPr>
      </w:pPr>
      <w:r>
        <w:rPr>
          <w:noProof/>
          <w:lang w:val="en-GB"/>
        </w:rPr>
        <w:lastRenderedPageBreak/>
        <w:drawing>
          <wp:inline distT="0" distB="0" distL="0" distR="0" wp14:anchorId="76A41228" wp14:editId="2CA76CDD">
            <wp:extent cx="3857251" cy="1656000"/>
            <wp:effectExtent l="0" t="0" r="0" b="1905"/>
            <wp:docPr id="5094091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409185" name="Picture 2"/>
                    <pic:cNvPicPr/>
                  </pic:nvPicPr>
                  <pic:blipFill rotWithShape="1">
                    <a:blip r:embed="rId9" cstate="print">
                      <a:extLst>
                        <a:ext uri="{28A0092B-C50C-407E-A947-70E740481C1C}">
                          <a14:useLocalDpi xmlns:a14="http://schemas.microsoft.com/office/drawing/2010/main" val="0"/>
                        </a:ext>
                      </a:extLst>
                    </a:blip>
                    <a:srcRect t="13063" r="3674" b="506"/>
                    <a:stretch/>
                  </pic:blipFill>
                  <pic:spPr bwMode="auto">
                    <a:xfrm>
                      <a:off x="0" y="0"/>
                      <a:ext cx="3857251" cy="1656000"/>
                    </a:xfrm>
                    <a:prstGeom prst="rect">
                      <a:avLst/>
                    </a:prstGeom>
                    <a:ln>
                      <a:noFill/>
                    </a:ln>
                    <a:extLst>
                      <a:ext uri="{53640926-AAD7-44D8-BBD7-CCE9431645EC}">
                        <a14:shadowObscured xmlns:a14="http://schemas.microsoft.com/office/drawing/2010/main"/>
                      </a:ext>
                    </a:extLst>
                  </pic:spPr>
                </pic:pic>
              </a:graphicData>
            </a:graphic>
          </wp:inline>
        </w:drawing>
      </w:r>
    </w:p>
    <w:p w14:paraId="7E5869A4" w14:textId="2BA3EE76" w:rsidR="00AE29F0" w:rsidRDefault="00363243" w:rsidP="00AE29F0">
      <w:pPr>
        <w:pStyle w:val="Els-body-text"/>
        <w:spacing w:after="120"/>
        <w:rPr>
          <w:lang w:val="en-GB"/>
        </w:rPr>
      </w:pPr>
      <w:r>
        <w:rPr>
          <w:lang w:val="en-GB"/>
        </w:rPr>
        <w:t xml:space="preserve">Figure </w:t>
      </w:r>
      <w:r w:rsidR="00C1008F">
        <w:rPr>
          <w:lang w:val="en-GB"/>
        </w:rPr>
        <w:t>2</w:t>
      </w:r>
      <w:r>
        <w:rPr>
          <w:lang w:val="en-GB"/>
        </w:rPr>
        <w:t xml:space="preserve">. Share of heat provided by </w:t>
      </w:r>
      <w:r w:rsidR="00C1008F">
        <w:rPr>
          <w:lang w:val="en-GB"/>
        </w:rPr>
        <w:t>CHP</w:t>
      </w:r>
      <w:r w:rsidR="005D5DC9">
        <w:rPr>
          <w:lang w:val="en-GB"/>
        </w:rPr>
        <w:t xml:space="preserve"> system</w:t>
      </w:r>
      <w:r>
        <w:rPr>
          <w:lang w:val="en-GB"/>
        </w:rPr>
        <w:t>s across all sectors</w:t>
      </w:r>
      <w:r w:rsidR="00CA3761">
        <w:rPr>
          <w:lang w:val="en-GB"/>
        </w:rPr>
        <w:t>.</w:t>
      </w:r>
    </w:p>
    <w:p w14:paraId="2E01E491" w14:textId="1DA48AB7" w:rsidR="00913CB6" w:rsidRDefault="00AA5059" w:rsidP="00913CB6">
      <w:pPr>
        <w:pStyle w:val="Els-body-text"/>
        <w:spacing w:after="120"/>
        <w:rPr>
          <w:lang w:val="en-GB"/>
        </w:rPr>
      </w:pPr>
      <w:r>
        <w:rPr>
          <w:lang w:val="en-GB"/>
        </w:rPr>
        <w:t>CHP</w:t>
      </w:r>
      <w:r w:rsidR="005D5DC9">
        <w:rPr>
          <w:lang w:val="en-GB"/>
        </w:rPr>
        <w:t xml:space="preserve"> system</w:t>
      </w:r>
      <w:r>
        <w:rPr>
          <w:lang w:val="en-GB"/>
        </w:rPr>
        <w:t xml:space="preserve">s </w:t>
      </w:r>
      <w:r w:rsidR="0076085A">
        <w:rPr>
          <w:lang w:val="en-GB"/>
        </w:rPr>
        <w:t xml:space="preserve">appear to be especially valuable as transitional technology, as the share of </w:t>
      </w:r>
      <w:r w:rsidR="00C84D70">
        <w:rPr>
          <w:lang w:val="en-GB"/>
        </w:rPr>
        <w:t>heat provided from CHP</w:t>
      </w:r>
      <w:r w:rsidR="005D5DC9">
        <w:rPr>
          <w:lang w:val="en-GB"/>
        </w:rPr>
        <w:t xml:space="preserve"> system</w:t>
      </w:r>
      <w:r w:rsidR="00C84D70">
        <w:rPr>
          <w:lang w:val="en-GB"/>
        </w:rPr>
        <w:t>s peaks in 2030 before decreasing towards 2050.</w:t>
      </w:r>
      <w:r w:rsidR="00CE668F">
        <w:rPr>
          <w:lang w:val="en-GB"/>
        </w:rPr>
        <w:t xml:space="preserve"> Hydrogen ICEs </w:t>
      </w:r>
      <w:r w:rsidR="00D75AC7">
        <w:rPr>
          <w:lang w:val="en-GB"/>
        </w:rPr>
        <w:t>are not competitive</w:t>
      </w:r>
      <w:r w:rsidR="00671941">
        <w:rPr>
          <w:lang w:val="en-GB"/>
        </w:rPr>
        <w:t>;</w:t>
      </w:r>
      <w:r w:rsidR="00456A9A">
        <w:rPr>
          <w:lang w:val="en-GB"/>
        </w:rPr>
        <w:t xml:space="preserve"> </w:t>
      </w:r>
      <w:r w:rsidR="00671941">
        <w:rPr>
          <w:lang w:val="en-GB"/>
        </w:rPr>
        <w:t>t</w:t>
      </w:r>
      <w:r w:rsidR="00456A9A">
        <w:rPr>
          <w:lang w:val="en-GB"/>
        </w:rPr>
        <w:t>herefore, CHP</w:t>
      </w:r>
      <w:r w:rsidR="00CB3B2E">
        <w:rPr>
          <w:lang w:val="en-GB"/>
        </w:rPr>
        <w:t xml:space="preserve"> system</w:t>
      </w:r>
      <w:r w:rsidR="00456A9A">
        <w:rPr>
          <w:lang w:val="en-GB"/>
        </w:rPr>
        <w:t>s rely</w:t>
      </w:r>
      <w:r w:rsidR="009E5531">
        <w:rPr>
          <w:lang w:val="en-GB"/>
        </w:rPr>
        <w:t xml:space="preserve"> mostly</w:t>
      </w:r>
      <w:r w:rsidR="00456A9A">
        <w:rPr>
          <w:lang w:val="en-GB"/>
        </w:rPr>
        <w:t xml:space="preserve"> on natural gas and are </w:t>
      </w:r>
      <w:r w:rsidR="00AF524C">
        <w:rPr>
          <w:lang w:val="en-GB"/>
        </w:rPr>
        <w:t>thus</w:t>
      </w:r>
      <w:r w:rsidR="00456A9A">
        <w:rPr>
          <w:lang w:val="en-GB"/>
        </w:rPr>
        <w:t xml:space="preserve"> associated with emissions</w:t>
      </w:r>
      <w:r w:rsidR="00671941">
        <w:rPr>
          <w:lang w:val="en-GB"/>
        </w:rPr>
        <w:t>,</w:t>
      </w:r>
      <w:r w:rsidR="00C9691B">
        <w:rPr>
          <w:lang w:val="en-GB"/>
        </w:rPr>
        <w:t xml:space="preserve"> which need to be offset as emission constraints become tighter.</w:t>
      </w:r>
      <w:r w:rsidR="00E705F5">
        <w:rPr>
          <w:lang w:val="en-GB"/>
        </w:rPr>
        <w:t xml:space="preserve"> Especially for district heating, </w:t>
      </w:r>
      <w:r w:rsidR="00166481">
        <w:rPr>
          <w:lang w:val="en-GB"/>
        </w:rPr>
        <w:t>in</w:t>
      </w:r>
      <w:r w:rsidR="004C6A47">
        <w:rPr>
          <w:lang w:val="en-GB"/>
        </w:rPr>
        <w:t xml:space="preserve"> most scenarios the heat supply gradually shifts from initially a </w:t>
      </w:r>
      <w:r w:rsidR="00166481">
        <w:rPr>
          <w:lang w:val="en-GB"/>
        </w:rPr>
        <w:t>larger</w:t>
      </w:r>
      <w:r w:rsidR="004C6A47">
        <w:rPr>
          <w:lang w:val="en-GB"/>
        </w:rPr>
        <w:t xml:space="preserve"> share of CHP</w:t>
      </w:r>
      <w:r w:rsidR="00CB3B2E">
        <w:rPr>
          <w:lang w:val="en-GB"/>
        </w:rPr>
        <w:t xml:space="preserve"> system</w:t>
      </w:r>
      <w:r w:rsidR="004C6A47">
        <w:rPr>
          <w:lang w:val="en-GB"/>
        </w:rPr>
        <w:t xml:space="preserve">s towards a </w:t>
      </w:r>
      <w:r w:rsidR="00166481">
        <w:rPr>
          <w:lang w:val="en-GB"/>
        </w:rPr>
        <w:t>larger</w:t>
      </w:r>
      <w:r w:rsidR="004C6A47">
        <w:rPr>
          <w:lang w:val="en-GB"/>
        </w:rPr>
        <w:t xml:space="preserve"> share of heat from GSHPs in 2050.</w:t>
      </w:r>
      <w:r w:rsidR="005C45A9">
        <w:rPr>
          <w:lang w:val="en-GB"/>
        </w:rPr>
        <w:t xml:space="preserve"> Domestic CHP</w:t>
      </w:r>
      <w:r w:rsidR="00CB3B2E">
        <w:rPr>
          <w:lang w:val="en-GB"/>
        </w:rPr>
        <w:t xml:space="preserve"> system</w:t>
      </w:r>
      <w:r w:rsidR="005C45A9">
        <w:rPr>
          <w:lang w:val="en-GB"/>
        </w:rPr>
        <w:t>s</w:t>
      </w:r>
      <w:r w:rsidR="0012582F">
        <w:rPr>
          <w:lang w:val="en-GB"/>
        </w:rPr>
        <w:t xml:space="preserve"> are too expensive and therefore not deployed in any scenario</w:t>
      </w:r>
      <w:r w:rsidR="00774841">
        <w:rPr>
          <w:lang w:val="en-GB"/>
        </w:rPr>
        <w:t>, while larger CHP</w:t>
      </w:r>
      <w:r w:rsidR="00CB3B2E">
        <w:rPr>
          <w:lang w:val="en-GB"/>
        </w:rPr>
        <w:t xml:space="preserve"> system</w:t>
      </w:r>
      <w:r w:rsidR="00774841">
        <w:rPr>
          <w:lang w:val="en-GB"/>
        </w:rPr>
        <w:t xml:space="preserve">s show potential for industrial, commercial and district heating applications. </w:t>
      </w:r>
      <w:r w:rsidR="005815E7">
        <w:rPr>
          <w:lang w:val="en-GB"/>
        </w:rPr>
        <w:t xml:space="preserve">In 2030, </w:t>
      </w:r>
      <w:r w:rsidR="00A342E0">
        <w:rPr>
          <w:lang w:val="en-GB"/>
        </w:rPr>
        <w:t>natural gas ICE CHP</w:t>
      </w:r>
      <w:r w:rsidR="00F36E5F">
        <w:rPr>
          <w:lang w:val="en-GB"/>
        </w:rPr>
        <w:t xml:space="preserve"> system</w:t>
      </w:r>
      <w:r w:rsidR="00A342E0">
        <w:rPr>
          <w:lang w:val="en-GB"/>
        </w:rPr>
        <w:t xml:space="preserve">s provide </w:t>
      </w:r>
      <w:r w:rsidR="00443178">
        <w:rPr>
          <w:lang w:val="en-GB"/>
        </w:rPr>
        <w:t xml:space="preserve">16 to 61 % of industrial heat, </w:t>
      </w:r>
      <w:r w:rsidR="0062291A">
        <w:rPr>
          <w:lang w:val="en-GB"/>
        </w:rPr>
        <w:t xml:space="preserve">5 to 46 % of district heat, and </w:t>
      </w:r>
      <w:r w:rsidR="00C735A4">
        <w:rPr>
          <w:lang w:val="en-GB"/>
        </w:rPr>
        <w:t>0 to 22 % of commercial heat.</w:t>
      </w:r>
      <w:r w:rsidR="00A9766E">
        <w:rPr>
          <w:lang w:val="en-GB"/>
        </w:rPr>
        <w:t xml:space="preserve"> The natural gas price a</w:t>
      </w:r>
      <w:r w:rsidR="002C780A">
        <w:rPr>
          <w:lang w:val="en-GB"/>
        </w:rPr>
        <w:t xml:space="preserve">lso has the biggest </w:t>
      </w:r>
      <w:r w:rsidR="00C3776B">
        <w:rPr>
          <w:lang w:val="en-GB"/>
        </w:rPr>
        <w:t xml:space="preserve">single </w:t>
      </w:r>
      <w:r w:rsidR="002C780A">
        <w:rPr>
          <w:lang w:val="en-GB"/>
        </w:rPr>
        <w:t>impact on the degree of CHP deployment (Pearson correlation coefficient r = </w:t>
      </w:r>
      <w:r w:rsidR="00911023">
        <w:rPr>
          <w:lang w:val="en-GB"/>
        </w:rPr>
        <w:t>-</w:t>
      </w:r>
      <w:r w:rsidR="002C780A">
        <w:rPr>
          <w:lang w:val="en-GB"/>
        </w:rPr>
        <w:t>0.</w:t>
      </w:r>
      <w:r w:rsidR="00911023">
        <w:rPr>
          <w:lang w:val="en-GB"/>
        </w:rPr>
        <w:t>88</w:t>
      </w:r>
      <w:r w:rsidR="003F07AC">
        <w:rPr>
          <w:lang w:val="en-GB"/>
        </w:rPr>
        <w:t>, see Figure 3</w:t>
      </w:r>
      <w:r w:rsidR="002C780A">
        <w:rPr>
          <w:lang w:val="en-GB"/>
        </w:rPr>
        <w:t>)</w:t>
      </w:r>
      <w:r w:rsidR="00911023">
        <w:rPr>
          <w:lang w:val="en-GB"/>
        </w:rPr>
        <w:t>.</w:t>
      </w:r>
    </w:p>
    <w:p w14:paraId="34C3F7D0" w14:textId="670D2138" w:rsidR="00913CB6" w:rsidRDefault="00913CB6" w:rsidP="00913CB6">
      <w:pPr>
        <w:pStyle w:val="Els-body-text"/>
        <w:jc w:val="center"/>
        <w:rPr>
          <w:lang w:val="en-GB"/>
        </w:rPr>
      </w:pPr>
      <w:r>
        <w:rPr>
          <w:noProof/>
          <w:lang w:val="en-GB"/>
        </w:rPr>
        <w:drawing>
          <wp:inline distT="0" distB="0" distL="0" distR="0" wp14:anchorId="7DC03EDA" wp14:editId="7767CB6D">
            <wp:extent cx="4166235" cy="1068974"/>
            <wp:effectExtent l="0" t="0" r="5715" b="0"/>
            <wp:docPr id="2067990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990682" name="Picture 1"/>
                    <pic:cNvPicPr/>
                  </pic:nvPicPr>
                  <pic:blipFill rotWithShape="1">
                    <a:blip r:embed="rId10" cstate="print">
                      <a:extLst>
                        <a:ext uri="{28A0092B-C50C-407E-A947-70E740481C1C}">
                          <a14:useLocalDpi xmlns:a14="http://schemas.microsoft.com/office/drawing/2010/main" val="0"/>
                        </a:ext>
                      </a:extLst>
                    </a:blip>
                    <a:srcRect t="11695" r="3713" b="-633"/>
                    <a:stretch/>
                  </pic:blipFill>
                  <pic:spPr bwMode="auto">
                    <a:xfrm>
                      <a:off x="0" y="0"/>
                      <a:ext cx="4170274" cy="1070010"/>
                    </a:xfrm>
                    <a:prstGeom prst="rect">
                      <a:avLst/>
                    </a:prstGeom>
                    <a:ln>
                      <a:noFill/>
                    </a:ln>
                    <a:extLst>
                      <a:ext uri="{53640926-AAD7-44D8-BBD7-CCE9431645EC}">
                        <a14:shadowObscured xmlns:a14="http://schemas.microsoft.com/office/drawing/2010/main"/>
                      </a:ext>
                    </a:extLst>
                  </pic:spPr>
                </pic:pic>
              </a:graphicData>
            </a:graphic>
          </wp:inline>
        </w:drawing>
      </w:r>
    </w:p>
    <w:p w14:paraId="18D3A6F7" w14:textId="24D9F5CF" w:rsidR="00913CB6" w:rsidRDefault="00913CB6" w:rsidP="0065182D">
      <w:pPr>
        <w:pStyle w:val="Els-body-text"/>
        <w:spacing w:after="120"/>
        <w:jc w:val="left"/>
        <w:rPr>
          <w:lang w:val="en-GB"/>
        </w:rPr>
      </w:pPr>
      <w:r>
        <w:rPr>
          <w:lang w:val="en-GB"/>
        </w:rPr>
        <w:t xml:space="preserve">Figure 3. </w:t>
      </w:r>
      <w:r w:rsidR="005E62EE">
        <w:rPr>
          <w:lang w:val="en-GB"/>
        </w:rPr>
        <w:t>Correlation</w:t>
      </w:r>
      <w:r w:rsidR="0065182D">
        <w:rPr>
          <w:lang w:val="en-GB"/>
        </w:rPr>
        <w:t>s</w:t>
      </w:r>
      <w:r w:rsidR="005E62EE">
        <w:rPr>
          <w:lang w:val="en-GB"/>
        </w:rPr>
        <w:t xml:space="preserve"> of (a) share of heat provided by heat pumps in 2050; and (b) share of heat provided by CHPs in 2030 with natural gas prices.</w:t>
      </w:r>
    </w:p>
    <w:p w14:paraId="092D17A8" w14:textId="392715F0" w:rsidR="00CF0C53" w:rsidRDefault="004E57C5" w:rsidP="004E57C5">
      <w:pPr>
        <w:pStyle w:val="Els-2ndorder-head"/>
        <w:rPr>
          <w:lang w:val="en-GB"/>
        </w:rPr>
      </w:pPr>
      <w:r>
        <w:rPr>
          <w:lang w:val="en-GB"/>
        </w:rPr>
        <w:t>Integration between heat and power sectors</w:t>
      </w:r>
    </w:p>
    <w:p w14:paraId="43A4D5B0" w14:textId="65CEEDEE" w:rsidR="004E57C5" w:rsidRDefault="00700594" w:rsidP="004E57C5">
      <w:pPr>
        <w:pStyle w:val="Els-body-text"/>
        <w:rPr>
          <w:lang w:val="en-GB"/>
        </w:rPr>
      </w:pPr>
      <w:r>
        <w:rPr>
          <w:lang w:val="en-GB"/>
        </w:rPr>
        <w:t xml:space="preserve">The </w:t>
      </w:r>
      <w:r w:rsidR="0025246E">
        <w:rPr>
          <w:lang w:val="en-GB"/>
        </w:rPr>
        <w:t>deployment</w:t>
      </w:r>
      <w:r w:rsidR="000D66EB">
        <w:rPr>
          <w:lang w:val="en-GB"/>
        </w:rPr>
        <w:t xml:space="preserve"> of heat pumps and CHP</w:t>
      </w:r>
      <w:r w:rsidR="00F36E5F">
        <w:rPr>
          <w:lang w:val="en-GB"/>
        </w:rPr>
        <w:t xml:space="preserve"> system</w:t>
      </w:r>
      <w:r w:rsidR="000D66EB">
        <w:rPr>
          <w:lang w:val="en-GB"/>
        </w:rPr>
        <w:t xml:space="preserve">s results in a significant integration of </w:t>
      </w:r>
      <w:r w:rsidR="0025246E">
        <w:rPr>
          <w:lang w:val="en-GB"/>
        </w:rPr>
        <w:t xml:space="preserve">the </w:t>
      </w:r>
      <w:r w:rsidR="000D66EB">
        <w:rPr>
          <w:lang w:val="en-GB"/>
        </w:rPr>
        <w:t xml:space="preserve">heating and power sectors. </w:t>
      </w:r>
      <w:r w:rsidR="00CD3BBE">
        <w:rPr>
          <w:lang w:val="en-GB"/>
        </w:rPr>
        <w:t xml:space="preserve">The </w:t>
      </w:r>
      <w:r w:rsidR="008F0703">
        <w:rPr>
          <w:lang w:val="en-GB"/>
        </w:rPr>
        <w:t xml:space="preserve">additional </w:t>
      </w:r>
      <w:r w:rsidR="00CD3BBE">
        <w:rPr>
          <w:lang w:val="en-GB"/>
        </w:rPr>
        <w:t xml:space="preserve">annual electricity demand </w:t>
      </w:r>
      <w:r w:rsidR="008F0703">
        <w:rPr>
          <w:lang w:val="en-GB"/>
        </w:rPr>
        <w:t>due to heat electrification</w:t>
      </w:r>
      <w:r w:rsidR="00CD3BBE">
        <w:rPr>
          <w:lang w:val="en-GB"/>
        </w:rPr>
        <w:t xml:space="preserve"> reaches </w:t>
      </w:r>
      <w:r w:rsidR="00855A49">
        <w:rPr>
          <w:lang w:val="en-GB"/>
        </w:rPr>
        <w:t>100 to 230 TWh in 2050</w:t>
      </w:r>
      <w:r w:rsidR="00976BAD">
        <w:rPr>
          <w:lang w:val="en-GB"/>
        </w:rPr>
        <w:t>, with peak</w:t>
      </w:r>
      <w:r w:rsidR="008F0703">
        <w:rPr>
          <w:lang w:val="en-GB"/>
        </w:rPr>
        <w:t xml:space="preserve"> electricity </w:t>
      </w:r>
      <w:r w:rsidR="00976BAD">
        <w:rPr>
          <w:lang w:val="en-GB"/>
        </w:rPr>
        <w:t xml:space="preserve">demands of </w:t>
      </w:r>
      <w:r w:rsidR="00F24208">
        <w:rPr>
          <w:lang w:val="en-GB"/>
        </w:rPr>
        <w:t>17 to 86 GW.</w:t>
      </w:r>
      <w:r w:rsidR="008A0779">
        <w:rPr>
          <w:lang w:val="en-GB"/>
        </w:rPr>
        <w:t xml:space="preserve"> To put this into context, the</w:t>
      </w:r>
      <w:r w:rsidR="00A07DAE">
        <w:rPr>
          <w:lang w:val="en-GB"/>
        </w:rPr>
        <w:t xml:space="preserve"> current annual</w:t>
      </w:r>
      <w:r w:rsidR="008A0779">
        <w:rPr>
          <w:lang w:val="en-GB"/>
        </w:rPr>
        <w:t xml:space="preserve"> peak electricity demand in the UK </w:t>
      </w:r>
      <w:r w:rsidR="00A07DAE">
        <w:rPr>
          <w:lang w:val="en-GB"/>
        </w:rPr>
        <w:t>is about 50 GW.</w:t>
      </w:r>
      <w:r w:rsidR="00E67344">
        <w:rPr>
          <w:lang w:val="en-GB"/>
        </w:rPr>
        <w:t xml:space="preserve"> </w:t>
      </w:r>
      <w:r w:rsidR="00D02758">
        <w:rPr>
          <w:lang w:val="en-GB"/>
        </w:rPr>
        <w:t>On the other hand</w:t>
      </w:r>
      <w:r w:rsidR="00E67344">
        <w:rPr>
          <w:lang w:val="en-GB"/>
        </w:rPr>
        <w:t>, CHP</w:t>
      </w:r>
      <w:r w:rsidR="00F36E5F">
        <w:rPr>
          <w:lang w:val="en-GB"/>
        </w:rPr>
        <w:t xml:space="preserve"> sy</w:t>
      </w:r>
      <w:r w:rsidR="00D02758">
        <w:rPr>
          <w:lang w:val="en-GB"/>
        </w:rPr>
        <w:t>s</w:t>
      </w:r>
      <w:r w:rsidR="00F36E5F">
        <w:rPr>
          <w:lang w:val="en-GB"/>
        </w:rPr>
        <w:t>tem</w:t>
      </w:r>
      <w:r w:rsidR="00E67344">
        <w:rPr>
          <w:lang w:val="en-GB"/>
        </w:rPr>
        <w:t xml:space="preserve">s </w:t>
      </w:r>
      <w:r w:rsidR="00D02758">
        <w:rPr>
          <w:lang w:val="en-GB"/>
        </w:rPr>
        <w:t>co-</w:t>
      </w:r>
      <w:r w:rsidR="00E67344">
        <w:rPr>
          <w:lang w:val="en-GB"/>
        </w:rPr>
        <w:t xml:space="preserve">generate </w:t>
      </w:r>
      <w:r w:rsidR="009D7142">
        <w:rPr>
          <w:lang w:val="en-GB"/>
        </w:rPr>
        <w:t xml:space="preserve">a maximum of </w:t>
      </w:r>
      <w:r w:rsidR="00A81F79">
        <w:rPr>
          <w:lang w:val="en-GB"/>
        </w:rPr>
        <w:t>8</w:t>
      </w:r>
      <w:r w:rsidR="00730A80">
        <w:rPr>
          <w:lang w:val="en-GB"/>
        </w:rPr>
        <w:t xml:space="preserve"> to 15 GW of </w:t>
      </w:r>
      <w:r w:rsidR="000F6374">
        <w:rPr>
          <w:lang w:val="en-GB"/>
        </w:rPr>
        <w:t>electricity</w:t>
      </w:r>
      <w:r w:rsidR="00730A80">
        <w:rPr>
          <w:lang w:val="en-GB"/>
        </w:rPr>
        <w:t xml:space="preserve"> in 2030</w:t>
      </w:r>
      <w:r w:rsidR="004E3652">
        <w:rPr>
          <w:lang w:val="en-GB"/>
        </w:rPr>
        <w:t xml:space="preserve">, and </w:t>
      </w:r>
      <w:r w:rsidR="000F6374">
        <w:rPr>
          <w:lang w:val="en-GB"/>
        </w:rPr>
        <w:t>19 to 47 TWh annually.</w:t>
      </w:r>
    </w:p>
    <w:p w14:paraId="194A874B" w14:textId="77777777" w:rsidR="0077166D" w:rsidRDefault="00841994" w:rsidP="004E57C5">
      <w:pPr>
        <w:pStyle w:val="Els-body-text"/>
        <w:rPr>
          <w:lang w:val="en-GB"/>
        </w:rPr>
      </w:pPr>
      <w:r>
        <w:rPr>
          <w:lang w:val="en-GB"/>
        </w:rPr>
        <w:t>The district heating sector is a good indicator for the interaction between heating and power sectors, as both heat pumps and CHP</w:t>
      </w:r>
      <w:r w:rsidR="00F36E5F">
        <w:rPr>
          <w:lang w:val="en-GB"/>
        </w:rPr>
        <w:t xml:space="preserve"> system</w:t>
      </w:r>
      <w:r>
        <w:rPr>
          <w:lang w:val="en-GB"/>
        </w:rPr>
        <w:t>s are utilised</w:t>
      </w:r>
      <w:r w:rsidR="000C118A">
        <w:rPr>
          <w:lang w:val="en-GB"/>
        </w:rPr>
        <w:t xml:space="preserve"> and can satisfy the same heat demand</w:t>
      </w:r>
      <w:r>
        <w:rPr>
          <w:lang w:val="en-GB"/>
        </w:rPr>
        <w:t>. CHP</w:t>
      </w:r>
      <w:r w:rsidR="00F36E5F">
        <w:rPr>
          <w:lang w:val="en-GB"/>
        </w:rPr>
        <w:t xml:space="preserve"> system</w:t>
      </w:r>
      <w:r>
        <w:rPr>
          <w:lang w:val="en-GB"/>
        </w:rPr>
        <w:t xml:space="preserve">s </w:t>
      </w:r>
      <w:r w:rsidR="000024ED">
        <w:rPr>
          <w:lang w:val="en-GB"/>
        </w:rPr>
        <w:t xml:space="preserve">are primarily used during times of high system electricity demand, while heat pumps </w:t>
      </w:r>
      <w:r w:rsidR="00213C32">
        <w:rPr>
          <w:lang w:val="en-GB"/>
        </w:rPr>
        <w:t xml:space="preserve">primarily operate at </w:t>
      </w:r>
      <w:r w:rsidR="00D06C19">
        <w:rPr>
          <w:lang w:val="en-GB"/>
        </w:rPr>
        <w:t>off-peak times</w:t>
      </w:r>
      <w:r w:rsidR="003D0EEC">
        <w:rPr>
          <w:lang w:val="en-GB"/>
        </w:rPr>
        <w:t>, and at times with a high availability of renewable energy technologies</w:t>
      </w:r>
      <w:r w:rsidR="00D06C19">
        <w:rPr>
          <w:lang w:val="en-GB"/>
        </w:rPr>
        <w:t xml:space="preserve">. </w:t>
      </w:r>
    </w:p>
    <w:p w14:paraId="107E4F34" w14:textId="1227BB56" w:rsidR="00604D44" w:rsidRPr="004E57C5" w:rsidRDefault="00D06C19" w:rsidP="004E57C5">
      <w:pPr>
        <w:pStyle w:val="Els-body-text"/>
        <w:rPr>
          <w:lang w:val="en-GB"/>
        </w:rPr>
      </w:pPr>
      <w:r>
        <w:rPr>
          <w:lang w:val="en-GB"/>
        </w:rPr>
        <w:t xml:space="preserve">Additionally, </w:t>
      </w:r>
      <w:r w:rsidR="000A6BC6">
        <w:rPr>
          <w:lang w:val="en-GB"/>
        </w:rPr>
        <w:t xml:space="preserve">31 to </w:t>
      </w:r>
      <w:r w:rsidR="002E0B50">
        <w:rPr>
          <w:lang w:val="en-GB"/>
        </w:rPr>
        <w:t>136 GWh of</w:t>
      </w:r>
      <w:r>
        <w:rPr>
          <w:lang w:val="en-GB"/>
        </w:rPr>
        <w:t xml:space="preserve"> TES capacity is deployed</w:t>
      </w:r>
      <w:r w:rsidR="002E0B50">
        <w:rPr>
          <w:lang w:val="en-GB"/>
        </w:rPr>
        <w:t xml:space="preserve"> for district heating alone</w:t>
      </w:r>
      <w:r w:rsidR="00F440F2">
        <w:rPr>
          <w:lang w:val="en-GB"/>
        </w:rPr>
        <w:t xml:space="preserve">, which allows shifting electricity demand further. This is especially valuable </w:t>
      </w:r>
      <w:r w:rsidR="00C9304E">
        <w:rPr>
          <w:lang w:val="en-GB"/>
        </w:rPr>
        <w:t>towards the end of the time horizon when the share of CHP</w:t>
      </w:r>
      <w:r w:rsidR="00F36E5F">
        <w:rPr>
          <w:lang w:val="en-GB"/>
        </w:rPr>
        <w:t xml:space="preserve"> system</w:t>
      </w:r>
      <w:r w:rsidR="00C9304E">
        <w:rPr>
          <w:lang w:val="en-GB"/>
        </w:rPr>
        <w:t>s in the system is lower.</w:t>
      </w:r>
    </w:p>
    <w:p w14:paraId="4C6CCA19" w14:textId="43F1C059" w:rsidR="003A2B3C" w:rsidRDefault="003A2B3C" w:rsidP="008D2649">
      <w:pPr>
        <w:pStyle w:val="Els-1storder-head"/>
        <w:rPr>
          <w:lang w:val="en-GB"/>
        </w:rPr>
      </w:pPr>
      <w:r>
        <w:rPr>
          <w:lang w:val="en-GB"/>
        </w:rPr>
        <w:lastRenderedPageBreak/>
        <w:t>Conclusions</w:t>
      </w:r>
    </w:p>
    <w:p w14:paraId="6C1B2493" w14:textId="0DC41BCE" w:rsidR="003A2B3C" w:rsidRDefault="003764BA" w:rsidP="003A2B3C">
      <w:pPr>
        <w:pStyle w:val="Els-body-text"/>
        <w:rPr>
          <w:lang w:val="en-GB"/>
        </w:rPr>
      </w:pPr>
      <w:r>
        <w:rPr>
          <w:lang w:val="en-GB"/>
        </w:rPr>
        <w:t xml:space="preserve">Optimal </w:t>
      </w:r>
      <w:r w:rsidR="004F55C8">
        <w:rPr>
          <w:lang w:val="en-GB"/>
        </w:rPr>
        <w:t xml:space="preserve">whole-energy system decarbonisation pathways for the UK have been studied using an integrated energy system optimisation model </w:t>
      </w:r>
      <w:r w:rsidR="003338A5">
        <w:rPr>
          <w:lang w:val="en-GB"/>
        </w:rPr>
        <w:t>that explicitly considers the heating, electricity</w:t>
      </w:r>
      <w:r w:rsidR="00F44926">
        <w:rPr>
          <w:lang w:val="en-GB"/>
        </w:rPr>
        <w:t>,</w:t>
      </w:r>
      <w:r w:rsidR="003338A5">
        <w:rPr>
          <w:lang w:val="en-GB"/>
        </w:rPr>
        <w:t xml:space="preserve"> and hydrogen sectors, as well as </w:t>
      </w:r>
      <w:r w:rsidR="00F44926">
        <w:rPr>
          <w:lang w:val="en-GB"/>
        </w:rPr>
        <w:t>negative emission technologies</w:t>
      </w:r>
      <w:r w:rsidR="003338A5">
        <w:rPr>
          <w:lang w:val="en-GB"/>
        </w:rPr>
        <w:t xml:space="preserve">. </w:t>
      </w:r>
      <w:r w:rsidR="00825D11">
        <w:rPr>
          <w:lang w:val="en-GB"/>
        </w:rPr>
        <w:t>Both long-term investment decision</w:t>
      </w:r>
      <w:r w:rsidR="00C41832">
        <w:rPr>
          <w:lang w:val="en-GB"/>
        </w:rPr>
        <w:t>s</w:t>
      </w:r>
      <w:r w:rsidR="00825D11">
        <w:rPr>
          <w:lang w:val="en-GB"/>
        </w:rPr>
        <w:t xml:space="preserve"> and short-term dispatch schedules </w:t>
      </w:r>
      <w:r w:rsidR="00D6138E">
        <w:rPr>
          <w:lang w:val="en-GB"/>
        </w:rPr>
        <w:t>were</w:t>
      </w:r>
      <w:r w:rsidR="00825D11">
        <w:rPr>
          <w:lang w:val="en-GB"/>
        </w:rPr>
        <w:t xml:space="preserve"> optimised simultaneously.</w:t>
      </w:r>
      <w:r w:rsidR="00D6138E">
        <w:rPr>
          <w:lang w:val="en-GB"/>
        </w:rPr>
        <w:t xml:space="preserve"> A Monte Carlo approach was used to account for uncertainties in key model input parameters, such as fuel costs and capital costs of key technologies.</w:t>
      </w:r>
    </w:p>
    <w:p w14:paraId="292BE8A2" w14:textId="2A219A4C" w:rsidR="001B2D1B" w:rsidRDefault="00EE1256" w:rsidP="003A2B3C">
      <w:pPr>
        <w:pStyle w:val="Els-body-text"/>
        <w:rPr>
          <w:lang w:val="en-GB"/>
        </w:rPr>
      </w:pPr>
      <w:r>
        <w:rPr>
          <w:lang w:val="en-GB"/>
        </w:rPr>
        <w:t xml:space="preserve">Heat pumps play a key role in the energy system transition, supplying </w:t>
      </w:r>
      <w:r w:rsidR="00170D66">
        <w:rPr>
          <w:lang w:val="en-GB"/>
        </w:rPr>
        <w:t xml:space="preserve">40 to 80 % of all heat in 2050. </w:t>
      </w:r>
      <w:r w:rsidR="00626E86">
        <w:rPr>
          <w:lang w:val="en-GB"/>
        </w:rPr>
        <w:t>The degree of deployment mainly depends on the natural gas price</w:t>
      </w:r>
      <w:r w:rsidR="00024997">
        <w:rPr>
          <w:lang w:val="en-GB"/>
        </w:rPr>
        <w:t xml:space="preserve">, though especially for low-temperature industrial heat </w:t>
      </w:r>
      <w:r w:rsidR="000D6B3F">
        <w:rPr>
          <w:lang w:val="en-GB"/>
        </w:rPr>
        <w:t>deployment</w:t>
      </w:r>
      <w:r w:rsidR="00024997">
        <w:rPr>
          <w:lang w:val="en-GB"/>
        </w:rPr>
        <w:t xml:space="preserve"> is consistently high.</w:t>
      </w:r>
      <w:r w:rsidR="000D6B3F">
        <w:rPr>
          <w:lang w:val="en-GB"/>
        </w:rPr>
        <w:t xml:space="preserve"> CHP</w:t>
      </w:r>
      <w:r w:rsidR="00F36E5F">
        <w:rPr>
          <w:lang w:val="en-GB"/>
        </w:rPr>
        <w:t xml:space="preserve"> system</w:t>
      </w:r>
      <w:r w:rsidR="000D6B3F">
        <w:rPr>
          <w:lang w:val="en-GB"/>
        </w:rPr>
        <w:t xml:space="preserve">s on the other hand </w:t>
      </w:r>
      <w:r w:rsidR="00E62D3D">
        <w:rPr>
          <w:lang w:val="en-GB"/>
        </w:rPr>
        <w:t>are</w:t>
      </w:r>
      <w:r w:rsidR="000D6B3F">
        <w:rPr>
          <w:lang w:val="en-GB"/>
        </w:rPr>
        <w:t xml:space="preserve"> mainly useful </w:t>
      </w:r>
      <w:r w:rsidR="00E62D3D">
        <w:rPr>
          <w:lang w:val="en-GB"/>
        </w:rPr>
        <w:t>during</w:t>
      </w:r>
      <w:r w:rsidR="000D6B3F">
        <w:rPr>
          <w:lang w:val="en-GB"/>
        </w:rPr>
        <w:t xml:space="preserve"> the transition</w:t>
      </w:r>
      <w:r w:rsidR="00900491">
        <w:rPr>
          <w:lang w:val="en-GB"/>
        </w:rPr>
        <w:t>, with utilisation peaking in 2030 before</w:t>
      </w:r>
      <w:r w:rsidR="008C1764">
        <w:rPr>
          <w:lang w:val="en-GB"/>
        </w:rPr>
        <w:t xml:space="preserve"> then</w:t>
      </w:r>
      <w:r w:rsidR="00900491">
        <w:rPr>
          <w:lang w:val="en-GB"/>
        </w:rPr>
        <w:t xml:space="preserve"> declining again. </w:t>
      </w:r>
      <w:r w:rsidR="00364939">
        <w:rPr>
          <w:lang w:val="en-GB"/>
        </w:rPr>
        <w:t xml:space="preserve">District heating </w:t>
      </w:r>
      <w:r w:rsidR="001B2D1B">
        <w:rPr>
          <w:lang w:val="en-GB"/>
        </w:rPr>
        <w:t>is</w:t>
      </w:r>
      <w:r w:rsidR="00364939">
        <w:rPr>
          <w:lang w:val="en-GB"/>
        </w:rPr>
        <w:t xml:space="preserve"> consistently high</w:t>
      </w:r>
      <w:r w:rsidR="001B2D1B">
        <w:rPr>
          <w:lang w:val="en-GB"/>
        </w:rPr>
        <w:t>ly</w:t>
      </w:r>
      <w:r w:rsidR="00364939">
        <w:rPr>
          <w:lang w:val="en-GB"/>
        </w:rPr>
        <w:t xml:space="preserve"> deplo</w:t>
      </w:r>
      <w:r w:rsidR="001B2D1B">
        <w:rPr>
          <w:lang w:val="en-GB"/>
        </w:rPr>
        <w:t>yed.</w:t>
      </w:r>
    </w:p>
    <w:p w14:paraId="152C18F2" w14:textId="72F0F807" w:rsidR="00EE1256" w:rsidRPr="003A2B3C" w:rsidRDefault="001B2D1B" w:rsidP="003A2B3C">
      <w:pPr>
        <w:pStyle w:val="Els-body-text"/>
        <w:rPr>
          <w:lang w:val="en-GB"/>
        </w:rPr>
      </w:pPr>
      <w:r>
        <w:rPr>
          <w:lang w:val="en-GB"/>
        </w:rPr>
        <w:t>Heat pumps and CHP</w:t>
      </w:r>
      <w:r w:rsidR="00F36E5F">
        <w:rPr>
          <w:lang w:val="en-GB"/>
        </w:rPr>
        <w:t xml:space="preserve"> system</w:t>
      </w:r>
      <w:r>
        <w:rPr>
          <w:lang w:val="en-GB"/>
        </w:rPr>
        <w:t>s result in a significant integration of heating and power sectors</w:t>
      </w:r>
      <w:r w:rsidR="00386B54">
        <w:rPr>
          <w:lang w:val="en-GB"/>
        </w:rPr>
        <w:t xml:space="preserve">. District heating </w:t>
      </w:r>
      <w:r w:rsidR="00523024">
        <w:rPr>
          <w:lang w:val="en-GB"/>
        </w:rPr>
        <w:t>networks</w:t>
      </w:r>
      <w:r w:rsidR="00386B54">
        <w:rPr>
          <w:lang w:val="en-GB"/>
        </w:rPr>
        <w:t xml:space="preserve"> using both, as well as TES, provide valuable flexibility.</w:t>
      </w:r>
      <w:r>
        <w:rPr>
          <w:lang w:val="en-GB"/>
        </w:rPr>
        <w:t xml:space="preserve"> </w:t>
      </w:r>
    </w:p>
    <w:p w14:paraId="08C42D31" w14:textId="6F19CDDD" w:rsidR="00B37A64" w:rsidRDefault="00B37A64" w:rsidP="0010163E">
      <w:pPr>
        <w:pStyle w:val="Els-1storder-head"/>
        <w:numPr>
          <w:ilvl w:val="0"/>
          <w:numId w:val="0"/>
        </w:numPr>
        <w:rPr>
          <w:lang w:val="en-GB"/>
        </w:rPr>
      </w:pPr>
      <w:r>
        <w:rPr>
          <w:lang w:val="en-GB"/>
        </w:rPr>
        <w:t>Acknowledgements</w:t>
      </w:r>
    </w:p>
    <w:p w14:paraId="211421DF" w14:textId="3C9BBA27" w:rsidR="00A719F9" w:rsidRPr="00A719F9" w:rsidRDefault="007E64EA" w:rsidP="00A719F9">
      <w:pPr>
        <w:pStyle w:val="Els-body-text"/>
        <w:rPr>
          <w:lang w:val="en-GB"/>
        </w:rPr>
      </w:pPr>
      <w:r w:rsidRPr="007E64EA">
        <w:rPr>
          <w:lang w:val="en-GB"/>
        </w:rPr>
        <w:t xml:space="preserve">This work was supported by the UK Engineering and Physical Sciences Research Council (EPSRC) [grant numbers EP/R045518/1, EP/V042149/1, and EP/T033940/1]. </w:t>
      </w:r>
      <w:proofErr w:type="gramStart"/>
      <w:r w:rsidRPr="007E64EA">
        <w:rPr>
          <w:lang w:val="en-GB"/>
        </w:rPr>
        <w:t>For the purpose of</w:t>
      </w:r>
      <w:proofErr w:type="gramEnd"/>
      <w:r w:rsidRPr="007E64EA">
        <w:rPr>
          <w:lang w:val="en-GB"/>
        </w:rPr>
        <w:t xml:space="preserve"> Open Access, the authors have applied a CC BY public copyright licence to any Author Accepted Manuscript version arising from this submission.</w:t>
      </w:r>
    </w:p>
    <w:p w14:paraId="144DE6BF" w14:textId="608D0AD6" w:rsidR="008D2649" w:rsidRPr="00153119" w:rsidRDefault="008D2649" w:rsidP="008D2649">
      <w:pPr>
        <w:pStyle w:val="Els-reference-head"/>
        <w:rPr>
          <w:lang w:val="en-GB"/>
        </w:rPr>
      </w:pPr>
      <w:r w:rsidRPr="00153119">
        <w:rPr>
          <w:lang w:val="en-GB"/>
        </w:rPr>
        <w:t>References</w:t>
      </w:r>
    </w:p>
    <w:p w14:paraId="2F7993D9" w14:textId="2277DC73" w:rsidR="00FF6353" w:rsidRDefault="00FF6353" w:rsidP="008D2649">
      <w:pPr>
        <w:pStyle w:val="Els-referenceno-number"/>
      </w:pPr>
      <w:r w:rsidRPr="00355549">
        <w:t>M. Aunedi, M. Yliruka</w:t>
      </w:r>
      <w:r w:rsidR="00355549" w:rsidRPr="00355549">
        <w:t>, S. Deghan, A</w:t>
      </w:r>
      <w:r w:rsidR="00355549">
        <w:t xml:space="preserve">.M. Pantaleo, N. Shah, G. Strbac, 2022, </w:t>
      </w:r>
      <w:r w:rsidR="00461261" w:rsidRPr="00461261">
        <w:t>Multi-model assessment of heat decarbonisation options in the UK using electricity and hydrogen</w:t>
      </w:r>
      <w:r w:rsidR="00461261">
        <w:t>, Renewable Energy, 194, 1261-1276</w:t>
      </w:r>
      <w:r w:rsidR="00DB6E36">
        <w:t xml:space="preserve"> </w:t>
      </w:r>
    </w:p>
    <w:p w14:paraId="214E336E" w14:textId="6B50E8AA" w:rsidR="00F50FDA" w:rsidRPr="00355549" w:rsidRDefault="001B725A" w:rsidP="008D2649">
      <w:pPr>
        <w:pStyle w:val="Els-referenceno-number"/>
      </w:pPr>
      <w:r>
        <w:t xml:space="preserve">V.M. Charitopoulos, M. Fajardy, C.K. Chyong, D.M. Reiner, 2023, </w:t>
      </w:r>
      <w:r w:rsidR="00627AF1" w:rsidRPr="00627AF1">
        <w:t>The impact of 100% electrification of domestic heat in Great Britain</w:t>
      </w:r>
      <w:r w:rsidR="00627AF1">
        <w:t xml:space="preserve">, iScience, 26, 11, 108239 </w:t>
      </w:r>
    </w:p>
    <w:p w14:paraId="03849581" w14:textId="3FEABA6A" w:rsidR="00A10FBC" w:rsidRDefault="00A10FBC" w:rsidP="008D2649">
      <w:pPr>
        <w:pStyle w:val="Els-referenceno-number"/>
      </w:pPr>
      <w:r>
        <w:t xml:space="preserve">Department for Business, Energy &amp; Industrial Strategy (BEIS), 2018, </w:t>
      </w:r>
      <w:r w:rsidR="0053245C">
        <w:t>Clean Growth – Transforming Heating. Overview of Current Evidence</w:t>
      </w:r>
      <w:r w:rsidR="00411513">
        <w:t>.</w:t>
      </w:r>
    </w:p>
    <w:p w14:paraId="1A9CC743" w14:textId="76EB76B4" w:rsidR="00F43CF6" w:rsidRDefault="00F43CF6" w:rsidP="008D2649">
      <w:pPr>
        <w:pStyle w:val="Els-referenceno-number"/>
      </w:pPr>
      <w:r>
        <w:t xml:space="preserve">Department for Business, Energy &amp; Industrial Strategy (BEIS), 2021, </w:t>
      </w:r>
      <w:r w:rsidR="00E3222D" w:rsidRPr="00E3222D">
        <w:t>Opportunity areas for district heating networks in the UK</w:t>
      </w:r>
      <w:r w:rsidR="00411513">
        <w:t>.</w:t>
      </w:r>
      <w:r w:rsidR="00E3222D">
        <w:t xml:space="preserve"> </w:t>
      </w:r>
    </w:p>
    <w:p w14:paraId="3CB2E394" w14:textId="4235C4A3" w:rsidR="00D00722" w:rsidRDefault="00D00722" w:rsidP="008D2649">
      <w:pPr>
        <w:pStyle w:val="Els-referenceno-number"/>
      </w:pPr>
      <w:r w:rsidRPr="00D00722">
        <w:t>J. Dixon, K. Bell, S. Br</w:t>
      </w:r>
      <w:r>
        <w:t xml:space="preserve">ush, 2022, </w:t>
      </w:r>
      <w:r w:rsidR="00BC157A" w:rsidRPr="00BC157A">
        <w:t>Which way to net zero? a comparative analysis of seven UK 2050 decarbonisation pathways</w:t>
      </w:r>
      <w:r w:rsidR="00BC157A">
        <w:t>, Renewable and Sustainable Energy Transition, 2, 100016</w:t>
      </w:r>
      <w:r w:rsidR="001D3B28">
        <w:t xml:space="preserve"> </w:t>
      </w:r>
    </w:p>
    <w:p w14:paraId="1BFD9222" w14:textId="29CCAE8B" w:rsidR="00E728D1" w:rsidRDefault="00E728D1" w:rsidP="008D2649">
      <w:pPr>
        <w:pStyle w:val="Els-referenceno-number"/>
      </w:pPr>
      <w:r>
        <w:t xml:space="preserve">Helen, </w:t>
      </w:r>
      <w:r w:rsidR="0048256D">
        <w:t xml:space="preserve">2023, </w:t>
      </w:r>
      <w:r>
        <w:t xml:space="preserve">District heat prices, </w:t>
      </w:r>
      <w:hyperlink r:id="rId11" w:history="1">
        <w:r w:rsidR="008B2D5C" w:rsidRPr="00B72A4A">
          <w:rPr>
            <w:rStyle w:val="Hyperlink"/>
          </w:rPr>
          <w:t>https://www.helen.fi/en/heating/district-heat/district-heat-prices</w:t>
        </w:r>
      </w:hyperlink>
      <w:r w:rsidR="008B2D5C">
        <w:t xml:space="preserve"> </w:t>
      </w:r>
    </w:p>
    <w:p w14:paraId="1F24377D" w14:textId="23C574C3" w:rsidR="00CD20C5" w:rsidRPr="00D00722" w:rsidRDefault="00CD20C5" w:rsidP="008D2649">
      <w:pPr>
        <w:pStyle w:val="Els-referenceno-number"/>
      </w:pPr>
      <w:r>
        <w:t xml:space="preserve">P. Hoseinpoori, A.V. Olympios, C.N. Markides, J. Woods, N. Shah, 2022, </w:t>
      </w:r>
      <w:r w:rsidRPr="00CD20C5">
        <w:t>A whole-system approach for quantifying the value of smart electrification for decarbonising heating in buildings</w:t>
      </w:r>
      <w:r>
        <w:t xml:space="preserve">, Energy Conversion and Management, 268, </w:t>
      </w:r>
      <w:r w:rsidR="00325004">
        <w:t xml:space="preserve">115952 </w:t>
      </w:r>
    </w:p>
    <w:p w14:paraId="295ED619" w14:textId="691D249E" w:rsidR="00354E35" w:rsidRDefault="00354E35" w:rsidP="008D2649">
      <w:pPr>
        <w:pStyle w:val="Els-referenceno-number"/>
      </w:pPr>
      <w:r w:rsidRPr="00354E35">
        <w:t>M. Mersch, C.N. Markides, N. Mac Do</w:t>
      </w:r>
      <w:r>
        <w:t>well, 2023</w:t>
      </w:r>
      <w:r w:rsidR="001561D0">
        <w:t>,</w:t>
      </w:r>
      <w:r>
        <w:t xml:space="preserve"> </w:t>
      </w:r>
      <w:r w:rsidR="001561D0" w:rsidRPr="001561D0">
        <w:t>The impact of the energy crisis on the UK’s net-zero transition</w:t>
      </w:r>
      <w:r w:rsidR="001561D0">
        <w:t xml:space="preserve">, iScience, </w:t>
      </w:r>
      <w:r w:rsidR="00345793">
        <w:t xml:space="preserve">26, 4, 106491 </w:t>
      </w:r>
    </w:p>
    <w:p w14:paraId="224DDE89" w14:textId="1E12C20D" w:rsidR="00F161D7" w:rsidRDefault="00F161D7" w:rsidP="008D2649">
      <w:pPr>
        <w:pStyle w:val="Els-referenceno-number"/>
      </w:pPr>
      <w:r>
        <w:t xml:space="preserve">A.V. Olympios, A.M. Pantaleo, P. Sapin, C.N. Markides, 2020, </w:t>
      </w:r>
      <w:r w:rsidR="00D86C3F" w:rsidRPr="00D86C3F">
        <w:t>On the value of combined heat and power (CHP) systems and heat pumps in centralised and distributed heating systems: Lessons from multi-fidelity modelling approaches</w:t>
      </w:r>
      <w:r w:rsidR="00D86C3F">
        <w:t>, Applied Energy, 274, 115261</w:t>
      </w:r>
      <w:r w:rsidR="00203636">
        <w:t xml:space="preserve"> </w:t>
      </w:r>
    </w:p>
    <w:p w14:paraId="562C0596" w14:textId="5136C7DA" w:rsidR="00D23AFC" w:rsidRDefault="00D23AFC" w:rsidP="008D2649">
      <w:pPr>
        <w:pStyle w:val="Els-referenceno-number"/>
      </w:pPr>
      <w:r>
        <w:t xml:space="preserve">A.V. Olympios, M. Mersch, P. Sapin, A.M. Pantaleo, C.N. Markides, </w:t>
      </w:r>
      <w:r w:rsidR="000F2391">
        <w:t xml:space="preserve">2021, </w:t>
      </w:r>
      <w:r w:rsidR="000F2391" w:rsidRPr="000F2391">
        <w:t>Library of price and performance data of domestic and commercial technologies for low-carbon energy systems</w:t>
      </w:r>
      <w:r w:rsidR="000F2391">
        <w:t xml:space="preserve">, Zenodo, </w:t>
      </w:r>
      <w:hyperlink r:id="rId12" w:history="1">
        <w:r w:rsidR="000F2391" w:rsidRPr="00B72A4A">
          <w:rPr>
            <w:rStyle w:val="Hyperlink"/>
          </w:rPr>
          <w:t>https://zenodo.org/doi/10.5281/zenodo.4692648</w:t>
        </w:r>
      </w:hyperlink>
      <w:r w:rsidR="000F2391">
        <w:t xml:space="preserve"> </w:t>
      </w:r>
    </w:p>
    <w:p w14:paraId="29AE8CF4" w14:textId="4313F7D2" w:rsidR="00B2384F" w:rsidRDefault="00B2384F" w:rsidP="008D2649">
      <w:pPr>
        <w:pStyle w:val="Els-referenceno-number"/>
      </w:pPr>
      <w:r>
        <w:t xml:space="preserve">A.V. Olympios, M. Aunedi, M. Mersch, A. </w:t>
      </w:r>
      <w:r w:rsidR="00E045BF" w:rsidRPr="00E045BF">
        <w:t>Krishnaswamy</w:t>
      </w:r>
      <w:r w:rsidR="00E045BF">
        <w:t xml:space="preserve">, C. Stollery, A.M. Pantaleo, P. Sapin, G. Strbac, C.N. Markides, 2022, </w:t>
      </w:r>
      <w:r w:rsidR="00B73AB5" w:rsidRPr="00B73AB5">
        <w:t>Delivering net-zero carbon heat: Technoeconomic and whole-system comparisons of domestic electricity- and hydrogen-driven technologies in the UK</w:t>
      </w:r>
      <w:r w:rsidR="00B73AB5">
        <w:t>, Energy Conversion and Management, 262, 115649</w:t>
      </w:r>
    </w:p>
    <w:p w14:paraId="144DE6C3" w14:textId="572F51CF" w:rsidR="008D2649" w:rsidRPr="00D5539D" w:rsidRDefault="009F01E4" w:rsidP="0016205C">
      <w:pPr>
        <w:pStyle w:val="Els-referenceno-number"/>
        <w:rPr>
          <w:spacing w:val="-2"/>
        </w:rPr>
      </w:pPr>
      <w:r w:rsidRPr="00D5539D">
        <w:rPr>
          <w:spacing w:val="-2"/>
        </w:rPr>
        <w:t xml:space="preserve">M. </w:t>
      </w:r>
      <w:r w:rsidR="00625AF0" w:rsidRPr="00D5539D">
        <w:rPr>
          <w:spacing w:val="-2"/>
        </w:rPr>
        <w:t xml:space="preserve">Pavičević, A. Mangipinto, W. Nijs, F. Lombardi, </w:t>
      </w:r>
      <w:r w:rsidR="00CC3BF0" w:rsidRPr="00D5539D">
        <w:rPr>
          <w:spacing w:val="-2"/>
        </w:rPr>
        <w:t xml:space="preserve">K. Kavvadias, J.P. Jiménez Navarro, </w:t>
      </w:r>
      <w:r w:rsidR="00743854" w:rsidRPr="00D5539D">
        <w:rPr>
          <w:spacing w:val="-2"/>
        </w:rPr>
        <w:t xml:space="preserve">E. Colombo, S. Qoilin, 2020, The potential of sector coupling in future European energy systems: Soft linking between the Dispa-SET and JRC-EU-TIMES models, Applied Energy, </w:t>
      </w:r>
      <w:r w:rsidR="00F00E72" w:rsidRPr="00D5539D">
        <w:rPr>
          <w:spacing w:val="-2"/>
        </w:rPr>
        <w:t>267,</w:t>
      </w:r>
      <w:r w:rsidR="00BC2A54" w:rsidRPr="00D5539D">
        <w:rPr>
          <w:spacing w:val="-2"/>
        </w:rPr>
        <w:t xml:space="preserve"> </w:t>
      </w:r>
      <w:r w:rsidR="00F00E72" w:rsidRPr="00D5539D">
        <w:rPr>
          <w:spacing w:val="-2"/>
        </w:rPr>
        <w:t>115100</w:t>
      </w:r>
    </w:p>
    <w:sectPr w:rsidR="008D2649" w:rsidRPr="00D5539D" w:rsidSect="008B0184">
      <w:headerReference w:type="even" r:id="rId13"/>
      <w:headerReference w:type="default" r:id="rId14"/>
      <w:head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4BA0D" w14:textId="77777777" w:rsidR="00084129" w:rsidRDefault="00084129">
      <w:r>
        <w:separator/>
      </w:r>
    </w:p>
  </w:endnote>
  <w:endnote w:type="continuationSeparator" w:id="0">
    <w:p w14:paraId="7375C10C" w14:textId="77777777" w:rsidR="00084129" w:rsidRDefault="00084129">
      <w:r>
        <w:continuationSeparator/>
      </w:r>
    </w:p>
  </w:endnote>
  <w:endnote w:type="continuationNotice" w:id="1">
    <w:p w14:paraId="36F5B40F" w14:textId="77777777" w:rsidR="00084129" w:rsidRDefault="000841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4C7EF" w14:textId="77777777" w:rsidR="00084129" w:rsidRDefault="00084129">
      <w:r>
        <w:separator/>
      </w:r>
    </w:p>
  </w:footnote>
  <w:footnote w:type="continuationSeparator" w:id="0">
    <w:p w14:paraId="376CF961" w14:textId="77777777" w:rsidR="00084129" w:rsidRDefault="00084129">
      <w:r>
        <w:continuationSeparator/>
      </w:r>
    </w:p>
  </w:footnote>
  <w:footnote w:type="continuationNotice" w:id="1">
    <w:p w14:paraId="438C6F46" w14:textId="77777777" w:rsidR="00084129" w:rsidRDefault="000841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64BECAE3" w:rsidR="00DD3D9E" w:rsidRDefault="00DD3D9E">
    <w:pPr>
      <w:pStyle w:val="Header"/>
      <w:tabs>
        <w:tab w:val="clear" w:pos="7200"/>
        <w:tab w:val="right" w:pos="7088"/>
      </w:tabs>
    </w:pPr>
    <w:r>
      <w:rPr>
        <w:rStyle w:val="PageNumber"/>
      </w:rPr>
      <w:tab/>
    </w:r>
    <w:r>
      <w:rPr>
        <w:rStyle w:val="PageNumber"/>
        <w:i/>
      </w:rPr>
      <w:tab/>
    </w:r>
    <w:r w:rsidR="00CC1829">
      <w:rPr>
        <w:i/>
      </w:rPr>
      <w:t>M. Mersch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3073BD51" w:rsidR="00DD3D9E" w:rsidRPr="000E7055" w:rsidRDefault="000E7055" w:rsidP="000E7055">
    <w:pPr>
      <w:pStyle w:val="Header"/>
    </w:pPr>
    <w:r w:rsidRPr="000E7055">
      <w:rPr>
        <w:i/>
      </w:rPr>
      <w:t>Electric Heat Pumps and Combined Heat and Power Systems for the Optimal Decarbonisation of the Integrated UK Energy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 w:numId="19" w16cid:durableId="799763482">
    <w:abstractNumId w:val="4"/>
  </w:num>
  <w:num w:numId="20" w16cid:durableId="17107652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7F1"/>
    <w:rsid w:val="000024ED"/>
    <w:rsid w:val="00010846"/>
    <w:rsid w:val="00024997"/>
    <w:rsid w:val="00024E1D"/>
    <w:rsid w:val="00025136"/>
    <w:rsid w:val="00043EBA"/>
    <w:rsid w:val="00045134"/>
    <w:rsid w:val="0005090F"/>
    <w:rsid w:val="00063E27"/>
    <w:rsid w:val="00075A06"/>
    <w:rsid w:val="000773EA"/>
    <w:rsid w:val="000808D4"/>
    <w:rsid w:val="0008347F"/>
    <w:rsid w:val="00084129"/>
    <w:rsid w:val="00086887"/>
    <w:rsid w:val="00090D0F"/>
    <w:rsid w:val="000A0520"/>
    <w:rsid w:val="000A6BC6"/>
    <w:rsid w:val="000B1745"/>
    <w:rsid w:val="000C118A"/>
    <w:rsid w:val="000C1CD2"/>
    <w:rsid w:val="000C3998"/>
    <w:rsid w:val="000C7B0A"/>
    <w:rsid w:val="000D283F"/>
    <w:rsid w:val="000D2F54"/>
    <w:rsid w:val="000D3D9B"/>
    <w:rsid w:val="000D66EB"/>
    <w:rsid w:val="000D6B3F"/>
    <w:rsid w:val="000D7422"/>
    <w:rsid w:val="000E104B"/>
    <w:rsid w:val="000E336B"/>
    <w:rsid w:val="000E7055"/>
    <w:rsid w:val="000F2391"/>
    <w:rsid w:val="000F6374"/>
    <w:rsid w:val="001007E0"/>
    <w:rsid w:val="0010163E"/>
    <w:rsid w:val="00107B66"/>
    <w:rsid w:val="00112F40"/>
    <w:rsid w:val="00122AF5"/>
    <w:rsid w:val="0012582F"/>
    <w:rsid w:val="0014644B"/>
    <w:rsid w:val="00153119"/>
    <w:rsid w:val="001561D0"/>
    <w:rsid w:val="001568E0"/>
    <w:rsid w:val="0016032F"/>
    <w:rsid w:val="0016205C"/>
    <w:rsid w:val="00162CD0"/>
    <w:rsid w:val="00166481"/>
    <w:rsid w:val="00170D66"/>
    <w:rsid w:val="0017122C"/>
    <w:rsid w:val="00172B31"/>
    <w:rsid w:val="001742AD"/>
    <w:rsid w:val="001760AC"/>
    <w:rsid w:val="001879F6"/>
    <w:rsid w:val="00193718"/>
    <w:rsid w:val="001A70F7"/>
    <w:rsid w:val="001B2D1B"/>
    <w:rsid w:val="001B59B8"/>
    <w:rsid w:val="001B725A"/>
    <w:rsid w:val="001B7435"/>
    <w:rsid w:val="001C0148"/>
    <w:rsid w:val="001C1354"/>
    <w:rsid w:val="001C2EDF"/>
    <w:rsid w:val="001C757E"/>
    <w:rsid w:val="001D3B28"/>
    <w:rsid w:val="001D6D2D"/>
    <w:rsid w:val="001F67BE"/>
    <w:rsid w:val="0020177B"/>
    <w:rsid w:val="00203636"/>
    <w:rsid w:val="0020390F"/>
    <w:rsid w:val="00203AEE"/>
    <w:rsid w:val="00205781"/>
    <w:rsid w:val="00211D59"/>
    <w:rsid w:val="0021291B"/>
    <w:rsid w:val="00212B36"/>
    <w:rsid w:val="00213C32"/>
    <w:rsid w:val="00214B5B"/>
    <w:rsid w:val="0025246E"/>
    <w:rsid w:val="00256EFF"/>
    <w:rsid w:val="00264926"/>
    <w:rsid w:val="00272449"/>
    <w:rsid w:val="00282B68"/>
    <w:rsid w:val="0028358D"/>
    <w:rsid w:val="002A72FE"/>
    <w:rsid w:val="002C1712"/>
    <w:rsid w:val="002C1C75"/>
    <w:rsid w:val="002C51D3"/>
    <w:rsid w:val="002C780A"/>
    <w:rsid w:val="002D58EC"/>
    <w:rsid w:val="002E0B50"/>
    <w:rsid w:val="002E27A3"/>
    <w:rsid w:val="002E5546"/>
    <w:rsid w:val="00300E7C"/>
    <w:rsid w:val="00313E98"/>
    <w:rsid w:val="00314170"/>
    <w:rsid w:val="003145FE"/>
    <w:rsid w:val="00317727"/>
    <w:rsid w:val="00322A93"/>
    <w:rsid w:val="00325004"/>
    <w:rsid w:val="003338A5"/>
    <w:rsid w:val="00334D16"/>
    <w:rsid w:val="00336C0F"/>
    <w:rsid w:val="0034018C"/>
    <w:rsid w:val="00345793"/>
    <w:rsid w:val="0034753F"/>
    <w:rsid w:val="003503EE"/>
    <w:rsid w:val="003510BC"/>
    <w:rsid w:val="00353423"/>
    <w:rsid w:val="00354E35"/>
    <w:rsid w:val="00355549"/>
    <w:rsid w:val="00357124"/>
    <w:rsid w:val="00357A6D"/>
    <w:rsid w:val="00363243"/>
    <w:rsid w:val="00364939"/>
    <w:rsid w:val="00365B1F"/>
    <w:rsid w:val="0036783E"/>
    <w:rsid w:val="00367E62"/>
    <w:rsid w:val="00371440"/>
    <w:rsid w:val="003721E6"/>
    <w:rsid w:val="003748F3"/>
    <w:rsid w:val="00375762"/>
    <w:rsid w:val="003764BA"/>
    <w:rsid w:val="00386B54"/>
    <w:rsid w:val="00386C2F"/>
    <w:rsid w:val="00386DE0"/>
    <w:rsid w:val="00393A5A"/>
    <w:rsid w:val="003958B5"/>
    <w:rsid w:val="003962B6"/>
    <w:rsid w:val="003A2B3C"/>
    <w:rsid w:val="003B12BF"/>
    <w:rsid w:val="003B2F40"/>
    <w:rsid w:val="003B3D8C"/>
    <w:rsid w:val="003B676B"/>
    <w:rsid w:val="003C10F3"/>
    <w:rsid w:val="003C3D97"/>
    <w:rsid w:val="003C4A71"/>
    <w:rsid w:val="003D048B"/>
    <w:rsid w:val="003D0EEC"/>
    <w:rsid w:val="003D1582"/>
    <w:rsid w:val="003D7E4C"/>
    <w:rsid w:val="003E41C2"/>
    <w:rsid w:val="003F07AC"/>
    <w:rsid w:val="003F1789"/>
    <w:rsid w:val="00404F4D"/>
    <w:rsid w:val="004056D4"/>
    <w:rsid w:val="00407F24"/>
    <w:rsid w:val="00411513"/>
    <w:rsid w:val="00415641"/>
    <w:rsid w:val="00417F32"/>
    <w:rsid w:val="00425D58"/>
    <w:rsid w:val="0043261B"/>
    <w:rsid w:val="004401CC"/>
    <w:rsid w:val="00443178"/>
    <w:rsid w:val="00454004"/>
    <w:rsid w:val="00456A9A"/>
    <w:rsid w:val="00461261"/>
    <w:rsid w:val="00463282"/>
    <w:rsid w:val="004718F9"/>
    <w:rsid w:val="0048256D"/>
    <w:rsid w:val="00484FBC"/>
    <w:rsid w:val="004921BD"/>
    <w:rsid w:val="0049772C"/>
    <w:rsid w:val="004B6778"/>
    <w:rsid w:val="004B6EFE"/>
    <w:rsid w:val="004B7FFB"/>
    <w:rsid w:val="004C6A47"/>
    <w:rsid w:val="004D1315"/>
    <w:rsid w:val="004E03FD"/>
    <w:rsid w:val="004E0BFF"/>
    <w:rsid w:val="004E3652"/>
    <w:rsid w:val="004E4309"/>
    <w:rsid w:val="004E535A"/>
    <w:rsid w:val="004E57C5"/>
    <w:rsid w:val="004E5C64"/>
    <w:rsid w:val="004F55C8"/>
    <w:rsid w:val="004F6BBC"/>
    <w:rsid w:val="004F76CD"/>
    <w:rsid w:val="00502E95"/>
    <w:rsid w:val="00507515"/>
    <w:rsid w:val="005179A5"/>
    <w:rsid w:val="005229C3"/>
    <w:rsid w:val="00523024"/>
    <w:rsid w:val="00526ED1"/>
    <w:rsid w:val="00531210"/>
    <w:rsid w:val="0053245C"/>
    <w:rsid w:val="00533B67"/>
    <w:rsid w:val="00552EEB"/>
    <w:rsid w:val="00555137"/>
    <w:rsid w:val="00556CC9"/>
    <w:rsid w:val="00562AD9"/>
    <w:rsid w:val="00580D57"/>
    <w:rsid w:val="005815E7"/>
    <w:rsid w:val="005A1661"/>
    <w:rsid w:val="005A3013"/>
    <w:rsid w:val="005B7942"/>
    <w:rsid w:val="005C289C"/>
    <w:rsid w:val="005C3659"/>
    <w:rsid w:val="005C45A9"/>
    <w:rsid w:val="005C4B4B"/>
    <w:rsid w:val="005C6C23"/>
    <w:rsid w:val="005C7BA9"/>
    <w:rsid w:val="005D5DC9"/>
    <w:rsid w:val="005E111A"/>
    <w:rsid w:val="005E28BB"/>
    <w:rsid w:val="005E485F"/>
    <w:rsid w:val="005E62EE"/>
    <w:rsid w:val="005F0894"/>
    <w:rsid w:val="00604D44"/>
    <w:rsid w:val="0062291A"/>
    <w:rsid w:val="00624C02"/>
    <w:rsid w:val="00625AF0"/>
    <w:rsid w:val="00626E86"/>
    <w:rsid w:val="00627AF1"/>
    <w:rsid w:val="00627F44"/>
    <w:rsid w:val="00640BC0"/>
    <w:rsid w:val="00641C33"/>
    <w:rsid w:val="0065182D"/>
    <w:rsid w:val="00661A30"/>
    <w:rsid w:val="00664AB1"/>
    <w:rsid w:val="00671941"/>
    <w:rsid w:val="006754A1"/>
    <w:rsid w:val="00682762"/>
    <w:rsid w:val="00687956"/>
    <w:rsid w:val="00690946"/>
    <w:rsid w:val="00692C2E"/>
    <w:rsid w:val="006A69BF"/>
    <w:rsid w:val="006B23DE"/>
    <w:rsid w:val="006B6FF4"/>
    <w:rsid w:val="006C08B2"/>
    <w:rsid w:val="006C3377"/>
    <w:rsid w:val="006C6E30"/>
    <w:rsid w:val="006D2B85"/>
    <w:rsid w:val="006F2BCE"/>
    <w:rsid w:val="006F3E5A"/>
    <w:rsid w:val="006F40DD"/>
    <w:rsid w:val="006F4297"/>
    <w:rsid w:val="00700388"/>
    <w:rsid w:val="00700594"/>
    <w:rsid w:val="00705727"/>
    <w:rsid w:val="00711DF4"/>
    <w:rsid w:val="007129DE"/>
    <w:rsid w:val="00713C86"/>
    <w:rsid w:val="00715A1F"/>
    <w:rsid w:val="0073062B"/>
    <w:rsid w:val="00730A80"/>
    <w:rsid w:val="007331DC"/>
    <w:rsid w:val="007366C1"/>
    <w:rsid w:val="00741F80"/>
    <w:rsid w:val="00742398"/>
    <w:rsid w:val="00742974"/>
    <w:rsid w:val="00743854"/>
    <w:rsid w:val="00747C07"/>
    <w:rsid w:val="00750A57"/>
    <w:rsid w:val="0075424C"/>
    <w:rsid w:val="00756087"/>
    <w:rsid w:val="0076085A"/>
    <w:rsid w:val="0077166D"/>
    <w:rsid w:val="00773476"/>
    <w:rsid w:val="00774841"/>
    <w:rsid w:val="00775A39"/>
    <w:rsid w:val="007826B9"/>
    <w:rsid w:val="00790E7A"/>
    <w:rsid w:val="0079774A"/>
    <w:rsid w:val="007A1D5A"/>
    <w:rsid w:val="007A326A"/>
    <w:rsid w:val="007B02E5"/>
    <w:rsid w:val="007C3A52"/>
    <w:rsid w:val="007D235E"/>
    <w:rsid w:val="007D70A1"/>
    <w:rsid w:val="007E24AE"/>
    <w:rsid w:val="007E64EA"/>
    <w:rsid w:val="007E701A"/>
    <w:rsid w:val="007F1EC5"/>
    <w:rsid w:val="007F4178"/>
    <w:rsid w:val="007F4DAA"/>
    <w:rsid w:val="00803B61"/>
    <w:rsid w:val="00811D4B"/>
    <w:rsid w:val="008132E8"/>
    <w:rsid w:val="00813504"/>
    <w:rsid w:val="00813831"/>
    <w:rsid w:val="00823407"/>
    <w:rsid w:val="00825AB8"/>
    <w:rsid w:val="00825D11"/>
    <w:rsid w:val="00827072"/>
    <w:rsid w:val="00841994"/>
    <w:rsid w:val="00844BD2"/>
    <w:rsid w:val="00847458"/>
    <w:rsid w:val="00854B3B"/>
    <w:rsid w:val="00855A49"/>
    <w:rsid w:val="00860707"/>
    <w:rsid w:val="00865082"/>
    <w:rsid w:val="008656A3"/>
    <w:rsid w:val="008658D3"/>
    <w:rsid w:val="0086743B"/>
    <w:rsid w:val="00867626"/>
    <w:rsid w:val="00870E80"/>
    <w:rsid w:val="008815DA"/>
    <w:rsid w:val="008815E1"/>
    <w:rsid w:val="00881B39"/>
    <w:rsid w:val="00883A4E"/>
    <w:rsid w:val="008845DB"/>
    <w:rsid w:val="00892CEB"/>
    <w:rsid w:val="008A0779"/>
    <w:rsid w:val="008A2ABF"/>
    <w:rsid w:val="008B0184"/>
    <w:rsid w:val="008B2D5C"/>
    <w:rsid w:val="008B330E"/>
    <w:rsid w:val="008B6AF8"/>
    <w:rsid w:val="008B7F1E"/>
    <w:rsid w:val="008C1764"/>
    <w:rsid w:val="008C3665"/>
    <w:rsid w:val="008C5D02"/>
    <w:rsid w:val="008C69AE"/>
    <w:rsid w:val="008D2649"/>
    <w:rsid w:val="008D741D"/>
    <w:rsid w:val="008E2C73"/>
    <w:rsid w:val="008F0703"/>
    <w:rsid w:val="008F519A"/>
    <w:rsid w:val="00900491"/>
    <w:rsid w:val="00900857"/>
    <w:rsid w:val="0090568D"/>
    <w:rsid w:val="00911023"/>
    <w:rsid w:val="009120E9"/>
    <w:rsid w:val="009125C9"/>
    <w:rsid w:val="009134D1"/>
    <w:rsid w:val="00913879"/>
    <w:rsid w:val="00913CB6"/>
    <w:rsid w:val="00917661"/>
    <w:rsid w:val="00917B53"/>
    <w:rsid w:val="009207D6"/>
    <w:rsid w:val="0092185C"/>
    <w:rsid w:val="00927988"/>
    <w:rsid w:val="00947108"/>
    <w:rsid w:val="00950562"/>
    <w:rsid w:val="00950834"/>
    <w:rsid w:val="00954096"/>
    <w:rsid w:val="00954DF2"/>
    <w:rsid w:val="0095564C"/>
    <w:rsid w:val="00957692"/>
    <w:rsid w:val="009656CA"/>
    <w:rsid w:val="00970E5D"/>
    <w:rsid w:val="009735F0"/>
    <w:rsid w:val="00976BAD"/>
    <w:rsid w:val="00976C27"/>
    <w:rsid w:val="0097701C"/>
    <w:rsid w:val="00977D50"/>
    <w:rsid w:val="00980A65"/>
    <w:rsid w:val="009840B7"/>
    <w:rsid w:val="009876B1"/>
    <w:rsid w:val="0099274E"/>
    <w:rsid w:val="00992E33"/>
    <w:rsid w:val="0099372E"/>
    <w:rsid w:val="00993A9A"/>
    <w:rsid w:val="009A0C65"/>
    <w:rsid w:val="009B21CC"/>
    <w:rsid w:val="009B2C8E"/>
    <w:rsid w:val="009B39AC"/>
    <w:rsid w:val="009D2A2B"/>
    <w:rsid w:val="009D7142"/>
    <w:rsid w:val="009D725A"/>
    <w:rsid w:val="009D7BF9"/>
    <w:rsid w:val="009E5531"/>
    <w:rsid w:val="009E74BA"/>
    <w:rsid w:val="009F01E4"/>
    <w:rsid w:val="009F1DAD"/>
    <w:rsid w:val="00A001AD"/>
    <w:rsid w:val="00A07DAE"/>
    <w:rsid w:val="00A10FBC"/>
    <w:rsid w:val="00A12C77"/>
    <w:rsid w:val="00A13151"/>
    <w:rsid w:val="00A2449C"/>
    <w:rsid w:val="00A25E70"/>
    <w:rsid w:val="00A32F24"/>
    <w:rsid w:val="00A33765"/>
    <w:rsid w:val="00A342E0"/>
    <w:rsid w:val="00A36468"/>
    <w:rsid w:val="00A46522"/>
    <w:rsid w:val="00A60150"/>
    <w:rsid w:val="00A63269"/>
    <w:rsid w:val="00A65EDB"/>
    <w:rsid w:val="00A673EE"/>
    <w:rsid w:val="00A704AE"/>
    <w:rsid w:val="00A70B86"/>
    <w:rsid w:val="00A719F9"/>
    <w:rsid w:val="00A72B8F"/>
    <w:rsid w:val="00A81F79"/>
    <w:rsid w:val="00A84640"/>
    <w:rsid w:val="00A92377"/>
    <w:rsid w:val="00A92CF3"/>
    <w:rsid w:val="00A9629E"/>
    <w:rsid w:val="00A9766E"/>
    <w:rsid w:val="00AA0615"/>
    <w:rsid w:val="00AA06A0"/>
    <w:rsid w:val="00AA14DA"/>
    <w:rsid w:val="00AA213C"/>
    <w:rsid w:val="00AA5059"/>
    <w:rsid w:val="00AB29ED"/>
    <w:rsid w:val="00AB4537"/>
    <w:rsid w:val="00AC1A97"/>
    <w:rsid w:val="00AC6FA6"/>
    <w:rsid w:val="00AD4FC3"/>
    <w:rsid w:val="00AD5A19"/>
    <w:rsid w:val="00AD5D25"/>
    <w:rsid w:val="00AD73AE"/>
    <w:rsid w:val="00AE29F0"/>
    <w:rsid w:val="00AE4BD8"/>
    <w:rsid w:val="00AE4E48"/>
    <w:rsid w:val="00AF524C"/>
    <w:rsid w:val="00AF588E"/>
    <w:rsid w:val="00B02C9F"/>
    <w:rsid w:val="00B07EC8"/>
    <w:rsid w:val="00B175CD"/>
    <w:rsid w:val="00B2384F"/>
    <w:rsid w:val="00B238F8"/>
    <w:rsid w:val="00B3073E"/>
    <w:rsid w:val="00B37A64"/>
    <w:rsid w:val="00B4388F"/>
    <w:rsid w:val="00B45CB7"/>
    <w:rsid w:val="00B566C1"/>
    <w:rsid w:val="00B6061F"/>
    <w:rsid w:val="00B60EEA"/>
    <w:rsid w:val="00B618EC"/>
    <w:rsid w:val="00B6305A"/>
    <w:rsid w:val="00B63237"/>
    <w:rsid w:val="00B64478"/>
    <w:rsid w:val="00B64EA6"/>
    <w:rsid w:val="00B66031"/>
    <w:rsid w:val="00B7235F"/>
    <w:rsid w:val="00B73AB5"/>
    <w:rsid w:val="00B80F86"/>
    <w:rsid w:val="00B82629"/>
    <w:rsid w:val="00B85AB5"/>
    <w:rsid w:val="00BA6132"/>
    <w:rsid w:val="00BC14F6"/>
    <w:rsid w:val="00BC157A"/>
    <w:rsid w:val="00BC2A54"/>
    <w:rsid w:val="00BC4498"/>
    <w:rsid w:val="00BD5FDA"/>
    <w:rsid w:val="00BE1E40"/>
    <w:rsid w:val="00BE2053"/>
    <w:rsid w:val="00BE69F4"/>
    <w:rsid w:val="00C0644E"/>
    <w:rsid w:val="00C1008F"/>
    <w:rsid w:val="00C24F16"/>
    <w:rsid w:val="00C35086"/>
    <w:rsid w:val="00C3662D"/>
    <w:rsid w:val="00C3776B"/>
    <w:rsid w:val="00C41832"/>
    <w:rsid w:val="00C44DF0"/>
    <w:rsid w:val="00C45F5D"/>
    <w:rsid w:val="00C46EA1"/>
    <w:rsid w:val="00C505AC"/>
    <w:rsid w:val="00C61BE6"/>
    <w:rsid w:val="00C66AA6"/>
    <w:rsid w:val="00C72C8E"/>
    <w:rsid w:val="00C735A4"/>
    <w:rsid w:val="00C822A7"/>
    <w:rsid w:val="00C84D70"/>
    <w:rsid w:val="00C855A7"/>
    <w:rsid w:val="00C85C52"/>
    <w:rsid w:val="00C9304E"/>
    <w:rsid w:val="00C95A8E"/>
    <w:rsid w:val="00C960DC"/>
    <w:rsid w:val="00C9691B"/>
    <w:rsid w:val="00CA30C0"/>
    <w:rsid w:val="00CA3761"/>
    <w:rsid w:val="00CB3B2E"/>
    <w:rsid w:val="00CB7F18"/>
    <w:rsid w:val="00CC1829"/>
    <w:rsid w:val="00CC21A4"/>
    <w:rsid w:val="00CC2422"/>
    <w:rsid w:val="00CC3BF0"/>
    <w:rsid w:val="00CC5CDF"/>
    <w:rsid w:val="00CC76B6"/>
    <w:rsid w:val="00CD176A"/>
    <w:rsid w:val="00CD20C5"/>
    <w:rsid w:val="00CD3BBE"/>
    <w:rsid w:val="00CD7C03"/>
    <w:rsid w:val="00CE11D4"/>
    <w:rsid w:val="00CE14DA"/>
    <w:rsid w:val="00CE2AD5"/>
    <w:rsid w:val="00CE668F"/>
    <w:rsid w:val="00CE66C8"/>
    <w:rsid w:val="00CE74BC"/>
    <w:rsid w:val="00CF0B6C"/>
    <w:rsid w:val="00CF0C53"/>
    <w:rsid w:val="00CF400F"/>
    <w:rsid w:val="00D00172"/>
    <w:rsid w:val="00D00722"/>
    <w:rsid w:val="00D02758"/>
    <w:rsid w:val="00D02C75"/>
    <w:rsid w:val="00D04B07"/>
    <w:rsid w:val="00D06C19"/>
    <w:rsid w:val="00D10355"/>
    <w:rsid w:val="00D10E22"/>
    <w:rsid w:val="00D129EC"/>
    <w:rsid w:val="00D13D2C"/>
    <w:rsid w:val="00D23AFC"/>
    <w:rsid w:val="00D30370"/>
    <w:rsid w:val="00D3419A"/>
    <w:rsid w:val="00D3608C"/>
    <w:rsid w:val="00D420EE"/>
    <w:rsid w:val="00D502A5"/>
    <w:rsid w:val="00D50EFA"/>
    <w:rsid w:val="00D5539D"/>
    <w:rsid w:val="00D6138E"/>
    <w:rsid w:val="00D64EB3"/>
    <w:rsid w:val="00D75AC7"/>
    <w:rsid w:val="00D77437"/>
    <w:rsid w:val="00D86C3F"/>
    <w:rsid w:val="00D87493"/>
    <w:rsid w:val="00D959EA"/>
    <w:rsid w:val="00DA5480"/>
    <w:rsid w:val="00DA5EFC"/>
    <w:rsid w:val="00DB22F0"/>
    <w:rsid w:val="00DB2C7F"/>
    <w:rsid w:val="00DB472F"/>
    <w:rsid w:val="00DB6E36"/>
    <w:rsid w:val="00DC2F94"/>
    <w:rsid w:val="00DD00D5"/>
    <w:rsid w:val="00DD3D9E"/>
    <w:rsid w:val="00DD4895"/>
    <w:rsid w:val="00DD7908"/>
    <w:rsid w:val="00DF16C1"/>
    <w:rsid w:val="00DF3BFC"/>
    <w:rsid w:val="00DF7520"/>
    <w:rsid w:val="00E045BF"/>
    <w:rsid w:val="00E114F3"/>
    <w:rsid w:val="00E21503"/>
    <w:rsid w:val="00E2757B"/>
    <w:rsid w:val="00E3222D"/>
    <w:rsid w:val="00E54935"/>
    <w:rsid w:val="00E57EC8"/>
    <w:rsid w:val="00E62D3D"/>
    <w:rsid w:val="00E67344"/>
    <w:rsid w:val="00E705F5"/>
    <w:rsid w:val="00E728D1"/>
    <w:rsid w:val="00E74F23"/>
    <w:rsid w:val="00E76D4D"/>
    <w:rsid w:val="00E819F8"/>
    <w:rsid w:val="00E82297"/>
    <w:rsid w:val="00E84F1B"/>
    <w:rsid w:val="00EA1B45"/>
    <w:rsid w:val="00EA3A67"/>
    <w:rsid w:val="00EA5705"/>
    <w:rsid w:val="00EA7CD2"/>
    <w:rsid w:val="00EB26D1"/>
    <w:rsid w:val="00EB72A8"/>
    <w:rsid w:val="00EC52BE"/>
    <w:rsid w:val="00ED022D"/>
    <w:rsid w:val="00ED086D"/>
    <w:rsid w:val="00ED1BD5"/>
    <w:rsid w:val="00ED1C61"/>
    <w:rsid w:val="00ED226C"/>
    <w:rsid w:val="00ED305F"/>
    <w:rsid w:val="00ED3377"/>
    <w:rsid w:val="00EE1256"/>
    <w:rsid w:val="00EE2DC0"/>
    <w:rsid w:val="00EE7659"/>
    <w:rsid w:val="00EF39FD"/>
    <w:rsid w:val="00EF7519"/>
    <w:rsid w:val="00EF7606"/>
    <w:rsid w:val="00F00E72"/>
    <w:rsid w:val="00F037B4"/>
    <w:rsid w:val="00F058D6"/>
    <w:rsid w:val="00F06537"/>
    <w:rsid w:val="00F06842"/>
    <w:rsid w:val="00F107FD"/>
    <w:rsid w:val="00F1178D"/>
    <w:rsid w:val="00F161D7"/>
    <w:rsid w:val="00F20AA8"/>
    <w:rsid w:val="00F2344E"/>
    <w:rsid w:val="00F24208"/>
    <w:rsid w:val="00F25DC3"/>
    <w:rsid w:val="00F31A5D"/>
    <w:rsid w:val="00F32683"/>
    <w:rsid w:val="00F36E5F"/>
    <w:rsid w:val="00F43CF6"/>
    <w:rsid w:val="00F440F2"/>
    <w:rsid w:val="00F44926"/>
    <w:rsid w:val="00F50FDA"/>
    <w:rsid w:val="00F57BB7"/>
    <w:rsid w:val="00F57F66"/>
    <w:rsid w:val="00F653FC"/>
    <w:rsid w:val="00F70DDA"/>
    <w:rsid w:val="00F81A44"/>
    <w:rsid w:val="00FA059B"/>
    <w:rsid w:val="00FB05A5"/>
    <w:rsid w:val="00FB185C"/>
    <w:rsid w:val="00FB1CAC"/>
    <w:rsid w:val="00FB4CC7"/>
    <w:rsid w:val="00FB6210"/>
    <w:rsid w:val="00FB64A8"/>
    <w:rsid w:val="00FB749C"/>
    <w:rsid w:val="00FC3327"/>
    <w:rsid w:val="00FD5469"/>
    <w:rsid w:val="00FD54CF"/>
    <w:rsid w:val="00FE0C64"/>
    <w:rsid w:val="00FE2F12"/>
    <w:rsid w:val="00FE5158"/>
    <w:rsid w:val="00FF6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727"/>
    <w:rPr>
      <w:lang w:eastAsia="en-US"/>
    </w:rPr>
  </w:style>
  <w:style w:type="paragraph" w:styleId="Heading1">
    <w:name w:val="heading 1"/>
    <w:basedOn w:val="Normal"/>
    <w:next w:val="Normal"/>
    <w:link w:val="Heading1Char"/>
    <w:qFormat/>
    <w:rsid w:val="0046126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UnresolvedMention">
    <w:name w:val="Unresolved Mention"/>
    <w:basedOn w:val="DefaultParagraphFont"/>
    <w:uiPriority w:val="99"/>
    <w:semiHidden/>
    <w:unhideWhenUsed/>
    <w:rsid w:val="00D3419A"/>
    <w:rPr>
      <w:color w:val="605E5C"/>
      <w:shd w:val="clear" w:color="auto" w:fill="E1DFDD"/>
    </w:rPr>
  </w:style>
  <w:style w:type="character" w:customStyle="1" w:styleId="Heading1Char">
    <w:name w:val="Heading 1 Char"/>
    <w:basedOn w:val="DefaultParagraphFont"/>
    <w:link w:val="Heading1"/>
    <w:rsid w:val="00461261"/>
    <w:rPr>
      <w:rFonts w:asciiTheme="majorHAnsi" w:eastAsiaTheme="majorEastAsia" w:hAnsiTheme="majorHAnsi" w:cstheme="majorBidi"/>
      <w:color w:val="365F91" w:themeColor="accent1" w:themeShade="BF"/>
      <w:sz w:val="32"/>
      <w:szCs w:val="32"/>
      <w:lang w:eastAsia="en-US"/>
    </w:rPr>
  </w:style>
  <w:style w:type="character" w:styleId="Mention">
    <w:name w:val="Mention"/>
    <w:basedOn w:val="DefaultParagraphFont"/>
    <w:uiPriority w:val="99"/>
    <w:unhideWhenUsed/>
    <w:rsid w:val="009B21CC"/>
    <w:rPr>
      <w:color w:val="2B579A"/>
      <w:shd w:val="clear" w:color="auto" w:fill="E1DFDD"/>
    </w:rPr>
  </w:style>
  <w:style w:type="table" w:styleId="TableGrid">
    <w:name w:val="Table Grid"/>
    <w:basedOn w:val="TableNormal"/>
    <w:rsid w:val="00AC1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7BA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0103">
      <w:bodyDiv w:val="1"/>
      <w:marLeft w:val="0"/>
      <w:marRight w:val="0"/>
      <w:marTop w:val="0"/>
      <w:marBottom w:val="0"/>
      <w:divBdr>
        <w:top w:val="none" w:sz="0" w:space="0" w:color="auto"/>
        <w:left w:val="none" w:sz="0" w:space="0" w:color="auto"/>
        <w:bottom w:val="none" w:sz="0" w:space="0" w:color="auto"/>
        <w:right w:val="none" w:sz="0" w:space="0" w:color="auto"/>
      </w:divBdr>
    </w:div>
    <w:div w:id="720053764">
      <w:bodyDiv w:val="1"/>
      <w:marLeft w:val="0"/>
      <w:marRight w:val="0"/>
      <w:marTop w:val="0"/>
      <w:marBottom w:val="0"/>
      <w:divBdr>
        <w:top w:val="none" w:sz="0" w:space="0" w:color="auto"/>
        <w:left w:val="none" w:sz="0" w:space="0" w:color="auto"/>
        <w:bottom w:val="none" w:sz="0" w:space="0" w:color="auto"/>
        <w:right w:val="none" w:sz="0" w:space="0" w:color="auto"/>
      </w:divBdr>
    </w:div>
    <w:div w:id="926766302">
      <w:bodyDiv w:val="1"/>
      <w:marLeft w:val="0"/>
      <w:marRight w:val="0"/>
      <w:marTop w:val="0"/>
      <w:marBottom w:val="0"/>
      <w:divBdr>
        <w:top w:val="none" w:sz="0" w:space="0" w:color="auto"/>
        <w:left w:val="none" w:sz="0" w:space="0" w:color="auto"/>
        <w:bottom w:val="none" w:sz="0" w:space="0" w:color="auto"/>
        <w:right w:val="none" w:sz="0" w:space="0" w:color="auto"/>
      </w:divBdr>
    </w:div>
    <w:div w:id="1015041251">
      <w:bodyDiv w:val="1"/>
      <w:marLeft w:val="0"/>
      <w:marRight w:val="0"/>
      <w:marTop w:val="0"/>
      <w:marBottom w:val="0"/>
      <w:divBdr>
        <w:top w:val="none" w:sz="0" w:space="0" w:color="auto"/>
        <w:left w:val="none" w:sz="0" w:space="0" w:color="auto"/>
        <w:bottom w:val="none" w:sz="0" w:space="0" w:color="auto"/>
        <w:right w:val="none" w:sz="0" w:space="0" w:color="auto"/>
      </w:divBdr>
    </w:div>
    <w:div w:id="1028530167">
      <w:bodyDiv w:val="1"/>
      <w:marLeft w:val="0"/>
      <w:marRight w:val="0"/>
      <w:marTop w:val="0"/>
      <w:marBottom w:val="0"/>
      <w:divBdr>
        <w:top w:val="none" w:sz="0" w:space="0" w:color="auto"/>
        <w:left w:val="none" w:sz="0" w:space="0" w:color="auto"/>
        <w:bottom w:val="none" w:sz="0" w:space="0" w:color="auto"/>
        <w:right w:val="none" w:sz="0" w:space="0" w:color="auto"/>
      </w:divBdr>
    </w:div>
    <w:div w:id="1232883693">
      <w:bodyDiv w:val="1"/>
      <w:marLeft w:val="0"/>
      <w:marRight w:val="0"/>
      <w:marTop w:val="0"/>
      <w:marBottom w:val="0"/>
      <w:divBdr>
        <w:top w:val="none" w:sz="0" w:space="0" w:color="auto"/>
        <w:left w:val="none" w:sz="0" w:space="0" w:color="auto"/>
        <w:bottom w:val="none" w:sz="0" w:space="0" w:color="auto"/>
        <w:right w:val="none" w:sz="0" w:space="0" w:color="auto"/>
      </w:divBdr>
    </w:div>
    <w:div w:id="1609000185">
      <w:bodyDiv w:val="1"/>
      <w:marLeft w:val="0"/>
      <w:marRight w:val="0"/>
      <w:marTop w:val="0"/>
      <w:marBottom w:val="0"/>
      <w:divBdr>
        <w:top w:val="none" w:sz="0" w:space="0" w:color="auto"/>
        <w:left w:val="none" w:sz="0" w:space="0" w:color="auto"/>
        <w:bottom w:val="none" w:sz="0" w:space="0" w:color="auto"/>
        <w:right w:val="none" w:sz="0" w:space="0" w:color="auto"/>
      </w:divBdr>
    </w:div>
    <w:div w:id="2029409264">
      <w:bodyDiv w:val="1"/>
      <w:marLeft w:val="0"/>
      <w:marRight w:val="0"/>
      <w:marTop w:val="0"/>
      <w:marBottom w:val="0"/>
      <w:divBdr>
        <w:top w:val="none" w:sz="0" w:space="0" w:color="auto"/>
        <w:left w:val="none" w:sz="0" w:space="0" w:color="auto"/>
        <w:bottom w:val="none" w:sz="0" w:space="0" w:color="auto"/>
        <w:right w:val="none" w:sz="0" w:space="0" w:color="auto"/>
      </w:divBdr>
    </w:div>
    <w:div w:id="207107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enodo.org/doi/10.5281/zenodo.469264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len.fi/en/heating/district-heat/district-heat-price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58</TotalTime>
  <Pages>6</Pages>
  <Words>2820</Words>
  <Characters>15484</Characters>
  <Application>Microsoft Office Word</Application>
  <DocSecurity>0</DocSecurity>
  <Lines>129</Lines>
  <Paragraphs>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Mersch, Matthias</cp:lastModifiedBy>
  <cp:revision>22</cp:revision>
  <cp:lastPrinted>2023-11-29T16:32:00Z</cp:lastPrinted>
  <dcterms:created xsi:type="dcterms:W3CDTF">2023-11-29T16:41:00Z</dcterms:created>
  <dcterms:modified xsi:type="dcterms:W3CDTF">2023-12-11T18:18:00Z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