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24406EC" w:rsidR="00DD3D9E" w:rsidRPr="00B4388F" w:rsidRDefault="00D67A41">
      <w:pPr>
        <w:pStyle w:val="Els-Title"/>
        <w:rPr>
          <w:color w:val="000000" w:themeColor="text1"/>
        </w:rPr>
      </w:pPr>
      <w:r w:rsidRPr="00D67A41">
        <w:rPr>
          <w:color w:val="000000" w:themeColor="text1"/>
        </w:rPr>
        <w:t>Optimal control of an integrated sorption-reaction unit for ammonia synthesis</w:t>
      </w:r>
    </w:p>
    <w:p w14:paraId="144DE680" w14:textId="2E6E8F07" w:rsidR="00DD3D9E" w:rsidRDefault="00D67A41">
      <w:pPr>
        <w:pStyle w:val="Els-Author"/>
      </w:pPr>
      <w:r w:rsidRPr="00D67A41">
        <w:t>Carl Sengoba</w:t>
      </w:r>
      <w:r w:rsidRPr="00D67A41">
        <w:rPr>
          <w:vertAlign w:val="superscript"/>
        </w:rPr>
        <w:t>a</w:t>
      </w:r>
      <w:r w:rsidRPr="00D67A41">
        <w:t>, Markus Illner</w:t>
      </w:r>
      <w:r w:rsidRPr="00D67A41">
        <w:rPr>
          <w:vertAlign w:val="superscript"/>
        </w:rPr>
        <w:t>a</w:t>
      </w:r>
      <w:r w:rsidRPr="00D67A41">
        <w:t>, Jens-Uwe Repke</w:t>
      </w:r>
      <w:r w:rsidRPr="00D67A41">
        <w:rPr>
          <w:vertAlign w:val="superscript"/>
        </w:rPr>
        <w:t>a</w:t>
      </w:r>
    </w:p>
    <w:p w14:paraId="144DE682" w14:textId="2DA90773" w:rsidR="00DD3D9E" w:rsidRDefault="00D67A41">
      <w:pPr>
        <w:pStyle w:val="Els-Affiliation"/>
      </w:pPr>
      <w:r w:rsidRPr="00D67A41">
        <w:rPr>
          <w:vertAlign w:val="superscript"/>
        </w:rPr>
        <w:t>a</w:t>
      </w:r>
      <w:r w:rsidRPr="00D67A41">
        <w:t>Technische Universität Berlin, Process Dynamics and Operations Group, Straße des 17. Juni 135, Berlin D-10709, Germany</w:t>
      </w:r>
    </w:p>
    <w:p w14:paraId="144DE683" w14:textId="28D10F79" w:rsidR="008D2649" w:rsidRPr="00A94774" w:rsidRDefault="00D67A41" w:rsidP="008D2649">
      <w:pPr>
        <w:pStyle w:val="Els-Affiliation"/>
        <w:spacing w:after="120"/>
      </w:pPr>
      <w:r>
        <w:t>c.sengoba@tu-berlin.de</w:t>
      </w:r>
    </w:p>
    <w:p w14:paraId="144DE684" w14:textId="77777777" w:rsidR="008D2649" w:rsidRDefault="008D2649" w:rsidP="008D2649">
      <w:pPr>
        <w:pStyle w:val="Els-Abstract"/>
      </w:pPr>
      <w:r>
        <w:t>Abstract</w:t>
      </w:r>
    </w:p>
    <w:p w14:paraId="0FEC1A79" w14:textId="39DBD026" w:rsidR="00D67A41" w:rsidRPr="003E5CC8" w:rsidRDefault="00C46FC6" w:rsidP="003154D8">
      <w:pPr>
        <w:pStyle w:val="Els-body-text"/>
        <w:spacing w:after="120"/>
        <w:rPr>
          <w:lang w:val="en-GB"/>
        </w:rPr>
      </w:pPr>
      <w:r w:rsidRPr="003E5CC8">
        <w:rPr>
          <w:lang w:val="en-GB"/>
        </w:rPr>
        <w:t xml:space="preserve">Long-term chemical storage of renewable hydrogen in ammonia is a </w:t>
      </w:r>
      <w:r w:rsidR="00B752C0" w:rsidRPr="003E5CC8">
        <w:rPr>
          <w:lang w:val="en-GB"/>
        </w:rPr>
        <w:t>potent</w:t>
      </w:r>
      <w:r w:rsidR="003671C3">
        <w:rPr>
          <w:lang w:val="en-GB"/>
        </w:rPr>
        <w:t>i</w:t>
      </w:r>
      <w:r w:rsidR="00B752C0" w:rsidRPr="003E5CC8">
        <w:rPr>
          <w:lang w:val="en-GB"/>
        </w:rPr>
        <w:t xml:space="preserve">al building block in a carbon-free energy system. </w:t>
      </w:r>
      <w:r w:rsidR="00F8081C">
        <w:rPr>
          <w:lang w:val="en-GB"/>
        </w:rPr>
        <w:t>An integrated reacti</w:t>
      </w:r>
      <w:r w:rsidR="00DC3508">
        <w:rPr>
          <w:lang w:val="en-GB"/>
        </w:rPr>
        <w:t>ve</w:t>
      </w:r>
      <w:r w:rsidR="00F3035A">
        <w:rPr>
          <w:lang w:val="en-GB"/>
        </w:rPr>
        <w:t xml:space="preserve"> ad</w:t>
      </w:r>
      <w:r w:rsidR="00DC3508">
        <w:rPr>
          <w:lang w:val="en-GB"/>
        </w:rPr>
        <w:t>sorption column</w:t>
      </w:r>
      <w:r w:rsidR="00F8081C">
        <w:rPr>
          <w:lang w:val="en-GB"/>
        </w:rPr>
        <w:t xml:space="preserve"> for ammonia synthesis</w:t>
      </w:r>
      <w:r w:rsidR="003E5CC8" w:rsidRPr="003E5CC8">
        <w:rPr>
          <w:lang w:val="en-GB"/>
        </w:rPr>
        <w:t xml:space="preserve"> </w:t>
      </w:r>
      <w:r w:rsidR="00B752C0" w:rsidRPr="003E5CC8">
        <w:rPr>
          <w:lang w:val="en-GB"/>
        </w:rPr>
        <w:t>may allow for a</w:t>
      </w:r>
      <w:r w:rsidR="0002306A">
        <w:rPr>
          <w:lang w:val="en-GB"/>
        </w:rPr>
        <w:t>n intensified and</w:t>
      </w:r>
      <w:r w:rsidR="00B752C0" w:rsidRPr="003E5CC8">
        <w:rPr>
          <w:lang w:val="en-GB"/>
        </w:rPr>
        <w:t xml:space="preserve"> flexible</w:t>
      </w:r>
      <w:r w:rsidR="003E5CC8" w:rsidRPr="003E5CC8">
        <w:rPr>
          <w:lang w:val="en-GB"/>
        </w:rPr>
        <w:t xml:space="preserve"> process.</w:t>
      </w:r>
      <w:r w:rsidR="00C311C8">
        <w:rPr>
          <w:lang w:val="en-GB"/>
        </w:rPr>
        <w:t xml:space="preserve"> </w:t>
      </w:r>
      <w:r w:rsidR="0002306A">
        <w:rPr>
          <w:lang w:val="en-GB"/>
        </w:rPr>
        <w:t>To investigate this, w</w:t>
      </w:r>
      <w:r w:rsidR="00C311C8">
        <w:rPr>
          <w:lang w:val="en-GB"/>
        </w:rPr>
        <w:t>e present a</w:t>
      </w:r>
      <w:r w:rsidR="00C311C8" w:rsidRPr="00C311C8">
        <w:rPr>
          <w:lang w:val="en-GB"/>
        </w:rPr>
        <w:t xml:space="preserve"> </w:t>
      </w:r>
      <w:r w:rsidR="00C311C8">
        <w:rPr>
          <w:lang w:val="en-GB"/>
        </w:rPr>
        <w:t>pseudo</w:t>
      </w:r>
      <w:r w:rsidR="00C311C8" w:rsidRPr="00561B68">
        <w:rPr>
          <w:lang w:val="en-GB"/>
        </w:rPr>
        <w:t xml:space="preserve">-homogeneous </w:t>
      </w:r>
      <w:r w:rsidR="0002306A">
        <w:rPr>
          <w:lang w:val="en-GB"/>
        </w:rPr>
        <w:t xml:space="preserve">pressure-driven </w:t>
      </w:r>
      <w:r w:rsidR="00C311C8" w:rsidRPr="00561B68">
        <w:rPr>
          <w:lang w:val="en-GB"/>
        </w:rPr>
        <w:t>phase model</w:t>
      </w:r>
      <w:r w:rsidR="00F8081C">
        <w:rPr>
          <w:lang w:val="en-GB"/>
        </w:rPr>
        <w:t xml:space="preserve"> representing the integrated unit</w:t>
      </w:r>
      <w:r w:rsidR="00C311C8">
        <w:rPr>
          <w:lang w:val="en-GB"/>
        </w:rPr>
        <w:t xml:space="preserve">. </w:t>
      </w:r>
      <w:r w:rsidR="0002306A">
        <w:rPr>
          <w:lang w:val="en-GB"/>
        </w:rPr>
        <w:t>Using an operation schedule, t</w:t>
      </w:r>
      <w:r w:rsidR="00C311C8">
        <w:rPr>
          <w:lang w:val="en-GB"/>
        </w:rPr>
        <w:t>he control trajectory is sequentially optimized by means of time-invariant parameters</w:t>
      </w:r>
      <w:r w:rsidR="0002306A">
        <w:rPr>
          <w:lang w:val="en-GB"/>
        </w:rPr>
        <w:t xml:space="preserve"> obtaining a</w:t>
      </w:r>
      <w:r w:rsidR="009E28BB">
        <w:rPr>
          <w:lang w:val="en-GB"/>
        </w:rPr>
        <w:t xml:space="preserve"> single-pass conversion of </w:t>
      </w:r>
      <w:r w:rsidR="009E28BB" w:rsidRPr="00903CA9">
        <w:rPr>
          <w:lang w:val="en-GB"/>
        </w:rPr>
        <w:t>Y</w:t>
      </w:r>
      <w:r w:rsidR="009E28BB" w:rsidRPr="00903CA9">
        <w:rPr>
          <w:vertAlign w:val="subscript"/>
          <w:lang w:val="en-GB"/>
        </w:rPr>
        <w:t>H2</w:t>
      </w:r>
      <w:r w:rsidR="009E28BB" w:rsidRPr="00903CA9">
        <w:rPr>
          <w:lang w:val="en-GB"/>
        </w:rPr>
        <w:t xml:space="preserve"> = </w:t>
      </w:r>
      <w:r w:rsidR="004A541B">
        <w:rPr>
          <w:lang w:val="en-GB"/>
        </w:rPr>
        <w:t>76</w:t>
      </w:r>
      <w:r w:rsidR="009E28BB" w:rsidRPr="00903CA9">
        <w:rPr>
          <w:lang w:val="en-GB"/>
        </w:rPr>
        <w:t xml:space="preserve"> %</w:t>
      </w:r>
      <w:r w:rsidR="009E28BB">
        <w:rPr>
          <w:lang w:val="en-GB"/>
        </w:rPr>
        <w:t>.</w:t>
      </w:r>
      <w:r w:rsidR="00B752C0" w:rsidRPr="003E5CC8">
        <w:rPr>
          <w:lang w:val="en-GB"/>
        </w:rPr>
        <w:t xml:space="preserve"> </w:t>
      </w:r>
      <w:r w:rsidR="003E5CC8">
        <w:rPr>
          <w:lang w:val="en-GB"/>
        </w:rPr>
        <w:t>Back</w:t>
      </w:r>
      <w:r w:rsidR="00085A9E">
        <w:rPr>
          <w:lang w:val="en-GB"/>
        </w:rPr>
        <w:t>-</w:t>
      </w:r>
      <w:r w:rsidR="003E5CC8">
        <w:rPr>
          <w:lang w:val="en-GB"/>
        </w:rPr>
        <w:t>reaction</w:t>
      </w:r>
      <w:r w:rsidR="00085A9E">
        <w:rPr>
          <w:lang w:val="en-GB"/>
        </w:rPr>
        <w:t xml:space="preserve"> of ammonia</w:t>
      </w:r>
      <w:r w:rsidR="003E5CC8">
        <w:rPr>
          <w:lang w:val="en-GB"/>
        </w:rPr>
        <w:t xml:space="preserve"> in presence of the catalyst and </w:t>
      </w:r>
      <w:r w:rsidR="00085A9E">
        <w:rPr>
          <w:lang w:val="en-GB"/>
        </w:rPr>
        <w:t>the need for a subsequent cryogenic separation unit may however be detrimental to the efficiency of the overall process design.</w:t>
      </w:r>
    </w:p>
    <w:p w14:paraId="144DE687" w14:textId="419AF56A" w:rsidR="008D2649" w:rsidRDefault="008D2649" w:rsidP="00D67A41">
      <w:pPr>
        <w:pStyle w:val="Els-body-text"/>
        <w:spacing w:after="120"/>
        <w:rPr>
          <w:lang w:val="en-GB"/>
        </w:rPr>
      </w:pPr>
      <w:r>
        <w:rPr>
          <w:b/>
          <w:bCs/>
          <w:lang w:val="en-GB"/>
        </w:rPr>
        <w:t>Keywords</w:t>
      </w:r>
      <w:r>
        <w:rPr>
          <w:lang w:val="en-GB"/>
        </w:rPr>
        <w:t>:</w:t>
      </w:r>
      <w:r w:rsidR="00D67A41">
        <w:rPr>
          <w:lang w:val="en-GB"/>
        </w:rPr>
        <w:t xml:space="preserve"> </w:t>
      </w:r>
      <w:r w:rsidR="00D67A41" w:rsidRPr="00D67A41">
        <w:rPr>
          <w:lang w:val="en-GB"/>
        </w:rPr>
        <w:t xml:space="preserve">pressure-driven </w:t>
      </w:r>
      <w:proofErr w:type="spellStart"/>
      <w:r w:rsidR="00D67A41" w:rsidRPr="00D67A41">
        <w:rPr>
          <w:lang w:val="en-GB"/>
        </w:rPr>
        <w:t>modeling</w:t>
      </w:r>
      <w:proofErr w:type="spellEnd"/>
      <w:r w:rsidR="00D67A41" w:rsidRPr="00D67A41">
        <w:rPr>
          <w:lang w:val="en-GB"/>
        </w:rPr>
        <w:t>, process intensification, sorption-enhanced catalysis, ammonia production</w:t>
      </w:r>
    </w:p>
    <w:p w14:paraId="74EA7DA5" w14:textId="103040F0" w:rsidR="00A072CD" w:rsidRDefault="00A072CD" w:rsidP="00A072CD">
      <w:pPr>
        <w:pStyle w:val="Els-1storder-head"/>
        <w:spacing w:after="120"/>
        <w:rPr>
          <w:lang w:val="en-GB"/>
        </w:rPr>
      </w:pPr>
      <w:r>
        <w:rPr>
          <w:lang w:val="en-GB"/>
        </w:rPr>
        <w:t>Introduction</w:t>
      </w:r>
    </w:p>
    <w:p w14:paraId="40F3DCCF" w14:textId="034FF31D" w:rsidR="004A69B9" w:rsidRPr="00561B68" w:rsidRDefault="00561B68" w:rsidP="00213FCC">
      <w:pPr>
        <w:pStyle w:val="Els-body-text"/>
        <w:rPr>
          <w:lang w:val="en-GB"/>
        </w:rPr>
      </w:pPr>
      <w:r w:rsidRPr="00561B68">
        <w:rPr>
          <w:lang w:val="en-GB"/>
        </w:rPr>
        <w:t xml:space="preserve">Hydrogen will play a </w:t>
      </w:r>
      <w:r w:rsidR="004A621A">
        <w:rPr>
          <w:lang w:val="en-GB"/>
        </w:rPr>
        <w:t>crucial</w:t>
      </w:r>
      <w:r w:rsidR="004A621A" w:rsidRPr="00561B68">
        <w:rPr>
          <w:lang w:val="en-GB"/>
        </w:rPr>
        <w:t xml:space="preserve"> </w:t>
      </w:r>
      <w:r w:rsidRPr="00561B68">
        <w:rPr>
          <w:lang w:val="en-GB"/>
        </w:rPr>
        <w:t xml:space="preserve">role in the transition towards a decarbonized energy system. While its molecular properties (e.g.: density, diffusivity) currently complicate hydrogen storage and transport, ammonia </w:t>
      </w:r>
      <w:r w:rsidR="004A621A">
        <w:rPr>
          <w:lang w:val="en-GB"/>
        </w:rPr>
        <w:t>(</w:t>
      </w:r>
      <w:r w:rsidRPr="00561B68">
        <w:rPr>
          <w:lang w:val="en-GB"/>
        </w:rPr>
        <w:t>NH</w:t>
      </w:r>
      <w:r w:rsidRPr="00510E46">
        <w:rPr>
          <w:vertAlign w:val="subscript"/>
          <w:lang w:val="en-GB"/>
        </w:rPr>
        <w:t>3</w:t>
      </w:r>
      <w:r w:rsidR="004A621A">
        <w:rPr>
          <w:lang w:val="en-GB"/>
        </w:rPr>
        <w:t xml:space="preserve">) </w:t>
      </w:r>
      <w:r w:rsidRPr="00561B68">
        <w:rPr>
          <w:lang w:val="en-GB"/>
        </w:rPr>
        <w:t xml:space="preserve">is a </w:t>
      </w:r>
      <w:r w:rsidR="004A621A">
        <w:rPr>
          <w:lang w:val="en-GB"/>
        </w:rPr>
        <w:t xml:space="preserve">viable </w:t>
      </w:r>
      <w:r w:rsidRPr="00561B68">
        <w:rPr>
          <w:lang w:val="en-GB"/>
        </w:rPr>
        <w:t>candidate substance for chemical hydrogen storage. Developing a renewable, resource-efficient, and flexible NH</w:t>
      </w:r>
      <w:r w:rsidRPr="00510E46">
        <w:rPr>
          <w:vertAlign w:val="subscript"/>
          <w:lang w:val="en-GB"/>
        </w:rPr>
        <w:t>3</w:t>
      </w:r>
      <w:r w:rsidRPr="00561B68">
        <w:rPr>
          <w:lang w:val="en-GB"/>
        </w:rPr>
        <w:t xml:space="preserve"> synthesis process is thus desirable to advance the utilization of green hydrogen. The major advantages of process flexibility</w:t>
      </w:r>
      <w:r w:rsidR="004A621A">
        <w:rPr>
          <w:lang w:val="en-GB"/>
        </w:rPr>
        <w:t>, required for coping with volatile electricity supply,</w:t>
      </w:r>
      <w:r w:rsidRPr="00561B68">
        <w:rPr>
          <w:lang w:val="en-GB"/>
        </w:rPr>
        <w:t xml:space="preserve"> and increased efficiency</w:t>
      </w:r>
      <w:r w:rsidR="004A621A">
        <w:rPr>
          <w:lang w:val="en-GB"/>
        </w:rPr>
        <w:t xml:space="preserve"> (</w:t>
      </w:r>
      <w:r w:rsidR="00391A5E">
        <w:rPr>
          <w:lang w:val="en-GB"/>
        </w:rPr>
        <w:t xml:space="preserve">evasion of the limiting </w:t>
      </w:r>
      <w:r w:rsidR="004A621A">
        <w:rPr>
          <w:lang w:val="en-GB"/>
        </w:rPr>
        <w:t>chemical equilibrium)</w:t>
      </w:r>
      <w:r w:rsidRPr="00561B68">
        <w:rPr>
          <w:lang w:val="en-GB"/>
        </w:rPr>
        <w:t xml:space="preserve"> could be achieved by </w:t>
      </w:r>
      <w:r w:rsidR="00825C2B">
        <w:rPr>
          <w:lang w:val="en-GB"/>
        </w:rPr>
        <w:t>cyclic</w:t>
      </w:r>
      <w:r w:rsidRPr="00561B68">
        <w:rPr>
          <w:lang w:val="en-GB"/>
        </w:rPr>
        <w:t xml:space="preserve"> sorption</w:t>
      </w:r>
      <w:r w:rsidR="00825C2B">
        <w:rPr>
          <w:lang w:val="en-GB"/>
        </w:rPr>
        <w:t xml:space="preserve"> and</w:t>
      </w:r>
      <w:r w:rsidRPr="00561B68">
        <w:rPr>
          <w:lang w:val="en-GB"/>
        </w:rPr>
        <w:t xml:space="preserve"> desorption</w:t>
      </w:r>
      <w:r w:rsidR="00825C2B">
        <w:rPr>
          <w:lang w:val="en-GB"/>
        </w:rPr>
        <w:t xml:space="preserve"> (Smith, 2021)</w:t>
      </w:r>
      <w:r w:rsidRPr="00561B68">
        <w:rPr>
          <w:lang w:val="en-GB"/>
        </w:rPr>
        <w:t xml:space="preserve"> of the product NH</w:t>
      </w:r>
      <w:r w:rsidRPr="00510E46">
        <w:rPr>
          <w:vertAlign w:val="subscript"/>
          <w:lang w:val="en-GB"/>
        </w:rPr>
        <w:t>3</w:t>
      </w:r>
      <w:r w:rsidRPr="00561B68">
        <w:rPr>
          <w:lang w:val="en-GB"/>
        </w:rPr>
        <w:t xml:space="preserve"> as compared to a recycle in the traditional Haber-Bosch process.</w:t>
      </w:r>
    </w:p>
    <w:p w14:paraId="72BD2CAA" w14:textId="618872F0" w:rsidR="00A072CD" w:rsidRDefault="00A072CD" w:rsidP="00A072CD">
      <w:pPr>
        <w:pStyle w:val="Els-1storder-head"/>
        <w:spacing w:after="120"/>
        <w:rPr>
          <w:lang w:val="en-GB"/>
        </w:rPr>
      </w:pPr>
      <w:r>
        <w:rPr>
          <w:lang w:val="en-GB"/>
        </w:rPr>
        <w:t>Methods</w:t>
      </w:r>
    </w:p>
    <w:p w14:paraId="6D321784" w14:textId="6FA9933D" w:rsidR="00ED23A8" w:rsidRDefault="00561B68" w:rsidP="00F3035A">
      <w:pPr>
        <w:pStyle w:val="Els-body-text"/>
        <w:rPr>
          <w:lang w:val="en-GB"/>
        </w:rPr>
      </w:pPr>
      <w:r w:rsidRPr="00561B68">
        <w:rPr>
          <w:lang w:val="en-GB"/>
        </w:rPr>
        <w:t>In this study</w:t>
      </w:r>
      <w:r w:rsidR="00AF2899">
        <w:rPr>
          <w:lang w:val="en-GB"/>
        </w:rPr>
        <w:t>,</w:t>
      </w:r>
      <w:r w:rsidRPr="00561B68">
        <w:rPr>
          <w:lang w:val="en-GB"/>
        </w:rPr>
        <w:t xml:space="preserve"> we employ a dynamic pressure-driven </w:t>
      </w:r>
      <w:r w:rsidR="00FE00D9">
        <w:rPr>
          <w:lang w:val="en-GB"/>
        </w:rPr>
        <w:t>model of a reactive adsorption column</w:t>
      </w:r>
      <w:r w:rsidRPr="00561B68">
        <w:rPr>
          <w:lang w:val="en-GB"/>
        </w:rPr>
        <w:t>. To this end, a (partial differential algebraic equation) PDAE representing the</w:t>
      </w:r>
      <w:r w:rsidR="00C311C8">
        <w:rPr>
          <w:lang w:val="en-GB"/>
        </w:rPr>
        <w:t xml:space="preserve"> </w:t>
      </w:r>
      <w:r w:rsidR="00F3035A">
        <w:rPr>
          <w:lang w:val="en-GB"/>
        </w:rPr>
        <w:t xml:space="preserve">    </w:t>
      </w:r>
      <w:r w:rsidR="00C311C8">
        <w:rPr>
          <w:lang w:val="en-GB"/>
        </w:rPr>
        <w:t>1-D dynamic</w:t>
      </w:r>
      <w:r w:rsidRPr="00561B68">
        <w:rPr>
          <w:lang w:val="en-GB"/>
        </w:rPr>
        <w:t xml:space="preserve"> </w:t>
      </w:r>
      <w:r w:rsidR="00C311C8">
        <w:rPr>
          <w:lang w:val="en-GB"/>
        </w:rPr>
        <w:t>pseudo</w:t>
      </w:r>
      <w:r w:rsidRPr="00561B68">
        <w:rPr>
          <w:lang w:val="en-GB"/>
        </w:rPr>
        <w:t>-homogeneous phase model</w:t>
      </w:r>
      <w:r w:rsidR="006A0764">
        <w:rPr>
          <w:lang w:val="en-GB"/>
        </w:rPr>
        <w:t xml:space="preserve"> </w:t>
      </w:r>
      <w:r w:rsidR="006A0764" w:rsidRPr="003154D8">
        <w:rPr>
          <w:lang w:val="en-GB"/>
        </w:rPr>
        <w:t>(</w:t>
      </w:r>
      <w:proofErr w:type="spellStart"/>
      <w:r w:rsidR="006A0764">
        <w:rPr>
          <w:lang w:val="en-GB"/>
        </w:rPr>
        <w:t>Palys</w:t>
      </w:r>
      <w:proofErr w:type="spellEnd"/>
      <w:r w:rsidR="006A0764">
        <w:rPr>
          <w:lang w:val="en-GB"/>
        </w:rPr>
        <w:t>, 2018</w:t>
      </w:r>
      <w:r w:rsidR="006A0764" w:rsidRPr="003154D8">
        <w:rPr>
          <w:lang w:val="en-GB"/>
        </w:rPr>
        <w:t>)</w:t>
      </w:r>
      <w:r w:rsidR="006A0764">
        <w:rPr>
          <w:vertAlign w:val="superscript"/>
          <w:lang w:val="en-GB"/>
        </w:rPr>
        <w:t xml:space="preserve"> </w:t>
      </w:r>
      <w:r w:rsidR="00ED23A8">
        <w:rPr>
          <w:lang w:val="en-GB"/>
        </w:rPr>
        <w:t>is incorporated by r</w:t>
      </w:r>
      <w:r w:rsidR="00ED23A8" w:rsidRPr="00561B68">
        <w:rPr>
          <w:lang w:val="en-GB"/>
        </w:rPr>
        <w:t>eaction and sorption kinetic models available in the literature</w:t>
      </w:r>
      <w:r w:rsidR="006A0764">
        <w:rPr>
          <w:lang w:val="en-GB"/>
        </w:rPr>
        <w:t xml:space="preserve"> (Smith, 2021).</w:t>
      </w:r>
      <w:r w:rsidR="006A0764" w:rsidRPr="00561B68">
        <w:rPr>
          <w:lang w:val="en-GB"/>
        </w:rPr>
        <w:t xml:space="preserve"> </w:t>
      </w:r>
      <w:r w:rsidR="00ED23A8" w:rsidRPr="00561B68">
        <w:rPr>
          <w:lang w:val="en-GB"/>
        </w:rPr>
        <w:t xml:space="preserve">Further, a cyclic batch operation schedule is proposed, i.e., a valve activation schedule: </w:t>
      </w:r>
      <w:r w:rsidR="00AF2899">
        <w:rPr>
          <w:lang w:val="en-GB"/>
        </w:rPr>
        <w:t>p</w:t>
      </w:r>
      <w:r w:rsidR="00ED23A8" w:rsidRPr="00561B68">
        <w:rPr>
          <w:lang w:val="en-GB"/>
        </w:rPr>
        <w:t xml:space="preserve">ressurization, </w:t>
      </w:r>
      <w:r w:rsidR="00ED23A8" w:rsidRPr="00561B68">
        <w:rPr>
          <w:lang w:val="en-GB"/>
        </w:rPr>
        <w:lastRenderedPageBreak/>
        <w:t>reaction/absorption</w:t>
      </w:r>
      <w:r w:rsidR="00ED23A8">
        <w:rPr>
          <w:lang w:val="en-GB"/>
        </w:rPr>
        <w:t xml:space="preserve"> </w:t>
      </w:r>
      <w:r w:rsidR="00ED23A8" w:rsidRPr="00561B68">
        <w:rPr>
          <w:lang w:val="en-GB"/>
        </w:rPr>
        <w:t>and desorption</w:t>
      </w:r>
      <w:r w:rsidR="00ED23A8">
        <w:rPr>
          <w:lang w:val="en-GB"/>
        </w:rPr>
        <w:t xml:space="preserve">, which is realised by temporal switching of </w:t>
      </w:r>
      <w:r w:rsidR="00ED23A8" w:rsidRPr="00903CA9">
        <w:rPr>
          <w:lang w:val="en-GB"/>
        </w:rPr>
        <w:t>the boundary conditions at the inlet and outlet</w:t>
      </w:r>
      <w:r w:rsidR="00975014">
        <w:rPr>
          <w:lang w:val="en-GB"/>
        </w:rPr>
        <w:t xml:space="preserve"> as described in</w:t>
      </w:r>
      <w:r w:rsidR="00305589">
        <w:rPr>
          <w:lang w:val="en-GB"/>
        </w:rPr>
        <w:t xml:space="preserve"> the</w:t>
      </w:r>
      <w:r w:rsidR="00975014">
        <w:rPr>
          <w:lang w:val="en-GB"/>
        </w:rPr>
        <w:t xml:space="preserve"> simulation of </w:t>
      </w:r>
      <w:r w:rsidR="00683CD3">
        <w:rPr>
          <w:lang w:val="en-GB"/>
        </w:rPr>
        <w:t>(</w:t>
      </w:r>
      <w:r w:rsidR="00975014">
        <w:rPr>
          <w:lang w:val="en-GB"/>
        </w:rPr>
        <w:t>pressure</w:t>
      </w:r>
      <w:r w:rsidR="00683CD3">
        <w:rPr>
          <w:lang w:val="en-GB"/>
        </w:rPr>
        <w:t> </w:t>
      </w:r>
      <w:r w:rsidR="00975014">
        <w:rPr>
          <w:lang w:val="en-GB"/>
        </w:rPr>
        <w:t>swing adsorption</w:t>
      </w:r>
      <w:r w:rsidR="00683CD3">
        <w:rPr>
          <w:lang w:val="en-GB"/>
        </w:rPr>
        <w:t>)</w:t>
      </w:r>
      <w:r w:rsidR="00975014">
        <w:rPr>
          <w:lang w:val="en-GB"/>
        </w:rPr>
        <w:t xml:space="preserve"> </w:t>
      </w:r>
      <w:r w:rsidR="0031553B">
        <w:rPr>
          <w:lang w:val="en-GB"/>
        </w:rPr>
        <w:t xml:space="preserve">PSA </w:t>
      </w:r>
      <w:r w:rsidR="00975014">
        <w:rPr>
          <w:lang w:val="en-GB"/>
        </w:rPr>
        <w:t>beds</w:t>
      </w:r>
      <w:r w:rsidR="00954577">
        <w:rPr>
          <w:lang w:val="en-GB"/>
        </w:rPr>
        <w:t xml:space="preserve"> (</w:t>
      </w:r>
      <w:r w:rsidR="00975014">
        <w:rPr>
          <w:lang w:val="en-GB"/>
        </w:rPr>
        <w:t>Moon</w:t>
      </w:r>
      <w:r w:rsidR="00954577">
        <w:rPr>
          <w:lang w:val="en-GB"/>
        </w:rPr>
        <w:t>,</w:t>
      </w:r>
      <w:r w:rsidR="00975014">
        <w:rPr>
          <w:lang w:val="en-GB"/>
        </w:rPr>
        <w:t xml:space="preserve"> </w:t>
      </w:r>
      <w:r w:rsidR="00954577">
        <w:rPr>
          <w:lang w:val="en-GB"/>
        </w:rPr>
        <w:t>2016)</w:t>
      </w:r>
      <w:r w:rsidR="007357F0">
        <w:rPr>
          <w:lang w:val="en-GB"/>
        </w:rPr>
        <w:t>.</w:t>
      </w:r>
      <w:r w:rsidR="00975014">
        <w:rPr>
          <w:lang w:val="en-GB"/>
        </w:rPr>
        <w:t xml:space="preserve"> </w:t>
      </w:r>
    </w:p>
    <w:p w14:paraId="4E8DCDA8" w14:textId="77777777" w:rsidR="00572D06" w:rsidRDefault="00572D06" w:rsidP="00F3035A">
      <w:pPr>
        <w:pStyle w:val="Els-body-text"/>
        <w:rPr>
          <w:lang w:val="en-GB"/>
        </w:rPr>
      </w:pPr>
    </w:p>
    <w:p w14:paraId="4AAE5554" w14:textId="2E4F286E" w:rsidR="00561B68" w:rsidRDefault="00ED23A8" w:rsidP="00561B68">
      <w:pPr>
        <w:pStyle w:val="Els-body-text"/>
        <w:rPr>
          <w:lang w:val="en-GB"/>
        </w:rPr>
      </w:pPr>
      <w:r>
        <w:rPr>
          <w:lang w:val="en-GB"/>
        </w:rPr>
        <w:t xml:space="preserve">The </w:t>
      </w:r>
      <w:r w:rsidRPr="00561B68">
        <w:rPr>
          <w:lang w:val="en-GB"/>
        </w:rPr>
        <w:t xml:space="preserve">PDAE </w:t>
      </w:r>
      <w:r w:rsidR="00561B68" w:rsidRPr="00561B68">
        <w:rPr>
          <w:lang w:val="en-GB"/>
        </w:rPr>
        <w:t>is spatially discretized</w:t>
      </w:r>
      <w:r w:rsidR="000A0EED">
        <w:rPr>
          <w:lang w:val="en-GB"/>
        </w:rPr>
        <w:t xml:space="preserve"> </w:t>
      </w:r>
      <w:r>
        <w:rPr>
          <w:lang w:val="en-GB"/>
        </w:rPr>
        <w:t>via</w:t>
      </w:r>
      <w:r w:rsidR="000A0EED">
        <w:rPr>
          <w:lang w:val="en-GB"/>
        </w:rPr>
        <w:t xml:space="preserve"> orthogonal collocation on finite elements</w:t>
      </w:r>
      <w:r w:rsidR="00561B68" w:rsidRPr="00561B68">
        <w:rPr>
          <w:lang w:val="en-GB"/>
        </w:rPr>
        <w:t xml:space="preserve"> to result in a DAE</w:t>
      </w:r>
      <w:r>
        <w:rPr>
          <w:lang w:val="en-GB"/>
        </w:rPr>
        <w:t xml:space="preserve">, which </w:t>
      </w:r>
      <w:r w:rsidR="003671C3">
        <w:rPr>
          <w:lang w:val="en-GB"/>
        </w:rPr>
        <w:t xml:space="preserve">permits the </w:t>
      </w:r>
      <w:r w:rsidR="004A621A">
        <w:rPr>
          <w:lang w:val="en-GB"/>
        </w:rPr>
        <w:t xml:space="preserve">usage </w:t>
      </w:r>
      <w:r w:rsidR="003671C3">
        <w:rPr>
          <w:lang w:val="en-GB"/>
        </w:rPr>
        <w:t>of</w:t>
      </w:r>
      <w:r w:rsidR="004A69B9" w:rsidRPr="00613750">
        <w:rPr>
          <w:lang w:val="en-GB"/>
        </w:rPr>
        <w:t xml:space="preserve"> </w:t>
      </w:r>
      <w:r w:rsidR="000A0EED" w:rsidRPr="00613750">
        <w:rPr>
          <w:lang w:val="en-GB"/>
        </w:rPr>
        <w:t xml:space="preserve">gradient-based </w:t>
      </w:r>
      <w:r w:rsidR="004A621A">
        <w:rPr>
          <w:lang w:val="en-GB"/>
        </w:rPr>
        <w:t xml:space="preserve">optimization </w:t>
      </w:r>
      <w:r w:rsidR="000A0EED" w:rsidRPr="00613750">
        <w:rPr>
          <w:lang w:val="en-GB"/>
        </w:rPr>
        <w:t>methods</w:t>
      </w:r>
      <w:r w:rsidR="00613750" w:rsidRPr="00613750">
        <w:rPr>
          <w:lang w:val="en-GB"/>
        </w:rPr>
        <w:t>.</w:t>
      </w:r>
      <w:r w:rsidR="00613750">
        <w:rPr>
          <w:lang w:val="en-GB"/>
        </w:rPr>
        <w:t xml:space="preserve"> </w:t>
      </w:r>
      <w:r w:rsidR="00561B68" w:rsidRPr="00561B68">
        <w:rPr>
          <w:lang w:val="en-GB"/>
        </w:rPr>
        <w:t xml:space="preserve">To handle the expected stiffness of the equation system </w:t>
      </w:r>
      <w:r w:rsidR="00613750">
        <w:rPr>
          <w:lang w:val="en-GB"/>
        </w:rPr>
        <w:t xml:space="preserve">the </w:t>
      </w:r>
      <w:proofErr w:type="spellStart"/>
      <w:r w:rsidR="00613750">
        <w:rPr>
          <w:lang w:val="en-GB"/>
        </w:rPr>
        <w:t>gProms</w:t>
      </w:r>
      <w:proofErr w:type="spellEnd"/>
      <w:r w:rsidR="002B1FC8" w:rsidRPr="004A541B">
        <w:rPr>
          <w:lang w:val="en-GB"/>
        </w:rPr>
        <w:t>®</w:t>
      </w:r>
      <w:r w:rsidR="00613750" w:rsidRPr="003154D8">
        <w:rPr>
          <w:vertAlign w:val="superscript"/>
          <w:lang w:val="en-GB"/>
        </w:rPr>
        <w:t xml:space="preserve"> </w:t>
      </w:r>
      <w:r w:rsidR="00613750">
        <w:rPr>
          <w:lang w:val="en-GB"/>
        </w:rPr>
        <w:t>modelling environment</w:t>
      </w:r>
      <w:r w:rsidR="00561B68" w:rsidRPr="00173800">
        <w:rPr>
          <w:color w:val="FF0000"/>
          <w:lang w:val="en-GB"/>
        </w:rPr>
        <w:t xml:space="preserve"> </w:t>
      </w:r>
      <w:r w:rsidR="00561B68" w:rsidRPr="005F5AEB">
        <w:rPr>
          <w:lang w:val="en-GB"/>
        </w:rPr>
        <w:t>is used</w:t>
      </w:r>
      <w:r w:rsidR="00561B68" w:rsidRPr="00561B68">
        <w:rPr>
          <w:lang w:val="en-GB"/>
        </w:rPr>
        <w:t>.</w:t>
      </w:r>
      <w:r w:rsidR="00027FDE">
        <w:rPr>
          <w:lang w:val="en-GB"/>
        </w:rPr>
        <w:t xml:space="preserve"> </w:t>
      </w:r>
      <w:r w:rsidR="009E6E8E">
        <w:rPr>
          <w:lang w:val="en-GB"/>
        </w:rPr>
        <w:t xml:space="preserve">The </w:t>
      </w:r>
      <w:r w:rsidR="00027FDE">
        <w:rPr>
          <w:lang w:val="en-GB"/>
        </w:rPr>
        <w:t>defined operation recipe re</w:t>
      </w:r>
      <w:r w:rsidR="00364DBC">
        <w:rPr>
          <w:lang w:val="en-GB"/>
        </w:rPr>
        <w:t>stricts</w:t>
      </w:r>
      <w:r w:rsidR="00027FDE">
        <w:rPr>
          <w:lang w:val="en-GB"/>
        </w:rPr>
        <w:t xml:space="preserve"> the </w:t>
      </w:r>
      <w:r w:rsidR="00364DBC">
        <w:rPr>
          <w:lang w:val="en-GB"/>
        </w:rPr>
        <w:t>control</w:t>
      </w:r>
      <w:r w:rsidR="00027FDE">
        <w:rPr>
          <w:lang w:val="en-GB"/>
        </w:rPr>
        <w:t xml:space="preserve"> space of the DAE to</w:t>
      </w:r>
      <w:r w:rsidR="003671C3">
        <w:rPr>
          <w:lang w:val="en-GB"/>
        </w:rPr>
        <w:t xml:space="preserve"> a set of</w:t>
      </w:r>
      <w:r w:rsidR="00027FDE">
        <w:rPr>
          <w:lang w:val="en-GB"/>
        </w:rPr>
        <w:t xml:space="preserve"> time-invariant recipe parameters</w:t>
      </w:r>
      <w:r w:rsidR="006A0764">
        <w:rPr>
          <w:lang w:val="en-GB"/>
        </w:rPr>
        <w:t xml:space="preserve"> (</w:t>
      </w:r>
      <w:proofErr w:type="spellStart"/>
      <w:r w:rsidR="006A0764">
        <w:rPr>
          <w:lang w:val="en-GB"/>
        </w:rPr>
        <w:t>Löwe</w:t>
      </w:r>
      <w:proofErr w:type="spellEnd"/>
      <w:r w:rsidR="006A0764">
        <w:rPr>
          <w:lang w:val="en-GB"/>
        </w:rPr>
        <w:t>, 2001)</w:t>
      </w:r>
      <w:r w:rsidR="00027FDE">
        <w:rPr>
          <w:lang w:val="en-GB"/>
        </w:rPr>
        <w:t>.</w:t>
      </w:r>
      <w:r w:rsidR="00C54C00">
        <w:rPr>
          <w:lang w:val="en-GB"/>
        </w:rPr>
        <w:t xml:space="preserve"> </w:t>
      </w:r>
      <w:r w:rsidR="009E6E8E">
        <w:rPr>
          <w:lang w:val="en-GB"/>
        </w:rPr>
        <w:t>Based on the developed model,</w:t>
      </w:r>
      <w:r w:rsidR="00401277">
        <w:rPr>
          <w:lang w:val="en-GB"/>
        </w:rPr>
        <w:t xml:space="preserve"> </w:t>
      </w:r>
      <w:proofErr w:type="gramStart"/>
      <w:r w:rsidR="00572D06">
        <w:rPr>
          <w:lang w:val="en-GB"/>
        </w:rPr>
        <w:t>several</w:t>
      </w:r>
      <w:r w:rsidR="00774DC8">
        <w:rPr>
          <w:lang w:val="en-GB"/>
        </w:rPr>
        <w:t xml:space="preserve"> </w:t>
      </w:r>
      <w:r w:rsidR="00C54C00">
        <w:rPr>
          <w:lang w:val="en-GB"/>
        </w:rPr>
        <w:t xml:space="preserve"> </w:t>
      </w:r>
      <w:r w:rsidR="00561B68" w:rsidRPr="00561B68">
        <w:rPr>
          <w:lang w:val="en-GB"/>
        </w:rPr>
        <w:t>(</w:t>
      </w:r>
      <w:proofErr w:type="gramEnd"/>
      <w:r w:rsidR="00561B68" w:rsidRPr="00561B68">
        <w:rPr>
          <w:lang w:val="en-GB"/>
        </w:rPr>
        <w:t>optimal control problem</w:t>
      </w:r>
      <w:r w:rsidR="00401277">
        <w:rPr>
          <w:lang w:val="en-GB"/>
        </w:rPr>
        <w:t>s</w:t>
      </w:r>
      <w:r w:rsidR="00561B68" w:rsidRPr="00561B68">
        <w:rPr>
          <w:lang w:val="en-GB"/>
        </w:rPr>
        <w:t>) OCP</w:t>
      </w:r>
      <w:r w:rsidR="00401277">
        <w:rPr>
          <w:lang w:val="en-GB"/>
        </w:rPr>
        <w:t>s</w:t>
      </w:r>
      <w:r w:rsidR="00561B68" w:rsidRPr="00561B68">
        <w:rPr>
          <w:lang w:val="en-GB"/>
        </w:rPr>
        <w:t xml:space="preserve"> to maximize the </w:t>
      </w:r>
      <w:r w:rsidR="00474201">
        <w:rPr>
          <w:lang w:val="en-GB"/>
        </w:rPr>
        <w:t>hydrogen conversion</w:t>
      </w:r>
      <w:r w:rsidR="00D82BDA">
        <w:rPr>
          <w:lang w:val="en-GB"/>
        </w:rPr>
        <w:t>,</w:t>
      </w:r>
      <w:r w:rsidR="00474201">
        <w:rPr>
          <w:lang w:val="en-GB"/>
        </w:rPr>
        <w:t xml:space="preserve"> NH</w:t>
      </w:r>
      <w:r w:rsidR="00474201" w:rsidRPr="003154D8">
        <w:rPr>
          <w:vertAlign w:val="subscript"/>
          <w:lang w:val="en-GB"/>
        </w:rPr>
        <w:t>3</w:t>
      </w:r>
      <w:r w:rsidR="00D82BDA">
        <w:rPr>
          <w:lang w:val="en-GB"/>
        </w:rPr>
        <w:t xml:space="preserve"> purity and </w:t>
      </w:r>
      <w:r w:rsidR="00474201">
        <w:rPr>
          <w:lang w:val="en-GB"/>
        </w:rPr>
        <w:t xml:space="preserve">the units’ </w:t>
      </w:r>
      <w:r w:rsidR="00D82BDA">
        <w:rPr>
          <w:lang w:val="en-GB"/>
        </w:rPr>
        <w:t>productivity</w:t>
      </w:r>
      <w:r w:rsidR="009E6E8E">
        <w:rPr>
          <w:lang w:val="en-GB"/>
        </w:rPr>
        <w:t xml:space="preserve"> </w:t>
      </w:r>
      <w:r w:rsidR="00474201">
        <w:rPr>
          <w:lang w:val="en-GB"/>
        </w:rPr>
        <w:t>are</w:t>
      </w:r>
      <w:r w:rsidR="009E6E8E">
        <w:rPr>
          <w:lang w:val="en-GB"/>
        </w:rPr>
        <w:t xml:space="preserve"> </w:t>
      </w:r>
      <w:r w:rsidR="009E6E8E" w:rsidRPr="00561B68">
        <w:rPr>
          <w:lang w:val="en-GB"/>
        </w:rPr>
        <w:t>formulate</w:t>
      </w:r>
      <w:r w:rsidR="009E6E8E">
        <w:rPr>
          <w:lang w:val="en-GB"/>
        </w:rPr>
        <w:t>d</w:t>
      </w:r>
      <w:r w:rsidR="00561B68" w:rsidRPr="00561B68">
        <w:rPr>
          <w:lang w:val="en-GB"/>
        </w:rPr>
        <w:t>. Thus, the goal</w:t>
      </w:r>
      <w:r w:rsidR="006452F0">
        <w:rPr>
          <w:lang w:val="en-GB"/>
        </w:rPr>
        <w:t xml:space="preserve"> </w:t>
      </w:r>
      <w:r w:rsidR="00561B68" w:rsidRPr="00561B68">
        <w:rPr>
          <w:lang w:val="en-GB"/>
        </w:rPr>
        <w:t xml:space="preserve">is to identify optimal </w:t>
      </w:r>
      <w:r w:rsidR="006452F0">
        <w:rPr>
          <w:lang w:val="en-GB"/>
        </w:rPr>
        <w:t>recipe parameters</w:t>
      </w:r>
      <w:r w:rsidR="007A1282">
        <w:rPr>
          <w:lang w:val="en-GB"/>
        </w:rPr>
        <w:t xml:space="preserve"> </w:t>
      </w:r>
      <w:r w:rsidR="00E26E90">
        <w:rPr>
          <w:lang w:val="en-GB"/>
        </w:rPr>
        <w:t>for</w:t>
      </w:r>
      <w:r w:rsidR="00561B68" w:rsidRPr="00561B68">
        <w:rPr>
          <w:lang w:val="en-GB"/>
        </w:rPr>
        <w:t xml:space="preserve"> this recycle-less (</w:t>
      </w:r>
      <w:r w:rsidR="00391A5E">
        <w:rPr>
          <w:lang w:val="en-GB"/>
        </w:rPr>
        <w:t xml:space="preserve">i.e., </w:t>
      </w:r>
      <w:r w:rsidR="00561B68" w:rsidRPr="00561B68">
        <w:rPr>
          <w:lang w:val="en-GB"/>
        </w:rPr>
        <w:t>single-pass) NH</w:t>
      </w:r>
      <w:r w:rsidR="00561B68" w:rsidRPr="00510E46">
        <w:rPr>
          <w:vertAlign w:val="subscript"/>
          <w:lang w:val="en-GB"/>
        </w:rPr>
        <w:t>3</w:t>
      </w:r>
      <w:r w:rsidR="00561B68" w:rsidRPr="00561B68">
        <w:rPr>
          <w:lang w:val="en-GB"/>
        </w:rPr>
        <w:t xml:space="preserve"> synthesis reactor.</w:t>
      </w:r>
    </w:p>
    <w:p w14:paraId="79155E80" w14:textId="0FDA043E" w:rsidR="00A072CD" w:rsidRDefault="00A072CD" w:rsidP="00A072CD">
      <w:pPr>
        <w:pStyle w:val="Els-1storder-head"/>
        <w:spacing w:after="120"/>
        <w:rPr>
          <w:lang w:val="en-GB"/>
        </w:rPr>
      </w:pPr>
      <w:r>
        <w:rPr>
          <w:lang w:val="en-GB"/>
        </w:rPr>
        <w:t>Results and Discussion</w:t>
      </w:r>
    </w:p>
    <w:p w14:paraId="2CF8CFC7" w14:textId="6654A8E9" w:rsidR="00572D06" w:rsidRDefault="0057615D" w:rsidP="00E22A0D">
      <w:pPr>
        <w:pStyle w:val="Els-body-text"/>
        <w:rPr>
          <w:lang w:val="en-GB"/>
        </w:rPr>
      </w:pPr>
      <w:r>
        <w:rPr>
          <w:lang w:val="en-GB"/>
        </w:rPr>
        <w:t xml:space="preserve">To </w:t>
      </w:r>
      <w:r w:rsidR="00947E5E">
        <w:rPr>
          <w:lang w:val="en-GB"/>
        </w:rPr>
        <w:t xml:space="preserve">evaluate </w:t>
      </w:r>
      <w:r>
        <w:rPr>
          <w:lang w:val="en-GB"/>
        </w:rPr>
        <w:t xml:space="preserve">the potential </w:t>
      </w:r>
      <w:r w:rsidR="00AF2899">
        <w:rPr>
          <w:lang w:val="en-GB"/>
        </w:rPr>
        <w:t>for</w:t>
      </w:r>
      <w:r>
        <w:rPr>
          <w:lang w:val="en-GB"/>
        </w:rPr>
        <w:t xml:space="preserve"> improvement in single-pass conversion for the integrated reactor-sorption system, </w:t>
      </w:r>
      <w:r w:rsidR="00561B68" w:rsidRPr="00CF39A8">
        <w:rPr>
          <w:lang w:val="en-GB"/>
        </w:rPr>
        <w:t>a sensitivity study</w:t>
      </w:r>
      <w:r>
        <w:rPr>
          <w:lang w:val="en-GB"/>
        </w:rPr>
        <w:t xml:space="preserve"> is performed. Here</w:t>
      </w:r>
      <w:r w:rsidR="00561B68" w:rsidRPr="00CF39A8">
        <w:rPr>
          <w:lang w:val="en-GB"/>
        </w:rPr>
        <w:t xml:space="preserve">, </w:t>
      </w:r>
      <w:r w:rsidR="003671C3">
        <w:rPr>
          <w:lang w:val="en-GB"/>
        </w:rPr>
        <w:t xml:space="preserve">the </w:t>
      </w:r>
      <w:r w:rsidR="00883525">
        <w:rPr>
          <w:lang w:val="en-GB"/>
        </w:rPr>
        <w:t xml:space="preserve">inlet pressure </w:t>
      </w:r>
      <w:r w:rsidR="003671C3">
        <w:rPr>
          <w:lang w:val="en-GB"/>
        </w:rPr>
        <w:t xml:space="preserve">during </w:t>
      </w:r>
      <w:r w:rsidR="00883525">
        <w:rPr>
          <w:lang w:val="en-GB"/>
        </w:rPr>
        <w:t>pressurization</w:t>
      </w:r>
      <w:r w:rsidR="003671C3">
        <w:rPr>
          <w:lang w:val="en-GB"/>
        </w:rPr>
        <w:t xml:space="preserve"> </w:t>
      </w:r>
      <w:r w:rsidR="00883525">
        <w:rPr>
          <w:lang w:val="en-GB"/>
        </w:rPr>
        <w:t>p</w:t>
      </w:r>
      <w:r w:rsidR="002B1FC8">
        <w:rPr>
          <w:vertAlign w:val="subscript"/>
          <w:lang w:val="en-GB"/>
        </w:rPr>
        <w:t>H</w:t>
      </w:r>
      <w:r w:rsidR="00883525">
        <w:rPr>
          <w:lang w:val="en-GB"/>
        </w:rPr>
        <w:t xml:space="preserve"> and the outlet pressure during desorption</w:t>
      </w:r>
      <w:r w:rsidR="002B1FC8">
        <w:rPr>
          <w:lang w:val="en-GB"/>
        </w:rPr>
        <w:t xml:space="preserve"> </w:t>
      </w:r>
      <w:proofErr w:type="spellStart"/>
      <w:r w:rsidR="002B1FC8">
        <w:rPr>
          <w:lang w:val="en-GB"/>
        </w:rPr>
        <w:t>p</w:t>
      </w:r>
      <w:r w:rsidR="002B1FC8">
        <w:rPr>
          <w:vertAlign w:val="subscript"/>
          <w:lang w:val="en-GB"/>
        </w:rPr>
        <w:t>L</w:t>
      </w:r>
      <w:proofErr w:type="spellEnd"/>
      <w:r w:rsidR="00883525">
        <w:rPr>
          <w:lang w:val="en-GB"/>
        </w:rPr>
        <w:t xml:space="preserve"> are</w:t>
      </w:r>
      <w:r w:rsidR="00561B68" w:rsidRPr="00CF39A8">
        <w:rPr>
          <w:lang w:val="en-GB"/>
        </w:rPr>
        <w:t xml:space="preserve"> varied </w:t>
      </w:r>
      <w:r w:rsidR="00883525">
        <w:rPr>
          <w:lang w:val="en-GB"/>
        </w:rPr>
        <w:t xml:space="preserve">from </w:t>
      </w:r>
      <w:r w:rsidR="00561B68" w:rsidRPr="00CF39A8">
        <w:rPr>
          <w:lang w:val="en-GB"/>
        </w:rPr>
        <w:t>20-</w:t>
      </w:r>
      <w:r w:rsidR="00903CA9">
        <w:rPr>
          <w:lang w:val="en-GB"/>
        </w:rPr>
        <w:t>10</w:t>
      </w:r>
      <w:r w:rsidR="00561B68" w:rsidRPr="00CF39A8">
        <w:rPr>
          <w:lang w:val="en-GB"/>
        </w:rPr>
        <w:t xml:space="preserve">0 bar </w:t>
      </w:r>
      <w:r w:rsidR="00883525">
        <w:rPr>
          <w:lang w:val="en-GB"/>
        </w:rPr>
        <w:t>and 2–1</w:t>
      </w:r>
      <w:r w:rsidR="0016698C">
        <w:rPr>
          <w:lang w:val="en-GB"/>
        </w:rPr>
        <w:t>2</w:t>
      </w:r>
      <w:r w:rsidR="00883525">
        <w:rPr>
          <w:lang w:val="en-GB"/>
        </w:rPr>
        <w:t xml:space="preserve"> bar, respectively. The inlet composition </w:t>
      </w:r>
      <w:r w:rsidR="00AF2899">
        <w:rPr>
          <w:lang w:val="en-GB"/>
        </w:rPr>
        <w:t xml:space="preserve">is </w:t>
      </w:r>
      <w:r w:rsidR="00883525">
        <w:rPr>
          <w:lang w:val="en-GB"/>
        </w:rPr>
        <w:t>set to a</w:t>
      </w:r>
      <w:r w:rsidR="00561B68" w:rsidRPr="00CF39A8">
        <w:rPr>
          <w:lang w:val="en-GB"/>
        </w:rPr>
        <w:t xml:space="preserve"> stoichiometric H2/N2 molar ratio</w:t>
      </w:r>
      <w:r w:rsidR="00883525">
        <w:rPr>
          <w:lang w:val="en-GB"/>
        </w:rPr>
        <w:t xml:space="preserve"> along with a uniform temperature </w:t>
      </w:r>
      <w:r w:rsidR="000C0473">
        <w:rPr>
          <w:lang w:val="en-GB"/>
        </w:rPr>
        <w:t xml:space="preserve">over the whole domain of </w:t>
      </w:r>
      <w:r w:rsidR="00883525">
        <w:rPr>
          <w:lang w:val="en-GB"/>
        </w:rPr>
        <w:t xml:space="preserve">T = 573 K. </w:t>
      </w:r>
      <w:r w:rsidR="00876307">
        <w:rPr>
          <w:lang w:val="en-GB"/>
        </w:rPr>
        <w:t xml:space="preserve"> The results of the simulation campaign </w:t>
      </w:r>
      <w:r w:rsidR="0016698C">
        <w:rPr>
          <w:lang w:val="en-GB"/>
        </w:rPr>
        <w:t>are</w:t>
      </w:r>
      <w:r w:rsidR="00876307">
        <w:rPr>
          <w:lang w:val="en-GB"/>
        </w:rPr>
        <w:t xml:space="preserve"> shown in Figure 1.</w:t>
      </w:r>
    </w:p>
    <w:p w14:paraId="19D15ED6" w14:textId="0399AC03" w:rsidR="00997BD9" w:rsidRDefault="00997BD9" w:rsidP="00E22A0D">
      <w:pPr>
        <w:pStyle w:val="Els-body-text"/>
        <w:rPr>
          <w:color w:val="FF0000"/>
          <w:lang w:val="en-GB"/>
        </w:rPr>
      </w:pPr>
    </w:p>
    <w:p w14:paraId="7E1C408A" w14:textId="7656E34A" w:rsidR="00D50DC6" w:rsidRDefault="00903CA9" w:rsidP="00903CA9">
      <w:pPr>
        <w:pStyle w:val="Els-body-text"/>
        <w:rPr>
          <w:lang w:val="en-GB"/>
        </w:rPr>
      </w:pPr>
      <w:r w:rsidRPr="00903CA9">
        <w:rPr>
          <w:lang w:val="en-GB"/>
        </w:rPr>
        <w:t>We calculate a maximum achievable single-pass conversion of the integrated sorption-reaction unit of Y</w:t>
      </w:r>
      <w:r w:rsidRPr="00903CA9">
        <w:rPr>
          <w:vertAlign w:val="subscript"/>
          <w:lang w:val="en-GB"/>
        </w:rPr>
        <w:t>H2</w:t>
      </w:r>
      <w:r w:rsidRPr="00903CA9">
        <w:rPr>
          <w:lang w:val="en-GB"/>
        </w:rPr>
        <w:t xml:space="preserve"> = 7</w:t>
      </w:r>
      <w:r w:rsidR="004A541B">
        <w:rPr>
          <w:lang w:val="en-GB"/>
        </w:rPr>
        <w:t xml:space="preserve">6 </w:t>
      </w:r>
      <w:r w:rsidRPr="00903CA9">
        <w:rPr>
          <w:lang w:val="en-GB"/>
        </w:rPr>
        <w:t>%</w:t>
      </w:r>
      <w:r w:rsidR="0016698C">
        <w:rPr>
          <w:lang w:val="en-GB"/>
        </w:rPr>
        <w:t xml:space="preserve"> at a</w:t>
      </w:r>
      <w:r w:rsidR="00AF2899">
        <w:rPr>
          <w:lang w:val="en-GB"/>
        </w:rPr>
        <w:t xml:space="preserve"> time </w:t>
      </w:r>
      <w:r w:rsidR="0016698C">
        <w:rPr>
          <w:lang w:val="en-GB"/>
        </w:rPr>
        <w:t>av</w:t>
      </w:r>
      <w:r w:rsidR="00AF2899">
        <w:rPr>
          <w:lang w:val="en-GB"/>
        </w:rPr>
        <w:t>eraged</w:t>
      </w:r>
      <w:r w:rsidR="0016698C">
        <w:rPr>
          <w:lang w:val="en-GB"/>
        </w:rPr>
        <w:t xml:space="preserve"> outlet ammonia molar fraction of </w:t>
      </w:r>
      <w:r w:rsidR="0016698C" w:rsidRPr="00B558C6">
        <w:rPr>
          <w:lang w:val="en-GB"/>
        </w:rPr>
        <w:t>x</w:t>
      </w:r>
      <w:r w:rsidR="0016698C" w:rsidRPr="00B558C6">
        <w:rPr>
          <w:vertAlign w:val="subscript"/>
          <w:lang w:val="en-GB"/>
        </w:rPr>
        <w:t>NH</w:t>
      </w:r>
      <w:proofErr w:type="gramStart"/>
      <w:r w:rsidR="0016698C" w:rsidRPr="00B558C6">
        <w:rPr>
          <w:vertAlign w:val="subscript"/>
          <w:lang w:val="en-GB"/>
        </w:rPr>
        <w:t>3</w:t>
      </w:r>
      <w:r w:rsidR="004A541B" w:rsidRPr="00B558C6">
        <w:rPr>
          <w:vertAlign w:val="subscript"/>
          <w:lang w:val="en-GB"/>
        </w:rPr>
        <w:t>,ou</w:t>
      </w:r>
      <w:r w:rsidR="00FF6C8B" w:rsidRPr="00B558C6">
        <w:rPr>
          <w:vertAlign w:val="subscript"/>
          <w:lang w:val="en-GB"/>
        </w:rPr>
        <w:t>t</w:t>
      </w:r>
      <w:proofErr w:type="gramEnd"/>
      <w:r w:rsidR="00FF6C8B" w:rsidRPr="00B558C6">
        <w:rPr>
          <w:vertAlign w:val="subscript"/>
          <w:lang w:val="en-GB"/>
        </w:rPr>
        <w:t> </w:t>
      </w:r>
      <w:r w:rsidR="0016698C">
        <w:rPr>
          <w:lang w:val="en-GB"/>
        </w:rPr>
        <w:t>=</w:t>
      </w:r>
      <w:r w:rsidR="00FF6C8B">
        <w:rPr>
          <w:lang w:val="en-GB"/>
        </w:rPr>
        <w:t> </w:t>
      </w:r>
      <w:r w:rsidR="0016698C">
        <w:rPr>
          <w:lang w:val="en-GB"/>
        </w:rPr>
        <w:t>59</w:t>
      </w:r>
      <w:r w:rsidR="00FF6C8B">
        <w:rPr>
          <w:lang w:val="en-GB"/>
        </w:rPr>
        <w:t> </w:t>
      </w:r>
      <w:r w:rsidR="0016698C">
        <w:rPr>
          <w:lang w:val="en-GB"/>
        </w:rPr>
        <w:t>%</w:t>
      </w:r>
      <w:r w:rsidR="002B1FC8">
        <w:rPr>
          <w:color w:val="FF0000"/>
          <w:lang w:val="en-GB"/>
        </w:rPr>
        <w:t xml:space="preserve"> </w:t>
      </w:r>
      <w:r w:rsidR="002B1FC8">
        <w:rPr>
          <w:lang w:val="en-GB"/>
        </w:rPr>
        <w:t>at p</w:t>
      </w:r>
      <w:r w:rsidR="002B1FC8">
        <w:rPr>
          <w:vertAlign w:val="subscript"/>
          <w:lang w:val="en-GB"/>
        </w:rPr>
        <w:t>H</w:t>
      </w:r>
      <w:r w:rsidR="002B1FC8">
        <w:rPr>
          <w:lang w:val="en-GB"/>
        </w:rPr>
        <w:t xml:space="preserve"> </w:t>
      </w:r>
      <w:r w:rsidR="002B1FC8" w:rsidRPr="002B1FC8">
        <w:rPr>
          <w:lang w:val="en-GB"/>
        </w:rPr>
        <w:t>=</w:t>
      </w:r>
      <w:r w:rsidR="00876307" w:rsidRPr="002B1FC8">
        <w:rPr>
          <w:lang w:val="en-GB"/>
        </w:rPr>
        <w:t xml:space="preserve"> </w:t>
      </w:r>
      <w:r w:rsidR="002B1FC8" w:rsidRPr="002B1FC8">
        <w:rPr>
          <w:lang w:val="en-GB"/>
        </w:rPr>
        <w:t xml:space="preserve">100 bar and </w:t>
      </w:r>
      <w:proofErr w:type="spellStart"/>
      <w:r w:rsidR="002B1FC8">
        <w:rPr>
          <w:lang w:val="en-GB"/>
        </w:rPr>
        <w:t>p</w:t>
      </w:r>
      <w:r w:rsidR="00572D06">
        <w:rPr>
          <w:vertAlign w:val="subscript"/>
          <w:lang w:val="en-GB"/>
        </w:rPr>
        <w:t>L</w:t>
      </w:r>
      <w:proofErr w:type="spellEnd"/>
      <w:r w:rsidR="002B1FC8">
        <w:rPr>
          <w:lang w:val="en-GB"/>
        </w:rPr>
        <w:t xml:space="preserve"> = 2 bar. </w:t>
      </w:r>
      <w:r w:rsidR="004A541B">
        <w:rPr>
          <w:lang w:val="en-GB"/>
        </w:rPr>
        <w:t xml:space="preserve">Integration with a </w:t>
      </w:r>
      <w:r w:rsidR="001B49B1">
        <w:rPr>
          <w:lang w:val="en-GB"/>
        </w:rPr>
        <w:t>gradient</w:t>
      </w:r>
      <w:r w:rsidR="004A541B">
        <w:rPr>
          <w:lang w:val="en-GB"/>
        </w:rPr>
        <w:t>-free optimization algorithm in MATLAB</w:t>
      </w:r>
      <w:r w:rsidR="004A541B" w:rsidRPr="004A541B">
        <w:rPr>
          <w:lang w:val="en-GB"/>
        </w:rPr>
        <w:t>®</w:t>
      </w:r>
      <w:r w:rsidR="00300449">
        <w:rPr>
          <w:lang w:val="en-GB"/>
        </w:rPr>
        <w:t xml:space="preserve"> </w:t>
      </w:r>
      <w:r w:rsidR="002B1FC8">
        <w:rPr>
          <w:lang w:val="en-GB"/>
        </w:rPr>
        <w:t>results in</w:t>
      </w:r>
      <w:r w:rsidR="0016698C">
        <w:rPr>
          <w:lang w:val="en-GB"/>
        </w:rPr>
        <w:t xml:space="preserve"> the same, yet trivial, optimal recipe parameters.</w:t>
      </w:r>
    </w:p>
    <w:p w14:paraId="351F0B45" w14:textId="77777777" w:rsidR="00572D06" w:rsidRPr="00876307" w:rsidRDefault="00572D06" w:rsidP="00903CA9">
      <w:pPr>
        <w:pStyle w:val="Els-body-text"/>
        <w:rPr>
          <w:lang w:val="en-GB"/>
        </w:rPr>
      </w:pPr>
    </w:p>
    <w:p w14:paraId="15945782" w14:textId="432FBF1D" w:rsidR="00391A5E" w:rsidRDefault="00391A5E" w:rsidP="00355F7F">
      <w:pPr>
        <w:pStyle w:val="Els-body-text"/>
        <w:rPr>
          <w:lang w:val="en-GB"/>
        </w:rPr>
      </w:pPr>
      <w:r>
        <w:rPr>
          <w:noProof/>
          <w:lang w:val="en-GB"/>
        </w:rPr>
        <w:drawing>
          <wp:anchor distT="0" distB="0" distL="114300" distR="114300" simplePos="0" relativeHeight="251659264" behindDoc="0" locked="0" layoutInCell="1" allowOverlap="1" wp14:anchorId="1B8AA45D" wp14:editId="6413D5DC">
            <wp:simplePos x="0" y="0"/>
            <wp:positionH relativeFrom="column">
              <wp:posOffset>12700</wp:posOffset>
            </wp:positionH>
            <wp:positionV relativeFrom="paragraph">
              <wp:posOffset>1383665</wp:posOffset>
            </wp:positionV>
            <wp:extent cx="4425950" cy="1176059"/>
            <wp:effectExtent l="0" t="0" r="0" b="50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94" r="6852"/>
                    <a:stretch/>
                  </pic:blipFill>
                  <pic:spPr bwMode="auto">
                    <a:xfrm>
                      <a:off x="0" y="0"/>
                      <a:ext cx="4425950" cy="1176059"/>
                    </a:xfrm>
                    <a:prstGeom prst="rect">
                      <a:avLst/>
                    </a:prstGeom>
                    <a:noFill/>
                    <a:ln>
                      <a:noFill/>
                    </a:ln>
                    <a:extLst>
                      <a:ext uri="{53640926-AAD7-44D8-BBD7-CCE9431645EC}">
                        <a14:shadowObscured xmlns:a14="http://schemas.microsoft.com/office/drawing/2010/main"/>
                      </a:ext>
                    </a:extLst>
                  </pic:spPr>
                </pic:pic>
              </a:graphicData>
            </a:graphic>
          </wp:anchor>
        </w:drawing>
      </w:r>
      <w:r w:rsidR="00A460FD">
        <w:rPr>
          <w:lang w:val="en-GB"/>
        </w:rPr>
        <w:t xml:space="preserve">The </w:t>
      </w:r>
      <w:r w:rsidR="0016698C">
        <w:rPr>
          <w:lang w:val="en-GB"/>
        </w:rPr>
        <w:t>simulations indicate that s</w:t>
      </w:r>
      <w:r w:rsidR="00561B68" w:rsidRPr="00561B68">
        <w:rPr>
          <w:lang w:val="en-GB"/>
        </w:rPr>
        <w:t>orbent material</w:t>
      </w:r>
      <w:r w:rsidR="00903CA9">
        <w:rPr>
          <w:lang w:val="en-GB"/>
        </w:rPr>
        <w:t xml:space="preserve"> integration</w:t>
      </w:r>
      <w:r w:rsidR="00561B68" w:rsidRPr="00561B68">
        <w:rPr>
          <w:lang w:val="en-GB"/>
        </w:rPr>
        <w:t xml:space="preserve"> enables a single-pass H2-conversion </w:t>
      </w:r>
      <w:r w:rsidR="00997BD9">
        <w:rPr>
          <w:lang w:val="en-GB"/>
        </w:rPr>
        <w:t xml:space="preserve">well beyond the </w:t>
      </w:r>
      <w:r w:rsidR="00A460FD">
        <w:rPr>
          <w:lang w:val="en-GB"/>
        </w:rPr>
        <w:t xml:space="preserve">chemical </w:t>
      </w:r>
      <w:r w:rsidR="00997BD9">
        <w:rPr>
          <w:lang w:val="en-GB"/>
        </w:rPr>
        <w:t>reaction equilibrium</w:t>
      </w:r>
      <w:r w:rsidR="00561B68" w:rsidRPr="00561B68">
        <w:rPr>
          <w:lang w:val="en-GB"/>
        </w:rPr>
        <w:t>.</w:t>
      </w:r>
      <w:r w:rsidR="0093128A">
        <w:rPr>
          <w:lang w:val="en-GB"/>
        </w:rPr>
        <w:t xml:space="preserve"> </w:t>
      </w:r>
      <w:r w:rsidR="00B31224">
        <w:rPr>
          <w:lang w:val="en-GB"/>
        </w:rPr>
        <w:t>S</w:t>
      </w:r>
      <w:r w:rsidR="0093128A">
        <w:rPr>
          <w:lang w:val="en-GB"/>
        </w:rPr>
        <w:t xml:space="preserve">ensitivity studies </w:t>
      </w:r>
      <w:r w:rsidR="007A6B78">
        <w:rPr>
          <w:lang w:val="en-GB"/>
        </w:rPr>
        <w:t xml:space="preserve">on both </w:t>
      </w:r>
      <w:r w:rsidR="0093128A">
        <w:rPr>
          <w:lang w:val="en-GB"/>
        </w:rPr>
        <w:t xml:space="preserve">the temperature window </w:t>
      </w:r>
      <w:r w:rsidR="007A6B78">
        <w:rPr>
          <w:lang w:val="en-GB"/>
        </w:rPr>
        <w:t xml:space="preserve">and the </w:t>
      </w:r>
      <w:r w:rsidR="00B31224">
        <w:rPr>
          <w:lang w:val="en-GB"/>
        </w:rPr>
        <w:t>reaction/sorption kinetic models</w:t>
      </w:r>
      <w:r w:rsidR="007A6B78">
        <w:rPr>
          <w:lang w:val="en-GB"/>
        </w:rPr>
        <w:t xml:space="preserve"> are</w:t>
      </w:r>
      <w:r w:rsidR="0093128A">
        <w:rPr>
          <w:lang w:val="en-GB"/>
        </w:rPr>
        <w:t xml:space="preserve"> </w:t>
      </w:r>
      <w:r w:rsidR="007A6B78">
        <w:rPr>
          <w:lang w:val="en-GB"/>
        </w:rPr>
        <w:t>conducted to</w:t>
      </w:r>
      <w:r w:rsidR="00B31224">
        <w:rPr>
          <w:lang w:val="en-GB"/>
        </w:rPr>
        <w:t xml:space="preserve"> define</w:t>
      </w:r>
      <w:r w:rsidR="007A6B78">
        <w:rPr>
          <w:lang w:val="en-GB"/>
        </w:rPr>
        <w:t xml:space="preserve"> the </w:t>
      </w:r>
      <w:r w:rsidR="00B6252F">
        <w:rPr>
          <w:lang w:val="en-GB"/>
        </w:rPr>
        <w:t xml:space="preserve">performance </w:t>
      </w:r>
      <w:r w:rsidR="007A6B78">
        <w:rPr>
          <w:lang w:val="en-GB"/>
        </w:rPr>
        <w:t>targets for catalyst and sorbent material development.</w:t>
      </w:r>
      <w:r w:rsidR="0093128A">
        <w:rPr>
          <w:lang w:val="en-GB"/>
        </w:rPr>
        <w:t xml:space="preserve"> In general,</w:t>
      </w:r>
      <w:r w:rsidR="007A6B78">
        <w:rPr>
          <w:lang w:val="en-GB"/>
        </w:rPr>
        <w:t xml:space="preserve"> </w:t>
      </w:r>
      <w:r w:rsidR="0093128A">
        <w:rPr>
          <w:lang w:val="en-GB"/>
        </w:rPr>
        <w:t>f</w:t>
      </w:r>
      <w:r w:rsidR="00561B68" w:rsidRPr="00561B68">
        <w:rPr>
          <w:lang w:val="en-GB"/>
        </w:rPr>
        <w:t xml:space="preserve">ast adsorption/desorption kinetics </w:t>
      </w:r>
      <w:r w:rsidR="0093128A">
        <w:rPr>
          <w:lang w:val="en-GB"/>
        </w:rPr>
        <w:t xml:space="preserve">at a high sorbent working capacity </w:t>
      </w:r>
      <w:r w:rsidR="00561B68" w:rsidRPr="00561B68">
        <w:rPr>
          <w:lang w:val="en-GB"/>
        </w:rPr>
        <w:t>allow for a high feed throughput</w:t>
      </w:r>
      <w:r w:rsidR="00B31224">
        <w:rPr>
          <w:lang w:val="en-GB"/>
        </w:rPr>
        <w:t xml:space="preserve"> and conversion</w:t>
      </w:r>
      <w:r w:rsidR="00561B68" w:rsidRPr="00561B68">
        <w:rPr>
          <w:lang w:val="en-GB"/>
        </w:rPr>
        <w:t>. However, a large sorption hysteresis</w:t>
      </w:r>
      <w:r w:rsidR="0093128A">
        <w:rPr>
          <w:lang w:val="en-GB"/>
        </w:rPr>
        <w:t xml:space="preserve"> (effectively decreasing the working capacity of the sorbent)</w:t>
      </w:r>
      <w:r w:rsidR="00561B68" w:rsidRPr="00561B68">
        <w:rPr>
          <w:lang w:val="en-GB"/>
        </w:rPr>
        <w:t>, back-reaction in the presence of the catalyst, and sorbent/catalyst material interactions</w:t>
      </w:r>
      <w:r w:rsidR="007A6B78">
        <w:rPr>
          <w:lang w:val="en-GB"/>
        </w:rPr>
        <w:t xml:space="preserve"> could occur.</w:t>
      </w:r>
      <w:r w:rsidR="00561B68" w:rsidRPr="00561B68">
        <w:rPr>
          <w:lang w:val="en-GB"/>
        </w:rPr>
        <w:t xml:space="preserve"> </w:t>
      </w:r>
      <w:r w:rsidR="007A6B78">
        <w:rPr>
          <w:lang w:val="en-GB"/>
        </w:rPr>
        <w:t>All the</w:t>
      </w:r>
      <w:r w:rsidR="00B6252F">
        <w:rPr>
          <w:lang w:val="en-GB"/>
        </w:rPr>
        <w:t>se</w:t>
      </w:r>
      <w:r w:rsidR="007A6B78">
        <w:rPr>
          <w:lang w:val="en-GB"/>
        </w:rPr>
        <w:t xml:space="preserve"> effects would</w:t>
      </w:r>
      <w:r w:rsidR="00561B68" w:rsidRPr="00561B68">
        <w:rPr>
          <w:lang w:val="en-GB"/>
        </w:rPr>
        <w:t xml:space="preserve"> be detrimental</w:t>
      </w:r>
      <w:r w:rsidR="0093128A">
        <w:rPr>
          <w:lang w:val="en-GB"/>
        </w:rPr>
        <w:t xml:space="preserve"> to the </w:t>
      </w:r>
      <w:r w:rsidR="00B31224">
        <w:rPr>
          <w:lang w:val="en-GB"/>
        </w:rPr>
        <w:t>conversion</w:t>
      </w:r>
      <w:r w:rsidR="0093128A">
        <w:rPr>
          <w:lang w:val="en-GB"/>
        </w:rPr>
        <w:t xml:space="preserve"> </w:t>
      </w:r>
      <w:r w:rsidR="007A6B78">
        <w:rPr>
          <w:lang w:val="en-GB"/>
        </w:rPr>
        <w:t>performance of the integrated reaction-sorption unit</w:t>
      </w:r>
      <w:r w:rsidR="00561B68" w:rsidRPr="00561B68">
        <w:rPr>
          <w:lang w:val="en-GB"/>
        </w:rPr>
        <w:t>.</w:t>
      </w:r>
    </w:p>
    <w:p w14:paraId="5D2A1AFC" w14:textId="1BBF5108" w:rsidR="00561B68" w:rsidRDefault="00391A5E" w:rsidP="00561B68">
      <w:pPr>
        <w:pStyle w:val="Els-body-text"/>
        <w:rPr>
          <w:lang w:val="en-GB"/>
        </w:rPr>
      </w:pPr>
      <w:r w:rsidRPr="00391A5E">
        <w:rPr>
          <w:b/>
          <w:bCs/>
          <w:sz w:val="16"/>
          <w:szCs w:val="16"/>
        </w:rPr>
        <w:t xml:space="preserve"> </w:t>
      </w:r>
      <w:r w:rsidRPr="00510E46">
        <w:rPr>
          <w:b/>
          <w:bCs/>
          <w:sz w:val="16"/>
          <w:szCs w:val="16"/>
        </w:rPr>
        <w:t>Figure 1.</w:t>
      </w:r>
      <w:r>
        <w:rPr>
          <w:b/>
          <w:bCs/>
          <w:sz w:val="16"/>
          <w:szCs w:val="16"/>
        </w:rPr>
        <w:t xml:space="preserve"> </w:t>
      </w:r>
      <w:r>
        <w:rPr>
          <w:sz w:val="16"/>
          <w:szCs w:val="16"/>
        </w:rPr>
        <w:t>Calculated reactor single-pass conversion (left) and average molar fraction ammonia molar fraction at the outlet (right) for</w:t>
      </w:r>
      <w:r w:rsidRPr="009E28BB">
        <w:rPr>
          <w:sz w:val="16"/>
          <w:szCs w:val="16"/>
        </w:rPr>
        <w:t xml:space="preserve"> varying inlet </w:t>
      </w:r>
      <w:r>
        <w:rPr>
          <w:sz w:val="16"/>
          <w:szCs w:val="16"/>
        </w:rPr>
        <w:t>(p</w:t>
      </w:r>
      <w:r w:rsidRPr="009E28BB">
        <w:rPr>
          <w:sz w:val="16"/>
          <w:szCs w:val="16"/>
          <w:vertAlign w:val="subscript"/>
        </w:rPr>
        <w:t>H</w:t>
      </w:r>
      <w:r>
        <w:rPr>
          <w:sz w:val="16"/>
          <w:szCs w:val="16"/>
        </w:rPr>
        <w:t xml:space="preserve">) </w:t>
      </w:r>
      <w:r w:rsidRPr="009E28BB">
        <w:rPr>
          <w:sz w:val="16"/>
          <w:szCs w:val="16"/>
        </w:rPr>
        <w:t>and outlet pressures</w:t>
      </w:r>
      <w:r>
        <w:rPr>
          <w:sz w:val="16"/>
          <w:szCs w:val="16"/>
        </w:rPr>
        <w:t xml:space="preserve"> (</w:t>
      </w:r>
      <w:proofErr w:type="spellStart"/>
      <w:r>
        <w:rPr>
          <w:sz w:val="16"/>
          <w:szCs w:val="16"/>
        </w:rPr>
        <w:t>p</w:t>
      </w:r>
      <w:r w:rsidRPr="009E28BB">
        <w:rPr>
          <w:sz w:val="16"/>
          <w:szCs w:val="16"/>
          <w:vertAlign w:val="subscript"/>
        </w:rPr>
        <w:t>L</w:t>
      </w:r>
      <w:proofErr w:type="spellEnd"/>
      <w:r>
        <w:rPr>
          <w:sz w:val="16"/>
          <w:szCs w:val="16"/>
        </w:rPr>
        <w:t>)</w:t>
      </w:r>
    </w:p>
    <w:p w14:paraId="144DE6BA" w14:textId="5CBE38CA" w:rsidR="008D2649" w:rsidRDefault="008D2649" w:rsidP="008D2649">
      <w:pPr>
        <w:pStyle w:val="Els-1storder-head"/>
        <w:spacing w:after="120"/>
        <w:rPr>
          <w:lang w:val="en-GB"/>
        </w:rPr>
      </w:pPr>
      <w:r w:rsidRPr="00A94774">
        <w:rPr>
          <w:lang w:val="en-GB"/>
        </w:rPr>
        <w:lastRenderedPageBreak/>
        <w:t>Conclusions</w:t>
      </w:r>
    </w:p>
    <w:p w14:paraId="5DE7DD5A" w14:textId="0800E408" w:rsidR="00D11737" w:rsidRDefault="00554A37">
      <w:pPr>
        <w:pStyle w:val="Els-body-text"/>
      </w:pPr>
      <w:r w:rsidRPr="00114CBD">
        <w:t xml:space="preserve">This study </w:t>
      </w:r>
      <w:r w:rsidR="00A460FD" w:rsidRPr="00114CBD">
        <w:t xml:space="preserve">presents </w:t>
      </w:r>
      <w:r w:rsidRPr="00114CBD">
        <w:t xml:space="preserve">a </w:t>
      </w:r>
      <w:r w:rsidR="00A460FD" w:rsidRPr="00114CBD">
        <w:t xml:space="preserve">pressure-driven </w:t>
      </w:r>
      <w:r w:rsidRPr="00114CBD">
        <w:t>PDAE model for a novel</w:t>
      </w:r>
      <w:r w:rsidRPr="00114CBD">
        <w:rPr>
          <w:color w:val="000000" w:themeColor="text1"/>
        </w:rPr>
        <w:t xml:space="preserve"> </w:t>
      </w:r>
      <w:r w:rsidR="00F8081C" w:rsidRPr="00114CBD">
        <w:rPr>
          <w:color w:val="000000" w:themeColor="text1"/>
        </w:rPr>
        <w:t>reactive adsorption process</w:t>
      </w:r>
      <w:r w:rsidRPr="00114CBD">
        <w:rPr>
          <w:color w:val="000000" w:themeColor="text1"/>
        </w:rPr>
        <w:t xml:space="preserve"> for ammonia synthesis.</w:t>
      </w:r>
      <w:r w:rsidR="002B0EA4" w:rsidRPr="00114CBD">
        <w:rPr>
          <w:color w:val="000000" w:themeColor="text1"/>
        </w:rPr>
        <w:t xml:space="preserve"> Sensitivity studies regarding both material parameters and the operating window allowed us </w:t>
      </w:r>
      <w:r w:rsidR="00482222" w:rsidRPr="00114CBD">
        <w:rPr>
          <w:color w:val="000000" w:themeColor="text1"/>
        </w:rPr>
        <w:t xml:space="preserve">to </w:t>
      </w:r>
      <w:r w:rsidR="002B0EA4" w:rsidRPr="00114CBD">
        <w:rPr>
          <w:color w:val="000000" w:themeColor="text1"/>
        </w:rPr>
        <w:t>examine the achieva</w:t>
      </w:r>
      <w:r w:rsidR="00482222" w:rsidRPr="00114CBD">
        <w:rPr>
          <w:color w:val="000000" w:themeColor="text1"/>
        </w:rPr>
        <w:t xml:space="preserve">ble </w:t>
      </w:r>
      <w:r w:rsidR="00B31224" w:rsidRPr="00114CBD">
        <w:rPr>
          <w:color w:val="000000" w:themeColor="text1"/>
        </w:rPr>
        <w:t>conversion</w:t>
      </w:r>
      <w:r w:rsidR="00482222" w:rsidRPr="00114CBD">
        <w:rPr>
          <w:color w:val="000000" w:themeColor="text1"/>
        </w:rPr>
        <w:t>, purity and productivity performance of the integrated unit</w:t>
      </w:r>
      <w:r w:rsidR="002B0EA4" w:rsidRPr="00114CBD">
        <w:rPr>
          <w:color w:val="000000" w:themeColor="text1"/>
        </w:rPr>
        <w:t>.</w:t>
      </w:r>
      <w:r w:rsidR="00482222" w:rsidRPr="00114CBD">
        <w:rPr>
          <w:color w:val="000000" w:themeColor="text1"/>
        </w:rPr>
        <w:t xml:space="preserve"> </w:t>
      </w:r>
      <w:r w:rsidR="00364DBC" w:rsidRPr="00114CBD">
        <w:rPr>
          <w:color w:val="000000" w:themeColor="text1"/>
        </w:rPr>
        <w:t>R</w:t>
      </w:r>
      <w:r w:rsidR="000270F9" w:rsidRPr="00114CBD">
        <w:rPr>
          <w:color w:val="000000" w:themeColor="text1"/>
        </w:rPr>
        <w:t>estrict</w:t>
      </w:r>
      <w:r w:rsidR="00364DBC" w:rsidRPr="00114CBD">
        <w:rPr>
          <w:color w:val="000000" w:themeColor="text1"/>
        </w:rPr>
        <w:t>ion of the control space via an operation recipe</w:t>
      </w:r>
      <w:r w:rsidR="00892649" w:rsidRPr="00114CBD">
        <w:t xml:space="preserve"> </w:t>
      </w:r>
      <w:r w:rsidR="00364DBC" w:rsidRPr="00114CBD">
        <w:t xml:space="preserve">formulation </w:t>
      </w:r>
      <w:r w:rsidR="004D341E" w:rsidRPr="00114CBD">
        <w:t>enable</w:t>
      </w:r>
      <w:r w:rsidR="000270F9" w:rsidRPr="00114CBD">
        <w:t>d us to solve an OCP</w:t>
      </w:r>
      <w:r w:rsidR="00364DBC" w:rsidRPr="00114CBD">
        <w:t xml:space="preserve">. </w:t>
      </w:r>
      <w:r w:rsidR="00F8081C" w:rsidRPr="00114CBD">
        <w:t>Mathematical reformulation of the operation recipe is one possible way to render a broader range of numerical optimization methods, e.g., simultaneous methods, applicable to the OCP. Further, the presented model would allow for training of a data-driven regression model, which can be employed in a</w:t>
      </w:r>
      <w:r w:rsidR="00C4247A" w:rsidRPr="00114CBD">
        <w:t xml:space="preserve"> dynamic</w:t>
      </w:r>
      <w:r w:rsidR="00F8081C" w:rsidRPr="00114CBD">
        <w:t xml:space="preserve"> real-time optimization (D-RTO) framework.</w:t>
      </w:r>
      <w:r w:rsidR="00E812DB" w:rsidRPr="00E812DB">
        <w:t xml:space="preserve"> </w:t>
      </w:r>
    </w:p>
    <w:p w14:paraId="2B807BDA" w14:textId="77777777" w:rsidR="00D11737" w:rsidRDefault="00D11737">
      <w:pPr>
        <w:pStyle w:val="Els-body-text"/>
      </w:pPr>
    </w:p>
    <w:p w14:paraId="6AEF3070" w14:textId="4B32616E" w:rsidR="00D11737" w:rsidRPr="009046C1" w:rsidRDefault="00E812DB">
      <w:pPr>
        <w:pStyle w:val="Els-body-text"/>
        <w:rPr>
          <w:lang w:val="en-GB"/>
        </w:rPr>
      </w:pPr>
      <w:r w:rsidRPr="009046C1">
        <w:t>Including information about the performance from integrated catalyst-sorbent unit experiments to the rate-based model would provide further insight. However, the first OCP studies results already show an encouraging reactor unit performance, in the light of flexible and demand-responsive NH3 production.</w:t>
      </w:r>
    </w:p>
    <w:p w14:paraId="3E0876AD" w14:textId="77777777" w:rsidR="0002650F" w:rsidRPr="003154D8" w:rsidRDefault="0002650F" w:rsidP="003154D8">
      <w:pPr>
        <w:pStyle w:val="Els-referenceno-number"/>
        <w:ind w:left="0" w:firstLine="0"/>
        <w:jc w:val="both"/>
        <w:rPr>
          <w:rStyle w:val="Kommentarzeichen"/>
          <w:noProof w:val="0"/>
          <w:sz w:val="22"/>
          <w:szCs w:val="22"/>
        </w:rPr>
      </w:pPr>
    </w:p>
    <w:p w14:paraId="72346BBA" w14:textId="46C327B2" w:rsidR="00F9732B" w:rsidRPr="003154D8" w:rsidRDefault="00F9732B" w:rsidP="003154D8">
      <w:pPr>
        <w:pStyle w:val="Els-referenceno-number"/>
        <w:spacing w:before="240" w:after="120"/>
        <w:ind w:left="0" w:firstLine="0"/>
        <w:rPr>
          <w:bCs/>
        </w:rPr>
      </w:pPr>
      <w:r w:rsidRPr="003154D8">
        <w:rPr>
          <w:b/>
          <w:bCs/>
          <w:sz w:val="22"/>
          <w:szCs w:val="22"/>
        </w:rPr>
        <w:t>Acknowledg</w:t>
      </w:r>
      <w:r w:rsidR="0002650F" w:rsidRPr="003154D8">
        <w:rPr>
          <w:b/>
          <w:bCs/>
          <w:sz w:val="22"/>
          <w:szCs w:val="22"/>
        </w:rPr>
        <w:t>e</w:t>
      </w:r>
      <w:r w:rsidRPr="003154D8">
        <w:rPr>
          <w:b/>
          <w:bCs/>
          <w:sz w:val="22"/>
          <w:szCs w:val="22"/>
        </w:rPr>
        <w:t>ment</w:t>
      </w:r>
    </w:p>
    <w:p w14:paraId="022AAB2D" w14:textId="0F5EC1A5" w:rsidR="00561B68" w:rsidRPr="00561B68" w:rsidRDefault="001B49B1" w:rsidP="00561B68">
      <w:pPr>
        <w:pStyle w:val="Haupttext"/>
        <w:spacing w:line="240" w:lineRule="auto"/>
        <w:rPr>
          <w:sz w:val="16"/>
          <w:szCs w:val="16"/>
          <w:lang w:val="en-US"/>
        </w:rPr>
      </w:pPr>
      <w:r w:rsidRPr="00CA69E2">
        <w:rPr>
          <w:noProof/>
          <w:sz w:val="16"/>
          <w:szCs w:val="16"/>
          <w:lang w:val="de-DE"/>
        </w:rPr>
        <w:drawing>
          <wp:anchor distT="0" distB="0" distL="114300" distR="114300" simplePos="0" relativeHeight="251658240" behindDoc="0" locked="0" layoutInCell="1" allowOverlap="1" wp14:anchorId="4B25353A" wp14:editId="764EEEC9">
            <wp:simplePos x="0" y="0"/>
            <wp:positionH relativeFrom="column">
              <wp:posOffset>3175</wp:posOffset>
            </wp:positionH>
            <wp:positionV relativeFrom="paragraph">
              <wp:posOffset>0</wp:posOffset>
            </wp:positionV>
            <wp:extent cx="1140460" cy="461010"/>
            <wp:effectExtent l="0" t="0" r="2540" b="0"/>
            <wp:wrapSquare wrapText="bothSides"/>
            <wp:docPr id="6" name="Picture 2">
              <a:extLst xmlns:a="http://schemas.openxmlformats.org/drawingml/2006/main">
                <a:ext uri="{FF2B5EF4-FFF2-40B4-BE49-F238E27FC236}">
                  <a16:creationId xmlns:a16="http://schemas.microsoft.com/office/drawing/2014/main" id="{E85A47E2-F17A-40B7-901E-76C73FF639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E85A47E2-F17A-40B7-901E-76C73FF6390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0460" cy="461010"/>
                    </a:xfrm>
                    <a:prstGeom prst="rect">
                      <a:avLst/>
                    </a:prstGeom>
                    <a:noFill/>
                  </pic:spPr>
                </pic:pic>
              </a:graphicData>
            </a:graphic>
          </wp:anchor>
        </w:drawing>
      </w:r>
      <w:r w:rsidR="00123FD9" w:rsidRPr="00CA69E2">
        <w:rPr>
          <w:sz w:val="16"/>
          <w:szCs w:val="16"/>
          <w:lang w:val="en-US"/>
        </w:rPr>
        <w:t>Funded by the European Union. Views and opinions expressed are however those of the author(s) only and do not necessarily reflect those of the European Union. Neither the European Union nor the granting authority can be held responsible for them. Grant agreement No 101058643.</w:t>
      </w:r>
    </w:p>
    <w:p w14:paraId="2150C573" w14:textId="4A56CFFA" w:rsidR="00561B68" w:rsidRPr="00561B68" w:rsidRDefault="00561B68" w:rsidP="00561B68">
      <w:pPr>
        <w:pStyle w:val="Els-reference-head"/>
        <w:spacing w:after="120"/>
      </w:pPr>
      <w:r>
        <w:t>References</w:t>
      </w:r>
    </w:p>
    <w:p w14:paraId="4299E656" w14:textId="7D48D617" w:rsidR="00817519" w:rsidRPr="0085711A" w:rsidRDefault="00817519" w:rsidP="00817519">
      <w:pPr>
        <w:pStyle w:val="Els-referenceno-number"/>
        <w:jc w:val="both"/>
        <w:rPr>
          <w:sz w:val="16"/>
          <w:szCs w:val="16"/>
          <w:lang w:val="en-US"/>
        </w:rPr>
      </w:pPr>
      <w:r w:rsidRPr="0085711A">
        <w:rPr>
          <w:sz w:val="16"/>
          <w:szCs w:val="16"/>
          <w:lang w:val="en-US"/>
        </w:rPr>
        <w:t>[1]: C. Smith</w:t>
      </w:r>
      <w:r w:rsidR="0085711A" w:rsidRPr="0085711A">
        <w:rPr>
          <w:sz w:val="16"/>
          <w:szCs w:val="16"/>
          <w:lang w:val="en-US"/>
        </w:rPr>
        <w:t xml:space="preserve"> and L. Torrente-Murciano</w:t>
      </w:r>
      <w:r w:rsidRPr="0085711A">
        <w:rPr>
          <w:sz w:val="16"/>
          <w:szCs w:val="16"/>
          <w:lang w:val="en-US"/>
        </w:rPr>
        <w:t>, 2021, Exceeding Single-Pass Equilibrium with Integrated Absorption Separation for Ammonia Synthesis Using Renewable Energy—Redefining the Haber-Bosch Loop. Adv. Energy Mater. 2021, 11, 2003845</w:t>
      </w:r>
    </w:p>
    <w:p w14:paraId="25264ED4" w14:textId="47D6AEE1" w:rsidR="00817519" w:rsidRPr="0085711A" w:rsidRDefault="00817519" w:rsidP="00817519">
      <w:pPr>
        <w:pStyle w:val="Els-referenceno-number"/>
        <w:jc w:val="both"/>
        <w:rPr>
          <w:sz w:val="16"/>
          <w:szCs w:val="16"/>
          <w:lang w:val="en-US"/>
        </w:rPr>
      </w:pPr>
      <w:r w:rsidRPr="0085711A">
        <w:rPr>
          <w:sz w:val="16"/>
          <w:szCs w:val="16"/>
          <w:lang w:val="en-US"/>
        </w:rPr>
        <w:t>[</w:t>
      </w:r>
      <w:r w:rsidR="00975014" w:rsidRPr="0085711A">
        <w:rPr>
          <w:sz w:val="16"/>
          <w:szCs w:val="16"/>
          <w:lang w:val="en-US"/>
        </w:rPr>
        <w:t>2</w:t>
      </w:r>
      <w:r w:rsidRPr="0085711A">
        <w:rPr>
          <w:sz w:val="16"/>
          <w:szCs w:val="16"/>
          <w:lang w:val="en-US"/>
        </w:rPr>
        <w:t>]: M. J. Palys</w:t>
      </w:r>
      <w:r w:rsidR="0085711A" w:rsidRPr="0085711A">
        <w:rPr>
          <w:sz w:val="16"/>
          <w:szCs w:val="16"/>
          <w:lang w:val="en-US"/>
        </w:rPr>
        <w:t>, A. McCormick, E. L. Cussler and P. Da</w:t>
      </w:r>
      <w:r w:rsidR="00C25D24">
        <w:rPr>
          <w:sz w:val="16"/>
          <w:szCs w:val="16"/>
          <w:lang w:val="en-US"/>
        </w:rPr>
        <w:t>o</w:t>
      </w:r>
      <w:r w:rsidR="0085711A" w:rsidRPr="0085711A">
        <w:rPr>
          <w:sz w:val="16"/>
          <w:szCs w:val="16"/>
          <w:lang w:val="en-US"/>
        </w:rPr>
        <w:t>utidis</w:t>
      </w:r>
      <w:r w:rsidRPr="0085711A">
        <w:rPr>
          <w:sz w:val="16"/>
          <w:szCs w:val="16"/>
          <w:lang w:val="en-US"/>
        </w:rPr>
        <w:t>, 2018, Modeling and Optimal Design of Absorbent Enhanced Ammonia Synthesis, Processes 2018, 6, 91</w:t>
      </w:r>
    </w:p>
    <w:p w14:paraId="4F3F41D7" w14:textId="041F08D8" w:rsidR="005D1911" w:rsidRPr="0085711A" w:rsidRDefault="005D1911" w:rsidP="00817519">
      <w:pPr>
        <w:pStyle w:val="Els-referenceno-number"/>
        <w:jc w:val="both"/>
        <w:rPr>
          <w:sz w:val="16"/>
          <w:szCs w:val="16"/>
          <w:lang w:val="en-US"/>
        </w:rPr>
      </w:pPr>
      <w:r w:rsidRPr="0085711A">
        <w:rPr>
          <w:sz w:val="16"/>
          <w:szCs w:val="16"/>
          <w:lang w:val="en-US"/>
        </w:rPr>
        <w:t>[3]: D.-K. Moon,</w:t>
      </w:r>
      <w:r w:rsidR="0085711A" w:rsidRPr="0085711A">
        <w:rPr>
          <w:sz w:val="16"/>
          <w:szCs w:val="16"/>
          <w:lang w:val="en-US"/>
        </w:rPr>
        <w:t xml:space="preserve"> D.-G. Lee and C.-H. Lee</w:t>
      </w:r>
      <w:r w:rsidRPr="0085711A">
        <w:rPr>
          <w:sz w:val="16"/>
          <w:szCs w:val="16"/>
          <w:lang w:val="en-US"/>
        </w:rPr>
        <w:t xml:space="preserve"> 2016, H</w:t>
      </w:r>
      <w:r w:rsidRPr="003154D8">
        <w:rPr>
          <w:sz w:val="16"/>
          <w:szCs w:val="16"/>
          <w:vertAlign w:val="subscript"/>
          <w:lang w:val="en-US"/>
        </w:rPr>
        <w:t>2</w:t>
      </w:r>
      <w:r w:rsidRPr="0085711A">
        <w:rPr>
          <w:sz w:val="16"/>
          <w:szCs w:val="16"/>
          <w:lang w:val="en-US"/>
        </w:rPr>
        <w:t xml:space="preserve"> pressure swing adsorption for high pressure syngas from an integrated gasification combined cycle with a carbon capture process</w:t>
      </w:r>
      <w:r w:rsidR="0014653A" w:rsidRPr="0085711A">
        <w:rPr>
          <w:sz w:val="16"/>
          <w:szCs w:val="16"/>
          <w:lang w:val="en-US"/>
        </w:rPr>
        <w:t>, Applied Energy 2016, 183, 760-774</w:t>
      </w:r>
    </w:p>
    <w:p w14:paraId="223968AE" w14:textId="1F10ADFD" w:rsidR="00F9732B" w:rsidRPr="0085711A" w:rsidRDefault="00817519" w:rsidP="00613750">
      <w:pPr>
        <w:pStyle w:val="Els-referenceno-number"/>
        <w:rPr>
          <w:b/>
          <w:bCs/>
          <w:color w:val="FF0000"/>
          <w:sz w:val="16"/>
          <w:szCs w:val="16"/>
          <w:lang w:val="en-US"/>
        </w:rPr>
      </w:pPr>
      <w:r w:rsidRPr="0085711A">
        <w:rPr>
          <w:sz w:val="16"/>
          <w:szCs w:val="16"/>
          <w:lang w:val="en-US"/>
        </w:rPr>
        <w:t>[</w:t>
      </w:r>
      <w:r w:rsidR="00975014" w:rsidRPr="0085711A">
        <w:rPr>
          <w:sz w:val="16"/>
          <w:szCs w:val="16"/>
          <w:lang w:val="en-US"/>
        </w:rPr>
        <w:t>4</w:t>
      </w:r>
      <w:r w:rsidRPr="0085711A">
        <w:rPr>
          <w:sz w:val="16"/>
          <w:szCs w:val="16"/>
          <w:lang w:val="en-US"/>
        </w:rPr>
        <w:t>]:</w:t>
      </w:r>
      <w:r w:rsidR="00613750" w:rsidRPr="0085711A">
        <w:rPr>
          <w:sz w:val="16"/>
          <w:szCs w:val="16"/>
          <w:lang w:val="en-US"/>
        </w:rPr>
        <w:t xml:space="preserve"> </w:t>
      </w:r>
      <w:hyperlink r:id="rId10" w:history="1">
        <w:r w:rsidR="00613750" w:rsidRPr="0085711A">
          <w:rPr>
            <w:rStyle w:val="Hyperlink"/>
            <w:color w:val="auto"/>
            <w:sz w:val="16"/>
            <w:szCs w:val="16"/>
            <w:u w:val="none"/>
            <w:lang w:val="en-US"/>
          </w:rPr>
          <w:t>https://www.siemens.com/global/en/products/automation/industry-software/gproms-digital-process-design-and-operations.html</w:t>
        </w:r>
      </w:hyperlink>
    </w:p>
    <w:p w14:paraId="5A5C891A" w14:textId="48A8AE19" w:rsidR="003671C3" w:rsidRPr="0085711A" w:rsidRDefault="003B0EA5" w:rsidP="00CA1709">
      <w:pPr>
        <w:pStyle w:val="Els-referenceno-number"/>
        <w:rPr>
          <w:sz w:val="16"/>
          <w:szCs w:val="16"/>
          <w:lang w:val="en-US"/>
        </w:rPr>
      </w:pPr>
      <w:r w:rsidRPr="0085711A">
        <w:rPr>
          <w:sz w:val="16"/>
          <w:szCs w:val="16"/>
          <w:lang w:val="de-DE"/>
        </w:rPr>
        <w:t>[</w:t>
      </w:r>
      <w:r w:rsidR="00975014" w:rsidRPr="0085711A">
        <w:rPr>
          <w:sz w:val="16"/>
          <w:szCs w:val="16"/>
          <w:lang w:val="de-DE"/>
        </w:rPr>
        <w:t>5</w:t>
      </w:r>
      <w:r w:rsidRPr="0085711A">
        <w:rPr>
          <w:sz w:val="16"/>
          <w:szCs w:val="16"/>
          <w:lang w:val="de-DE"/>
        </w:rPr>
        <w:t>]</w:t>
      </w:r>
      <w:r w:rsidR="00CA1709" w:rsidRPr="0085711A">
        <w:rPr>
          <w:sz w:val="16"/>
          <w:szCs w:val="16"/>
          <w:lang w:val="de-DE"/>
        </w:rPr>
        <w:t>:</w:t>
      </w:r>
      <w:r w:rsidRPr="0085711A">
        <w:rPr>
          <w:sz w:val="16"/>
          <w:szCs w:val="16"/>
          <w:lang w:val="de-DE"/>
        </w:rPr>
        <w:t xml:space="preserve"> </w:t>
      </w:r>
      <w:r w:rsidR="00CA1709" w:rsidRPr="0085711A">
        <w:rPr>
          <w:sz w:val="16"/>
          <w:szCs w:val="16"/>
          <w:lang w:val="de-DE"/>
        </w:rPr>
        <w:t xml:space="preserve">K. Löwe, 2001. Theoretische und experimentelle Untersuchungen über das Anfahren und die Prozeßführung energetisch und stofflich gekoppelter Destillationskolonnen. </w:t>
      </w:r>
      <w:r w:rsidR="00CA1709" w:rsidRPr="0085711A">
        <w:rPr>
          <w:sz w:val="16"/>
          <w:szCs w:val="16"/>
          <w:lang w:val="en-US"/>
        </w:rPr>
        <w:t>Ph.D. thesis, TU Berlin</w:t>
      </w:r>
      <w:r w:rsidR="0085711A" w:rsidRPr="0085711A">
        <w:rPr>
          <w:sz w:val="16"/>
          <w:szCs w:val="16"/>
          <w:lang w:val="en-US"/>
        </w:rPr>
        <w:t>, Berlin, Germany</w:t>
      </w:r>
    </w:p>
    <w:p w14:paraId="69102419" w14:textId="0A2BDFB5" w:rsidR="00F9732B" w:rsidRPr="0085711A" w:rsidRDefault="003B0EA5" w:rsidP="003671C3">
      <w:pPr>
        <w:pStyle w:val="Els-referenceno-number"/>
        <w:jc w:val="both"/>
        <w:rPr>
          <w:sz w:val="16"/>
          <w:szCs w:val="16"/>
          <w:lang w:val="en-US"/>
        </w:rPr>
      </w:pPr>
      <w:r w:rsidRPr="0085711A">
        <w:rPr>
          <w:sz w:val="16"/>
          <w:szCs w:val="16"/>
          <w:lang w:val="en-US"/>
        </w:rPr>
        <w:t>[</w:t>
      </w:r>
      <w:r w:rsidR="00975014" w:rsidRPr="0085711A">
        <w:rPr>
          <w:sz w:val="16"/>
          <w:szCs w:val="16"/>
          <w:lang w:val="en-US"/>
        </w:rPr>
        <w:t>6</w:t>
      </w:r>
      <w:r w:rsidRPr="0085711A">
        <w:rPr>
          <w:sz w:val="16"/>
          <w:szCs w:val="16"/>
          <w:lang w:val="en-US"/>
        </w:rPr>
        <w:t>]</w:t>
      </w:r>
      <w:r w:rsidR="00CA1709" w:rsidRPr="0085711A">
        <w:rPr>
          <w:sz w:val="16"/>
          <w:szCs w:val="16"/>
          <w:lang w:val="en-US"/>
        </w:rPr>
        <w:t>:</w:t>
      </w:r>
      <w:r w:rsidRPr="0085711A">
        <w:rPr>
          <w:sz w:val="16"/>
          <w:szCs w:val="16"/>
          <w:lang w:val="en-US"/>
        </w:rPr>
        <w:t xml:space="preserve"> https://de.mathworks.com/products/matlab.html</w:t>
      </w:r>
    </w:p>
    <w:sectPr w:rsidR="00F9732B" w:rsidRPr="0085711A" w:rsidSect="008B01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7181" w14:textId="77777777" w:rsidR="004921E5" w:rsidRDefault="004921E5">
      <w:r>
        <w:separator/>
      </w:r>
    </w:p>
  </w:endnote>
  <w:endnote w:type="continuationSeparator" w:id="0">
    <w:p w14:paraId="6E25CC1C" w14:textId="77777777" w:rsidR="004921E5" w:rsidRDefault="0049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8865" w14:textId="77777777" w:rsidR="004921E5" w:rsidRDefault="004921E5">
      <w:r>
        <w:separator/>
      </w:r>
    </w:p>
  </w:footnote>
  <w:footnote w:type="continuationSeparator" w:id="0">
    <w:p w14:paraId="1BF148F3" w14:textId="77777777" w:rsidR="004921E5" w:rsidRDefault="0049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Kopfzeile"/>
      <w:tabs>
        <w:tab w:val="clear" w:pos="7200"/>
        <w:tab w:val="right" w:pos="7088"/>
      </w:tabs>
    </w:pPr>
    <w:r>
      <w:rPr>
        <w:rStyle w:val="Seitenzahl"/>
      </w:rPr>
      <w:tab/>
    </w:r>
    <w:r>
      <w:rPr>
        <w:rStyle w:val="Seitenzah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Kopfzeile"/>
      <w:tabs>
        <w:tab w:val="clear" w:pos="7200"/>
        <w:tab w:val="right" w:pos="7088"/>
      </w:tabs>
      <w:jc w:val="right"/>
      <w:rPr>
        <w:sz w:val="24"/>
      </w:rPr>
    </w:pP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646"/>
    <w:multiLevelType w:val="hybridMultilevel"/>
    <w:tmpl w:val="CB981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BB54431"/>
    <w:multiLevelType w:val="hybridMultilevel"/>
    <w:tmpl w:val="37A62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994BA5"/>
    <w:multiLevelType w:val="hybridMultilevel"/>
    <w:tmpl w:val="96DC0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3443089"/>
    <w:multiLevelType w:val="hybridMultilevel"/>
    <w:tmpl w:val="EFBA5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9556ABE"/>
    <w:multiLevelType w:val="hybridMultilevel"/>
    <w:tmpl w:val="39C82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0B5EF9"/>
    <w:multiLevelType w:val="hybridMultilevel"/>
    <w:tmpl w:val="DAF80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17"/>
  </w:num>
  <w:num w:numId="8">
    <w:abstractNumId w:val="3"/>
  </w:num>
  <w:num w:numId="9">
    <w:abstractNumId w:val="13"/>
  </w:num>
  <w:num w:numId="10">
    <w:abstractNumId w:val="19"/>
  </w:num>
  <w:num w:numId="11">
    <w:abstractNumId w:val="18"/>
  </w:num>
  <w:num w:numId="12">
    <w:abstractNumId w:val="7"/>
  </w:num>
  <w:num w:numId="13">
    <w:abstractNumId w:val="11"/>
  </w:num>
  <w:num w:numId="14">
    <w:abstractNumId w:val="4"/>
  </w:num>
  <w:num w:numId="15">
    <w:abstractNumId w:val="9"/>
  </w:num>
  <w:num w:numId="16">
    <w:abstractNumId w:val="5"/>
  </w:num>
  <w:num w:numId="17">
    <w:abstractNumId w:val="6"/>
  </w:num>
  <w:num w:numId="18">
    <w:abstractNumId w:val="12"/>
  </w:num>
  <w:num w:numId="19">
    <w:abstractNumId w:val="10"/>
  </w:num>
  <w:num w:numId="20">
    <w:abstractNumId w:val="20"/>
  </w:num>
  <w:num w:numId="21">
    <w:abstractNumId w:val="16"/>
  </w:num>
  <w:num w:numId="22">
    <w:abstractNumId w:val="2"/>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306A"/>
    <w:rsid w:val="0002650F"/>
    <w:rsid w:val="000270F9"/>
    <w:rsid w:val="00027C98"/>
    <w:rsid w:val="00027FDE"/>
    <w:rsid w:val="00055F8B"/>
    <w:rsid w:val="0006449E"/>
    <w:rsid w:val="00085A9E"/>
    <w:rsid w:val="000A0EED"/>
    <w:rsid w:val="000C0473"/>
    <w:rsid w:val="000D3D9B"/>
    <w:rsid w:val="000E6D7F"/>
    <w:rsid w:val="00114CBD"/>
    <w:rsid w:val="00123FD9"/>
    <w:rsid w:val="001410F1"/>
    <w:rsid w:val="0014653A"/>
    <w:rsid w:val="0016032F"/>
    <w:rsid w:val="0016698C"/>
    <w:rsid w:val="00173800"/>
    <w:rsid w:val="001879F6"/>
    <w:rsid w:val="001B1DE3"/>
    <w:rsid w:val="001B49B1"/>
    <w:rsid w:val="001C0148"/>
    <w:rsid w:val="001C757E"/>
    <w:rsid w:val="001F624A"/>
    <w:rsid w:val="0020390F"/>
    <w:rsid w:val="00213FCC"/>
    <w:rsid w:val="002277BF"/>
    <w:rsid w:val="00235FF9"/>
    <w:rsid w:val="00240FD6"/>
    <w:rsid w:val="00264926"/>
    <w:rsid w:val="0027333B"/>
    <w:rsid w:val="002B0EA4"/>
    <w:rsid w:val="002B1FC8"/>
    <w:rsid w:val="002E239A"/>
    <w:rsid w:val="00300449"/>
    <w:rsid w:val="00305589"/>
    <w:rsid w:val="003126A0"/>
    <w:rsid w:val="003154D8"/>
    <w:rsid w:val="0031553B"/>
    <w:rsid w:val="00316F72"/>
    <w:rsid w:val="00344D01"/>
    <w:rsid w:val="00355F7F"/>
    <w:rsid w:val="00364DBC"/>
    <w:rsid w:val="003671C3"/>
    <w:rsid w:val="00391A5E"/>
    <w:rsid w:val="003A0080"/>
    <w:rsid w:val="003B0EA5"/>
    <w:rsid w:val="003C4F8E"/>
    <w:rsid w:val="003D1582"/>
    <w:rsid w:val="003D7E4C"/>
    <w:rsid w:val="003E41C2"/>
    <w:rsid w:val="003E5CC8"/>
    <w:rsid w:val="00401277"/>
    <w:rsid w:val="00404602"/>
    <w:rsid w:val="004570CA"/>
    <w:rsid w:val="004628E9"/>
    <w:rsid w:val="00474201"/>
    <w:rsid w:val="00482222"/>
    <w:rsid w:val="004921E5"/>
    <w:rsid w:val="0049772C"/>
    <w:rsid w:val="004A541B"/>
    <w:rsid w:val="004A621A"/>
    <w:rsid w:val="004A69B9"/>
    <w:rsid w:val="004D341E"/>
    <w:rsid w:val="004F4C49"/>
    <w:rsid w:val="00505A2B"/>
    <w:rsid w:val="00507CB7"/>
    <w:rsid w:val="00510E46"/>
    <w:rsid w:val="00552EEB"/>
    <w:rsid w:val="00554A37"/>
    <w:rsid w:val="00561B68"/>
    <w:rsid w:val="00567355"/>
    <w:rsid w:val="00567D93"/>
    <w:rsid w:val="00572D06"/>
    <w:rsid w:val="0057615D"/>
    <w:rsid w:val="005D1911"/>
    <w:rsid w:val="005D4384"/>
    <w:rsid w:val="005F5AEB"/>
    <w:rsid w:val="00613750"/>
    <w:rsid w:val="006452F0"/>
    <w:rsid w:val="00683CD3"/>
    <w:rsid w:val="006A0764"/>
    <w:rsid w:val="006A69BF"/>
    <w:rsid w:val="006C11D1"/>
    <w:rsid w:val="006E6C69"/>
    <w:rsid w:val="006F17B5"/>
    <w:rsid w:val="006F7F79"/>
    <w:rsid w:val="00711DF4"/>
    <w:rsid w:val="00712B73"/>
    <w:rsid w:val="007357F0"/>
    <w:rsid w:val="0076208E"/>
    <w:rsid w:val="00774DC8"/>
    <w:rsid w:val="007A1282"/>
    <w:rsid w:val="007A6B78"/>
    <w:rsid w:val="007B5A61"/>
    <w:rsid w:val="007C79B6"/>
    <w:rsid w:val="007D5984"/>
    <w:rsid w:val="007D70A1"/>
    <w:rsid w:val="007F0038"/>
    <w:rsid w:val="007F322D"/>
    <w:rsid w:val="0080394B"/>
    <w:rsid w:val="008132E8"/>
    <w:rsid w:val="00817519"/>
    <w:rsid w:val="00823407"/>
    <w:rsid w:val="00825C2B"/>
    <w:rsid w:val="0085711A"/>
    <w:rsid w:val="00865305"/>
    <w:rsid w:val="00876307"/>
    <w:rsid w:val="00880365"/>
    <w:rsid w:val="00883525"/>
    <w:rsid w:val="00892649"/>
    <w:rsid w:val="00897423"/>
    <w:rsid w:val="008B0184"/>
    <w:rsid w:val="008C5D02"/>
    <w:rsid w:val="008D2649"/>
    <w:rsid w:val="008E0230"/>
    <w:rsid w:val="008F58FA"/>
    <w:rsid w:val="00903BFD"/>
    <w:rsid w:val="00903CA9"/>
    <w:rsid w:val="009046C1"/>
    <w:rsid w:val="0090568D"/>
    <w:rsid w:val="009125C9"/>
    <w:rsid w:val="00913879"/>
    <w:rsid w:val="00917661"/>
    <w:rsid w:val="0093128A"/>
    <w:rsid w:val="0093137B"/>
    <w:rsid w:val="009378A4"/>
    <w:rsid w:val="00947E5E"/>
    <w:rsid w:val="00954577"/>
    <w:rsid w:val="00970E5D"/>
    <w:rsid w:val="00975014"/>
    <w:rsid w:val="0097701C"/>
    <w:rsid w:val="00977751"/>
    <w:rsid w:val="00980A65"/>
    <w:rsid w:val="00997BD9"/>
    <w:rsid w:val="009E28BB"/>
    <w:rsid w:val="009E6E8E"/>
    <w:rsid w:val="00A00CAA"/>
    <w:rsid w:val="00A072CD"/>
    <w:rsid w:val="00A116B1"/>
    <w:rsid w:val="00A25E70"/>
    <w:rsid w:val="00A33765"/>
    <w:rsid w:val="00A37AF6"/>
    <w:rsid w:val="00A407C9"/>
    <w:rsid w:val="00A460FD"/>
    <w:rsid w:val="00A62336"/>
    <w:rsid w:val="00A63269"/>
    <w:rsid w:val="00A92377"/>
    <w:rsid w:val="00A92F95"/>
    <w:rsid w:val="00AA0219"/>
    <w:rsid w:val="00AB29ED"/>
    <w:rsid w:val="00AE4BD8"/>
    <w:rsid w:val="00AF10E0"/>
    <w:rsid w:val="00AF2899"/>
    <w:rsid w:val="00B31224"/>
    <w:rsid w:val="00B4388F"/>
    <w:rsid w:val="00B558C6"/>
    <w:rsid w:val="00B6252F"/>
    <w:rsid w:val="00B63237"/>
    <w:rsid w:val="00B73808"/>
    <w:rsid w:val="00B752C0"/>
    <w:rsid w:val="00B77005"/>
    <w:rsid w:val="00B84492"/>
    <w:rsid w:val="00BA7D4C"/>
    <w:rsid w:val="00BF5192"/>
    <w:rsid w:val="00C25D24"/>
    <w:rsid w:val="00C311C8"/>
    <w:rsid w:val="00C4247A"/>
    <w:rsid w:val="00C45895"/>
    <w:rsid w:val="00C46FC6"/>
    <w:rsid w:val="00C473EB"/>
    <w:rsid w:val="00C54C00"/>
    <w:rsid w:val="00C63AF6"/>
    <w:rsid w:val="00C70576"/>
    <w:rsid w:val="00C70A5E"/>
    <w:rsid w:val="00C94E8E"/>
    <w:rsid w:val="00C960DC"/>
    <w:rsid w:val="00CA1709"/>
    <w:rsid w:val="00CC550D"/>
    <w:rsid w:val="00CC71B2"/>
    <w:rsid w:val="00CF39A8"/>
    <w:rsid w:val="00D005E5"/>
    <w:rsid w:val="00D02C75"/>
    <w:rsid w:val="00D10E22"/>
    <w:rsid w:val="00D11737"/>
    <w:rsid w:val="00D13D2C"/>
    <w:rsid w:val="00D14CF2"/>
    <w:rsid w:val="00D16C9C"/>
    <w:rsid w:val="00D472A6"/>
    <w:rsid w:val="00D50DC6"/>
    <w:rsid w:val="00D6616E"/>
    <w:rsid w:val="00D67A41"/>
    <w:rsid w:val="00D82BDA"/>
    <w:rsid w:val="00D96356"/>
    <w:rsid w:val="00DB559A"/>
    <w:rsid w:val="00DC2F94"/>
    <w:rsid w:val="00DC3508"/>
    <w:rsid w:val="00DD3D9E"/>
    <w:rsid w:val="00DD7908"/>
    <w:rsid w:val="00E22A0D"/>
    <w:rsid w:val="00E26E90"/>
    <w:rsid w:val="00E7155E"/>
    <w:rsid w:val="00E812DB"/>
    <w:rsid w:val="00E82297"/>
    <w:rsid w:val="00ED23A8"/>
    <w:rsid w:val="00EE07D0"/>
    <w:rsid w:val="00EF39FD"/>
    <w:rsid w:val="00F04355"/>
    <w:rsid w:val="00F06842"/>
    <w:rsid w:val="00F107FD"/>
    <w:rsid w:val="00F13E2D"/>
    <w:rsid w:val="00F3035A"/>
    <w:rsid w:val="00F3110C"/>
    <w:rsid w:val="00F537AA"/>
    <w:rsid w:val="00F8081C"/>
    <w:rsid w:val="00F967EE"/>
    <w:rsid w:val="00F9732B"/>
    <w:rsid w:val="00FB03FF"/>
    <w:rsid w:val="00FB0971"/>
    <w:rsid w:val="00FB64A8"/>
    <w:rsid w:val="00FE00D9"/>
    <w:rsid w:val="00FE2B48"/>
    <w:rsid w:val="00FE6A7E"/>
    <w:rsid w:val="00FE7B52"/>
    <w:rsid w:val="00FF6043"/>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paragraph" w:customStyle="1" w:styleId="Haupttext">
    <w:name w:val="Haupttext"/>
    <w:rsid w:val="00123FD9"/>
    <w:pPr>
      <w:spacing w:line="360" w:lineRule="auto"/>
      <w:jc w:val="both"/>
    </w:pPr>
    <w:rPr>
      <w:sz w:val="24"/>
      <w:lang w:eastAsia="de-DE"/>
    </w:rPr>
  </w:style>
  <w:style w:type="character" w:styleId="NichtaufgelsteErwhnung">
    <w:name w:val="Unresolved Mention"/>
    <w:basedOn w:val="Absatz-Standardschriftart"/>
    <w:uiPriority w:val="99"/>
    <w:semiHidden/>
    <w:unhideWhenUsed/>
    <w:rsid w:val="0027333B"/>
    <w:rPr>
      <w:color w:val="605E5C"/>
      <w:shd w:val="clear" w:color="auto" w:fill="E1DFDD"/>
    </w:rPr>
  </w:style>
  <w:style w:type="table" w:styleId="Tabellenraster">
    <w:name w:val="Table Grid"/>
    <w:basedOn w:val="NormaleTabelle"/>
    <w:rsid w:val="00FB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2306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iemens.com/global/en/products/automation/industry-software/gproms-digital-process-design-and-operation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3</Pages>
  <Words>1026</Words>
  <Characters>6469</Characters>
  <Application>Microsoft Office Word</Application>
  <DocSecurity>0</DocSecurity>
  <Lines>53</Lines>
  <Paragraphs>14</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Carl Sengoba</cp:lastModifiedBy>
  <cp:revision>27</cp:revision>
  <cp:lastPrinted>2004-12-17T09:20:00Z</cp:lastPrinted>
  <dcterms:created xsi:type="dcterms:W3CDTF">2023-11-28T11:04:00Z</dcterms:created>
  <dcterms:modified xsi:type="dcterms:W3CDTF">2024-04-27T20:11:00Z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