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AF67" w14:textId="272F81B9" w:rsidR="006F2C9D" w:rsidRPr="00AC0F49" w:rsidRDefault="006F2C9D" w:rsidP="006F2C9D">
      <w:pPr>
        <w:rPr>
          <w:b/>
          <w:bCs/>
          <w:sz w:val="32"/>
          <w:szCs w:val="32"/>
        </w:rPr>
      </w:pPr>
      <w:bookmarkStart w:id="0" w:name="_Hlk151047624"/>
      <w:bookmarkStart w:id="1" w:name="_Hlk149552866"/>
      <w:bookmarkEnd w:id="0"/>
      <w:r w:rsidRPr="00AC0F49">
        <w:rPr>
          <w:b/>
          <w:bCs/>
          <w:sz w:val="32"/>
          <w:szCs w:val="32"/>
        </w:rPr>
        <w:t>Predicting the coagulation potential of waste lubricant oil</w:t>
      </w:r>
      <w:r>
        <w:rPr>
          <w:b/>
          <w:bCs/>
          <w:sz w:val="32"/>
          <w:szCs w:val="32"/>
        </w:rPr>
        <w:t xml:space="preserve"> (WLO)</w:t>
      </w:r>
      <w:r w:rsidRPr="00AC0F49">
        <w:rPr>
          <w:b/>
          <w:bCs/>
          <w:sz w:val="32"/>
          <w:szCs w:val="32"/>
        </w:rPr>
        <w:t xml:space="preserve"> using multiblock </w:t>
      </w:r>
      <w:r>
        <w:rPr>
          <w:b/>
          <w:bCs/>
          <w:sz w:val="32"/>
          <w:szCs w:val="32"/>
        </w:rPr>
        <w:t>machine learning</w:t>
      </w:r>
      <w:r w:rsidRPr="00AC0F49">
        <w:rPr>
          <w:b/>
          <w:bCs/>
          <w:sz w:val="32"/>
          <w:szCs w:val="32"/>
        </w:rPr>
        <w:t xml:space="preserve"> of NIR and MIR </w:t>
      </w:r>
      <w:r>
        <w:rPr>
          <w:b/>
          <w:bCs/>
          <w:sz w:val="32"/>
          <w:szCs w:val="32"/>
        </w:rPr>
        <w:t>s</w:t>
      </w:r>
      <w:r w:rsidRPr="00AC0F49">
        <w:rPr>
          <w:b/>
          <w:bCs/>
          <w:sz w:val="32"/>
          <w:szCs w:val="32"/>
        </w:rPr>
        <w:t>pectroscopy</w:t>
      </w:r>
    </w:p>
    <w:bookmarkEnd w:id="1"/>
    <w:p w14:paraId="12341825" w14:textId="2D656226" w:rsidR="00336EE2" w:rsidRPr="008B08B3" w:rsidRDefault="00336EE2" w:rsidP="00336EE2">
      <w:pPr>
        <w:pStyle w:val="Els-Author"/>
        <w:rPr>
          <w:szCs w:val="22"/>
          <w:lang w:val="pt-PT"/>
        </w:rPr>
      </w:pPr>
      <w:r w:rsidRPr="008B08B3">
        <w:rPr>
          <w:szCs w:val="22"/>
          <w:lang w:val="pt-PT"/>
        </w:rPr>
        <w:t>Rúben Gariso,</w:t>
      </w:r>
      <w:r w:rsidRPr="008B08B3">
        <w:rPr>
          <w:szCs w:val="22"/>
          <w:vertAlign w:val="superscript"/>
          <w:lang w:val="pt-PT"/>
        </w:rPr>
        <w:t>a</w:t>
      </w:r>
      <w:r w:rsidRPr="008B08B3">
        <w:rPr>
          <w:szCs w:val="22"/>
          <w:lang w:val="pt-PT"/>
        </w:rPr>
        <w:t xml:space="preserve"> Tiago J.Rato,</w:t>
      </w:r>
      <w:r w:rsidRPr="008B08B3">
        <w:rPr>
          <w:szCs w:val="22"/>
          <w:vertAlign w:val="superscript"/>
          <w:lang w:val="pt-PT"/>
        </w:rPr>
        <w:t>a</w:t>
      </w:r>
      <w:r w:rsidRPr="008B08B3">
        <w:rPr>
          <w:szCs w:val="22"/>
          <w:lang w:val="pt-PT"/>
        </w:rPr>
        <w:t xml:space="preserve"> Margarida J. Quina,</w:t>
      </w:r>
      <w:r w:rsidRPr="008B08B3">
        <w:rPr>
          <w:szCs w:val="22"/>
          <w:vertAlign w:val="superscript"/>
          <w:lang w:val="pt-PT"/>
        </w:rPr>
        <w:t>a</w:t>
      </w:r>
      <w:r w:rsidRPr="008B08B3">
        <w:rPr>
          <w:szCs w:val="22"/>
          <w:lang w:val="pt-PT"/>
        </w:rPr>
        <w:t xml:space="preserve"> , Licínio Ferreira,</w:t>
      </w:r>
      <w:r w:rsidRPr="008B08B3">
        <w:rPr>
          <w:szCs w:val="22"/>
          <w:vertAlign w:val="superscript"/>
          <w:lang w:val="pt-PT"/>
        </w:rPr>
        <w:t>a</w:t>
      </w:r>
      <w:r w:rsidRPr="008B08B3">
        <w:rPr>
          <w:szCs w:val="22"/>
          <w:lang w:val="pt-PT"/>
        </w:rPr>
        <w:t xml:space="preserve"> Marco S. Reis,</w:t>
      </w:r>
      <w:r w:rsidRPr="008B08B3">
        <w:rPr>
          <w:szCs w:val="22"/>
          <w:vertAlign w:val="superscript"/>
          <w:lang w:val="pt-PT"/>
        </w:rPr>
        <w:t xml:space="preserve">a,* </w:t>
      </w:r>
    </w:p>
    <w:p w14:paraId="738EEBE6" w14:textId="77777777" w:rsidR="00336EE2" w:rsidRPr="00EC3634" w:rsidRDefault="00336EE2" w:rsidP="00336EE2">
      <w:pPr>
        <w:pStyle w:val="Els-Affiliation"/>
        <w:rPr>
          <w:lang w:val="pt-PT"/>
        </w:rPr>
      </w:pPr>
      <w:r w:rsidRPr="00EC3634">
        <w:rPr>
          <w:vertAlign w:val="superscript"/>
          <w:lang w:val="pt-PT"/>
        </w:rPr>
        <w:t>a</w:t>
      </w:r>
      <w:r w:rsidRPr="00EC3634">
        <w:rPr>
          <w:lang w:val="pt-PT"/>
        </w:rPr>
        <w:t>University of Coimbra, CIEPQPF, Department of Chemical Engineering, Rua Sílvio Lima, Pólo II – Pinhal de Marrocos, 3030-790 Coimbra, Portugal</w:t>
      </w:r>
    </w:p>
    <w:p w14:paraId="4CFCDA0E" w14:textId="0D5E37F4" w:rsidR="00336EE2" w:rsidRPr="00B11493" w:rsidRDefault="003538E1" w:rsidP="00336EE2">
      <w:pPr>
        <w:pStyle w:val="Els-Affiliation"/>
      </w:pPr>
      <w:r>
        <w:t xml:space="preserve">*e-mail: </w:t>
      </w:r>
      <w:r w:rsidR="00336EE2" w:rsidRPr="00B11493">
        <w:t>marco@eq.uc.pt</w:t>
      </w:r>
    </w:p>
    <w:p w14:paraId="1E62B38F" w14:textId="293C9100" w:rsidR="00892600" w:rsidRPr="00892600" w:rsidRDefault="008D2649" w:rsidP="00892600">
      <w:pPr>
        <w:pStyle w:val="Els-Abstract"/>
      </w:pPr>
      <w:r w:rsidRPr="00892966">
        <w:t>Abstract</w:t>
      </w:r>
    </w:p>
    <w:p w14:paraId="45214DAF" w14:textId="1006E7C3" w:rsidR="00662F95" w:rsidRPr="00892600" w:rsidRDefault="00892600" w:rsidP="00892600">
      <w:pPr>
        <w:pStyle w:val="Els-body-text"/>
        <w:spacing w:after="120"/>
        <w:rPr>
          <w:lang w:val="en-GB"/>
        </w:rPr>
      </w:pPr>
      <w:r w:rsidRPr="00892600">
        <w:rPr>
          <w:lang w:val="en-GB"/>
        </w:rPr>
        <w:t>Waste lubricant oil</w:t>
      </w:r>
      <w:r w:rsidR="00CE34F8">
        <w:rPr>
          <w:lang w:val="en-GB"/>
        </w:rPr>
        <w:t>s</w:t>
      </w:r>
      <w:r w:rsidRPr="00892600">
        <w:rPr>
          <w:lang w:val="en-GB"/>
        </w:rPr>
        <w:t xml:space="preserve"> (WLO) pose sustainability challenges, </w:t>
      </w:r>
      <w:r w:rsidR="00C22AEC" w:rsidRPr="0067491E">
        <w:rPr>
          <w:lang w:val="en-GB"/>
        </w:rPr>
        <w:t>necessitating efficient and reliable methods for their treatment</w:t>
      </w:r>
      <w:r w:rsidR="00CE34F8">
        <w:rPr>
          <w:lang w:val="en-GB"/>
        </w:rPr>
        <w:t>. R</w:t>
      </w:r>
      <w:r w:rsidR="00C22AEC" w:rsidRPr="0067491E">
        <w:rPr>
          <w:lang w:val="en-GB"/>
        </w:rPr>
        <w:t>egeneration</w:t>
      </w:r>
      <w:r w:rsidR="00CE34F8">
        <w:rPr>
          <w:lang w:val="en-GB"/>
        </w:rPr>
        <w:t xml:space="preserve"> is</w:t>
      </w:r>
      <w:r w:rsidR="00C22AEC" w:rsidRPr="0067491E">
        <w:rPr>
          <w:lang w:val="en-GB"/>
        </w:rPr>
        <w:t xml:space="preserve"> the preferable approach</w:t>
      </w:r>
      <w:r w:rsidR="00CE34F8">
        <w:rPr>
          <w:lang w:val="en-GB"/>
        </w:rPr>
        <w:t xml:space="preserve">, but </w:t>
      </w:r>
      <w:r w:rsidR="00095645">
        <w:rPr>
          <w:lang w:val="en-GB"/>
        </w:rPr>
        <w:t xml:space="preserve">WLOs can coagulate in the equipment, causing </w:t>
      </w:r>
      <w:r w:rsidR="00CE34F8">
        <w:rPr>
          <w:lang w:val="en-GB"/>
        </w:rPr>
        <w:t>plant shutdowns</w:t>
      </w:r>
      <w:r w:rsidRPr="00892600">
        <w:rPr>
          <w:lang w:val="en-GB"/>
        </w:rPr>
        <w:t xml:space="preserve"> for cleaning </w:t>
      </w:r>
      <w:r w:rsidR="00095645">
        <w:rPr>
          <w:lang w:val="en-GB"/>
        </w:rPr>
        <w:t>and maintenance</w:t>
      </w:r>
      <w:r w:rsidRPr="00892600">
        <w:rPr>
          <w:lang w:val="en-GB"/>
        </w:rPr>
        <w:t xml:space="preserve">. </w:t>
      </w:r>
      <w:r w:rsidR="00095645">
        <w:rPr>
          <w:lang w:val="en-GB"/>
        </w:rPr>
        <w:t>To avoid this situation</w:t>
      </w:r>
      <w:r w:rsidR="00C22AEC">
        <w:rPr>
          <w:lang w:val="en-GB"/>
        </w:rPr>
        <w:t>, a</w:t>
      </w:r>
      <w:r w:rsidRPr="00892600">
        <w:rPr>
          <w:lang w:val="en-GB"/>
        </w:rPr>
        <w:t xml:space="preserve">n alkaline treatment is currently used to assess </w:t>
      </w:r>
      <w:r w:rsidR="00DF7B9F">
        <w:rPr>
          <w:lang w:val="en-GB"/>
        </w:rPr>
        <w:t xml:space="preserve">the WLO </w:t>
      </w:r>
      <w:r w:rsidRPr="00892600">
        <w:rPr>
          <w:lang w:val="en-GB"/>
        </w:rPr>
        <w:t>coagulation potential</w:t>
      </w:r>
      <w:r w:rsidR="00095645">
        <w:rPr>
          <w:lang w:val="en-GB"/>
        </w:rPr>
        <w:t xml:space="preserve"> prior </w:t>
      </w:r>
      <w:r w:rsidR="00CE34F8">
        <w:rPr>
          <w:lang w:val="en-GB"/>
        </w:rPr>
        <w:t xml:space="preserve">to </w:t>
      </w:r>
      <w:r w:rsidR="00095645">
        <w:rPr>
          <w:lang w:val="en-GB"/>
        </w:rPr>
        <w:t>regeneration. However, this procedure</w:t>
      </w:r>
      <w:r w:rsidRPr="00892600">
        <w:rPr>
          <w:lang w:val="en-GB"/>
        </w:rPr>
        <w:t xml:space="preserve"> is time-consuming and </w:t>
      </w:r>
      <w:r w:rsidR="00CE34F8">
        <w:rPr>
          <w:lang w:val="en-GB"/>
        </w:rPr>
        <w:t xml:space="preserve">subjective, as it involves a </w:t>
      </w:r>
      <w:r w:rsidRPr="00892600">
        <w:rPr>
          <w:lang w:val="en-GB"/>
        </w:rPr>
        <w:t xml:space="preserve">visual </w:t>
      </w:r>
      <w:r w:rsidR="00CE34F8">
        <w:rPr>
          <w:lang w:val="en-GB"/>
        </w:rPr>
        <w:t xml:space="preserve">assessment </w:t>
      </w:r>
      <w:r w:rsidR="007556FC">
        <w:rPr>
          <w:lang w:val="en-GB"/>
        </w:rPr>
        <w:t>by</w:t>
      </w:r>
      <w:r w:rsidR="002E7A47">
        <w:rPr>
          <w:lang w:val="en-GB"/>
        </w:rPr>
        <w:t xml:space="preserve"> the analyst</w:t>
      </w:r>
      <w:r w:rsidRPr="00892600">
        <w:rPr>
          <w:lang w:val="en-GB"/>
        </w:rPr>
        <w:t xml:space="preserve">. To overcome these limitations, alternative methods </w:t>
      </w:r>
      <w:r w:rsidR="00DF7B9F">
        <w:rPr>
          <w:lang w:val="en-GB"/>
        </w:rPr>
        <w:t xml:space="preserve">that </w:t>
      </w:r>
      <w:r w:rsidR="00DF7B9F" w:rsidRPr="00892600">
        <w:rPr>
          <w:lang w:val="en-GB"/>
        </w:rPr>
        <w:t xml:space="preserve">minimize subjectivity and reduce analysis time </w:t>
      </w:r>
      <w:r w:rsidRPr="00892600">
        <w:rPr>
          <w:lang w:val="en-GB"/>
        </w:rPr>
        <w:t>are needed.</w:t>
      </w:r>
      <w:r w:rsidR="00DF7B9F">
        <w:rPr>
          <w:lang w:val="en-GB"/>
        </w:rPr>
        <w:t xml:space="preserve"> To this end, </w:t>
      </w:r>
      <w:r w:rsidRPr="00892600">
        <w:rPr>
          <w:lang w:val="en-GB"/>
        </w:rPr>
        <w:t>a rapid and reliable method for predicting the coagulation potential of WLO</w:t>
      </w:r>
      <w:r w:rsidR="00095645">
        <w:rPr>
          <w:lang w:val="en-GB"/>
        </w:rPr>
        <w:t>s</w:t>
      </w:r>
      <w:r w:rsidRPr="00892600">
        <w:rPr>
          <w:lang w:val="en-GB"/>
        </w:rPr>
        <w:t xml:space="preserve"> through multiblock machine learning analysis of near-infrared (NIR) and mid-infrared (MIR) spectroscopy data</w:t>
      </w:r>
      <w:r w:rsidR="00DF7B9F">
        <w:rPr>
          <w:lang w:val="en-GB"/>
        </w:rPr>
        <w:t xml:space="preserve"> is introduced in this article</w:t>
      </w:r>
      <w:r w:rsidRPr="00892600">
        <w:rPr>
          <w:lang w:val="en-GB"/>
        </w:rPr>
        <w:t xml:space="preserve">. The classification models employ a combination of Partial Least Squares for Discriminant Analysis (PLS-DA) and the Bayesian linear classifier. </w:t>
      </w:r>
      <w:r w:rsidR="00DF7B9F">
        <w:rPr>
          <w:lang w:val="en-GB"/>
        </w:rPr>
        <w:t>T</w:t>
      </w:r>
      <w:r w:rsidR="00DF7B9F" w:rsidRPr="00892600">
        <w:rPr>
          <w:lang w:val="en-GB"/>
        </w:rPr>
        <w:t>he models</w:t>
      </w:r>
      <w:r w:rsidR="00DF7B9F">
        <w:rPr>
          <w:lang w:val="en-GB"/>
        </w:rPr>
        <w:t>’</w:t>
      </w:r>
      <w:r w:rsidR="00DF7B9F" w:rsidRPr="00892600">
        <w:rPr>
          <w:lang w:val="en-GB"/>
        </w:rPr>
        <w:t xml:space="preserve"> performance </w:t>
      </w:r>
      <w:r w:rsidR="00DF7B9F">
        <w:rPr>
          <w:lang w:val="en-GB"/>
        </w:rPr>
        <w:t xml:space="preserve">was optimized via </w:t>
      </w:r>
      <w:r w:rsidRPr="00892600">
        <w:rPr>
          <w:lang w:val="en-GB"/>
        </w:rPr>
        <w:t xml:space="preserve">extensive search using the </w:t>
      </w:r>
      <w:proofErr w:type="spellStart"/>
      <w:r w:rsidRPr="00892600">
        <w:rPr>
          <w:lang w:val="en-GB"/>
        </w:rPr>
        <w:t>AutoML</w:t>
      </w:r>
      <w:proofErr w:type="spellEnd"/>
      <w:r w:rsidRPr="00892600">
        <w:rPr>
          <w:lang w:val="en-GB"/>
        </w:rPr>
        <w:t xml:space="preserve"> framework called SS-DAC</w:t>
      </w:r>
      <w:r w:rsidR="00CE34F8">
        <w:rPr>
          <w:lang w:val="en-GB"/>
        </w:rPr>
        <w:t>. More specifically,</w:t>
      </w:r>
      <w:r w:rsidRPr="00892600">
        <w:rPr>
          <w:lang w:val="en-GB"/>
        </w:rPr>
        <w:t xml:space="preserve"> </w:t>
      </w:r>
      <w:r w:rsidR="007657DE">
        <w:rPr>
          <w:lang w:val="en-GB"/>
        </w:rPr>
        <w:t>1755</w:t>
      </w:r>
      <w:r w:rsidRPr="00892600">
        <w:rPr>
          <w:lang w:val="en-GB"/>
        </w:rPr>
        <w:t xml:space="preserve"> combinations of preprocessing, </w:t>
      </w:r>
      <w:r w:rsidR="00DF7B9F">
        <w:rPr>
          <w:lang w:val="en-GB"/>
        </w:rPr>
        <w:t xml:space="preserve">block </w:t>
      </w:r>
      <w:r w:rsidRPr="00892600">
        <w:rPr>
          <w:lang w:val="en-GB"/>
        </w:rPr>
        <w:t xml:space="preserve">scaling, and </w:t>
      </w:r>
      <w:proofErr w:type="spellStart"/>
      <w:r w:rsidR="009D0605">
        <w:rPr>
          <w:lang w:val="en-GB"/>
        </w:rPr>
        <w:t>modeling</w:t>
      </w:r>
      <w:proofErr w:type="spellEnd"/>
      <w:r w:rsidRPr="00892600">
        <w:rPr>
          <w:lang w:val="en-GB"/>
        </w:rPr>
        <w:t xml:space="preserve"> </w:t>
      </w:r>
      <w:r w:rsidR="00662F95">
        <w:t>methodologies</w:t>
      </w:r>
      <w:r w:rsidR="00CE34F8">
        <w:t xml:space="preserve"> were tested</w:t>
      </w:r>
      <w:r w:rsidRPr="00892600">
        <w:rPr>
          <w:lang w:val="en-GB"/>
        </w:rPr>
        <w:t xml:space="preserve">. By automating this process, a comprehensive and accurate prediction of WLO </w:t>
      </w:r>
      <w:r w:rsidRPr="00092068">
        <w:rPr>
          <w:lang w:val="en-GB"/>
        </w:rPr>
        <w:t xml:space="preserve">coagulation potential </w:t>
      </w:r>
      <w:r w:rsidR="00CE34F8" w:rsidRPr="00092068">
        <w:rPr>
          <w:lang w:val="en-GB"/>
        </w:rPr>
        <w:t>was</w:t>
      </w:r>
      <w:r w:rsidRPr="00092068">
        <w:rPr>
          <w:lang w:val="en-GB"/>
        </w:rPr>
        <w:t xml:space="preserve"> achieved.</w:t>
      </w:r>
      <w:r w:rsidR="00095645" w:rsidRPr="00092068">
        <w:rPr>
          <w:lang w:val="en-GB"/>
        </w:rPr>
        <w:t xml:space="preserve"> </w:t>
      </w:r>
      <w:r w:rsidR="00CE34F8" w:rsidRPr="00092068">
        <w:rPr>
          <w:lang w:val="en-GB"/>
        </w:rPr>
        <w:t>T</w:t>
      </w:r>
      <w:r w:rsidR="00095645" w:rsidRPr="00092068">
        <w:rPr>
          <w:lang w:val="en-GB"/>
        </w:rPr>
        <w:t xml:space="preserve">he best NIR single-block model presented a </w:t>
      </w:r>
      <w:r w:rsidR="00092068" w:rsidRPr="00092068">
        <w:rPr>
          <w:lang w:val="en-GB"/>
        </w:rPr>
        <w:t xml:space="preserve">classification </w:t>
      </w:r>
      <w:r w:rsidR="00095645" w:rsidRPr="00092068">
        <w:rPr>
          <w:lang w:val="en-GB"/>
        </w:rPr>
        <w:t xml:space="preserve">accuracy of </w:t>
      </w:r>
      <w:r w:rsidR="002E7A47" w:rsidRPr="00092068">
        <w:rPr>
          <w:lang w:val="en-GB"/>
        </w:rPr>
        <w:t>0.</w:t>
      </w:r>
      <w:r w:rsidR="00095645" w:rsidRPr="00092068">
        <w:rPr>
          <w:lang w:val="en-GB"/>
        </w:rPr>
        <w:t>53</w:t>
      </w:r>
      <w:r w:rsidR="002E7A47" w:rsidRPr="00092068">
        <w:rPr>
          <w:lang w:val="en-GB"/>
        </w:rPr>
        <w:t>,</w:t>
      </w:r>
      <w:r w:rsidR="00095645" w:rsidRPr="00092068">
        <w:rPr>
          <w:lang w:val="en-GB"/>
        </w:rPr>
        <w:t xml:space="preserve"> while the best MIR single-block </w:t>
      </w:r>
      <w:r w:rsidR="00092068">
        <w:rPr>
          <w:lang w:val="en-GB"/>
        </w:rPr>
        <w:t xml:space="preserve">model </w:t>
      </w:r>
      <w:r w:rsidR="00095645" w:rsidRPr="00092068">
        <w:rPr>
          <w:lang w:val="en-GB"/>
        </w:rPr>
        <w:t xml:space="preserve">had an accuracy of </w:t>
      </w:r>
      <w:r w:rsidR="002E7A47" w:rsidRPr="00092068">
        <w:rPr>
          <w:lang w:val="en-GB"/>
        </w:rPr>
        <w:t>0.</w:t>
      </w:r>
      <w:r w:rsidR="00095645" w:rsidRPr="00092068">
        <w:rPr>
          <w:lang w:val="en-GB"/>
        </w:rPr>
        <w:t>88.</w:t>
      </w:r>
      <w:r w:rsidR="00662F95">
        <w:rPr>
          <w:lang w:val="en-GB"/>
        </w:rPr>
        <w:t xml:space="preserve"> </w:t>
      </w:r>
      <w:r w:rsidR="00662F95" w:rsidRPr="00576026">
        <w:rPr>
          <w:lang w:val="en-GB"/>
        </w:rPr>
        <w:t xml:space="preserve">In turn, the best multiblock model combining the NIR and MIR spectra had an accuracy of </w:t>
      </w:r>
      <w:r w:rsidR="002E7A47">
        <w:rPr>
          <w:lang w:val="en-GB"/>
        </w:rPr>
        <w:t>0.</w:t>
      </w:r>
      <w:r w:rsidR="00662F95" w:rsidRPr="00576026">
        <w:rPr>
          <w:lang w:val="en-GB"/>
        </w:rPr>
        <w:t>94.</w:t>
      </w:r>
      <w:r w:rsidR="00662F95">
        <w:rPr>
          <w:lang w:val="en-GB"/>
        </w:rPr>
        <w:t xml:space="preserve"> </w:t>
      </w:r>
      <w:r w:rsidR="00662F95" w:rsidRPr="00892600">
        <w:rPr>
          <w:lang w:val="en-GB"/>
        </w:rPr>
        <w:t xml:space="preserve">This improvement is linked to an increase in the correct classification of WLOs that do not coagulate, whose miss-classification is the most critical. </w:t>
      </w:r>
      <w:r w:rsidR="00662F95">
        <w:rPr>
          <w:lang w:val="en-GB"/>
        </w:rPr>
        <w:t>Thus</w:t>
      </w:r>
      <w:r w:rsidR="00662F95" w:rsidRPr="00892600">
        <w:rPr>
          <w:lang w:val="en-GB"/>
        </w:rPr>
        <w:t>, our findings reveal that the combined use of NIR and MIR spectra significantly improves the prediction of the coagulation potential of WLOs compared to the use of NIR or MIR alone</w:t>
      </w:r>
      <w:r w:rsidR="00092068">
        <w:rPr>
          <w:lang w:val="en-GB"/>
        </w:rPr>
        <w:t>, namely for the cases where the misclassification is more detrimental</w:t>
      </w:r>
      <w:r w:rsidR="00662F95" w:rsidRPr="00892600">
        <w:rPr>
          <w:lang w:val="en-GB"/>
        </w:rPr>
        <w:t>.</w:t>
      </w:r>
    </w:p>
    <w:p w14:paraId="144DE687" w14:textId="338CDA52" w:rsidR="008D2649" w:rsidRPr="006675F7" w:rsidRDefault="008D2649" w:rsidP="006675F7">
      <w:pPr>
        <w:pStyle w:val="Els-body-text"/>
        <w:spacing w:after="120"/>
        <w:rPr>
          <w:lang w:val="en-GB"/>
        </w:rPr>
      </w:pPr>
      <w:r>
        <w:rPr>
          <w:b/>
          <w:bCs/>
          <w:lang w:val="en-GB"/>
        </w:rPr>
        <w:t>Keywords</w:t>
      </w:r>
      <w:r>
        <w:rPr>
          <w:lang w:val="en-GB"/>
        </w:rPr>
        <w:t xml:space="preserve">: </w:t>
      </w:r>
      <w:r w:rsidR="00F217B9" w:rsidRPr="006675F7">
        <w:t>Waste lubricating oil, Multiblock analysis</w:t>
      </w:r>
      <w:r w:rsidR="005A7384" w:rsidRPr="006675F7">
        <w:t>,</w:t>
      </w:r>
      <w:r w:rsidR="00F217B9" w:rsidRPr="006675F7">
        <w:t xml:space="preserve"> PLS</w:t>
      </w:r>
      <w:r w:rsidR="005A7384" w:rsidRPr="006675F7">
        <w:t>,</w:t>
      </w:r>
      <w:r w:rsidR="00F217B9" w:rsidRPr="006675F7">
        <w:t xml:space="preserve"> Classification</w:t>
      </w:r>
      <w:r w:rsidRPr="006675F7">
        <w:rPr>
          <w:lang w:val="en-GB"/>
        </w:rPr>
        <w:t>.</w:t>
      </w:r>
    </w:p>
    <w:p w14:paraId="209BB60A" w14:textId="6F7CEFB0" w:rsidR="0061566F" w:rsidRDefault="007B6B0C" w:rsidP="0061566F">
      <w:pPr>
        <w:pStyle w:val="Els-1storder-head"/>
        <w:spacing w:after="120"/>
      </w:pPr>
      <w:r>
        <w:t>Introduction</w:t>
      </w:r>
    </w:p>
    <w:p w14:paraId="7BC35AD9" w14:textId="64F1CF99" w:rsidR="0061566F" w:rsidRDefault="0061566F" w:rsidP="00232CD1">
      <w:pPr>
        <w:pStyle w:val="Els-body-text"/>
        <w:spacing w:after="120"/>
      </w:pPr>
      <w:r>
        <w:t xml:space="preserve">Waste lubricant oil (WLO) is </w:t>
      </w:r>
      <w:r w:rsidR="00AF5FEF">
        <w:t>a</w:t>
      </w:r>
      <w:r>
        <w:t xml:space="preserve"> hazardous waste </w:t>
      </w:r>
      <w:r w:rsidR="002E7A47">
        <w:t>that</w:t>
      </w:r>
      <w:r>
        <w:t xml:space="preserve"> can cause significant environmental damage if improperly managed. Regeneration is the priority process regarding the waste management hierarchy in the EU. </w:t>
      </w:r>
      <w:r w:rsidR="00021BF7">
        <w:t xml:space="preserve">In Portugal, </w:t>
      </w:r>
      <w:r w:rsidR="00021BF7" w:rsidRPr="00D846A9">
        <w:rPr>
          <w:color w:val="000000" w:themeColor="text1"/>
        </w:rPr>
        <w:t xml:space="preserve">the entire supply chain for the regeneration of WLO </w:t>
      </w:r>
      <w:r w:rsidR="00021BF7">
        <w:t xml:space="preserve">is carried </w:t>
      </w:r>
      <w:r w:rsidR="00092068">
        <w:t xml:space="preserve">out </w:t>
      </w:r>
      <w:r w:rsidR="00021BF7">
        <w:t xml:space="preserve">by </w:t>
      </w:r>
      <w:r w:rsidR="00021BF7" w:rsidRPr="00D846A9">
        <w:rPr>
          <w:color w:val="000000" w:themeColor="text1"/>
        </w:rPr>
        <w:t>Sogilub</w:t>
      </w:r>
      <w:r w:rsidR="00021BF7">
        <w:rPr>
          <w:color w:val="000000" w:themeColor="text1"/>
        </w:rPr>
        <w:t xml:space="preserve">. </w:t>
      </w:r>
      <w:r>
        <w:t xml:space="preserve">The goal </w:t>
      </w:r>
      <w:r w:rsidR="00021BF7">
        <w:t xml:space="preserve">of regeneration </w:t>
      </w:r>
      <w:r>
        <w:t xml:space="preserve">is to obtain base oil again (the main component of virgin lubricant oil) from WLO. </w:t>
      </w:r>
      <w:r w:rsidR="00DF7B9F">
        <w:t xml:space="preserve">However, regeneration is only feasible if the WLO </w:t>
      </w:r>
      <w:r w:rsidR="00DF08CF">
        <w:t>does not coagulate during processing. Otherwise, the process must be stopped for cleaning and</w:t>
      </w:r>
      <w:r w:rsidR="002E7A47">
        <w:t xml:space="preserve"> subsequent</w:t>
      </w:r>
      <w:r w:rsidR="00DF08CF">
        <w:t xml:space="preserve"> disposal of the entire production. To minimize this </w:t>
      </w:r>
      <w:r w:rsidR="00DF08CF" w:rsidRPr="00232CD1">
        <w:t xml:space="preserve">risk, </w:t>
      </w:r>
      <w:r w:rsidR="00DF08CF" w:rsidRPr="009C0CF4">
        <w:t>t</w:t>
      </w:r>
      <w:r w:rsidRPr="00232CD1">
        <w:t xml:space="preserve">he coagulation potential </w:t>
      </w:r>
      <w:r w:rsidR="00662F95">
        <w:t xml:space="preserve">of WLOs </w:t>
      </w:r>
      <w:r w:rsidRPr="00232CD1">
        <w:t>is</w:t>
      </w:r>
      <w:r w:rsidR="00232CD1" w:rsidRPr="0067491E">
        <w:t xml:space="preserve"> currently</w:t>
      </w:r>
      <w:r w:rsidRPr="00232CD1">
        <w:t xml:space="preserve"> </w:t>
      </w:r>
      <w:r w:rsidR="00DF08CF" w:rsidRPr="009C0CF4">
        <w:t xml:space="preserve">assessed </w:t>
      </w:r>
      <w:r w:rsidR="00AF5FEF">
        <w:t>through</w:t>
      </w:r>
      <w:r w:rsidR="00DF08CF" w:rsidRPr="009C0CF4">
        <w:t xml:space="preserve"> </w:t>
      </w:r>
      <w:r w:rsidR="00A46EB6" w:rsidRPr="00232CD1">
        <w:rPr>
          <w:lang w:val="en-GB"/>
        </w:rPr>
        <w:t xml:space="preserve">a </w:t>
      </w:r>
      <w:r w:rsidR="00662F95">
        <w:t xml:space="preserve">laboratory </w:t>
      </w:r>
      <w:r w:rsidR="00A46EB6">
        <w:t xml:space="preserve">analysis using </w:t>
      </w:r>
      <w:r w:rsidR="00DF08CF" w:rsidRPr="009C0CF4">
        <w:t xml:space="preserve">an </w:t>
      </w:r>
      <w:r w:rsidR="00DF08CF" w:rsidRPr="00232CD1">
        <w:rPr>
          <w:lang w:val="en-GB"/>
        </w:rPr>
        <w:t>alkaline treatment</w:t>
      </w:r>
      <w:r w:rsidR="00232CD1" w:rsidRPr="009C0CF4">
        <w:t>. However, this laboratory test is time-consuming</w:t>
      </w:r>
      <w:r w:rsidR="00AF5FEF">
        <w:t xml:space="preserve">, has </w:t>
      </w:r>
      <w:r w:rsidR="00AF5FEF">
        <w:lastRenderedPageBreak/>
        <w:t>some safety risks,</w:t>
      </w:r>
      <w:r w:rsidR="00232CD1" w:rsidRPr="009C0CF4">
        <w:t xml:space="preserve"> and </w:t>
      </w:r>
      <w:r w:rsidR="00AF5FEF">
        <w:t xml:space="preserve">is </w:t>
      </w:r>
      <w:r w:rsidR="00232CD1" w:rsidRPr="009C0CF4">
        <w:t>subjective</w:t>
      </w:r>
      <w:r w:rsidR="00AF5FEF">
        <w:t>, depending</w:t>
      </w:r>
      <w:r w:rsidR="00232CD1" w:rsidRPr="009C0CF4">
        <w:t xml:space="preserve"> </w:t>
      </w:r>
      <w:r w:rsidR="00AF5FEF">
        <w:t>on</w:t>
      </w:r>
      <w:r w:rsidR="00232CD1" w:rsidRPr="009C0CF4">
        <w:t xml:space="preserve"> the </w:t>
      </w:r>
      <w:r w:rsidR="002E7A47">
        <w:t>analyst</w:t>
      </w:r>
      <w:r w:rsidR="00021BF7" w:rsidRPr="00232CD1">
        <w:t>’s</w:t>
      </w:r>
      <w:r w:rsidR="00232CD1" w:rsidRPr="009C0CF4">
        <w:t xml:space="preserve"> visual interpretation of the results.</w:t>
      </w:r>
      <w:r w:rsidR="00232CD1">
        <w:t xml:space="preserve"> As an alternative, a process analytical technology (PAT)-based classifier opens the</w:t>
      </w:r>
      <w:r>
        <w:t xml:space="preserve"> potential to significantly expedite sample processing and enhance the </w:t>
      </w:r>
      <w:r w:rsidR="00AF5FEF">
        <w:t xml:space="preserve">safety and </w:t>
      </w:r>
      <w:r>
        <w:t>testing capacity of laboratories.</w:t>
      </w:r>
    </w:p>
    <w:p w14:paraId="4636AE0A" w14:textId="6829E3DC" w:rsidR="005A36F2" w:rsidRDefault="009C07BC" w:rsidP="009C07BC">
      <w:pPr>
        <w:pStyle w:val="Els-body-text"/>
        <w:spacing w:after="120"/>
      </w:pPr>
      <w:r>
        <w:t>The present work aims to develop a classifier to predict the coagulation potential using a c</w:t>
      </w:r>
      <w:r w:rsidRPr="00997FC3">
        <w:t xml:space="preserve">ombination of </w:t>
      </w:r>
      <w:r w:rsidR="00997FC3" w:rsidRPr="00997FC3">
        <w:t xml:space="preserve">mid-infrared (MIR) </w:t>
      </w:r>
      <w:r w:rsidRPr="00077097">
        <w:t>and near-infrared (NIR) spectroscop</w:t>
      </w:r>
      <w:r w:rsidR="00AF5FEF">
        <w:t>y</w:t>
      </w:r>
      <w:r w:rsidRPr="00077097">
        <w:t>. Th</w:t>
      </w:r>
      <w:r w:rsidR="00AF5FEF">
        <w:t>e</w:t>
      </w:r>
      <w:r w:rsidRPr="00077097">
        <w:t xml:space="preserve"> two</w:t>
      </w:r>
      <w:r w:rsidR="00AF5FEF">
        <w:t xml:space="preserve"> </w:t>
      </w:r>
      <w:r w:rsidRPr="00077097">
        <w:t>information sources were combined using multiblock analysis.</w:t>
      </w:r>
      <w:r w:rsidR="00EB7A15">
        <w:t xml:space="preserve"> </w:t>
      </w:r>
      <w:r w:rsidR="00BE5DC8" w:rsidRPr="00077097">
        <w:rPr>
          <w:rFonts w:ascii="TimesNewRomanPSMT" w:hAnsi="TimesNewRomanPSMT" w:cs="TimesNewRomanPSMT"/>
          <w:lang w:eastAsia="en-GB"/>
        </w:rPr>
        <w:t xml:space="preserve">A variety of </w:t>
      </w:r>
      <w:r w:rsidR="00BE5DC8">
        <w:rPr>
          <w:rFonts w:ascii="TimesNewRomanPSMT" w:hAnsi="TimesNewRomanPSMT" w:cs="TimesNewRomanPSMT"/>
          <w:lang w:eastAsia="en-GB"/>
        </w:rPr>
        <w:t xml:space="preserve">PLS-based </w:t>
      </w:r>
      <w:r w:rsidR="00BE5DC8" w:rsidRPr="00077097">
        <w:rPr>
          <w:rFonts w:ascii="TimesNewRomanPSMT" w:hAnsi="TimesNewRomanPSMT" w:cs="TimesNewRomanPSMT"/>
          <w:lang w:eastAsia="en-GB"/>
        </w:rPr>
        <w:t xml:space="preserve">approaches were developed </w:t>
      </w:r>
      <w:r w:rsidR="00BE5DC8">
        <w:rPr>
          <w:rFonts w:ascii="TimesNewRomanPSMT" w:hAnsi="TimesNewRomanPSMT" w:cs="TimesNewRomanPSMT"/>
          <w:lang w:eastAsia="en-GB"/>
        </w:rPr>
        <w:t>to</w:t>
      </w:r>
      <w:r w:rsidR="00BE5DC8" w:rsidRPr="00077097">
        <w:rPr>
          <w:rFonts w:ascii="TimesNewRomanPSMT" w:hAnsi="TimesNewRomanPSMT" w:cs="TimesNewRomanPSMT"/>
          <w:lang w:eastAsia="en-GB"/>
        </w:rPr>
        <w:t xml:space="preserve"> hand</w:t>
      </w:r>
      <w:r w:rsidR="00BE5DC8">
        <w:rPr>
          <w:rFonts w:ascii="TimesNewRomanPSMT" w:hAnsi="TimesNewRomanPSMT" w:cs="TimesNewRomanPSMT"/>
          <w:lang w:eastAsia="en-GB"/>
        </w:rPr>
        <w:t>le</w:t>
      </w:r>
      <w:r w:rsidR="00BE5DC8" w:rsidRPr="00077097">
        <w:rPr>
          <w:rFonts w:ascii="TimesNewRomanPSMT" w:hAnsi="TimesNewRomanPSMT" w:cs="TimesNewRomanPSMT"/>
          <w:lang w:eastAsia="en-GB"/>
        </w:rPr>
        <w:t xml:space="preserve"> multiblock data</w:t>
      </w:r>
      <w:r w:rsidR="005A36F2">
        <w:rPr>
          <w:rFonts w:ascii="TimesNewRomanPSMT" w:hAnsi="TimesNewRomanPSMT" w:cs="TimesNewRomanPSMT"/>
          <w:lang w:eastAsia="en-GB"/>
        </w:rPr>
        <w:t>, such as</w:t>
      </w:r>
      <w:r w:rsidR="00BE5DC8">
        <w:rPr>
          <w:rFonts w:ascii="TimesNewRomanPSMT" w:hAnsi="TimesNewRomanPSMT" w:cs="TimesNewRomanPSMT"/>
          <w:lang w:eastAsia="en-GB"/>
        </w:rPr>
        <w:t xml:space="preserve"> </w:t>
      </w:r>
      <w:r w:rsidR="00BE5DC8" w:rsidRPr="00077097">
        <w:rPr>
          <w:rFonts w:ascii="TimesNewRomanPSMT" w:hAnsi="TimesNewRomanPSMT" w:cs="TimesNewRomanPSMT"/>
          <w:lang w:eastAsia="en-GB"/>
        </w:rPr>
        <w:t xml:space="preserve">Concatenated PLS, Hierarchical PLS </w:t>
      </w:r>
      <w:r w:rsidR="00BE5DC8" w:rsidRPr="009F203F">
        <w:rPr>
          <w:rFonts w:ascii="TimesNewRomanPSMT" w:hAnsi="TimesNewRomanPSMT" w:cs="TimesNewRomanPSMT"/>
          <w:lang w:eastAsia="en-GB"/>
        </w:rPr>
        <w:fldChar w:fldCharType="begin"/>
      </w:r>
      <w:r w:rsidR="007529E9">
        <w:rPr>
          <w:rFonts w:ascii="TimesNewRomanPSMT" w:hAnsi="TimesNewRomanPSMT" w:cs="TimesNewRomanPSMT"/>
          <w:lang w:eastAsia="en-GB"/>
        </w:rPr>
        <w:instrText xml:space="preserve"> ADDIN ZOTERO_ITEM CSL_CITATION {"citationID":"i2euMvZf","properties":{"formattedCitation":"(Wold et al., 1987)","plainCitation":"(Wold et al., 1987)","noteIndex":0},"citationItems":[{"id":"64sOb44w/wGDgqtTF","uris":["http://zotero.org/users/10078479/items/UJ9JFPC6"],"itemData":{"id":1326,"type":"book","publisher":"Frankfurt am Main","title":"PLS modeling with latent variables in two or more dimensions","author":[{"family":"Wold","given":"Svante"},{"family":"Hellberg","given":"S"},{"family":"Lundstedt","given":"T."},{"family":"Sjostrom","given":"M"},{"family":"Wold","given":"H."}],"issued":{"date-parts":[["1987"]]}}}],"schema":"https://github.com/citation-style-language/schema/raw/master/csl-citation.json"} </w:instrText>
      </w:r>
      <w:r w:rsidR="00BE5DC8" w:rsidRPr="009F203F">
        <w:rPr>
          <w:rFonts w:ascii="TimesNewRomanPSMT" w:hAnsi="TimesNewRomanPSMT" w:cs="TimesNewRomanPSMT"/>
          <w:lang w:eastAsia="en-GB"/>
        </w:rPr>
        <w:fldChar w:fldCharType="separate"/>
      </w:r>
      <w:r w:rsidR="00BE5DC8" w:rsidRPr="009F203F">
        <w:rPr>
          <w:rFonts w:ascii="TimesNewRomanPSMT" w:hAnsi="TimesNewRomanPSMT"/>
        </w:rPr>
        <w:t>(Wold et al., 1987)</w:t>
      </w:r>
      <w:r w:rsidR="00BE5DC8" w:rsidRPr="009F203F">
        <w:rPr>
          <w:rFonts w:ascii="TimesNewRomanPSMT" w:hAnsi="TimesNewRomanPSMT" w:cs="TimesNewRomanPSMT"/>
          <w:lang w:eastAsia="en-GB"/>
        </w:rPr>
        <w:fldChar w:fldCharType="end"/>
      </w:r>
      <w:r w:rsidR="00BE5DC8" w:rsidRPr="009F203F">
        <w:rPr>
          <w:rFonts w:ascii="TimesNewRomanPSMT" w:hAnsi="TimesNewRomanPSMT" w:cs="TimesNewRomanPSMT"/>
          <w:lang w:eastAsia="en-GB"/>
        </w:rPr>
        <w:t>,</w:t>
      </w:r>
      <w:r w:rsidR="00BE5DC8" w:rsidRPr="00077097">
        <w:t xml:space="preserve"> </w:t>
      </w:r>
      <w:r w:rsidR="00BE5DC8" w:rsidRPr="00077097">
        <w:rPr>
          <w:rFonts w:ascii="TimesNewRomanPSMT" w:hAnsi="TimesNewRomanPSMT" w:cs="TimesNewRomanPSMT"/>
          <w:lang w:eastAsia="en-GB"/>
        </w:rPr>
        <w:t xml:space="preserve">multiblock PLS </w:t>
      </w:r>
      <w:r w:rsidR="00BE5DC8" w:rsidRPr="00077097">
        <w:rPr>
          <w:rFonts w:ascii="TimesNewRomanPSMT" w:hAnsi="TimesNewRomanPSMT" w:cs="TimesNewRomanPSMT"/>
          <w:lang w:eastAsia="en-GB"/>
        </w:rPr>
        <w:fldChar w:fldCharType="begin"/>
      </w:r>
      <w:r w:rsidR="00BE5DC8">
        <w:rPr>
          <w:rFonts w:ascii="TimesNewRomanPSMT" w:hAnsi="TimesNewRomanPSMT" w:cs="TimesNewRomanPSMT"/>
          <w:lang w:eastAsia="en-GB"/>
        </w:rPr>
        <w:instrText xml:space="preserve"> ADDIN ZOTERO_ITEM CSL_CITATION {"citationID":"hVpUkthH","properties":{"formattedCitation":"(Wangen and Kowalski, 1989)","plainCitation":"(Wangen and Kowalski, 1989)","noteIndex":0},"citationItems":[{"id":"64sOb44w/gFeICQUi","uris":["http://zotero.org/users/10078479/items/9825TBCX"],"itemData":{"id":1327,"type":"article-journal","abstract":"The details of a general multiblock partial least squares (PLS) algorithm based on one originally presented by Wold et al. have been developed and are completely presented. The algorithm can handle most types of relationships between the blocks and constitutes a significant advancement in the modeling of complex chemical systems. The algorithm has been programmed in FORTRAN and has been tested on two simulated multiblock problems, a three-block and a five-block problem. The algorithm combines the score vectors for all blocks predicting a particular block into a new block. This new block is used to predict the predicted block in a manner analogous to the two-block PLS. In a similar manner if one block predicts more than one other block, the score vectors of all predicted blocks are combined to form a new block, which is then predicted by the predictor block as in the two-block PLS. Blocks that both predict and are predicted are treated in such a way that both of these roles can be taken into account when calculating interblock relationships. The results of numerical simulations indicate that the computer program is operating properly and that the multiblock PLS produces meaningful and consistent results.","container-title":"Journal of Chemometrics","DOI":"10.1002/cem.1180030104","ISSN":"1099-128X","issue":"1","language":"fr","license":"Copyright © 1988 John Wiley &amp; Sons Ltd.","note":"_eprint: https://onlinelibrary.wiley.com/doi/pdf/10.1002/cem.1180030104","page":"3-20","source":"Wiley Online Library","title":"A multiblock partial least squares algorithm for investigating complex chemical systems","volume":"3","author":[{"family":"Wangen","given":"L. E."},{"family":"Kowalski","given":"B. R."}],"issued":{"date-parts":[["1989"]]}}}],"schema":"https://github.com/citation-style-language/schema/raw/master/csl-citation.json"} </w:instrText>
      </w:r>
      <w:r w:rsidR="00BE5DC8" w:rsidRPr="00077097">
        <w:rPr>
          <w:rFonts w:ascii="TimesNewRomanPSMT" w:hAnsi="TimesNewRomanPSMT" w:cs="TimesNewRomanPSMT"/>
          <w:lang w:eastAsia="en-GB"/>
        </w:rPr>
        <w:fldChar w:fldCharType="separate"/>
      </w:r>
      <w:r w:rsidR="00BE5DC8" w:rsidRPr="009C0CF4">
        <w:rPr>
          <w:rFonts w:ascii="TimesNewRomanPSMT" w:hAnsi="TimesNewRomanPSMT"/>
        </w:rPr>
        <w:t>(Wangen and Kowalski, 1989)</w:t>
      </w:r>
      <w:r w:rsidR="00BE5DC8" w:rsidRPr="00077097">
        <w:rPr>
          <w:rFonts w:ascii="TimesNewRomanPSMT" w:hAnsi="TimesNewRomanPSMT" w:cs="TimesNewRomanPSMT"/>
          <w:lang w:eastAsia="en-GB"/>
        </w:rPr>
        <w:fldChar w:fldCharType="end"/>
      </w:r>
      <w:r w:rsidR="005A36F2">
        <w:rPr>
          <w:rFonts w:ascii="TimesNewRomanPSMT" w:hAnsi="TimesNewRomanPSMT" w:cs="TimesNewRomanPSMT"/>
          <w:lang w:eastAsia="en-GB"/>
        </w:rPr>
        <w:t xml:space="preserve"> and</w:t>
      </w:r>
      <w:r w:rsidR="00BE5DC8" w:rsidRPr="00077097">
        <w:rPr>
          <w:rFonts w:ascii="TimesNewRomanPSMT" w:hAnsi="TimesNewRomanPSMT" w:cs="TimesNewRomanPSMT"/>
          <w:lang w:eastAsia="en-GB"/>
        </w:rPr>
        <w:t xml:space="preserve"> Sequential </w:t>
      </w:r>
      <w:proofErr w:type="spellStart"/>
      <w:r w:rsidR="00BE5DC8" w:rsidRPr="00077097">
        <w:rPr>
          <w:rFonts w:ascii="TimesNewRomanPSMT" w:hAnsi="TimesNewRomanPSMT" w:cs="TimesNewRomanPSMT"/>
          <w:lang w:eastAsia="en-GB"/>
        </w:rPr>
        <w:t>Orthogonalised</w:t>
      </w:r>
      <w:proofErr w:type="spellEnd"/>
      <w:r w:rsidR="00BE5DC8" w:rsidRPr="00077097">
        <w:rPr>
          <w:rFonts w:ascii="TimesNewRomanPSMT" w:hAnsi="TimesNewRomanPSMT" w:cs="TimesNewRomanPSMT"/>
          <w:lang w:eastAsia="en-GB"/>
        </w:rPr>
        <w:t xml:space="preserve"> PLS</w:t>
      </w:r>
      <w:r w:rsidR="00BE5DC8">
        <w:rPr>
          <w:rFonts w:ascii="TimesNewRomanPSMT" w:hAnsi="TimesNewRomanPSMT" w:cs="TimesNewRomanPSMT"/>
          <w:lang w:eastAsia="en-GB"/>
        </w:rPr>
        <w:t xml:space="preserve"> </w:t>
      </w:r>
      <w:r w:rsidR="00BE5DC8">
        <w:rPr>
          <w:rFonts w:ascii="TimesNewRomanPSMT" w:hAnsi="TimesNewRomanPSMT" w:cs="TimesNewRomanPSMT"/>
          <w:lang w:eastAsia="en-GB"/>
        </w:rPr>
        <w:fldChar w:fldCharType="begin"/>
      </w:r>
      <w:r w:rsidR="00BE5DC8">
        <w:rPr>
          <w:rFonts w:ascii="TimesNewRomanPSMT" w:hAnsi="TimesNewRomanPSMT" w:cs="TimesNewRomanPSMT"/>
          <w:lang w:eastAsia="en-GB"/>
        </w:rPr>
        <w:instrText xml:space="preserve"> ADDIN ZOTERO_ITEM CSL_CITATION {"citationID":"caEGG7ay","properties":{"formattedCitation":"(N\\uc0\\u230{}s et al., 2020)","plainCitation":"(Næs et al., 2020)","noteIndex":0},"citationItems":[{"id":235,"uris":["http://zotero.org/users/local/PxKgUfUF/items/G3J339YM"],"itemData":{"id":235,"type":"article-journal","abstract":"Abstract This paper is about the use of the multiblock regression method sequential and orthogonalized partial least squares (SO-PLS) for path modeling. The paper is a follow up of previously published papers on the same topic and presents a number of new results for the method. First of all, the paper discusses more thoroughly the aspect of how to incorporate blocks in the models and relates this to standard concepts in the area of graphical modeling. Second, the paper defines the concept of direct and indirect effects more precisely in terms of population parameters and shows how they are related to the additional effect in SO-PLS modeling. The paper illustrates the theory by simple graphs, simulations, and a real example from process monitoring.","container-title":"Journal of Chemometrics","DOI":"https://doi.org/10.1002/cem.3243","ISSN":"0886-9383","journalAbbreviation":"J. Chemom.","page":"e3243","title":"Sequential and orthogonalized PLS (SO-PLS) regression for path analysis: Order of blocks and relations between effects","author":[{"family":"Næs","given":"Tormod"},{"family":"Romano","given":"Rosaria"},{"family":"Tomic","given":"Oliver"},{"family":"Måge","given":"Ingrid"},{"family":"Smilde","given":"Age"},{"family":"Liland","given":"Kristian H."}],"issued":{"date-parts":[["2020"]]}}}],"schema":"https://github.com/citation-style-language/schema/raw/master/csl-citation.json"} </w:instrText>
      </w:r>
      <w:r w:rsidR="00BE5DC8">
        <w:rPr>
          <w:rFonts w:ascii="TimesNewRomanPSMT" w:hAnsi="TimesNewRomanPSMT" w:cs="TimesNewRomanPSMT"/>
          <w:lang w:eastAsia="en-GB"/>
        </w:rPr>
        <w:fldChar w:fldCharType="separate"/>
      </w:r>
      <w:r w:rsidR="00BE5DC8" w:rsidRPr="00CB22B1">
        <w:rPr>
          <w:rFonts w:ascii="TimesNewRomanPSMT" w:hAnsi="TimesNewRomanPSMT"/>
        </w:rPr>
        <w:t>(Næs et al., 2020)</w:t>
      </w:r>
      <w:r w:rsidR="00BE5DC8">
        <w:rPr>
          <w:rFonts w:ascii="TimesNewRomanPSMT" w:hAnsi="TimesNewRomanPSMT" w:cs="TimesNewRomanPSMT"/>
          <w:lang w:eastAsia="en-GB"/>
        </w:rPr>
        <w:fldChar w:fldCharType="end"/>
      </w:r>
      <w:r w:rsidR="005A36F2">
        <w:rPr>
          <w:rFonts w:ascii="TimesNewRomanPSMT" w:hAnsi="TimesNewRomanPSMT" w:cs="TimesNewRomanPSMT"/>
          <w:lang w:eastAsia="en-GB"/>
        </w:rPr>
        <w:t xml:space="preserve">. A review of these methodologies can be found in </w:t>
      </w:r>
      <w:r w:rsidR="00BE5DC8">
        <w:fldChar w:fldCharType="begin"/>
      </w:r>
      <w:r w:rsidR="00BE5DC8">
        <w:instrText xml:space="preserve"> ADDIN ZOTERO_ITEM CSL_CITATION {"citationID":"aQZQbhpy","properties":{"formattedCitation":"(Campos et al., 2017)","plainCitation":"(Campos et al., 2017)","noteIndex":0},"citationItems":[{"id":718,"uris":["http://zotero.org/users/local/PxKgUfUF/items/PP7WTRDD"],"itemData":{"id":718,"type":"article-journal","container-title":"Talanta","DOI":"https://doi.org/10.1016/j.talanta.2017.04.064","ISSN":"0039-9140","page":"132-142","title":"Advanced predictive methods for wine age prediction: Part II – A comparison study of multiblock regression approaches","volume":"171","author":[{"family":"Campos","given":"Maria P."},{"family":"Sousa","given":"Ricardo"},{"family":"Pereira","given":"Ana C."},{"family":"Reis","given":"Marco S."}],"issued":{"date-parts":[["2017"]]}}}],"schema":"https://github.com/citation-style-language/schema/raw/master/csl-citation.json"} </w:instrText>
      </w:r>
      <w:r w:rsidR="00BE5DC8">
        <w:fldChar w:fldCharType="separate"/>
      </w:r>
      <w:r w:rsidR="00BE5DC8">
        <w:rPr>
          <w:noProof/>
        </w:rPr>
        <w:t>(Campos et al., 2017)</w:t>
      </w:r>
      <w:r w:rsidR="00BE5DC8">
        <w:fldChar w:fldCharType="end"/>
      </w:r>
      <w:r w:rsidR="005A36F2">
        <w:t>. In this work</w:t>
      </w:r>
      <w:r w:rsidR="00AF5FEF">
        <w:t>,</w:t>
      </w:r>
      <w:r w:rsidR="005A36F2">
        <w:t xml:space="preserve"> we employ the Concatenated PLS approach, which </w:t>
      </w:r>
      <w:r w:rsidR="005A36F2" w:rsidRPr="001E3162">
        <w:t xml:space="preserve">consists </w:t>
      </w:r>
      <w:r w:rsidR="00AF5FEF">
        <w:t>of</w:t>
      </w:r>
      <w:r w:rsidR="005A36F2" w:rsidRPr="001E3162">
        <w:t xml:space="preserve"> concatenating all blocks in</w:t>
      </w:r>
      <w:r w:rsidR="001E3162" w:rsidRPr="001E3162">
        <w:t>to</w:t>
      </w:r>
      <w:r w:rsidR="005A36F2" w:rsidRPr="001E3162">
        <w:t xml:space="preserve"> a single augmented matrix</w:t>
      </w:r>
      <w:r w:rsidR="001E3162" w:rsidRPr="001E3162">
        <w:t>. Afterwards, t</w:t>
      </w:r>
      <w:r w:rsidR="005A36F2" w:rsidRPr="001E3162">
        <w:t xml:space="preserve">he standard PLS </w:t>
      </w:r>
      <w:r w:rsidR="001E3162" w:rsidRPr="001E3162">
        <w:t>is applied</w:t>
      </w:r>
      <w:r w:rsidR="005A36F2" w:rsidRPr="001E3162">
        <w:t>.</w:t>
      </w:r>
    </w:p>
    <w:p w14:paraId="6656FABA" w14:textId="5BAB02DD" w:rsidR="0061566F" w:rsidRPr="0061566F" w:rsidRDefault="0061566F" w:rsidP="0061566F">
      <w:pPr>
        <w:pStyle w:val="Els-body-text"/>
        <w:spacing w:after="120"/>
      </w:pPr>
      <w:r>
        <w:t xml:space="preserve">The rest of this article is organized as follows. In Section 2, </w:t>
      </w:r>
      <w:r w:rsidR="00997FC3">
        <w:t xml:space="preserve">the methodology is described, including </w:t>
      </w:r>
      <w:r>
        <w:t xml:space="preserve">the pre-processing techniques, block scaling, and modeling methodologies. </w:t>
      </w:r>
      <w:r w:rsidR="00AF5FEF">
        <w:t>Afterward</w:t>
      </w:r>
      <w:r>
        <w:t>, in Section 3, the results are presented. Finally, a summary of the conclusions is provided in Section 4.</w:t>
      </w:r>
    </w:p>
    <w:p w14:paraId="0C11F4D6" w14:textId="0D973986" w:rsidR="00491249" w:rsidRDefault="00661174" w:rsidP="00890D1A">
      <w:pPr>
        <w:pStyle w:val="Els-1storder-head"/>
      </w:pPr>
      <w:r>
        <w:t>Methodology</w:t>
      </w:r>
    </w:p>
    <w:p w14:paraId="76D4825B" w14:textId="18C999B7" w:rsidR="00002708" w:rsidRDefault="0088403D" w:rsidP="00454EED">
      <w:pPr>
        <w:pStyle w:val="Els-body-text"/>
        <w:spacing w:after="120"/>
      </w:pPr>
      <w:r w:rsidRPr="00CA50B1">
        <w:t xml:space="preserve">The </w:t>
      </w:r>
      <w:r w:rsidR="000F0F42" w:rsidRPr="00CA50B1">
        <w:t xml:space="preserve">proposed </w:t>
      </w:r>
      <w:r w:rsidR="000F0F42">
        <w:t xml:space="preserve">multiblock </w:t>
      </w:r>
      <w:r w:rsidRPr="00CA50B1">
        <w:t xml:space="preserve">methodology </w:t>
      </w:r>
      <w:r w:rsidR="007121F8" w:rsidRPr="00CA50B1">
        <w:t xml:space="preserve">is composed </w:t>
      </w:r>
      <w:r w:rsidR="00AF5FEF">
        <w:t>of</w:t>
      </w:r>
      <w:r w:rsidR="000C697E" w:rsidRPr="00CA50B1">
        <w:t xml:space="preserve"> </w:t>
      </w:r>
      <w:r w:rsidR="00895B97">
        <w:t>t</w:t>
      </w:r>
      <w:r w:rsidR="005F785A" w:rsidRPr="00CA50B1">
        <w:t xml:space="preserve">hree </w:t>
      </w:r>
      <w:r w:rsidR="009C4FAD" w:rsidRPr="00CA50B1">
        <w:t>level</w:t>
      </w:r>
      <w:r w:rsidR="0041144C" w:rsidRPr="00CA50B1">
        <w:t xml:space="preserve">s </w:t>
      </w:r>
      <w:r w:rsidR="00AF5FEF">
        <w:t>to be optimized</w:t>
      </w:r>
      <w:r w:rsidR="0041144C" w:rsidRPr="00CA50B1">
        <w:t>: (</w:t>
      </w:r>
      <w:proofErr w:type="spellStart"/>
      <w:r w:rsidR="0041144C" w:rsidRPr="00CA50B1">
        <w:t>i</w:t>
      </w:r>
      <w:proofErr w:type="spellEnd"/>
      <w:r w:rsidR="0041144C" w:rsidRPr="00CA50B1">
        <w:t>)</w:t>
      </w:r>
      <w:r w:rsidR="00543A58" w:rsidRPr="00CA50B1">
        <w:t xml:space="preserve"> </w:t>
      </w:r>
      <w:r w:rsidR="006E3AB4" w:rsidRPr="00CA50B1">
        <w:t xml:space="preserve">spectra </w:t>
      </w:r>
      <w:r w:rsidR="00496611" w:rsidRPr="00CA50B1">
        <w:t>preprocessin</w:t>
      </w:r>
      <w:r w:rsidR="008614CF" w:rsidRPr="00CA50B1">
        <w:t>g</w:t>
      </w:r>
      <w:r w:rsidR="0041144C" w:rsidRPr="00CA50B1">
        <w:t>; (ii)</w:t>
      </w:r>
      <w:r w:rsidR="008614CF" w:rsidRPr="00CA50B1">
        <w:t xml:space="preserve"> </w:t>
      </w:r>
      <w:r w:rsidR="007A1DF2" w:rsidRPr="00CA50B1">
        <w:t>block scaling</w:t>
      </w:r>
      <w:r w:rsidR="008C52F6" w:rsidRPr="00CA50B1">
        <w:t xml:space="preserve"> </w:t>
      </w:r>
      <w:r w:rsidR="00ED51A0" w:rsidRPr="00CA50B1">
        <w:t>(iii)</w:t>
      </w:r>
      <w:r w:rsidR="00AF5FEF">
        <w:t>;</w:t>
      </w:r>
      <w:r w:rsidR="00895B97">
        <w:t xml:space="preserve"> and</w:t>
      </w:r>
      <w:r w:rsidR="008C52F6" w:rsidRPr="00CA50B1">
        <w:t xml:space="preserve"> </w:t>
      </w:r>
      <w:r w:rsidR="000F0F42">
        <w:t>modeling</w:t>
      </w:r>
      <w:r w:rsidR="000F0F42" w:rsidRPr="00CA50B1">
        <w:t xml:space="preserve"> </w:t>
      </w:r>
      <w:r w:rsidR="00B1200E" w:rsidRPr="00CA50B1">
        <w:t>method</w:t>
      </w:r>
      <w:r w:rsidR="00895B97">
        <w:t>ology</w:t>
      </w:r>
      <w:r w:rsidR="00A572D8" w:rsidRPr="00CA50B1">
        <w:t>.</w:t>
      </w:r>
      <w:r w:rsidR="007A1DF2" w:rsidRPr="00CA50B1">
        <w:t xml:space="preserve"> </w:t>
      </w:r>
      <w:r w:rsidR="00A572D8" w:rsidRPr="00CA50B1">
        <w:t xml:space="preserve">A </w:t>
      </w:r>
      <w:r w:rsidR="00F10F59" w:rsidRPr="00CA50B1">
        <w:t>simplified</w:t>
      </w:r>
      <w:r w:rsidR="00B3482D" w:rsidRPr="00CA50B1">
        <w:t xml:space="preserve"> diagram </w:t>
      </w:r>
      <w:r w:rsidR="00895B97">
        <w:t xml:space="preserve">of the workflow </w:t>
      </w:r>
      <w:r w:rsidR="000F0F42">
        <w:t xml:space="preserve">of the methodology </w:t>
      </w:r>
      <w:r w:rsidR="00B3482D" w:rsidRPr="00CA50B1">
        <w:t xml:space="preserve">is presented in </w:t>
      </w:r>
      <w:r w:rsidR="00CC52DD">
        <w:fldChar w:fldCharType="begin"/>
      </w:r>
      <w:r w:rsidR="00CC52DD">
        <w:instrText xml:space="preserve"> REF _Ref150528221 \h </w:instrText>
      </w:r>
      <w:r w:rsidR="00CC52DD">
        <w:fldChar w:fldCharType="separate"/>
      </w:r>
      <w:r w:rsidR="00CC52DD">
        <w:t xml:space="preserve">Figure </w:t>
      </w:r>
      <w:r w:rsidR="00CC52DD">
        <w:rPr>
          <w:noProof/>
        </w:rPr>
        <w:t>1</w:t>
      </w:r>
      <w:r w:rsidR="00CC52DD">
        <w:fldChar w:fldCharType="end"/>
      </w:r>
      <w:r w:rsidR="00A572D8" w:rsidRPr="00CA50B1">
        <w:t>.</w:t>
      </w:r>
      <w:r w:rsidR="00895B97">
        <w:t xml:space="preserve"> To find the best </w:t>
      </w:r>
      <w:r w:rsidR="0024539F" w:rsidRPr="00CA50B1">
        <w:t xml:space="preserve">combination of </w:t>
      </w:r>
      <w:r w:rsidR="00895B97">
        <w:t xml:space="preserve">levels </w:t>
      </w:r>
      <w:r w:rsidR="00AF5FEF">
        <w:t>we resorted to the</w:t>
      </w:r>
      <w:r w:rsidR="00002708" w:rsidRPr="00CA50B1">
        <w:t xml:space="preserve"> SS-DAC </w:t>
      </w:r>
      <w:r w:rsidR="0074291B" w:rsidRPr="00CA50B1">
        <w:t xml:space="preserve">framework </w:t>
      </w:r>
      <w:r w:rsidR="00002708" w:rsidRPr="00CA50B1">
        <w:fldChar w:fldCharType="begin"/>
      </w:r>
      <w:r w:rsidR="0087482D">
        <w:instrText xml:space="preserve"> ADDIN ZOTERO_ITEM CSL_CITATION {"citationID":"DZFNi1tQ","properties":{"formattedCitation":"(Rato and Reis, 2019)","plainCitation":"(Rato and Reis, 2019)","noteIndex":0},"citationItems":[{"id":"64sOb44w/jp8LdDLH","uris":["http://zotero.org/users/10078479/items/QSNJBEUH"],"itemData":{"id":1253,"type":"article-journal","abstract":"Selecting the best combination of pre-processing and modeling methodologies is a critical activity while building soft sensors from spectroscopic Process Analytical Technology data. To help practitioners in this task, a framework for Soft Sensor Development, Assessment and Comparison (SS-DAC) is proposed. By applying SS-DAC, the following goals are achieved: the models’ parameters are set to optimal performance; the models’ predictive performance is statistically compared against each other; the statistical analyses are summarized through graphical displays. SS-DAC is designed to accommodate different pre-processing and modeling methodologies, and it can be applied to any type of linear and nonlinear models. To exemplify the application of SS-DAC, 13 pre-processing and three modeling methodologies were compared on three real case studies over a total of 13 response properties. For all examples, SS-DAC provided useful insights on the best subset of models and highlighted trends on the impacts of the different pre-processing and modeling methodologies.","container-title":"Computers &amp; Chemical Engineering","DOI":"10.1016/j.compchemeng.2019.05.036","ISSN":"0098-1354","journalAbbreviation":"Computers &amp; Chemical Engineering","language":"en","page":"437-449","source":"ScienceDirect","title":"SS-DAC: A systematic framework for selecting the best modeling approach and pre-processing for spectroscopic data","title-short":"SS-DAC","volume":"128","author":[{"family":"Rato","given":"Tiago J."},{"family":"Reis","given":"Marco S."}],"issued":{"date-parts":[["2019",9,2]]}}}],"schema":"https://github.com/citation-style-language/schema/raw/master/csl-citation.json"} </w:instrText>
      </w:r>
      <w:r w:rsidR="00002708" w:rsidRPr="00CA50B1">
        <w:fldChar w:fldCharType="separate"/>
      </w:r>
      <w:r w:rsidR="009C0CF4" w:rsidRPr="009C0CF4">
        <w:t>(Rato and Reis, 2019)</w:t>
      </w:r>
      <w:r w:rsidR="00002708" w:rsidRPr="00CA50B1">
        <w:fldChar w:fldCharType="end"/>
      </w:r>
      <w:r w:rsidR="00002708" w:rsidRPr="00CA50B1">
        <w:t>.</w:t>
      </w:r>
    </w:p>
    <w:p w14:paraId="606161D1" w14:textId="77777777" w:rsidR="00CC52DD" w:rsidRDefault="00895B97" w:rsidP="00920DCF">
      <w:pPr>
        <w:pStyle w:val="Els-caption"/>
        <w:keepNext/>
      </w:pPr>
      <w:r>
        <w:rPr>
          <w:noProof/>
        </w:rPr>
        <w:drawing>
          <wp:inline distT="0" distB="0" distL="0" distR="0" wp14:anchorId="3A688795" wp14:editId="572642A2">
            <wp:extent cx="4499610" cy="1203325"/>
            <wp:effectExtent l="0" t="0" r="0" b="0"/>
            <wp:docPr id="286988406" name="Imagem 286988406" descr="Uma imagem com texto, file, diagrama,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05758" name="Imagem 1" descr="Uma imagem com texto, file, diagrama, captura de ecrã&#10;&#10;Descrição gerada automaticamente"/>
                    <pic:cNvPicPr/>
                  </pic:nvPicPr>
                  <pic:blipFill>
                    <a:blip r:embed="rId8"/>
                    <a:stretch>
                      <a:fillRect/>
                    </a:stretch>
                  </pic:blipFill>
                  <pic:spPr>
                    <a:xfrm>
                      <a:off x="0" y="0"/>
                      <a:ext cx="4499610" cy="1203325"/>
                    </a:xfrm>
                    <a:prstGeom prst="rect">
                      <a:avLst/>
                    </a:prstGeom>
                  </pic:spPr>
                </pic:pic>
              </a:graphicData>
            </a:graphic>
          </wp:inline>
        </w:drawing>
      </w:r>
      <w:bookmarkStart w:id="2" w:name="_Ref150171043"/>
    </w:p>
    <w:p w14:paraId="21F510E5" w14:textId="7E78F355" w:rsidR="00CC52DD" w:rsidRDefault="00CC52DD" w:rsidP="00DD48C0">
      <w:pPr>
        <w:pStyle w:val="Els-caption"/>
      </w:pPr>
      <w:bookmarkStart w:id="3" w:name="_Ref150528221"/>
      <w:r>
        <w:t xml:space="preserve">Figure </w:t>
      </w:r>
      <w:r>
        <w:fldChar w:fldCharType="begin"/>
      </w:r>
      <w:r>
        <w:instrText xml:space="preserve"> SEQ Figure \* ARABIC </w:instrText>
      </w:r>
      <w:r>
        <w:fldChar w:fldCharType="separate"/>
      </w:r>
      <w:r w:rsidR="00BB3B75">
        <w:rPr>
          <w:noProof/>
        </w:rPr>
        <w:t>1</w:t>
      </w:r>
      <w:r>
        <w:fldChar w:fldCharType="end"/>
      </w:r>
      <w:bookmarkEnd w:id="3"/>
      <w:r w:rsidRPr="00CC52DD">
        <w:t xml:space="preserve"> </w:t>
      </w:r>
      <w:r w:rsidRPr="000C5246">
        <w:t>Diagram of the proposed methodology</w:t>
      </w:r>
      <w:r>
        <w:t xml:space="preserve"> and its </w:t>
      </w:r>
      <w:r w:rsidR="00AF5FEF">
        <w:t xml:space="preserve">three </w:t>
      </w:r>
      <w:r>
        <w:t>levels</w:t>
      </w:r>
      <w:r w:rsidR="00AF5FEF">
        <w:t xml:space="preserve"> to be optimized</w:t>
      </w:r>
      <w:r>
        <w:t xml:space="preserve"> (</w:t>
      </w:r>
      <w:r w:rsidRPr="00CA50B1">
        <w:t>spectra preprocessing</w:t>
      </w:r>
      <w:r>
        <w:t>,</w:t>
      </w:r>
      <w:r w:rsidRPr="00CA50B1">
        <w:t xml:space="preserve"> block scaling</w:t>
      </w:r>
      <w:r w:rsidR="00AF5FEF">
        <w:t>,</w:t>
      </w:r>
      <w:r w:rsidRPr="00CA50B1">
        <w:t xml:space="preserve"> </w:t>
      </w:r>
      <w:r>
        <w:t>and</w:t>
      </w:r>
      <w:r w:rsidRPr="00CA50B1">
        <w:t xml:space="preserve"> </w:t>
      </w:r>
      <w:r>
        <w:t>modeling</w:t>
      </w:r>
      <w:r w:rsidRPr="00CA50B1">
        <w:t xml:space="preserve"> method</w:t>
      </w:r>
      <w:r>
        <w:t>ology).</w:t>
      </w:r>
    </w:p>
    <w:p w14:paraId="76AD42E7" w14:textId="71785082" w:rsidR="00F36F3C" w:rsidRDefault="00D251AD" w:rsidP="00DF073D">
      <w:pPr>
        <w:pStyle w:val="Els-2ndorder-head"/>
        <w:spacing w:after="120"/>
      </w:pPr>
      <w:r>
        <w:t xml:space="preserve">Level 1: </w:t>
      </w:r>
      <w:bookmarkEnd w:id="2"/>
      <w:r w:rsidR="00F36F3C">
        <w:t>Spectral preprocessing</w:t>
      </w:r>
    </w:p>
    <w:p w14:paraId="2C743B9E" w14:textId="6096E29F" w:rsidR="00C90CD9" w:rsidRDefault="007B7E17" w:rsidP="000F0F42">
      <w:pPr>
        <w:pStyle w:val="Els-body-text"/>
      </w:pPr>
      <w:r w:rsidRPr="00EA27B3">
        <w:t>The first optimization level of the proposed methodology regards the preprocessing of the spectral data</w:t>
      </w:r>
      <w:r w:rsidR="00C90CD9" w:rsidRPr="00C90CD9">
        <w:t xml:space="preserve"> </w:t>
      </w:r>
      <w:r w:rsidR="00C90CD9">
        <w:t>t</w:t>
      </w:r>
      <w:r w:rsidR="00C90CD9" w:rsidRPr="00207C36">
        <w:t xml:space="preserve">o mitigate </w:t>
      </w:r>
      <w:r w:rsidR="002B7762" w:rsidRPr="00207C36">
        <w:t xml:space="preserve">potential artifacts that may arise due to unintended interactions between light and the sample under examination. In </w:t>
      </w:r>
      <w:r w:rsidR="000F0F42">
        <w:t>this work</w:t>
      </w:r>
      <w:r w:rsidR="002B7762" w:rsidRPr="00207C36">
        <w:t>,</w:t>
      </w:r>
      <w:r w:rsidR="009B2823" w:rsidRPr="00207C36">
        <w:t xml:space="preserve"> </w:t>
      </w:r>
      <w:r w:rsidR="002B7762" w:rsidRPr="00207C36">
        <w:t>the focus</w:t>
      </w:r>
      <w:r w:rsidR="002B7762" w:rsidRPr="00D041DA">
        <w:rPr>
          <w:rFonts w:ascii="TimesNewRomanPSMT" w:hAnsi="TimesNewRomanPSMT"/>
        </w:rPr>
        <w:t xml:space="preserve"> </w:t>
      </w:r>
      <w:r w:rsidR="002B7762" w:rsidRPr="00207C36">
        <w:t>is directed toward three prominent categories of preprocessing techniques</w:t>
      </w:r>
      <w:r w:rsidR="00C90CD9">
        <w:t>:</w:t>
      </w:r>
    </w:p>
    <w:p w14:paraId="71D634AE" w14:textId="433550C0" w:rsidR="00C90CD9" w:rsidRPr="00DD48C0" w:rsidRDefault="00BE5344" w:rsidP="00C90CD9">
      <w:pPr>
        <w:pStyle w:val="Els-body-text"/>
        <w:numPr>
          <w:ilvl w:val="0"/>
          <w:numId w:val="23"/>
        </w:numPr>
        <w:rPr>
          <w:color w:val="000000" w:themeColor="text1"/>
        </w:rPr>
      </w:pPr>
      <w:r>
        <w:t>S</w:t>
      </w:r>
      <w:r w:rsidR="002B7762" w:rsidRPr="00207C36">
        <w:t xml:space="preserve">tandard </w:t>
      </w:r>
      <w:r>
        <w:t>N</w:t>
      </w:r>
      <w:r w:rsidRPr="00207C36">
        <w:t xml:space="preserve">ormal </w:t>
      </w:r>
      <w:r>
        <w:t>V</w:t>
      </w:r>
      <w:r w:rsidRPr="00207C36">
        <w:t xml:space="preserve">ariate </w:t>
      </w:r>
      <w:r w:rsidR="002B7762" w:rsidRPr="00207C36">
        <w:t>(SNV)</w:t>
      </w:r>
      <w:r w:rsidR="00EB7CCB" w:rsidRPr="00207C36">
        <w:t xml:space="preserve"> </w:t>
      </w:r>
      <w:r w:rsidR="00784D35" w:rsidRPr="00207C36">
        <w:fldChar w:fldCharType="begin"/>
      </w:r>
      <w:r w:rsidR="007529E9">
        <w:instrText xml:space="preserve"> ADDIN ZOTERO_ITEM CSL_CITATION {"citationID":"9xnihMQH","properties":{"formattedCitation":"(Geladi et al., 1985)","plainCitation":"(Geladi et al., 1985)","noteIndex":0},"citationItems":[{"id":"64sOb44w/3bck8UqX","uris":["http://zotero.org/users/10078479/items/SBBU59SG"],"itemData":{"id":1256,"type":"article-journal","abstract":"This paper is concerned with the quantitative analysis of multicomponent mixtures by diffuse reflectance spectroscopy. Near-infrared reflectance (NIRR) measurements are related to chemical composition but in a nonlinear way, and light scatter distorts the data. Various response linearizations of reflectance (R) are compared (R with Saunderson correction for internal reflectance, log 1/R, and Kubelka-Munk transformations and its inverse). A multi-wavelength concept for optical correction (Multiplicative Scatter Correction, MSC) is proposed for separating the chemical light absorption from the physical light scatter. Partial Least Squares (PLS) regression is used as the multivariate linear calibration method for predicting fat in meat from linearized and scatter-corrected NIRR data over a broad concentration range.","container-title":"Applied Spectroscopy","DOI":"10.1366/0003702854248656","ISSN":"0003-7028","issue":"3","journalAbbreviation":"Appl Spectrosc","language":"en","note":"publisher: SAGE Publications Ltd STM","page":"491-500","source":"SAGE Journals","title":"Linearization and Scatter-Correction for Near-Infrared Reflectance Spectra of Meat","volume":"39","author":[{"family":"Geladi","given":"P."},{"family":"MacDougall","given":"D."},{"family":"Martens","given":"H."}],"issued":{"date-parts":[["1985",5,1]]}}}],"schema":"https://github.com/citation-style-language/schema/raw/master/csl-citation.json"} </w:instrText>
      </w:r>
      <w:r w:rsidR="00784D35" w:rsidRPr="00207C36">
        <w:fldChar w:fldCharType="separate"/>
      </w:r>
      <w:r w:rsidR="007529E9">
        <w:t>(Geladi et al., 1985)</w:t>
      </w:r>
      <w:r w:rsidR="00784D35" w:rsidRPr="00207C36">
        <w:fldChar w:fldCharType="end"/>
      </w:r>
      <w:r w:rsidR="00C90CD9">
        <w:t>;</w:t>
      </w:r>
    </w:p>
    <w:p w14:paraId="231CFA0E" w14:textId="51B72D3F" w:rsidR="00C90CD9" w:rsidRPr="00DD48C0" w:rsidRDefault="00BE5344" w:rsidP="00C90CD9">
      <w:pPr>
        <w:pStyle w:val="Els-body-text"/>
        <w:numPr>
          <w:ilvl w:val="0"/>
          <w:numId w:val="23"/>
        </w:numPr>
        <w:rPr>
          <w:color w:val="000000" w:themeColor="text1"/>
        </w:rPr>
      </w:pPr>
      <w:r>
        <w:t>M</w:t>
      </w:r>
      <w:r w:rsidR="002B7762" w:rsidRPr="00207C36">
        <w:t xml:space="preserve">ultiplicative </w:t>
      </w:r>
      <w:r>
        <w:t>S</w:t>
      </w:r>
      <w:r w:rsidRPr="00207C36">
        <w:t xml:space="preserve">catter </w:t>
      </w:r>
      <w:r>
        <w:t>C</w:t>
      </w:r>
      <w:r w:rsidRPr="00207C36">
        <w:t xml:space="preserve">orrection </w:t>
      </w:r>
      <w:r w:rsidR="002B7762" w:rsidRPr="00207C36">
        <w:t>(MSC)</w:t>
      </w:r>
      <w:r w:rsidR="001C3AA3" w:rsidRPr="00207C36">
        <w:t xml:space="preserve"> </w:t>
      </w:r>
      <w:r w:rsidR="001C3AA3" w:rsidRPr="00207C36">
        <w:fldChar w:fldCharType="begin"/>
      </w:r>
      <w:r w:rsidR="0087482D">
        <w:instrText xml:space="preserve"> ADDIN ZOTERO_ITEM CSL_CITATION {"citationID":"fghAqPjY","properties":{"formattedCitation":"(Barker and Rayens, 2003)","plainCitation":"(Barker and Rayens, 2003)","noteIndex":0},"citationItems":[{"id":"64sOb44w/Qlb2t1uP","uris":["http://zotero.org/users/10078479/items/FCHEPT7Z"],"itemData":{"id":238,"type":"article-journal","abstract":"Partial least squares (PLS) was not originally designed as a tool for statistical discrimination. In spite of this, applied scientists routinely use PLS for classification and there is substantial empirical evidence to suggest that it performs well in that role. The interesting question is: why can a procedure that is principally designed for overdetermined regression problems locate and emphasize group structure? Using PLS in this manner has heurestic support owing to the relationship between PLS and canonical correlation analysis (CCA) and the relationship, in turn, between CCA and linear discriminant analysis (LDA). This paper replaces the heuristics with a formal statistical explanation. As a consequence, it will become clear that PLS is to be preferred over PCA when discrimination is the goal and dimension reduction is needed. Copyright © 2003 John Wiley &amp; Sons, Ltd.","container-title":"Journal of Chemometrics","DOI":"10.1002/cem.785","ISSN":"1099-128X","issue":"3","language":"en","note":"_eprint: https://onlinelibrary.wiley.com/doi/pdf/10.1002/cem.785","page":"166-173","source":"Wiley Online Library","title":"Partial least squares for discrimination","volume":"17","author":[{"family":"Barker","given":"Matthew"},{"family":"Rayens","given":"William"}],"issued":{"date-parts":[["2003"]]}}}],"schema":"https://github.com/citation-style-language/schema/raw/master/csl-citation.json"} </w:instrText>
      </w:r>
      <w:r w:rsidR="001C3AA3" w:rsidRPr="00207C36">
        <w:fldChar w:fldCharType="separate"/>
      </w:r>
      <w:r w:rsidR="009C0CF4" w:rsidRPr="009C0CF4">
        <w:t>(Barker and Rayens, 2003)</w:t>
      </w:r>
      <w:r w:rsidR="001C3AA3" w:rsidRPr="00207C36">
        <w:fldChar w:fldCharType="end"/>
      </w:r>
      <w:r w:rsidR="00C90CD9">
        <w:t>;</w:t>
      </w:r>
    </w:p>
    <w:p w14:paraId="36E420BB" w14:textId="79BF74E4" w:rsidR="00C90CD9" w:rsidRPr="00DD48C0" w:rsidRDefault="002B7762" w:rsidP="00945963">
      <w:pPr>
        <w:pStyle w:val="Els-body-text"/>
        <w:numPr>
          <w:ilvl w:val="0"/>
          <w:numId w:val="23"/>
        </w:numPr>
        <w:spacing w:after="120"/>
        <w:rPr>
          <w:color w:val="000000" w:themeColor="text1"/>
        </w:rPr>
      </w:pPr>
      <w:proofErr w:type="spellStart"/>
      <w:r w:rsidRPr="00207C36">
        <w:t>Savitzky</w:t>
      </w:r>
      <w:proofErr w:type="spellEnd"/>
      <w:r w:rsidRPr="00207C36">
        <w:t>-Golay differentiation (SGD)</w:t>
      </w:r>
      <w:r w:rsidR="00EB7A15">
        <w:t xml:space="preserve"> </w:t>
      </w:r>
      <w:r w:rsidR="00EB7A15">
        <w:fldChar w:fldCharType="begin"/>
      </w:r>
      <w:r w:rsidR="00EB7A15">
        <w:instrText xml:space="preserve"> ADDIN ZOTERO_ITEM CSL_CITATION {"citationID":"VaOJcj3w","properties":{"formattedCitation":"(Savitzky and Golay, 1964)","plainCitation":"(Savitzky and Golay, 1964)","noteIndex":0},"citationItems":[{"id":2742,"uris":["http://zotero.org/users/local/PxKgUfUF/items/Y8YFMW8Z"],"itemData":{"id":2742,"type":"article-journal","container-title":"Analytical Chemistry","DOI":"10.1021/ac60214a047","ISSN":"0003-2700","issue":"8","journalAbbreviation":"Anal. Chem.","page":"1627-1639","title":"Smoothing and Differentiation of Data by Simplified Least Squares Procedures","volume":"36","author":[{"family":"Savitzky","given":"A."},{"family":"Golay","given":"M. J. E."}],"issued":{"date-parts":[["1964"]]}}}],"schema":"https://github.com/citation-style-language/schema/raw/master/csl-citation.json"} </w:instrText>
      </w:r>
      <w:r w:rsidR="00EB7A15">
        <w:fldChar w:fldCharType="separate"/>
      </w:r>
      <w:r w:rsidR="00EB7A15">
        <w:rPr>
          <w:noProof/>
        </w:rPr>
        <w:t>(Savitzky and Golay, 1964)</w:t>
      </w:r>
      <w:r w:rsidR="00EB7A15">
        <w:fldChar w:fldCharType="end"/>
      </w:r>
      <w:r w:rsidR="00EB7A15">
        <w:rPr>
          <w:color w:val="000000" w:themeColor="text1"/>
        </w:rPr>
        <w:t>.</w:t>
      </w:r>
    </w:p>
    <w:p w14:paraId="215BD925" w14:textId="54F6673A" w:rsidR="009F203F" w:rsidRPr="00D846A9" w:rsidRDefault="000F0F42" w:rsidP="00945963">
      <w:pPr>
        <w:pStyle w:val="Els-body-text"/>
        <w:spacing w:after="120"/>
        <w:rPr>
          <w:color w:val="000000" w:themeColor="text1"/>
        </w:rPr>
      </w:pPr>
      <w:r w:rsidRPr="00D846A9">
        <w:rPr>
          <w:color w:val="000000" w:themeColor="text1"/>
        </w:rPr>
        <w:t xml:space="preserve">Different combinations of these preprocessing techniques, as well as different parameterizations of SGD </w:t>
      </w:r>
      <w:r w:rsidR="00C90CD9" w:rsidRPr="00D846A9">
        <w:rPr>
          <w:color w:val="000000" w:themeColor="text1"/>
        </w:rPr>
        <w:t>(</w:t>
      </w:r>
      <w:r w:rsidR="00C90CD9">
        <w:rPr>
          <w:color w:val="000000" w:themeColor="text1"/>
        </w:rPr>
        <w:t>identified as SGD-{</w:t>
      </w:r>
      <w:r w:rsidR="00C90CD9" w:rsidRPr="00D846A9">
        <w:rPr>
          <w:color w:val="000000" w:themeColor="text1"/>
          <w:lang w:eastAsia="pt-PT"/>
        </w:rPr>
        <w:t>derivative order</w:t>
      </w:r>
      <w:r w:rsidR="00C90CD9">
        <w:rPr>
          <w:color w:val="000000" w:themeColor="text1"/>
          <w:lang w:eastAsia="pt-PT"/>
        </w:rPr>
        <w:t>}</w:t>
      </w:r>
      <w:r w:rsidR="00C90CD9">
        <w:rPr>
          <w:color w:val="000000" w:themeColor="text1"/>
        </w:rPr>
        <w:t>-{</w:t>
      </w:r>
      <w:r w:rsidR="00C90CD9" w:rsidRPr="00D846A9">
        <w:rPr>
          <w:color w:val="000000" w:themeColor="text1"/>
        </w:rPr>
        <w:t>window size</w:t>
      </w:r>
      <w:r w:rsidR="00C90CD9">
        <w:rPr>
          <w:color w:val="000000" w:themeColor="text1"/>
        </w:rPr>
        <w:t>}-{</w:t>
      </w:r>
      <w:r w:rsidR="00C90CD9" w:rsidRPr="00D846A9">
        <w:rPr>
          <w:color w:val="000000" w:themeColor="text1"/>
        </w:rPr>
        <w:t>polynomial order</w:t>
      </w:r>
      <w:r w:rsidR="00C90CD9">
        <w:rPr>
          <w:color w:val="000000" w:themeColor="text1"/>
        </w:rPr>
        <w:t>}</w:t>
      </w:r>
      <w:r w:rsidR="00C90CD9" w:rsidRPr="00D846A9">
        <w:rPr>
          <w:color w:val="000000" w:themeColor="text1"/>
        </w:rPr>
        <w:t>)</w:t>
      </w:r>
      <w:r w:rsidRPr="00D846A9">
        <w:rPr>
          <w:color w:val="000000" w:themeColor="text1"/>
        </w:rPr>
        <w:t xml:space="preserve"> were examined (see </w:t>
      </w:r>
      <w:r w:rsidR="00CC52DD">
        <w:rPr>
          <w:color w:val="000000" w:themeColor="text1"/>
        </w:rPr>
        <w:fldChar w:fldCharType="begin"/>
      </w:r>
      <w:r w:rsidR="00CC52DD">
        <w:rPr>
          <w:color w:val="000000" w:themeColor="text1"/>
        </w:rPr>
        <w:instrText xml:space="preserve"> REF _Ref150528172 \h </w:instrText>
      </w:r>
      <w:r w:rsidR="00CC52DD">
        <w:rPr>
          <w:color w:val="000000" w:themeColor="text1"/>
        </w:rPr>
      </w:r>
      <w:r w:rsidR="00CC52DD">
        <w:rPr>
          <w:color w:val="000000" w:themeColor="text1"/>
        </w:rPr>
        <w:fldChar w:fldCharType="separate"/>
      </w:r>
      <w:r w:rsidR="00CC52DD">
        <w:t xml:space="preserve">Table </w:t>
      </w:r>
      <w:r w:rsidR="00CC52DD">
        <w:rPr>
          <w:noProof/>
        </w:rPr>
        <w:t>1</w:t>
      </w:r>
      <w:r w:rsidR="00CC52DD">
        <w:rPr>
          <w:color w:val="000000" w:themeColor="text1"/>
        </w:rPr>
        <w:fldChar w:fldCharType="end"/>
      </w:r>
      <w:r w:rsidRPr="00D846A9">
        <w:rPr>
          <w:color w:val="000000" w:themeColor="text1"/>
        </w:rPr>
        <w:t xml:space="preserve">), leading to </w:t>
      </w:r>
      <w:r w:rsidR="00BB3B75">
        <w:rPr>
          <w:color w:val="000000" w:themeColor="text1"/>
        </w:rPr>
        <w:t>nine</w:t>
      </w:r>
      <w:r w:rsidRPr="00D846A9">
        <w:rPr>
          <w:color w:val="000000" w:themeColor="text1"/>
        </w:rPr>
        <w:t xml:space="preserve"> distinct pre-processing variations.</w:t>
      </w:r>
      <w:r w:rsidR="00C90CD9">
        <w:rPr>
          <w:color w:val="000000" w:themeColor="text1"/>
        </w:rPr>
        <w:t xml:space="preserve"> Furthermore, it is considered that each data block may</w:t>
      </w:r>
      <w:r w:rsidR="00EB7A15">
        <w:rPr>
          <w:color w:val="000000" w:themeColor="text1"/>
        </w:rPr>
        <w:t xml:space="preserve"> have a</w:t>
      </w:r>
      <w:r w:rsidR="00C90CD9">
        <w:rPr>
          <w:color w:val="000000" w:themeColor="text1"/>
        </w:rPr>
        <w:t xml:space="preserve"> different</w:t>
      </w:r>
      <w:r w:rsidR="00EB7A15">
        <w:rPr>
          <w:color w:val="000000" w:themeColor="text1"/>
        </w:rPr>
        <w:t xml:space="preserve"> preprocessing</w:t>
      </w:r>
      <w:r w:rsidR="00C90CD9">
        <w:rPr>
          <w:color w:val="000000" w:themeColor="text1"/>
        </w:rPr>
        <w:t>.</w:t>
      </w:r>
    </w:p>
    <w:p w14:paraId="281DD485" w14:textId="712055DC" w:rsidR="006C2A8E" w:rsidRDefault="00D251AD" w:rsidP="00236E7F">
      <w:pPr>
        <w:pStyle w:val="Els-2ndorder-head"/>
        <w:rPr>
          <w:rFonts w:ascii="TimesNewRomanPSMT" w:hAnsi="TimesNewRomanPSMT"/>
        </w:rPr>
      </w:pPr>
      <w:r>
        <w:rPr>
          <w:noProof/>
        </w:rPr>
        <w:lastRenderedPageBreak/>
        <w:t xml:space="preserve">Level 2: </w:t>
      </w:r>
      <w:r w:rsidR="00B910C9">
        <w:rPr>
          <w:rFonts w:ascii="TimesNewRomanPSMT" w:hAnsi="TimesNewRomanPSMT"/>
        </w:rPr>
        <w:t>Block scaling</w:t>
      </w:r>
      <w:r w:rsidR="00B22F6F" w:rsidRPr="00D041DA">
        <w:rPr>
          <w:rFonts w:ascii="TimesNewRomanPSMT" w:hAnsi="TimesNewRomanPSMT"/>
        </w:rPr>
        <w:t xml:space="preserve"> </w:t>
      </w:r>
    </w:p>
    <w:p w14:paraId="30B2AC7A" w14:textId="2C455AD3" w:rsidR="007B7E17" w:rsidRPr="00DD70EC" w:rsidRDefault="007B7E17" w:rsidP="00AD4C5A">
      <w:pPr>
        <w:pStyle w:val="Els-body-text"/>
        <w:spacing w:after="120"/>
      </w:pPr>
      <w:r w:rsidRPr="00C90CD9">
        <w:t xml:space="preserve">After preprocessing each </w:t>
      </w:r>
      <w:r w:rsidR="00C90CD9">
        <w:t xml:space="preserve">data </w:t>
      </w:r>
      <w:r w:rsidRPr="00C90CD9">
        <w:t xml:space="preserve">block, </w:t>
      </w:r>
      <w:r w:rsidRPr="00DD70EC">
        <w:t xml:space="preserve">in the second optimization level, each </w:t>
      </w:r>
      <w:r w:rsidR="00C90CD9">
        <w:t xml:space="preserve">data </w:t>
      </w:r>
      <w:r w:rsidRPr="00DD70EC">
        <w:t xml:space="preserve">block is </w:t>
      </w:r>
      <w:r w:rsidR="00C90CD9" w:rsidRPr="00DD70EC">
        <w:t>scaled</w:t>
      </w:r>
      <w:r w:rsidRPr="00C90CD9">
        <w:t xml:space="preserve"> to ensure that </w:t>
      </w:r>
      <w:r w:rsidR="00AF5FEF">
        <w:t>its</w:t>
      </w:r>
      <w:r w:rsidRPr="00C90CD9">
        <w:t xml:space="preserve"> variability is properly represented within the model.</w:t>
      </w:r>
    </w:p>
    <w:p w14:paraId="12B1B5EA" w14:textId="69EC3E48" w:rsidR="00FA340E" w:rsidRPr="00207C36" w:rsidRDefault="00FA340E" w:rsidP="00C27651">
      <w:pPr>
        <w:pStyle w:val="Els-body-text"/>
      </w:pPr>
      <w:r w:rsidRPr="00207C36">
        <w:t>Block</w:t>
      </w:r>
      <w:r w:rsidR="00EB7A15">
        <w:t xml:space="preserve"> </w:t>
      </w:r>
      <w:r w:rsidRPr="00207C36">
        <w:t>scaling approaches can be generalized by the following</w:t>
      </w:r>
      <w:r w:rsidR="00613F4B" w:rsidRPr="00207C36">
        <w:t xml:space="preserve"> </w:t>
      </w:r>
      <w:r w:rsidRPr="00207C36">
        <w:t>equation:</w:t>
      </w:r>
    </w:p>
    <w:tbl>
      <w:tblPr>
        <w:tblW w:w="7087" w:type="dxa"/>
        <w:tblLook w:val="04A0" w:firstRow="1" w:lastRow="0" w:firstColumn="1" w:lastColumn="0" w:noHBand="0" w:noVBand="1"/>
      </w:tblPr>
      <w:tblGrid>
        <w:gridCol w:w="6123"/>
        <w:gridCol w:w="964"/>
      </w:tblGrid>
      <w:tr w:rsidR="003959E4" w:rsidRPr="00AB7DA4" w14:paraId="598F78BC" w14:textId="77777777" w:rsidTr="00087B91">
        <w:tc>
          <w:tcPr>
            <w:tcW w:w="6123" w:type="dxa"/>
            <w:shd w:val="clear" w:color="auto" w:fill="auto"/>
            <w:vAlign w:val="center"/>
          </w:tcPr>
          <w:p w14:paraId="2A022952" w14:textId="335032C5" w:rsidR="003959E4" w:rsidRPr="00AB7DA4" w:rsidRDefault="00000000" w:rsidP="006976F7">
            <w:pPr>
              <w:pStyle w:val="Els-body-text"/>
              <w:spacing w:before="120" w:after="120"/>
              <w:rPr>
                <w:rFonts w:ascii="TimesNewRomanPSMT" w:hAnsi="TimesNewRomanPSMT"/>
                <w:lang w:val="en-GB"/>
              </w:rPr>
            </w:pPr>
            <m:oMathPara>
              <m:oMath>
                <m:sSub>
                  <m:sSubPr>
                    <m:ctrlPr>
                      <w:rPr>
                        <w:rFonts w:ascii="Cambria Math" w:hAnsi="Cambria Math"/>
                        <w:i/>
                        <w:lang w:val="en-GB"/>
                      </w:rPr>
                    </m:ctrlPr>
                  </m:sSubPr>
                  <m:e>
                    <m:r>
                      <m:rPr>
                        <m:sty m:val="b"/>
                      </m:rPr>
                      <w:rPr>
                        <w:rFonts w:ascii="Cambria Math" w:hAnsi="Cambria Math"/>
                        <w:lang w:val="en-GB"/>
                      </w:rPr>
                      <m:t>X</m:t>
                    </m:r>
                  </m:e>
                  <m:sub>
                    <m:r>
                      <w:rPr>
                        <w:rFonts w:ascii="Cambria Math" w:hAnsi="Cambria Math"/>
                        <w:lang w:val="en-GB"/>
                      </w:rPr>
                      <m:t>b scaled</m:t>
                    </m:r>
                  </m:sub>
                </m:sSub>
                <m:r>
                  <w:rPr>
                    <w:rFonts w:ascii="Cambria Math" w:hAnsi="Cambria Math"/>
                    <w:lang w:val="en-GB"/>
                  </w:rPr>
                  <m:t>=</m:t>
                </m:r>
                <m:d>
                  <m:dPr>
                    <m:ctrlPr>
                      <w:rPr>
                        <w:rFonts w:ascii="Cambria Math" w:hAnsi="Cambria Math"/>
                        <w:i/>
                        <w:lang w:val="en-GB"/>
                      </w:rPr>
                    </m:ctrlPr>
                  </m:dPr>
                  <m:e>
                    <m:f>
                      <m:fPr>
                        <m:type m:val="lin"/>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den>
                    </m:f>
                  </m:e>
                </m:d>
                <m:r>
                  <w:rPr>
                    <w:rFonts w:ascii="Cambria Math" w:hAnsi="Cambria Math"/>
                    <w:lang w:val="en-GB"/>
                  </w:rPr>
                  <m:t>∙</m:t>
                </m:r>
                <m:sSub>
                  <m:sSubPr>
                    <m:ctrlPr>
                      <w:rPr>
                        <w:rFonts w:ascii="Cambria Math" w:hAnsi="Cambria Math"/>
                        <w:i/>
                        <w:lang w:val="en-GB"/>
                      </w:rPr>
                    </m:ctrlPr>
                  </m:sSubPr>
                  <m:e>
                    <m:r>
                      <m:rPr>
                        <m:sty m:val="b"/>
                      </m:rPr>
                      <w:rPr>
                        <w:rFonts w:ascii="Cambria Math" w:hAnsi="Cambria Math"/>
                        <w:lang w:val="en-GB"/>
                      </w:rPr>
                      <m:t>X</m:t>
                    </m:r>
                  </m:e>
                  <m:sub>
                    <m:r>
                      <w:rPr>
                        <w:rFonts w:ascii="Cambria Math" w:hAnsi="Cambria Math"/>
                        <w:lang w:val="en-GB"/>
                      </w:rPr>
                      <m:t>b</m:t>
                    </m:r>
                  </m:sub>
                </m:sSub>
              </m:oMath>
            </m:oMathPara>
          </w:p>
        </w:tc>
        <w:tc>
          <w:tcPr>
            <w:tcW w:w="964" w:type="dxa"/>
            <w:shd w:val="clear" w:color="auto" w:fill="auto"/>
            <w:vAlign w:val="center"/>
          </w:tcPr>
          <w:p w14:paraId="2FF80974" w14:textId="77777777" w:rsidR="003959E4" w:rsidRPr="00AB7DA4" w:rsidRDefault="003959E4" w:rsidP="006976F7">
            <w:pPr>
              <w:pStyle w:val="Els-body-text"/>
              <w:spacing w:before="120" w:after="120"/>
              <w:jc w:val="right"/>
              <w:rPr>
                <w:rFonts w:ascii="TimesNewRomanPSMT" w:hAnsi="TimesNewRomanPSMT"/>
                <w:lang w:val="en-GB"/>
              </w:rPr>
            </w:pPr>
            <w:r w:rsidRPr="00AB7DA4">
              <w:rPr>
                <w:rFonts w:ascii="TimesNewRomanPSMT" w:hAnsi="TimesNewRomanPSMT"/>
                <w:lang w:val="en-GB"/>
              </w:rPr>
              <w:t>(1)</w:t>
            </w:r>
          </w:p>
        </w:tc>
      </w:tr>
    </w:tbl>
    <w:p w14:paraId="0EEFBD18" w14:textId="035A25CC" w:rsidR="00763B0A" w:rsidRPr="00207C36" w:rsidRDefault="00BE5344" w:rsidP="008F0249">
      <w:pPr>
        <w:pStyle w:val="Els-body-text"/>
      </w:pPr>
      <w:r w:rsidRPr="00AD4C5A">
        <w:t xml:space="preserve">where </w:t>
      </w:r>
      <m:oMath>
        <m:sSub>
          <m:sSubPr>
            <m:ctrlPr>
              <w:rPr>
                <w:rFonts w:ascii="Cambria Math" w:hAnsi="Cambria Math"/>
                <w:i/>
                <w:lang w:val="en-GB"/>
              </w:rPr>
            </m:ctrlPr>
          </m:sSubPr>
          <m:e>
            <m:r>
              <m:rPr>
                <m:sty m:val="b"/>
              </m:rPr>
              <w:rPr>
                <w:rFonts w:ascii="Cambria Math" w:hAnsi="Cambria Math"/>
                <w:lang w:val="en-GB"/>
              </w:rPr>
              <m:t>X</m:t>
            </m:r>
          </m:e>
          <m:sub>
            <m:r>
              <w:rPr>
                <w:rFonts w:ascii="Cambria Math" w:hAnsi="Cambria Math"/>
                <w:lang w:val="en-GB"/>
              </w:rPr>
              <m:t>b</m:t>
            </m:r>
          </m:sub>
        </m:sSub>
      </m:oMath>
      <w:r w:rsidRPr="008F0249">
        <w:t xml:space="preserve"> represents the original data block, indexed by </w:t>
      </w:r>
      <m:oMath>
        <m:r>
          <w:rPr>
            <w:rFonts w:ascii="Cambria Math" w:hAnsi="Cambria Math"/>
          </w:rPr>
          <m:t>b</m:t>
        </m:r>
      </m:oMath>
      <w:r w:rsidRPr="008F0249">
        <w:t xml:space="preserve"> (for </w:t>
      </w:r>
      <m:oMath>
        <m:r>
          <w:rPr>
            <w:rFonts w:ascii="Cambria Math" w:hAnsi="Cambria Math"/>
          </w:rPr>
          <m:t>b = 1, …, B</m:t>
        </m:r>
      </m:oMath>
      <w:r w:rsidRPr="008F0249">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b</m:t>
            </m:r>
          </m:sub>
        </m:sSub>
      </m:oMath>
      <w:r w:rsidRPr="008F0249">
        <w:rPr>
          <w:lang w:val="en-GB"/>
        </w:rPr>
        <w:t xml:space="preserve"> is </w:t>
      </w:r>
      <w:r w:rsidRPr="008F0249">
        <w:t>a block-scaling factor,</w:t>
      </w:r>
      <w:r w:rsidR="000C697E">
        <w:t xml:space="preserve"> and</w:t>
      </w:r>
      <w:r w:rsidRPr="008F0249">
        <w:t xml:space="preserve"> </w:t>
      </w:r>
      <m:oMath>
        <m:sSub>
          <m:sSubPr>
            <m:ctrlPr>
              <w:rPr>
                <w:rFonts w:ascii="Cambria Math" w:hAnsi="Cambria Math"/>
                <w:i/>
                <w:lang w:val="en-GB"/>
              </w:rPr>
            </m:ctrlPr>
          </m:sSubPr>
          <m:e>
            <m:r>
              <m:rPr>
                <m:sty m:val="b"/>
              </m:rPr>
              <w:rPr>
                <w:rFonts w:ascii="Cambria Math" w:hAnsi="Cambria Math"/>
                <w:lang w:val="en-GB"/>
              </w:rPr>
              <m:t>X</m:t>
            </m:r>
          </m:e>
          <m:sub>
            <m:r>
              <w:rPr>
                <w:rFonts w:ascii="Cambria Math" w:hAnsi="Cambria Math"/>
                <w:lang w:val="en-GB"/>
              </w:rPr>
              <m:t>b scaled</m:t>
            </m:r>
          </m:sub>
        </m:sSub>
      </m:oMath>
      <w:r w:rsidRPr="00BE5344">
        <w:rPr>
          <w:lang w:val="en-GB"/>
        </w:rPr>
        <w:t xml:space="preserve"> is the scaled data block.</w:t>
      </w:r>
    </w:p>
    <w:p w14:paraId="3A7875CF" w14:textId="1080D15E" w:rsidR="00BE5344" w:rsidRPr="008F0249" w:rsidRDefault="004767AE" w:rsidP="008F0249">
      <w:pPr>
        <w:pStyle w:val="Els-body-text"/>
        <w:rPr>
          <w:color w:val="000000" w:themeColor="text1"/>
        </w:rPr>
      </w:pPr>
      <w:r w:rsidRPr="008F0249">
        <w:rPr>
          <w:color w:val="000000" w:themeColor="text1"/>
        </w:rPr>
        <w:t xml:space="preserve">The block-scaling factors, </w:t>
      </w:r>
      <m:oMath>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b</m:t>
            </m:r>
          </m:sub>
        </m:sSub>
      </m:oMath>
      <w:r w:rsidRPr="008F0249">
        <w:rPr>
          <w:color w:val="000000" w:themeColor="text1"/>
        </w:rPr>
        <w:t xml:space="preserve">, are determined using </w:t>
      </w:r>
      <w:r w:rsidR="00E13C8D">
        <w:rPr>
          <w:color w:val="000000" w:themeColor="text1"/>
        </w:rPr>
        <w:t xml:space="preserve">the </w:t>
      </w:r>
      <w:r w:rsidRPr="008F0249">
        <w:rPr>
          <w:color w:val="000000" w:themeColor="text1"/>
        </w:rPr>
        <w:t xml:space="preserve">techniques outlined in </w:t>
      </w:r>
      <w:r w:rsidR="00D251AD" w:rsidRPr="008F0249">
        <w:rPr>
          <w:color w:val="000000" w:themeColor="text1"/>
        </w:rPr>
        <w:fldChar w:fldCharType="begin"/>
      </w:r>
      <w:r w:rsidR="00D251AD" w:rsidRPr="008F0249">
        <w:rPr>
          <w:color w:val="000000" w:themeColor="text1"/>
        </w:rPr>
        <w:instrText xml:space="preserve"> REF _Ref150528172 \h </w:instrText>
      </w:r>
      <w:r w:rsidR="003E72E5">
        <w:rPr>
          <w:color w:val="000000" w:themeColor="text1"/>
        </w:rPr>
        <w:instrText xml:space="preserve"> \* MERGEFORMAT </w:instrText>
      </w:r>
      <w:r w:rsidR="00D251AD" w:rsidRPr="008F0249">
        <w:rPr>
          <w:color w:val="000000" w:themeColor="text1"/>
        </w:rPr>
      </w:r>
      <w:r w:rsidR="00D251AD" w:rsidRPr="008F0249">
        <w:rPr>
          <w:color w:val="000000" w:themeColor="text1"/>
        </w:rPr>
        <w:fldChar w:fldCharType="separate"/>
      </w:r>
      <w:r w:rsidR="00D251AD" w:rsidRPr="008F0249">
        <w:rPr>
          <w:color w:val="000000" w:themeColor="text1"/>
        </w:rPr>
        <w:t>Table 1</w:t>
      </w:r>
      <w:r w:rsidR="00D251AD" w:rsidRPr="008F0249">
        <w:rPr>
          <w:color w:val="000000" w:themeColor="text1"/>
        </w:rPr>
        <w:fldChar w:fldCharType="end"/>
      </w:r>
      <w:r w:rsidRPr="008F0249">
        <w:rPr>
          <w:color w:val="000000" w:themeColor="text1"/>
        </w:rPr>
        <w:t xml:space="preserve">. These techniques can be </w:t>
      </w:r>
      <w:r w:rsidR="00662F95">
        <w:rPr>
          <w:color w:val="000000" w:themeColor="text1"/>
        </w:rPr>
        <w:t>grouped</w:t>
      </w:r>
      <w:r w:rsidRPr="008F0249">
        <w:rPr>
          <w:color w:val="000000" w:themeColor="text1"/>
        </w:rPr>
        <w:t xml:space="preserve"> into two categories:</w:t>
      </w:r>
    </w:p>
    <w:p w14:paraId="7BE19182" w14:textId="0F54F83C" w:rsidR="00BE5344" w:rsidRPr="008F0249" w:rsidRDefault="00BE5344" w:rsidP="00676401">
      <w:pPr>
        <w:pStyle w:val="Els-body-text"/>
        <w:numPr>
          <w:ilvl w:val="0"/>
          <w:numId w:val="24"/>
        </w:numPr>
        <w:ind w:left="709"/>
        <w:rPr>
          <w:color w:val="000000" w:themeColor="text1"/>
        </w:rPr>
      </w:pPr>
      <w:r w:rsidRPr="008F0249">
        <w:rPr>
          <w:color w:val="000000" w:themeColor="text1"/>
        </w:rPr>
        <w:t>B</w:t>
      </w:r>
      <w:r w:rsidR="004767AE" w:rsidRPr="008F0249">
        <w:rPr>
          <w:color w:val="000000" w:themeColor="text1"/>
        </w:rPr>
        <w:t xml:space="preserve">lock </w:t>
      </w:r>
      <w:r w:rsidRPr="008F0249">
        <w:rPr>
          <w:color w:val="000000" w:themeColor="text1"/>
        </w:rPr>
        <w:t>S</w:t>
      </w:r>
      <w:r w:rsidR="004767AE" w:rsidRPr="008F0249">
        <w:rPr>
          <w:color w:val="000000" w:themeColor="text1"/>
        </w:rPr>
        <w:t xml:space="preserve">caling </w:t>
      </w:r>
      <w:r w:rsidR="00D251AD" w:rsidRPr="008F0249">
        <w:rPr>
          <w:color w:val="000000" w:themeColor="text1"/>
        </w:rPr>
        <w:t xml:space="preserve">(BS) </w:t>
      </w:r>
      <w:r w:rsidR="004767AE" w:rsidRPr="008F0249">
        <w:rPr>
          <w:color w:val="000000" w:themeColor="text1"/>
        </w:rPr>
        <w:t>methods</w:t>
      </w:r>
      <w:r w:rsidRPr="008F0249">
        <w:rPr>
          <w:color w:val="000000" w:themeColor="text1"/>
        </w:rPr>
        <w:t>, which</w:t>
      </w:r>
      <w:r w:rsidR="004767AE" w:rsidRPr="008F0249">
        <w:rPr>
          <w:color w:val="000000" w:themeColor="text1"/>
        </w:rPr>
        <w:t xml:space="preserve"> </w:t>
      </w:r>
      <w:r w:rsidR="00D251AD" w:rsidRPr="008F0249">
        <w:rPr>
          <w:color w:val="000000" w:themeColor="text1"/>
        </w:rPr>
        <w:t xml:space="preserve">only </w:t>
      </w:r>
      <w:r w:rsidR="004767AE" w:rsidRPr="008F0249">
        <w:rPr>
          <w:color w:val="000000" w:themeColor="text1"/>
        </w:rPr>
        <w:t>consider the number of variables within the block</w:t>
      </w:r>
      <w:r w:rsidR="00D251AD" w:rsidRPr="008F0249">
        <w:rPr>
          <w:color w:val="000000" w:themeColor="text1"/>
        </w:rPr>
        <w:t>;</w:t>
      </w:r>
    </w:p>
    <w:p w14:paraId="4C7DB0CA" w14:textId="1228956C" w:rsidR="00BE5344" w:rsidRPr="00676401" w:rsidRDefault="004767AE" w:rsidP="00676401">
      <w:pPr>
        <w:pStyle w:val="Els-body-text"/>
        <w:numPr>
          <w:ilvl w:val="0"/>
          <w:numId w:val="23"/>
        </w:numPr>
        <w:spacing w:after="120"/>
      </w:pPr>
      <w:r w:rsidRPr="00676401">
        <w:t>Block Variance Scaling</w:t>
      </w:r>
      <w:r w:rsidR="00733811" w:rsidRPr="00676401">
        <w:t xml:space="preserve"> (BVS)</w:t>
      </w:r>
      <w:r w:rsidR="00D251AD" w:rsidRPr="00676401">
        <w:t xml:space="preserve"> methods</w:t>
      </w:r>
      <w:r w:rsidR="00BE5344" w:rsidRPr="00676401">
        <w:t>, which</w:t>
      </w:r>
      <w:r w:rsidRPr="00676401">
        <w:t xml:space="preserve"> </w:t>
      </w:r>
      <w:r w:rsidR="00733811" w:rsidRPr="00676401">
        <w:t>consider</w:t>
      </w:r>
      <w:r w:rsidRPr="00676401">
        <w:t xml:space="preserve"> the standard deviation of each block.</w:t>
      </w:r>
    </w:p>
    <w:p w14:paraId="71662AA9" w14:textId="7F755145" w:rsidR="004767AE" w:rsidRPr="008F0249" w:rsidRDefault="004767AE" w:rsidP="00EB7A15">
      <w:pPr>
        <w:pStyle w:val="Els-body-text"/>
        <w:spacing w:after="240"/>
        <w:rPr>
          <w:color w:val="000000" w:themeColor="text1"/>
        </w:rPr>
      </w:pPr>
      <w:r w:rsidRPr="008F0249">
        <w:rPr>
          <w:color w:val="000000" w:themeColor="text1"/>
        </w:rPr>
        <w:t xml:space="preserve">For detailed formulas and further information, please refer to the work of </w:t>
      </w:r>
      <w:r w:rsidRPr="008F0249">
        <w:rPr>
          <w:color w:val="000000" w:themeColor="text1"/>
        </w:rPr>
        <w:fldChar w:fldCharType="begin"/>
      </w:r>
      <w:r w:rsidR="0087482D">
        <w:rPr>
          <w:color w:val="000000" w:themeColor="text1"/>
        </w:rPr>
        <w:instrText xml:space="preserve"> ADDIN ZOTERO_ITEM CSL_CITATION {"citationID":"RRdWtXsk","properties":{"formattedCitation":"(Campos and Reis, 2020)","plainCitation":"(Campos and Reis, 2020)","noteIndex":0},"citationItems":[{"id":"64sOb44w/gvvJSw5c","uris":["http://zotero.org/users/10078479/items/BW25TBCH"],"itemData":{"id":1322,"type":"article-journal","abstract":"With the advance of Industry 4.0, new data collectors are appearing at different points of the process generating blocks of data whose integrity should be preserved during data analysis. This is the scope of multiblock methods, whose potential has been recognized in several areas of application where they are becoming increasingly popular. Multiblock methods can be applied to a wide range of data-driven problems that practitioners face nowadays such as plant-wide process monitoring and diagnosis, process optimization and quality prediction of key product properties. These methods have the ability to find associations and interpretative connections between different data blocks from different sources and carrying complementary or overlapping information, as well as assessing the blocks’ relative contributions to the final outcome. A critical stage in the application of multiblock methods is the selection of the appropriate preprocessing to apply to each block, before proceeding to the modelling. The preprocessing strategy can exponentiate the information extracted from the blocks and their mutual interactions or hide/mask/distort them if inappropriately done. In this article, we present a systematic workflow where both the intra-block and inter-block variation components are considered during preprocessing. We illustrate the application of the framework using two real case studies where a critical comparison is presented for the different preprocessing alternatives.","container-title":"Chemometrics and Intelligent Laboratory Systems","DOI":"10.1016/j.chemolab.2020.103959","journalAbbreviation":"Chemometrics and Intelligent Laboratory Systems","page":"103959","source":"ResearchGate","title":"Data Preprocessing for Multiblock Modelling – A Systematization with New Methods","volume":"199","author":[{"family":"Campos","given":"Maria"},{"family":"Reis","given":"Marco"}],"issued":{"date-parts":[["2020",4,1]]}}}],"schema":"https://github.com/citation-style-language/schema/raw/master/csl-citation.json"} </w:instrText>
      </w:r>
      <w:r w:rsidRPr="008F0249">
        <w:rPr>
          <w:color w:val="000000" w:themeColor="text1"/>
        </w:rPr>
        <w:fldChar w:fldCharType="separate"/>
      </w:r>
      <w:r w:rsidR="009C0CF4" w:rsidRPr="009C0CF4">
        <w:t>(Campos and Reis, 2020)</w:t>
      </w:r>
      <w:r w:rsidRPr="008F0249">
        <w:rPr>
          <w:color w:val="000000" w:themeColor="text1"/>
        </w:rPr>
        <w:fldChar w:fldCharType="end"/>
      </w:r>
      <w:r w:rsidRPr="008F0249">
        <w:rPr>
          <w:color w:val="000000" w:themeColor="text1"/>
        </w:rPr>
        <w:t>.</w:t>
      </w:r>
      <w:r w:rsidR="000C697E">
        <w:rPr>
          <w:color w:val="000000" w:themeColor="text1"/>
        </w:rPr>
        <w:t xml:space="preserve"> After block-scaling, the blocks are concatenated and fed to a modeling methodology.</w:t>
      </w:r>
    </w:p>
    <w:p w14:paraId="10A490EC" w14:textId="58F44B32" w:rsidR="003F317C" w:rsidRDefault="00D251AD" w:rsidP="003F317C">
      <w:pPr>
        <w:pStyle w:val="Els-2ndorder-head"/>
        <w:rPr>
          <w:rFonts w:ascii="TimesNewRomanPSMT" w:hAnsi="TimesNewRomanPSMT"/>
        </w:rPr>
      </w:pPr>
      <w:r>
        <w:t xml:space="preserve">Level 3: </w:t>
      </w:r>
      <w:r w:rsidR="000F0F42">
        <w:rPr>
          <w:rFonts w:ascii="TimesNewRomanPSMT" w:hAnsi="TimesNewRomanPSMT"/>
        </w:rPr>
        <w:t>Modeling methodology</w:t>
      </w:r>
    </w:p>
    <w:p w14:paraId="3AAEBF7D" w14:textId="6BC11341" w:rsidR="003E72E5" w:rsidRDefault="007B7E17">
      <w:pPr>
        <w:pStyle w:val="Els-body-text"/>
      </w:pPr>
      <w:r w:rsidRPr="000C697E">
        <w:rPr>
          <w:iCs/>
        </w:rPr>
        <w:t xml:space="preserve">The third and final </w:t>
      </w:r>
      <w:r w:rsidRPr="008F0249">
        <w:rPr>
          <w:iCs/>
        </w:rPr>
        <w:t>optimization</w:t>
      </w:r>
      <w:r w:rsidRPr="000C697E">
        <w:rPr>
          <w:iCs/>
        </w:rPr>
        <w:t xml:space="preserve"> level </w:t>
      </w:r>
      <w:r w:rsidR="00BE5344" w:rsidRPr="008F0249">
        <w:rPr>
          <w:iCs/>
        </w:rPr>
        <w:t xml:space="preserve">of the proposed methodology </w:t>
      </w:r>
      <w:r w:rsidRPr="008F0249">
        <w:rPr>
          <w:iCs/>
        </w:rPr>
        <w:t xml:space="preserve">concerns the fitting of a classification model using the </w:t>
      </w:r>
      <w:r w:rsidR="00BE5344" w:rsidRPr="008F0249">
        <w:rPr>
          <w:iCs/>
        </w:rPr>
        <w:t>concatenated</w:t>
      </w:r>
      <w:r w:rsidRPr="008F0249">
        <w:rPr>
          <w:iCs/>
        </w:rPr>
        <w:t xml:space="preserve"> data blocks.</w:t>
      </w:r>
      <w:r>
        <w:rPr>
          <w:iCs/>
        </w:rPr>
        <w:t xml:space="preserve"> </w:t>
      </w:r>
      <w:r w:rsidR="003E72E5" w:rsidRPr="00207C36">
        <w:t xml:space="preserve">The primary technique employed </w:t>
      </w:r>
      <w:r w:rsidR="003E72E5">
        <w:t xml:space="preserve">to fit the models </w:t>
      </w:r>
      <w:r w:rsidR="003E72E5" w:rsidRPr="00207C36">
        <w:t xml:space="preserve">was </w:t>
      </w:r>
      <w:r w:rsidR="00662F95">
        <w:t>p</w:t>
      </w:r>
      <w:r w:rsidR="003E72E5" w:rsidRPr="00207C36">
        <w:t xml:space="preserve">artial least squares (PLS) for discriminant analysis </w:t>
      </w:r>
      <w:r w:rsidR="00BB4B50">
        <w:t xml:space="preserve">(DA) </w:t>
      </w:r>
      <w:r w:rsidR="003E72E5" w:rsidRPr="00207C36">
        <w:fldChar w:fldCharType="begin"/>
      </w:r>
      <w:r w:rsidR="0087482D">
        <w:instrText xml:space="preserve"> ADDIN ZOTERO_ITEM CSL_CITATION {"citationID":"4JUOLYGy","properties":{"formattedCitation":"(Barker and Rayens, 2003)","plainCitation":"(Barker and Rayens, 2003)","noteIndex":0},"citationItems":[{"id":"64sOb44w/Qlb2t1uP","uris":["http://zotero.org/users/10078479/items/FCHEPT7Z"],"itemData":{"id":238,"type":"article-journal","abstract":"Partial least squares (PLS) was not originally designed as a tool for statistical discrimination. In spite of this, applied scientists routinely use PLS for classification and there is substantial empirical evidence to suggest that it performs well in that role. The interesting question is: why can a procedure that is principally designed for overdetermined regression problems locate and emphasize group structure? Using PLS in this manner has heurestic support owing to the relationship between PLS and canonical correlation analysis (CCA) and the relationship, in turn, between CCA and linear discriminant analysis (LDA). This paper replaces the heuristics with a formal statistical explanation. As a consequence, it will become clear that PLS is to be preferred over PCA when discrimination is the goal and dimension reduction is needed. Copyright © 2003 John Wiley &amp; Sons, Ltd.","container-title":"Journal of Chemometrics","DOI":"10.1002/cem.785","ISSN":"1099-128X","issue":"3","language":"en","note":"_eprint: https://onlinelibrary.wiley.com/doi/pdf/10.1002/cem.785","page":"166-173","source":"Wiley Online Library","title":"Partial least squares for discrimination","volume":"17","author":[{"family":"Barker","given":"Matthew"},{"family":"Rayens","given":"William"}],"issued":{"date-parts":[["2003"]]}}}],"schema":"https://github.com/citation-style-language/schema/raw/master/csl-citation.json"} </w:instrText>
      </w:r>
      <w:r w:rsidR="003E72E5" w:rsidRPr="00207C36">
        <w:fldChar w:fldCharType="separate"/>
      </w:r>
      <w:r w:rsidR="009C0CF4" w:rsidRPr="009C0CF4">
        <w:t>(Barker and Rayens, 2003)</w:t>
      </w:r>
      <w:r w:rsidR="003E72E5" w:rsidRPr="00207C36">
        <w:fldChar w:fldCharType="end"/>
      </w:r>
      <w:r w:rsidR="003E72E5">
        <w:t>.</w:t>
      </w:r>
      <w:r w:rsidR="003E72E5" w:rsidRPr="003E72E5">
        <w:rPr>
          <w:color w:val="000000" w:themeColor="text1"/>
        </w:rPr>
        <w:t xml:space="preserve"> </w:t>
      </w:r>
      <w:r w:rsidR="00BB4B50">
        <w:rPr>
          <w:color w:val="000000" w:themeColor="text1"/>
        </w:rPr>
        <w:t>In th</w:t>
      </w:r>
      <w:r w:rsidR="00940676">
        <w:rPr>
          <w:color w:val="000000" w:themeColor="text1"/>
        </w:rPr>
        <w:t>e current</w:t>
      </w:r>
      <w:r w:rsidR="00BB4B50">
        <w:rPr>
          <w:color w:val="000000" w:themeColor="text1"/>
        </w:rPr>
        <w:t xml:space="preserve"> implementation</w:t>
      </w:r>
      <w:r w:rsidR="00940676">
        <w:rPr>
          <w:color w:val="000000" w:themeColor="text1"/>
        </w:rPr>
        <w:t xml:space="preserve"> of PLS-DA</w:t>
      </w:r>
      <w:r w:rsidR="00BB4B50">
        <w:rPr>
          <w:color w:val="000000" w:themeColor="text1"/>
        </w:rPr>
        <w:t>, t</w:t>
      </w:r>
      <w:r w:rsidR="003E72E5" w:rsidRPr="00D846A9">
        <w:rPr>
          <w:color w:val="000000" w:themeColor="text1"/>
        </w:rPr>
        <w:t xml:space="preserve">he response variable is an indicator variable that codifies the </w:t>
      </w:r>
      <w:r w:rsidR="00BB4B50">
        <w:rPr>
          <w:color w:val="000000" w:themeColor="text1"/>
        </w:rPr>
        <w:t xml:space="preserve">WLO </w:t>
      </w:r>
      <w:r w:rsidR="003E72E5" w:rsidRPr="00D846A9">
        <w:rPr>
          <w:color w:val="000000" w:themeColor="text1"/>
        </w:rPr>
        <w:t>class</w:t>
      </w:r>
      <w:r w:rsidR="00BB4B50">
        <w:rPr>
          <w:color w:val="000000" w:themeColor="text1"/>
        </w:rPr>
        <w:t xml:space="preserve"> (</w:t>
      </w:r>
      <w:r w:rsidR="00BB4B50" w:rsidRPr="008F0249">
        <w:rPr>
          <w:i/>
          <w:iCs/>
          <w:color w:val="000000" w:themeColor="text1"/>
        </w:rPr>
        <w:t xml:space="preserve">coagulate </w:t>
      </w:r>
      <w:r w:rsidR="00BB4B50">
        <w:rPr>
          <w:color w:val="000000" w:themeColor="text1"/>
        </w:rPr>
        <w:t xml:space="preserve">or </w:t>
      </w:r>
      <w:r w:rsidR="00BB4B50" w:rsidRPr="008F0249">
        <w:rPr>
          <w:i/>
          <w:iCs/>
          <w:color w:val="000000" w:themeColor="text1"/>
        </w:rPr>
        <w:t>does-not-coagulate</w:t>
      </w:r>
      <w:proofErr w:type="gramStart"/>
      <w:r w:rsidR="00BB4B50">
        <w:rPr>
          <w:color w:val="000000" w:themeColor="text1"/>
        </w:rPr>
        <w:t>)</w:t>
      </w:r>
      <w:proofErr w:type="gramEnd"/>
      <w:r w:rsidR="00BB4B50">
        <w:rPr>
          <w:color w:val="000000" w:themeColor="text1"/>
        </w:rPr>
        <w:t xml:space="preserve"> and a</w:t>
      </w:r>
      <w:r w:rsidR="003E72E5" w:rsidRPr="00D846A9">
        <w:rPr>
          <w:color w:val="000000" w:themeColor="text1"/>
        </w:rPr>
        <w:t xml:space="preserve"> PLS</w:t>
      </w:r>
      <w:r w:rsidR="00BB4B50">
        <w:rPr>
          <w:color w:val="000000" w:themeColor="text1"/>
        </w:rPr>
        <w:t>-based method</w:t>
      </w:r>
      <w:r w:rsidR="003E72E5" w:rsidRPr="00D846A9">
        <w:rPr>
          <w:color w:val="000000" w:themeColor="text1"/>
        </w:rPr>
        <w:t xml:space="preserve"> is </w:t>
      </w:r>
      <w:r w:rsidR="00BB4B50">
        <w:rPr>
          <w:color w:val="000000" w:themeColor="text1"/>
        </w:rPr>
        <w:t>used</w:t>
      </w:r>
      <w:r w:rsidR="003E72E5" w:rsidRPr="00D846A9">
        <w:rPr>
          <w:color w:val="000000" w:themeColor="text1"/>
        </w:rPr>
        <w:t xml:space="preserve"> to extract the latent variables with </w:t>
      </w:r>
      <w:r w:rsidR="00E13C8D">
        <w:rPr>
          <w:color w:val="000000" w:themeColor="text1"/>
        </w:rPr>
        <w:t>higher</w:t>
      </w:r>
      <w:r w:rsidR="003E72E5" w:rsidRPr="00D846A9">
        <w:rPr>
          <w:color w:val="000000" w:themeColor="text1"/>
        </w:rPr>
        <w:t xml:space="preserve"> discriminative power. </w:t>
      </w:r>
      <w:r w:rsidR="00E13C8D">
        <w:rPr>
          <w:color w:val="000000" w:themeColor="text1"/>
        </w:rPr>
        <w:t>Afterward</w:t>
      </w:r>
      <w:r w:rsidR="00BB4B50">
        <w:rPr>
          <w:color w:val="000000" w:themeColor="text1"/>
        </w:rPr>
        <w:t xml:space="preserve">, </w:t>
      </w:r>
      <w:r w:rsidR="003E72E5" w:rsidRPr="00D846A9">
        <w:rPr>
          <w:color w:val="000000" w:themeColor="text1"/>
        </w:rPr>
        <w:t xml:space="preserve">the extracted latent variables are fed to </w:t>
      </w:r>
      <w:r w:rsidR="00021BF7">
        <w:rPr>
          <w:color w:val="000000" w:themeColor="text1"/>
        </w:rPr>
        <w:t xml:space="preserve">the </w:t>
      </w:r>
      <w:r w:rsidR="00BB4B50">
        <w:t xml:space="preserve">Bayesian Linear Classifier </w:t>
      </w:r>
      <w:r w:rsidR="00BB4B50">
        <w:fldChar w:fldCharType="begin"/>
      </w:r>
      <w:r w:rsidR="0087482D">
        <w:instrText xml:space="preserve"> ADDIN ZOTERO_ITEM CSL_CITATION {"citationID":"2xc6FszF","properties":{"formattedCitation":"(Hastie et al., 2009)","plainCitation":"(Hastie et al., 2009)","noteIndex":0},"citationItems":[{"id":1590,"uris":["http://zotero.org/users/local/PxKgUfUF/items/SSMN9X8K"],"itemData":{"id":1590,"type":"book","edition":"2nd","event-place":"New York, NY","publisher":"Springer","publisher-place":"New York, NY","title":"The Elements of Statistical Learning: Data Mining, Inference, and Prediction","author":[{"family":"Hastie","given":"Trevor"},{"family":"Tibshirani","given":"Robert"},{"family":"Friedman","given":"Jerome"}],"issued":{"date-parts":[["2009"]]}}}],"schema":"https://github.com/citation-style-language/schema/raw/master/csl-citation.json"} </w:instrText>
      </w:r>
      <w:r w:rsidR="00BB4B50">
        <w:fldChar w:fldCharType="separate"/>
      </w:r>
      <w:r w:rsidR="009C0CF4" w:rsidRPr="009C0CF4">
        <w:t>(Hastie et al., 2009)</w:t>
      </w:r>
      <w:r w:rsidR="00BB4B50">
        <w:fldChar w:fldCharType="end"/>
      </w:r>
      <w:r w:rsidR="00BB4B50">
        <w:t xml:space="preserve"> </w:t>
      </w:r>
      <w:r w:rsidR="003E72E5" w:rsidRPr="00D846A9">
        <w:rPr>
          <w:color w:val="000000" w:themeColor="text1"/>
        </w:rPr>
        <w:t xml:space="preserve">to obtain the final </w:t>
      </w:r>
      <w:r w:rsidR="00021BF7">
        <w:rPr>
          <w:color w:val="000000" w:themeColor="text1"/>
        </w:rPr>
        <w:t>model</w:t>
      </w:r>
      <w:r w:rsidR="003E72E5" w:rsidRPr="00D846A9">
        <w:rPr>
          <w:color w:val="000000" w:themeColor="text1"/>
        </w:rPr>
        <w:t>.</w:t>
      </w:r>
    </w:p>
    <w:p w14:paraId="4357DC73" w14:textId="3B809669" w:rsidR="00BB4B50" w:rsidRDefault="003F317C" w:rsidP="007250FA">
      <w:pPr>
        <w:pStyle w:val="Els-body-text"/>
      </w:pPr>
      <w:r w:rsidRPr="00207C36">
        <w:t xml:space="preserve">In this study, </w:t>
      </w:r>
      <w:r w:rsidR="00940676">
        <w:t xml:space="preserve">the full spectra PLS as well as </w:t>
      </w:r>
      <w:r w:rsidRPr="00207C36">
        <w:t>two interval-based extensions of PLS</w:t>
      </w:r>
      <w:r w:rsidR="00940676">
        <w:t xml:space="preserve"> </w:t>
      </w:r>
      <w:r w:rsidR="00940676" w:rsidRPr="00207C36">
        <w:fldChar w:fldCharType="begin"/>
      </w:r>
      <w:r w:rsidR="0087482D">
        <w:instrText xml:space="preserve"> ADDIN ZOTERO_ITEM CSL_CITATION {"citationID":"Q25rvWbC","properties":{"formattedCitation":"(N\\uc0\\u248{}rgaard et al., 2000)","plainCitation":"(Nørgaard et al., 2000)","noteIndex":0},"citationItems":[{"id":"64sOb44w/g1oclhuc","uris":["http://zotero.org/users/10078479/items/4UH3CMWZ"],"itemData":{"id":1288,"type":"article-magazine","title":"Interval Partial Least-Squares Regression (iPLS): A Comparative Chemometric Study with an Example from Near-Infrared Spectroscopy","URL":"https://journals.sagepub.com/doi/10.1366/0003702001949500","author":[{"family":"Nørgaard","given":"L"},{"family":"Saudland","given":"A."},{"family":"Wagner","given":"J"},{"family":"Nielsen","given":"J.P."},{"family":"Munck","given":"L"},{"family":"Engelsen","given":"S.B."}],"accessed":{"date-parts":[["2023",6,16]]},"issued":{"date-parts":[["2000"]]}}}],"schema":"https://github.com/citation-style-language/schema/raw/master/csl-citation.json"} </w:instrText>
      </w:r>
      <w:r w:rsidR="00940676" w:rsidRPr="00207C36">
        <w:fldChar w:fldCharType="separate"/>
      </w:r>
      <w:r w:rsidR="009C0CF4" w:rsidRPr="009C0CF4">
        <w:rPr>
          <w:szCs w:val="24"/>
        </w:rPr>
        <w:t>(Nørgaard et al., 2000)</w:t>
      </w:r>
      <w:r w:rsidR="00940676" w:rsidRPr="00207C36">
        <w:fldChar w:fldCharType="end"/>
      </w:r>
      <w:r w:rsidR="00940676">
        <w:t xml:space="preserve"> were considered to extract the most relevant</w:t>
      </w:r>
      <w:r w:rsidR="002B4198">
        <w:t xml:space="preserve"> features</w:t>
      </w:r>
      <w:r w:rsidR="00940676">
        <w:t>:</w:t>
      </w:r>
      <w:r w:rsidRPr="00207C36">
        <w:t xml:space="preserve"> </w:t>
      </w:r>
    </w:p>
    <w:p w14:paraId="36C43C13" w14:textId="2D96C96E" w:rsidR="00BB4B50" w:rsidRDefault="00BB4B50" w:rsidP="00BB4B50">
      <w:pPr>
        <w:pStyle w:val="Els-body-text"/>
        <w:numPr>
          <w:ilvl w:val="0"/>
          <w:numId w:val="26"/>
        </w:numPr>
      </w:pPr>
      <w:r>
        <w:t>PLS</w:t>
      </w:r>
      <w:r w:rsidR="00F8303F">
        <w:t xml:space="preserve"> </w:t>
      </w:r>
      <w:r w:rsidR="00F8303F">
        <w:fldChar w:fldCharType="begin"/>
      </w:r>
      <w:r w:rsidR="0087482D">
        <w:instrText xml:space="preserve"> ADDIN ZOTERO_ITEM CSL_CITATION {"citationID":"HcTpnLqe","properties":{"formattedCitation":"(Wold et al., 2001)","plainCitation":"(Wold et al., 2001)","noteIndex":0},"citationItems":[{"id":2219,"uris":["http://zotero.org/users/local/PxKgUfUF/items/ZCNNYBCW"],"itemData":{"id":2219,"type":"article-journal","container-title":"Chemometrics and Intelligent Laboratory Systems","journalAbbreviation":"Chemom. Intell. Lab. Syst.","page":"109-130","title":"PLS-Regression: A Basic Tool of Chemometrics","volume":"58","author":[{"family":"Wold","given":"S."},{"family":"Sjöström","given":"M."},{"family":"Eriksson","given":"L."}],"issued":{"date-parts":[["2001"]]}}}],"schema":"https://github.com/citation-style-language/schema/raw/master/csl-citation.json"} </w:instrText>
      </w:r>
      <w:r w:rsidR="00F8303F">
        <w:fldChar w:fldCharType="separate"/>
      </w:r>
      <w:r w:rsidR="009C0CF4" w:rsidRPr="009C0CF4">
        <w:t>(Wold et al., 2001)</w:t>
      </w:r>
      <w:r w:rsidR="00F8303F">
        <w:fldChar w:fldCharType="end"/>
      </w:r>
      <w:r w:rsidR="00940676">
        <w:t>;</w:t>
      </w:r>
    </w:p>
    <w:p w14:paraId="72FCB085" w14:textId="42A9A193" w:rsidR="00BB4B50" w:rsidRDefault="00940676" w:rsidP="008F0249">
      <w:pPr>
        <w:pStyle w:val="Els-body-text"/>
        <w:numPr>
          <w:ilvl w:val="0"/>
          <w:numId w:val="26"/>
        </w:numPr>
      </w:pPr>
      <w:r>
        <w:t>F</w:t>
      </w:r>
      <w:r w:rsidRPr="00207C36">
        <w:t xml:space="preserve">orward </w:t>
      </w:r>
      <w:r w:rsidR="003F317C" w:rsidRPr="00207C36">
        <w:t>interval PLS (</w:t>
      </w:r>
      <w:proofErr w:type="spellStart"/>
      <w:r w:rsidR="003F317C" w:rsidRPr="00207C36">
        <w:t>FiPLS</w:t>
      </w:r>
      <w:proofErr w:type="spellEnd"/>
      <w:r w:rsidR="003F317C" w:rsidRPr="00207C36">
        <w:t>)</w:t>
      </w:r>
      <w:r w:rsidR="00F8303F">
        <w:t xml:space="preserve"> </w:t>
      </w:r>
      <w:r w:rsidR="00F8303F">
        <w:fldChar w:fldCharType="begin"/>
      </w:r>
      <w:r w:rsidR="0087482D">
        <w:instrText xml:space="preserve"> ADDIN ZOTERO_ITEM CSL_CITATION {"citationID":"076JM85K","properties":{"formattedCitation":"(Xiaobo et al., 2007)","plainCitation":"(Xiaobo et al., 2007)","noteIndex":0},"citationItems":[{"id":1737,"uris":["http://zotero.org/users/local/PxKgUfUF/items/Y6D68N9I"],"itemData":{"id":1737,"type":"article-journal","container-title":"Chemometrics and Intelligent Laboratory Systems","DOI":"https://doi.org/10.1016/j.chemolab.2006.09.003","ISSN":"0169-7439","issue":"1","journalAbbreviation":"Chemom. Intell. Lab. Syst.","page":"43-51","title":"Use of FT-NIR spectrometry in non-invasive measurements of soluble solid contents (SSC) of 'Fuji' apple based on different PLS models","volume":"87","author":[{"family":"Xiaobo","given":"Zou"},{"family":"Jiewen","given":"Zhao"},{"family":"Xingyi","given":"Huang"},{"family":"Yanxiao","given":"Li"}],"issued":{"date-parts":[["2007"]]}}}],"schema":"https://github.com/citation-style-language/schema/raw/master/csl-citation.json"} </w:instrText>
      </w:r>
      <w:r w:rsidR="00F8303F">
        <w:fldChar w:fldCharType="separate"/>
      </w:r>
      <w:r w:rsidR="009C0CF4" w:rsidRPr="009C0CF4">
        <w:t>(Xiaobo et al., 2007)</w:t>
      </w:r>
      <w:r w:rsidR="00F8303F">
        <w:fldChar w:fldCharType="end"/>
      </w:r>
      <w:r w:rsidR="00BB4B50">
        <w:t>;</w:t>
      </w:r>
    </w:p>
    <w:p w14:paraId="20BDCFFE" w14:textId="29686360" w:rsidR="007250FA" w:rsidRPr="00207C36" w:rsidRDefault="00940676" w:rsidP="009E357B">
      <w:pPr>
        <w:pStyle w:val="Els-body-text"/>
        <w:numPr>
          <w:ilvl w:val="0"/>
          <w:numId w:val="26"/>
        </w:numPr>
        <w:spacing w:after="120"/>
      </w:pPr>
      <w:r>
        <w:t>B</w:t>
      </w:r>
      <w:r w:rsidR="003F317C" w:rsidRPr="00207C36">
        <w:t>ackward interval PLS (</w:t>
      </w:r>
      <w:proofErr w:type="spellStart"/>
      <w:r w:rsidR="003F317C" w:rsidRPr="00207C36">
        <w:t>BiPLS</w:t>
      </w:r>
      <w:proofErr w:type="spellEnd"/>
      <w:r w:rsidR="003F317C" w:rsidRPr="00207C36">
        <w:t>)</w:t>
      </w:r>
      <w:r>
        <w:t xml:space="preserve"> </w:t>
      </w:r>
      <w:r>
        <w:fldChar w:fldCharType="begin"/>
      </w:r>
      <w:r w:rsidR="0087482D">
        <w:instrText xml:space="preserve"> ADDIN ZOTERO_ITEM CSL_CITATION {"citationID":"Em2eT3YS","properties":{"formattedCitation":"(Xiaobo et al., 2007)","plainCitation":"(Xiaobo et al., 2007)","noteIndex":0},"citationItems":[{"id":1737,"uris":["http://zotero.org/users/local/PxKgUfUF/items/Y6D68N9I"],"itemData":{"id":1737,"type":"article-journal","container-title":"Chemometrics and Intelligent Laboratory Systems","DOI":"https://doi.org/10.1016/j.chemolab.2006.09.003","ISSN":"0169-7439","issue":"1","journalAbbreviation":"Chemom. Intell. Lab. Syst.","page":"43-51","title":"Use of FT-NIR spectrometry in non-invasive measurements of soluble solid contents (SSC) of 'Fuji' apple based on different PLS models","volume":"87","author":[{"family":"Xiaobo","given":"Zou"},{"family":"Jiewen","given":"Zhao"},{"family":"Xingyi","given":"Huang"},{"family":"Yanxiao","given":"Li"}],"issued":{"date-parts":[["2007"]]}}}],"schema":"https://github.com/citation-style-language/schema/raw/master/csl-citation.json"} </w:instrText>
      </w:r>
      <w:r>
        <w:fldChar w:fldCharType="separate"/>
      </w:r>
      <w:r w:rsidR="009C0CF4" w:rsidRPr="009C0CF4">
        <w:t>(Xiaobo et al., 2007)</w:t>
      </w:r>
      <w:r>
        <w:fldChar w:fldCharType="end"/>
      </w:r>
      <w:r w:rsidR="003F317C" w:rsidRPr="00207C36">
        <w:t>.</w:t>
      </w:r>
    </w:p>
    <w:p w14:paraId="6A92F742" w14:textId="2C785186" w:rsidR="001B1D51" w:rsidRPr="00D041DA" w:rsidRDefault="00F61610" w:rsidP="009E357B">
      <w:pPr>
        <w:pStyle w:val="Els-1storder-head"/>
        <w:spacing w:after="120"/>
        <w:rPr>
          <w:rFonts w:ascii="TimesNewRomanPSMT" w:hAnsi="TimesNewRomanPSMT"/>
          <w:lang w:val="en-GB"/>
        </w:rPr>
      </w:pPr>
      <w:r w:rsidRPr="00D041DA">
        <w:rPr>
          <w:rFonts w:ascii="TimesNewRomanPSMT" w:hAnsi="TimesNewRomanPSMT"/>
          <w:lang w:val="en-GB"/>
        </w:rPr>
        <w:t xml:space="preserve">Results </w:t>
      </w:r>
    </w:p>
    <w:p w14:paraId="7E8B56BA" w14:textId="447C3319" w:rsidR="00BB06A7" w:rsidRPr="00207C36" w:rsidRDefault="00BB06A7" w:rsidP="00BB06A7">
      <w:pPr>
        <w:pStyle w:val="Els-body-text"/>
        <w:spacing w:after="120"/>
        <w:rPr>
          <w:lang w:val="en-GB"/>
        </w:rPr>
      </w:pPr>
      <w:r w:rsidRPr="00932D23">
        <w:rPr>
          <w:lang w:val="en-GB"/>
        </w:rPr>
        <w:t xml:space="preserve">In this study, a total of 107 WLO samples were </w:t>
      </w:r>
      <w:r w:rsidR="00BB3B75" w:rsidRPr="00932D23">
        <w:rPr>
          <w:lang w:val="en-GB"/>
        </w:rPr>
        <w:t>collected</w:t>
      </w:r>
      <w:r w:rsidR="00072D1D" w:rsidRPr="00932D23">
        <w:rPr>
          <w:lang w:val="en-GB"/>
        </w:rPr>
        <w:t>. The</w:t>
      </w:r>
      <w:r w:rsidR="00072D1D" w:rsidRPr="00D846A9">
        <w:rPr>
          <w:color w:val="000000" w:themeColor="text1"/>
        </w:rPr>
        <w:t xml:space="preserve"> </w:t>
      </w:r>
      <w:r w:rsidR="00072D1D">
        <w:rPr>
          <w:color w:val="000000" w:themeColor="text1"/>
        </w:rPr>
        <w:t xml:space="preserve">WLO </w:t>
      </w:r>
      <w:r w:rsidR="00072D1D" w:rsidRPr="00D846A9">
        <w:rPr>
          <w:color w:val="000000" w:themeColor="text1"/>
        </w:rPr>
        <w:t xml:space="preserve">coagulation potential </w:t>
      </w:r>
      <w:r w:rsidR="00072D1D">
        <w:rPr>
          <w:color w:val="000000" w:themeColor="text1"/>
        </w:rPr>
        <w:t>wa</w:t>
      </w:r>
      <w:r w:rsidR="00072D1D" w:rsidRPr="00D846A9">
        <w:rPr>
          <w:color w:val="000000" w:themeColor="text1"/>
        </w:rPr>
        <w:t>s determined through a coagulation test using an alkaline treatment with KOH</w:t>
      </w:r>
      <w:r w:rsidR="00072D1D">
        <w:rPr>
          <w:color w:val="000000" w:themeColor="text1"/>
        </w:rPr>
        <w:t xml:space="preserve">. Based on the result of this analysis, the samples are classified into </w:t>
      </w:r>
      <w:r w:rsidR="00072D1D" w:rsidRPr="0057639C">
        <w:rPr>
          <w:i/>
          <w:iCs/>
          <w:color w:val="000000" w:themeColor="text1"/>
        </w:rPr>
        <w:t>coagulate</w:t>
      </w:r>
      <w:r w:rsidR="00072D1D">
        <w:rPr>
          <w:color w:val="000000" w:themeColor="text1"/>
        </w:rPr>
        <w:t xml:space="preserve"> or </w:t>
      </w:r>
      <w:r w:rsidR="00072D1D" w:rsidRPr="0057639C">
        <w:rPr>
          <w:i/>
          <w:iCs/>
          <w:color w:val="000000" w:themeColor="text1"/>
        </w:rPr>
        <w:t>does-not-coagulate</w:t>
      </w:r>
      <w:r w:rsidR="00072D1D">
        <w:rPr>
          <w:color w:val="000000" w:themeColor="text1"/>
        </w:rPr>
        <w:t xml:space="preserve"> by the laboratory </w:t>
      </w:r>
      <w:r w:rsidR="002B4198">
        <w:rPr>
          <w:color w:val="000000" w:themeColor="text1"/>
        </w:rPr>
        <w:t>analyst</w:t>
      </w:r>
      <w:r w:rsidR="00072D1D" w:rsidRPr="00D846A9">
        <w:rPr>
          <w:color w:val="000000" w:themeColor="text1"/>
        </w:rPr>
        <w:t>.</w:t>
      </w:r>
      <w:r w:rsidR="00072D1D">
        <w:rPr>
          <w:color w:val="000000" w:themeColor="text1"/>
        </w:rPr>
        <w:t xml:space="preserve"> Furthermore, the </w:t>
      </w:r>
      <w:r w:rsidRPr="00B44922">
        <w:rPr>
          <w:lang w:val="en-GB"/>
        </w:rPr>
        <w:t xml:space="preserve">NIR </w:t>
      </w:r>
      <w:r w:rsidR="00BB3B75" w:rsidRPr="00B44922">
        <w:rPr>
          <w:lang w:val="en-GB"/>
        </w:rPr>
        <w:t>(</w:t>
      </w:r>
      <w:r w:rsidR="00D653C4" w:rsidRPr="00B44922">
        <w:rPr>
          <w:color w:val="000000" w:themeColor="text1"/>
        </w:rPr>
        <w:t>2530</w:t>
      </w:r>
      <w:r w:rsidR="00BB3B75" w:rsidRPr="00B44922">
        <w:rPr>
          <w:color w:val="000000" w:themeColor="text1"/>
        </w:rPr>
        <w:t xml:space="preserve"> wavenumbers in the range of </w:t>
      </w:r>
      <w:r w:rsidR="00BA66EE" w:rsidRPr="00B44922">
        <w:rPr>
          <w:color w:val="000000" w:themeColor="text1"/>
        </w:rPr>
        <w:t>7000</w:t>
      </w:r>
      <w:r w:rsidR="00BB3B75" w:rsidRPr="00B44922">
        <w:rPr>
          <w:color w:val="000000" w:themeColor="text1"/>
        </w:rPr>
        <w:t xml:space="preserve"> to </w:t>
      </w:r>
      <w:r w:rsidR="009B769C" w:rsidRPr="00B44922">
        <w:rPr>
          <w:color w:val="000000" w:themeColor="text1"/>
        </w:rPr>
        <w:t>3950</w:t>
      </w:r>
      <w:r w:rsidR="00BB3B75" w:rsidRPr="00B44922">
        <w:rPr>
          <w:color w:val="000000" w:themeColor="text1"/>
        </w:rPr>
        <w:t> cm</w:t>
      </w:r>
      <w:r w:rsidR="00BB3B75" w:rsidRPr="00B44922">
        <w:rPr>
          <w:color w:val="000000" w:themeColor="text1"/>
          <w:vertAlign w:val="superscript"/>
        </w:rPr>
        <w:t>-1</w:t>
      </w:r>
      <w:r w:rsidR="00BB3B75" w:rsidRPr="00B44922">
        <w:rPr>
          <w:lang w:val="en-GB"/>
        </w:rPr>
        <w:t xml:space="preserve">) </w:t>
      </w:r>
      <w:r w:rsidRPr="00B44922">
        <w:rPr>
          <w:lang w:val="en-GB"/>
        </w:rPr>
        <w:t xml:space="preserve">and </w:t>
      </w:r>
      <w:r w:rsidR="00072D1D" w:rsidRPr="00B44922">
        <w:rPr>
          <w:lang w:val="en-GB"/>
        </w:rPr>
        <w:t>MIR</w:t>
      </w:r>
      <w:r w:rsidR="00BB3B75" w:rsidRPr="00B44922">
        <w:rPr>
          <w:lang w:val="en-GB"/>
        </w:rPr>
        <w:t xml:space="preserve"> (</w:t>
      </w:r>
      <w:r w:rsidR="00316354" w:rsidRPr="00B44922">
        <w:rPr>
          <w:color w:val="000000" w:themeColor="text1"/>
        </w:rPr>
        <w:t>1814</w:t>
      </w:r>
      <w:r w:rsidR="00BB3B75" w:rsidRPr="00B44922">
        <w:rPr>
          <w:color w:val="000000" w:themeColor="text1"/>
        </w:rPr>
        <w:t xml:space="preserve"> wavenumbers in the range of 4000 to</w:t>
      </w:r>
      <w:r w:rsidR="002B4198">
        <w:rPr>
          <w:color w:val="000000" w:themeColor="text1"/>
        </w:rPr>
        <w:t xml:space="preserve">   </w:t>
      </w:r>
      <w:r w:rsidR="00BB3B75" w:rsidRPr="00B44922">
        <w:rPr>
          <w:color w:val="000000" w:themeColor="text1"/>
        </w:rPr>
        <w:t xml:space="preserve"> 500 cm</w:t>
      </w:r>
      <w:r w:rsidR="00BB3B75" w:rsidRPr="00B44922">
        <w:rPr>
          <w:color w:val="000000" w:themeColor="text1"/>
          <w:vertAlign w:val="superscript"/>
        </w:rPr>
        <w:t>-1</w:t>
      </w:r>
      <w:r w:rsidR="00BB3B75" w:rsidRPr="00B44922">
        <w:rPr>
          <w:lang w:val="en-GB"/>
        </w:rPr>
        <w:t>)</w:t>
      </w:r>
      <w:r w:rsidR="00BB3B75">
        <w:rPr>
          <w:lang w:val="en-GB"/>
        </w:rPr>
        <w:t xml:space="preserve"> </w:t>
      </w:r>
      <w:r w:rsidRPr="00207C36">
        <w:rPr>
          <w:lang w:val="en-GB"/>
        </w:rPr>
        <w:t>spectr</w:t>
      </w:r>
      <w:r w:rsidR="00072D1D">
        <w:rPr>
          <w:lang w:val="en-GB"/>
        </w:rPr>
        <w:t>a of each sample w</w:t>
      </w:r>
      <w:r w:rsidR="00F45900">
        <w:rPr>
          <w:lang w:val="en-GB"/>
        </w:rPr>
        <w:t>ere</w:t>
      </w:r>
      <w:r w:rsidR="00072D1D">
        <w:rPr>
          <w:lang w:val="en-GB"/>
        </w:rPr>
        <w:t xml:space="preserve"> also collected</w:t>
      </w:r>
      <w:r w:rsidRPr="00207C36">
        <w:rPr>
          <w:lang w:val="en-GB"/>
        </w:rPr>
        <w:t xml:space="preserve"> in triplicate.</w:t>
      </w:r>
      <w:r w:rsidR="00F45900" w:rsidRPr="00F45900">
        <w:rPr>
          <w:lang w:val="en-GB"/>
        </w:rPr>
        <w:t xml:space="preserve"> </w:t>
      </w:r>
      <w:r w:rsidR="00F45900" w:rsidRPr="00207C36">
        <w:rPr>
          <w:lang w:val="en-GB"/>
        </w:rPr>
        <w:t xml:space="preserve">For </w:t>
      </w:r>
      <w:r w:rsidR="00F45900" w:rsidRPr="00932D23">
        <w:rPr>
          <w:lang w:val="en-GB"/>
        </w:rPr>
        <w:t xml:space="preserve">the </w:t>
      </w:r>
      <w:proofErr w:type="spellStart"/>
      <w:r w:rsidR="00F45900" w:rsidRPr="00932D23">
        <w:rPr>
          <w:lang w:val="en-GB"/>
        </w:rPr>
        <w:t>BiPLS</w:t>
      </w:r>
      <w:proofErr w:type="spellEnd"/>
      <w:r w:rsidR="00F45900" w:rsidRPr="00932D23">
        <w:rPr>
          <w:lang w:val="en-GB"/>
        </w:rPr>
        <w:t xml:space="preserve"> and </w:t>
      </w:r>
      <w:proofErr w:type="spellStart"/>
      <w:r w:rsidR="00F45900" w:rsidRPr="00932D23">
        <w:rPr>
          <w:lang w:val="en-GB"/>
        </w:rPr>
        <w:t>FiPLS</w:t>
      </w:r>
      <w:proofErr w:type="spellEnd"/>
      <w:r w:rsidR="00F45900">
        <w:rPr>
          <w:lang w:val="en-GB"/>
        </w:rPr>
        <w:t>-based models</w:t>
      </w:r>
      <w:r w:rsidR="00F45900" w:rsidRPr="00932D23">
        <w:rPr>
          <w:lang w:val="en-GB"/>
        </w:rPr>
        <w:t>, each block was divided into 15 equal intervals.</w:t>
      </w:r>
    </w:p>
    <w:p w14:paraId="5AB0ED8A" w14:textId="4CFF3921" w:rsidR="00307BED" w:rsidRDefault="00D1253C" w:rsidP="00BB06A7">
      <w:pPr>
        <w:pStyle w:val="Els-body-text"/>
        <w:spacing w:after="120"/>
        <w:rPr>
          <w:lang w:eastAsia="en-GB"/>
        </w:rPr>
      </w:pPr>
      <w:r w:rsidRPr="00BF12F4">
        <w:t xml:space="preserve">To evaluate the impact of combining two </w:t>
      </w:r>
      <w:r w:rsidR="00537C74" w:rsidRPr="00537C74">
        <w:t>blocks</w:t>
      </w:r>
      <w:r w:rsidRPr="00BF12F4">
        <w:t xml:space="preserve"> of information</w:t>
      </w:r>
      <w:r w:rsidR="00E13C8D">
        <w:t>,</w:t>
      </w:r>
      <w:r w:rsidRPr="00BF12F4">
        <w:t xml:space="preserve"> the SS-DAC framework was used </w:t>
      </w:r>
      <w:r w:rsidR="00537C74">
        <w:t>over</w:t>
      </w:r>
      <w:r w:rsidRPr="00666F29">
        <w:t xml:space="preserve"> multiple combinations of preprocessing techniques, b</w:t>
      </w:r>
      <w:r w:rsidR="00430D0E">
        <w:t>loc</w:t>
      </w:r>
      <w:r w:rsidRPr="00666F29">
        <w:t>k scaling</w:t>
      </w:r>
      <w:r w:rsidR="00E13C8D">
        <w:t>,</w:t>
      </w:r>
      <w:r w:rsidRPr="00666F29">
        <w:t xml:space="preserve"> and modeling methodologies, lead</w:t>
      </w:r>
      <w:r w:rsidR="00537C74">
        <w:t>ing</w:t>
      </w:r>
      <w:r w:rsidRPr="00666F29">
        <w:t xml:space="preserve"> to </w:t>
      </w:r>
      <w:r w:rsidR="00E41033">
        <w:t>170</w:t>
      </w:r>
      <w:r w:rsidR="009F39DD">
        <w:t>1</w:t>
      </w:r>
      <w:r w:rsidR="00BB06A7" w:rsidRPr="00D1253C">
        <w:t xml:space="preserve"> </w:t>
      </w:r>
      <w:r w:rsidR="00537C74">
        <w:t xml:space="preserve">multiblock </w:t>
      </w:r>
      <w:r w:rsidR="00BB06A7" w:rsidRPr="00D1253C">
        <w:t>model</w:t>
      </w:r>
      <w:r w:rsidR="00537C74">
        <w:t xml:space="preserve"> combinations</w:t>
      </w:r>
      <w:r w:rsidR="00BB06A7" w:rsidRPr="00D1253C">
        <w:t>.</w:t>
      </w:r>
      <w:r w:rsidR="00BB3B75">
        <w:rPr>
          <w:lang w:val="en-GB"/>
        </w:rPr>
        <w:t xml:space="preserve"> </w:t>
      </w:r>
      <w:r w:rsidR="00537C74">
        <w:rPr>
          <w:lang w:val="en-GB"/>
        </w:rPr>
        <w:t xml:space="preserve">Furthermore, </w:t>
      </w:r>
      <w:r>
        <w:rPr>
          <w:lang w:val="en-GB"/>
        </w:rPr>
        <w:t xml:space="preserve">the </w:t>
      </w:r>
      <w:r w:rsidR="00537C74">
        <w:rPr>
          <w:lang w:val="en-GB"/>
        </w:rPr>
        <w:t>single</w:t>
      </w:r>
      <w:r>
        <w:rPr>
          <w:lang w:val="en-GB"/>
        </w:rPr>
        <w:t xml:space="preserve">-block </w:t>
      </w:r>
      <w:r w:rsidR="00537C74">
        <w:rPr>
          <w:lang w:val="en-GB"/>
        </w:rPr>
        <w:t xml:space="preserve">model scenarios were also considered as benchmark, leading to an </w:t>
      </w:r>
      <w:r w:rsidR="00537C74" w:rsidRPr="00932D23">
        <w:rPr>
          <w:lang w:val="en-GB"/>
        </w:rPr>
        <w:t xml:space="preserve">additional </w:t>
      </w:r>
      <w:r w:rsidR="00133528" w:rsidRPr="00932D23">
        <w:rPr>
          <w:lang w:val="en-GB"/>
        </w:rPr>
        <w:t>54</w:t>
      </w:r>
      <w:r w:rsidR="00BB06A7" w:rsidRPr="00207C36">
        <w:rPr>
          <w:lang w:val="en-GB"/>
        </w:rPr>
        <w:t xml:space="preserve"> </w:t>
      </w:r>
      <w:r w:rsidR="00537C74">
        <w:rPr>
          <w:lang w:val="en-GB"/>
        </w:rPr>
        <w:t xml:space="preserve">single-block </w:t>
      </w:r>
      <w:r w:rsidR="00BB06A7" w:rsidRPr="00207C36">
        <w:rPr>
          <w:lang w:val="en-GB"/>
        </w:rPr>
        <w:t>models</w:t>
      </w:r>
      <w:r w:rsidR="00537C74">
        <w:rPr>
          <w:lang w:val="en-GB"/>
        </w:rPr>
        <w:t xml:space="preserve">. </w:t>
      </w:r>
      <w:r w:rsidR="00E13C8D">
        <w:rPr>
          <w:lang w:val="en-GB"/>
        </w:rPr>
        <w:t>Overall</w:t>
      </w:r>
      <w:r w:rsidR="00537C74">
        <w:rPr>
          <w:lang w:val="en-GB"/>
        </w:rPr>
        <w:t xml:space="preserve">, a grand total of </w:t>
      </w:r>
      <w:r w:rsidR="00B44922">
        <w:rPr>
          <w:lang w:val="en-GB"/>
        </w:rPr>
        <w:t>1</w:t>
      </w:r>
      <w:r w:rsidR="00553B9A">
        <w:rPr>
          <w:lang w:val="en-GB"/>
        </w:rPr>
        <w:t>7</w:t>
      </w:r>
      <w:r w:rsidR="00863BFB">
        <w:rPr>
          <w:lang w:val="en-GB"/>
        </w:rPr>
        <w:t>55</w:t>
      </w:r>
      <w:r w:rsidR="00537C74">
        <w:rPr>
          <w:lang w:val="en-GB"/>
        </w:rPr>
        <w:t xml:space="preserve"> models were tested.</w:t>
      </w:r>
      <w:r w:rsidR="00F45900">
        <w:rPr>
          <w:lang w:val="en-GB"/>
        </w:rPr>
        <w:t xml:space="preserve"> </w:t>
      </w:r>
      <w:r w:rsidR="00307BED">
        <w:rPr>
          <w:lang w:eastAsia="en-GB"/>
        </w:rPr>
        <w:t>These models were labeled using the following nomenclature</w:t>
      </w:r>
      <w:r w:rsidR="002B4198">
        <w:rPr>
          <w:lang w:eastAsia="en-GB"/>
        </w:rPr>
        <w:t xml:space="preserve"> (see </w:t>
      </w:r>
      <w:r w:rsidR="002B4198">
        <w:rPr>
          <w:lang w:eastAsia="en-GB"/>
        </w:rPr>
        <w:fldChar w:fldCharType="begin"/>
      </w:r>
      <w:r w:rsidR="002B4198">
        <w:rPr>
          <w:lang w:eastAsia="en-GB"/>
        </w:rPr>
        <w:instrText xml:space="preserve"> REF _Ref150528172 \h </w:instrText>
      </w:r>
      <w:r w:rsidR="002B4198">
        <w:rPr>
          <w:lang w:eastAsia="en-GB"/>
        </w:rPr>
      </w:r>
      <w:r w:rsidR="002B4198">
        <w:rPr>
          <w:lang w:eastAsia="en-GB"/>
        </w:rPr>
        <w:fldChar w:fldCharType="separate"/>
      </w:r>
      <w:r w:rsidR="002B4198">
        <w:t xml:space="preserve">Table </w:t>
      </w:r>
      <w:r w:rsidR="002B4198">
        <w:rPr>
          <w:noProof/>
        </w:rPr>
        <w:t>1</w:t>
      </w:r>
      <w:r w:rsidR="002B4198">
        <w:rPr>
          <w:lang w:eastAsia="en-GB"/>
        </w:rPr>
        <w:fldChar w:fldCharType="end"/>
      </w:r>
      <w:r w:rsidR="002B4198">
        <w:rPr>
          <w:lang w:eastAsia="en-GB"/>
        </w:rPr>
        <w:t>)</w:t>
      </w:r>
      <w:r w:rsidR="00307BED" w:rsidRPr="007F24E4">
        <w:rPr>
          <w:lang w:eastAsia="en-GB"/>
        </w:rPr>
        <w:t xml:space="preserve">: {modeling </w:t>
      </w:r>
      <w:r w:rsidR="00307BED" w:rsidRPr="007F24E4">
        <w:rPr>
          <w:lang w:eastAsia="en-GB"/>
        </w:rPr>
        <w:lastRenderedPageBreak/>
        <w:t>methodology}-{</w:t>
      </w:r>
      <w:r w:rsidR="00307BED">
        <w:rPr>
          <w:lang w:eastAsia="en-GB"/>
        </w:rPr>
        <w:t>data block</w:t>
      </w:r>
      <w:r w:rsidR="00307BED" w:rsidRPr="007F24E4">
        <w:rPr>
          <w:lang w:eastAsia="en-GB"/>
        </w:rPr>
        <w:t>}-{MIR preprocessing technique}-{NIR preprocessing technique}-{block scaling technique}.</w:t>
      </w:r>
    </w:p>
    <w:p w14:paraId="3D0B66F1" w14:textId="763F9834" w:rsidR="008A70B3" w:rsidRPr="00207C36" w:rsidRDefault="00DA41D4" w:rsidP="000A1984">
      <w:pPr>
        <w:pStyle w:val="Els-body-text"/>
        <w:spacing w:after="120"/>
        <w:rPr>
          <w:lang w:val="en-GB"/>
        </w:rPr>
      </w:pPr>
      <w:r>
        <w:rPr>
          <w:lang w:val="en-GB"/>
        </w:rPr>
        <w:t>In the first stage of SS-DAC t</w:t>
      </w:r>
      <w:r w:rsidR="00BB06A7" w:rsidRPr="00207C36">
        <w:rPr>
          <w:lang w:val="en-GB"/>
        </w:rPr>
        <w:t>he raw dataset was randomly split into a training dataset with 80</w:t>
      </w:r>
      <w:r w:rsidR="00152B96">
        <w:rPr>
          <w:lang w:val="en-GB"/>
        </w:rPr>
        <w:t> </w:t>
      </w:r>
      <w:r w:rsidR="00BB06A7" w:rsidRPr="00207C36">
        <w:rPr>
          <w:lang w:val="en-GB"/>
        </w:rPr>
        <w:t>% of the samples and a test dataset with the remaining 20</w:t>
      </w:r>
      <w:r w:rsidR="00152B96">
        <w:rPr>
          <w:lang w:val="en-GB"/>
        </w:rPr>
        <w:t> </w:t>
      </w:r>
      <w:r w:rsidR="00BB06A7" w:rsidRPr="00207C36">
        <w:rPr>
          <w:lang w:val="en-GB"/>
        </w:rPr>
        <w:t>% of the samples</w:t>
      </w:r>
      <w:r w:rsidR="00DF73A8">
        <w:rPr>
          <w:lang w:val="en-GB"/>
        </w:rPr>
        <w:t>,</w:t>
      </w:r>
      <w:r w:rsidR="004F0006">
        <w:rPr>
          <w:lang w:val="en-GB"/>
        </w:rPr>
        <w:t xml:space="preserve"> </w:t>
      </w:r>
      <w:r w:rsidR="00DF73A8">
        <w:rPr>
          <w:lang w:val="en-GB"/>
        </w:rPr>
        <w:t xml:space="preserve">maintaining </w:t>
      </w:r>
      <w:r w:rsidR="00ED2A6F" w:rsidRPr="00ED2A6F">
        <w:rPr>
          <w:lang w:val="en-GB"/>
        </w:rPr>
        <w:t xml:space="preserve">balanced </w:t>
      </w:r>
      <w:r w:rsidR="00ED2A6F">
        <w:rPr>
          <w:lang w:val="en-GB"/>
        </w:rPr>
        <w:t>data</w:t>
      </w:r>
      <w:r w:rsidR="00ED2A6F" w:rsidRPr="00ED2A6F">
        <w:rPr>
          <w:lang w:val="en-GB"/>
        </w:rPr>
        <w:t>sets</w:t>
      </w:r>
      <w:r w:rsidR="00F45900">
        <w:rPr>
          <w:lang w:val="en-GB"/>
        </w:rPr>
        <w:t xml:space="preserve">. Furthermore, </w:t>
      </w:r>
      <w:r w:rsidR="00D1253C">
        <w:rPr>
          <w:lang w:val="en-GB"/>
        </w:rPr>
        <w:t>replicates of the same sample were attributed to the same dataset</w:t>
      </w:r>
      <w:r w:rsidR="00BB06A7" w:rsidRPr="00207C36">
        <w:rPr>
          <w:lang w:val="en-GB"/>
        </w:rPr>
        <w:t xml:space="preserve">. The models were then trained </w:t>
      </w:r>
      <w:r w:rsidR="00537C74">
        <w:rPr>
          <w:lang w:val="en-GB"/>
        </w:rPr>
        <w:t xml:space="preserve">on the </w:t>
      </w:r>
      <w:r w:rsidR="00BB06A7" w:rsidRPr="00207C36">
        <w:rPr>
          <w:lang w:val="en-GB"/>
        </w:rPr>
        <w:t>training dataset using Monte Carlo Cross-Validation (MCCV) for tuning the model’s hyperparameters</w:t>
      </w:r>
      <w:r w:rsidR="00F45900">
        <w:rPr>
          <w:lang w:val="en-GB"/>
        </w:rPr>
        <w:t xml:space="preserve"> (</w:t>
      </w:r>
      <w:r w:rsidR="00F45900" w:rsidRPr="00F45900">
        <w:rPr>
          <w:i/>
          <w:iCs/>
          <w:lang w:val="en-GB"/>
        </w:rPr>
        <w:t>i</w:t>
      </w:r>
      <w:r w:rsidR="00F45900">
        <w:rPr>
          <w:lang w:val="en-GB"/>
        </w:rPr>
        <w:t>.</w:t>
      </w:r>
      <w:r w:rsidR="00F45900" w:rsidRPr="00F45900">
        <w:rPr>
          <w:i/>
          <w:iCs/>
          <w:lang w:val="en-GB"/>
        </w:rPr>
        <w:t>e</w:t>
      </w:r>
      <w:r w:rsidR="00F45900">
        <w:rPr>
          <w:lang w:val="en-GB"/>
        </w:rPr>
        <w:t>., the number of retained latent variables, and intervals in the models)</w:t>
      </w:r>
      <w:r>
        <w:rPr>
          <w:lang w:val="en-GB"/>
        </w:rPr>
        <w:t>.</w:t>
      </w:r>
      <w:r w:rsidR="00537C74">
        <w:rPr>
          <w:lang w:val="en-GB"/>
        </w:rPr>
        <w:t xml:space="preserve"> </w:t>
      </w:r>
      <w:r w:rsidR="00BB06A7" w:rsidRPr="00207C36">
        <w:rPr>
          <w:lang w:val="en-GB"/>
        </w:rPr>
        <w:t>Afterward,</w:t>
      </w:r>
      <w:r>
        <w:rPr>
          <w:lang w:val="en-GB"/>
        </w:rPr>
        <w:t xml:space="preserve"> in the second stage of SS-DAC,</w:t>
      </w:r>
      <w:r w:rsidR="00BB06A7" w:rsidRPr="00207C36">
        <w:rPr>
          <w:lang w:val="en-GB"/>
        </w:rPr>
        <w:t xml:space="preserve"> the</w:t>
      </w:r>
      <w:r>
        <w:rPr>
          <w:lang w:val="en-GB"/>
        </w:rPr>
        <w:t xml:space="preserve"> models’</w:t>
      </w:r>
      <w:r w:rsidR="00BB06A7" w:rsidRPr="00207C36">
        <w:rPr>
          <w:lang w:val="en-GB"/>
        </w:rPr>
        <w:t xml:space="preserve"> performance was assessed on the test dataset</w:t>
      </w:r>
      <w:r>
        <w:rPr>
          <w:lang w:val="en-GB"/>
        </w:rPr>
        <w:t xml:space="preserve"> using the accuracy (</w:t>
      </w:r>
      <m:oMath>
        <m:r>
          <w:rPr>
            <w:rFonts w:ascii="Cambria Math" w:hAnsi="Cambria Math"/>
            <w:lang w:val="en-GB"/>
          </w:rPr>
          <m:t>H</m:t>
        </m:r>
      </m:oMath>
      <w:r>
        <w:rPr>
          <w:lang w:val="en-GB"/>
        </w:rPr>
        <w:t xml:space="preserve">) as the </w:t>
      </w:r>
      <w:r w:rsidR="00BB06A7" w:rsidRPr="00207C36">
        <w:rPr>
          <w:lang w:val="en-GB"/>
        </w:rPr>
        <w:t>key performance indicator (KPI)</w:t>
      </w:r>
      <w:r>
        <w:rPr>
          <w:lang w:val="en-GB"/>
        </w:rPr>
        <w:t>:</w:t>
      </w:r>
    </w:p>
    <w:tbl>
      <w:tblPr>
        <w:tblW w:w="0" w:type="auto"/>
        <w:tblLook w:val="04A0" w:firstRow="1" w:lastRow="0" w:firstColumn="1" w:lastColumn="0" w:noHBand="0" w:noVBand="1"/>
      </w:tblPr>
      <w:tblGrid>
        <w:gridCol w:w="6121"/>
        <w:gridCol w:w="965"/>
      </w:tblGrid>
      <w:tr w:rsidR="008205B8" w:rsidRPr="00AB7DA4" w14:paraId="2060A62C" w14:textId="77777777" w:rsidTr="00523DA1">
        <w:tc>
          <w:tcPr>
            <w:tcW w:w="6317" w:type="dxa"/>
            <w:shd w:val="clear" w:color="auto" w:fill="auto"/>
            <w:vAlign w:val="center"/>
          </w:tcPr>
          <w:p w14:paraId="15B3B3B4" w14:textId="2E0AACEF" w:rsidR="008205B8" w:rsidRPr="00AB7DA4" w:rsidRDefault="00FA00C0" w:rsidP="006C7345">
            <w:pPr>
              <w:pStyle w:val="Els-body-text"/>
              <w:spacing w:before="120" w:after="120"/>
              <w:rPr>
                <w:rFonts w:ascii="TimesNewRomanPSMT" w:hAnsi="TimesNewRomanPSMT"/>
                <w:lang w:val="en-GB"/>
              </w:rPr>
            </w:pPr>
            <m:oMathPara>
              <m:oMath>
                <m:r>
                  <w:rPr>
                    <w:rFonts w:ascii="Cambria Math" w:hAnsi="Cambria Math"/>
                    <w:lang w:val="en-GB"/>
                  </w:rPr>
                  <m:t>H=</m:t>
                </m:r>
                <m:f>
                  <m:fPr>
                    <m:ctrlPr>
                      <w:rPr>
                        <w:rFonts w:ascii="Cambria Math" w:hAnsi="Cambria Math"/>
                        <w:i/>
                        <w:lang w:val="en-GB"/>
                      </w:rPr>
                    </m:ctrlPr>
                  </m:fPr>
                  <m:num>
                    <m:r>
                      <w:rPr>
                        <w:rFonts w:ascii="Cambria Math" w:hAnsi="Cambria Math"/>
                        <w:lang w:val="en-GB"/>
                      </w:rPr>
                      <m:t>TP+TN</m:t>
                    </m:r>
                  </m:num>
                  <m:den>
                    <m:r>
                      <w:rPr>
                        <w:rFonts w:ascii="Cambria Math" w:hAnsi="Cambria Math"/>
                        <w:lang w:val="en-GB"/>
                      </w:rPr>
                      <m:t>n</m:t>
                    </m:r>
                  </m:den>
                </m:f>
              </m:oMath>
            </m:oMathPara>
          </w:p>
        </w:tc>
        <w:tc>
          <w:tcPr>
            <w:tcW w:w="985" w:type="dxa"/>
            <w:shd w:val="clear" w:color="auto" w:fill="auto"/>
            <w:vAlign w:val="center"/>
          </w:tcPr>
          <w:p w14:paraId="2A01C148" w14:textId="5C2924AE" w:rsidR="008205B8" w:rsidRPr="00AB7DA4" w:rsidRDefault="008205B8" w:rsidP="006C7345">
            <w:pPr>
              <w:pStyle w:val="Els-body-text"/>
              <w:spacing w:before="120" w:after="120"/>
              <w:jc w:val="right"/>
              <w:rPr>
                <w:rFonts w:ascii="TimesNewRomanPSMT" w:hAnsi="TimesNewRomanPSMT"/>
                <w:lang w:val="en-GB"/>
              </w:rPr>
            </w:pPr>
            <w:r w:rsidRPr="00AB7DA4">
              <w:rPr>
                <w:rFonts w:ascii="TimesNewRomanPSMT" w:hAnsi="TimesNewRomanPSMT"/>
                <w:lang w:val="en-GB"/>
              </w:rPr>
              <w:t>(</w:t>
            </w:r>
            <w:r w:rsidR="003A0AAD">
              <w:rPr>
                <w:rFonts w:ascii="TimesNewRomanPSMT" w:hAnsi="TimesNewRomanPSMT"/>
                <w:lang w:val="en-GB"/>
              </w:rPr>
              <w:t>2</w:t>
            </w:r>
            <w:r w:rsidRPr="00AB7DA4">
              <w:rPr>
                <w:rFonts w:ascii="TimesNewRomanPSMT" w:hAnsi="TimesNewRomanPSMT"/>
                <w:lang w:val="en-GB"/>
              </w:rPr>
              <w:t>)</w:t>
            </w:r>
          </w:p>
        </w:tc>
      </w:tr>
    </w:tbl>
    <w:p w14:paraId="0AEB71A7" w14:textId="6E7D5294" w:rsidR="008A70B3" w:rsidRPr="00207C36" w:rsidRDefault="00EE4199" w:rsidP="006C7345">
      <w:pPr>
        <w:autoSpaceDE w:val="0"/>
        <w:autoSpaceDN w:val="0"/>
        <w:adjustRightInd w:val="0"/>
        <w:spacing w:after="120"/>
        <w:jc w:val="both"/>
        <w:rPr>
          <w:lang w:val="en-US" w:eastAsia="en-GB"/>
        </w:rPr>
      </w:pPr>
      <w:r w:rsidRPr="00207C36">
        <w:rPr>
          <w:lang w:val="en-US" w:eastAsia="en-GB"/>
        </w:rPr>
        <w:t xml:space="preserve">where </w:t>
      </w:r>
      <m:oMath>
        <m:r>
          <w:rPr>
            <w:rFonts w:ascii="Cambria Math" w:hAnsi="Cambria Math"/>
          </w:rPr>
          <m:t>TP</m:t>
        </m:r>
      </m:oMath>
      <w:r w:rsidR="00BB3B75" w:rsidRPr="00207C36" w:rsidDel="00BB3B75">
        <w:rPr>
          <w:i/>
          <w:iCs/>
          <w:lang w:val="en-US" w:eastAsia="en-GB"/>
        </w:rPr>
        <w:t xml:space="preserve"> </w:t>
      </w:r>
      <w:r w:rsidRPr="00207C36">
        <w:rPr>
          <w:lang w:val="en-US" w:eastAsia="en-GB"/>
        </w:rPr>
        <w:t>i</w:t>
      </w:r>
      <w:r w:rsidR="00430D0E">
        <w:rPr>
          <w:lang w:val="en-US" w:eastAsia="en-GB"/>
        </w:rPr>
        <w:t>s</w:t>
      </w:r>
      <w:r w:rsidRPr="00207C36">
        <w:rPr>
          <w:lang w:val="en-US" w:eastAsia="en-GB"/>
        </w:rPr>
        <w:t xml:space="preserve"> the number of true positives, </w:t>
      </w:r>
      <m:oMath>
        <m:r>
          <w:rPr>
            <w:rFonts w:ascii="Cambria Math" w:hAnsi="Cambria Math"/>
          </w:rPr>
          <m:t>TN</m:t>
        </m:r>
      </m:oMath>
      <w:r w:rsidRPr="00207C36">
        <w:rPr>
          <w:i/>
          <w:iCs/>
          <w:lang w:val="en-US" w:eastAsia="en-GB"/>
        </w:rPr>
        <w:t xml:space="preserve"> </w:t>
      </w:r>
      <w:r w:rsidRPr="00207C36">
        <w:rPr>
          <w:lang w:val="en-US" w:eastAsia="en-GB"/>
        </w:rPr>
        <w:t xml:space="preserve">is the number of true negatives and </w:t>
      </w:r>
      <m:oMath>
        <m:r>
          <w:rPr>
            <w:rFonts w:ascii="Cambria Math" w:hAnsi="Cambria Math"/>
            <w:lang w:val="en-US" w:eastAsia="en-GB"/>
          </w:rPr>
          <m:t>n</m:t>
        </m:r>
      </m:oMath>
      <w:r w:rsidRPr="00207C36">
        <w:rPr>
          <w:i/>
          <w:iCs/>
          <w:lang w:val="en-US" w:eastAsia="en-GB"/>
        </w:rPr>
        <w:t xml:space="preserve"> </w:t>
      </w:r>
      <w:r w:rsidRPr="00207C36">
        <w:rPr>
          <w:lang w:val="en-US" w:eastAsia="en-GB"/>
        </w:rPr>
        <w:t xml:space="preserve">is the number of samples in the test dataset. The accuracy varies from 0 to 1, where </w:t>
      </w:r>
      <w:r w:rsidR="00DA41D4">
        <w:rPr>
          <w:lang w:val="en-US" w:eastAsia="en-GB"/>
        </w:rPr>
        <w:t>higher values</w:t>
      </w:r>
      <w:r w:rsidRPr="00207C36">
        <w:rPr>
          <w:lang w:val="en-US" w:eastAsia="en-GB"/>
        </w:rPr>
        <w:t xml:space="preserve"> relate to better classification capabilities.</w:t>
      </w:r>
    </w:p>
    <w:p w14:paraId="29135239" w14:textId="55853139" w:rsidR="009C3280" w:rsidRDefault="00DA41D4" w:rsidP="009A4639">
      <w:pPr>
        <w:autoSpaceDE w:val="0"/>
        <w:autoSpaceDN w:val="0"/>
        <w:adjustRightInd w:val="0"/>
        <w:spacing w:after="120"/>
        <w:jc w:val="both"/>
        <w:rPr>
          <w:lang w:val="en-US" w:eastAsia="en-GB"/>
        </w:rPr>
      </w:pPr>
      <w:r>
        <w:rPr>
          <w:lang w:val="en-US" w:eastAsia="en-GB"/>
        </w:rPr>
        <w:t xml:space="preserve">In the third stage of SS-DAC the models were compared </w:t>
      </w:r>
      <w:r w:rsidR="009C3280">
        <w:rPr>
          <w:lang w:val="en-US" w:eastAsia="en-GB"/>
        </w:rPr>
        <w:t>against</w:t>
      </w:r>
      <w:r>
        <w:rPr>
          <w:lang w:val="en-US" w:eastAsia="en-GB"/>
        </w:rPr>
        <w:t xml:space="preserve"> each other using </w:t>
      </w:r>
      <w:r w:rsidR="00A720FE">
        <w:rPr>
          <w:lang w:val="en-US" w:eastAsia="en-GB"/>
        </w:rPr>
        <w:t xml:space="preserve">the </w:t>
      </w:r>
      <w:r w:rsidR="00A720FE" w:rsidRPr="00D843EE">
        <w:t xml:space="preserve">Wilcoxon </w:t>
      </w:r>
      <w:r w:rsidR="009C3280" w:rsidRPr="00D843EE">
        <w:t>signed-rank test</w:t>
      </w:r>
      <w:r>
        <w:rPr>
          <w:lang w:val="en-US" w:eastAsia="en-GB"/>
        </w:rPr>
        <w:t xml:space="preserve"> </w:t>
      </w:r>
      <w:r w:rsidR="00A720FE">
        <w:rPr>
          <w:lang w:val="en-US" w:eastAsia="en-GB"/>
        </w:rPr>
        <w:fldChar w:fldCharType="begin"/>
      </w:r>
      <w:r w:rsidR="0087482D">
        <w:rPr>
          <w:lang w:val="en-US" w:eastAsia="en-GB"/>
        </w:rPr>
        <w:instrText xml:space="preserve"> ADDIN ZOTERO_ITEM CSL_CITATION {"citationID":"GdlYJBii","properties":{"formattedCitation":"(Wilcoxon, 1945)","plainCitation":"(Wilcoxon, 1945)","noteIndex":0},"citationItems":[{"id":2784,"uris":["http://zotero.org/users/local/PxKgUfUF/items/WK5QSDTE"],"itemData":{"id":2784,"type":"article-journal","container-title":"Biometrics Bulletin","issue":"6","journalAbbreviation":"Biometrics Bull.","page":"80-83","title":"Individual Comparisons by Ranking Methods","volume":"1","author":[{"family":"Wilcoxon","given":"Frank"}],"issued":{"date-parts":[["1945"]]}}}],"schema":"https://github.com/citation-style-language/schema/raw/master/csl-citation.json"} </w:instrText>
      </w:r>
      <w:r w:rsidR="00A720FE">
        <w:rPr>
          <w:lang w:val="en-US" w:eastAsia="en-GB"/>
        </w:rPr>
        <w:fldChar w:fldCharType="separate"/>
      </w:r>
      <w:r w:rsidR="009C0CF4" w:rsidRPr="009C0CF4">
        <w:t>(Wilcoxon, 1945)</w:t>
      </w:r>
      <w:r w:rsidR="00A720FE">
        <w:rPr>
          <w:lang w:val="en-US" w:eastAsia="en-GB"/>
        </w:rPr>
        <w:fldChar w:fldCharType="end"/>
      </w:r>
      <w:r w:rsidR="0013587C">
        <w:rPr>
          <w:lang w:val="en-US" w:eastAsia="en-GB"/>
        </w:rPr>
        <w:t xml:space="preserve">. For each comparison, if a model has </w:t>
      </w:r>
      <w:r w:rsidR="00E13C8D">
        <w:rPr>
          <w:lang w:val="en-US" w:eastAsia="en-GB"/>
        </w:rPr>
        <w:t xml:space="preserve">a </w:t>
      </w:r>
      <w:r w:rsidR="0013587C">
        <w:rPr>
          <w:lang w:val="en-US" w:eastAsia="en-GB"/>
        </w:rPr>
        <w:t>statistically</w:t>
      </w:r>
      <w:r w:rsidR="00E13C8D">
        <w:rPr>
          <w:lang w:val="en-US" w:eastAsia="en-GB"/>
        </w:rPr>
        <w:t xml:space="preserve"> significant</w:t>
      </w:r>
      <w:r w:rsidR="0013587C">
        <w:rPr>
          <w:lang w:val="en-US" w:eastAsia="en-GB"/>
        </w:rPr>
        <w:t xml:space="preserve"> higher accuracy against another model it receives a </w:t>
      </w:r>
      <w:r w:rsidR="0013587C" w:rsidRPr="00734C97">
        <w:rPr>
          <w:i/>
          <w:iCs/>
          <w:lang w:val="en-US" w:eastAsia="en-GB"/>
        </w:rPr>
        <w:t>victory</w:t>
      </w:r>
      <w:r w:rsidR="0013587C">
        <w:rPr>
          <w:lang w:val="en-US" w:eastAsia="en-GB"/>
        </w:rPr>
        <w:t xml:space="preserve"> and if </w:t>
      </w:r>
      <w:r w:rsidR="00E13C8D">
        <w:rPr>
          <w:lang w:val="en-US" w:eastAsia="en-GB"/>
        </w:rPr>
        <w:t>there is no statistically significant difference in</w:t>
      </w:r>
      <w:r w:rsidR="0013587C">
        <w:rPr>
          <w:lang w:val="en-US" w:eastAsia="en-GB"/>
        </w:rPr>
        <w:t xml:space="preserve"> accuracy it receives a </w:t>
      </w:r>
      <w:r w:rsidR="0013587C" w:rsidRPr="00734C97">
        <w:rPr>
          <w:i/>
          <w:iCs/>
          <w:lang w:val="en-US" w:eastAsia="en-GB"/>
        </w:rPr>
        <w:t>tie</w:t>
      </w:r>
      <w:r w:rsidR="0013587C">
        <w:rPr>
          <w:lang w:val="en-US" w:eastAsia="en-GB"/>
        </w:rPr>
        <w:t>. A score is then computed by summing the number of victoried and ties of each model.</w:t>
      </w:r>
      <w:r w:rsidR="009C3280">
        <w:rPr>
          <w:lang w:val="en-US" w:eastAsia="en-GB"/>
        </w:rPr>
        <w:t xml:space="preserve"> </w:t>
      </w:r>
      <w:r w:rsidR="00A70F70">
        <w:rPr>
          <w:lang w:val="en-US" w:eastAsia="en-GB"/>
        </w:rPr>
        <w:t>Models with higher score</w:t>
      </w:r>
      <w:r w:rsidR="00415C01">
        <w:rPr>
          <w:lang w:val="en-US" w:eastAsia="en-GB"/>
        </w:rPr>
        <w:t>s</w:t>
      </w:r>
      <w:r w:rsidR="00A70F70">
        <w:rPr>
          <w:lang w:val="en-US" w:eastAsia="en-GB"/>
        </w:rPr>
        <w:t xml:space="preserve"> (</w:t>
      </w:r>
      <w:r w:rsidR="00A70F70" w:rsidRPr="00734C97">
        <w:rPr>
          <w:i/>
          <w:iCs/>
          <w:lang w:val="en-US" w:eastAsia="en-GB"/>
        </w:rPr>
        <w:t>i</w:t>
      </w:r>
      <w:r w:rsidR="00A70F70">
        <w:rPr>
          <w:lang w:val="en-US" w:eastAsia="en-GB"/>
        </w:rPr>
        <w:t>.</w:t>
      </w:r>
      <w:r w:rsidR="00A70F70" w:rsidRPr="00734C97">
        <w:rPr>
          <w:i/>
          <w:iCs/>
          <w:lang w:val="en-US" w:eastAsia="en-GB"/>
        </w:rPr>
        <w:t>e</w:t>
      </w:r>
      <w:r w:rsidR="00A70F70">
        <w:rPr>
          <w:lang w:val="en-US" w:eastAsia="en-GB"/>
        </w:rPr>
        <w:t>., high count of victories</w:t>
      </w:r>
      <w:r w:rsidR="00F45900">
        <w:rPr>
          <w:lang w:val="en-US" w:eastAsia="en-GB"/>
        </w:rPr>
        <w:t xml:space="preserve"> and ties</w:t>
      </w:r>
      <w:r w:rsidR="00A70F70">
        <w:rPr>
          <w:lang w:val="en-US" w:eastAsia="en-GB"/>
        </w:rPr>
        <w:t xml:space="preserve">) are deemed to have consistently higher accuracy. </w:t>
      </w:r>
      <w:r w:rsidR="00933458">
        <w:rPr>
          <w:lang w:val="en-US" w:eastAsia="en-GB"/>
        </w:rPr>
        <w:t>T</w:t>
      </w:r>
      <w:r w:rsidR="009C3280">
        <w:rPr>
          <w:lang w:val="en-US" w:eastAsia="en-GB"/>
        </w:rPr>
        <w:t>he scores for the top</w:t>
      </w:r>
      <w:r w:rsidR="009C3280" w:rsidRPr="00207C36">
        <w:rPr>
          <w:lang w:val="en-US" w:eastAsia="en-GB"/>
        </w:rPr>
        <w:t xml:space="preserve"> </w:t>
      </w:r>
      <w:r w:rsidR="009221BF">
        <w:rPr>
          <w:lang w:val="en-US" w:eastAsia="en-GB"/>
        </w:rPr>
        <w:t>50</w:t>
      </w:r>
      <w:r w:rsidR="009C3280" w:rsidRPr="00207C36">
        <w:rPr>
          <w:lang w:val="en-US" w:eastAsia="en-GB"/>
        </w:rPr>
        <w:t xml:space="preserve"> model</w:t>
      </w:r>
      <w:r w:rsidR="009C3280">
        <w:rPr>
          <w:lang w:val="en-US" w:eastAsia="en-GB"/>
        </w:rPr>
        <w:t xml:space="preserve">s are presented </w:t>
      </w:r>
      <w:r w:rsidR="00933458">
        <w:rPr>
          <w:lang w:val="en-US" w:eastAsia="en-GB"/>
        </w:rPr>
        <w:t xml:space="preserve">in </w:t>
      </w:r>
      <w:r w:rsidR="00933458">
        <w:rPr>
          <w:lang w:val="en-US" w:eastAsia="en-GB"/>
        </w:rPr>
        <w:fldChar w:fldCharType="begin"/>
      </w:r>
      <w:r w:rsidR="00933458">
        <w:rPr>
          <w:lang w:val="en-US" w:eastAsia="en-GB"/>
        </w:rPr>
        <w:instrText xml:space="preserve"> REF _Ref150529807 \h </w:instrText>
      </w:r>
      <w:r w:rsidR="00933458">
        <w:rPr>
          <w:lang w:val="en-US" w:eastAsia="en-GB"/>
        </w:rPr>
      </w:r>
      <w:r w:rsidR="00933458">
        <w:rPr>
          <w:lang w:val="en-US" w:eastAsia="en-GB"/>
        </w:rPr>
        <w:fldChar w:fldCharType="separate"/>
      </w:r>
      <w:r w:rsidR="00933458">
        <w:t xml:space="preserve">Figure </w:t>
      </w:r>
      <w:r w:rsidR="00933458">
        <w:rPr>
          <w:noProof/>
        </w:rPr>
        <w:t>2</w:t>
      </w:r>
      <w:r w:rsidR="00933458">
        <w:rPr>
          <w:lang w:val="en-US" w:eastAsia="en-GB"/>
        </w:rPr>
        <w:fldChar w:fldCharType="end"/>
      </w:r>
      <w:r w:rsidR="00933458">
        <w:rPr>
          <w:lang w:val="en-US" w:eastAsia="en-GB"/>
        </w:rPr>
        <w:t xml:space="preserve">, </w:t>
      </w:r>
      <w:r w:rsidR="00933458" w:rsidRPr="00207C36">
        <w:rPr>
          <w:lang w:val="en-US" w:eastAsia="en-GB"/>
        </w:rPr>
        <w:t xml:space="preserve">ranked </w:t>
      </w:r>
      <w:r w:rsidR="008B4252" w:rsidRPr="00207C36">
        <w:rPr>
          <w:lang w:val="en-US" w:eastAsia="en-GB"/>
        </w:rPr>
        <w:t xml:space="preserve">from highest to lowest </w:t>
      </w:r>
      <w:r>
        <w:rPr>
          <w:lang w:val="en-US" w:eastAsia="en-GB"/>
        </w:rPr>
        <w:t>performance</w:t>
      </w:r>
      <w:r w:rsidR="00A069E2" w:rsidRPr="00207C36">
        <w:rPr>
          <w:lang w:val="en-US" w:eastAsia="en-GB"/>
        </w:rPr>
        <w:t xml:space="preserve">. </w:t>
      </w:r>
      <w:r w:rsidR="004E7FEA">
        <w:rPr>
          <w:lang w:val="en-US" w:eastAsia="en-GB"/>
        </w:rPr>
        <w:t xml:space="preserve">For this case, the maximum score a model can achieve is </w:t>
      </w:r>
      <w:r w:rsidR="004E7FEA">
        <w:rPr>
          <w:lang w:eastAsia="en-GB"/>
        </w:rPr>
        <w:t xml:space="preserve">1754, representing a victory against all other models. </w:t>
      </w:r>
      <w:r w:rsidR="00933458">
        <w:rPr>
          <w:lang w:val="en-US" w:eastAsia="en-GB"/>
        </w:rPr>
        <w:t>For reference, the models’ accuracy on the test dataset was also computed.</w:t>
      </w:r>
    </w:p>
    <w:p w14:paraId="3EF8465F" w14:textId="77777777" w:rsidR="000D2662" w:rsidRDefault="000D2662" w:rsidP="000D2662">
      <w:pPr>
        <w:pStyle w:val="Els-caption"/>
      </w:pPr>
      <w:bookmarkStart w:id="4" w:name="_Ref150528172"/>
      <w:r>
        <w:t xml:space="preserve">Table </w:t>
      </w:r>
      <w:r>
        <w:fldChar w:fldCharType="begin"/>
      </w:r>
      <w:r>
        <w:instrText xml:space="preserve"> SEQ Table \* ARABIC </w:instrText>
      </w:r>
      <w:r>
        <w:fldChar w:fldCharType="separate"/>
      </w:r>
      <w:r>
        <w:rPr>
          <w:noProof/>
        </w:rPr>
        <w:t>1</w:t>
      </w:r>
      <w:r>
        <w:fldChar w:fldCharType="end"/>
      </w:r>
      <w:bookmarkEnd w:id="4"/>
      <w:r>
        <w:t xml:space="preserve"> Summary of the data blocks and optimization levels considered in this study. </w:t>
      </w:r>
      <w:r w:rsidRPr="007F24E4">
        <w:rPr>
          <w:lang w:eastAsia="en-GB"/>
        </w:rPr>
        <w:t>The</w:t>
      </w:r>
      <w:r>
        <w:rPr>
          <w:lang w:eastAsia="en-GB"/>
        </w:rPr>
        <w:t xml:space="preserve"> model’s</w:t>
      </w:r>
      <w:r w:rsidRPr="007F24E4">
        <w:rPr>
          <w:lang w:eastAsia="en-GB"/>
        </w:rPr>
        <w:t xml:space="preserve"> nomenclature is as follows: {modeling methodology}-{</w:t>
      </w:r>
      <w:r>
        <w:rPr>
          <w:lang w:eastAsia="en-GB"/>
        </w:rPr>
        <w:t>data block</w:t>
      </w:r>
      <w:r w:rsidRPr="007F24E4">
        <w:rPr>
          <w:lang w:eastAsia="en-GB"/>
        </w:rPr>
        <w:t>}-{MIR preprocessing technique}-{NIR preprocessing technique}-{block scaling technique}.</w:t>
      </w:r>
    </w:p>
    <w:tbl>
      <w:tblPr>
        <w:tblStyle w:val="TabelacomGrelh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703"/>
        <w:gridCol w:w="1889"/>
        <w:gridCol w:w="1933"/>
      </w:tblGrid>
      <w:tr w:rsidR="000D2662" w:rsidRPr="00F54B28" w14:paraId="3ADDECFF" w14:textId="77777777" w:rsidTr="00832496">
        <w:tc>
          <w:tcPr>
            <w:tcW w:w="1101" w:type="pct"/>
            <w:vMerge w:val="restart"/>
            <w:tcBorders>
              <w:top w:val="single" w:sz="18" w:space="0" w:color="auto"/>
            </w:tcBorders>
            <w:vAlign w:val="center"/>
          </w:tcPr>
          <w:p w14:paraId="55B08E51" w14:textId="77777777" w:rsidR="000D2662" w:rsidRPr="0051381C" w:rsidRDefault="000D2662" w:rsidP="00832496">
            <w:pPr>
              <w:autoSpaceDE w:val="0"/>
              <w:autoSpaceDN w:val="0"/>
              <w:adjustRightInd w:val="0"/>
              <w:jc w:val="center"/>
              <w:rPr>
                <w:b/>
                <w:bCs/>
                <w:sz w:val="18"/>
                <w:szCs w:val="18"/>
                <w:lang w:val="en-US" w:eastAsia="en-GB"/>
              </w:rPr>
            </w:pPr>
            <w:r w:rsidRPr="0051381C">
              <w:rPr>
                <w:b/>
                <w:bCs/>
                <w:sz w:val="18"/>
                <w:szCs w:val="18"/>
                <w:lang w:val="en-US" w:eastAsia="en-GB"/>
              </w:rPr>
              <w:t>Data block</w:t>
            </w:r>
          </w:p>
        </w:tc>
        <w:tc>
          <w:tcPr>
            <w:tcW w:w="3899" w:type="pct"/>
            <w:gridSpan w:val="3"/>
            <w:tcBorders>
              <w:top w:val="single" w:sz="18" w:space="0" w:color="auto"/>
              <w:bottom w:val="single" w:sz="4" w:space="0" w:color="auto"/>
            </w:tcBorders>
            <w:vAlign w:val="center"/>
          </w:tcPr>
          <w:p w14:paraId="7150912A" w14:textId="77777777" w:rsidR="000D2662" w:rsidRPr="00C00333" w:rsidRDefault="000D2662" w:rsidP="00832496">
            <w:pPr>
              <w:autoSpaceDE w:val="0"/>
              <w:autoSpaceDN w:val="0"/>
              <w:adjustRightInd w:val="0"/>
              <w:jc w:val="center"/>
              <w:rPr>
                <w:b/>
                <w:bCs/>
                <w:sz w:val="18"/>
                <w:szCs w:val="18"/>
                <w:lang w:val="en-US" w:eastAsia="en-GB"/>
              </w:rPr>
            </w:pPr>
            <w:r>
              <w:rPr>
                <w:b/>
                <w:bCs/>
                <w:sz w:val="18"/>
                <w:szCs w:val="18"/>
                <w:lang w:val="en-US" w:eastAsia="en-GB"/>
              </w:rPr>
              <w:t>Optimization levels</w:t>
            </w:r>
          </w:p>
        </w:tc>
      </w:tr>
      <w:tr w:rsidR="000D2662" w:rsidRPr="00F54B28" w14:paraId="7067A58F" w14:textId="77777777" w:rsidTr="00832496">
        <w:tc>
          <w:tcPr>
            <w:tcW w:w="1101" w:type="pct"/>
            <w:vMerge/>
            <w:tcBorders>
              <w:bottom w:val="single" w:sz="18" w:space="0" w:color="auto"/>
            </w:tcBorders>
            <w:vAlign w:val="center"/>
          </w:tcPr>
          <w:p w14:paraId="6ED9CC53" w14:textId="77777777" w:rsidR="000D2662" w:rsidRPr="00B47924" w:rsidRDefault="000D2662" w:rsidP="00832496">
            <w:pPr>
              <w:autoSpaceDE w:val="0"/>
              <w:autoSpaceDN w:val="0"/>
              <w:adjustRightInd w:val="0"/>
              <w:jc w:val="center"/>
              <w:rPr>
                <w:b/>
                <w:bCs/>
                <w:sz w:val="18"/>
                <w:szCs w:val="18"/>
                <w:lang w:val="en-US" w:eastAsia="en-GB"/>
              </w:rPr>
            </w:pPr>
          </w:p>
        </w:tc>
        <w:tc>
          <w:tcPr>
            <w:tcW w:w="1202" w:type="pct"/>
            <w:tcBorders>
              <w:top w:val="single" w:sz="4" w:space="0" w:color="auto"/>
              <w:bottom w:val="single" w:sz="18" w:space="0" w:color="auto"/>
            </w:tcBorders>
            <w:vAlign w:val="center"/>
          </w:tcPr>
          <w:p w14:paraId="34807640" w14:textId="77777777" w:rsidR="000D2662" w:rsidRPr="00B47924" w:rsidRDefault="000D2662" w:rsidP="00832496">
            <w:pPr>
              <w:autoSpaceDE w:val="0"/>
              <w:autoSpaceDN w:val="0"/>
              <w:adjustRightInd w:val="0"/>
              <w:jc w:val="center"/>
              <w:rPr>
                <w:b/>
                <w:bCs/>
                <w:sz w:val="18"/>
                <w:szCs w:val="18"/>
                <w:lang w:val="en-US" w:eastAsia="en-GB"/>
              </w:rPr>
            </w:pPr>
            <w:r w:rsidRPr="00642ADD">
              <w:rPr>
                <w:b/>
                <w:bCs/>
                <w:sz w:val="18"/>
                <w:szCs w:val="18"/>
                <w:lang w:val="en-US" w:eastAsia="en-GB"/>
              </w:rPr>
              <w:t>Modeling methodology</w:t>
            </w:r>
          </w:p>
        </w:tc>
        <w:tc>
          <w:tcPr>
            <w:tcW w:w="1333" w:type="pct"/>
            <w:tcBorders>
              <w:top w:val="single" w:sz="4" w:space="0" w:color="auto"/>
              <w:bottom w:val="single" w:sz="18" w:space="0" w:color="auto"/>
            </w:tcBorders>
            <w:vAlign w:val="center"/>
          </w:tcPr>
          <w:p w14:paraId="3F4556E2" w14:textId="77777777" w:rsidR="000D2662" w:rsidRPr="00B47924" w:rsidRDefault="000D2662" w:rsidP="00832496">
            <w:pPr>
              <w:autoSpaceDE w:val="0"/>
              <w:autoSpaceDN w:val="0"/>
              <w:adjustRightInd w:val="0"/>
              <w:jc w:val="center"/>
              <w:rPr>
                <w:b/>
                <w:bCs/>
                <w:sz w:val="18"/>
                <w:szCs w:val="18"/>
                <w:lang w:val="en-US" w:eastAsia="en-GB"/>
              </w:rPr>
            </w:pPr>
            <w:r w:rsidRPr="00B47924">
              <w:rPr>
                <w:b/>
                <w:bCs/>
                <w:sz w:val="18"/>
                <w:szCs w:val="18"/>
                <w:lang w:val="en-US" w:eastAsia="en-GB"/>
              </w:rPr>
              <w:t>Spectral preprocessing</w:t>
            </w:r>
          </w:p>
        </w:tc>
        <w:tc>
          <w:tcPr>
            <w:tcW w:w="1364" w:type="pct"/>
            <w:tcBorders>
              <w:top w:val="single" w:sz="4" w:space="0" w:color="auto"/>
              <w:bottom w:val="single" w:sz="18" w:space="0" w:color="auto"/>
            </w:tcBorders>
            <w:vAlign w:val="center"/>
          </w:tcPr>
          <w:p w14:paraId="6222E993" w14:textId="77777777" w:rsidR="000D2662" w:rsidRPr="00B47924" w:rsidRDefault="000D2662" w:rsidP="00832496">
            <w:pPr>
              <w:autoSpaceDE w:val="0"/>
              <w:autoSpaceDN w:val="0"/>
              <w:adjustRightInd w:val="0"/>
              <w:jc w:val="center"/>
              <w:rPr>
                <w:b/>
                <w:bCs/>
                <w:sz w:val="18"/>
                <w:szCs w:val="18"/>
                <w:lang w:val="en-US" w:eastAsia="en-GB"/>
              </w:rPr>
            </w:pPr>
            <w:r w:rsidRPr="00B47924">
              <w:rPr>
                <w:b/>
                <w:bCs/>
                <w:sz w:val="18"/>
                <w:szCs w:val="18"/>
                <w:lang w:val="en-US" w:eastAsia="en-GB"/>
              </w:rPr>
              <w:t>Block scaling</w:t>
            </w:r>
          </w:p>
        </w:tc>
      </w:tr>
      <w:tr w:rsidR="000D2662" w:rsidRPr="00F54B28" w14:paraId="26E6034C" w14:textId="77777777" w:rsidTr="00832496">
        <w:tc>
          <w:tcPr>
            <w:tcW w:w="1101" w:type="pct"/>
            <w:tcBorders>
              <w:top w:val="single" w:sz="18" w:space="0" w:color="auto"/>
            </w:tcBorders>
          </w:tcPr>
          <w:p w14:paraId="53475423" w14:textId="77777777" w:rsidR="000D2662" w:rsidRPr="00944088" w:rsidRDefault="000D2662" w:rsidP="00832496">
            <w:pPr>
              <w:autoSpaceDE w:val="0"/>
              <w:autoSpaceDN w:val="0"/>
              <w:adjustRightInd w:val="0"/>
              <w:rPr>
                <w:sz w:val="18"/>
                <w:szCs w:val="18"/>
                <w:lang w:val="en-US" w:eastAsia="en-GB"/>
              </w:rPr>
            </w:pPr>
            <w:r w:rsidRPr="0051381C">
              <w:rPr>
                <w:sz w:val="18"/>
                <w:szCs w:val="18"/>
                <w:lang w:val="en-US" w:eastAsia="en-GB"/>
              </w:rPr>
              <w:t>Only MIR [A]</w:t>
            </w:r>
          </w:p>
        </w:tc>
        <w:tc>
          <w:tcPr>
            <w:tcW w:w="1202" w:type="pct"/>
            <w:tcBorders>
              <w:top w:val="single" w:sz="18" w:space="0" w:color="auto"/>
            </w:tcBorders>
          </w:tcPr>
          <w:p w14:paraId="72739FD9" w14:textId="77777777" w:rsidR="000D2662" w:rsidRPr="00944088" w:rsidRDefault="000D2662" w:rsidP="00832496">
            <w:pPr>
              <w:autoSpaceDE w:val="0"/>
              <w:autoSpaceDN w:val="0"/>
              <w:adjustRightInd w:val="0"/>
              <w:rPr>
                <w:sz w:val="18"/>
                <w:szCs w:val="18"/>
                <w:lang w:val="en-US" w:eastAsia="en-GB"/>
              </w:rPr>
            </w:pPr>
            <w:r w:rsidRPr="00642ADD">
              <w:rPr>
                <w:sz w:val="18"/>
                <w:szCs w:val="18"/>
                <w:lang w:val="en-US" w:eastAsia="en-GB"/>
              </w:rPr>
              <w:t>PLS [P]</w:t>
            </w:r>
          </w:p>
        </w:tc>
        <w:tc>
          <w:tcPr>
            <w:tcW w:w="1333" w:type="pct"/>
            <w:tcBorders>
              <w:top w:val="single" w:sz="18" w:space="0" w:color="auto"/>
            </w:tcBorders>
          </w:tcPr>
          <w:p w14:paraId="58C83F91"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 xml:space="preserve">Not </w:t>
            </w:r>
            <w:r>
              <w:rPr>
                <w:sz w:val="18"/>
                <w:szCs w:val="18"/>
                <w:lang w:val="en-US" w:eastAsia="en-GB"/>
              </w:rPr>
              <w:t>used</w:t>
            </w:r>
            <w:r w:rsidRPr="00944088">
              <w:rPr>
                <w:sz w:val="18"/>
                <w:szCs w:val="18"/>
                <w:lang w:val="en-US" w:eastAsia="en-GB"/>
              </w:rPr>
              <w:t xml:space="preserve"> [0]</w:t>
            </w:r>
          </w:p>
        </w:tc>
        <w:tc>
          <w:tcPr>
            <w:tcW w:w="1364" w:type="pct"/>
            <w:tcBorders>
              <w:top w:val="single" w:sz="18" w:space="0" w:color="auto"/>
            </w:tcBorders>
          </w:tcPr>
          <w:p w14:paraId="153B818F"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Not used [0]</w:t>
            </w:r>
          </w:p>
        </w:tc>
      </w:tr>
      <w:tr w:rsidR="000D2662" w:rsidRPr="00F54B28" w14:paraId="442D88D5" w14:textId="77777777" w:rsidTr="00832496">
        <w:tc>
          <w:tcPr>
            <w:tcW w:w="1101" w:type="pct"/>
          </w:tcPr>
          <w:p w14:paraId="611944DD" w14:textId="77777777" w:rsidR="000D2662" w:rsidRPr="00944088" w:rsidRDefault="000D2662" w:rsidP="00832496">
            <w:pPr>
              <w:autoSpaceDE w:val="0"/>
              <w:autoSpaceDN w:val="0"/>
              <w:adjustRightInd w:val="0"/>
              <w:rPr>
                <w:sz w:val="18"/>
                <w:szCs w:val="18"/>
                <w:lang w:val="en-US" w:eastAsia="en-GB"/>
              </w:rPr>
            </w:pPr>
            <w:r w:rsidRPr="0051381C">
              <w:rPr>
                <w:sz w:val="18"/>
                <w:szCs w:val="18"/>
                <w:lang w:val="en-US" w:eastAsia="en-GB"/>
              </w:rPr>
              <w:t>Only NIR [B]</w:t>
            </w:r>
          </w:p>
        </w:tc>
        <w:tc>
          <w:tcPr>
            <w:tcW w:w="1202" w:type="pct"/>
          </w:tcPr>
          <w:p w14:paraId="2173AC5A" w14:textId="77777777" w:rsidR="000D2662" w:rsidRPr="00944088" w:rsidRDefault="000D2662" w:rsidP="00832496">
            <w:pPr>
              <w:autoSpaceDE w:val="0"/>
              <w:autoSpaceDN w:val="0"/>
              <w:adjustRightInd w:val="0"/>
              <w:rPr>
                <w:sz w:val="18"/>
                <w:szCs w:val="18"/>
                <w:lang w:val="en-US" w:eastAsia="en-GB"/>
              </w:rPr>
            </w:pPr>
            <w:proofErr w:type="spellStart"/>
            <w:r w:rsidRPr="00642ADD">
              <w:rPr>
                <w:sz w:val="18"/>
                <w:szCs w:val="18"/>
                <w:lang w:val="en-US" w:eastAsia="en-GB"/>
              </w:rPr>
              <w:t>FiPLS</w:t>
            </w:r>
            <w:proofErr w:type="spellEnd"/>
            <w:r w:rsidRPr="00642ADD">
              <w:rPr>
                <w:sz w:val="18"/>
                <w:szCs w:val="18"/>
                <w:lang w:val="en-US" w:eastAsia="en-GB"/>
              </w:rPr>
              <w:t xml:space="preserve"> [F]</w:t>
            </w:r>
          </w:p>
        </w:tc>
        <w:tc>
          <w:tcPr>
            <w:tcW w:w="1333" w:type="pct"/>
          </w:tcPr>
          <w:p w14:paraId="6DA7B8E8"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Mean centering [1]</w:t>
            </w:r>
          </w:p>
        </w:tc>
        <w:tc>
          <w:tcPr>
            <w:tcW w:w="1364" w:type="pct"/>
          </w:tcPr>
          <w:p w14:paraId="566D8FAB"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No Scaling [I]</w:t>
            </w:r>
          </w:p>
        </w:tc>
      </w:tr>
      <w:tr w:rsidR="000D2662" w:rsidRPr="00F54B28" w14:paraId="113BB5F2" w14:textId="77777777" w:rsidTr="00832496">
        <w:tc>
          <w:tcPr>
            <w:tcW w:w="1101" w:type="pct"/>
          </w:tcPr>
          <w:p w14:paraId="21E73AEF" w14:textId="77777777" w:rsidR="000D2662" w:rsidRPr="00944088" w:rsidRDefault="000D2662" w:rsidP="00832496">
            <w:pPr>
              <w:autoSpaceDE w:val="0"/>
              <w:autoSpaceDN w:val="0"/>
              <w:adjustRightInd w:val="0"/>
              <w:rPr>
                <w:sz w:val="18"/>
                <w:szCs w:val="18"/>
                <w:lang w:val="en-US" w:eastAsia="en-GB"/>
              </w:rPr>
            </w:pPr>
            <w:r w:rsidRPr="0051381C">
              <w:rPr>
                <w:sz w:val="18"/>
                <w:szCs w:val="18"/>
                <w:lang w:val="en-US" w:eastAsia="en-GB"/>
              </w:rPr>
              <w:t>MIR&amp;NIR [C] *</w:t>
            </w:r>
          </w:p>
        </w:tc>
        <w:tc>
          <w:tcPr>
            <w:tcW w:w="1202" w:type="pct"/>
          </w:tcPr>
          <w:p w14:paraId="3ECC9759" w14:textId="77777777" w:rsidR="000D2662" w:rsidRPr="00944088" w:rsidRDefault="000D2662" w:rsidP="00832496">
            <w:pPr>
              <w:autoSpaceDE w:val="0"/>
              <w:autoSpaceDN w:val="0"/>
              <w:adjustRightInd w:val="0"/>
              <w:rPr>
                <w:sz w:val="18"/>
                <w:szCs w:val="18"/>
                <w:lang w:val="en-US" w:eastAsia="en-GB"/>
              </w:rPr>
            </w:pPr>
            <w:proofErr w:type="spellStart"/>
            <w:r w:rsidRPr="00642ADD">
              <w:rPr>
                <w:sz w:val="18"/>
                <w:szCs w:val="18"/>
                <w:lang w:val="en-US" w:eastAsia="en-GB"/>
              </w:rPr>
              <w:t>BiPLS</w:t>
            </w:r>
            <w:proofErr w:type="spellEnd"/>
            <w:r w:rsidRPr="00642ADD">
              <w:rPr>
                <w:sz w:val="18"/>
                <w:szCs w:val="18"/>
                <w:lang w:val="en-US" w:eastAsia="en-GB"/>
              </w:rPr>
              <w:t xml:space="preserve"> [B]</w:t>
            </w:r>
          </w:p>
        </w:tc>
        <w:tc>
          <w:tcPr>
            <w:tcW w:w="1333" w:type="pct"/>
          </w:tcPr>
          <w:p w14:paraId="49D717D5"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SNV [2]</w:t>
            </w:r>
          </w:p>
        </w:tc>
        <w:tc>
          <w:tcPr>
            <w:tcW w:w="1364" w:type="pct"/>
          </w:tcPr>
          <w:p w14:paraId="5BBA32CC"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Soft</w:t>
            </w:r>
            <w:r>
              <w:rPr>
                <w:sz w:val="18"/>
                <w:szCs w:val="18"/>
                <w:lang w:val="en-US" w:eastAsia="en-GB"/>
              </w:rPr>
              <w:t xml:space="preserve"> </w:t>
            </w:r>
            <w:r w:rsidRPr="00944088">
              <w:rPr>
                <w:sz w:val="18"/>
                <w:szCs w:val="18"/>
                <w:lang w:val="en-US" w:eastAsia="en-GB"/>
              </w:rPr>
              <w:t>BS</w:t>
            </w:r>
            <w:r>
              <w:rPr>
                <w:sz w:val="18"/>
                <w:szCs w:val="18"/>
                <w:lang w:val="en-US" w:eastAsia="en-GB"/>
              </w:rPr>
              <w:t xml:space="preserve"> </w:t>
            </w:r>
            <w:r w:rsidRPr="00944088">
              <w:rPr>
                <w:sz w:val="18"/>
                <w:szCs w:val="18"/>
                <w:lang w:val="en-US" w:eastAsia="en-GB"/>
              </w:rPr>
              <w:t>[II]</w:t>
            </w:r>
          </w:p>
        </w:tc>
      </w:tr>
      <w:tr w:rsidR="000D2662" w:rsidRPr="00F54B28" w14:paraId="745FD404" w14:textId="77777777" w:rsidTr="00832496">
        <w:tc>
          <w:tcPr>
            <w:tcW w:w="1101" w:type="pct"/>
          </w:tcPr>
          <w:p w14:paraId="3ABFC5BA" w14:textId="77777777" w:rsidR="000D2662" w:rsidRPr="00944088" w:rsidRDefault="000D2662" w:rsidP="00832496">
            <w:pPr>
              <w:autoSpaceDE w:val="0"/>
              <w:autoSpaceDN w:val="0"/>
              <w:adjustRightInd w:val="0"/>
              <w:rPr>
                <w:sz w:val="18"/>
                <w:szCs w:val="18"/>
                <w:lang w:val="en-US" w:eastAsia="en-GB"/>
              </w:rPr>
            </w:pPr>
          </w:p>
        </w:tc>
        <w:tc>
          <w:tcPr>
            <w:tcW w:w="1202" w:type="pct"/>
          </w:tcPr>
          <w:p w14:paraId="6A114EFA" w14:textId="77777777" w:rsidR="000D2662" w:rsidRPr="00944088" w:rsidRDefault="000D2662" w:rsidP="00832496">
            <w:pPr>
              <w:autoSpaceDE w:val="0"/>
              <w:autoSpaceDN w:val="0"/>
              <w:adjustRightInd w:val="0"/>
              <w:rPr>
                <w:sz w:val="18"/>
                <w:szCs w:val="18"/>
                <w:lang w:val="en-US" w:eastAsia="en-GB"/>
              </w:rPr>
            </w:pPr>
          </w:p>
        </w:tc>
        <w:tc>
          <w:tcPr>
            <w:tcW w:w="1333" w:type="pct"/>
          </w:tcPr>
          <w:p w14:paraId="350FC7EE"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MSC [3]</w:t>
            </w:r>
          </w:p>
        </w:tc>
        <w:tc>
          <w:tcPr>
            <w:tcW w:w="1364" w:type="pct"/>
          </w:tcPr>
          <w:p w14:paraId="3975B9A5"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Hard BS</w:t>
            </w:r>
            <w:r>
              <w:rPr>
                <w:sz w:val="18"/>
                <w:szCs w:val="18"/>
                <w:lang w:val="en-US" w:eastAsia="en-GB"/>
              </w:rPr>
              <w:t xml:space="preserve"> </w:t>
            </w:r>
            <w:r w:rsidRPr="00944088">
              <w:rPr>
                <w:sz w:val="18"/>
                <w:szCs w:val="18"/>
                <w:lang w:val="en-US" w:eastAsia="en-GB"/>
              </w:rPr>
              <w:t>[III]</w:t>
            </w:r>
          </w:p>
        </w:tc>
      </w:tr>
      <w:tr w:rsidR="000D2662" w:rsidRPr="00F54B28" w14:paraId="1D56EA21" w14:textId="77777777" w:rsidTr="00832496">
        <w:tc>
          <w:tcPr>
            <w:tcW w:w="1101" w:type="pct"/>
          </w:tcPr>
          <w:p w14:paraId="1B559EEF" w14:textId="77777777" w:rsidR="000D2662" w:rsidRPr="00944088" w:rsidRDefault="000D2662" w:rsidP="00832496">
            <w:pPr>
              <w:autoSpaceDE w:val="0"/>
              <w:autoSpaceDN w:val="0"/>
              <w:adjustRightInd w:val="0"/>
              <w:rPr>
                <w:sz w:val="18"/>
                <w:szCs w:val="18"/>
                <w:lang w:val="en-US" w:eastAsia="en-GB"/>
              </w:rPr>
            </w:pPr>
          </w:p>
        </w:tc>
        <w:tc>
          <w:tcPr>
            <w:tcW w:w="1202" w:type="pct"/>
          </w:tcPr>
          <w:p w14:paraId="3EBEE581" w14:textId="77777777" w:rsidR="000D2662" w:rsidRPr="00944088" w:rsidRDefault="000D2662" w:rsidP="00832496">
            <w:pPr>
              <w:autoSpaceDE w:val="0"/>
              <w:autoSpaceDN w:val="0"/>
              <w:adjustRightInd w:val="0"/>
              <w:rPr>
                <w:sz w:val="18"/>
                <w:szCs w:val="18"/>
                <w:lang w:val="en-US" w:eastAsia="en-GB"/>
              </w:rPr>
            </w:pPr>
          </w:p>
        </w:tc>
        <w:tc>
          <w:tcPr>
            <w:tcW w:w="1333" w:type="pct"/>
          </w:tcPr>
          <w:p w14:paraId="3C7765EC"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SGD-1-7-2 [4]</w:t>
            </w:r>
          </w:p>
        </w:tc>
        <w:tc>
          <w:tcPr>
            <w:tcW w:w="1364" w:type="pct"/>
          </w:tcPr>
          <w:p w14:paraId="4B8DE354"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Super Hard BS [IV]</w:t>
            </w:r>
          </w:p>
        </w:tc>
      </w:tr>
      <w:tr w:rsidR="000D2662" w:rsidRPr="00F54B28" w14:paraId="2A58A3CA" w14:textId="77777777" w:rsidTr="00832496">
        <w:tc>
          <w:tcPr>
            <w:tcW w:w="1101" w:type="pct"/>
          </w:tcPr>
          <w:p w14:paraId="2A60BAF2" w14:textId="77777777" w:rsidR="000D2662" w:rsidRPr="00944088" w:rsidRDefault="000D2662" w:rsidP="00832496">
            <w:pPr>
              <w:autoSpaceDE w:val="0"/>
              <w:autoSpaceDN w:val="0"/>
              <w:adjustRightInd w:val="0"/>
              <w:rPr>
                <w:sz w:val="18"/>
                <w:szCs w:val="18"/>
                <w:lang w:val="en-US" w:eastAsia="en-GB"/>
              </w:rPr>
            </w:pPr>
          </w:p>
        </w:tc>
        <w:tc>
          <w:tcPr>
            <w:tcW w:w="1202" w:type="pct"/>
          </w:tcPr>
          <w:p w14:paraId="5BF0B047" w14:textId="77777777" w:rsidR="000D2662" w:rsidRPr="00944088" w:rsidRDefault="000D2662" w:rsidP="00832496">
            <w:pPr>
              <w:autoSpaceDE w:val="0"/>
              <w:autoSpaceDN w:val="0"/>
              <w:adjustRightInd w:val="0"/>
              <w:rPr>
                <w:sz w:val="18"/>
                <w:szCs w:val="18"/>
                <w:lang w:val="en-US" w:eastAsia="en-GB"/>
              </w:rPr>
            </w:pPr>
          </w:p>
        </w:tc>
        <w:tc>
          <w:tcPr>
            <w:tcW w:w="1333" w:type="pct"/>
          </w:tcPr>
          <w:p w14:paraId="3BA76FE1"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SGD</w:t>
            </w:r>
            <w:r>
              <w:rPr>
                <w:sz w:val="18"/>
                <w:szCs w:val="18"/>
                <w:lang w:val="en-US" w:eastAsia="en-GB"/>
              </w:rPr>
              <w:t>-</w:t>
            </w:r>
            <w:r w:rsidRPr="00944088">
              <w:rPr>
                <w:sz w:val="18"/>
                <w:szCs w:val="18"/>
                <w:lang w:val="en-US" w:eastAsia="en-GB"/>
              </w:rPr>
              <w:t>1-15-2 [5]</w:t>
            </w:r>
          </w:p>
        </w:tc>
        <w:tc>
          <w:tcPr>
            <w:tcW w:w="1364" w:type="pct"/>
          </w:tcPr>
          <w:p w14:paraId="217BEDA5"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Soft BVS [V]</w:t>
            </w:r>
          </w:p>
        </w:tc>
      </w:tr>
      <w:tr w:rsidR="000D2662" w:rsidRPr="00F54B28" w14:paraId="78576D63" w14:textId="77777777" w:rsidTr="00832496">
        <w:tc>
          <w:tcPr>
            <w:tcW w:w="1101" w:type="pct"/>
          </w:tcPr>
          <w:p w14:paraId="259055D9" w14:textId="77777777" w:rsidR="000D2662" w:rsidRPr="00944088" w:rsidRDefault="000D2662" w:rsidP="00832496">
            <w:pPr>
              <w:autoSpaceDE w:val="0"/>
              <w:autoSpaceDN w:val="0"/>
              <w:adjustRightInd w:val="0"/>
              <w:rPr>
                <w:sz w:val="18"/>
                <w:szCs w:val="18"/>
                <w:lang w:val="en-US" w:eastAsia="en-GB"/>
              </w:rPr>
            </w:pPr>
          </w:p>
        </w:tc>
        <w:tc>
          <w:tcPr>
            <w:tcW w:w="1202" w:type="pct"/>
          </w:tcPr>
          <w:p w14:paraId="2D3A3B07" w14:textId="77777777" w:rsidR="000D2662" w:rsidRPr="00944088" w:rsidRDefault="000D2662" w:rsidP="00832496">
            <w:pPr>
              <w:autoSpaceDE w:val="0"/>
              <w:autoSpaceDN w:val="0"/>
              <w:adjustRightInd w:val="0"/>
              <w:rPr>
                <w:sz w:val="18"/>
                <w:szCs w:val="18"/>
                <w:lang w:val="en-US" w:eastAsia="en-GB"/>
              </w:rPr>
            </w:pPr>
          </w:p>
        </w:tc>
        <w:tc>
          <w:tcPr>
            <w:tcW w:w="1333" w:type="pct"/>
          </w:tcPr>
          <w:p w14:paraId="2DF7432D"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SGD</w:t>
            </w:r>
            <w:r>
              <w:rPr>
                <w:sz w:val="18"/>
                <w:szCs w:val="18"/>
                <w:lang w:val="en-US" w:eastAsia="en-GB"/>
              </w:rPr>
              <w:t>-</w:t>
            </w:r>
            <w:r w:rsidRPr="00944088">
              <w:rPr>
                <w:sz w:val="18"/>
                <w:szCs w:val="18"/>
                <w:lang w:val="en-US" w:eastAsia="en-GB"/>
              </w:rPr>
              <w:t>2-9-2 [6]</w:t>
            </w:r>
          </w:p>
        </w:tc>
        <w:tc>
          <w:tcPr>
            <w:tcW w:w="1364" w:type="pct"/>
          </w:tcPr>
          <w:p w14:paraId="01D8E1B4"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Hard BVS [VI]</w:t>
            </w:r>
          </w:p>
        </w:tc>
      </w:tr>
      <w:tr w:rsidR="000D2662" w:rsidRPr="00F54B28" w14:paraId="0A367662" w14:textId="77777777" w:rsidTr="00832496">
        <w:tc>
          <w:tcPr>
            <w:tcW w:w="1101" w:type="pct"/>
          </w:tcPr>
          <w:p w14:paraId="4D0C553E" w14:textId="77777777" w:rsidR="000D2662" w:rsidRPr="00944088" w:rsidRDefault="000D2662" w:rsidP="00832496">
            <w:pPr>
              <w:autoSpaceDE w:val="0"/>
              <w:autoSpaceDN w:val="0"/>
              <w:adjustRightInd w:val="0"/>
              <w:rPr>
                <w:sz w:val="18"/>
                <w:szCs w:val="18"/>
                <w:lang w:val="en-US" w:eastAsia="en-GB"/>
              </w:rPr>
            </w:pPr>
          </w:p>
        </w:tc>
        <w:tc>
          <w:tcPr>
            <w:tcW w:w="1202" w:type="pct"/>
          </w:tcPr>
          <w:p w14:paraId="6D2F1A0A" w14:textId="77777777" w:rsidR="000D2662" w:rsidRPr="00944088" w:rsidRDefault="000D2662" w:rsidP="00832496">
            <w:pPr>
              <w:autoSpaceDE w:val="0"/>
              <w:autoSpaceDN w:val="0"/>
              <w:adjustRightInd w:val="0"/>
              <w:rPr>
                <w:sz w:val="18"/>
                <w:szCs w:val="18"/>
                <w:lang w:val="en-US" w:eastAsia="en-GB"/>
              </w:rPr>
            </w:pPr>
          </w:p>
        </w:tc>
        <w:tc>
          <w:tcPr>
            <w:tcW w:w="1333" w:type="pct"/>
          </w:tcPr>
          <w:p w14:paraId="4306EEC3"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SNV-SGD-1-7-2 [7]</w:t>
            </w:r>
          </w:p>
        </w:tc>
        <w:tc>
          <w:tcPr>
            <w:tcW w:w="1364" w:type="pct"/>
          </w:tcPr>
          <w:p w14:paraId="7C0295B7"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Super Hard BVS [VII]</w:t>
            </w:r>
          </w:p>
        </w:tc>
      </w:tr>
      <w:tr w:rsidR="000D2662" w:rsidRPr="00F54B28" w14:paraId="29A05C1D" w14:textId="77777777" w:rsidTr="00832496">
        <w:tc>
          <w:tcPr>
            <w:tcW w:w="1101" w:type="pct"/>
          </w:tcPr>
          <w:p w14:paraId="66684C77" w14:textId="77777777" w:rsidR="000D2662" w:rsidRPr="00944088" w:rsidRDefault="000D2662" w:rsidP="00832496">
            <w:pPr>
              <w:autoSpaceDE w:val="0"/>
              <w:autoSpaceDN w:val="0"/>
              <w:adjustRightInd w:val="0"/>
              <w:rPr>
                <w:sz w:val="18"/>
                <w:szCs w:val="18"/>
                <w:lang w:val="en-US" w:eastAsia="en-GB"/>
              </w:rPr>
            </w:pPr>
          </w:p>
        </w:tc>
        <w:tc>
          <w:tcPr>
            <w:tcW w:w="1202" w:type="pct"/>
          </w:tcPr>
          <w:p w14:paraId="4A4A5A48" w14:textId="77777777" w:rsidR="000D2662" w:rsidRPr="00944088" w:rsidRDefault="000D2662" w:rsidP="00832496">
            <w:pPr>
              <w:autoSpaceDE w:val="0"/>
              <w:autoSpaceDN w:val="0"/>
              <w:adjustRightInd w:val="0"/>
              <w:rPr>
                <w:sz w:val="18"/>
                <w:szCs w:val="18"/>
                <w:lang w:val="en-US" w:eastAsia="en-GB"/>
              </w:rPr>
            </w:pPr>
          </w:p>
        </w:tc>
        <w:tc>
          <w:tcPr>
            <w:tcW w:w="1333" w:type="pct"/>
          </w:tcPr>
          <w:p w14:paraId="217648F6"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SNV-SGD 1-15-2 [8]</w:t>
            </w:r>
          </w:p>
        </w:tc>
        <w:tc>
          <w:tcPr>
            <w:tcW w:w="1364" w:type="pct"/>
          </w:tcPr>
          <w:p w14:paraId="51D9BFCF" w14:textId="77777777" w:rsidR="000D2662" w:rsidRPr="00944088" w:rsidRDefault="000D2662" w:rsidP="00832496">
            <w:pPr>
              <w:autoSpaceDE w:val="0"/>
              <w:autoSpaceDN w:val="0"/>
              <w:adjustRightInd w:val="0"/>
              <w:rPr>
                <w:sz w:val="18"/>
                <w:szCs w:val="18"/>
                <w:lang w:val="en-US" w:eastAsia="en-GB"/>
              </w:rPr>
            </w:pPr>
          </w:p>
        </w:tc>
      </w:tr>
      <w:tr w:rsidR="000D2662" w:rsidRPr="00F54B28" w14:paraId="6F0763B4" w14:textId="77777777" w:rsidTr="00832496">
        <w:tc>
          <w:tcPr>
            <w:tcW w:w="1101" w:type="pct"/>
            <w:tcBorders>
              <w:bottom w:val="single" w:sz="18" w:space="0" w:color="auto"/>
            </w:tcBorders>
          </w:tcPr>
          <w:p w14:paraId="07FA9E4E" w14:textId="77777777" w:rsidR="000D2662" w:rsidRPr="00944088" w:rsidRDefault="000D2662" w:rsidP="00832496">
            <w:pPr>
              <w:autoSpaceDE w:val="0"/>
              <w:autoSpaceDN w:val="0"/>
              <w:adjustRightInd w:val="0"/>
              <w:rPr>
                <w:sz w:val="18"/>
                <w:szCs w:val="18"/>
                <w:lang w:val="en-US" w:eastAsia="en-GB"/>
              </w:rPr>
            </w:pPr>
          </w:p>
        </w:tc>
        <w:tc>
          <w:tcPr>
            <w:tcW w:w="1202" w:type="pct"/>
            <w:tcBorders>
              <w:bottom w:val="single" w:sz="18" w:space="0" w:color="auto"/>
            </w:tcBorders>
          </w:tcPr>
          <w:p w14:paraId="3497BAAD" w14:textId="77777777" w:rsidR="000D2662" w:rsidRPr="00944088" w:rsidRDefault="000D2662" w:rsidP="00832496">
            <w:pPr>
              <w:autoSpaceDE w:val="0"/>
              <w:autoSpaceDN w:val="0"/>
              <w:adjustRightInd w:val="0"/>
              <w:rPr>
                <w:sz w:val="18"/>
                <w:szCs w:val="18"/>
                <w:lang w:val="en-US" w:eastAsia="en-GB"/>
              </w:rPr>
            </w:pPr>
          </w:p>
        </w:tc>
        <w:tc>
          <w:tcPr>
            <w:tcW w:w="1333" w:type="pct"/>
            <w:tcBorders>
              <w:bottom w:val="single" w:sz="18" w:space="0" w:color="auto"/>
            </w:tcBorders>
          </w:tcPr>
          <w:p w14:paraId="3BE15C5C" w14:textId="77777777" w:rsidR="000D2662" w:rsidRPr="00944088" w:rsidRDefault="000D2662" w:rsidP="00832496">
            <w:pPr>
              <w:autoSpaceDE w:val="0"/>
              <w:autoSpaceDN w:val="0"/>
              <w:adjustRightInd w:val="0"/>
              <w:rPr>
                <w:sz w:val="18"/>
                <w:szCs w:val="18"/>
                <w:lang w:val="en-US" w:eastAsia="en-GB"/>
              </w:rPr>
            </w:pPr>
            <w:r w:rsidRPr="00944088">
              <w:rPr>
                <w:sz w:val="18"/>
                <w:szCs w:val="18"/>
                <w:lang w:val="en-US" w:eastAsia="en-GB"/>
              </w:rPr>
              <w:t>SNV-SGD 2-9-2 [9]</w:t>
            </w:r>
          </w:p>
        </w:tc>
        <w:tc>
          <w:tcPr>
            <w:tcW w:w="1364" w:type="pct"/>
            <w:tcBorders>
              <w:bottom w:val="single" w:sz="18" w:space="0" w:color="auto"/>
            </w:tcBorders>
          </w:tcPr>
          <w:p w14:paraId="4FA10346" w14:textId="77777777" w:rsidR="000D2662" w:rsidRPr="00944088" w:rsidRDefault="000D2662" w:rsidP="00832496">
            <w:pPr>
              <w:autoSpaceDE w:val="0"/>
              <w:autoSpaceDN w:val="0"/>
              <w:adjustRightInd w:val="0"/>
              <w:rPr>
                <w:sz w:val="18"/>
                <w:szCs w:val="18"/>
                <w:lang w:val="en-US" w:eastAsia="en-GB"/>
              </w:rPr>
            </w:pPr>
          </w:p>
        </w:tc>
      </w:tr>
      <w:tr w:rsidR="000D2662" w:rsidRPr="00F54B28" w14:paraId="60C5BF8A" w14:textId="77777777" w:rsidTr="00832496">
        <w:tc>
          <w:tcPr>
            <w:tcW w:w="5000" w:type="pct"/>
            <w:gridSpan w:val="4"/>
            <w:tcBorders>
              <w:top w:val="single" w:sz="18" w:space="0" w:color="auto"/>
            </w:tcBorders>
          </w:tcPr>
          <w:p w14:paraId="0988D0FA" w14:textId="2A2BE643" w:rsidR="000D2662" w:rsidRPr="00F54B28" w:rsidRDefault="000D2662" w:rsidP="00832496">
            <w:pPr>
              <w:autoSpaceDE w:val="0"/>
              <w:autoSpaceDN w:val="0"/>
              <w:adjustRightInd w:val="0"/>
              <w:spacing w:after="240"/>
              <w:rPr>
                <w:rFonts w:ascii="TimesNewRomanPSMT" w:hAnsi="TimesNewRomanPSMT" w:cs="TimesNewRomanPSMT"/>
                <w:lang w:val="en-US" w:eastAsia="en-GB"/>
              </w:rPr>
            </w:pPr>
            <w:r w:rsidRPr="000D11B1">
              <w:rPr>
                <w:rFonts w:ascii="TimesNewRomanPSMT" w:hAnsi="TimesNewRomanPSMT" w:cs="TimesNewRomanPSMT"/>
                <w:sz w:val="16"/>
                <w:szCs w:val="16"/>
                <w:lang w:val="en-US" w:eastAsia="en-GB"/>
              </w:rPr>
              <w:t>* The model is free to select between both data b</w:t>
            </w:r>
            <w:r w:rsidR="00415C01">
              <w:rPr>
                <w:rFonts w:ascii="TimesNewRomanPSMT" w:hAnsi="TimesNewRomanPSMT" w:cs="TimesNewRomanPSMT"/>
                <w:sz w:val="16"/>
                <w:szCs w:val="16"/>
                <w:lang w:val="en-US" w:eastAsia="en-GB"/>
              </w:rPr>
              <w:t>l</w:t>
            </w:r>
            <w:r w:rsidRPr="000D11B1">
              <w:rPr>
                <w:rFonts w:ascii="TimesNewRomanPSMT" w:hAnsi="TimesNewRomanPSMT" w:cs="TimesNewRomanPSMT"/>
                <w:sz w:val="16"/>
                <w:szCs w:val="16"/>
                <w:lang w:val="en-US" w:eastAsia="en-GB"/>
              </w:rPr>
              <w:t xml:space="preserve">ocks. Depending on </w:t>
            </w:r>
            <w:r>
              <w:rPr>
                <w:rFonts w:ascii="TimesNewRomanPSMT" w:hAnsi="TimesNewRomanPSMT" w:cs="TimesNewRomanPSMT"/>
                <w:sz w:val="16"/>
                <w:szCs w:val="16"/>
                <w:lang w:val="en-US" w:eastAsia="en-GB"/>
              </w:rPr>
              <w:t xml:space="preserve">the </w:t>
            </w:r>
            <w:r w:rsidRPr="000D11B1">
              <w:rPr>
                <w:rFonts w:ascii="TimesNewRomanPSMT" w:hAnsi="TimesNewRomanPSMT" w:cs="TimesNewRomanPSMT"/>
                <w:sz w:val="16"/>
                <w:szCs w:val="16"/>
                <w:lang w:val="en-US" w:eastAsia="en-GB"/>
              </w:rPr>
              <w:t>interval</w:t>
            </w:r>
            <w:r>
              <w:rPr>
                <w:rFonts w:ascii="TimesNewRomanPSMT" w:hAnsi="TimesNewRomanPSMT" w:cs="TimesNewRomanPSMT"/>
                <w:sz w:val="16"/>
                <w:szCs w:val="16"/>
                <w:lang w:val="en-US" w:eastAsia="en-GB"/>
              </w:rPr>
              <w:t>s</w:t>
            </w:r>
            <w:r w:rsidRPr="000D11B1">
              <w:rPr>
                <w:rFonts w:ascii="TimesNewRomanPSMT" w:hAnsi="TimesNewRomanPSMT" w:cs="TimesNewRomanPSMT"/>
                <w:sz w:val="16"/>
                <w:szCs w:val="16"/>
                <w:lang w:val="en-US" w:eastAsia="en-GB"/>
              </w:rPr>
              <w:t xml:space="preserve"> selected by the model the data block is subclassified into:</w:t>
            </w:r>
            <w:r>
              <w:rPr>
                <w:rFonts w:ascii="TimesNewRomanPSMT" w:hAnsi="TimesNewRomanPSMT" w:cs="TimesNewRomanPSMT"/>
                <w:sz w:val="16"/>
                <w:szCs w:val="16"/>
                <w:lang w:val="en-US" w:eastAsia="en-GB"/>
              </w:rPr>
              <w:t xml:space="preserve"> C11 if both block</w:t>
            </w:r>
            <w:r w:rsidR="00415C01">
              <w:rPr>
                <w:rFonts w:ascii="TimesNewRomanPSMT" w:hAnsi="TimesNewRomanPSMT" w:cs="TimesNewRomanPSMT"/>
                <w:sz w:val="16"/>
                <w:szCs w:val="16"/>
                <w:lang w:val="en-US" w:eastAsia="en-GB"/>
              </w:rPr>
              <w:t>s</w:t>
            </w:r>
            <w:r>
              <w:rPr>
                <w:rFonts w:ascii="TimesNewRomanPSMT" w:hAnsi="TimesNewRomanPSMT" w:cs="TimesNewRomanPSMT"/>
                <w:sz w:val="16"/>
                <w:szCs w:val="16"/>
                <w:lang w:val="en-US" w:eastAsia="en-GB"/>
              </w:rPr>
              <w:t xml:space="preserve"> are selected; C10 if only the MIR block is selected; C01 if only the NIR block is selected.</w:t>
            </w:r>
          </w:p>
        </w:tc>
      </w:tr>
    </w:tbl>
    <w:p w14:paraId="2C070C6B" w14:textId="77777777" w:rsidR="000D2662" w:rsidRDefault="000D2662" w:rsidP="000D2662">
      <w:pPr>
        <w:autoSpaceDE w:val="0"/>
        <w:autoSpaceDN w:val="0"/>
        <w:adjustRightInd w:val="0"/>
        <w:spacing w:after="120"/>
        <w:jc w:val="both"/>
        <w:rPr>
          <w:lang w:val="en-US" w:eastAsia="en-GB"/>
        </w:rPr>
      </w:pPr>
    </w:p>
    <w:p w14:paraId="643D25CF" w14:textId="7092F7B9" w:rsidR="000D2662" w:rsidRDefault="000D2662" w:rsidP="000D2662">
      <w:pPr>
        <w:keepNext/>
        <w:autoSpaceDE w:val="0"/>
        <w:autoSpaceDN w:val="0"/>
        <w:adjustRightInd w:val="0"/>
      </w:pPr>
      <w:r>
        <w:rPr>
          <w:noProof/>
        </w:rPr>
        <w:lastRenderedPageBreak/>
        <w:drawing>
          <wp:inline distT="0" distB="0" distL="0" distR="0" wp14:anchorId="74AFB028" wp14:editId="51367023">
            <wp:extent cx="4499610" cy="1796415"/>
            <wp:effectExtent l="0" t="0" r="0" b="0"/>
            <wp:docPr id="1081678957" name="Imagem 1" descr="Uma imagem com texto, file, diagrama,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78957" name="Imagem 1" descr="Uma imagem com texto, file, diagrama, preto e branco&#10;&#10;Descrição gerada automaticamente"/>
                    <pic:cNvPicPr/>
                  </pic:nvPicPr>
                  <pic:blipFill>
                    <a:blip r:embed="rId9"/>
                    <a:stretch>
                      <a:fillRect/>
                    </a:stretch>
                  </pic:blipFill>
                  <pic:spPr>
                    <a:xfrm>
                      <a:off x="0" y="0"/>
                      <a:ext cx="4499610" cy="1796415"/>
                    </a:xfrm>
                    <a:prstGeom prst="rect">
                      <a:avLst/>
                    </a:prstGeom>
                  </pic:spPr>
                </pic:pic>
              </a:graphicData>
            </a:graphic>
          </wp:inline>
        </w:drawing>
      </w:r>
    </w:p>
    <w:p w14:paraId="18E06C84" w14:textId="41C9C959" w:rsidR="000D2662" w:rsidRPr="007A0D08" w:rsidRDefault="000D2662" w:rsidP="000D2662">
      <w:pPr>
        <w:pStyle w:val="Legenda"/>
        <w:jc w:val="both"/>
        <w:rPr>
          <w:lang w:eastAsia="en-GB"/>
        </w:rPr>
      </w:pPr>
      <w:r w:rsidRPr="00BA021D">
        <w:t xml:space="preserve">Figure </w:t>
      </w:r>
      <w:r w:rsidRPr="00BA021D">
        <w:fldChar w:fldCharType="begin"/>
      </w:r>
      <w:r w:rsidRPr="00BA021D">
        <w:instrText xml:space="preserve"> SEQ Figure \* ARABIC </w:instrText>
      </w:r>
      <w:r w:rsidRPr="00BA021D">
        <w:fldChar w:fldCharType="separate"/>
      </w:r>
      <w:r w:rsidRPr="00BA021D">
        <w:rPr>
          <w:noProof/>
        </w:rPr>
        <w:t>2</w:t>
      </w:r>
      <w:r w:rsidRPr="00BA021D">
        <w:fldChar w:fldCharType="end"/>
      </w:r>
      <w:r w:rsidRPr="00BA021D">
        <w:t xml:space="preserve"> Score of the top 50 models using the SS-DAC framework.</w:t>
      </w:r>
      <w:r w:rsidRPr="00BA021D">
        <w:rPr>
          <w:lang w:eastAsia="en-GB"/>
        </w:rPr>
        <w:t xml:space="preserve"> The model’s nomenclature is as follows (see </w:t>
      </w:r>
      <w:r w:rsidRPr="00BA021D">
        <w:rPr>
          <w:lang w:eastAsia="en-GB"/>
        </w:rPr>
        <w:fldChar w:fldCharType="begin"/>
      </w:r>
      <w:r w:rsidRPr="00BA021D">
        <w:rPr>
          <w:lang w:eastAsia="en-GB"/>
        </w:rPr>
        <w:instrText xml:space="preserve"> REF _Ref150528172 \h </w:instrText>
      </w:r>
      <w:r>
        <w:rPr>
          <w:lang w:eastAsia="en-GB"/>
        </w:rPr>
        <w:instrText xml:space="preserve"> \* MERGEFORMAT </w:instrText>
      </w:r>
      <w:r w:rsidRPr="00BA021D">
        <w:rPr>
          <w:lang w:eastAsia="en-GB"/>
        </w:rPr>
      </w:r>
      <w:r w:rsidRPr="00BA021D">
        <w:rPr>
          <w:lang w:eastAsia="en-GB"/>
        </w:rPr>
        <w:fldChar w:fldCharType="separate"/>
      </w:r>
      <w:r w:rsidRPr="00BA021D">
        <w:t xml:space="preserve">Table </w:t>
      </w:r>
      <w:r w:rsidRPr="00BA021D">
        <w:rPr>
          <w:noProof/>
        </w:rPr>
        <w:t>1</w:t>
      </w:r>
      <w:r w:rsidRPr="00BA021D">
        <w:rPr>
          <w:lang w:eastAsia="en-GB"/>
        </w:rPr>
        <w:fldChar w:fldCharType="end"/>
      </w:r>
      <w:r w:rsidRPr="00BA021D">
        <w:rPr>
          <w:lang w:eastAsia="en-GB"/>
        </w:rPr>
        <w:t>): {modeling methodology}-{data block}-{MIR preprocessing technique}-{NIR preprocessing technique}-{block scaling technique}.</w:t>
      </w:r>
      <w:r>
        <w:rPr>
          <w:lang w:eastAsia="en-GB"/>
        </w:rPr>
        <w:t>T</w:t>
      </w:r>
      <w:r w:rsidRPr="001A177C">
        <w:rPr>
          <w:lang w:eastAsia="en-GB"/>
        </w:rPr>
        <w:t xml:space="preserve">he dashed </w:t>
      </w:r>
      <w:r>
        <w:rPr>
          <w:lang w:eastAsia="en-GB"/>
        </w:rPr>
        <w:t xml:space="preserve">horizontal </w:t>
      </w:r>
      <w:r w:rsidRPr="001A177C">
        <w:rPr>
          <w:lang w:eastAsia="en-GB"/>
        </w:rPr>
        <w:t>line represents the maximum</w:t>
      </w:r>
      <w:r>
        <w:rPr>
          <w:lang w:eastAsia="en-GB"/>
        </w:rPr>
        <w:t xml:space="preserve"> score</w:t>
      </w:r>
      <w:r w:rsidRPr="001A177C">
        <w:rPr>
          <w:lang w:eastAsia="en-GB"/>
        </w:rPr>
        <w:t xml:space="preserve"> value</w:t>
      </w:r>
      <w:r>
        <w:rPr>
          <w:lang w:eastAsia="en-GB"/>
        </w:rPr>
        <w:t xml:space="preserve"> (1754).</w:t>
      </w:r>
    </w:p>
    <w:p w14:paraId="7D2E2D3D" w14:textId="26DE2265" w:rsidR="000D2662" w:rsidRDefault="000D2662" w:rsidP="000D2662">
      <w:pPr>
        <w:autoSpaceDE w:val="0"/>
        <w:autoSpaceDN w:val="0"/>
        <w:adjustRightInd w:val="0"/>
        <w:spacing w:after="120"/>
        <w:jc w:val="both"/>
        <w:rPr>
          <w:lang w:val="en-US" w:eastAsia="en-GB"/>
        </w:rPr>
      </w:pPr>
      <w:r>
        <w:rPr>
          <w:lang w:val="en-US" w:eastAsia="en-GB"/>
        </w:rPr>
        <w:t xml:space="preserve">Regarding the single-block models, the best model using only the MIR spectra (F-C10-9-1-VII) was ranked in position #21, with an accuracy of </w:t>
      </w:r>
      <w:r w:rsidRPr="00BD34C7">
        <w:t>0.8</w:t>
      </w:r>
      <w:r>
        <w:t>8</w:t>
      </w:r>
      <w:r w:rsidRPr="00BD34C7">
        <w:t xml:space="preserve"> (with a partial accuracy of 0.78 for the WLO </w:t>
      </w:r>
      <w:r>
        <w:t xml:space="preserve">samples </w:t>
      </w:r>
      <w:r w:rsidRPr="00BD34C7">
        <w:t>that coagulate and 1.00 for the WLO</w:t>
      </w:r>
      <w:r>
        <w:t xml:space="preserve"> samples</w:t>
      </w:r>
      <w:r w:rsidRPr="00BD34C7">
        <w:t xml:space="preserve"> that do-not-coagulate)</w:t>
      </w:r>
      <w:r w:rsidRPr="00BD34C7">
        <w:rPr>
          <w:lang w:val="en-US" w:eastAsia="en-GB"/>
        </w:rPr>
        <w:t>,</w:t>
      </w:r>
      <w:r>
        <w:rPr>
          <w:lang w:val="en-US" w:eastAsia="en-GB"/>
        </w:rPr>
        <w:t xml:space="preserve"> while the best model using only the NIR spectra (B-B-0-4-0) was ranked in position #1708 with an accuracy of </w:t>
      </w:r>
      <w:r w:rsidRPr="00207C36">
        <w:rPr>
          <w:lang w:val="en-US" w:eastAsia="en-GB"/>
        </w:rPr>
        <w:t>0.56</w:t>
      </w:r>
      <w:r>
        <w:rPr>
          <w:lang w:val="en-US" w:eastAsia="en-GB"/>
        </w:rPr>
        <w:t xml:space="preserve"> (with</w:t>
      </w:r>
      <w:r w:rsidRPr="00207C36">
        <w:rPr>
          <w:lang w:val="en-US" w:eastAsia="en-GB"/>
        </w:rPr>
        <w:t xml:space="preserve"> a partial accuracy of 0.44 for the </w:t>
      </w:r>
      <w:r>
        <w:rPr>
          <w:lang w:val="en-US" w:eastAsia="en-GB"/>
        </w:rPr>
        <w:t>WLO samples</w:t>
      </w:r>
      <w:r w:rsidRPr="00207C36">
        <w:rPr>
          <w:lang w:val="en-US" w:eastAsia="en-GB"/>
        </w:rPr>
        <w:t xml:space="preserve"> that coagulate and 0.67 for th</w:t>
      </w:r>
      <w:r>
        <w:rPr>
          <w:lang w:val="en-US" w:eastAsia="en-GB"/>
        </w:rPr>
        <w:t xml:space="preserve">e WLO samples </w:t>
      </w:r>
      <w:r w:rsidRPr="00207C36">
        <w:rPr>
          <w:lang w:val="en-US" w:eastAsia="en-GB"/>
        </w:rPr>
        <w:t>that do not</w:t>
      </w:r>
      <w:r>
        <w:rPr>
          <w:lang w:val="en-US" w:eastAsia="en-GB"/>
        </w:rPr>
        <w:t xml:space="preserve"> coagulate).</w:t>
      </w:r>
    </w:p>
    <w:p w14:paraId="07F27DB3" w14:textId="36D1A4B2" w:rsidR="001810E1" w:rsidRDefault="00933458" w:rsidP="00734A6C">
      <w:pPr>
        <w:autoSpaceDE w:val="0"/>
        <w:autoSpaceDN w:val="0"/>
        <w:adjustRightInd w:val="0"/>
        <w:spacing w:after="120"/>
        <w:jc w:val="both"/>
        <w:rPr>
          <w:highlight w:val="yellow"/>
        </w:rPr>
      </w:pPr>
      <w:r w:rsidRPr="007B511D">
        <w:t xml:space="preserve">As for the multiblock models, it was verified that, due to the interval selection of </w:t>
      </w:r>
      <w:proofErr w:type="spellStart"/>
      <w:r w:rsidRPr="007B511D">
        <w:t>FiPLS</w:t>
      </w:r>
      <w:proofErr w:type="spellEnd"/>
      <w:r w:rsidR="007B511D" w:rsidRPr="007B511D">
        <w:t>,</w:t>
      </w:r>
      <w:r w:rsidRPr="007B511D">
        <w:t xml:space="preserve"> </w:t>
      </w:r>
      <w:r w:rsidR="007B511D" w:rsidRPr="007B511D">
        <w:t xml:space="preserve">478 out of 567 </w:t>
      </w:r>
      <w:proofErr w:type="spellStart"/>
      <w:r w:rsidR="007B511D" w:rsidRPr="007B511D">
        <w:t>FiPLS</w:t>
      </w:r>
      <w:proofErr w:type="spellEnd"/>
      <w:r w:rsidR="007B511D" w:rsidRPr="007B511D">
        <w:t xml:space="preserve">-based multiblock models </w:t>
      </w:r>
      <w:r w:rsidRPr="007B511D">
        <w:t xml:space="preserve">only used the </w:t>
      </w:r>
      <w:r w:rsidR="00734A6C" w:rsidRPr="007B511D">
        <w:t>M</w:t>
      </w:r>
      <w:r w:rsidRPr="007B511D">
        <w:t>IR block.</w:t>
      </w:r>
      <w:r w:rsidR="00E3764C">
        <w:t xml:space="preserve"> Thus, they are</w:t>
      </w:r>
      <w:r w:rsidR="00415C01">
        <w:t>, in effect, equivalent to their single-block counterparts,</w:t>
      </w:r>
      <w:r w:rsidR="00E3764C">
        <w:t xml:space="preserve"> and their performance is independent of the scaling and preprocessing of the </w:t>
      </w:r>
      <w:r w:rsidR="00734A6C">
        <w:t>N</w:t>
      </w:r>
      <w:r w:rsidR="00E3764C">
        <w:t xml:space="preserve">IR block. This also implies a performance tie when compared against each other, which is visible in </w:t>
      </w:r>
      <w:r w:rsidR="00E3764C">
        <w:rPr>
          <w:lang w:val="en-US" w:eastAsia="en-GB"/>
        </w:rPr>
        <w:fldChar w:fldCharType="begin"/>
      </w:r>
      <w:r w:rsidR="00E3764C">
        <w:rPr>
          <w:lang w:val="en-US" w:eastAsia="en-GB"/>
        </w:rPr>
        <w:instrText xml:space="preserve"> REF _Ref150529807 \h </w:instrText>
      </w:r>
      <w:r w:rsidR="00E3764C">
        <w:rPr>
          <w:lang w:val="en-US" w:eastAsia="en-GB"/>
        </w:rPr>
      </w:r>
      <w:r w:rsidR="00E3764C">
        <w:rPr>
          <w:lang w:val="en-US" w:eastAsia="en-GB"/>
        </w:rPr>
        <w:fldChar w:fldCharType="separate"/>
      </w:r>
      <w:r w:rsidR="00E3764C">
        <w:t xml:space="preserve">Figure </w:t>
      </w:r>
      <w:r w:rsidR="00E3764C">
        <w:rPr>
          <w:noProof/>
        </w:rPr>
        <w:t>2</w:t>
      </w:r>
      <w:r w:rsidR="00E3764C">
        <w:rPr>
          <w:lang w:val="en-US" w:eastAsia="en-GB"/>
        </w:rPr>
        <w:fldChar w:fldCharType="end"/>
      </w:r>
      <w:r w:rsidR="00E3764C">
        <w:rPr>
          <w:lang w:val="en-US" w:eastAsia="en-GB"/>
        </w:rPr>
        <w:t xml:space="preserve"> for models </w:t>
      </w:r>
      <w:r w:rsidR="00E3764C" w:rsidRPr="00207C36">
        <w:rPr>
          <w:lang w:val="en-US" w:eastAsia="en-GB"/>
        </w:rPr>
        <w:t>in p</w:t>
      </w:r>
      <w:r w:rsidR="00E3764C">
        <w:rPr>
          <w:lang w:val="en-US" w:eastAsia="en-GB"/>
        </w:rPr>
        <w:t>ositions</w:t>
      </w:r>
      <w:r w:rsidR="00E3764C" w:rsidRPr="00207C36">
        <w:rPr>
          <w:lang w:val="en-US" w:eastAsia="en-GB"/>
        </w:rPr>
        <w:t xml:space="preserve"> </w:t>
      </w:r>
      <w:r w:rsidR="00E3764C" w:rsidRPr="00321010">
        <w:rPr>
          <w:lang w:val="en-US" w:eastAsia="en-GB"/>
        </w:rPr>
        <w:t>#2</w:t>
      </w:r>
      <w:r w:rsidR="00321010">
        <w:rPr>
          <w:lang w:val="en-US" w:eastAsia="en-GB"/>
        </w:rPr>
        <w:t>1</w:t>
      </w:r>
      <w:r w:rsidR="00E3764C" w:rsidRPr="00321010">
        <w:rPr>
          <w:lang w:val="en-US" w:eastAsia="en-GB"/>
        </w:rPr>
        <w:t xml:space="preserve"> (F</w:t>
      </w:r>
      <w:r w:rsidR="007032D2">
        <w:rPr>
          <w:color w:val="000000" w:themeColor="text1"/>
        </w:rPr>
        <w:t>-</w:t>
      </w:r>
      <w:r w:rsidR="00E3764C" w:rsidRPr="00321010">
        <w:rPr>
          <w:lang w:val="en-US" w:eastAsia="en-GB"/>
        </w:rPr>
        <w:t>C10-</w:t>
      </w:r>
      <w:r w:rsidR="006A5ED2">
        <w:rPr>
          <w:lang w:val="en-US" w:eastAsia="en-GB"/>
        </w:rPr>
        <w:t>9</w:t>
      </w:r>
      <w:r w:rsidR="00E3764C" w:rsidRPr="00321010">
        <w:rPr>
          <w:lang w:val="en-US" w:eastAsia="en-GB"/>
        </w:rPr>
        <w:t>-</w:t>
      </w:r>
      <w:r w:rsidR="006A5ED2">
        <w:rPr>
          <w:lang w:val="en-US" w:eastAsia="en-GB"/>
        </w:rPr>
        <w:t>1</w:t>
      </w:r>
      <w:r w:rsidR="00E3764C" w:rsidRPr="00321010">
        <w:rPr>
          <w:lang w:val="en-US" w:eastAsia="en-GB"/>
        </w:rPr>
        <w:t>-</w:t>
      </w:r>
      <w:r w:rsidR="001E1DAA">
        <w:rPr>
          <w:lang w:val="en-US" w:eastAsia="en-GB"/>
        </w:rPr>
        <w:t>VI</w:t>
      </w:r>
      <w:r w:rsidR="00E3764C" w:rsidRPr="00321010">
        <w:rPr>
          <w:lang w:val="en-US" w:eastAsia="en-GB"/>
        </w:rPr>
        <w:t>I) to #5</w:t>
      </w:r>
      <w:r w:rsidR="006A5ED2">
        <w:rPr>
          <w:lang w:val="en-US" w:eastAsia="en-GB"/>
        </w:rPr>
        <w:t>0</w:t>
      </w:r>
      <w:r w:rsidR="00E3764C" w:rsidRPr="00321010">
        <w:rPr>
          <w:lang w:val="en-US" w:eastAsia="en-GB"/>
        </w:rPr>
        <w:t xml:space="preserve"> (F-</w:t>
      </w:r>
      <w:r w:rsidR="0065416E">
        <w:rPr>
          <w:lang w:val="en-US" w:eastAsia="en-GB"/>
        </w:rPr>
        <w:t>C10</w:t>
      </w:r>
      <w:r w:rsidR="00E3764C" w:rsidRPr="00321010">
        <w:rPr>
          <w:lang w:val="en-US" w:eastAsia="en-GB"/>
        </w:rPr>
        <w:t>-</w:t>
      </w:r>
      <w:r w:rsidR="0065416E">
        <w:rPr>
          <w:lang w:val="en-US" w:eastAsia="en-GB"/>
        </w:rPr>
        <w:t>9</w:t>
      </w:r>
      <w:r w:rsidR="00E3764C" w:rsidRPr="00321010">
        <w:rPr>
          <w:lang w:val="en-US" w:eastAsia="en-GB"/>
        </w:rPr>
        <w:t>-</w:t>
      </w:r>
      <w:r w:rsidR="0065416E">
        <w:rPr>
          <w:lang w:val="en-US" w:eastAsia="en-GB"/>
        </w:rPr>
        <w:t>6</w:t>
      </w:r>
      <w:r w:rsidR="00E3764C" w:rsidRPr="00321010">
        <w:rPr>
          <w:lang w:val="en-US" w:eastAsia="en-GB"/>
        </w:rPr>
        <w:t>-</w:t>
      </w:r>
      <w:r w:rsidR="0065416E">
        <w:rPr>
          <w:lang w:val="en-US" w:eastAsia="en-GB"/>
        </w:rPr>
        <w:t>VI</w:t>
      </w:r>
      <w:r w:rsidR="00E3764C" w:rsidRPr="00321010">
        <w:rPr>
          <w:lang w:val="en-US" w:eastAsia="en-GB"/>
        </w:rPr>
        <w:t>).</w:t>
      </w:r>
      <w:r w:rsidR="00C00333">
        <w:rPr>
          <w:lang w:val="en-US" w:eastAsia="en-GB"/>
        </w:rPr>
        <w:t xml:space="preserve"> </w:t>
      </w:r>
      <w:r w:rsidR="004E7FEA">
        <w:rPr>
          <w:lang w:val="en-US" w:eastAsia="en-GB"/>
        </w:rPr>
        <w:t>The</w:t>
      </w:r>
      <w:r w:rsidR="00C00333">
        <w:rPr>
          <w:lang w:val="en-US" w:eastAsia="en-GB"/>
        </w:rPr>
        <w:t xml:space="preserve"> </w:t>
      </w:r>
      <w:r w:rsidR="00C00333" w:rsidRPr="00207C36">
        <w:rPr>
          <w:lang w:val="en-US" w:eastAsia="en-GB"/>
        </w:rPr>
        <w:t xml:space="preserve">same </w:t>
      </w:r>
      <w:r w:rsidR="00C00333">
        <w:rPr>
          <w:lang w:val="en-US" w:eastAsia="en-GB"/>
        </w:rPr>
        <w:t xml:space="preserve">situation </w:t>
      </w:r>
      <w:r w:rsidR="00C00333" w:rsidRPr="00207C36">
        <w:rPr>
          <w:lang w:val="en-US" w:eastAsia="en-GB"/>
        </w:rPr>
        <w:t xml:space="preserve">also happens </w:t>
      </w:r>
      <w:r w:rsidR="00C00333">
        <w:rPr>
          <w:lang w:val="en-US" w:eastAsia="en-GB"/>
        </w:rPr>
        <w:t>for</w:t>
      </w:r>
      <w:r w:rsidR="00C00333" w:rsidRPr="00207C36">
        <w:rPr>
          <w:lang w:val="en-US" w:eastAsia="en-GB"/>
        </w:rPr>
        <w:t xml:space="preserve"> models with smaller scores</w:t>
      </w:r>
      <w:r w:rsidR="00C00333">
        <w:rPr>
          <w:lang w:val="en-US" w:eastAsia="en-GB"/>
        </w:rPr>
        <w:t xml:space="preserve"> (not shown)</w:t>
      </w:r>
      <w:r w:rsidR="00C00333" w:rsidRPr="00207C36">
        <w:rPr>
          <w:lang w:val="en-US" w:eastAsia="en-GB"/>
        </w:rPr>
        <w:t xml:space="preserve">. </w:t>
      </w:r>
      <w:r w:rsidR="00C00333">
        <w:rPr>
          <w:lang w:val="en-US" w:eastAsia="en-GB"/>
        </w:rPr>
        <w:t xml:space="preserve">Nevertheless, the </w:t>
      </w:r>
      <w:r w:rsidR="00734A6C">
        <w:rPr>
          <w:lang w:val="en-US" w:eastAsia="en-GB"/>
        </w:rPr>
        <w:t>N</w:t>
      </w:r>
      <w:r w:rsidR="00C00333">
        <w:rPr>
          <w:lang w:val="en-US" w:eastAsia="en-GB"/>
        </w:rPr>
        <w:t xml:space="preserve">IR block is still informative when combined with the </w:t>
      </w:r>
      <w:r w:rsidR="00734A6C">
        <w:rPr>
          <w:lang w:val="en-US" w:eastAsia="en-GB"/>
        </w:rPr>
        <w:t>M</w:t>
      </w:r>
      <w:r w:rsidR="00C00333">
        <w:rPr>
          <w:lang w:val="en-US" w:eastAsia="en-GB"/>
        </w:rPr>
        <w:t xml:space="preserve">IR </w:t>
      </w:r>
      <w:r w:rsidR="00734A6C">
        <w:rPr>
          <w:lang w:val="en-US" w:eastAsia="en-GB"/>
        </w:rPr>
        <w:t xml:space="preserve">block as shown on the top </w:t>
      </w:r>
      <w:r w:rsidR="00B50D73">
        <w:rPr>
          <w:lang w:val="en-US" w:eastAsia="en-GB"/>
        </w:rPr>
        <w:t>four</w:t>
      </w:r>
      <w:r w:rsidR="00734A6C">
        <w:rPr>
          <w:lang w:val="en-US" w:eastAsia="en-GB"/>
        </w:rPr>
        <w:t xml:space="preserve"> models. These models share a similar structure, being based on </w:t>
      </w:r>
      <w:proofErr w:type="spellStart"/>
      <w:r w:rsidR="00734A6C">
        <w:rPr>
          <w:lang w:val="en-US" w:eastAsia="en-GB"/>
        </w:rPr>
        <w:t>FiPLS</w:t>
      </w:r>
      <w:proofErr w:type="spellEnd"/>
      <w:r w:rsidR="00734A6C">
        <w:rPr>
          <w:lang w:val="en-US" w:eastAsia="en-GB"/>
        </w:rPr>
        <w:t xml:space="preserve"> and SGD</w:t>
      </w:r>
      <w:r w:rsidR="0086528B">
        <w:rPr>
          <w:lang w:val="en-US" w:eastAsia="en-GB"/>
        </w:rPr>
        <w:t xml:space="preserve"> for the MIR block and MSC for the NIR block</w:t>
      </w:r>
      <w:r w:rsidR="00734A6C">
        <w:rPr>
          <w:lang w:val="en-US" w:eastAsia="en-GB"/>
        </w:rPr>
        <w:t xml:space="preserve">, with block scaling having a small </w:t>
      </w:r>
      <w:r w:rsidR="00156808">
        <w:rPr>
          <w:lang w:val="en-US" w:eastAsia="en-GB"/>
        </w:rPr>
        <w:t>impact</w:t>
      </w:r>
      <w:r w:rsidR="00734A6C">
        <w:rPr>
          <w:lang w:val="en-US" w:eastAsia="en-GB"/>
        </w:rPr>
        <w:t xml:space="preserve"> </w:t>
      </w:r>
      <w:r w:rsidR="00415C01">
        <w:rPr>
          <w:lang w:val="en-US" w:eastAsia="en-GB"/>
        </w:rPr>
        <w:t>on</w:t>
      </w:r>
      <w:r w:rsidR="00734A6C">
        <w:rPr>
          <w:lang w:val="en-US" w:eastAsia="en-GB"/>
        </w:rPr>
        <w:t xml:space="preserve"> performance.</w:t>
      </w:r>
      <w:r w:rsidR="00156808" w:rsidRPr="00823C75">
        <w:t xml:space="preserve"> The</w:t>
      </w:r>
      <w:r w:rsidR="00156808" w:rsidRPr="00F1000D">
        <w:t xml:space="preserve"> best model (</w:t>
      </w:r>
      <w:r w:rsidR="004760A4">
        <w:t>F-C11-6-3-III</w:t>
      </w:r>
      <w:r w:rsidR="00156808" w:rsidRPr="00F1000D">
        <w:t>) achieved a global accuracy of 0.9</w:t>
      </w:r>
      <w:r w:rsidR="00F1000D" w:rsidRPr="00F1000D">
        <w:t>4</w:t>
      </w:r>
      <w:r w:rsidR="00156808" w:rsidRPr="00F1000D">
        <w:t xml:space="preserve"> (and a partial accuracy of 0.8</w:t>
      </w:r>
      <w:r w:rsidR="00F1000D" w:rsidRPr="00F1000D">
        <w:t>9</w:t>
      </w:r>
      <w:r w:rsidR="00156808" w:rsidRPr="00F1000D">
        <w:t xml:space="preserve"> for the WLO </w:t>
      </w:r>
      <w:r w:rsidR="004E7FEA">
        <w:t xml:space="preserve">samples </w:t>
      </w:r>
      <w:r w:rsidR="00156808" w:rsidRPr="00F1000D">
        <w:t xml:space="preserve">that </w:t>
      </w:r>
      <w:r w:rsidR="00156808" w:rsidRPr="00415C01">
        <w:rPr>
          <w:i/>
          <w:iCs/>
        </w:rPr>
        <w:t>coagulate</w:t>
      </w:r>
      <w:r w:rsidR="00156808" w:rsidRPr="00F1000D">
        <w:t xml:space="preserve"> and 1.00 for the WLOs that </w:t>
      </w:r>
      <w:r w:rsidR="00156808" w:rsidRPr="00415C01">
        <w:rPr>
          <w:i/>
          <w:iCs/>
        </w:rPr>
        <w:t>do-not-coagulate</w:t>
      </w:r>
      <w:r w:rsidR="00156808" w:rsidRPr="00F1000D">
        <w:t xml:space="preserve">), which represents an </w:t>
      </w:r>
      <w:r w:rsidR="001810E1" w:rsidRPr="00F1000D">
        <w:t>improvement</w:t>
      </w:r>
      <w:r w:rsidR="00156808" w:rsidRPr="00F1000D">
        <w:t xml:space="preserve"> </w:t>
      </w:r>
      <w:r w:rsidR="00156808" w:rsidRPr="00F56D01">
        <w:t xml:space="preserve">of </w:t>
      </w:r>
      <w:r w:rsidR="00F56D01" w:rsidRPr="00F56D01">
        <w:t>6.82</w:t>
      </w:r>
      <w:r w:rsidR="00156808" w:rsidRPr="00F56D01">
        <w:t xml:space="preserve"> % </w:t>
      </w:r>
      <w:r w:rsidR="0013587C" w:rsidRPr="00F56D01">
        <w:t>against</w:t>
      </w:r>
      <w:r w:rsidR="001810E1" w:rsidRPr="00F1000D">
        <w:t xml:space="preserve"> the best </w:t>
      </w:r>
      <w:r w:rsidR="0013587C" w:rsidRPr="00F1000D">
        <w:t xml:space="preserve">MIR </w:t>
      </w:r>
      <w:r w:rsidR="001810E1" w:rsidRPr="00F1000D">
        <w:t>single-block mode</w:t>
      </w:r>
      <w:r w:rsidR="001810E1" w:rsidRPr="00823C75">
        <w:t>l.</w:t>
      </w:r>
    </w:p>
    <w:p w14:paraId="0A394910" w14:textId="7F3964A2" w:rsidR="00734A6C" w:rsidRDefault="00156808" w:rsidP="00156808">
      <w:pPr>
        <w:autoSpaceDE w:val="0"/>
        <w:autoSpaceDN w:val="0"/>
        <w:adjustRightInd w:val="0"/>
        <w:spacing w:after="120"/>
        <w:jc w:val="both"/>
      </w:pPr>
      <w:r w:rsidRPr="00860DA6">
        <w:rPr>
          <w:lang w:val="en-US" w:eastAsia="en-GB"/>
        </w:rPr>
        <w:t xml:space="preserve">The top models </w:t>
      </w:r>
      <w:r w:rsidR="001810E1" w:rsidRPr="00860DA6">
        <w:rPr>
          <w:lang w:val="en-US" w:eastAsia="en-GB"/>
        </w:rPr>
        <w:t>frequently</w:t>
      </w:r>
      <w:r w:rsidRPr="00860DA6">
        <w:rPr>
          <w:lang w:val="en-US" w:eastAsia="en-GB"/>
        </w:rPr>
        <w:t xml:space="preserve"> selected the </w:t>
      </w:r>
      <w:r w:rsidRPr="00860DA6">
        <w:t xml:space="preserve">[734.4 </w:t>
      </w:r>
      <w:r w:rsidR="001810E1" w:rsidRPr="00860DA6">
        <w:t>-</w:t>
      </w:r>
      <w:r w:rsidRPr="00860DA6">
        <w:t xml:space="preserve"> 966]</w:t>
      </w:r>
      <w:r w:rsidR="004E4ACC" w:rsidRPr="00860DA6">
        <w:t xml:space="preserve">, </w:t>
      </w:r>
      <w:r w:rsidR="00734A6C" w:rsidRPr="00860DA6">
        <w:t xml:space="preserve">[1668 </w:t>
      </w:r>
      <w:r w:rsidR="001810E1" w:rsidRPr="00860DA6">
        <w:t xml:space="preserve">- </w:t>
      </w:r>
      <w:r w:rsidR="00734A6C" w:rsidRPr="00860DA6">
        <w:t>1900]</w:t>
      </w:r>
      <w:r w:rsidR="00C97CAC" w:rsidRPr="00C97CAC">
        <w:t xml:space="preserve"> </w:t>
      </w:r>
      <w:r w:rsidR="00C97CAC" w:rsidRPr="00860DA6">
        <w:t>cm</w:t>
      </w:r>
      <w:r w:rsidR="00C97CAC" w:rsidRPr="00860DA6">
        <w:rPr>
          <w:vertAlign w:val="superscript"/>
        </w:rPr>
        <w:t>-1</w:t>
      </w:r>
      <w:r w:rsidR="009A6FB2">
        <w:t xml:space="preserve"> </w:t>
      </w:r>
      <w:r w:rsidR="00C97CAC">
        <w:t>interval</w:t>
      </w:r>
      <w:r w:rsidR="00C50389">
        <w:t>s</w:t>
      </w:r>
      <w:r w:rsidR="00C97CAC">
        <w:t xml:space="preserve"> f</w:t>
      </w:r>
      <w:r w:rsidR="001A7630">
        <w:t>ro</w:t>
      </w:r>
      <w:r w:rsidR="00C97CAC">
        <w:t xml:space="preserve">m </w:t>
      </w:r>
      <w:r w:rsidR="004E7FEA">
        <w:t xml:space="preserve">the </w:t>
      </w:r>
      <w:r w:rsidR="00C97CAC">
        <w:t>MIR</w:t>
      </w:r>
      <w:r w:rsidR="004E7FEA">
        <w:t xml:space="preserve"> spectra</w:t>
      </w:r>
      <w:r w:rsidR="00415C01">
        <w:t>,</w:t>
      </w:r>
      <w:r w:rsidR="00C97CAC">
        <w:t xml:space="preserve"> </w:t>
      </w:r>
      <w:r w:rsidRPr="00860DA6">
        <w:t>and</w:t>
      </w:r>
      <w:r w:rsidR="002B4198">
        <w:t xml:space="preserve"> the</w:t>
      </w:r>
      <w:r w:rsidRPr="00860DA6">
        <w:t xml:space="preserve"> [</w:t>
      </w:r>
      <w:r w:rsidR="00F96EB8" w:rsidRPr="00860DA6">
        <w:t>49</w:t>
      </w:r>
      <w:r w:rsidR="00860DA6" w:rsidRPr="00860DA6">
        <w:t>51</w:t>
      </w:r>
      <w:r w:rsidRPr="00860DA6">
        <w:t xml:space="preserve"> </w:t>
      </w:r>
      <w:r w:rsidR="001810E1" w:rsidRPr="00860DA6">
        <w:t>-</w:t>
      </w:r>
      <w:r w:rsidRPr="00860DA6">
        <w:t xml:space="preserve"> </w:t>
      </w:r>
      <w:r w:rsidR="00860DA6" w:rsidRPr="00860DA6">
        <w:t>5150</w:t>
      </w:r>
      <w:r w:rsidRPr="00860DA6">
        <w:t>]</w:t>
      </w:r>
      <w:r w:rsidR="00C97CAC">
        <w:t xml:space="preserve"> </w:t>
      </w:r>
      <w:r w:rsidR="00860DA6" w:rsidRPr="00860DA6">
        <w:t>cm</w:t>
      </w:r>
      <w:r w:rsidR="00860DA6" w:rsidRPr="00860DA6">
        <w:rPr>
          <w:vertAlign w:val="superscript"/>
        </w:rPr>
        <w:t>-1</w:t>
      </w:r>
      <w:r w:rsidR="009A6FB2">
        <w:t xml:space="preserve"> </w:t>
      </w:r>
      <w:r w:rsidR="001A7630">
        <w:t xml:space="preserve">interval from </w:t>
      </w:r>
      <w:r w:rsidR="004E7FEA">
        <w:t xml:space="preserve">the </w:t>
      </w:r>
      <w:r w:rsidR="001A7630">
        <w:t>NIR</w:t>
      </w:r>
      <w:r w:rsidR="00734A6C" w:rsidRPr="00860DA6">
        <w:t xml:space="preserve"> </w:t>
      </w:r>
      <w:r w:rsidR="004E7FEA">
        <w:t xml:space="preserve">spectra. </w:t>
      </w:r>
      <w:r w:rsidR="00734A6C" w:rsidRPr="00860DA6">
        <w:t xml:space="preserve">The interval </w:t>
      </w:r>
      <w:r w:rsidR="001810E1" w:rsidRPr="00860DA6">
        <w:t>that</w:t>
      </w:r>
      <w:r w:rsidR="00734A6C" w:rsidRPr="00860DA6">
        <w:t xml:space="preserve"> appears more predominantly ([1668 - 1900] cm</w:t>
      </w:r>
      <w:r w:rsidR="00734A6C" w:rsidRPr="00860DA6">
        <w:rPr>
          <w:vertAlign w:val="superscript"/>
        </w:rPr>
        <w:t>-1</w:t>
      </w:r>
      <w:r w:rsidR="00734A6C" w:rsidRPr="00860DA6">
        <w:t>) is thought to be related to the presence of esters</w:t>
      </w:r>
      <w:r w:rsidR="00202E83">
        <w:t xml:space="preserve"> </w:t>
      </w:r>
      <w:r w:rsidR="00AF3DB1">
        <w:fldChar w:fldCharType="begin"/>
      </w:r>
      <w:r w:rsidR="0087482D">
        <w:instrText xml:space="preserve"> ADDIN ZOTERO_ITEM CSL_CITATION {"citationID":"f5CBkrS2","properties":{"formattedCitation":"(Weyer, 2012)","plainCitation":"(Weyer, 2012)","noteIndex":0},"citationItems":[{"id":"64sOb44w/BA2lPYt3","uris":["http://zotero.org/users/10078479/items/4XNMLM9M"],"itemData":{"id":1336,"type":"book","abstract":"Interpretive spectroscopy provides a basis for the establishment of cause-and-effect relationships between NIR spectrometer response and the chemical properties of the samples. Without established cause-effect relationships, the measured data has no true predictive significance. This interpretive process is key for achieving an analytical understan","edition":"2","event-place":"Boca Raton","ISBN":"978-0-429-11051-1","note":"DOI: 10.1201/b11894","number-of-pages":"326","publisher":"CRC Press","publisher-place":"Boca Raton","title":"Practical Guide and Spectral Atlas for Interpretive Near-Infrared Spectroscopy","author":[{"family":"Weyer","given":"Jerry Workman Jr","suffix":"Lois"}],"issued":{"date-parts":[["2012",4,6]]}}}],"schema":"https://github.com/citation-style-language/schema/raw/master/csl-citation.json"} </w:instrText>
      </w:r>
      <w:r w:rsidR="00AF3DB1">
        <w:fldChar w:fldCharType="separate"/>
      </w:r>
      <w:r w:rsidR="00AF3DB1" w:rsidRPr="00AF3DB1">
        <w:t>(Weyer, 2012)</w:t>
      </w:r>
      <w:r w:rsidR="00AF3DB1">
        <w:fldChar w:fldCharType="end"/>
      </w:r>
      <w:r w:rsidRPr="00860DA6">
        <w:t xml:space="preserve"> in the WLO</w:t>
      </w:r>
      <w:r w:rsidR="00734A6C" w:rsidRPr="00860DA6">
        <w:t>, a</w:t>
      </w:r>
      <w:r w:rsidRPr="00860DA6">
        <w:t xml:space="preserve"> result that was also obtained in</w:t>
      </w:r>
      <w:r w:rsidR="00734A6C" w:rsidRPr="00860DA6">
        <w:t xml:space="preserve"> </w:t>
      </w:r>
      <w:r w:rsidR="00734A6C" w:rsidRPr="00860DA6">
        <w:fldChar w:fldCharType="begin"/>
      </w:r>
      <w:r w:rsidR="0087482D">
        <w:instrText xml:space="preserve"> ADDIN ZOTERO_ITEM CSL_CITATION {"citationID":"PEJd2JYZ","properties":{"formattedCitation":"(Pinheiro et al., 2017)","plainCitation":"(Pinheiro et al., 2017)","noteIndex":0},"citationItems":[{"id":"64sOb44w/N1dbxPIb","uris":["http://zotero.org/users/10078479/items/AIGQRJC7"],"itemData":{"id":1318,"type":"article-journal","abstract":"Coagulation phenomena can occur in certain types of waste lubricant oils (WLO) during regeneration processes involving alkaline treatments, causing plant shutdowns. In this context, this study addresses the nature of the compounds responsible for the coagulation phenomena after the alkaline treatment. For such, an empirical test was developed to assess the coagulation behavior of WLO, consisting in the addition of KOH to the WLO followed by heating under stirring conditions. This test was performed on 133 samples and four coagulation classes were identified: A; B1; B2 and C. Moreover, a physicochemical characterization of WLO was carried out regarding viscosity at 40°C, saponification number (SN), total acid number (TAN), surface tension, water content, elemental analysis and functional groups (FTIR). 56 samples of fresh lubricant oils for different applications were also characterized and their properties assessed and compared. Multivariate methods were applied to WLO to discriminate among coagulation classes based on FTIR spectra. It was found that coagulation classes A and B1 exhibit statistically similar patterns for all properties determined. Spectral discriminating analysis did not reveal discriminant peaks for class B1 samples, and the presence of specific additives was pointed as the possible factor underlying the increase in viscosity in this oils. Class B2 presents the absence of additives and oxidation products as differentiating features. In addition, B2 samples showed lower TAN and SN values, and lower concentration of some elements. Lubricants from gear or hydraulic applications can give rise to this class of WLO. Oils of Class C are mainly composed by synthetic ester type base oils, which hamper regeneration processes making use of alkaline pretreatments. In future studies, WLO type A and B1 can be classified as a single class. The coagulation phenomena classification becomes A – negative, B – precipitate formation and C – positive.","container-title":"Science of The Total Environment","DOI":"10.1016/j.scitotenv.2017.05.124","journalAbbreviation":"Science of The Total Environment","page":"2054–2064","source":"ResearchGate","title":"A data-driven approach for the study of coagulation phenomena in waste lubricant oils and its relevance in alkaline regeneration treatments","volume":"599–600","author":[{"family":"Pinheiro","given":"Carolina"},{"family":"Ascensão","given":"Vanessa"},{"family":"Reis","given":"Marco"},{"family":"Quina","given":"Margarida"},{"family":"Gando-Ferreira","given":"Licínio"}],"issued":{"date-parts":[["2017",5,1]]}}}],"schema":"https://github.com/citation-style-language/schema/raw/master/csl-citation.json"} </w:instrText>
      </w:r>
      <w:r w:rsidR="00734A6C" w:rsidRPr="00860DA6">
        <w:fldChar w:fldCharType="separate"/>
      </w:r>
      <w:r w:rsidR="009C0CF4" w:rsidRPr="00860DA6">
        <w:t>(Pinheiro et al., 2017)</w:t>
      </w:r>
      <w:r w:rsidR="00734A6C" w:rsidRPr="00860DA6">
        <w:fldChar w:fldCharType="end"/>
      </w:r>
      <w:r w:rsidR="00734A6C" w:rsidRPr="00860DA6">
        <w:t>.</w:t>
      </w:r>
    </w:p>
    <w:p w14:paraId="2E8A0050" w14:textId="4C01F7B1" w:rsidR="00D42250" w:rsidRDefault="008D2649" w:rsidP="00D42250">
      <w:pPr>
        <w:pStyle w:val="Els-1storder-head"/>
        <w:spacing w:after="120"/>
        <w:rPr>
          <w:lang w:val="en-GB"/>
        </w:rPr>
      </w:pPr>
      <w:r w:rsidRPr="00A94774">
        <w:rPr>
          <w:lang w:val="en-GB"/>
        </w:rPr>
        <w:t>Conclusions</w:t>
      </w:r>
    </w:p>
    <w:p w14:paraId="530DFE88" w14:textId="5CD6B2FA" w:rsidR="007119C0" w:rsidRDefault="00A70F70" w:rsidP="00717690">
      <w:pPr>
        <w:pStyle w:val="Els-body-text"/>
        <w:spacing w:after="120"/>
      </w:pPr>
      <w:r>
        <w:t xml:space="preserve">Among the single-block models, those using the </w:t>
      </w:r>
      <w:r w:rsidR="00B54EE3">
        <w:t xml:space="preserve">NIR </w:t>
      </w:r>
      <w:r>
        <w:t>spectra presented the worst performances a</w:t>
      </w:r>
      <w:r w:rsidR="004D7136">
        <w:t xml:space="preserve">s </w:t>
      </w:r>
      <w:r>
        <w:t>even the best</w:t>
      </w:r>
      <w:r w:rsidR="004D7136">
        <w:t xml:space="preserve"> NIR single-block</w:t>
      </w:r>
      <w:r>
        <w:t xml:space="preserve"> model </w:t>
      </w:r>
      <w:r w:rsidR="008119E6">
        <w:t>only had an accuracy of</w:t>
      </w:r>
      <w:r>
        <w:t xml:space="preserve"> 0.5</w:t>
      </w:r>
      <w:r w:rsidR="00F900CA">
        <w:t>6</w:t>
      </w:r>
      <w:r>
        <w:t>. In turn, the MIR single-block models proved to be more informative, achieving an accuracy of 0.88.</w:t>
      </w:r>
      <w:r w:rsidR="00B66418">
        <w:t xml:space="preserve"> </w:t>
      </w:r>
      <w:r w:rsidR="008119E6">
        <w:t xml:space="preserve">The best performance was </w:t>
      </w:r>
      <w:r w:rsidR="004D7136">
        <w:t>attained</w:t>
      </w:r>
      <w:r w:rsidR="008119E6">
        <w:t xml:space="preserve"> </w:t>
      </w:r>
      <w:r w:rsidR="004D7136">
        <w:t>by</w:t>
      </w:r>
      <w:r w:rsidR="008119E6">
        <w:t xml:space="preserve"> </w:t>
      </w:r>
      <w:r w:rsidR="004D7136">
        <w:t xml:space="preserve">multiblock models </w:t>
      </w:r>
      <w:r w:rsidR="008119E6">
        <w:t>combin</w:t>
      </w:r>
      <w:r w:rsidR="004D7136">
        <w:t>ing</w:t>
      </w:r>
      <w:r w:rsidR="008119E6">
        <w:t xml:space="preserve"> </w:t>
      </w:r>
      <w:proofErr w:type="spellStart"/>
      <w:r w:rsidR="008119E6">
        <w:t>FiPLS</w:t>
      </w:r>
      <w:proofErr w:type="spellEnd"/>
      <w:r w:rsidR="008119E6">
        <w:t xml:space="preserve"> with variations of SGD</w:t>
      </w:r>
      <w:r w:rsidR="00CF3492">
        <w:t>.</w:t>
      </w:r>
      <w:r w:rsidR="00CF3492" w:rsidRPr="00CF3492">
        <w:t xml:space="preserve"> </w:t>
      </w:r>
      <w:r w:rsidR="00CF3492">
        <w:t xml:space="preserve">The best multiblock model had </w:t>
      </w:r>
      <w:r w:rsidR="00CF3492" w:rsidRPr="006C398A">
        <w:t>an accuracy of 0.9</w:t>
      </w:r>
      <w:r w:rsidR="006C398A" w:rsidRPr="006C398A">
        <w:t>4</w:t>
      </w:r>
      <w:r w:rsidR="00CF3492" w:rsidRPr="006C398A">
        <w:t xml:space="preserve">, which represents </w:t>
      </w:r>
      <w:r w:rsidR="00CF3492" w:rsidRPr="006C398A">
        <w:lastRenderedPageBreak/>
        <w:t xml:space="preserve">an improvement of </w:t>
      </w:r>
      <w:r w:rsidR="006C398A" w:rsidRPr="006C398A">
        <w:t>6.82 </w:t>
      </w:r>
      <w:r w:rsidR="00CF3492" w:rsidRPr="006C398A">
        <w:t>% against the best single-block model.</w:t>
      </w:r>
      <w:r w:rsidR="004D7136">
        <w:t xml:space="preserve"> For this case, </w:t>
      </w:r>
      <w:r w:rsidR="008119E6">
        <w:t xml:space="preserve">block scaling </w:t>
      </w:r>
      <w:r w:rsidR="004D7136">
        <w:t>had a</w:t>
      </w:r>
      <w:r w:rsidR="008119E6">
        <w:t xml:space="preserve"> less</w:t>
      </w:r>
      <w:r w:rsidR="007119C0">
        <w:t>er</w:t>
      </w:r>
      <w:r w:rsidR="008119E6">
        <w:t xml:space="preserve"> impact </w:t>
      </w:r>
      <w:r w:rsidR="00415C01">
        <w:t>on</w:t>
      </w:r>
      <w:r w:rsidR="008119E6">
        <w:t xml:space="preserve"> </w:t>
      </w:r>
      <w:r w:rsidR="004D7136">
        <w:t xml:space="preserve">performance since </w:t>
      </w:r>
      <w:proofErr w:type="spellStart"/>
      <w:r w:rsidRPr="008119E6">
        <w:t>FiPLS</w:t>
      </w:r>
      <w:proofErr w:type="spellEnd"/>
      <w:r w:rsidRPr="008119E6">
        <w:t xml:space="preserve"> </w:t>
      </w:r>
      <w:r w:rsidR="00CF3492" w:rsidRPr="008119E6">
        <w:t>tended to</w:t>
      </w:r>
      <w:r w:rsidRPr="008119E6">
        <w:t xml:space="preserve"> select intervals solely from the MIR spectra</w:t>
      </w:r>
      <w:r w:rsidR="00383BDE" w:rsidRPr="008119E6">
        <w:t>.</w:t>
      </w:r>
      <w:r w:rsidR="00CF3492">
        <w:t xml:space="preserve"> </w:t>
      </w:r>
      <w:r w:rsidR="00B66418">
        <w:t xml:space="preserve">Nevertheless, a few intervals from the NIR spectra </w:t>
      </w:r>
      <w:r w:rsidR="00B66418" w:rsidRPr="00B66418">
        <w:t xml:space="preserve">were also selected by the multiblock models. Thus, </w:t>
      </w:r>
      <w:r w:rsidR="00B66418" w:rsidRPr="00A62173">
        <w:t xml:space="preserve">it is concluded that incorporating MIR and NIR spectral information significantly enhances the predictive capability of </w:t>
      </w:r>
      <w:r w:rsidR="00307BED">
        <w:t xml:space="preserve">the </w:t>
      </w:r>
      <w:r w:rsidR="00B66418" w:rsidRPr="00A62173">
        <w:t xml:space="preserve">models. </w:t>
      </w:r>
      <w:r w:rsidR="00717690" w:rsidRPr="00AA564D">
        <w:t xml:space="preserve">The top models also </w:t>
      </w:r>
      <w:r w:rsidR="00717690" w:rsidRPr="00B66418">
        <w:t>point to the presence of esters as the most critical factor</w:t>
      </w:r>
      <w:r w:rsidR="00717690">
        <w:t xml:space="preserve"> for WLO coagulation, thus </w:t>
      </w:r>
      <w:r w:rsidR="00717690" w:rsidRPr="00AA564D">
        <w:t>provid</w:t>
      </w:r>
      <w:r w:rsidR="00717690">
        <w:t xml:space="preserve">ing </w:t>
      </w:r>
      <w:r w:rsidR="00717690" w:rsidRPr="00AA564D">
        <w:t xml:space="preserve">crucial insights into the coagulation phenomenon. </w:t>
      </w:r>
    </w:p>
    <w:p w14:paraId="4465E63D" w14:textId="77777777" w:rsidR="00576026" w:rsidRPr="00D846A9" w:rsidRDefault="00576026" w:rsidP="00576026">
      <w:pPr>
        <w:pStyle w:val="Els-1storder-head"/>
        <w:numPr>
          <w:ilvl w:val="0"/>
          <w:numId w:val="0"/>
        </w:numPr>
        <w:rPr>
          <w:color w:val="000000" w:themeColor="text1"/>
        </w:rPr>
      </w:pPr>
      <w:r w:rsidRPr="00D846A9">
        <w:rPr>
          <w:color w:val="000000" w:themeColor="text1"/>
        </w:rPr>
        <w:t>Acknowledgments</w:t>
      </w:r>
    </w:p>
    <w:p w14:paraId="64D9F0F4" w14:textId="4A4A87D6" w:rsidR="00202E83" w:rsidRDefault="00576026" w:rsidP="00555BAC">
      <w:pPr>
        <w:pStyle w:val="Els-body-text"/>
        <w:rPr>
          <w:color w:val="000000" w:themeColor="text1"/>
        </w:rPr>
      </w:pPr>
      <w:r w:rsidRPr="00D846A9">
        <w:rPr>
          <w:color w:val="000000" w:themeColor="text1"/>
        </w:rPr>
        <w:t xml:space="preserve">The authors gratefully acknowledge the financial support of SOGILUB – </w:t>
      </w:r>
      <w:proofErr w:type="spellStart"/>
      <w:r w:rsidRPr="00D846A9">
        <w:rPr>
          <w:color w:val="000000" w:themeColor="text1"/>
        </w:rPr>
        <w:t>Sociedade</w:t>
      </w:r>
      <w:proofErr w:type="spellEnd"/>
      <w:r w:rsidRPr="00D846A9">
        <w:rPr>
          <w:color w:val="000000" w:themeColor="text1"/>
        </w:rPr>
        <w:t xml:space="preserve"> de </w:t>
      </w:r>
      <w:proofErr w:type="spellStart"/>
      <w:r w:rsidRPr="00415C01">
        <w:rPr>
          <w:color w:val="000000" w:themeColor="text1"/>
        </w:rPr>
        <w:t>Gestão</w:t>
      </w:r>
      <w:proofErr w:type="spellEnd"/>
      <w:r w:rsidRPr="00415C01">
        <w:rPr>
          <w:color w:val="000000" w:themeColor="text1"/>
        </w:rPr>
        <w:t xml:space="preserve"> </w:t>
      </w:r>
      <w:proofErr w:type="spellStart"/>
      <w:r w:rsidRPr="00415C01">
        <w:rPr>
          <w:color w:val="000000" w:themeColor="text1"/>
        </w:rPr>
        <w:t>Integrada</w:t>
      </w:r>
      <w:proofErr w:type="spellEnd"/>
      <w:r w:rsidRPr="00415C01">
        <w:rPr>
          <w:color w:val="000000" w:themeColor="text1"/>
        </w:rPr>
        <w:t xml:space="preserve"> de </w:t>
      </w:r>
      <w:proofErr w:type="spellStart"/>
      <w:r w:rsidRPr="00415C01">
        <w:rPr>
          <w:color w:val="000000" w:themeColor="text1"/>
        </w:rPr>
        <w:t>Óleos</w:t>
      </w:r>
      <w:proofErr w:type="spellEnd"/>
      <w:r w:rsidRPr="00415C01">
        <w:rPr>
          <w:color w:val="000000" w:themeColor="text1"/>
        </w:rPr>
        <w:t xml:space="preserve"> </w:t>
      </w:r>
      <w:proofErr w:type="spellStart"/>
      <w:r w:rsidRPr="00415C01">
        <w:rPr>
          <w:color w:val="000000" w:themeColor="text1"/>
        </w:rPr>
        <w:t>Lubrificantes</w:t>
      </w:r>
      <w:proofErr w:type="spellEnd"/>
      <w:r w:rsidRPr="00415C01">
        <w:rPr>
          <w:color w:val="000000" w:themeColor="text1"/>
        </w:rPr>
        <w:t xml:space="preserve"> </w:t>
      </w:r>
      <w:proofErr w:type="spellStart"/>
      <w:r w:rsidRPr="00415C01">
        <w:rPr>
          <w:color w:val="000000" w:themeColor="text1"/>
        </w:rPr>
        <w:t>Usados</w:t>
      </w:r>
      <w:proofErr w:type="spellEnd"/>
      <w:r w:rsidRPr="00415C01">
        <w:rPr>
          <w:color w:val="000000" w:themeColor="text1"/>
        </w:rPr>
        <w:t xml:space="preserve">, </w:t>
      </w:r>
      <w:proofErr w:type="spellStart"/>
      <w:r w:rsidRPr="00415C01">
        <w:rPr>
          <w:color w:val="000000" w:themeColor="text1"/>
        </w:rPr>
        <w:t>Lda</w:t>
      </w:r>
      <w:proofErr w:type="spellEnd"/>
      <w:r w:rsidRPr="00415C01">
        <w:rPr>
          <w:color w:val="000000" w:themeColor="text1"/>
        </w:rPr>
        <w:t>. The authors also acknowledge the support from the Chemical Process Engineering and Forest Products Research Centre (CIEPQPF), which is financed by national funds from FCT/MCTES (reference UIDB/EQU/00102/2020).</w:t>
      </w:r>
    </w:p>
    <w:p w14:paraId="144DE6BF" w14:textId="608D0AD6" w:rsidR="008D2649" w:rsidRDefault="008D2649" w:rsidP="008D2649">
      <w:pPr>
        <w:pStyle w:val="Els-reference-head"/>
      </w:pPr>
      <w:r>
        <w:t>References</w:t>
      </w:r>
    </w:p>
    <w:p w14:paraId="655FD577" w14:textId="77777777" w:rsidR="00EB7A15" w:rsidRPr="00EB7A15" w:rsidRDefault="00940676" w:rsidP="00EB7A15">
      <w:pPr>
        <w:widowControl w:val="0"/>
        <w:autoSpaceDE w:val="0"/>
        <w:autoSpaceDN w:val="0"/>
        <w:adjustRightInd w:val="0"/>
        <w:ind w:left="284" w:hanging="284"/>
        <w:rPr>
          <w:sz w:val="18"/>
        </w:rPr>
      </w:pPr>
      <w:r w:rsidRPr="007529E9">
        <w:fldChar w:fldCharType="begin"/>
      </w:r>
      <w:r w:rsidR="00EB7A15">
        <w:instrText xml:space="preserve"> ADDIN ZOTERO_BIBL {"uncited":[],"omitted":[],"custom":[]} CSL_BIBLIOGRAPHY </w:instrText>
      </w:r>
      <w:r w:rsidRPr="007529E9">
        <w:fldChar w:fldCharType="separate"/>
      </w:r>
      <w:r w:rsidR="00EB7A15" w:rsidRPr="00EB7A15">
        <w:rPr>
          <w:sz w:val="18"/>
        </w:rPr>
        <w:t>M. Barker, W. Rayens, 2003, Partial Least Squares for Discrimination, Journal of Chemometrics, 17, 166–173.</w:t>
      </w:r>
    </w:p>
    <w:p w14:paraId="288D30D1" w14:textId="77777777" w:rsidR="00EB7A15" w:rsidRPr="00EB7A15" w:rsidRDefault="00EB7A15" w:rsidP="00EB7A15">
      <w:pPr>
        <w:widowControl w:val="0"/>
        <w:autoSpaceDE w:val="0"/>
        <w:autoSpaceDN w:val="0"/>
        <w:adjustRightInd w:val="0"/>
        <w:ind w:left="284" w:hanging="284"/>
        <w:rPr>
          <w:sz w:val="18"/>
        </w:rPr>
      </w:pPr>
      <w:r w:rsidRPr="00EB7A15">
        <w:rPr>
          <w:sz w:val="18"/>
        </w:rPr>
        <w:t>M. Campos, M. Reis, 2020, Data Preprocessing for Multiblock Modelling – A Systematization with New Methods, Chemometrics and Intelligent Laboratory Systems, 199, 103959.</w:t>
      </w:r>
    </w:p>
    <w:p w14:paraId="4B967BB2" w14:textId="77777777" w:rsidR="00EB7A15" w:rsidRPr="00EB7A15" w:rsidRDefault="00EB7A15" w:rsidP="00EB7A15">
      <w:pPr>
        <w:widowControl w:val="0"/>
        <w:autoSpaceDE w:val="0"/>
        <w:autoSpaceDN w:val="0"/>
        <w:adjustRightInd w:val="0"/>
        <w:ind w:left="284" w:hanging="284"/>
        <w:rPr>
          <w:sz w:val="18"/>
        </w:rPr>
      </w:pPr>
      <w:r w:rsidRPr="00EB7A15">
        <w:rPr>
          <w:sz w:val="18"/>
        </w:rPr>
        <w:t>M.P. Campos, R. Sousa, A.C. Pereira, M.S. Reis, 2017, Advanced Predictive Methods for Wine Age Prediction: Part II – A Comparison Study of Multiblock Regression Approaches, Talanta, 171, 132–142.</w:t>
      </w:r>
    </w:p>
    <w:p w14:paraId="67143739" w14:textId="77777777" w:rsidR="00EB7A15" w:rsidRPr="00EB7A15" w:rsidRDefault="00EB7A15" w:rsidP="00EB7A15">
      <w:pPr>
        <w:widowControl w:val="0"/>
        <w:autoSpaceDE w:val="0"/>
        <w:autoSpaceDN w:val="0"/>
        <w:adjustRightInd w:val="0"/>
        <w:ind w:left="284" w:hanging="284"/>
        <w:rPr>
          <w:sz w:val="18"/>
        </w:rPr>
      </w:pPr>
      <w:r w:rsidRPr="00EB7A15">
        <w:rPr>
          <w:sz w:val="18"/>
        </w:rPr>
        <w:t>P. Geladi, D. MacDougall, H. Martens, 1985, Linearization and Scatter-Correction for Near-Infrared Reflectance Spectra of Meat, Applied Spectroscopy, 39, 491–500.</w:t>
      </w:r>
    </w:p>
    <w:p w14:paraId="0D978490" w14:textId="77777777" w:rsidR="00EB7A15" w:rsidRPr="00EB7A15" w:rsidRDefault="00EB7A15" w:rsidP="00EB7A15">
      <w:pPr>
        <w:widowControl w:val="0"/>
        <w:autoSpaceDE w:val="0"/>
        <w:autoSpaceDN w:val="0"/>
        <w:adjustRightInd w:val="0"/>
        <w:ind w:left="284" w:hanging="284"/>
        <w:rPr>
          <w:sz w:val="18"/>
        </w:rPr>
      </w:pPr>
      <w:r w:rsidRPr="00EB7A15">
        <w:rPr>
          <w:sz w:val="18"/>
        </w:rPr>
        <w:t>T. Hastie, R. Tibshirani, J. Friedman, 2009, The Elements of Statistical Learning: Data Mining, Inference, and Prediction, 2nd ed, Springer, New York, NY.</w:t>
      </w:r>
    </w:p>
    <w:p w14:paraId="08C54FA6" w14:textId="77777777" w:rsidR="00EB7A15" w:rsidRPr="00EB7A15" w:rsidRDefault="00EB7A15" w:rsidP="00EB7A15">
      <w:pPr>
        <w:widowControl w:val="0"/>
        <w:autoSpaceDE w:val="0"/>
        <w:autoSpaceDN w:val="0"/>
        <w:adjustRightInd w:val="0"/>
        <w:ind w:left="284" w:hanging="284"/>
        <w:rPr>
          <w:sz w:val="18"/>
        </w:rPr>
      </w:pPr>
      <w:r w:rsidRPr="00EB7A15">
        <w:rPr>
          <w:sz w:val="18"/>
        </w:rPr>
        <w:t>T. Næs, R. Romano, O. Tomic, I. Måge, A. Smilde, K.H. Liland, 2020, Sequential and Orthogonalized PLS (SO-PLS) Regression for Path Analysis: Order of Blocks and Relations between Effects, Journal of Chemometrics, e3243.</w:t>
      </w:r>
    </w:p>
    <w:p w14:paraId="148D43C9" w14:textId="77777777" w:rsidR="00EB7A15" w:rsidRPr="00EB7A15" w:rsidRDefault="00EB7A15" w:rsidP="00EB7A15">
      <w:pPr>
        <w:widowControl w:val="0"/>
        <w:autoSpaceDE w:val="0"/>
        <w:autoSpaceDN w:val="0"/>
        <w:adjustRightInd w:val="0"/>
        <w:ind w:left="284" w:hanging="284"/>
        <w:rPr>
          <w:sz w:val="18"/>
        </w:rPr>
      </w:pPr>
      <w:r w:rsidRPr="00EB7A15">
        <w:rPr>
          <w:sz w:val="18"/>
        </w:rPr>
        <w:t>L. Nørgaard, A. Saudland, J. Wagner, J.P. Nielsen, L. Munck, S.B. Engelsen, 2000, Interval Partial Least-Squares Regression (iPLS): A Comparative Chemometric Study with an Example from Near-Infrared Spectroscopy.</w:t>
      </w:r>
    </w:p>
    <w:p w14:paraId="0A6E3D81" w14:textId="77777777" w:rsidR="00EB7A15" w:rsidRPr="00EB7A15" w:rsidRDefault="00EB7A15" w:rsidP="00EB7A15">
      <w:pPr>
        <w:widowControl w:val="0"/>
        <w:autoSpaceDE w:val="0"/>
        <w:autoSpaceDN w:val="0"/>
        <w:adjustRightInd w:val="0"/>
        <w:ind w:left="284" w:hanging="284"/>
        <w:rPr>
          <w:sz w:val="18"/>
        </w:rPr>
      </w:pPr>
      <w:r w:rsidRPr="00EB7A15">
        <w:rPr>
          <w:sz w:val="18"/>
        </w:rPr>
        <w:t>C. Pinheiro, V. Ascensão, M. Reis, M. Quina, L. Gando-Ferreira, 2017, A Data-Driven Approach for the Study of Coagulation Phenomena in Waste Lubricant Oils and Its Relevance in Alkaline Regeneration Treatments, Science of The Total Environment, 599–600, 2054–2064.</w:t>
      </w:r>
    </w:p>
    <w:p w14:paraId="423A3C47" w14:textId="77777777" w:rsidR="00EB7A15" w:rsidRPr="00EB7A15" w:rsidRDefault="00EB7A15" w:rsidP="00EB7A15">
      <w:pPr>
        <w:widowControl w:val="0"/>
        <w:autoSpaceDE w:val="0"/>
        <w:autoSpaceDN w:val="0"/>
        <w:adjustRightInd w:val="0"/>
        <w:ind w:left="284" w:hanging="284"/>
        <w:rPr>
          <w:sz w:val="18"/>
        </w:rPr>
      </w:pPr>
      <w:r w:rsidRPr="00EB7A15">
        <w:rPr>
          <w:sz w:val="18"/>
        </w:rPr>
        <w:t>T.J. Rato, M.S. Reis, 2019, SS-DAC: A Systematic Framework for Selecting the Best Modeling Approach and Pre-Processing for Spectroscopic Data, Computers &amp; Chemical Engineering, 128, 437–449.</w:t>
      </w:r>
    </w:p>
    <w:p w14:paraId="4F275565" w14:textId="77777777" w:rsidR="00EB7A15" w:rsidRPr="00EB7A15" w:rsidRDefault="00EB7A15" w:rsidP="00EB7A15">
      <w:pPr>
        <w:widowControl w:val="0"/>
        <w:autoSpaceDE w:val="0"/>
        <w:autoSpaceDN w:val="0"/>
        <w:adjustRightInd w:val="0"/>
        <w:ind w:left="284" w:hanging="284"/>
        <w:rPr>
          <w:sz w:val="18"/>
        </w:rPr>
      </w:pPr>
      <w:r w:rsidRPr="00EB7A15">
        <w:rPr>
          <w:sz w:val="18"/>
        </w:rPr>
        <w:t>A. Savitzky, M.J.E. Golay, 1964, Smoothing and Differentiation of Data by Simplified Least Squares Procedures, Analytical Chemistry, 36, 1627–1639.</w:t>
      </w:r>
    </w:p>
    <w:p w14:paraId="3303E938" w14:textId="77777777" w:rsidR="00EB7A15" w:rsidRPr="00EB7A15" w:rsidRDefault="00EB7A15" w:rsidP="00EB7A15">
      <w:pPr>
        <w:widowControl w:val="0"/>
        <w:autoSpaceDE w:val="0"/>
        <w:autoSpaceDN w:val="0"/>
        <w:adjustRightInd w:val="0"/>
        <w:ind w:left="284" w:hanging="284"/>
        <w:rPr>
          <w:sz w:val="18"/>
        </w:rPr>
      </w:pPr>
      <w:r w:rsidRPr="00EB7A15">
        <w:rPr>
          <w:sz w:val="18"/>
        </w:rPr>
        <w:t>L.E. Wangen, B.R. Kowalski, 1989, A multiblock partial least squares algorithm for investigating complex chemical systems, Journal of Chemometrics, 3, 3–20.</w:t>
      </w:r>
    </w:p>
    <w:p w14:paraId="3816E7E7" w14:textId="77777777" w:rsidR="00EB7A15" w:rsidRPr="00EB7A15" w:rsidRDefault="00EB7A15" w:rsidP="00EB7A15">
      <w:pPr>
        <w:widowControl w:val="0"/>
        <w:autoSpaceDE w:val="0"/>
        <w:autoSpaceDN w:val="0"/>
        <w:adjustRightInd w:val="0"/>
        <w:ind w:left="284" w:hanging="284"/>
        <w:rPr>
          <w:sz w:val="18"/>
        </w:rPr>
      </w:pPr>
      <w:r w:rsidRPr="00EB7A15">
        <w:rPr>
          <w:sz w:val="18"/>
        </w:rPr>
        <w:t>J.W.J. Weyer Lois, 2012, Practical Guide and Spectral Atlas for Interpretive Near-Infrared Spectroscopy, 2nd ed, CRC Press, Boca Raton.</w:t>
      </w:r>
    </w:p>
    <w:p w14:paraId="61CB6B99" w14:textId="77777777" w:rsidR="00EB7A15" w:rsidRPr="00EB7A15" w:rsidRDefault="00EB7A15" w:rsidP="00EB7A15">
      <w:pPr>
        <w:widowControl w:val="0"/>
        <w:autoSpaceDE w:val="0"/>
        <w:autoSpaceDN w:val="0"/>
        <w:adjustRightInd w:val="0"/>
        <w:ind w:left="284" w:hanging="284"/>
        <w:rPr>
          <w:sz w:val="18"/>
        </w:rPr>
      </w:pPr>
      <w:r w:rsidRPr="00EB7A15">
        <w:rPr>
          <w:sz w:val="18"/>
        </w:rPr>
        <w:t>F. Wilcoxon, 1945, Individual Comparisons by Ranking Methods, Biometrics Bulletin, 1, 80–83.</w:t>
      </w:r>
    </w:p>
    <w:p w14:paraId="53EBAEE3" w14:textId="77777777" w:rsidR="00EB7A15" w:rsidRPr="00EB7A15" w:rsidRDefault="00EB7A15" w:rsidP="00EB7A15">
      <w:pPr>
        <w:widowControl w:val="0"/>
        <w:autoSpaceDE w:val="0"/>
        <w:autoSpaceDN w:val="0"/>
        <w:adjustRightInd w:val="0"/>
        <w:ind w:left="284" w:hanging="284"/>
        <w:rPr>
          <w:sz w:val="18"/>
        </w:rPr>
      </w:pPr>
      <w:r w:rsidRPr="00EB7A15">
        <w:rPr>
          <w:sz w:val="18"/>
        </w:rPr>
        <w:t>S. Wold, S. Hellberg, T. Lundstedt, M. Sjostrom, H. Wold, 1987, PLS Modeling with Latent Variables in Two or More Dimensions, Frankfurt am Main.</w:t>
      </w:r>
    </w:p>
    <w:p w14:paraId="13A1204C" w14:textId="77777777" w:rsidR="00EB7A15" w:rsidRPr="00EB7A15" w:rsidRDefault="00EB7A15" w:rsidP="00EB7A15">
      <w:pPr>
        <w:widowControl w:val="0"/>
        <w:autoSpaceDE w:val="0"/>
        <w:autoSpaceDN w:val="0"/>
        <w:adjustRightInd w:val="0"/>
        <w:ind w:left="284" w:hanging="284"/>
        <w:rPr>
          <w:sz w:val="18"/>
        </w:rPr>
      </w:pPr>
      <w:r w:rsidRPr="00EB7A15">
        <w:rPr>
          <w:sz w:val="18"/>
        </w:rPr>
        <w:t>S. Wold, M. Sjöström, L. Eriksson, 2001, PLS-Regression: A Basic Tool of Chemometrics, Chemometrics and Intelligent Laboratory Systems, 58, 109–130.</w:t>
      </w:r>
    </w:p>
    <w:p w14:paraId="144DE6C3" w14:textId="123147E7" w:rsidR="008D2649" w:rsidRPr="007529E9" w:rsidRDefault="00EB7A15" w:rsidP="00EB7A15">
      <w:pPr>
        <w:widowControl w:val="0"/>
        <w:autoSpaceDE w:val="0"/>
        <w:autoSpaceDN w:val="0"/>
        <w:adjustRightInd w:val="0"/>
        <w:ind w:left="284" w:hanging="284"/>
      </w:pPr>
      <w:r w:rsidRPr="00EB7A15">
        <w:rPr>
          <w:sz w:val="18"/>
        </w:rPr>
        <w:t>Z. Xiaobo, Z. Jiewen, H. Xingyi, L. Yanxiao, 2007, Use of FT-NIR Spectrometry in Non-Invasive Measurements of Soluble Solid Contents (SSC) of “Fuji” Apple Based on Different PLS Models, Chemometrics and Intelligent Laboratory Systems, 87, 43–51.</w:t>
      </w:r>
      <w:r w:rsidR="00940676" w:rsidRPr="007529E9">
        <w:fldChar w:fldCharType="end"/>
      </w:r>
    </w:p>
    <w:sectPr w:rsidR="008D2649" w:rsidRPr="007529E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16D6" w14:textId="77777777" w:rsidR="00AC0E1B" w:rsidRDefault="00AC0E1B">
      <w:r>
        <w:separator/>
      </w:r>
    </w:p>
  </w:endnote>
  <w:endnote w:type="continuationSeparator" w:id="0">
    <w:p w14:paraId="58C323F2" w14:textId="77777777" w:rsidR="00AC0E1B" w:rsidRDefault="00AC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EC70" w14:textId="77777777" w:rsidR="00AC0E1B" w:rsidRDefault="00AC0E1B">
      <w:r>
        <w:separator/>
      </w:r>
    </w:p>
  </w:footnote>
  <w:footnote w:type="continuationSeparator" w:id="0">
    <w:p w14:paraId="0616ED58" w14:textId="77777777" w:rsidR="00AC0E1B" w:rsidRDefault="00AC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A4B" w14:textId="0B9BB9AC" w:rsidR="00B339A7" w:rsidRPr="00B339A7" w:rsidRDefault="00DD3D9E">
    <w:pPr>
      <w:pStyle w:val="Cabealho"/>
      <w:tabs>
        <w:tab w:val="clear" w:pos="7200"/>
        <w:tab w:val="right" w:pos="7088"/>
      </w:tabs>
      <w:rPr>
        <w:i/>
      </w:rPr>
    </w:pPr>
    <w:r>
      <w:rPr>
        <w:rStyle w:val="Nmerodepgina"/>
      </w:rPr>
      <w:tab/>
    </w:r>
    <w:r>
      <w:rPr>
        <w:rStyle w:val="Nmerodepgina"/>
        <w:i/>
      </w:rPr>
      <w:tab/>
    </w:r>
    <w:r w:rsidR="00B339A7">
      <w:rPr>
        <w:i/>
      </w:rPr>
      <w:t>R. Gariso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FBD15D9" w:rsidR="00DD3D9E" w:rsidRDefault="00500F6F" w:rsidP="00500F6F">
    <w:pPr>
      <w:pStyle w:val="Cabealho"/>
      <w:tabs>
        <w:tab w:val="clear" w:pos="7200"/>
        <w:tab w:val="right" w:pos="7088"/>
      </w:tabs>
      <w:rPr>
        <w:sz w:val="24"/>
      </w:rPr>
    </w:pPr>
    <w:r w:rsidRPr="00500F6F">
      <w:rPr>
        <w:i/>
      </w:rPr>
      <w:t>Predicting the coagulation potential of waste lubricant oils (WLO) using multiblock machine learning of NIR and MIR spectroscopy</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C4C7564"/>
    <w:multiLevelType w:val="hybridMultilevel"/>
    <w:tmpl w:val="B1549866"/>
    <w:lvl w:ilvl="0" w:tplc="80A0FC74">
      <w:start w:val="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430E"/>
    <w:multiLevelType w:val="hybridMultilevel"/>
    <w:tmpl w:val="E112111C"/>
    <w:lvl w:ilvl="0" w:tplc="987695DE">
      <w:start w:val="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30FEE"/>
    <w:multiLevelType w:val="hybridMultilevel"/>
    <w:tmpl w:val="8E4EB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BEA28B6"/>
    <w:multiLevelType w:val="hybridMultilevel"/>
    <w:tmpl w:val="221CDDF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B2E61"/>
    <w:multiLevelType w:val="hybridMultilevel"/>
    <w:tmpl w:val="6B94900A"/>
    <w:lvl w:ilvl="0" w:tplc="6BFAE8EC">
      <w:start w:val="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05C0F"/>
    <w:multiLevelType w:val="hybridMultilevel"/>
    <w:tmpl w:val="981CE87C"/>
    <w:lvl w:ilvl="0" w:tplc="A724B6A6">
      <w:start w:val="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66E33"/>
    <w:multiLevelType w:val="hybridMultilevel"/>
    <w:tmpl w:val="EA20505A"/>
    <w:lvl w:ilvl="0" w:tplc="522CE49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5F8670C6"/>
    <w:multiLevelType w:val="hybridMultilevel"/>
    <w:tmpl w:val="76E22F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8"/>
  </w:num>
  <w:num w:numId="2" w16cid:durableId="47382885">
    <w:abstractNumId w:val="18"/>
  </w:num>
  <w:num w:numId="3" w16cid:durableId="967853731">
    <w:abstractNumId w:val="18"/>
  </w:num>
  <w:num w:numId="4" w16cid:durableId="1739282265">
    <w:abstractNumId w:val="18"/>
  </w:num>
  <w:num w:numId="5" w16cid:durableId="698892343">
    <w:abstractNumId w:val="0"/>
  </w:num>
  <w:num w:numId="6" w16cid:durableId="1660883641">
    <w:abstractNumId w:val="10"/>
  </w:num>
  <w:num w:numId="7" w16cid:durableId="1863349795">
    <w:abstractNumId w:val="19"/>
  </w:num>
  <w:num w:numId="8" w16cid:durableId="1750734252">
    <w:abstractNumId w:val="4"/>
  </w:num>
  <w:num w:numId="9" w16cid:durableId="203061615">
    <w:abstractNumId w:val="17"/>
  </w:num>
  <w:num w:numId="10" w16cid:durableId="1478497114">
    <w:abstractNumId w:val="22"/>
  </w:num>
  <w:num w:numId="11" w16cid:durableId="1896693444">
    <w:abstractNumId w:val="21"/>
  </w:num>
  <w:num w:numId="12" w16cid:durableId="774787662">
    <w:abstractNumId w:val="9"/>
  </w:num>
  <w:num w:numId="13" w16cid:durableId="1525900646">
    <w:abstractNumId w:val="15"/>
  </w:num>
  <w:num w:numId="14" w16cid:durableId="1455515963">
    <w:abstractNumId w:val="6"/>
  </w:num>
  <w:num w:numId="15" w16cid:durableId="446657998">
    <w:abstractNumId w:val="11"/>
  </w:num>
  <w:num w:numId="16" w16cid:durableId="322592235">
    <w:abstractNumId w:val="7"/>
  </w:num>
  <w:num w:numId="17" w16cid:durableId="596719075">
    <w:abstractNumId w:val="8"/>
  </w:num>
  <w:num w:numId="18" w16cid:durableId="886648604">
    <w:abstractNumId w:val="16"/>
  </w:num>
  <w:num w:numId="19" w16cid:durableId="1400595140">
    <w:abstractNumId w:val="13"/>
  </w:num>
  <w:num w:numId="20" w16cid:durableId="404231203">
    <w:abstractNumId w:val="12"/>
  </w:num>
  <w:num w:numId="21" w16cid:durableId="1024138199">
    <w:abstractNumId w:val="1"/>
  </w:num>
  <w:num w:numId="22" w16cid:durableId="43798631">
    <w:abstractNumId w:val="2"/>
  </w:num>
  <w:num w:numId="23" w16cid:durableId="1130855894">
    <w:abstractNumId w:val="20"/>
  </w:num>
  <w:num w:numId="24" w16cid:durableId="718166879">
    <w:abstractNumId w:val="5"/>
  </w:num>
  <w:num w:numId="25" w16cid:durableId="1559702174">
    <w:abstractNumId w:val="14"/>
  </w:num>
  <w:num w:numId="26" w16cid:durableId="239755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708"/>
    <w:rsid w:val="00003496"/>
    <w:rsid w:val="00003BAE"/>
    <w:rsid w:val="000079BE"/>
    <w:rsid w:val="00015DA3"/>
    <w:rsid w:val="000163D5"/>
    <w:rsid w:val="00016D16"/>
    <w:rsid w:val="0002147B"/>
    <w:rsid w:val="00021BF7"/>
    <w:rsid w:val="000247D4"/>
    <w:rsid w:val="00026A64"/>
    <w:rsid w:val="00030A35"/>
    <w:rsid w:val="0003475B"/>
    <w:rsid w:val="00036AD4"/>
    <w:rsid w:val="000411F9"/>
    <w:rsid w:val="000463D5"/>
    <w:rsid w:val="0005173A"/>
    <w:rsid w:val="00051D82"/>
    <w:rsid w:val="000546D2"/>
    <w:rsid w:val="00054BBA"/>
    <w:rsid w:val="000608D0"/>
    <w:rsid w:val="00065054"/>
    <w:rsid w:val="00070E45"/>
    <w:rsid w:val="00072D1D"/>
    <w:rsid w:val="000749F5"/>
    <w:rsid w:val="00077097"/>
    <w:rsid w:val="0008219A"/>
    <w:rsid w:val="00082E32"/>
    <w:rsid w:val="00082FD5"/>
    <w:rsid w:val="000870A0"/>
    <w:rsid w:val="00087B91"/>
    <w:rsid w:val="00090C85"/>
    <w:rsid w:val="00092068"/>
    <w:rsid w:val="00092E7D"/>
    <w:rsid w:val="00095645"/>
    <w:rsid w:val="00095B3B"/>
    <w:rsid w:val="00095F0B"/>
    <w:rsid w:val="000975C5"/>
    <w:rsid w:val="00097CF8"/>
    <w:rsid w:val="000A058F"/>
    <w:rsid w:val="000A0E96"/>
    <w:rsid w:val="000A1984"/>
    <w:rsid w:val="000A323F"/>
    <w:rsid w:val="000B2579"/>
    <w:rsid w:val="000B2731"/>
    <w:rsid w:val="000C219E"/>
    <w:rsid w:val="000C310C"/>
    <w:rsid w:val="000C5158"/>
    <w:rsid w:val="000C5246"/>
    <w:rsid w:val="000C5C5F"/>
    <w:rsid w:val="000C697E"/>
    <w:rsid w:val="000C72C1"/>
    <w:rsid w:val="000D11B1"/>
    <w:rsid w:val="000D2423"/>
    <w:rsid w:val="000D2662"/>
    <w:rsid w:val="000D39BE"/>
    <w:rsid w:val="000D3D9B"/>
    <w:rsid w:val="000D5546"/>
    <w:rsid w:val="000E3EE1"/>
    <w:rsid w:val="000E4D23"/>
    <w:rsid w:val="000E6E8C"/>
    <w:rsid w:val="000F0F42"/>
    <w:rsid w:val="00100B83"/>
    <w:rsid w:val="0010312E"/>
    <w:rsid w:val="00105E3A"/>
    <w:rsid w:val="00106C24"/>
    <w:rsid w:val="00121572"/>
    <w:rsid w:val="00123904"/>
    <w:rsid w:val="001279DA"/>
    <w:rsid w:val="0013270B"/>
    <w:rsid w:val="00133528"/>
    <w:rsid w:val="00133D13"/>
    <w:rsid w:val="001357E4"/>
    <w:rsid w:val="0013587C"/>
    <w:rsid w:val="00135E31"/>
    <w:rsid w:val="00137C54"/>
    <w:rsid w:val="00143F19"/>
    <w:rsid w:val="00151F8D"/>
    <w:rsid w:val="00152B96"/>
    <w:rsid w:val="00153857"/>
    <w:rsid w:val="00156808"/>
    <w:rsid w:val="0016032F"/>
    <w:rsid w:val="0016158A"/>
    <w:rsid w:val="00161CEA"/>
    <w:rsid w:val="00164F94"/>
    <w:rsid w:val="00165C4A"/>
    <w:rsid w:val="001668D8"/>
    <w:rsid w:val="00172E38"/>
    <w:rsid w:val="00173412"/>
    <w:rsid w:val="001810E1"/>
    <w:rsid w:val="001831DC"/>
    <w:rsid w:val="001846D2"/>
    <w:rsid w:val="001879F6"/>
    <w:rsid w:val="00195CA9"/>
    <w:rsid w:val="001A177C"/>
    <w:rsid w:val="001A3D7A"/>
    <w:rsid w:val="001A7630"/>
    <w:rsid w:val="001B10D2"/>
    <w:rsid w:val="001B1D51"/>
    <w:rsid w:val="001B20CF"/>
    <w:rsid w:val="001B42C4"/>
    <w:rsid w:val="001C0148"/>
    <w:rsid w:val="001C066B"/>
    <w:rsid w:val="001C207D"/>
    <w:rsid w:val="001C3AA3"/>
    <w:rsid w:val="001C5269"/>
    <w:rsid w:val="001C607A"/>
    <w:rsid w:val="001C757E"/>
    <w:rsid w:val="001D1792"/>
    <w:rsid w:val="001D4803"/>
    <w:rsid w:val="001E0CFE"/>
    <w:rsid w:val="001E1DAA"/>
    <w:rsid w:val="001E2C1E"/>
    <w:rsid w:val="001E3162"/>
    <w:rsid w:val="001E4691"/>
    <w:rsid w:val="00202E83"/>
    <w:rsid w:val="0020390F"/>
    <w:rsid w:val="00207C36"/>
    <w:rsid w:val="00214341"/>
    <w:rsid w:val="00220596"/>
    <w:rsid w:val="0022274F"/>
    <w:rsid w:val="0022295E"/>
    <w:rsid w:val="002262CC"/>
    <w:rsid w:val="00226FA2"/>
    <w:rsid w:val="00227036"/>
    <w:rsid w:val="00232CD1"/>
    <w:rsid w:val="00236E7F"/>
    <w:rsid w:val="00240828"/>
    <w:rsid w:val="002439DE"/>
    <w:rsid w:val="00244697"/>
    <w:rsid w:val="00244EA4"/>
    <w:rsid w:val="0024539F"/>
    <w:rsid w:val="00245491"/>
    <w:rsid w:val="00245680"/>
    <w:rsid w:val="002514B4"/>
    <w:rsid w:val="00252DBA"/>
    <w:rsid w:val="00253027"/>
    <w:rsid w:val="00256839"/>
    <w:rsid w:val="0025761E"/>
    <w:rsid w:val="00263BE3"/>
    <w:rsid w:val="00264922"/>
    <w:rsid w:val="00264926"/>
    <w:rsid w:val="0026711E"/>
    <w:rsid w:val="00267343"/>
    <w:rsid w:val="00271D0C"/>
    <w:rsid w:val="002747BD"/>
    <w:rsid w:val="00281007"/>
    <w:rsid w:val="00283E67"/>
    <w:rsid w:val="00285A6F"/>
    <w:rsid w:val="00285ACD"/>
    <w:rsid w:val="00285F62"/>
    <w:rsid w:val="002879CB"/>
    <w:rsid w:val="00292BAA"/>
    <w:rsid w:val="00295E89"/>
    <w:rsid w:val="002971DB"/>
    <w:rsid w:val="002A47B0"/>
    <w:rsid w:val="002A518F"/>
    <w:rsid w:val="002A5C85"/>
    <w:rsid w:val="002A5C91"/>
    <w:rsid w:val="002A713C"/>
    <w:rsid w:val="002B36DB"/>
    <w:rsid w:val="002B39B5"/>
    <w:rsid w:val="002B4198"/>
    <w:rsid w:val="002B47A1"/>
    <w:rsid w:val="002B7762"/>
    <w:rsid w:val="002C640D"/>
    <w:rsid w:val="002C7BC9"/>
    <w:rsid w:val="002D3D77"/>
    <w:rsid w:val="002D5132"/>
    <w:rsid w:val="002D582A"/>
    <w:rsid w:val="002D6220"/>
    <w:rsid w:val="002E2AC2"/>
    <w:rsid w:val="002E4368"/>
    <w:rsid w:val="002E7A47"/>
    <w:rsid w:val="002F17C9"/>
    <w:rsid w:val="002F197D"/>
    <w:rsid w:val="002F4074"/>
    <w:rsid w:val="002F4853"/>
    <w:rsid w:val="00303883"/>
    <w:rsid w:val="00304374"/>
    <w:rsid w:val="00307BED"/>
    <w:rsid w:val="003117E1"/>
    <w:rsid w:val="00316354"/>
    <w:rsid w:val="003206DC"/>
    <w:rsid w:val="00321010"/>
    <w:rsid w:val="0033461F"/>
    <w:rsid w:val="0033467D"/>
    <w:rsid w:val="003360C9"/>
    <w:rsid w:val="0033635A"/>
    <w:rsid w:val="00336EE2"/>
    <w:rsid w:val="003371AE"/>
    <w:rsid w:val="003421AD"/>
    <w:rsid w:val="003434BD"/>
    <w:rsid w:val="003538E1"/>
    <w:rsid w:val="003543A4"/>
    <w:rsid w:val="00354E7B"/>
    <w:rsid w:val="00356799"/>
    <w:rsid w:val="003576C0"/>
    <w:rsid w:val="00360132"/>
    <w:rsid w:val="00361485"/>
    <w:rsid w:val="00362D0D"/>
    <w:rsid w:val="00382442"/>
    <w:rsid w:val="00382719"/>
    <w:rsid w:val="00383BDE"/>
    <w:rsid w:val="00383C9D"/>
    <w:rsid w:val="00385A6C"/>
    <w:rsid w:val="003903B6"/>
    <w:rsid w:val="00390FF4"/>
    <w:rsid w:val="00392CA0"/>
    <w:rsid w:val="003959E4"/>
    <w:rsid w:val="003A01E9"/>
    <w:rsid w:val="003A0AAD"/>
    <w:rsid w:val="003A1AEA"/>
    <w:rsid w:val="003A4075"/>
    <w:rsid w:val="003B0975"/>
    <w:rsid w:val="003B3449"/>
    <w:rsid w:val="003B3B69"/>
    <w:rsid w:val="003B3B9D"/>
    <w:rsid w:val="003B4411"/>
    <w:rsid w:val="003B5B17"/>
    <w:rsid w:val="003B728C"/>
    <w:rsid w:val="003C20F3"/>
    <w:rsid w:val="003C4026"/>
    <w:rsid w:val="003D11B8"/>
    <w:rsid w:val="003D1582"/>
    <w:rsid w:val="003D7E4C"/>
    <w:rsid w:val="003E166D"/>
    <w:rsid w:val="003E3F0F"/>
    <w:rsid w:val="003E41C2"/>
    <w:rsid w:val="003E49B1"/>
    <w:rsid w:val="003E72E5"/>
    <w:rsid w:val="003F0422"/>
    <w:rsid w:val="003F317C"/>
    <w:rsid w:val="003F5D26"/>
    <w:rsid w:val="00407C2C"/>
    <w:rsid w:val="00407C3B"/>
    <w:rsid w:val="00411354"/>
    <w:rsid w:val="0041144C"/>
    <w:rsid w:val="00411CE1"/>
    <w:rsid w:val="00412CE6"/>
    <w:rsid w:val="00415C01"/>
    <w:rsid w:val="00421963"/>
    <w:rsid w:val="0042254A"/>
    <w:rsid w:val="004232C5"/>
    <w:rsid w:val="004278FB"/>
    <w:rsid w:val="0043099D"/>
    <w:rsid w:val="00430D0E"/>
    <w:rsid w:val="00433268"/>
    <w:rsid w:val="00442E11"/>
    <w:rsid w:val="0044415E"/>
    <w:rsid w:val="00447FB7"/>
    <w:rsid w:val="0045032A"/>
    <w:rsid w:val="004512B7"/>
    <w:rsid w:val="00451931"/>
    <w:rsid w:val="00454347"/>
    <w:rsid w:val="00454EED"/>
    <w:rsid w:val="00454FCF"/>
    <w:rsid w:val="004613C4"/>
    <w:rsid w:val="00462C45"/>
    <w:rsid w:val="004668B2"/>
    <w:rsid w:val="004704A8"/>
    <w:rsid w:val="00470C08"/>
    <w:rsid w:val="00471F78"/>
    <w:rsid w:val="00473031"/>
    <w:rsid w:val="00474B38"/>
    <w:rsid w:val="004757B6"/>
    <w:rsid w:val="004760A4"/>
    <w:rsid w:val="004767AE"/>
    <w:rsid w:val="00476A80"/>
    <w:rsid w:val="00480869"/>
    <w:rsid w:val="00481493"/>
    <w:rsid w:val="004818AC"/>
    <w:rsid w:val="00487468"/>
    <w:rsid w:val="00490145"/>
    <w:rsid w:val="00490336"/>
    <w:rsid w:val="00491249"/>
    <w:rsid w:val="00492384"/>
    <w:rsid w:val="004951F2"/>
    <w:rsid w:val="00496611"/>
    <w:rsid w:val="004975E7"/>
    <w:rsid w:val="0049772C"/>
    <w:rsid w:val="0049791C"/>
    <w:rsid w:val="004A2C2F"/>
    <w:rsid w:val="004A3568"/>
    <w:rsid w:val="004A398A"/>
    <w:rsid w:val="004A6CB5"/>
    <w:rsid w:val="004B426A"/>
    <w:rsid w:val="004B5C65"/>
    <w:rsid w:val="004B754C"/>
    <w:rsid w:val="004B75A8"/>
    <w:rsid w:val="004C26A6"/>
    <w:rsid w:val="004C543A"/>
    <w:rsid w:val="004C561F"/>
    <w:rsid w:val="004C5DED"/>
    <w:rsid w:val="004D1EAE"/>
    <w:rsid w:val="004D5221"/>
    <w:rsid w:val="004D7136"/>
    <w:rsid w:val="004D78F5"/>
    <w:rsid w:val="004E4970"/>
    <w:rsid w:val="004E4ACC"/>
    <w:rsid w:val="004E6407"/>
    <w:rsid w:val="004E7FEA"/>
    <w:rsid w:val="004F0006"/>
    <w:rsid w:val="004F14C6"/>
    <w:rsid w:val="004F2817"/>
    <w:rsid w:val="004F5935"/>
    <w:rsid w:val="004F62B8"/>
    <w:rsid w:val="004F6D93"/>
    <w:rsid w:val="004F6DC1"/>
    <w:rsid w:val="00500F6F"/>
    <w:rsid w:val="0050767F"/>
    <w:rsid w:val="00514248"/>
    <w:rsid w:val="00516F3C"/>
    <w:rsid w:val="00522257"/>
    <w:rsid w:val="005230C7"/>
    <w:rsid w:val="00534510"/>
    <w:rsid w:val="00535C61"/>
    <w:rsid w:val="00536105"/>
    <w:rsid w:val="00537201"/>
    <w:rsid w:val="00537C74"/>
    <w:rsid w:val="00543A58"/>
    <w:rsid w:val="005450D1"/>
    <w:rsid w:val="00545155"/>
    <w:rsid w:val="00552EEB"/>
    <w:rsid w:val="00553B9A"/>
    <w:rsid w:val="00553FC7"/>
    <w:rsid w:val="005551B1"/>
    <w:rsid w:val="00555BAC"/>
    <w:rsid w:val="005615C8"/>
    <w:rsid w:val="00561A06"/>
    <w:rsid w:val="00562605"/>
    <w:rsid w:val="005650E6"/>
    <w:rsid w:val="00576026"/>
    <w:rsid w:val="0057639C"/>
    <w:rsid w:val="00576B6E"/>
    <w:rsid w:val="00577A61"/>
    <w:rsid w:val="00581982"/>
    <w:rsid w:val="005834FE"/>
    <w:rsid w:val="005939ED"/>
    <w:rsid w:val="005957CC"/>
    <w:rsid w:val="005A36F2"/>
    <w:rsid w:val="005A7384"/>
    <w:rsid w:val="005A745D"/>
    <w:rsid w:val="005B0078"/>
    <w:rsid w:val="005B47BB"/>
    <w:rsid w:val="005B619B"/>
    <w:rsid w:val="005D2294"/>
    <w:rsid w:val="005D299C"/>
    <w:rsid w:val="005D7CB6"/>
    <w:rsid w:val="005E2989"/>
    <w:rsid w:val="005F091B"/>
    <w:rsid w:val="005F1A45"/>
    <w:rsid w:val="005F75E0"/>
    <w:rsid w:val="005F785A"/>
    <w:rsid w:val="00601E8E"/>
    <w:rsid w:val="006045EC"/>
    <w:rsid w:val="0060769C"/>
    <w:rsid w:val="00607C68"/>
    <w:rsid w:val="00613267"/>
    <w:rsid w:val="00613D91"/>
    <w:rsid w:val="00613F4B"/>
    <w:rsid w:val="0061566F"/>
    <w:rsid w:val="00617015"/>
    <w:rsid w:val="00620679"/>
    <w:rsid w:val="006213EC"/>
    <w:rsid w:val="00621BE9"/>
    <w:rsid w:val="0062483A"/>
    <w:rsid w:val="00624B74"/>
    <w:rsid w:val="006269DD"/>
    <w:rsid w:val="006270AC"/>
    <w:rsid w:val="00630BDA"/>
    <w:rsid w:val="006348C7"/>
    <w:rsid w:val="00634A4C"/>
    <w:rsid w:val="00635F60"/>
    <w:rsid w:val="00640E02"/>
    <w:rsid w:val="00644703"/>
    <w:rsid w:val="00644C04"/>
    <w:rsid w:val="0064536C"/>
    <w:rsid w:val="0065416E"/>
    <w:rsid w:val="00661077"/>
    <w:rsid w:val="00661174"/>
    <w:rsid w:val="00662E98"/>
    <w:rsid w:val="00662F95"/>
    <w:rsid w:val="00664571"/>
    <w:rsid w:val="00666F29"/>
    <w:rsid w:val="006675F7"/>
    <w:rsid w:val="006730D5"/>
    <w:rsid w:val="0067491E"/>
    <w:rsid w:val="00676401"/>
    <w:rsid w:val="006829D5"/>
    <w:rsid w:val="006932AB"/>
    <w:rsid w:val="006953F0"/>
    <w:rsid w:val="00695914"/>
    <w:rsid w:val="006976DD"/>
    <w:rsid w:val="00697F19"/>
    <w:rsid w:val="006A40C2"/>
    <w:rsid w:val="006A4648"/>
    <w:rsid w:val="006A54F5"/>
    <w:rsid w:val="006A5ED2"/>
    <w:rsid w:val="006A5EDA"/>
    <w:rsid w:val="006A69BF"/>
    <w:rsid w:val="006A6A1B"/>
    <w:rsid w:val="006A7F93"/>
    <w:rsid w:val="006B3D85"/>
    <w:rsid w:val="006B54BA"/>
    <w:rsid w:val="006B581B"/>
    <w:rsid w:val="006B5F79"/>
    <w:rsid w:val="006B6597"/>
    <w:rsid w:val="006C0912"/>
    <w:rsid w:val="006C1B46"/>
    <w:rsid w:val="006C2A8E"/>
    <w:rsid w:val="006C398A"/>
    <w:rsid w:val="006C4E50"/>
    <w:rsid w:val="006C7345"/>
    <w:rsid w:val="006D77AD"/>
    <w:rsid w:val="006E0B81"/>
    <w:rsid w:val="006E293B"/>
    <w:rsid w:val="006E3AB4"/>
    <w:rsid w:val="006E401A"/>
    <w:rsid w:val="006E71EF"/>
    <w:rsid w:val="006F0295"/>
    <w:rsid w:val="006F07B1"/>
    <w:rsid w:val="006F0911"/>
    <w:rsid w:val="006F0D5D"/>
    <w:rsid w:val="006F2C9D"/>
    <w:rsid w:val="006F7D6E"/>
    <w:rsid w:val="007012AB"/>
    <w:rsid w:val="00701A03"/>
    <w:rsid w:val="007032D2"/>
    <w:rsid w:val="007036E9"/>
    <w:rsid w:val="007119C0"/>
    <w:rsid w:val="00711DF4"/>
    <w:rsid w:val="007121F8"/>
    <w:rsid w:val="00712445"/>
    <w:rsid w:val="00714498"/>
    <w:rsid w:val="007166D2"/>
    <w:rsid w:val="00717690"/>
    <w:rsid w:val="007216EB"/>
    <w:rsid w:val="007250FA"/>
    <w:rsid w:val="007274B2"/>
    <w:rsid w:val="00727B75"/>
    <w:rsid w:val="00730D57"/>
    <w:rsid w:val="007313CA"/>
    <w:rsid w:val="007329BE"/>
    <w:rsid w:val="00733811"/>
    <w:rsid w:val="00734666"/>
    <w:rsid w:val="007348AA"/>
    <w:rsid w:val="00734A6C"/>
    <w:rsid w:val="00734C97"/>
    <w:rsid w:val="0074291B"/>
    <w:rsid w:val="00742A8E"/>
    <w:rsid w:val="00745E06"/>
    <w:rsid w:val="00745F84"/>
    <w:rsid w:val="00746A85"/>
    <w:rsid w:val="0075220A"/>
    <w:rsid w:val="007529E9"/>
    <w:rsid w:val="007556FC"/>
    <w:rsid w:val="0075597F"/>
    <w:rsid w:val="007623B6"/>
    <w:rsid w:val="00763018"/>
    <w:rsid w:val="0076318D"/>
    <w:rsid w:val="007634EB"/>
    <w:rsid w:val="00763B0A"/>
    <w:rsid w:val="00763F6C"/>
    <w:rsid w:val="00764173"/>
    <w:rsid w:val="00764CAC"/>
    <w:rsid w:val="007657DE"/>
    <w:rsid w:val="00773493"/>
    <w:rsid w:val="007758D2"/>
    <w:rsid w:val="00781EB5"/>
    <w:rsid w:val="00783A8B"/>
    <w:rsid w:val="00783B23"/>
    <w:rsid w:val="0078474C"/>
    <w:rsid w:val="007847F2"/>
    <w:rsid w:val="00784D35"/>
    <w:rsid w:val="0078675B"/>
    <w:rsid w:val="007871BB"/>
    <w:rsid w:val="00793B42"/>
    <w:rsid w:val="007967D2"/>
    <w:rsid w:val="007968D5"/>
    <w:rsid w:val="007A0D08"/>
    <w:rsid w:val="007A0E13"/>
    <w:rsid w:val="007A100E"/>
    <w:rsid w:val="007A1DF2"/>
    <w:rsid w:val="007A4CEA"/>
    <w:rsid w:val="007A6D25"/>
    <w:rsid w:val="007A79DF"/>
    <w:rsid w:val="007B0CF2"/>
    <w:rsid w:val="007B511D"/>
    <w:rsid w:val="007B6785"/>
    <w:rsid w:val="007B6B0C"/>
    <w:rsid w:val="007B7592"/>
    <w:rsid w:val="007B7649"/>
    <w:rsid w:val="007B7E17"/>
    <w:rsid w:val="007C13AB"/>
    <w:rsid w:val="007C5523"/>
    <w:rsid w:val="007C58E8"/>
    <w:rsid w:val="007C5C60"/>
    <w:rsid w:val="007D70A1"/>
    <w:rsid w:val="007E2BA8"/>
    <w:rsid w:val="007E4AD7"/>
    <w:rsid w:val="007F24E4"/>
    <w:rsid w:val="007F6385"/>
    <w:rsid w:val="007F6853"/>
    <w:rsid w:val="00800596"/>
    <w:rsid w:val="008045E7"/>
    <w:rsid w:val="00806BE9"/>
    <w:rsid w:val="0080748A"/>
    <w:rsid w:val="00807DFC"/>
    <w:rsid w:val="0081157F"/>
    <w:rsid w:val="008119B3"/>
    <w:rsid w:val="008119E6"/>
    <w:rsid w:val="00812090"/>
    <w:rsid w:val="008132E8"/>
    <w:rsid w:val="00815AD5"/>
    <w:rsid w:val="008163C2"/>
    <w:rsid w:val="00816E6E"/>
    <w:rsid w:val="008205B8"/>
    <w:rsid w:val="00823407"/>
    <w:rsid w:val="00823C75"/>
    <w:rsid w:val="00826A29"/>
    <w:rsid w:val="00826BC0"/>
    <w:rsid w:val="008408DF"/>
    <w:rsid w:val="00842BF9"/>
    <w:rsid w:val="008447E6"/>
    <w:rsid w:val="0085396F"/>
    <w:rsid w:val="00854E2C"/>
    <w:rsid w:val="00855730"/>
    <w:rsid w:val="00860DA6"/>
    <w:rsid w:val="008614CF"/>
    <w:rsid w:val="00863BFB"/>
    <w:rsid w:val="0086528B"/>
    <w:rsid w:val="0086559C"/>
    <w:rsid w:val="00865C6D"/>
    <w:rsid w:val="00866F67"/>
    <w:rsid w:val="00867423"/>
    <w:rsid w:val="0087482D"/>
    <w:rsid w:val="00874FC3"/>
    <w:rsid w:val="00875512"/>
    <w:rsid w:val="008811F8"/>
    <w:rsid w:val="0088403D"/>
    <w:rsid w:val="00885A66"/>
    <w:rsid w:val="00890D1A"/>
    <w:rsid w:val="0089149C"/>
    <w:rsid w:val="00892600"/>
    <w:rsid w:val="00892966"/>
    <w:rsid w:val="00895AD6"/>
    <w:rsid w:val="00895B97"/>
    <w:rsid w:val="008A673D"/>
    <w:rsid w:val="008A6922"/>
    <w:rsid w:val="008A6D37"/>
    <w:rsid w:val="008A70B3"/>
    <w:rsid w:val="008B0184"/>
    <w:rsid w:val="008B4252"/>
    <w:rsid w:val="008C2015"/>
    <w:rsid w:val="008C4795"/>
    <w:rsid w:val="008C52F6"/>
    <w:rsid w:val="008C5D02"/>
    <w:rsid w:val="008C5F7F"/>
    <w:rsid w:val="008C7BB5"/>
    <w:rsid w:val="008D1418"/>
    <w:rsid w:val="008D1BD1"/>
    <w:rsid w:val="008D2649"/>
    <w:rsid w:val="008D3F8B"/>
    <w:rsid w:val="008D7345"/>
    <w:rsid w:val="008E1844"/>
    <w:rsid w:val="008F0249"/>
    <w:rsid w:val="008F4FC1"/>
    <w:rsid w:val="00905436"/>
    <w:rsid w:val="0090568D"/>
    <w:rsid w:val="00906EC7"/>
    <w:rsid w:val="009125C9"/>
    <w:rsid w:val="00913879"/>
    <w:rsid w:val="009161DB"/>
    <w:rsid w:val="00916490"/>
    <w:rsid w:val="00917661"/>
    <w:rsid w:val="00920DCF"/>
    <w:rsid w:val="009221BF"/>
    <w:rsid w:val="009233D8"/>
    <w:rsid w:val="00924A4A"/>
    <w:rsid w:val="00927C89"/>
    <w:rsid w:val="009305B8"/>
    <w:rsid w:val="009309F0"/>
    <w:rsid w:val="0093177E"/>
    <w:rsid w:val="00932D23"/>
    <w:rsid w:val="00933458"/>
    <w:rsid w:val="00933AD1"/>
    <w:rsid w:val="00935BE7"/>
    <w:rsid w:val="00940676"/>
    <w:rsid w:val="0094077D"/>
    <w:rsid w:val="00942DF6"/>
    <w:rsid w:val="0094381C"/>
    <w:rsid w:val="00944088"/>
    <w:rsid w:val="00945963"/>
    <w:rsid w:val="00950C2B"/>
    <w:rsid w:val="009515BD"/>
    <w:rsid w:val="00953208"/>
    <w:rsid w:val="00955FA4"/>
    <w:rsid w:val="0096121F"/>
    <w:rsid w:val="00961282"/>
    <w:rsid w:val="00963B22"/>
    <w:rsid w:val="00967183"/>
    <w:rsid w:val="00970E5D"/>
    <w:rsid w:val="00971E69"/>
    <w:rsid w:val="009725E0"/>
    <w:rsid w:val="0097390E"/>
    <w:rsid w:val="0097701C"/>
    <w:rsid w:val="00977E2E"/>
    <w:rsid w:val="00980A65"/>
    <w:rsid w:val="009818CE"/>
    <w:rsid w:val="00982733"/>
    <w:rsid w:val="00982861"/>
    <w:rsid w:val="00985E6E"/>
    <w:rsid w:val="00990815"/>
    <w:rsid w:val="009914B5"/>
    <w:rsid w:val="009932FA"/>
    <w:rsid w:val="00996041"/>
    <w:rsid w:val="00997FC3"/>
    <w:rsid w:val="009A4017"/>
    <w:rsid w:val="009A4639"/>
    <w:rsid w:val="009A554F"/>
    <w:rsid w:val="009A5AF5"/>
    <w:rsid w:val="009A6FB2"/>
    <w:rsid w:val="009B2823"/>
    <w:rsid w:val="009B2C28"/>
    <w:rsid w:val="009B2DFE"/>
    <w:rsid w:val="009B769C"/>
    <w:rsid w:val="009C07BC"/>
    <w:rsid w:val="009C0CF4"/>
    <w:rsid w:val="009C3280"/>
    <w:rsid w:val="009C43EF"/>
    <w:rsid w:val="009C495D"/>
    <w:rsid w:val="009C4FAD"/>
    <w:rsid w:val="009D01C5"/>
    <w:rsid w:val="009D0596"/>
    <w:rsid w:val="009D0605"/>
    <w:rsid w:val="009D1666"/>
    <w:rsid w:val="009D1ABD"/>
    <w:rsid w:val="009D30A7"/>
    <w:rsid w:val="009D4164"/>
    <w:rsid w:val="009D460C"/>
    <w:rsid w:val="009E2935"/>
    <w:rsid w:val="009E330E"/>
    <w:rsid w:val="009E3397"/>
    <w:rsid w:val="009E357B"/>
    <w:rsid w:val="009E3DEB"/>
    <w:rsid w:val="009F203F"/>
    <w:rsid w:val="009F39DD"/>
    <w:rsid w:val="009F4ACF"/>
    <w:rsid w:val="00A01062"/>
    <w:rsid w:val="00A05D23"/>
    <w:rsid w:val="00A06230"/>
    <w:rsid w:val="00A069E2"/>
    <w:rsid w:val="00A10429"/>
    <w:rsid w:val="00A127E4"/>
    <w:rsid w:val="00A14C63"/>
    <w:rsid w:val="00A22C21"/>
    <w:rsid w:val="00A25E70"/>
    <w:rsid w:val="00A31C1B"/>
    <w:rsid w:val="00A324BB"/>
    <w:rsid w:val="00A33765"/>
    <w:rsid w:val="00A34C85"/>
    <w:rsid w:val="00A35EB3"/>
    <w:rsid w:val="00A379F0"/>
    <w:rsid w:val="00A42D14"/>
    <w:rsid w:val="00A42FD5"/>
    <w:rsid w:val="00A46EB6"/>
    <w:rsid w:val="00A4733F"/>
    <w:rsid w:val="00A5658C"/>
    <w:rsid w:val="00A572D8"/>
    <w:rsid w:val="00A60184"/>
    <w:rsid w:val="00A61498"/>
    <w:rsid w:val="00A62173"/>
    <w:rsid w:val="00A63269"/>
    <w:rsid w:val="00A64095"/>
    <w:rsid w:val="00A650A5"/>
    <w:rsid w:val="00A70F70"/>
    <w:rsid w:val="00A71346"/>
    <w:rsid w:val="00A7136E"/>
    <w:rsid w:val="00A720FE"/>
    <w:rsid w:val="00A74C6A"/>
    <w:rsid w:val="00A8195B"/>
    <w:rsid w:val="00A92377"/>
    <w:rsid w:val="00A96127"/>
    <w:rsid w:val="00A977E0"/>
    <w:rsid w:val="00A97D63"/>
    <w:rsid w:val="00AA17DA"/>
    <w:rsid w:val="00AB0A20"/>
    <w:rsid w:val="00AB29ED"/>
    <w:rsid w:val="00AB3DA1"/>
    <w:rsid w:val="00AB6B85"/>
    <w:rsid w:val="00AB7DA4"/>
    <w:rsid w:val="00AC0992"/>
    <w:rsid w:val="00AC0E1B"/>
    <w:rsid w:val="00AC3F41"/>
    <w:rsid w:val="00AC48B9"/>
    <w:rsid w:val="00AC4938"/>
    <w:rsid w:val="00AC61E4"/>
    <w:rsid w:val="00AD1502"/>
    <w:rsid w:val="00AD34C9"/>
    <w:rsid w:val="00AD4C5A"/>
    <w:rsid w:val="00AD50CB"/>
    <w:rsid w:val="00AD7AE9"/>
    <w:rsid w:val="00AD7E51"/>
    <w:rsid w:val="00AE1B09"/>
    <w:rsid w:val="00AE3AAD"/>
    <w:rsid w:val="00AE4BD8"/>
    <w:rsid w:val="00AE61CA"/>
    <w:rsid w:val="00AE67D2"/>
    <w:rsid w:val="00AF2401"/>
    <w:rsid w:val="00AF28C8"/>
    <w:rsid w:val="00AF3DB1"/>
    <w:rsid w:val="00AF5FEF"/>
    <w:rsid w:val="00B04E00"/>
    <w:rsid w:val="00B05474"/>
    <w:rsid w:val="00B11493"/>
    <w:rsid w:val="00B1200E"/>
    <w:rsid w:val="00B22518"/>
    <w:rsid w:val="00B22F6F"/>
    <w:rsid w:val="00B23892"/>
    <w:rsid w:val="00B3193F"/>
    <w:rsid w:val="00B319B6"/>
    <w:rsid w:val="00B339A7"/>
    <w:rsid w:val="00B3482D"/>
    <w:rsid w:val="00B40666"/>
    <w:rsid w:val="00B4388F"/>
    <w:rsid w:val="00B443AC"/>
    <w:rsid w:val="00B44922"/>
    <w:rsid w:val="00B44A53"/>
    <w:rsid w:val="00B45C9C"/>
    <w:rsid w:val="00B47924"/>
    <w:rsid w:val="00B5077E"/>
    <w:rsid w:val="00B50D73"/>
    <w:rsid w:val="00B531A1"/>
    <w:rsid w:val="00B53258"/>
    <w:rsid w:val="00B54EE3"/>
    <w:rsid w:val="00B56AA8"/>
    <w:rsid w:val="00B6038A"/>
    <w:rsid w:val="00B63237"/>
    <w:rsid w:val="00B66418"/>
    <w:rsid w:val="00B7002D"/>
    <w:rsid w:val="00B72462"/>
    <w:rsid w:val="00B86628"/>
    <w:rsid w:val="00B910C9"/>
    <w:rsid w:val="00B95A13"/>
    <w:rsid w:val="00BA021D"/>
    <w:rsid w:val="00BA2878"/>
    <w:rsid w:val="00BA338D"/>
    <w:rsid w:val="00BA456E"/>
    <w:rsid w:val="00BA66EE"/>
    <w:rsid w:val="00BB06A7"/>
    <w:rsid w:val="00BB26CF"/>
    <w:rsid w:val="00BB3B75"/>
    <w:rsid w:val="00BB4177"/>
    <w:rsid w:val="00BB4B50"/>
    <w:rsid w:val="00BC10AF"/>
    <w:rsid w:val="00BC2397"/>
    <w:rsid w:val="00BC3CA8"/>
    <w:rsid w:val="00BC6611"/>
    <w:rsid w:val="00BC6896"/>
    <w:rsid w:val="00BC7829"/>
    <w:rsid w:val="00BC7E4F"/>
    <w:rsid w:val="00BD34C7"/>
    <w:rsid w:val="00BD56EB"/>
    <w:rsid w:val="00BE0BF5"/>
    <w:rsid w:val="00BE35B0"/>
    <w:rsid w:val="00BE4905"/>
    <w:rsid w:val="00BE5344"/>
    <w:rsid w:val="00BE5DC8"/>
    <w:rsid w:val="00BE6A66"/>
    <w:rsid w:val="00BE7CE4"/>
    <w:rsid w:val="00BF12F4"/>
    <w:rsid w:val="00BF50B3"/>
    <w:rsid w:val="00BF6F0A"/>
    <w:rsid w:val="00C00333"/>
    <w:rsid w:val="00C01C52"/>
    <w:rsid w:val="00C02147"/>
    <w:rsid w:val="00C029C4"/>
    <w:rsid w:val="00C05042"/>
    <w:rsid w:val="00C2223D"/>
    <w:rsid w:val="00C22AEC"/>
    <w:rsid w:val="00C23033"/>
    <w:rsid w:val="00C255B8"/>
    <w:rsid w:val="00C260F4"/>
    <w:rsid w:val="00C2667E"/>
    <w:rsid w:val="00C27651"/>
    <w:rsid w:val="00C33FA0"/>
    <w:rsid w:val="00C34A9B"/>
    <w:rsid w:val="00C369D7"/>
    <w:rsid w:val="00C37050"/>
    <w:rsid w:val="00C43990"/>
    <w:rsid w:val="00C44FC4"/>
    <w:rsid w:val="00C453C4"/>
    <w:rsid w:val="00C47F24"/>
    <w:rsid w:val="00C50389"/>
    <w:rsid w:val="00C51CDF"/>
    <w:rsid w:val="00C53F02"/>
    <w:rsid w:val="00C556F7"/>
    <w:rsid w:val="00C60A32"/>
    <w:rsid w:val="00C613C0"/>
    <w:rsid w:val="00C61C57"/>
    <w:rsid w:val="00C61E18"/>
    <w:rsid w:val="00C6376E"/>
    <w:rsid w:val="00C63CB8"/>
    <w:rsid w:val="00C6462A"/>
    <w:rsid w:val="00C66C9B"/>
    <w:rsid w:val="00C751D4"/>
    <w:rsid w:val="00C8041D"/>
    <w:rsid w:val="00C81480"/>
    <w:rsid w:val="00C820AC"/>
    <w:rsid w:val="00C84DD4"/>
    <w:rsid w:val="00C857C5"/>
    <w:rsid w:val="00C90CD9"/>
    <w:rsid w:val="00C958F5"/>
    <w:rsid w:val="00C95E5F"/>
    <w:rsid w:val="00C95F7E"/>
    <w:rsid w:val="00C960DC"/>
    <w:rsid w:val="00C96123"/>
    <w:rsid w:val="00C97CAC"/>
    <w:rsid w:val="00C97EB5"/>
    <w:rsid w:val="00CA0BA7"/>
    <w:rsid w:val="00CA2AC1"/>
    <w:rsid w:val="00CA4E21"/>
    <w:rsid w:val="00CA50B1"/>
    <w:rsid w:val="00CA6B0D"/>
    <w:rsid w:val="00CB22B1"/>
    <w:rsid w:val="00CB39B3"/>
    <w:rsid w:val="00CB5592"/>
    <w:rsid w:val="00CB663C"/>
    <w:rsid w:val="00CC1BCB"/>
    <w:rsid w:val="00CC4F5C"/>
    <w:rsid w:val="00CC52DD"/>
    <w:rsid w:val="00CD070E"/>
    <w:rsid w:val="00CD1847"/>
    <w:rsid w:val="00CD280E"/>
    <w:rsid w:val="00CD3C1A"/>
    <w:rsid w:val="00CD4011"/>
    <w:rsid w:val="00CD6241"/>
    <w:rsid w:val="00CD6B93"/>
    <w:rsid w:val="00CE0DF2"/>
    <w:rsid w:val="00CE34F8"/>
    <w:rsid w:val="00CE5F6D"/>
    <w:rsid w:val="00CE742C"/>
    <w:rsid w:val="00CF0818"/>
    <w:rsid w:val="00CF14AD"/>
    <w:rsid w:val="00CF2B80"/>
    <w:rsid w:val="00CF3492"/>
    <w:rsid w:val="00CF3E1B"/>
    <w:rsid w:val="00CF57D1"/>
    <w:rsid w:val="00CF60FB"/>
    <w:rsid w:val="00D00C68"/>
    <w:rsid w:val="00D00FAC"/>
    <w:rsid w:val="00D02C75"/>
    <w:rsid w:val="00D041DA"/>
    <w:rsid w:val="00D10C8C"/>
    <w:rsid w:val="00D10E22"/>
    <w:rsid w:val="00D1253C"/>
    <w:rsid w:val="00D12B1D"/>
    <w:rsid w:val="00D12B5D"/>
    <w:rsid w:val="00D13D2C"/>
    <w:rsid w:val="00D14E75"/>
    <w:rsid w:val="00D15905"/>
    <w:rsid w:val="00D17E0A"/>
    <w:rsid w:val="00D251AD"/>
    <w:rsid w:val="00D2531A"/>
    <w:rsid w:val="00D32A5D"/>
    <w:rsid w:val="00D33D8A"/>
    <w:rsid w:val="00D353C1"/>
    <w:rsid w:val="00D35E3C"/>
    <w:rsid w:val="00D37177"/>
    <w:rsid w:val="00D42250"/>
    <w:rsid w:val="00D53B69"/>
    <w:rsid w:val="00D546E7"/>
    <w:rsid w:val="00D548B6"/>
    <w:rsid w:val="00D60D8A"/>
    <w:rsid w:val="00D61C99"/>
    <w:rsid w:val="00D653C4"/>
    <w:rsid w:val="00D66285"/>
    <w:rsid w:val="00D67041"/>
    <w:rsid w:val="00D73B4C"/>
    <w:rsid w:val="00D76270"/>
    <w:rsid w:val="00D81932"/>
    <w:rsid w:val="00D843EE"/>
    <w:rsid w:val="00D85CD0"/>
    <w:rsid w:val="00D90424"/>
    <w:rsid w:val="00DA41D4"/>
    <w:rsid w:val="00DA51C5"/>
    <w:rsid w:val="00DA663D"/>
    <w:rsid w:val="00DB1465"/>
    <w:rsid w:val="00DB1D05"/>
    <w:rsid w:val="00DB34BD"/>
    <w:rsid w:val="00DB3539"/>
    <w:rsid w:val="00DB35B9"/>
    <w:rsid w:val="00DC2F94"/>
    <w:rsid w:val="00DC3293"/>
    <w:rsid w:val="00DC5125"/>
    <w:rsid w:val="00DD3D9E"/>
    <w:rsid w:val="00DD4344"/>
    <w:rsid w:val="00DD48C0"/>
    <w:rsid w:val="00DD70EC"/>
    <w:rsid w:val="00DD7908"/>
    <w:rsid w:val="00DE3E1B"/>
    <w:rsid w:val="00DF073D"/>
    <w:rsid w:val="00DF08CF"/>
    <w:rsid w:val="00DF2677"/>
    <w:rsid w:val="00DF73A8"/>
    <w:rsid w:val="00DF7B9F"/>
    <w:rsid w:val="00E02B07"/>
    <w:rsid w:val="00E0336A"/>
    <w:rsid w:val="00E05541"/>
    <w:rsid w:val="00E12A22"/>
    <w:rsid w:val="00E13C8D"/>
    <w:rsid w:val="00E143BD"/>
    <w:rsid w:val="00E1758D"/>
    <w:rsid w:val="00E259FA"/>
    <w:rsid w:val="00E35559"/>
    <w:rsid w:val="00E3764C"/>
    <w:rsid w:val="00E37847"/>
    <w:rsid w:val="00E41033"/>
    <w:rsid w:val="00E45E77"/>
    <w:rsid w:val="00E47390"/>
    <w:rsid w:val="00E47A82"/>
    <w:rsid w:val="00E50C58"/>
    <w:rsid w:val="00E62F38"/>
    <w:rsid w:val="00E67AA4"/>
    <w:rsid w:val="00E707BD"/>
    <w:rsid w:val="00E745AC"/>
    <w:rsid w:val="00E753AE"/>
    <w:rsid w:val="00E75660"/>
    <w:rsid w:val="00E765D9"/>
    <w:rsid w:val="00E8072C"/>
    <w:rsid w:val="00E82297"/>
    <w:rsid w:val="00E840B5"/>
    <w:rsid w:val="00E845F2"/>
    <w:rsid w:val="00E9298C"/>
    <w:rsid w:val="00E93619"/>
    <w:rsid w:val="00E94A5D"/>
    <w:rsid w:val="00E95A5C"/>
    <w:rsid w:val="00E96620"/>
    <w:rsid w:val="00E970A9"/>
    <w:rsid w:val="00E97823"/>
    <w:rsid w:val="00E97FAB"/>
    <w:rsid w:val="00EA0E00"/>
    <w:rsid w:val="00EA27B3"/>
    <w:rsid w:val="00EA4880"/>
    <w:rsid w:val="00EA6EA6"/>
    <w:rsid w:val="00EA7B5C"/>
    <w:rsid w:val="00EB364E"/>
    <w:rsid w:val="00EB7A15"/>
    <w:rsid w:val="00EB7C0B"/>
    <w:rsid w:val="00EB7CCB"/>
    <w:rsid w:val="00EC3634"/>
    <w:rsid w:val="00EC4403"/>
    <w:rsid w:val="00EC4C08"/>
    <w:rsid w:val="00EC52A5"/>
    <w:rsid w:val="00EC7522"/>
    <w:rsid w:val="00ED2A6F"/>
    <w:rsid w:val="00ED335F"/>
    <w:rsid w:val="00ED4AB4"/>
    <w:rsid w:val="00ED51A0"/>
    <w:rsid w:val="00EE4199"/>
    <w:rsid w:val="00EE53C8"/>
    <w:rsid w:val="00EE6860"/>
    <w:rsid w:val="00EF39FD"/>
    <w:rsid w:val="00EF4867"/>
    <w:rsid w:val="00F03B01"/>
    <w:rsid w:val="00F043EF"/>
    <w:rsid w:val="00F060DE"/>
    <w:rsid w:val="00F06842"/>
    <w:rsid w:val="00F07306"/>
    <w:rsid w:val="00F1000D"/>
    <w:rsid w:val="00F107FD"/>
    <w:rsid w:val="00F10F59"/>
    <w:rsid w:val="00F2015C"/>
    <w:rsid w:val="00F217B9"/>
    <w:rsid w:val="00F218FF"/>
    <w:rsid w:val="00F22552"/>
    <w:rsid w:val="00F24845"/>
    <w:rsid w:val="00F249C0"/>
    <w:rsid w:val="00F264B3"/>
    <w:rsid w:val="00F30C5F"/>
    <w:rsid w:val="00F33FD8"/>
    <w:rsid w:val="00F36524"/>
    <w:rsid w:val="00F36F3C"/>
    <w:rsid w:val="00F42FF7"/>
    <w:rsid w:val="00F45900"/>
    <w:rsid w:val="00F47E68"/>
    <w:rsid w:val="00F47F93"/>
    <w:rsid w:val="00F525F9"/>
    <w:rsid w:val="00F53B8E"/>
    <w:rsid w:val="00F54B28"/>
    <w:rsid w:val="00F56D01"/>
    <w:rsid w:val="00F60116"/>
    <w:rsid w:val="00F61610"/>
    <w:rsid w:val="00F61C6C"/>
    <w:rsid w:val="00F64DA1"/>
    <w:rsid w:val="00F66442"/>
    <w:rsid w:val="00F66C06"/>
    <w:rsid w:val="00F825FC"/>
    <w:rsid w:val="00F8303F"/>
    <w:rsid w:val="00F8394C"/>
    <w:rsid w:val="00F86D92"/>
    <w:rsid w:val="00F900CA"/>
    <w:rsid w:val="00F9258A"/>
    <w:rsid w:val="00F944C7"/>
    <w:rsid w:val="00F96EB8"/>
    <w:rsid w:val="00FA00C0"/>
    <w:rsid w:val="00FA05BB"/>
    <w:rsid w:val="00FA340E"/>
    <w:rsid w:val="00FB0080"/>
    <w:rsid w:val="00FB08B2"/>
    <w:rsid w:val="00FB64A8"/>
    <w:rsid w:val="00FB7F50"/>
    <w:rsid w:val="00FC10A8"/>
    <w:rsid w:val="00FC4C68"/>
    <w:rsid w:val="00FC54A2"/>
    <w:rsid w:val="00FC697B"/>
    <w:rsid w:val="00FD136C"/>
    <w:rsid w:val="00FD773C"/>
    <w:rsid w:val="00FD7F3F"/>
    <w:rsid w:val="00FE0CF5"/>
    <w:rsid w:val="00FF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D08"/>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link w:val="Els-1storder-headCarter"/>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arte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arte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Tipodeletrapredefinidodopargraf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iperligao">
    <w:name w:val="Hyperlink"/>
    <w:basedOn w:val="Tipodeletrapredefinidodopargrafo"/>
    <w:rsid w:val="008B0184"/>
    <w:rPr>
      <w:color w:val="0000FF"/>
      <w:u w:val="single"/>
    </w:rPr>
  </w:style>
  <w:style w:type="character" w:customStyle="1" w:styleId="MTEquationSection">
    <w:name w:val="MTEquationSection"/>
    <w:basedOn w:val="Tipodeletrapredefinidodopargrafo"/>
    <w:rsid w:val="008B0184"/>
    <w:rPr>
      <w:vanish/>
      <w:color w:val="FF0000"/>
    </w:rPr>
  </w:style>
  <w:style w:type="character" w:styleId="Nmerodepgina">
    <w:name w:val="page number"/>
    <w:basedOn w:val="Tipodeletrapredefinidodopar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arter"/>
    <w:rsid w:val="008B0184"/>
    <w:pPr>
      <w:numPr>
        <w:numId w:val="0"/>
      </w:numPr>
      <w:ind w:left="240" w:hanging="240"/>
    </w:pPr>
  </w:style>
  <w:style w:type="character" w:customStyle="1" w:styleId="Els-captionChar">
    <w:name w:val="Els-caption Char"/>
    <w:basedOn w:val="Tipodeletrapredefinidodopargrafo"/>
    <w:rsid w:val="008B0184"/>
    <w:rPr>
      <w:sz w:val="18"/>
      <w:lang w:val="en-US" w:eastAsia="en-US" w:bidi="ar-SA"/>
    </w:rPr>
  </w:style>
  <w:style w:type="character" w:styleId="Refdecomentrio">
    <w:name w:val="annotation reference"/>
    <w:basedOn w:val="Tipodeletrapredefinidodopargrafo"/>
    <w:semiHidden/>
    <w:rsid w:val="008B0184"/>
    <w:rPr>
      <w:sz w:val="16"/>
      <w:szCs w:val="16"/>
    </w:rPr>
  </w:style>
  <w:style w:type="paragraph" w:styleId="Textodecomentrio">
    <w:name w:val="annotation text"/>
    <w:basedOn w:val="Normal"/>
    <w:semiHidden/>
    <w:rsid w:val="008B0184"/>
  </w:style>
  <w:style w:type="paragraph" w:styleId="Assuntode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Tipodeletrapredefinidodopargraf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fia">
    <w:name w:val="Bibliography"/>
    <w:basedOn w:val="Normal"/>
    <w:next w:val="Normal"/>
    <w:uiPriority w:val="37"/>
    <w:unhideWhenUsed/>
    <w:rsid w:val="00DA663D"/>
    <w:pPr>
      <w:ind w:left="720" w:hanging="720"/>
    </w:pPr>
  </w:style>
  <w:style w:type="table" w:styleId="TabelacomGrelha">
    <w:name w:val="Table Grid"/>
    <w:basedOn w:val="Tabelanormal"/>
    <w:rsid w:val="0002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3B69"/>
    <w:pPr>
      <w:ind w:left="720"/>
      <w:contextualSpacing/>
    </w:pPr>
  </w:style>
  <w:style w:type="character" w:customStyle="1" w:styleId="linkify2-link-inner-text">
    <w:name w:val="linkify2-link-inner-text"/>
    <w:basedOn w:val="Tipodeletrapredefinidodopargrafo"/>
    <w:rsid w:val="003A4075"/>
  </w:style>
  <w:style w:type="paragraph" w:styleId="Reviso">
    <w:name w:val="Revision"/>
    <w:hidden/>
    <w:uiPriority w:val="99"/>
    <w:semiHidden/>
    <w:rsid w:val="00C22AEC"/>
    <w:rPr>
      <w:lang w:eastAsia="en-US"/>
    </w:rPr>
  </w:style>
  <w:style w:type="character" w:customStyle="1" w:styleId="Els-body-textCarter">
    <w:name w:val="Els-body-text Caráter"/>
    <w:basedOn w:val="Tipodeletrapredefinidodopargrafo"/>
    <w:link w:val="Els-body-text"/>
    <w:rsid w:val="000F0F42"/>
    <w:rPr>
      <w:lang w:val="en-US" w:eastAsia="en-US"/>
    </w:rPr>
  </w:style>
  <w:style w:type="paragraph" w:customStyle="1" w:styleId="Bibliografia1">
    <w:name w:val="Bibliografia1"/>
    <w:basedOn w:val="Normal"/>
    <w:link w:val="BibliographyCarter"/>
    <w:rsid w:val="007529E9"/>
    <w:pPr>
      <w:widowControl w:val="0"/>
      <w:autoSpaceDE w:val="0"/>
      <w:autoSpaceDN w:val="0"/>
      <w:adjustRightInd w:val="0"/>
      <w:ind w:left="284" w:hanging="284"/>
    </w:pPr>
    <w:rPr>
      <w:sz w:val="18"/>
    </w:rPr>
  </w:style>
  <w:style w:type="character" w:customStyle="1" w:styleId="Els-referenceCarter">
    <w:name w:val="Els-reference Caráter"/>
    <w:basedOn w:val="Tipodeletrapredefinidodopargrafo"/>
    <w:link w:val="Els-reference"/>
    <w:rsid w:val="002C7BC9"/>
    <w:rPr>
      <w:noProof/>
      <w:sz w:val="18"/>
      <w:lang w:eastAsia="en-US"/>
    </w:rPr>
  </w:style>
  <w:style w:type="character" w:customStyle="1" w:styleId="Els-referenceno-numberCarter">
    <w:name w:val="Els-reference no-number Caráter"/>
    <w:basedOn w:val="Els-referenceCarter"/>
    <w:link w:val="Els-referenceno-number"/>
    <w:rsid w:val="002C7BC9"/>
    <w:rPr>
      <w:noProof/>
      <w:sz w:val="18"/>
      <w:lang w:eastAsia="en-US"/>
    </w:rPr>
  </w:style>
  <w:style w:type="character" w:customStyle="1" w:styleId="BibliographyCarter">
    <w:name w:val="Bibliography Caráter"/>
    <w:basedOn w:val="Els-referenceno-numberCarter"/>
    <w:link w:val="Bibliografia1"/>
    <w:rsid w:val="007529E9"/>
    <w:rPr>
      <w:noProof/>
      <w:sz w:val="18"/>
      <w:lang w:eastAsia="en-US"/>
    </w:rPr>
  </w:style>
  <w:style w:type="character" w:customStyle="1" w:styleId="Els-1storder-headCarter">
    <w:name w:val="Els-1storder-head Caráter"/>
    <w:basedOn w:val="Els-body-textCarter"/>
    <w:link w:val="Els-1storder-head"/>
    <w:rsid w:val="00021BF7"/>
    <w:rPr>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3785">
      <w:bodyDiv w:val="1"/>
      <w:marLeft w:val="0"/>
      <w:marRight w:val="0"/>
      <w:marTop w:val="0"/>
      <w:marBottom w:val="0"/>
      <w:divBdr>
        <w:top w:val="none" w:sz="0" w:space="0" w:color="auto"/>
        <w:left w:val="none" w:sz="0" w:space="0" w:color="auto"/>
        <w:bottom w:val="none" w:sz="0" w:space="0" w:color="auto"/>
        <w:right w:val="none" w:sz="0" w:space="0" w:color="auto"/>
      </w:divBdr>
    </w:div>
    <w:div w:id="865562342">
      <w:bodyDiv w:val="1"/>
      <w:marLeft w:val="0"/>
      <w:marRight w:val="0"/>
      <w:marTop w:val="0"/>
      <w:marBottom w:val="0"/>
      <w:divBdr>
        <w:top w:val="none" w:sz="0" w:space="0" w:color="auto"/>
        <w:left w:val="none" w:sz="0" w:space="0" w:color="auto"/>
        <w:bottom w:val="none" w:sz="0" w:space="0" w:color="auto"/>
        <w:right w:val="none" w:sz="0" w:space="0" w:color="auto"/>
      </w:divBdr>
    </w:div>
    <w:div w:id="1032608147">
      <w:bodyDiv w:val="1"/>
      <w:marLeft w:val="0"/>
      <w:marRight w:val="0"/>
      <w:marTop w:val="0"/>
      <w:marBottom w:val="0"/>
      <w:divBdr>
        <w:top w:val="none" w:sz="0" w:space="0" w:color="auto"/>
        <w:left w:val="none" w:sz="0" w:space="0" w:color="auto"/>
        <w:bottom w:val="none" w:sz="0" w:space="0" w:color="auto"/>
        <w:right w:val="none" w:sz="0" w:space="0" w:color="auto"/>
      </w:divBdr>
    </w:div>
    <w:div w:id="1040322932">
      <w:bodyDiv w:val="1"/>
      <w:marLeft w:val="0"/>
      <w:marRight w:val="0"/>
      <w:marTop w:val="0"/>
      <w:marBottom w:val="0"/>
      <w:divBdr>
        <w:top w:val="none" w:sz="0" w:space="0" w:color="auto"/>
        <w:left w:val="none" w:sz="0" w:space="0" w:color="auto"/>
        <w:bottom w:val="none" w:sz="0" w:space="0" w:color="auto"/>
        <w:right w:val="none" w:sz="0" w:space="0" w:color="auto"/>
      </w:divBdr>
    </w:div>
    <w:div w:id="1242985979">
      <w:bodyDiv w:val="1"/>
      <w:marLeft w:val="0"/>
      <w:marRight w:val="0"/>
      <w:marTop w:val="0"/>
      <w:marBottom w:val="0"/>
      <w:divBdr>
        <w:top w:val="none" w:sz="0" w:space="0" w:color="auto"/>
        <w:left w:val="none" w:sz="0" w:space="0" w:color="auto"/>
        <w:bottom w:val="none" w:sz="0" w:space="0" w:color="auto"/>
        <w:right w:val="none" w:sz="0" w:space="0" w:color="auto"/>
      </w:divBdr>
    </w:div>
    <w:div w:id="1850830518">
      <w:bodyDiv w:val="1"/>
      <w:marLeft w:val="0"/>
      <w:marRight w:val="0"/>
      <w:marTop w:val="0"/>
      <w:marBottom w:val="0"/>
      <w:divBdr>
        <w:top w:val="none" w:sz="0" w:space="0" w:color="auto"/>
        <w:left w:val="none" w:sz="0" w:space="0" w:color="auto"/>
        <w:bottom w:val="none" w:sz="0" w:space="0" w:color="auto"/>
        <w:right w:val="none" w:sz="0" w:space="0" w:color="auto"/>
      </w:divBdr>
    </w:div>
    <w:div w:id="2112510955">
      <w:bodyDiv w:val="1"/>
      <w:marLeft w:val="0"/>
      <w:marRight w:val="0"/>
      <w:marTop w:val="0"/>
      <w:marBottom w:val="0"/>
      <w:divBdr>
        <w:top w:val="none" w:sz="0" w:space="0" w:color="auto"/>
        <w:left w:val="none" w:sz="0" w:space="0" w:color="auto"/>
        <w:bottom w:val="none" w:sz="0" w:space="0" w:color="auto"/>
        <w:right w:val="none" w:sz="0" w:space="0" w:color="auto"/>
      </w:divBdr>
      <w:divsChild>
        <w:div w:id="939416349">
          <w:marLeft w:val="0"/>
          <w:marRight w:val="0"/>
          <w:marTop w:val="0"/>
          <w:marBottom w:val="0"/>
          <w:divBdr>
            <w:top w:val="none" w:sz="0" w:space="0" w:color="auto"/>
            <w:left w:val="none" w:sz="0" w:space="0" w:color="auto"/>
            <w:bottom w:val="none" w:sz="0" w:space="0" w:color="auto"/>
            <w:right w:val="none" w:sz="0" w:space="0" w:color="auto"/>
          </w:divBdr>
          <w:divsChild>
            <w:div w:id="18155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TotalTime>
  <Pages>6</Pages>
  <Words>2735</Words>
  <Characters>15454</Characters>
  <Application>Microsoft Office Word</Application>
  <DocSecurity>0</DocSecurity>
  <Lines>292</Lines>
  <Paragraphs>100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Rúben Filipe do Bem Gariso</cp:lastModifiedBy>
  <cp:revision>5</cp:revision>
  <cp:lastPrinted>2023-11-10T11:47:00Z</cp:lastPrinted>
  <dcterms:created xsi:type="dcterms:W3CDTF">2023-11-22T11:04:00Z</dcterms:created>
  <dcterms:modified xsi:type="dcterms:W3CDTF">2023-11-27T13:32:00Z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zotero-version="7.0.0-beta.51+7c5600913"&gt;&lt;session id="64sOb44w"/&gt;&lt;style id="http://www.zotero.org/styles/escape-based-on-elsevier-harvard" hasBibliography="1" bibliographyStyleHasBeenSet="1"/&gt;&lt;prefs&gt;&lt;pref name="fieldType" value="Fie</vt:lpwstr>
  </property>
  <property fmtid="{D5CDD505-2E9C-101B-9397-08002B2CF9AE}" pid="11" name="ZOTERO_PREF_2">
    <vt:lpwstr>ld"/&gt;&lt;pref name="automaticJournalAbbreviations" value="true"/&gt;&lt;/prefs&gt;&lt;/data&gt;</vt:lpwstr>
  </property>
</Properties>
</file>