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E67F" w14:textId="37F3D84D" w:rsidR="00DD3D9E" w:rsidRPr="00B4388F" w:rsidRDefault="00427290">
      <w:pPr>
        <w:pStyle w:val="Els-Title"/>
        <w:rPr>
          <w:color w:val="000000" w:themeColor="text1"/>
        </w:rPr>
      </w:pPr>
      <w:r>
        <w:rPr>
          <w:color w:val="000000" w:themeColor="text1"/>
        </w:rPr>
        <w:t xml:space="preserve">Enhanced </w:t>
      </w:r>
      <w:r w:rsidR="00A5527F">
        <w:rPr>
          <w:color w:val="000000" w:themeColor="text1"/>
        </w:rPr>
        <w:t>t</w:t>
      </w:r>
      <w:r>
        <w:rPr>
          <w:color w:val="000000" w:themeColor="text1"/>
        </w:rPr>
        <w:t>echnosphere</w:t>
      </w:r>
      <w:r w:rsidR="00544337">
        <w:rPr>
          <w:color w:val="000000" w:themeColor="text1"/>
        </w:rPr>
        <w:noBreakHyphen/>
      </w:r>
      <w:r>
        <w:rPr>
          <w:color w:val="000000" w:themeColor="text1"/>
        </w:rPr>
        <w:t>wide life cycle assessment of chemical systems using modified background data</w:t>
      </w:r>
    </w:p>
    <w:p w14:paraId="06CAF33C" w14:textId="01DED807" w:rsidR="00427290" w:rsidRPr="004E48A3" w:rsidRDefault="00427290">
      <w:pPr>
        <w:pStyle w:val="Els-Author"/>
        <w:rPr>
          <w:vertAlign w:val="superscript"/>
          <w:lang w:val="it-IT"/>
        </w:rPr>
      </w:pPr>
      <w:r w:rsidRPr="004E48A3">
        <w:rPr>
          <w:lang w:val="it-IT"/>
        </w:rPr>
        <w:t>Margarita A</w:t>
      </w:r>
      <w:r w:rsidR="004E48A3">
        <w:rPr>
          <w:lang w:val="it-IT"/>
        </w:rPr>
        <w:t>thanasia</w:t>
      </w:r>
      <w:r w:rsidRPr="004E48A3">
        <w:rPr>
          <w:lang w:val="it-IT"/>
        </w:rPr>
        <w:t xml:space="preserve"> Charalambous,</w:t>
      </w:r>
      <w:r w:rsidRPr="004E48A3">
        <w:rPr>
          <w:vertAlign w:val="superscript"/>
          <w:lang w:val="it-IT"/>
        </w:rPr>
        <w:t>a</w:t>
      </w:r>
      <w:r w:rsidRPr="004E48A3">
        <w:rPr>
          <w:lang w:val="it-IT"/>
        </w:rPr>
        <w:t xml:space="preserve"> Romain Sacchi,</w:t>
      </w:r>
      <w:r w:rsidRPr="004E48A3">
        <w:rPr>
          <w:vertAlign w:val="superscript"/>
          <w:lang w:val="it-IT"/>
        </w:rPr>
        <w:t>b</w:t>
      </w:r>
      <w:r w:rsidRPr="004E48A3">
        <w:rPr>
          <w:lang w:val="it-IT"/>
        </w:rPr>
        <w:t xml:space="preserve"> Gonzalo Guillén-Gosálbez</w:t>
      </w:r>
      <w:r w:rsidRPr="004E48A3">
        <w:rPr>
          <w:vertAlign w:val="superscript"/>
          <w:lang w:val="it-IT"/>
        </w:rPr>
        <w:t>a,*</w:t>
      </w:r>
    </w:p>
    <w:p w14:paraId="72F436AC" w14:textId="77777777" w:rsidR="00007092" w:rsidRPr="00007092" w:rsidRDefault="00007092" w:rsidP="00007092">
      <w:pPr>
        <w:pStyle w:val="Els-body-text"/>
        <w:spacing w:after="120"/>
        <w:rPr>
          <w:i/>
        </w:rPr>
      </w:pPr>
      <w:proofErr w:type="spellStart"/>
      <w:r w:rsidRPr="00007092">
        <w:rPr>
          <w:i/>
          <w:vertAlign w:val="superscript"/>
        </w:rPr>
        <w:t>a</w:t>
      </w:r>
      <w:r w:rsidRPr="00007092">
        <w:rPr>
          <w:i/>
        </w:rPr>
        <w:t>Institute</w:t>
      </w:r>
      <w:proofErr w:type="spellEnd"/>
      <w:r w:rsidRPr="00007092">
        <w:rPr>
          <w:i/>
        </w:rPr>
        <w:t xml:space="preserve"> for Chemical and Bioengineering, Departme</w:t>
      </w:r>
      <w:bookmarkStart w:id="0" w:name="_GoBack"/>
      <w:bookmarkEnd w:id="0"/>
      <w:r w:rsidRPr="00007092">
        <w:rPr>
          <w:i/>
        </w:rPr>
        <w:t>nt of Chemistry and Applied Biosciences, ETH</w:t>
      </w:r>
      <w:r>
        <w:rPr>
          <w:i/>
        </w:rPr>
        <w:t xml:space="preserve"> Z</w:t>
      </w:r>
      <w:r w:rsidRPr="00007092">
        <w:rPr>
          <w:i/>
        </w:rPr>
        <w:t>ü</w:t>
      </w:r>
      <w:r>
        <w:rPr>
          <w:i/>
        </w:rPr>
        <w:t xml:space="preserve">rich, </w:t>
      </w:r>
      <w:r w:rsidRPr="00007092">
        <w:rPr>
          <w:i/>
        </w:rPr>
        <w:t>V</w:t>
      </w:r>
      <w:r>
        <w:rPr>
          <w:i/>
        </w:rPr>
        <w:t>ladimir</w:t>
      </w:r>
      <w:r w:rsidRPr="00007092">
        <w:rPr>
          <w:i/>
        </w:rPr>
        <w:t>-</w:t>
      </w:r>
      <w:r>
        <w:rPr>
          <w:i/>
        </w:rPr>
        <w:t>Prelog-Weg 1, 8093 Z</w:t>
      </w:r>
      <w:r w:rsidRPr="00007092">
        <w:rPr>
          <w:i/>
        </w:rPr>
        <w:t>ü</w:t>
      </w:r>
      <w:r>
        <w:rPr>
          <w:i/>
        </w:rPr>
        <w:t xml:space="preserve">rich, Switzerland. </w:t>
      </w:r>
    </w:p>
    <w:p w14:paraId="27D2DB4C" w14:textId="5F33CDA5" w:rsidR="00427290" w:rsidRPr="00A1400C" w:rsidRDefault="00427290" w:rsidP="00427290">
      <w:pPr>
        <w:pStyle w:val="Els-Affiliation"/>
        <w:ind w:right="-1152"/>
        <w:rPr>
          <w:lang w:val="en-US"/>
        </w:rPr>
      </w:pPr>
      <w:r w:rsidRPr="00A1400C">
        <w:rPr>
          <w:vertAlign w:val="superscript"/>
        </w:rPr>
        <w:t>b</w:t>
      </w:r>
      <w:r w:rsidRPr="00A1400C">
        <w:t>Laboratory for Energy Systems Analysis, Paul Scherrer Institut, Villigen, Switzerland</w:t>
      </w:r>
    </w:p>
    <w:p w14:paraId="00A4986C" w14:textId="3FDE650D" w:rsidR="00427290" w:rsidRPr="00A1400C" w:rsidRDefault="004E48A3" w:rsidP="00427290">
      <w:pPr>
        <w:pStyle w:val="Els-Affiliation"/>
        <w:ind w:right="-1152"/>
      </w:pPr>
      <w:hyperlink r:id="rId8" w:history="1">
        <w:r w:rsidR="00427290" w:rsidRPr="00C262D6">
          <w:rPr>
            <w:rStyle w:val="Collegamentoipertestuale"/>
          </w:rPr>
          <w:t>gonzalo.guillen.gosalbez@chem.ethz.ch</w:t>
        </w:r>
      </w:hyperlink>
      <w:r w:rsidR="00427290" w:rsidRPr="00A1400C">
        <w:t xml:space="preserve"> 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10A9798C" w14:textId="5F4B8127" w:rsidR="00E91717" w:rsidRPr="00A71F5F" w:rsidRDefault="00BB0EC2" w:rsidP="00540646">
      <w:pPr>
        <w:pStyle w:val="Els-body-text"/>
        <w:spacing w:after="120"/>
      </w:pPr>
      <w:r>
        <w:t xml:space="preserve">Life cycle assessments of emerging chemical technologies often assume </w:t>
      </w:r>
      <w:r w:rsidR="00A94E51">
        <w:t xml:space="preserve">static </w:t>
      </w:r>
      <w:r>
        <w:t>background data</w:t>
      </w:r>
      <w:r w:rsidR="00E20C40">
        <w:t xml:space="preserve"> (i.e., </w:t>
      </w:r>
      <w:r w:rsidR="00A94E51">
        <w:t>secondary</w:t>
      </w:r>
      <w:r w:rsidR="00E20C40">
        <w:t xml:space="preserve"> supply chain activities connected to the main system under study</w:t>
      </w:r>
      <w:r w:rsidR="00A94E51">
        <w:t xml:space="preserve"> </w:t>
      </w:r>
      <w:r w:rsidR="001C706F">
        <w:t>—</w:t>
      </w:r>
      <w:r w:rsidR="00A94E51">
        <w:t xml:space="preserve"> foreground activity </w:t>
      </w:r>
      <w:r w:rsidR="001C706F">
        <w:t>—</w:t>
      </w:r>
      <w:r w:rsidR="00E20C40">
        <w:t xml:space="preserve">), </w:t>
      </w:r>
      <w:r>
        <w:t xml:space="preserve">consistent with the current state of the </w:t>
      </w:r>
      <w:r w:rsidR="00A94E51">
        <w:t>economy</w:t>
      </w:r>
      <w:r w:rsidR="00694152">
        <w:t>.</w:t>
      </w:r>
      <w:r>
        <w:t xml:space="preserve"> However,</w:t>
      </w:r>
      <w:r w:rsidR="00540646">
        <w:t xml:space="preserve"> the background system within which a </w:t>
      </w:r>
      <w:r w:rsidR="00A94E51">
        <w:t xml:space="preserve">process </w:t>
      </w:r>
      <w:r w:rsidR="00540646">
        <w:t xml:space="preserve">will operate can differ from the one assumed in the environmental database. For example, one may establish a new supply chain with different suppliers or consider future </w:t>
      </w:r>
      <w:r>
        <w:t xml:space="preserve">decarbonization and socio-economic </w:t>
      </w:r>
      <w:r w:rsidR="00FB2F9C">
        <w:t>trends</w:t>
      </w:r>
      <w:r w:rsidR="00540646">
        <w:t xml:space="preserve"> in the analysis. </w:t>
      </w:r>
      <w:r w:rsidR="00694152">
        <w:t xml:space="preserve">This work </w:t>
      </w:r>
      <w:r w:rsidR="00FB2F9C">
        <w:t xml:space="preserve">addresses this limitation by </w:t>
      </w:r>
      <w:r w:rsidR="00694152">
        <w:t xml:space="preserve">adjusting the background data </w:t>
      </w:r>
      <w:r w:rsidR="00A94E51">
        <w:t>for</w:t>
      </w:r>
      <w:r w:rsidR="00694152">
        <w:t xml:space="preserve"> a more insightful and holistic assessment of the foreground system. We focus </w:t>
      </w:r>
      <w:r w:rsidR="00A5527F">
        <w:t xml:space="preserve">on </w:t>
      </w:r>
      <w:r w:rsidR="00FB2F9C">
        <w:t xml:space="preserve">evaluating </w:t>
      </w:r>
      <w:r w:rsidR="005A2D06">
        <w:t xml:space="preserve">synthetic diesel </w:t>
      </w:r>
      <w:r w:rsidR="00694152">
        <w:t xml:space="preserve">fuel </w:t>
      </w:r>
      <w:r w:rsidR="005A2D06">
        <w:t>in the future</w:t>
      </w:r>
      <w:r w:rsidR="00A94E51">
        <w:t>,</w:t>
      </w:r>
      <w:r w:rsidR="005A2D06">
        <w:t xml:space="preserve"> </w:t>
      </w:r>
      <w:r w:rsidR="00540646">
        <w:t xml:space="preserve">considering </w:t>
      </w:r>
      <w:r w:rsidR="005A2D06">
        <w:t xml:space="preserve">projected </w:t>
      </w:r>
      <w:r w:rsidR="00540646">
        <w:t xml:space="preserve">changes in the </w:t>
      </w:r>
      <w:r w:rsidR="00810AEC">
        <w:t>t</w:t>
      </w:r>
      <w:r w:rsidR="00540646">
        <w:t>echnosphere and extending the technological coverage of the background system. To this end, we use</w:t>
      </w:r>
      <w:r w:rsidR="00A71F5F">
        <w:t xml:space="preserve"> inventories from </w:t>
      </w:r>
      <w:r w:rsidR="00A71F5F" w:rsidRPr="00A71F5F">
        <w:rPr>
          <w:i/>
        </w:rPr>
        <w:t>premise</w:t>
      </w:r>
      <w:r w:rsidR="00FB2F9C">
        <w:t xml:space="preserve">, </w:t>
      </w:r>
      <w:r w:rsidR="00B61E58">
        <w:t xml:space="preserve">a Python library that </w:t>
      </w:r>
      <w:r w:rsidR="00FB2F9C">
        <w:t>provides background data consistent with integrated assessment models a</w:t>
      </w:r>
      <w:r w:rsidR="00A71F5F" w:rsidRPr="00A71F5F">
        <w:t>nd</w:t>
      </w:r>
      <w:r w:rsidR="00A71F5F">
        <w:rPr>
          <w:i/>
        </w:rPr>
        <w:t xml:space="preserve"> </w:t>
      </w:r>
      <w:r w:rsidR="00540646">
        <w:t>include</w:t>
      </w:r>
      <w:r w:rsidR="0079310F">
        <w:t>s</w:t>
      </w:r>
      <w:r w:rsidR="00540646">
        <w:t xml:space="preserve"> additional</w:t>
      </w:r>
      <w:r w:rsidR="00A71F5F" w:rsidRPr="004C667C">
        <w:t xml:space="preserve"> technologi</w:t>
      </w:r>
      <w:r w:rsidR="00540646">
        <w:t>es</w:t>
      </w:r>
      <w:r w:rsidR="00A71F5F" w:rsidRPr="004C667C">
        <w:t xml:space="preserve"> </w:t>
      </w:r>
      <w:r w:rsidR="00540646">
        <w:t xml:space="preserve">in </w:t>
      </w:r>
      <w:r w:rsidR="00FB2F9C">
        <w:t xml:space="preserve">the background system </w:t>
      </w:r>
      <w:r w:rsidR="00A71F5F" w:rsidRPr="004C667C">
        <w:t xml:space="preserve">to </w:t>
      </w:r>
      <w:r w:rsidR="00540646">
        <w:t xml:space="preserve">model alternative supply chains </w:t>
      </w:r>
      <w:r w:rsidR="00C26446">
        <w:t xml:space="preserve">with </w:t>
      </w:r>
      <w:r w:rsidR="00540646">
        <w:t>which the main technology (foreground system) could interact</w:t>
      </w:r>
      <w:r w:rsidR="00B61E58">
        <w:t xml:space="preserve"> with</w:t>
      </w:r>
      <w:r w:rsidR="00A71F5F" w:rsidRPr="004C667C">
        <w:t xml:space="preserve">. </w:t>
      </w:r>
      <w:r w:rsidR="004C667C" w:rsidRPr="004C667C">
        <w:t>Our finding</w:t>
      </w:r>
      <w:r w:rsidR="004C667C">
        <w:t>s</w:t>
      </w:r>
      <w:r w:rsidR="004C667C" w:rsidRPr="004C667C">
        <w:t xml:space="preserve"> reveal that </w:t>
      </w:r>
      <w:r w:rsidR="002318D4" w:rsidRPr="004C667C">
        <w:t>modifying</w:t>
      </w:r>
      <w:r w:rsidR="00FB2F9C">
        <w:t xml:space="preserve"> the</w:t>
      </w:r>
      <w:r w:rsidR="002318D4" w:rsidRPr="004C667C">
        <w:t xml:space="preserve"> background data can </w:t>
      </w:r>
      <w:r w:rsidR="00FB2F9C">
        <w:t>drastically affect the outcome of the LCA analysis. Overall</w:t>
      </w:r>
      <w:r w:rsidR="00A71F5F">
        <w:t xml:space="preserve">, this work </w:t>
      </w:r>
      <w:r w:rsidR="00FB2F9C">
        <w:t xml:space="preserve">stresses the importance of jointly defining the </w:t>
      </w:r>
      <w:r w:rsidR="00A71F5F">
        <w:t>foreground and background system</w:t>
      </w:r>
      <w:r w:rsidR="00FB2F9C">
        <w:t>s</w:t>
      </w:r>
      <w:r w:rsidR="00A71F5F">
        <w:t xml:space="preserve"> </w:t>
      </w:r>
      <w:r w:rsidR="00783059">
        <w:t xml:space="preserve">to </w:t>
      </w:r>
      <w:r w:rsidR="00FB2F9C">
        <w:t>perform more meaningful and accurate LCAs</w:t>
      </w:r>
      <w:r w:rsidR="00783059">
        <w:t xml:space="preserve">. </w:t>
      </w:r>
    </w:p>
    <w:p w14:paraId="144DE687" w14:textId="54CA1377" w:rsidR="008D2649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007092">
        <w:rPr>
          <w:lang w:val="en-GB"/>
        </w:rPr>
        <w:t xml:space="preserve">prospective life cycle assessment, </w:t>
      </w:r>
      <w:r w:rsidR="00B61E58">
        <w:rPr>
          <w:lang w:val="en-GB"/>
        </w:rPr>
        <w:t>computational</w:t>
      </w:r>
      <w:r w:rsidR="00007092">
        <w:rPr>
          <w:lang w:val="en-GB"/>
        </w:rPr>
        <w:t xml:space="preserve"> LCA, fuel systems, integrated assessment models</w:t>
      </w:r>
    </w:p>
    <w:p w14:paraId="144DE689" w14:textId="70E60DD7" w:rsidR="008D2649" w:rsidRDefault="00E10208" w:rsidP="008D2649">
      <w:pPr>
        <w:pStyle w:val="Els-1storder-head"/>
      </w:pPr>
      <w:r>
        <w:t>Introduction</w:t>
      </w:r>
    </w:p>
    <w:p w14:paraId="17C9ACC6" w14:textId="3D67536D" w:rsidR="00BB3CA1" w:rsidRDefault="00BB3CA1" w:rsidP="00F650B1">
      <w:pPr>
        <w:pStyle w:val="Els-body-text"/>
        <w:spacing w:after="120"/>
        <w:rPr>
          <w:lang w:val="en-GB"/>
        </w:rPr>
      </w:pPr>
      <w:bookmarkStart w:id="1" w:name="_Hlk147392577"/>
      <w:r>
        <w:t>The power, chemical, and transportation sectors are almost entirely powered by fossil fuels today, contributing to 70</w:t>
      </w:r>
      <w:r w:rsidR="00544337">
        <w:t> </w:t>
      </w:r>
      <w:r>
        <w:t>% of global anthropogenic greenhouse gas (GHG) emissions in 2021</w:t>
      </w:r>
      <w:r w:rsidR="004C667C">
        <w:t xml:space="preserve"> (IEA 2023)</w:t>
      </w:r>
      <w:r>
        <w:t xml:space="preserve">. Consequently, there has been a noticeable shift towards sustainable energy systems and environmentally friendly chemical production. </w:t>
      </w:r>
      <w:r w:rsidR="00647553">
        <w:t xml:space="preserve">At the </w:t>
      </w:r>
      <w:r w:rsidR="00647553">
        <w:lastRenderedPageBreak/>
        <w:t xml:space="preserve">core of this transition lies the critical role of </w:t>
      </w:r>
      <w:r w:rsidR="00647553">
        <w:rPr>
          <w:lang w:val="en-GB"/>
        </w:rPr>
        <w:t>environmental</w:t>
      </w:r>
      <w:r w:rsidR="00007092">
        <w:rPr>
          <w:lang w:val="en-GB"/>
        </w:rPr>
        <w:t xml:space="preserve"> assessments</w:t>
      </w:r>
      <w:r w:rsidR="00C26446">
        <w:rPr>
          <w:lang w:val="en-GB"/>
        </w:rPr>
        <w:t>,</w:t>
      </w:r>
      <w:r w:rsidR="00007092">
        <w:rPr>
          <w:lang w:val="en-GB"/>
        </w:rPr>
        <w:t xml:space="preserve"> </w:t>
      </w:r>
      <w:r w:rsidR="00647553">
        <w:rPr>
          <w:lang w:val="en-GB"/>
        </w:rPr>
        <w:t xml:space="preserve">which are essential for </w:t>
      </w:r>
      <w:r w:rsidR="00007092">
        <w:rPr>
          <w:lang w:val="en-GB"/>
        </w:rPr>
        <w:t xml:space="preserve">guiding policy decisions and experimental work more effectively. </w:t>
      </w:r>
    </w:p>
    <w:p w14:paraId="2C622158" w14:textId="080DE2CA" w:rsidR="00E0037D" w:rsidRDefault="00056AC8" w:rsidP="00F650B1">
      <w:pPr>
        <w:pStyle w:val="Els-body-text"/>
        <w:spacing w:after="120"/>
        <w:rPr>
          <w:rFonts w:eastAsia="PMingLiU"/>
        </w:rPr>
      </w:pPr>
      <w:r>
        <w:rPr>
          <w:rFonts w:eastAsia="PMingLiU"/>
        </w:rPr>
        <w:t xml:space="preserve">Currently, </w:t>
      </w:r>
      <w:r w:rsidR="00647553">
        <w:rPr>
          <w:rFonts w:eastAsia="PMingLiU"/>
        </w:rPr>
        <w:t xml:space="preserve">standard </w:t>
      </w:r>
      <w:r>
        <w:rPr>
          <w:rFonts w:eastAsia="PMingLiU"/>
        </w:rPr>
        <w:t>life-cycle assessments (LCAs) retrieve data</w:t>
      </w:r>
      <w:r w:rsidR="00647553">
        <w:rPr>
          <w:rFonts w:eastAsia="PMingLiU"/>
        </w:rPr>
        <w:t xml:space="preserve"> from life</w:t>
      </w:r>
      <w:r w:rsidR="00544337">
        <w:rPr>
          <w:rFonts w:eastAsia="PMingLiU"/>
        </w:rPr>
        <w:noBreakHyphen/>
      </w:r>
      <w:r w:rsidR="00647553">
        <w:rPr>
          <w:rFonts w:eastAsia="PMingLiU"/>
        </w:rPr>
        <w:t xml:space="preserve">cycle inventory databases that </w:t>
      </w:r>
      <w:r w:rsidR="00B61E58">
        <w:rPr>
          <w:rFonts w:eastAsia="PMingLiU"/>
        </w:rPr>
        <w:t xml:space="preserve">represent </w:t>
      </w:r>
      <w:r w:rsidR="0079310F">
        <w:rPr>
          <w:rFonts w:eastAsia="PMingLiU"/>
        </w:rPr>
        <w:t xml:space="preserve">today’s </w:t>
      </w:r>
      <w:r w:rsidR="00B61E58">
        <w:rPr>
          <w:rFonts w:eastAsia="PMingLiU"/>
        </w:rPr>
        <w:t>economic</w:t>
      </w:r>
      <w:r w:rsidR="00647553">
        <w:rPr>
          <w:rFonts w:eastAsia="PMingLiU"/>
        </w:rPr>
        <w:t xml:space="preserve"> structure </w:t>
      </w:r>
      <w:r w:rsidR="00FB2F9C">
        <w:rPr>
          <w:rFonts w:eastAsia="PMingLiU"/>
        </w:rPr>
        <w:t>and</w:t>
      </w:r>
      <w:r w:rsidR="00647553">
        <w:rPr>
          <w:rFonts w:eastAsia="PMingLiU"/>
        </w:rPr>
        <w:t xml:space="preserve"> </w:t>
      </w:r>
      <w:r w:rsidR="00FB2F9C">
        <w:rPr>
          <w:rFonts w:eastAsia="PMingLiU"/>
        </w:rPr>
        <w:t xml:space="preserve">assume that such data </w:t>
      </w:r>
      <w:r w:rsidR="00A94E51">
        <w:rPr>
          <w:rFonts w:eastAsia="PMingLiU"/>
        </w:rPr>
        <w:t xml:space="preserve">(background data or upstream supply chain data) </w:t>
      </w:r>
      <w:r w:rsidR="00FB2F9C">
        <w:rPr>
          <w:rFonts w:eastAsia="PMingLiU"/>
        </w:rPr>
        <w:t xml:space="preserve">will remain </w:t>
      </w:r>
      <w:r w:rsidR="00647553">
        <w:rPr>
          <w:rFonts w:eastAsia="PMingLiU"/>
        </w:rPr>
        <w:t>the same.</w:t>
      </w:r>
      <w:r w:rsidR="00540646">
        <w:rPr>
          <w:rFonts w:eastAsia="PMingLiU"/>
        </w:rPr>
        <w:t xml:space="preserve"> Moreover, </w:t>
      </w:r>
      <w:r w:rsidR="00B61E58">
        <w:rPr>
          <w:rFonts w:eastAsia="PMingLiU"/>
        </w:rPr>
        <w:t xml:space="preserve">such assessments rely on static and immutable </w:t>
      </w:r>
      <w:r w:rsidR="00540646">
        <w:rPr>
          <w:rFonts w:eastAsia="PMingLiU"/>
        </w:rPr>
        <w:t xml:space="preserve">supply chains in the </w:t>
      </w:r>
      <w:r w:rsidR="00810AEC">
        <w:rPr>
          <w:rFonts w:eastAsia="PMingLiU"/>
        </w:rPr>
        <w:t>t</w:t>
      </w:r>
      <w:r w:rsidR="00540646">
        <w:rPr>
          <w:rFonts w:eastAsia="PMingLiU"/>
        </w:rPr>
        <w:t>echnosphere (e.g., the same suppliers are considered for all the inputs across the supply chain).</w:t>
      </w:r>
      <w:r>
        <w:rPr>
          <w:rFonts w:eastAsia="PMingLiU"/>
        </w:rPr>
        <w:t xml:space="preserve"> </w:t>
      </w:r>
      <w:r w:rsidR="00FB2F9C">
        <w:rPr>
          <w:rFonts w:eastAsia="PMingLiU"/>
        </w:rPr>
        <w:t>However</w:t>
      </w:r>
      <w:r w:rsidR="00647553">
        <w:rPr>
          <w:rFonts w:eastAsia="PMingLiU"/>
        </w:rPr>
        <w:t>,</w:t>
      </w:r>
      <w:r w:rsidR="00FB2F9C">
        <w:rPr>
          <w:rFonts w:eastAsia="PMingLiU"/>
        </w:rPr>
        <w:t xml:space="preserve"> these data are expected to change following</w:t>
      </w:r>
      <w:r w:rsidR="00647553">
        <w:rPr>
          <w:rFonts w:eastAsia="PMingLiU"/>
        </w:rPr>
        <w:t xml:space="preserve"> future decarbonization </w:t>
      </w:r>
      <w:r w:rsidR="00E20C40">
        <w:rPr>
          <w:rFonts w:eastAsia="PMingLiU"/>
        </w:rPr>
        <w:t>and socio-economic trends</w:t>
      </w:r>
      <w:r w:rsidR="00C26446">
        <w:rPr>
          <w:rFonts w:eastAsia="PMingLiU"/>
        </w:rPr>
        <w:t>. Moreover</w:t>
      </w:r>
      <w:r w:rsidR="00540646">
        <w:rPr>
          <w:rFonts w:eastAsia="PMingLiU"/>
        </w:rPr>
        <w:t xml:space="preserve">, </w:t>
      </w:r>
      <w:r w:rsidR="00F77D96">
        <w:rPr>
          <w:rFonts w:eastAsia="PMingLiU"/>
        </w:rPr>
        <w:t xml:space="preserve">future </w:t>
      </w:r>
      <w:r w:rsidR="00540646">
        <w:rPr>
          <w:rFonts w:eastAsia="PMingLiU"/>
        </w:rPr>
        <w:t>supply chains</w:t>
      </w:r>
      <w:r w:rsidR="00B968DF">
        <w:rPr>
          <w:rFonts w:eastAsia="PMingLiU"/>
        </w:rPr>
        <w:t xml:space="preserve"> entailing different technological and regional choices</w:t>
      </w:r>
      <w:r w:rsidR="00E0037D">
        <w:rPr>
          <w:rFonts w:eastAsia="PMingLiU"/>
        </w:rPr>
        <w:t xml:space="preserve"> could</w:t>
      </w:r>
      <w:r w:rsidR="00540646">
        <w:rPr>
          <w:rFonts w:eastAsia="PMingLiU"/>
        </w:rPr>
        <w:t xml:space="preserve"> </w:t>
      </w:r>
      <w:r w:rsidR="00E0037D">
        <w:rPr>
          <w:rFonts w:eastAsia="PMingLiU"/>
        </w:rPr>
        <w:t>result in</w:t>
      </w:r>
      <w:r w:rsidR="00C26446">
        <w:rPr>
          <w:rFonts w:eastAsia="PMingLiU"/>
        </w:rPr>
        <w:t xml:space="preserve"> different</w:t>
      </w:r>
      <w:r w:rsidR="00E0037D">
        <w:rPr>
          <w:rFonts w:eastAsia="PMingLiU"/>
        </w:rPr>
        <w:t xml:space="preserve"> life cycle </w:t>
      </w:r>
      <w:r w:rsidR="00C26446">
        <w:rPr>
          <w:rFonts w:eastAsia="PMingLiU"/>
        </w:rPr>
        <w:t>impacts</w:t>
      </w:r>
      <w:r w:rsidR="000A520A">
        <w:rPr>
          <w:rFonts w:eastAsia="PMingLiU"/>
        </w:rPr>
        <w:t>.</w:t>
      </w:r>
      <w:r w:rsidR="00647553">
        <w:rPr>
          <w:rFonts w:eastAsia="PMingLiU"/>
        </w:rPr>
        <w:t xml:space="preserve"> </w:t>
      </w:r>
    </w:p>
    <w:p w14:paraId="47A5E396" w14:textId="43F8618D" w:rsidR="0079310F" w:rsidRPr="00BB3CA1" w:rsidRDefault="00E20C40" w:rsidP="00F650B1">
      <w:pPr>
        <w:pStyle w:val="Els-body-text"/>
        <w:spacing w:after="120"/>
        <w:rPr>
          <w:rFonts w:eastAsia="PMingLiU"/>
        </w:rPr>
      </w:pPr>
      <w:r>
        <w:rPr>
          <w:rFonts w:eastAsia="PMingLiU"/>
        </w:rPr>
        <w:t>In recent work</w:t>
      </w:r>
      <w:r w:rsidR="003A3CA4">
        <w:rPr>
          <w:rFonts w:eastAsia="PMingLiU"/>
        </w:rPr>
        <w:t>s</w:t>
      </w:r>
      <w:r>
        <w:rPr>
          <w:rFonts w:eastAsia="PMingLiU"/>
        </w:rPr>
        <w:t>, some authors defined</w:t>
      </w:r>
      <w:r w:rsidR="00BB3CA1">
        <w:rPr>
          <w:rFonts w:eastAsia="PMingLiU"/>
        </w:rPr>
        <w:t xml:space="preserve"> </w:t>
      </w:r>
      <w:r w:rsidR="00BB3CA1" w:rsidRPr="00A1400C">
        <w:rPr>
          <w:rFonts w:eastAsia="PMingLiU"/>
        </w:rPr>
        <w:t xml:space="preserve">background </w:t>
      </w:r>
      <w:r>
        <w:rPr>
          <w:rFonts w:eastAsia="PMingLiU"/>
        </w:rPr>
        <w:t>LCA data based on the outcome of</w:t>
      </w:r>
      <w:r w:rsidR="00BB3CA1" w:rsidRPr="00A1400C">
        <w:rPr>
          <w:rFonts w:eastAsia="PMingLiU"/>
        </w:rPr>
        <w:t xml:space="preserve"> Integrated Assessment Models (IAMs)</w:t>
      </w:r>
      <w:r w:rsidR="004C667C">
        <w:rPr>
          <w:rFonts w:eastAsia="PMingLiU"/>
        </w:rPr>
        <w:t xml:space="preserve"> </w:t>
      </w:r>
      <w:r w:rsidR="00B61E58">
        <w:rPr>
          <w:rFonts w:eastAsia="PMingLiU"/>
        </w:rPr>
        <w:t xml:space="preserve">scenarios </w:t>
      </w:r>
      <w:r w:rsidR="004C667C">
        <w:rPr>
          <w:rFonts w:eastAsia="PMingLiU"/>
        </w:rPr>
        <w:t>(</w:t>
      </w:r>
      <w:r w:rsidR="004C667C" w:rsidRPr="00A1400C">
        <w:rPr>
          <w:rFonts w:eastAsia="PMingLiU"/>
        </w:rPr>
        <w:t>Mendoza</w:t>
      </w:r>
      <w:r w:rsidR="00544337">
        <w:rPr>
          <w:rFonts w:eastAsia="PMingLiU"/>
        </w:rPr>
        <w:t> </w:t>
      </w:r>
      <w:r w:rsidR="004C667C" w:rsidRPr="00A1400C">
        <w:rPr>
          <w:rFonts w:eastAsia="PMingLiU"/>
        </w:rPr>
        <w:t>Beltran</w:t>
      </w:r>
      <w:r w:rsidR="001911E6">
        <w:rPr>
          <w:rFonts w:eastAsia="PMingLiU"/>
        </w:rPr>
        <w:t>,</w:t>
      </w:r>
      <w:r w:rsidR="00544337">
        <w:rPr>
          <w:rFonts w:eastAsia="PMingLiU"/>
        </w:rPr>
        <w:t> </w:t>
      </w:r>
      <w:r w:rsidR="004C667C">
        <w:rPr>
          <w:rFonts w:eastAsia="PMingLiU"/>
        </w:rPr>
        <w:t>2018)</w:t>
      </w:r>
      <w:r w:rsidR="00BB3CA1">
        <w:rPr>
          <w:rFonts w:eastAsia="PMingLiU"/>
        </w:rPr>
        <w:t xml:space="preserve">. </w:t>
      </w:r>
      <w:r>
        <w:rPr>
          <w:rFonts w:eastAsia="PMingLiU"/>
        </w:rPr>
        <w:t xml:space="preserve">Specifically, </w:t>
      </w:r>
      <w:r w:rsidR="00BB3CA1">
        <w:rPr>
          <w:rFonts w:eastAsia="PMingLiU"/>
        </w:rPr>
        <w:t>Sacchi</w:t>
      </w:r>
      <w:r w:rsidR="00544337">
        <w:rPr>
          <w:rFonts w:eastAsia="PMingLiU"/>
        </w:rPr>
        <w:t> </w:t>
      </w:r>
      <w:r w:rsidR="00BB3CA1">
        <w:rPr>
          <w:rFonts w:eastAsia="PMingLiU"/>
        </w:rPr>
        <w:t>et al</w:t>
      </w:r>
      <w:r w:rsidR="004C667C">
        <w:rPr>
          <w:rFonts w:eastAsia="PMingLiU"/>
        </w:rPr>
        <w:t>.</w:t>
      </w:r>
      <w:r w:rsidR="00544337">
        <w:rPr>
          <w:rFonts w:eastAsia="PMingLiU"/>
        </w:rPr>
        <w:t> </w:t>
      </w:r>
      <w:r w:rsidR="004C667C">
        <w:rPr>
          <w:rFonts w:eastAsia="PMingLiU"/>
        </w:rPr>
        <w:t>(2022)</w:t>
      </w:r>
      <w:r w:rsidR="00BB3CA1">
        <w:rPr>
          <w:rFonts w:eastAsia="PMingLiU"/>
        </w:rPr>
        <w:t xml:space="preserve">, introduced </w:t>
      </w:r>
      <w:r w:rsidR="00BB3CA1" w:rsidRPr="00BB3CA1">
        <w:rPr>
          <w:rFonts w:eastAsia="PMingLiU"/>
          <w:i/>
        </w:rPr>
        <w:t>premise</w:t>
      </w:r>
      <w:r w:rsidR="00BB3CA1" w:rsidRPr="00BB3CA1">
        <w:rPr>
          <w:rFonts w:eastAsia="PMingLiU"/>
        </w:rPr>
        <w:t xml:space="preserve">, a tool that generates prospective inventory databases by integrating IAM scenarios. This </w:t>
      </w:r>
      <w:r w:rsidR="00C26446">
        <w:rPr>
          <w:rFonts w:eastAsia="PMingLiU"/>
        </w:rPr>
        <w:t>framework</w:t>
      </w:r>
      <w:r w:rsidR="00C26446" w:rsidRPr="00BB3CA1">
        <w:rPr>
          <w:rFonts w:eastAsia="PMingLiU"/>
        </w:rPr>
        <w:t xml:space="preserve"> </w:t>
      </w:r>
      <w:r w:rsidR="00BB3CA1" w:rsidRPr="00BB3CA1">
        <w:rPr>
          <w:rFonts w:eastAsia="PMingLiU"/>
        </w:rPr>
        <w:t>enables the creation of library datasets</w:t>
      </w:r>
      <w:r w:rsidR="00BB3CA1">
        <w:rPr>
          <w:rFonts w:eastAsia="PMingLiU"/>
          <w:i/>
        </w:rPr>
        <w:t xml:space="preserve"> </w:t>
      </w:r>
      <w:r w:rsidR="00372E01">
        <w:rPr>
          <w:rFonts w:eastAsia="PMingLiU"/>
        </w:rPr>
        <w:t>that use future projections for a more accurate assessment of technologies and future supply chains.</w:t>
      </w:r>
      <w:r>
        <w:rPr>
          <w:rFonts w:eastAsia="PMingLiU"/>
        </w:rPr>
        <w:t xml:space="preserve"> </w:t>
      </w:r>
      <w:r w:rsidR="00C26446">
        <w:rPr>
          <w:rFonts w:eastAsia="PMingLiU"/>
        </w:rPr>
        <w:t>P</w:t>
      </w:r>
      <w:r w:rsidR="00A23526">
        <w:rPr>
          <w:rFonts w:eastAsia="PMingLiU"/>
        </w:rPr>
        <w:t xml:space="preserve">rospective environmental assessments </w:t>
      </w:r>
      <w:r w:rsidR="00C26446">
        <w:rPr>
          <w:rFonts w:eastAsia="PMingLiU"/>
        </w:rPr>
        <w:t xml:space="preserve">can then </w:t>
      </w:r>
      <w:r w:rsidR="00A23526">
        <w:rPr>
          <w:rFonts w:eastAsia="PMingLiU"/>
        </w:rPr>
        <w:t>use these datasets in their background system when assessing emerging technologies (as foreground activities</w:t>
      </w:r>
      <w:r w:rsidR="00C26446">
        <w:rPr>
          <w:rFonts w:eastAsia="PMingLiU"/>
        </w:rPr>
        <w:t xml:space="preserve">). However, it is important that full integration between the foreground and background data is accomplished, i.e., technologies in the foreground should also be modeled in the </w:t>
      </w:r>
      <w:r w:rsidR="00E137CA">
        <w:rPr>
          <w:rFonts w:eastAsia="PMingLiU"/>
        </w:rPr>
        <w:t xml:space="preserve">markets used in the </w:t>
      </w:r>
      <w:r w:rsidR="00C26446">
        <w:rPr>
          <w:rFonts w:eastAsia="PMingLiU"/>
        </w:rPr>
        <w:t xml:space="preserve">background </w:t>
      </w:r>
      <w:r w:rsidR="00E137CA">
        <w:rPr>
          <w:rFonts w:eastAsia="PMingLiU"/>
        </w:rPr>
        <w:t>to ensure</w:t>
      </w:r>
      <w:r w:rsidR="00C26446">
        <w:rPr>
          <w:rFonts w:eastAsia="PMingLiU"/>
        </w:rPr>
        <w:t xml:space="preserve"> full consistency. </w:t>
      </w:r>
      <w:r w:rsidR="00E137CA">
        <w:rPr>
          <w:rFonts w:eastAsia="PMingLiU"/>
        </w:rPr>
        <w:t>In this regard</w:t>
      </w:r>
      <w:r w:rsidR="00A23526">
        <w:rPr>
          <w:rFonts w:eastAsia="PMingLiU"/>
        </w:rPr>
        <w:t>,</w:t>
      </w:r>
      <w:r w:rsidR="00E0037D">
        <w:rPr>
          <w:rFonts w:eastAsia="PMingLiU"/>
        </w:rPr>
        <w:t xml:space="preserve"> the </w:t>
      </w:r>
      <w:r w:rsidR="00B61E58">
        <w:rPr>
          <w:rFonts w:eastAsia="PMingLiU"/>
        </w:rPr>
        <w:t xml:space="preserve">LCA framework </w:t>
      </w:r>
      <w:r w:rsidR="00E0037D">
        <w:rPr>
          <w:rFonts w:eastAsia="PMingLiU"/>
        </w:rPr>
        <w:t>Brightway</w:t>
      </w:r>
      <w:r w:rsidR="00810AEC">
        <w:rPr>
          <w:rFonts w:eastAsia="PMingLiU"/>
        </w:rPr>
        <w:t>2</w:t>
      </w:r>
      <w:r w:rsidR="00E0037D">
        <w:rPr>
          <w:rFonts w:eastAsia="PMingLiU"/>
        </w:rPr>
        <w:t xml:space="preserve"> </w:t>
      </w:r>
      <w:r w:rsidR="00DA69F9">
        <w:rPr>
          <w:rFonts w:eastAsia="PMingLiU"/>
        </w:rPr>
        <w:t>(Mutel,</w:t>
      </w:r>
      <w:r w:rsidR="00A5527F">
        <w:rPr>
          <w:rFonts w:eastAsia="PMingLiU"/>
        </w:rPr>
        <w:t> </w:t>
      </w:r>
      <w:r w:rsidR="00DA69F9">
        <w:rPr>
          <w:rFonts w:eastAsia="PMingLiU"/>
        </w:rPr>
        <w:t>2017)</w:t>
      </w:r>
      <w:r w:rsidR="00DA69F9" w:rsidRPr="00283632">
        <w:rPr>
          <w:rFonts w:eastAsia="PMingLiU"/>
        </w:rPr>
        <w:t xml:space="preserve"> </w:t>
      </w:r>
      <w:r w:rsidR="00E137CA">
        <w:rPr>
          <w:rFonts w:eastAsia="PMingLiU"/>
        </w:rPr>
        <w:t xml:space="preserve">offers an excellent platform to implement </w:t>
      </w:r>
      <w:r w:rsidR="00E0037D">
        <w:rPr>
          <w:rFonts w:eastAsia="PMingLiU"/>
        </w:rPr>
        <w:t xml:space="preserve">changes in the background system </w:t>
      </w:r>
      <w:r w:rsidR="001A34EE">
        <w:rPr>
          <w:rFonts w:eastAsia="PMingLiU"/>
        </w:rPr>
        <w:t xml:space="preserve">that would be </w:t>
      </w:r>
      <w:r w:rsidR="00E0037D">
        <w:rPr>
          <w:rFonts w:eastAsia="PMingLiU"/>
        </w:rPr>
        <w:t xml:space="preserve">very hard to </w:t>
      </w:r>
      <w:r w:rsidR="003C251B">
        <w:rPr>
          <w:rFonts w:eastAsia="PMingLiU"/>
        </w:rPr>
        <w:t xml:space="preserve">model </w:t>
      </w:r>
      <w:r w:rsidR="00E0037D">
        <w:rPr>
          <w:rFonts w:eastAsia="PMingLiU"/>
        </w:rPr>
        <w:t xml:space="preserve">using standard LCA </w:t>
      </w:r>
      <w:r w:rsidR="00E137CA">
        <w:rPr>
          <w:rFonts w:eastAsia="PMingLiU"/>
        </w:rPr>
        <w:t>tools</w:t>
      </w:r>
      <w:r w:rsidR="00E0037D">
        <w:rPr>
          <w:rFonts w:eastAsia="PMingLiU"/>
        </w:rPr>
        <w:t>.</w:t>
      </w:r>
      <w:r>
        <w:rPr>
          <w:rFonts w:eastAsia="PMingLiU"/>
        </w:rPr>
        <w:t xml:space="preserve"> Here</w:t>
      </w:r>
      <w:r w:rsidR="00B61E58">
        <w:rPr>
          <w:rFonts w:eastAsia="PMingLiU"/>
        </w:rPr>
        <w:t>,</w:t>
      </w:r>
      <w:r>
        <w:rPr>
          <w:rFonts w:eastAsia="PMingLiU"/>
        </w:rPr>
        <w:t xml:space="preserve"> </w:t>
      </w:r>
      <w:r w:rsidR="003C251B">
        <w:rPr>
          <w:rFonts w:eastAsia="PMingLiU"/>
        </w:rPr>
        <w:t xml:space="preserve">as a representative relevant case, </w:t>
      </w:r>
      <w:r>
        <w:rPr>
          <w:rFonts w:eastAsia="PMingLiU"/>
        </w:rPr>
        <w:t xml:space="preserve">we evaluate transport fuels under modified background data, finding that </w:t>
      </w:r>
      <w:r w:rsidR="00F65672">
        <w:rPr>
          <w:rFonts w:eastAsia="PMingLiU"/>
        </w:rPr>
        <w:t xml:space="preserve">the results can greatly vary </w:t>
      </w:r>
      <w:r w:rsidR="003C251B">
        <w:rPr>
          <w:rFonts w:eastAsia="PMingLiU"/>
        </w:rPr>
        <w:t>compared to those assuming a fixed background system</w:t>
      </w:r>
      <w:r w:rsidR="00F65672">
        <w:rPr>
          <w:rFonts w:eastAsia="PMingLiU"/>
        </w:rPr>
        <w:t xml:space="preserve">. </w:t>
      </w:r>
      <w:r w:rsidR="001A34EE">
        <w:rPr>
          <w:rFonts w:eastAsia="PMingLiU"/>
        </w:rPr>
        <w:t xml:space="preserve">Our analysis highlights the </w:t>
      </w:r>
      <w:r w:rsidR="003C251B">
        <w:rPr>
          <w:rFonts w:eastAsia="PMingLiU"/>
        </w:rPr>
        <w:t xml:space="preserve">advantages of </w:t>
      </w:r>
      <w:r w:rsidR="001A34EE">
        <w:rPr>
          <w:rFonts w:eastAsia="PMingLiU"/>
        </w:rPr>
        <w:t xml:space="preserve">jointly </w:t>
      </w:r>
      <w:r w:rsidR="003C251B">
        <w:rPr>
          <w:rFonts w:eastAsia="PMingLiU"/>
        </w:rPr>
        <w:t xml:space="preserve">defining </w:t>
      </w:r>
      <w:r w:rsidR="001A34EE">
        <w:rPr>
          <w:rFonts w:eastAsia="PMingLiU"/>
        </w:rPr>
        <w:t xml:space="preserve">the foreground and background systems for more </w:t>
      </w:r>
      <w:r w:rsidR="003C251B">
        <w:rPr>
          <w:rFonts w:eastAsia="PMingLiU"/>
        </w:rPr>
        <w:t xml:space="preserve">insightful </w:t>
      </w:r>
      <w:r w:rsidR="001A34EE">
        <w:rPr>
          <w:rFonts w:eastAsia="PMingLiU"/>
        </w:rPr>
        <w:t xml:space="preserve">LCAs. </w:t>
      </w:r>
    </w:p>
    <w:bookmarkEnd w:id="1"/>
    <w:p w14:paraId="144DE699" w14:textId="46F39776" w:rsidR="008D2649" w:rsidRDefault="00E10208" w:rsidP="008D2649">
      <w:pPr>
        <w:pStyle w:val="Els-1storder-head"/>
      </w:pPr>
      <w:r>
        <w:t>Methodology</w:t>
      </w:r>
    </w:p>
    <w:p w14:paraId="5A5F7E5B" w14:textId="317EB0FC" w:rsidR="00793DD6" w:rsidRDefault="00E20C40" w:rsidP="00793DD6">
      <w:pPr>
        <w:pStyle w:val="Els-2ndorder-head"/>
        <w:numPr>
          <w:ilvl w:val="0"/>
          <w:numId w:val="0"/>
        </w:numPr>
        <w:rPr>
          <w:i w:val="0"/>
        </w:rPr>
      </w:pPr>
      <w:r>
        <w:rPr>
          <w:i w:val="0"/>
        </w:rPr>
        <w:t>We</w:t>
      </w:r>
      <w:r w:rsidR="00FC27BF">
        <w:rPr>
          <w:i w:val="0"/>
        </w:rPr>
        <w:t xml:space="preserve"> </w:t>
      </w:r>
      <w:r w:rsidR="00592D30">
        <w:rPr>
          <w:i w:val="0"/>
        </w:rPr>
        <w:t>assess the</w:t>
      </w:r>
      <w:r w:rsidR="00E91717" w:rsidRPr="00E91717">
        <w:rPr>
          <w:i w:val="0"/>
        </w:rPr>
        <w:t xml:space="preserve"> future </w:t>
      </w:r>
      <w:r w:rsidR="00592D30">
        <w:rPr>
          <w:i w:val="0"/>
        </w:rPr>
        <w:t xml:space="preserve">environmental impacts of </w:t>
      </w:r>
      <w:r w:rsidR="00B61E58">
        <w:rPr>
          <w:i w:val="0"/>
        </w:rPr>
        <w:t xml:space="preserve">the </w:t>
      </w:r>
      <w:r w:rsidR="00592D30">
        <w:rPr>
          <w:i w:val="0"/>
        </w:rPr>
        <w:t xml:space="preserve">diesel </w:t>
      </w:r>
      <w:r w:rsidR="00E91717" w:rsidRPr="00E91717">
        <w:rPr>
          <w:i w:val="0"/>
        </w:rPr>
        <w:t xml:space="preserve">fuel </w:t>
      </w:r>
      <w:r w:rsidR="00592D30">
        <w:rPr>
          <w:i w:val="0"/>
        </w:rPr>
        <w:t>market</w:t>
      </w:r>
      <w:r w:rsidR="00E91717" w:rsidRPr="00E91717">
        <w:rPr>
          <w:i w:val="0"/>
        </w:rPr>
        <w:t xml:space="preserve">. </w:t>
      </w:r>
      <w:r w:rsidR="00EE173E">
        <w:rPr>
          <w:i w:val="0"/>
        </w:rPr>
        <w:t xml:space="preserve">The functional unit was defined as 1 MJ of fuel. </w:t>
      </w:r>
      <w:r w:rsidR="00B61E58">
        <w:t>p</w:t>
      </w:r>
      <w:r w:rsidR="00E91717" w:rsidRPr="00EE173E">
        <w:t>remise</w:t>
      </w:r>
      <w:r w:rsidR="00E91717" w:rsidRPr="00E91717">
        <w:rPr>
          <w:i w:val="0"/>
        </w:rPr>
        <w:t xml:space="preserve"> is used to create future background data (v.1.5.1)</w:t>
      </w:r>
      <w:r w:rsidR="00EE173E">
        <w:rPr>
          <w:i w:val="0"/>
        </w:rPr>
        <w:t xml:space="preserve">, </w:t>
      </w:r>
      <w:r>
        <w:rPr>
          <w:i w:val="0"/>
        </w:rPr>
        <w:t>adopting the</w:t>
      </w:r>
      <w:r w:rsidR="00EE173E" w:rsidRPr="00EE173E">
        <w:rPr>
          <w:i w:val="0"/>
        </w:rPr>
        <w:t xml:space="preserve"> REMIND</w:t>
      </w:r>
      <w:r w:rsidR="001C706F">
        <w:rPr>
          <w:i w:val="0"/>
        </w:rPr>
        <w:t xml:space="preserve"> (Regional Model of Investment and Development)</w:t>
      </w:r>
      <w:r w:rsidR="00EE173E" w:rsidRPr="00EE173E">
        <w:rPr>
          <w:i w:val="0"/>
        </w:rPr>
        <w:t xml:space="preserve"> IAM </w:t>
      </w:r>
      <w:r w:rsidR="003C251B">
        <w:rPr>
          <w:i w:val="0"/>
        </w:rPr>
        <w:t xml:space="preserve">results </w:t>
      </w:r>
      <w:r>
        <w:rPr>
          <w:i w:val="0"/>
        </w:rPr>
        <w:t>consistent with a</w:t>
      </w:r>
      <w:r w:rsidR="00EE173E" w:rsidRPr="00EE173E">
        <w:rPr>
          <w:i w:val="0"/>
        </w:rPr>
        <w:t xml:space="preserve"> global atmospheric temperature increase of 1.5</w:t>
      </w:r>
      <w:r w:rsidR="00544337">
        <w:rPr>
          <w:i w:val="0"/>
        </w:rPr>
        <w:t> </w:t>
      </w:r>
      <w:r w:rsidR="00EE173E" w:rsidRPr="00EE173E">
        <w:rPr>
          <w:i w:val="0"/>
          <w:vertAlign w:val="superscript"/>
        </w:rPr>
        <w:t>o</w:t>
      </w:r>
      <w:r w:rsidR="00EE173E" w:rsidRPr="00EE173E">
        <w:rPr>
          <w:i w:val="0"/>
        </w:rPr>
        <w:t>C</w:t>
      </w:r>
      <w:r w:rsidR="00B61E58" w:rsidRPr="00B61E58">
        <w:rPr>
          <w:i w:val="0"/>
        </w:rPr>
        <w:t xml:space="preserve"> </w:t>
      </w:r>
      <w:r w:rsidR="00B61E58" w:rsidRPr="00EE173E">
        <w:rPr>
          <w:i w:val="0"/>
        </w:rPr>
        <w:t>by 2100</w:t>
      </w:r>
      <w:r w:rsidR="00E91717" w:rsidRPr="00E91717">
        <w:rPr>
          <w:i w:val="0"/>
        </w:rPr>
        <w:t xml:space="preserve">. </w:t>
      </w:r>
      <w:r w:rsidR="00544337">
        <w:rPr>
          <w:i w:val="0"/>
        </w:rPr>
        <w:t>The fuel market projected by the IAMs consider</w:t>
      </w:r>
      <w:r w:rsidR="0079310F">
        <w:rPr>
          <w:i w:val="0"/>
        </w:rPr>
        <w:t>s</w:t>
      </w:r>
      <w:r w:rsidR="00544337">
        <w:rPr>
          <w:i w:val="0"/>
        </w:rPr>
        <w:t xml:space="preserve"> fossil, bio-based, and synthetic routes. </w:t>
      </w:r>
      <w:r w:rsidR="00F65672">
        <w:rPr>
          <w:i w:val="0"/>
        </w:rPr>
        <w:t>W</w:t>
      </w:r>
      <w:r w:rsidR="00FC27BF">
        <w:rPr>
          <w:i w:val="0"/>
        </w:rPr>
        <w:t xml:space="preserve">e increase the technological coverage of synthetic fuel production pathways </w:t>
      </w:r>
      <w:r w:rsidR="00F65672">
        <w:rPr>
          <w:i w:val="0"/>
        </w:rPr>
        <w:t>(i.e., synthetic diesel routes)</w:t>
      </w:r>
      <w:r w:rsidR="00FC27BF">
        <w:rPr>
          <w:i w:val="0"/>
        </w:rPr>
        <w:t xml:space="preserve">. </w:t>
      </w:r>
      <w:r w:rsidR="00F65672">
        <w:rPr>
          <w:i w:val="0"/>
        </w:rPr>
        <w:t xml:space="preserve">To this end, we consider </w:t>
      </w:r>
      <w:r w:rsidR="00810AEC">
        <w:rPr>
          <w:i w:val="0"/>
        </w:rPr>
        <w:t>four</w:t>
      </w:r>
      <w:r w:rsidR="00810AEC" w:rsidRPr="009529D9">
        <w:rPr>
          <w:i w:val="0"/>
        </w:rPr>
        <w:t xml:space="preserve"> </w:t>
      </w:r>
      <w:r w:rsidR="009529D9" w:rsidRPr="009529D9">
        <w:rPr>
          <w:i w:val="0"/>
        </w:rPr>
        <w:t>synthetic diesel production pathways</w:t>
      </w:r>
      <w:r w:rsidR="00F65672">
        <w:rPr>
          <w:i w:val="0"/>
        </w:rPr>
        <w:t xml:space="preserve"> </w:t>
      </w:r>
      <w:r w:rsidR="00810AEC">
        <w:rPr>
          <w:i w:val="0"/>
        </w:rPr>
        <w:t xml:space="preserve">where carbon dioxide is captured from the air and hydrogen </w:t>
      </w:r>
      <w:r w:rsidR="00B61E58">
        <w:rPr>
          <w:i w:val="0"/>
        </w:rPr>
        <w:t>comes</w:t>
      </w:r>
      <w:r w:rsidR="00810AEC">
        <w:rPr>
          <w:i w:val="0"/>
        </w:rPr>
        <w:t xml:space="preserve"> from polymer electrolyte water electrolysis </w:t>
      </w:r>
      <w:r w:rsidR="009529D9">
        <w:rPr>
          <w:i w:val="0"/>
        </w:rPr>
        <w:t>varying the power source</w:t>
      </w:r>
      <w:r w:rsidR="00810AEC">
        <w:rPr>
          <w:i w:val="0"/>
        </w:rPr>
        <w:t xml:space="preserve"> (</w:t>
      </w:r>
      <w:r w:rsidR="00B61E58">
        <w:rPr>
          <w:i w:val="0"/>
        </w:rPr>
        <w:t xml:space="preserve">i.e. </w:t>
      </w:r>
      <w:r w:rsidR="00810AEC">
        <w:rPr>
          <w:i w:val="0"/>
        </w:rPr>
        <w:t>nuclear, wind, solar, hydro)</w:t>
      </w:r>
      <w:r w:rsidR="009529D9">
        <w:rPr>
          <w:i w:val="0"/>
        </w:rPr>
        <w:t xml:space="preserve">.  </w:t>
      </w:r>
    </w:p>
    <w:p w14:paraId="7C3D5EBE" w14:textId="2F3C1994" w:rsidR="00592D30" w:rsidRPr="00ED68E6" w:rsidRDefault="00793DD6" w:rsidP="00ED68E6">
      <w:pPr>
        <w:pStyle w:val="Els-2ndorder-head"/>
        <w:numPr>
          <w:ilvl w:val="0"/>
          <w:numId w:val="0"/>
        </w:numPr>
        <w:rPr>
          <w:i w:val="0"/>
        </w:rPr>
      </w:pPr>
      <w:r>
        <w:rPr>
          <w:i w:val="0"/>
        </w:rPr>
        <w:t>F</w:t>
      </w:r>
      <w:r w:rsidRPr="00E91717">
        <w:rPr>
          <w:i w:val="0"/>
        </w:rPr>
        <w:t xml:space="preserve">uel production inventories are </w:t>
      </w:r>
      <w:r w:rsidR="00B61E58">
        <w:rPr>
          <w:i w:val="0"/>
        </w:rPr>
        <w:t>modeled</w:t>
      </w:r>
      <w:r w:rsidR="00B61E58" w:rsidRPr="00E91717">
        <w:rPr>
          <w:i w:val="0"/>
        </w:rPr>
        <w:t xml:space="preserve"> </w:t>
      </w:r>
      <w:r w:rsidR="00B61E58">
        <w:rPr>
          <w:i w:val="0"/>
        </w:rPr>
        <w:t>with</w:t>
      </w:r>
      <w:r w:rsidRPr="00E91717">
        <w:rPr>
          <w:i w:val="0"/>
        </w:rPr>
        <w:t xml:space="preserve"> Brightway2 (v.2.4.3)</w:t>
      </w:r>
      <w:r>
        <w:rPr>
          <w:i w:val="0"/>
        </w:rPr>
        <w:t xml:space="preserve">. </w:t>
      </w:r>
      <w:r w:rsidRPr="00592D30">
        <w:rPr>
          <w:i w:val="0"/>
        </w:rPr>
        <w:t>For the diesel scenarios, we assume synthetic Fischer</w:t>
      </w:r>
      <w:r w:rsidR="00544337">
        <w:rPr>
          <w:i w:val="0"/>
        </w:rPr>
        <w:noBreakHyphen/>
      </w:r>
      <w:proofErr w:type="spellStart"/>
      <w:r w:rsidRPr="00592D30">
        <w:rPr>
          <w:i w:val="0"/>
        </w:rPr>
        <w:t>Tropsch</w:t>
      </w:r>
      <w:proofErr w:type="spellEnd"/>
      <w:r w:rsidRPr="00592D30">
        <w:rPr>
          <w:i w:val="0"/>
        </w:rPr>
        <w:t xml:space="preserve"> (FT) diesel based on Medrano</w:t>
      </w:r>
      <w:r w:rsidR="00544337">
        <w:rPr>
          <w:i w:val="0"/>
        </w:rPr>
        <w:noBreakHyphen/>
      </w:r>
      <w:r w:rsidRPr="00592D30">
        <w:rPr>
          <w:i w:val="0"/>
        </w:rPr>
        <w:t>García</w:t>
      </w:r>
      <w:r w:rsidR="00544337">
        <w:rPr>
          <w:i w:val="0"/>
        </w:rPr>
        <w:t> </w:t>
      </w:r>
      <w:r w:rsidRPr="00592D30">
        <w:rPr>
          <w:i w:val="0"/>
        </w:rPr>
        <w:t>et al</w:t>
      </w:r>
      <w:r w:rsidR="00A77562">
        <w:rPr>
          <w:i w:val="0"/>
        </w:rPr>
        <w:t>.</w:t>
      </w:r>
      <w:r w:rsidR="00544337">
        <w:rPr>
          <w:i w:val="0"/>
        </w:rPr>
        <w:t> </w:t>
      </w:r>
      <w:r w:rsidR="00A77562">
        <w:rPr>
          <w:i w:val="0"/>
        </w:rPr>
        <w:t>(</w:t>
      </w:r>
      <w:r w:rsidR="004C667C">
        <w:rPr>
          <w:i w:val="0"/>
        </w:rPr>
        <w:t>2022</w:t>
      </w:r>
      <w:r w:rsidR="00A77562">
        <w:rPr>
          <w:i w:val="0"/>
        </w:rPr>
        <w:t>)</w:t>
      </w:r>
      <w:r w:rsidR="009529D9">
        <w:rPr>
          <w:i w:val="0"/>
        </w:rPr>
        <w:t xml:space="preserve">, </w:t>
      </w:r>
      <w:r w:rsidR="00810AEC">
        <w:rPr>
          <w:i w:val="0"/>
        </w:rPr>
        <w:t xml:space="preserve">for carbon dioxide </w:t>
      </w:r>
      <w:r w:rsidR="00B61E58">
        <w:rPr>
          <w:i w:val="0"/>
        </w:rPr>
        <w:t xml:space="preserve">supply, </w:t>
      </w:r>
      <w:r w:rsidR="00810AEC">
        <w:rPr>
          <w:i w:val="0"/>
        </w:rPr>
        <w:t>data were retrieved from Keith et al.</w:t>
      </w:r>
      <w:r w:rsidR="00DA69F9">
        <w:rPr>
          <w:i w:val="0"/>
        </w:rPr>
        <w:t xml:space="preserve"> (2018)</w:t>
      </w:r>
      <w:r w:rsidR="00810AEC">
        <w:rPr>
          <w:i w:val="0"/>
        </w:rPr>
        <w:t xml:space="preserve">, </w:t>
      </w:r>
      <w:r w:rsidR="009529D9">
        <w:rPr>
          <w:i w:val="0"/>
        </w:rPr>
        <w:t xml:space="preserve">and for </w:t>
      </w:r>
      <w:r w:rsidR="00FC27BF">
        <w:rPr>
          <w:i w:val="0"/>
        </w:rPr>
        <w:t>hydrogen</w:t>
      </w:r>
      <w:r w:rsidR="009529D9">
        <w:rPr>
          <w:i w:val="0"/>
        </w:rPr>
        <w:t>,</w:t>
      </w:r>
      <w:r w:rsidR="00FC27BF">
        <w:rPr>
          <w:i w:val="0"/>
        </w:rPr>
        <w:t xml:space="preserve"> </w:t>
      </w:r>
      <w:r w:rsidR="00F65672">
        <w:rPr>
          <w:i w:val="0"/>
        </w:rPr>
        <w:t>we follow</w:t>
      </w:r>
      <w:r w:rsidR="00FC27BF" w:rsidRPr="00FC27BF">
        <w:rPr>
          <w:i w:val="0"/>
        </w:rPr>
        <w:t xml:space="preserve"> </w:t>
      </w:r>
      <w:proofErr w:type="spellStart"/>
      <w:r w:rsidR="00FC27BF" w:rsidRPr="00FC27BF">
        <w:rPr>
          <w:i w:val="0"/>
        </w:rPr>
        <w:t>Bareiß</w:t>
      </w:r>
      <w:proofErr w:type="spellEnd"/>
      <w:r w:rsidR="00544337">
        <w:rPr>
          <w:i w:val="0"/>
        </w:rPr>
        <w:t> </w:t>
      </w:r>
      <w:r w:rsidR="00A77562">
        <w:rPr>
          <w:i w:val="0"/>
        </w:rPr>
        <w:t>et</w:t>
      </w:r>
      <w:r w:rsidR="00544337">
        <w:rPr>
          <w:i w:val="0"/>
        </w:rPr>
        <w:t> </w:t>
      </w:r>
      <w:r w:rsidR="00A77562">
        <w:rPr>
          <w:i w:val="0"/>
        </w:rPr>
        <w:t>al.</w:t>
      </w:r>
      <w:r w:rsidR="00544337">
        <w:rPr>
          <w:i w:val="0"/>
        </w:rPr>
        <w:t> </w:t>
      </w:r>
      <w:r w:rsidR="00A77562">
        <w:rPr>
          <w:i w:val="0"/>
        </w:rPr>
        <w:t>(</w:t>
      </w:r>
      <w:r w:rsidR="004C667C">
        <w:rPr>
          <w:i w:val="0"/>
        </w:rPr>
        <w:t>2019</w:t>
      </w:r>
      <w:r w:rsidR="00A77562">
        <w:rPr>
          <w:i w:val="0"/>
        </w:rPr>
        <w:t>)</w:t>
      </w:r>
      <w:r w:rsidR="00FC27BF">
        <w:rPr>
          <w:i w:val="0"/>
        </w:rPr>
        <w:t>.</w:t>
      </w:r>
      <w:r w:rsidR="004B31CE">
        <w:rPr>
          <w:i w:val="0"/>
        </w:rPr>
        <w:t xml:space="preserve"> </w:t>
      </w:r>
      <w:r w:rsidR="001C706F">
        <w:rPr>
          <w:i w:val="0"/>
        </w:rPr>
        <w:t>In this work</w:t>
      </w:r>
      <w:r w:rsidR="0079310F">
        <w:rPr>
          <w:i w:val="0"/>
        </w:rPr>
        <w:t>,</w:t>
      </w:r>
      <w:r w:rsidR="001C706F">
        <w:rPr>
          <w:i w:val="0"/>
        </w:rPr>
        <w:t xml:space="preserve"> we </w:t>
      </w:r>
      <w:r w:rsidR="003C251B">
        <w:rPr>
          <w:i w:val="0"/>
        </w:rPr>
        <w:t xml:space="preserve">implement the </w:t>
      </w:r>
      <w:r w:rsidR="001C706F">
        <w:rPr>
          <w:i w:val="0"/>
        </w:rPr>
        <w:t>LCA</w:t>
      </w:r>
      <w:r w:rsidR="003C251B">
        <w:rPr>
          <w:i w:val="0"/>
        </w:rPr>
        <w:t xml:space="preserve"> calculations</w:t>
      </w:r>
      <w:r w:rsidR="001C706F">
        <w:rPr>
          <w:i w:val="0"/>
        </w:rPr>
        <w:t xml:space="preserve"> in Python. LCA is performed using the technosphere and biosphere matrix. The technosphere matrix </w:t>
      </w:r>
      <w:r w:rsidR="00756E2A">
        <w:rPr>
          <w:i w:val="0"/>
        </w:rPr>
        <w:t xml:space="preserve">is a square </w:t>
      </w:r>
      <w:r w:rsidR="0079310F">
        <w:rPr>
          <w:i w:val="0"/>
        </w:rPr>
        <w:t xml:space="preserve">matrix </w:t>
      </w:r>
      <w:r w:rsidR="00756E2A">
        <w:rPr>
          <w:i w:val="0"/>
        </w:rPr>
        <w:t xml:space="preserve">that </w:t>
      </w:r>
      <w:r w:rsidR="001C706F">
        <w:rPr>
          <w:i w:val="0"/>
        </w:rPr>
        <w:t>incorporates all the proces</w:t>
      </w:r>
      <w:r w:rsidR="0079310F">
        <w:rPr>
          <w:i w:val="0"/>
        </w:rPr>
        <w:t>se</w:t>
      </w:r>
      <w:r w:rsidR="001C706F">
        <w:rPr>
          <w:i w:val="0"/>
        </w:rPr>
        <w:t xml:space="preserve">s that are present in </w:t>
      </w:r>
      <w:r w:rsidR="00756E2A">
        <w:rPr>
          <w:i w:val="0"/>
        </w:rPr>
        <w:t>the</w:t>
      </w:r>
      <w:r w:rsidR="001C706F">
        <w:rPr>
          <w:i w:val="0"/>
        </w:rPr>
        <w:t xml:space="preserve"> economy </w:t>
      </w:r>
      <w:r w:rsidR="003C251B">
        <w:rPr>
          <w:i w:val="0"/>
        </w:rPr>
        <w:t xml:space="preserve">stored </w:t>
      </w:r>
      <w:r w:rsidR="00756E2A">
        <w:rPr>
          <w:i w:val="0"/>
        </w:rPr>
        <w:t xml:space="preserve">in the columns of the matrix. The rows of the matrix represent the inputs of these processes and are </w:t>
      </w:r>
      <w:r w:rsidR="0079310F">
        <w:rPr>
          <w:i w:val="0"/>
        </w:rPr>
        <w:t>inter-</w:t>
      </w:r>
      <w:r w:rsidR="00756E2A">
        <w:rPr>
          <w:i w:val="0"/>
        </w:rPr>
        <w:t>defined in the matrix. Our</w:t>
      </w:r>
      <w:r w:rsidR="00E91717" w:rsidRPr="00ED68E6">
        <w:rPr>
          <w:i w:val="0"/>
        </w:rPr>
        <w:t xml:space="preserve"> technosphere matrix </w:t>
      </w:r>
      <w:r w:rsidR="00756E2A">
        <w:rPr>
          <w:i w:val="0"/>
        </w:rPr>
        <w:t xml:space="preserve">incorporates </w:t>
      </w:r>
      <w:r w:rsidR="00E91717" w:rsidRPr="00ED68E6">
        <w:rPr>
          <w:i w:val="0"/>
        </w:rPr>
        <w:t xml:space="preserve">our </w:t>
      </w:r>
      <w:r w:rsidR="00756E2A">
        <w:rPr>
          <w:i w:val="0"/>
        </w:rPr>
        <w:t xml:space="preserve">fuel production </w:t>
      </w:r>
      <w:r w:rsidR="00E91717" w:rsidRPr="00ED68E6">
        <w:rPr>
          <w:i w:val="0"/>
        </w:rPr>
        <w:t xml:space="preserve">inventories, </w:t>
      </w:r>
      <w:r w:rsidR="00E91717" w:rsidRPr="001C706F">
        <w:t>premise</w:t>
      </w:r>
      <w:r w:rsidR="00E91717" w:rsidRPr="00ED68E6">
        <w:rPr>
          <w:i w:val="0"/>
        </w:rPr>
        <w:t xml:space="preserve"> inventories, and supply chain projections from IAMs. </w:t>
      </w:r>
      <w:r w:rsidR="00756E2A">
        <w:rPr>
          <w:i w:val="0"/>
        </w:rPr>
        <w:t xml:space="preserve">The biosphere matrix includes all the direct emissions </w:t>
      </w:r>
      <w:r w:rsidR="003C251B">
        <w:rPr>
          <w:i w:val="0"/>
        </w:rPr>
        <w:t xml:space="preserve">or </w:t>
      </w:r>
      <w:r w:rsidR="00756E2A">
        <w:rPr>
          <w:i w:val="0"/>
        </w:rPr>
        <w:t xml:space="preserve">resources consumption of all the processes present in the technosphere. </w:t>
      </w:r>
      <w:r w:rsidR="00E91717" w:rsidRPr="00ED68E6">
        <w:rPr>
          <w:i w:val="0"/>
        </w:rPr>
        <w:lastRenderedPageBreak/>
        <w:t>Matrix modifications and LCA calculations using characterization factors from Brightway2 are performed in Python</w:t>
      </w:r>
      <w:r w:rsidR="00F65672">
        <w:rPr>
          <w:i w:val="0"/>
        </w:rPr>
        <w:t xml:space="preserve">, using </w:t>
      </w:r>
      <w:r w:rsidR="00ED68E6" w:rsidRPr="00ED68E6">
        <w:rPr>
          <w:i w:val="0"/>
        </w:rPr>
        <w:t>the IPCC</w:t>
      </w:r>
      <w:r w:rsidR="00544337">
        <w:rPr>
          <w:i w:val="0"/>
        </w:rPr>
        <w:t> </w:t>
      </w:r>
      <w:r w:rsidR="009529D9">
        <w:rPr>
          <w:i w:val="0"/>
        </w:rPr>
        <w:t>2021</w:t>
      </w:r>
      <w:r w:rsidR="00544337">
        <w:rPr>
          <w:i w:val="0"/>
        </w:rPr>
        <w:t> </w:t>
      </w:r>
      <w:r w:rsidR="00ED68E6" w:rsidRPr="00ED68E6">
        <w:rPr>
          <w:i w:val="0"/>
        </w:rPr>
        <w:t xml:space="preserve">100a as the impact </w:t>
      </w:r>
      <w:r w:rsidR="00810AEC">
        <w:rPr>
          <w:i w:val="0"/>
        </w:rPr>
        <w:t xml:space="preserve">assessment </w:t>
      </w:r>
      <w:r w:rsidR="00ED68E6" w:rsidRPr="00ED68E6">
        <w:rPr>
          <w:i w:val="0"/>
        </w:rPr>
        <w:t>method</w:t>
      </w:r>
      <w:r w:rsidR="00F65672">
        <w:rPr>
          <w:i w:val="0"/>
        </w:rPr>
        <w:t xml:space="preserve">. </w:t>
      </w:r>
      <w:r w:rsidR="00ED68E6" w:rsidRPr="00ED68E6">
        <w:rPr>
          <w:i w:val="0"/>
        </w:rPr>
        <w:t>Finally, the results are interpreted, and the main conclusions are summari</w:t>
      </w:r>
      <w:r w:rsidR="009529D9">
        <w:rPr>
          <w:i w:val="0"/>
        </w:rPr>
        <w:t>z</w:t>
      </w:r>
      <w:r w:rsidR="00ED68E6" w:rsidRPr="00ED68E6">
        <w:rPr>
          <w:i w:val="0"/>
        </w:rPr>
        <w:t>ed.</w:t>
      </w:r>
      <w:r w:rsidR="00E0037D">
        <w:rPr>
          <w:i w:val="0"/>
        </w:rPr>
        <w:t xml:space="preserve"> </w:t>
      </w:r>
      <w:r w:rsidR="003C251B">
        <w:rPr>
          <w:i w:val="0"/>
        </w:rPr>
        <w:t>As already said, a</w:t>
      </w:r>
      <w:r w:rsidR="007312EF">
        <w:rPr>
          <w:i w:val="0"/>
        </w:rPr>
        <w:t xml:space="preserve"> critical</w:t>
      </w:r>
      <w:r w:rsidR="00E0037D">
        <w:rPr>
          <w:i w:val="0"/>
        </w:rPr>
        <w:t xml:space="preserve"> aspect of the analysis is that we vary </w:t>
      </w:r>
      <w:r w:rsidR="00E0037D" w:rsidRPr="00E0037D">
        <w:rPr>
          <w:i w:val="0"/>
        </w:rPr>
        <w:t xml:space="preserve">the background data in a way that is consistent with the foreground system, </w:t>
      </w:r>
      <w:r w:rsidR="00E0037D">
        <w:rPr>
          <w:i w:val="0"/>
        </w:rPr>
        <w:t xml:space="preserve">which we argue is </w:t>
      </w:r>
      <w:r w:rsidR="007312EF">
        <w:rPr>
          <w:i w:val="0"/>
        </w:rPr>
        <w:t xml:space="preserve">essential </w:t>
      </w:r>
      <w:r w:rsidR="00E0037D" w:rsidRPr="00E0037D">
        <w:rPr>
          <w:i w:val="0"/>
        </w:rPr>
        <w:t xml:space="preserve">particularly when assessing large-scale systems. For example, if one wishes to quantify the impact of </w:t>
      </w:r>
      <w:r w:rsidR="009A31BD">
        <w:rPr>
          <w:i w:val="0"/>
        </w:rPr>
        <w:t>e</w:t>
      </w:r>
      <w:r w:rsidR="009A31BD">
        <w:rPr>
          <w:i w:val="0"/>
        </w:rPr>
        <w:noBreakHyphen/>
      </w:r>
      <w:r w:rsidR="00E0037D" w:rsidRPr="00E0037D">
        <w:rPr>
          <w:i w:val="0"/>
        </w:rPr>
        <w:t>diesel from captured CO</w:t>
      </w:r>
      <w:r w:rsidR="00E0037D" w:rsidRPr="00810AEC">
        <w:rPr>
          <w:i w:val="0"/>
          <w:vertAlign w:val="subscript"/>
        </w:rPr>
        <w:t>2</w:t>
      </w:r>
      <w:r w:rsidR="00E0037D" w:rsidRPr="00E0037D">
        <w:rPr>
          <w:i w:val="0"/>
        </w:rPr>
        <w:t xml:space="preserve"> and green H</w:t>
      </w:r>
      <w:r w:rsidR="00E0037D" w:rsidRPr="00810AEC">
        <w:rPr>
          <w:i w:val="0"/>
          <w:vertAlign w:val="subscript"/>
        </w:rPr>
        <w:t>2</w:t>
      </w:r>
      <w:r w:rsidR="00E0037D" w:rsidRPr="00E0037D">
        <w:rPr>
          <w:i w:val="0"/>
        </w:rPr>
        <w:t xml:space="preserve"> from wind deployed at scale</w:t>
      </w:r>
      <w:r w:rsidR="00E0037D">
        <w:rPr>
          <w:i w:val="0"/>
        </w:rPr>
        <w:t xml:space="preserve"> (foreground system)</w:t>
      </w:r>
      <w:r w:rsidR="00E0037D" w:rsidRPr="00E0037D">
        <w:rPr>
          <w:i w:val="0"/>
        </w:rPr>
        <w:t>, it would be sensible to assume that all the e</w:t>
      </w:r>
      <w:r w:rsidR="009A31BD">
        <w:rPr>
          <w:i w:val="0"/>
        </w:rPr>
        <w:noBreakHyphen/>
      </w:r>
      <w:r w:rsidR="00E0037D" w:rsidRPr="00E0037D">
        <w:rPr>
          <w:i w:val="0"/>
        </w:rPr>
        <w:t>diesel in the background would be produced following the same pathway,</w:t>
      </w:r>
      <w:r w:rsidR="003C251B">
        <w:rPr>
          <w:i w:val="0"/>
        </w:rPr>
        <w:t xml:space="preserve"> (or at least deploy such a pathway to some extent)</w:t>
      </w:r>
      <w:r w:rsidR="00E0037D" w:rsidRPr="00E0037D">
        <w:rPr>
          <w:i w:val="0"/>
        </w:rPr>
        <w:t xml:space="preserve"> as otherwise</w:t>
      </w:r>
      <w:r w:rsidR="00A5527F">
        <w:rPr>
          <w:i w:val="0"/>
        </w:rPr>
        <w:t>,</w:t>
      </w:r>
      <w:r w:rsidR="00E0037D" w:rsidRPr="00E0037D">
        <w:rPr>
          <w:i w:val="0"/>
        </w:rPr>
        <w:t xml:space="preserve"> the foreground and background systems would</w:t>
      </w:r>
      <w:r w:rsidR="00E0037D">
        <w:rPr>
          <w:i w:val="0"/>
        </w:rPr>
        <w:t xml:space="preserve"> not</w:t>
      </w:r>
      <w:r w:rsidR="00E0037D" w:rsidRPr="00E0037D">
        <w:rPr>
          <w:i w:val="0"/>
        </w:rPr>
        <w:t xml:space="preserve"> be consistent with each other</w:t>
      </w:r>
      <w:r w:rsidR="003C251B">
        <w:rPr>
          <w:i w:val="0"/>
        </w:rPr>
        <w:t>, potentially leading to less accurate results</w:t>
      </w:r>
      <w:r w:rsidR="00E0037D" w:rsidRPr="00E0037D">
        <w:rPr>
          <w:i w:val="0"/>
        </w:rPr>
        <w:t>.</w:t>
      </w:r>
    </w:p>
    <w:p w14:paraId="144DE6A1" w14:textId="261FB7FE" w:rsidR="008D2649" w:rsidRPr="00A94774" w:rsidRDefault="00E10208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Results and Discussion</w:t>
      </w:r>
    </w:p>
    <w:p w14:paraId="0BB07DE4" w14:textId="496567D8" w:rsidR="005A2D06" w:rsidRPr="004503D4" w:rsidRDefault="00E412BB" w:rsidP="00DA69F9">
      <w:pPr>
        <w:pStyle w:val="Els-body-text"/>
        <w:spacing w:after="120"/>
      </w:pPr>
      <w:r>
        <w:t xml:space="preserve">Figure 1 </w:t>
      </w:r>
      <w:r w:rsidR="007312EF">
        <w:t>shows</w:t>
      </w:r>
      <w:r w:rsidR="000D131F">
        <w:t xml:space="preserve"> that global warming impacts of </w:t>
      </w:r>
      <w:r w:rsidR="007312EF">
        <w:t>e-</w:t>
      </w:r>
      <w:r w:rsidR="000D131F">
        <w:t xml:space="preserve">diesel, either with </w:t>
      </w:r>
      <w:r w:rsidR="000D131F" w:rsidRPr="001C706F">
        <w:rPr>
          <w:i/>
        </w:rPr>
        <w:t>premise</w:t>
      </w:r>
      <w:r w:rsidR="000D131F">
        <w:t xml:space="preserve"> background or </w:t>
      </w:r>
      <w:r w:rsidR="003C251B">
        <w:t xml:space="preserve">with a </w:t>
      </w:r>
      <w:r w:rsidR="000D131F">
        <w:t>background</w:t>
      </w:r>
      <w:r w:rsidR="003C251B">
        <w:t xml:space="preserve"> fully consistent</w:t>
      </w:r>
      <w:r w:rsidR="007312EF">
        <w:t xml:space="preserve"> with</w:t>
      </w:r>
      <w:r w:rsidR="003C251B">
        <w:t xml:space="preserve"> the</w:t>
      </w:r>
      <w:r w:rsidR="007312EF">
        <w:t xml:space="preserve"> foreground</w:t>
      </w:r>
      <w:r w:rsidR="000D131F">
        <w:t xml:space="preserve">. In Figure 1a, the impacts of </w:t>
      </w:r>
      <w:r w:rsidR="00DB0446">
        <w:t xml:space="preserve">synthetic diesel from DAC/nuclear are displayed, for </w:t>
      </w:r>
      <w:r w:rsidR="007312EF">
        <w:t xml:space="preserve">the two cases, </w:t>
      </w:r>
      <w:r w:rsidR="00DB0446">
        <w:t xml:space="preserve">as explained before. </w:t>
      </w:r>
      <w:r w:rsidR="008C6AB6">
        <w:t>Modifying</w:t>
      </w:r>
      <w:r>
        <w:t xml:space="preserve"> the background </w:t>
      </w:r>
      <w:r w:rsidR="00DB0446">
        <w:t xml:space="preserve">system to consider the </w:t>
      </w:r>
      <w:r w:rsidR="007312EF">
        <w:t>technology</w:t>
      </w:r>
      <w:r w:rsidR="00DB0446">
        <w:t xml:space="preserve"> stud</w:t>
      </w:r>
      <w:r w:rsidR="00F3042A">
        <w:t>ied</w:t>
      </w:r>
      <w:r w:rsidR="00DB0446">
        <w:t xml:space="preserve"> (in the foreground) can cause notable differences compared to the standard practice (</w:t>
      </w:r>
      <w:r w:rsidR="00F3042A">
        <w:t>i.e.,</w:t>
      </w:r>
      <w:r w:rsidR="00DB0446">
        <w:t xml:space="preserve"> using the</w:t>
      </w:r>
      <w:r w:rsidR="00F3042A">
        <w:t xml:space="preserve"> default</w:t>
      </w:r>
      <w:r w:rsidR="00DB0446">
        <w:t xml:space="preserve"> future background system as provided by premise)</w:t>
      </w:r>
      <w:r w:rsidR="00DA69F9">
        <w:t xml:space="preserve">. </w:t>
      </w:r>
      <w:r w:rsidR="00DB0446">
        <w:t xml:space="preserve">Specifically, </w:t>
      </w:r>
      <w:r w:rsidR="007312EF">
        <w:t xml:space="preserve">a </w:t>
      </w:r>
      <w:r w:rsidR="00DB0446">
        <w:t xml:space="preserve">10% difference </w:t>
      </w:r>
      <w:r w:rsidR="009A31BD">
        <w:t xml:space="preserve">is </w:t>
      </w:r>
      <w:r w:rsidR="00DB0446">
        <w:t xml:space="preserve">found between </w:t>
      </w:r>
      <w:r w:rsidR="00F3042A">
        <w:t xml:space="preserve">using </w:t>
      </w:r>
      <w:r w:rsidR="001C706F">
        <w:t>consistent background-foreground</w:t>
      </w:r>
      <w:r w:rsidR="00F3042A">
        <w:t xml:space="preserve"> systems</w:t>
      </w:r>
      <w:r w:rsidR="001C706F">
        <w:t xml:space="preserve"> </w:t>
      </w:r>
      <w:r w:rsidR="00DB0446">
        <w:t>and</w:t>
      </w:r>
      <w:r w:rsidR="00F3042A">
        <w:t xml:space="preserve"> the</w:t>
      </w:r>
      <w:r w:rsidR="00DB0446">
        <w:t xml:space="preserve"> premise background in 2050. This demonstrates the importance of incorporating the assessed foreground activity into the background system</w:t>
      </w:r>
      <w:r w:rsidR="005A2D06">
        <w:t xml:space="preserve">, especially in </w:t>
      </w:r>
      <w:r w:rsidR="00AF7D33">
        <w:t xml:space="preserve">the </w:t>
      </w:r>
      <w:r w:rsidR="005A2D06">
        <w:t>future</w:t>
      </w:r>
      <w:r w:rsidR="001C706F">
        <w:t>,</w:t>
      </w:r>
      <w:r w:rsidR="005A2D06">
        <w:t xml:space="preserve"> where emerging technologies will </w:t>
      </w:r>
      <w:r w:rsidR="001C706F">
        <w:t>occupy</w:t>
      </w:r>
      <w:r w:rsidR="005A2D06">
        <w:t xml:space="preserve"> larger parts of the market. Therefore, in Figure 1b, we compare the emission trajectories of three different </w:t>
      </w:r>
      <w:r w:rsidR="001C706F">
        <w:t>e-</w:t>
      </w:r>
      <w:r w:rsidR="005A2D06">
        <w:t xml:space="preserve">diesel pathways (DAC/hydro, DAC/solar, DAC/wind) when employed in the market using a consistent foreground-background system. </w:t>
      </w:r>
      <w:r w:rsidR="00AF7D33">
        <w:t xml:space="preserve">All scenarios show </w:t>
      </w:r>
      <w:r w:rsidR="00A5527F">
        <w:t>carbon</w:t>
      </w:r>
      <w:r w:rsidR="00A5527F">
        <w:noBreakHyphen/>
      </w:r>
      <w:r w:rsidR="00AF7D33">
        <w:t xml:space="preserve">negative impacts after 2025, while </w:t>
      </w:r>
      <w:r w:rsidR="005A2D06">
        <w:t xml:space="preserve">DAC/solar shows the </w:t>
      </w:r>
      <w:r w:rsidR="001C706F">
        <w:t xml:space="preserve">largest </w:t>
      </w:r>
      <w:r w:rsidR="005A2D06">
        <w:t>global warming impacts through the year</w:t>
      </w:r>
      <w:r w:rsidR="00AF7D33">
        <w:t xml:space="preserve">s with </w:t>
      </w:r>
      <w:r w:rsidR="009A31BD">
        <w:t>−</w:t>
      </w:r>
      <w:r w:rsidR="00AF7D33">
        <w:t>40 kg CO</w:t>
      </w:r>
      <w:r w:rsidR="00AF7D33" w:rsidRPr="00AF7D33">
        <w:rPr>
          <w:vertAlign w:val="subscript"/>
        </w:rPr>
        <w:t>2eq.</w:t>
      </w:r>
      <w:r w:rsidR="00AF7D33">
        <w:rPr>
          <w:vertAlign w:val="subscript"/>
        </w:rPr>
        <w:t> </w:t>
      </w:r>
      <w:r w:rsidR="00AF7D33">
        <w:t>MJ</w:t>
      </w:r>
      <w:r w:rsidR="009A31BD">
        <w:rPr>
          <w:vertAlign w:val="superscript"/>
        </w:rPr>
        <w:t>−</w:t>
      </w:r>
      <w:r w:rsidR="00AF7D33" w:rsidRPr="00AF7D33">
        <w:rPr>
          <w:vertAlign w:val="superscript"/>
        </w:rPr>
        <w:t>1</w:t>
      </w:r>
      <w:r w:rsidR="00AF7D33">
        <w:t xml:space="preserve"> compared to </w:t>
      </w:r>
      <w:r w:rsidR="009A31BD">
        <w:t>−</w:t>
      </w:r>
      <w:r w:rsidR="00AF7D33">
        <w:t>55 kg CO</w:t>
      </w:r>
      <w:r w:rsidR="00AF7D33" w:rsidRPr="00AF7D33">
        <w:rPr>
          <w:vertAlign w:val="subscript"/>
        </w:rPr>
        <w:t>2eq</w:t>
      </w:r>
      <w:r w:rsidR="00AF7D33">
        <w:rPr>
          <w:vertAlign w:val="subscript"/>
        </w:rPr>
        <w:t>.</w:t>
      </w:r>
      <w:r w:rsidR="00AF7D33">
        <w:t> MJ</w:t>
      </w:r>
      <w:r w:rsidR="009A31BD">
        <w:rPr>
          <w:vertAlign w:val="superscript"/>
        </w:rPr>
        <w:t>−</w:t>
      </w:r>
      <w:r w:rsidR="00AF7D33" w:rsidRPr="00AF7D33">
        <w:rPr>
          <w:vertAlign w:val="superscript"/>
        </w:rPr>
        <w:t>1</w:t>
      </w:r>
      <w:r w:rsidR="00AF7D33">
        <w:t xml:space="preserve"> of DAC/wind and </w:t>
      </w:r>
      <w:r w:rsidR="009A31BD">
        <w:t>−</w:t>
      </w:r>
      <w:r w:rsidR="00AF7D33">
        <w:t>78 kg CO</w:t>
      </w:r>
      <w:r w:rsidR="00AF7D33" w:rsidRPr="00AF7D33">
        <w:rPr>
          <w:vertAlign w:val="subscript"/>
        </w:rPr>
        <w:t>2eq.</w:t>
      </w:r>
      <w:r w:rsidR="00AF7D33">
        <w:t xml:space="preserve"> MJ</w:t>
      </w:r>
      <w:r w:rsidR="009A31BD">
        <w:rPr>
          <w:vertAlign w:val="superscript"/>
        </w:rPr>
        <w:t>−</w:t>
      </w:r>
      <w:r w:rsidR="00AF7D33" w:rsidRPr="00AF7D33">
        <w:rPr>
          <w:vertAlign w:val="superscript"/>
        </w:rPr>
        <w:t>1</w:t>
      </w:r>
      <w:r w:rsidR="00AF7D33">
        <w:t xml:space="preserve"> of DAC/hydro</w:t>
      </w:r>
      <w:r w:rsidR="00576F3C">
        <w:t xml:space="preserve"> in 2030.</w:t>
      </w:r>
      <w:r w:rsidR="004503D4">
        <w:t xml:space="preserve"> Overall, DAC/hydro performs the best in 2050 with </w:t>
      </w:r>
      <w:r w:rsidR="009A31BD">
        <w:t>−</w:t>
      </w:r>
      <w:r w:rsidR="004503D4">
        <w:t>85 kg CO</w:t>
      </w:r>
      <w:r w:rsidR="004503D4" w:rsidRPr="00AF7D33">
        <w:rPr>
          <w:vertAlign w:val="subscript"/>
        </w:rPr>
        <w:t>2eq</w:t>
      </w:r>
      <w:r w:rsidR="004503D4">
        <w:rPr>
          <w:vertAlign w:val="subscript"/>
        </w:rPr>
        <w:t>.</w:t>
      </w:r>
      <w:r w:rsidR="004503D4">
        <w:t> MJ</w:t>
      </w:r>
      <w:r w:rsidR="009A31BD">
        <w:rPr>
          <w:vertAlign w:val="superscript"/>
        </w:rPr>
        <w:t>−</w:t>
      </w:r>
      <w:r w:rsidR="004503D4" w:rsidRPr="00AF7D33">
        <w:rPr>
          <w:vertAlign w:val="superscript"/>
        </w:rPr>
        <w:t>1</w:t>
      </w:r>
      <w:r w:rsidR="004503D4">
        <w:t>.</w:t>
      </w:r>
    </w:p>
    <w:p w14:paraId="2D287118" w14:textId="768B90DB" w:rsidR="009529D9" w:rsidRPr="00C92D4D" w:rsidRDefault="009529D9" w:rsidP="00911FA5">
      <w:pPr>
        <w:pStyle w:val="Els-body-text"/>
      </w:pPr>
    </w:p>
    <w:p w14:paraId="47D7AF17" w14:textId="77777777" w:rsidR="009529D9" w:rsidRDefault="00864991" w:rsidP="00A5527F">
      <w:pPr>
        <w:pStyle w:val="Els-body-text"/>
        <w:keepNext/>
        <w:spacing w:after="120"/>
      </w:pPr>
      <w:r>
        <w:rPr>
          <w:noProof/>
          <w:lang w:val="en-GB"/>
        </w:rPr>
        <w:drawing>
          <wp:inline distT="0" distB="0" distL="0" distR="0" wp14:anchorId="62C3596D" wp14:editId="092F1B5E">
            <wp:extent cx="4267532" cy="19143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esel and hydrogen markets_gre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534" cy="192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5C04E" w14:textId="2B62430D" w:rsidR="00474B52" w:rsidRPr="00474B52" w:rsidRDefault="009529D9" w:rsidP="00474B52">
      <w:pPr>
        <w:pStyle w:val="Els-caption"/>
        <w:jc w:val="both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="00DA69F9">
        <w:t xml:space="preserve">a. </w:t>
      </w:r>
      <w:r w:rsidR="00CA0194" w:rsidRPr="00CA0194">
        <w:rPr>
          <w:color w:val="0F0F0F"/>
        </w:rPr>
        <w:t xml:space="preserve">Global warming impacts for </w:t>
      </w:r>
      <w:r w:rsidR="001C706F">
        <w:rPr>
          <w:color w:val="0F0F0F"/>
        </w:rPr>
        <w:t>e-</w:t>
      </w:r>
      <w:r w:rsidR="00CA0194" w:rsidRPr="00CA0194">
        <w:rPr>
          <w:color w:val="0F0F0F"/>
        </w:rPr>
        <w:t>diesel from DAC/nuclear in the diesel market, examining its effects in</w:t>
      </w:r>
      <w:r w:rsidR="00B425B2">
        <w:rPr>
          <w:color w:val="0F0F0F"/>
        </w:rPr>
        <w:t xml:space="preserve"> the</w:t>
      </w:r>
      <w:r w:rsidR="00CA0194" w:rsidRPr="00CA0194">
        <w:rPr>
          <w:color w:val="0F0F0F"/>
        </w:rPr>
        <w:t xml:space="preserve"> foreground and background systems under </w:t>
      </w:r>
      <w:r w:rsidR="00CA0194">
        <w:rPr>
          <w:color w:val="0F0F0F"/>
        </w:rPr>
        <w:t>“</w:t>
      </w:r>
      <w:r w:rsidR="00CA0194" w:rsidRPr="00CA0194">
        <w:rPr>
          <w:color w:val="0F0F0F"/>
        </w:rPr>
        <w:t>Modified background</w:t>
      </w:r>
      <w:r w:rsidR="00CA0194">
        <w:rPr>
          <w:color w:val="0F0F0F"/>
        </w:rPr>
        <w:t xml:space="preserve">” </w:t>
      </w:r>
      <w:r w:rsidR="00CA0194" w:rsidRPr="00CA0194">
        <w:rPr>
          <w:color w:val="0F0F0F"/>
        </w:rPr>
        <w:t xml:space="preserve">and </w:t>
      </w:r>
      <w:r w:rsidR="00CA0194">
        <w:rPr>
          <w:color w:val="0F0F0F"/>
        </w:rPr>
        <w:t>“</w:t>
      </w:r>
      <w:r w:rsidR="00CA0194" w:rsidRPr="00CA0194">
        <w:rPr>
          <w:color w:val="0F0F0F"/>
        </w:rPr>
        <w:t>Premise background</w:t>
      </w:r>
      <w:r w:rsidR="00CA0194">
        <w:rPr>
          <w:color w:val="0F0F0F"/>
        </w:rPr>
        <w:t>”</w:t>
      </w:r>
      <w:r w:rsidR="00CA0194" w:rsidRPr="00CA0194">
        <w:rPr>
          <w:color w:val="0F0F0F"/>
        </w:rPr>
        <w:t xml:space="preserve"> scenarios</w:t>
      </w:r>
      <w:r w:rsidR="00CA0194">
        <w:rPr>
          <w:rFonts w:ascii="Segoe UI" w:hAnsi="Segoe UI" w:cs="Segoe UI"/>
          <w:color w:val="0F0F0F"/>
        </w:rPr>
        <w:t xml:space="preserve">. </w:t>
      </w:r>
      <w:r w:rsidR="00474B52">
        <w:t>b. Global warming impacts of three synthetic diesel pathways, (DAC/hydro, DAC/solar, DAC/wind). The trajectories shown here consider a consistent foreground-background system where the diesel market in the background system is modified to consider the synthetic diesel technology assessed in the foreground.</w:t>
      </w:r>
      <w:r w:rsidR="00474B52" w:rsidDel="00474B52">
        <w:t xml:space="preserve"> </w:t>
      </w:r>
    </w:p>
    <w:p w14:paraId="144DE6BA" w14:textId="77777777" w:rsidR="008D2649" w:rsidRPr="00A94774" w:rsidRDefault="008D2649" w:rsidP="008D2649">
      <w:pPr>
        <w:pStyle w:val="Els-1storder-head"/>
        <w:spacing w:after="120"/>
        <w:rPr>
          <w:lang w:val="en-GB"/>
        </w:rPr>
      </w:pPr>
      <w:r w:rsidRPr="00A94774">
        <w:rPr>
          <w:lang w:val="en-GB"/>
        </w:rPr>
        <w:lastRenderedPageBreak/>
        <w:t>Conclusions</w:t>
      </w:r>
    </w:p>
    <w:p w14:paraId="144DE6BE" w14:textId="10385665" w:rsidR="008D2649" w:rsidRPr="00366343" w:rsidRDefault="008C6AB6" w:rsidP="00E412BB">
      <w:pPr>
        <w:pStyle w:val="Els-body-text"/>
        <w:spacing w:after="120"/>
      </w:pPr>
      <w:r>
        <w:rPr>
          <w:lang w:val="en-GB"/>
        </w:rPr>
        <w:t xml:space="preserve">In this work, we </w:t>
      </w:r>
      <w:r w:rsidR="00366343">
        <w:rPr>
          <w:lang w:val="en-GB"/>
        </w:rPr>
        <w:t>evaluate</w:t>
      </w:r>
      <w:r>
        <w:rPr>
          <w:lang w:val="en-GB"/>
        </w:rPr>
        <w:t xml:space="preserve"> the </w:t>
      </w:r>
      <w:r w:rsidR="00366343">
        <w:rPr>
          <w:lang w:val="en-GB"/>
        </w:rPr>
        <w:t>future</w:t>
      </w:r>
      <w:r>
        <w:rPr>
          <w:lang w:val="en-GB"/>
        </w:rPr>
        <w:t xml:space="preserve"> environmental impacts of </w:t>
      </w:r>
      <w:r w:rsidR="00B53E17">
        <w:rPr>
          <w:lang w:val="en-GB"/>
        </w:rPr>
        <w:t xml:space="preserve">synthetic diesel </w:t>
      </w:r>
      <w:r>
        <w:rPr>
          <w:lang w:val="en-GB"/>
        </w:rPr>
        <w:t>fuel</w:t>
      </w:r>
      <w:r w:rsidR="00B53E17">
        <w:rPr>
          <w:lang w:val="en-GB"/>
        </w:rPr>
        <w:t xml:space="preserve"> while </w:t>
      </w:r>
      <w:r>
        <w:rPr>
          <w:lang w:val="en-GB"/>
        </w:rPr>
        <w:t xml:space="preserve">considering </w:t>
      </w:r>
      <w:r w:rsidR="00B425B2">
        <w:rPr>
          <w:lang w:val="en-GB"/>
        </w:rPr>
        <w:t xml:space="preserve">the </w:t>
      </w:r>
      <w:r>
        <w:rPr>
          <w:lang w:val="en-GB"/>
        </w:rPr>
        <w:t xml:space="preserve">decarbonization trends </w:t>
      </w:r>
      <w:r w:rsidR="00366343">
        <w:rPr>
          <w:lang w:val="en-GB"/>
        </w:rPr>
        <w:t>outlined</w:t>
      </w:r>
      <w:r>
        <w:rPr>
          <w:lang w:val="en-GB"/>
        </w:rPr>
        <w:t xml:space="preserve"> by the REMIND IAM</w:t>
      </w:r>
      <w:r w:rsidR="00366343">
        <w:rPr>
          <w:lang w:val="en-GB"/>
        </w:rPr>
        <w:t>, aligning with</w:t>
      </w:r>
      <w:r>
        <w:rPr>
          <w:lang w:val="en-GB"/>
        </w:rPr>
        <w:t xml:space="preserve"> the Paris </w:t>
      </w:r>
      <w:r w:rsidR="00A5527F">
        <w:rPr>
          <w:lang w:val="en-GB"/>
        </w:rPr>
        <w:t>Agreement</w:t>
      </w:r>
      <w:r>
        <w:rPr>
          <w:lang w:val="en-GB"/>
        </w:rPr>
        <w:t xml:space="preserve">. Additionally, we extend the technological coverage of renewable production pathways </w:t>
      </w:r>
      <w:r w:rsidR="003449B0">
        <w:rPr>
          <w:lang w:val="en-GB"/>
        </w:rPr>
        <w:t xml:space="preserve">considered in the IAM by systematically modifying the technosphere matrix. </w:t>
      </w:r>
      <w:r w:rsidR="00FB2AF3">
        <w:rPr>
          <w:lang w:val="en-GB"/>
        </w:rPr>
        <w:t>To our knowledge, this is the first time such fuels are evaluated under future plausible scenarios generated by an IAM</w:t>
      </w:r>
      <w:r w:rsidR="00B425B2">
        <w:rPr>
          <w:lang w:val="en-GB"/>
        </w:rPr>
        <w:t xml:space="preserve"> with full consistency between the foreground and</w:t>
      </w:r>
      <w:r w:rsidR="00FB2AF3">
        <w:rPr>
          <w:lang w:val="en-GB"/>
        </w:rPr>
        <w:t xml:space="preserve"> background data</w:t>
      </w:r>
      <w:r w:rsidR="00426896">
        <w:rPr>
          <w:lang w:val="en-GB"/>
        </w:rPr>
        <w:t xml:space="preserve">. </w:t>
      </w:r>
      <w:r w:rsidR="00366343">
        <w:rPr>
          <w:lang w:val="en-GB"/>
        </w:rPr>
        <w:t>Notably, w</w:t>
      </w:r>
      <w:r w:rsidR="00426896">
        <w:rPr>
          <w:lang w:val="en-GB"/>
        </w:rPr>
        <w:t xml:space="preserve">e find that the background </w:t>
      </w:r>
      <w:r w:rsidR="00366343">
        <w:rPr>
          <w:lang w:val="en-GB"/>
        </w:rPr>
        <w:t xml:space="preserve">data </w:t>
      </w:r>
      <w:r w:rsidR="00426896">
        <w:rPr>
          <w:lang w:val="en-GB"/>
        </w:rPr>
        <w:t xml:space="preserve">can </w:t>
      </w:r>
      <w:r w:rsidR="00FB2AF3">
        <w:rPr>
          <w:lang w:val="en-GB"/>
        </w:rPr>
        <w:t>greatly affect the outcome of the analysis</w:t>
      </w:r>
      <w:r w:rsidR="00B425B2">
        <w:rPr>
          <w:lang w:val="en-GB"/>
        </w:rPr>
        <w:t>, leading in our case study to differences in global warming impact of as much as 10%</w:t>
      </w:r>
      <w:r w:rsidR="00426896">
        <w:rPr>
          <w:lang w:val="en-GB"/>
        </w:rPr>
        <w:t xml:space="preserve">. </w:t>
      </w:r>
      <w:r w:rsidR="00FB2AF3">
        <w:rPr>
          <w:lang w:val="en-GB"/>
        </w:rPr>
        <w:t>Overall</w:t>
      </w:r>
      <w:r w:rsidR="00426896">
        <w:rPr>
          <w:lang w:val="en-GB"/>
        </w:rPr>
        <w:t xml:space="preserve">, we here stress the importance of </w:t>
      </w:r>
      <w:r w:rsidR="00B425B2">
        <w:rPr>
          <w:lang w:val="en-GB"/>
        </w:rPr>
        <w:t xml:space="preserve">adjusting the </w:t>
      </w:r>
      <w:r w:rsidR="00426896">
        <w:rPr>
          <w:lang w:val="en-GB"/>
        </w:rPr>
        <w:t>background data when performing prospective environmental assessment</w:t>
      </w:r>
      <w:r w:rsidR="00FB2AF3">
        <w:rPr>
          <w:lang w:val="en-GB"/>
        </w:rPr>
        <w:t>s</w:t>
      </w:r>
      <w:r w:rsidR="00426896">
        <w:rPr>
          <w:lang w:val="en-GB"/>
        </w:rPr>
        <w:t xml:space="preserve"> of power and chemical systems. </w:t>
      </w:r>
    </w:p>
    <w:p w14:paraId="16C32946" w14:textId="6BCC2C0A" w:rsidR="00A07AA8" w:rsidRDefault="00A07AA8" w:rsidP="00A07AA8">
      <w:pPr>
        <w:pStyle w:val="Els-reference-head"/>
      </w:pPr>
      <w:r>
        <w:t>Acknowledgements</w:t>
      </w:r>
    </w:p>
    <w:p w14:paraId="0984022F" w14:textId="541A382A" w:rsidR="00A07AA8" w:rsidRPr="00A07AA8" w:rsidRDefault="00A07AA8" w:rsidP="00A07AA8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This work was created as part of NCCR Catalysis, a National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 xml:space="preserve"> of Competence in Research funded by the Swiss National Science Foundation. </w:t>
      </w:r>
    </w:p>
    <w:p w14:paraId="144DE6BF" w14:textId="608D0AD6" w:rsidR="008D2649" w:rsidRDefault="008D2649" w:rsidP="008D2649">
      <w:pPr>
        <w:pStyle w:val="Els-reference-head"/>
      </w:pPr>
      <w:r>
        <w:t>References</w:t>
      </w:r>
    </w:p>
    <w:p w14:paraId="144DE6C0" w14:textId="57BF9216" w:rsidR="008D2649" w:rsidRDefault="001911E6" w:rsidP="008D2649">
      <w:pPr>
        <w:pStyle w:val="Els-referenceno-number"/>
        <w:rPr>
          <w:lang w:val="en-US"/>
        </w:rPr>
      </w:pPr>
      <w:r>
        <w:rPr>
          <w:lang w:val="en-US"/>
        </w:rPr>
        <w:t>IEA</w:t>
      </w:r>
      <w:r w:rsidR="008D2649">
        <w:rPr>
          <w:lang w:val="en-US"/>
        </w:rPr>
        <w:t xml:space="preserve">, </w:t>
      </w:r>
      <w:r>
        <w:rPr>
          <w:lang w:val="en-US"/>
        </w:rPr>
        <w:t>2023</w:t>
      </w:r>
      <w:r w:rsidR="008D2649">
        <w:rPr>
          <w:lang w:val="en-US"/>
        </w:rPr>
        <w:t xml:space="preserve">, </w:t>
      </w:r>
      <w:r>
        <w:rPr>
          <w:lang w:val="en-US"/>
        </w:rPr>
        <w:t>Energy Technology Perspectives</w:t>
      </w:r>
    </w:p>
    <w:p w14:paraId="144DE6C1" w14:textId="6F3157FE" w:rsidR="008D2649" w:rsidRPr="00B25D71" w:rsidRDefault="00B25D71" w:rsidP="008D2649">
      <w:pPr>
        <w:pStyle w:val="Els-referenceno-number"/>
        <w:rPr>
          <w:lang w:val="en-US"/>
        </w:rPr>
      </w:pPr>
      <w:r w:rsidRPr="00B25D71">
        <w:rPr>
          <w:lang w:val="en-US"/>
        </w:rPr>
        <w:t xml:space="preserve">A. Mendoza Beltran, B. Cox, C. Mutel, DP van Vuuren, D. Font Vivanco, S. Deetman, </w:t>
      </w:r>
      <w:r>
        <w:rPr>
          <w:lang w:val="en-US"/>
        </w:rPr>
        <w:t>O.Y. Edelenbosch, J. Guinée, A. Tukker</w:t>
      </w:r>
      <w:r w:rsidR="008D2649" w:rsidRPr="00B25D71">
        <w:rPr>
          <w:lang w:val="en-US"/>
        </w:rPr>
        <w:t xml:space="preserve">, </w:t>
      </w:r>
      <w:r w:rsidRPr="00B25D71">
        <w:rPr>
          <w:lang w:val="en-US"/>
        </w:rPr>
        <w:t>2018</w:t>
      </w:r>
      <w:r w:rsidR="008D2649" w:rsidRPr="00B25D71">
        <w:rPr>
          <w:lang w:val="en-US"/>
        </w:rPr>
        <w:t xml:space="preserve">, </w:t>
      </w:r>
      <w:r w:rsidRPr="00B25D71">
        <w:rPr>
          <w:lang w:val="en-US"/>
        </w:rPr>
        <w:t>When the background matters : using scenar</w:t>
      </w:r>
      <w:r>
        <w:rPr>
          <w:lang w:val="en-US"/>
        </w:rPr>
        <w:t>ios from integrated assessment models in prospective life cycle assessment</w:t>
      </w:r>
      <w:r w:rsidR="008D2649" w:rsidRPr="00B25D71">
        <w:rPr>
          <w:lang w:val="en-US"/>
        </w:rPr>
        <w:t xml:space="preserve">, </w:t>
      </w:r>
      <w:r>
        <w:rPr>
          <w:lang w:val="en-US"/>
        </w:rPr>
        <w:t>J</w:t>
      </w:r>
      <w:r w:rsidR="005C0B9C">
        <w:rPr>
          <w:lang w:val="en-US"/>
        </w:rPr>
        <w:t>ournal of Industrial Ecology,</w:t>
      </w:r>
      <w:r>
        <w:rPr>
          <w:lang w:val="en-US"/>
        </w:rPr>
        <w:t xml:space="preserve"> 24,1, 64</w:t>
      </w:r>
      <w:r>
        <w:rPr>
          <w:lang w:val="en-US"/>
        </w:rPr>
        <w:noBreakHyphen/>
        <w:t xml:space="preserve">79. </w:t>
      </w:r>
    </w:p>
    <w:p w14:paraId="144DE6C2" w14:textId="6132FE08" w:rsidR="008D2649" w:rsidRDefault="00B25D71" w:rsidP="008D2649">
      <w:pPr>
        <w:pStyle w:val="Els-referenceno-number"/>
        <w:rPr>
          <w:lang w:val="en-US"/>
        </w:rPr>
      </w:pPr>
      <w:r w:rsidRPr="00B25D71">
        <w:rPr>
          <w:szCs w:val="24"/>
        </w:rPr>
        <w:t>R. Sacchi, T. Terlouw, K. Siala, A. Dirnaichner, C. Bauer, B. Cox, C. Mutel, V. Daioglou, G. Luderer</w:t>
      </w:r>
      <w:r w:rsidR="008D2649">
        <w:rPr>
          <w:lang w:val="en-US"/>
        </w:rPr>
        <w:t xml:space="preserve">, </w:t>
      </w:r>
      <w:r>
        <w:rPr>
          <w:lang w:val="en-US"/>
        </w:rPr>
        <w:t>2022</w:t>
      </w:r>
      <w:r w:rsidR="008D2649">
        <w:rPr>
          <w:lang w:val="en-US"/>
        </w:rPr>
        <w:t>,</w:t>
      </w:r>
      <w:r>
        <w:rPr>
          <w:lang w:val="en-US"/>
        </w:rPr>
        <w:t xml:space="preserve"> Renewable and Sustainable Energy Reviews, 160, 112311. </w:t>
      </w:r>
    </w:p>
    <w:p w14:paraId="7C486F5D" w14:textId="54478A12" w:rsidR="00DA69F9" w:rsidRDefault="00DA69F9" w:rsidP="00DA69F9">
      <w:pPr>
        <w:pStyle w:val="Els-referenceno-number"/>
        <w:rPr>
          <w:lang w:val="en-US"/>
        </w:rPr>
      </w:pPr>
      <w:r>
        <w:t>C. Mutel,  Brightway: An Open Source Framework for Life Cycle Assessment, 2017,</w:t>
      </w:r>
      <w:r w:rsidRPr="009047CA">
        <w:t xml:space="preserve"> </w:t>
      </w:r>
      <w:r w:rsidRPr="00DC105D">
        <w:rPr>
          <w:iCs/>
        </w:rPr>
        <w:t>J</w:t>
      </w:r>
      <w:r>
        <w:rPr>
          <w:iCs/>
        </w:rPr>
        <w:t xml:space="preserve">ournal of </w:t>
      </w:r>
      <w:r w:rsidRPr="00DC105D">
        <w:rPr>
          <w:iCs/>
        </w:rPr>
        <w:t xml:space="preserve"> Open Source Software</w:t>
      </w:r>
      <w:r w:rsidRPr="009047CA">
        <w:t xml:space="preserve">, </w:t>
      </w:r>
      <w:r w:rsidRPr="00DC105D">
        <w:rPr>
          <w:iCs/>
        </w:rPr>
        <w:t>2</w:t>
      </w:r>
      <w:r w:rsidRPr="009047CA">
        <w:t xml:space="preserve"> (</w:t>
      </w:r>
      <w:r>
        <w:t>12), 236</w:t>
      </w:r>
    </w:p>
    <w:p w14:paraId="5D4E713A" w14:textId="2AC10456" w:rsidR="00B25D71" w:rsidRDefault="00B25D71" w:rsidP="008D2649">
      <w:pPr>
        <w:pStyle w:val="Els-referenceno-number"/>
        <w:rPr>
          <w:lang w:val="en-US"/>
        </w:rPr>
      </w:pPr>
      <w:r w:rsidRPr="00B25D71">
        <w:rPr>
          <w:lang w:val="en-US"/>
        </w:rPr>
        <w:t>J.D. Medrano-García, M.A. Charalambous, G.Guillén</w:t>
      </w:r>
      <w:r w:rsidR="005C0B9C">
        <w:rPr>
          <w:lang w:val="en-US"/>
        </w:rPr>
        <w:t>-</w:t>
      </w:r>
      <w:r w:rsidRPr="00B25D71">
        <w:rPr>
          <w:lang w:val="en-US"/>
        </w:rPr>
        <w:t>Go</w:t>
      </w:r>
      <w:r>
        <w:rPr>
          <w:lang w:val="en-US"/>
        </w:rPr>
        <w:t>sálbez</w:t>
      </w:r>
      <w:r w:rsidR="005C0B9C">
        <w:rPr>
          <w:lang w:val="en-US"/>
        </w:rPr>
        <w:t>, 2022, Economic and environmental barriers of CO</w:t>
      </w:r>
      <w:r w:rsidR="005C0B9C" w:rsidRPr="005C0B9C">
        <w:rPr>
          <w:vertAlign w:val="subscript"/>
          <w:lang w:val="en-US"/>
        </w:rPr>
        <w:t>2</w:t>
      </w:r>
      <w:r w:rsidR="005C0B9C">
        <w:rPr>
          <w:lang w:val="en-US"/>
        </w:rPr>
        <w:t xml:space="preserve">-based Fischer-Tropsch electro-diesel, ACS Sustainable Chemistry &amp; Engineering, 10, 36, 11751-11759. </w:t>
      </w:r>
    </w:p>
    <w:p w14:paraId="49D01EF3" w14:textId="5D4C6E70" w:rsidR="00DA69F9" w:rsidRDefault="00DA69F9" w:rsidP="00DA69F9">
      <w:pPr>
        <w:pStyle w:val="Els-referenceno-number"/>
        <w:rPr>
          <w:lang w:val="en-US"/>
        </w:rPr>
      </w:pPr>
      <w:r>
        <w:rPr>
          <w:lang w:val="en-US"/>
        </w:rPr>
        <w:t>D</w:t>
      </w:r>
      <w:r w:rsidRPr="00B25D71">
        <w:rPr>
          <w:lang w:val="en-US"/>
        </w:rPr>
        <w:t>.</w:t>
      </w:r>
      <w:r>
        <w:rPr>
          <w:lang w:val="en-US"/>
        </w:rPr>
        <w:t>W</w:t>
      </w:r>
      <w:r w:rsidRPr="00B25D71">
        <w:rPr>
          <w:lang w:val="en-US"/>
        </w:rPr>
        <w:t xml:space="preserve">. </w:t>
      </w:r>
      <w:r>
        <w:rPr>
          <w:lang w:val="en-US"/>
        </w:rPr>
        <w:t>Keith</w:t>
      </w:r>
      <w:r w:rsidRPr="00B25D71">
        <w:rPr>
          <w:lang w:val="en-US"/>
        </w:rPr>
        <w:t xml:space="preserve">, </w:t>
      </w:r>
      <w:r>
        <w:rPr>
          <w:lang w:val="en-US"/>
        </w:rPr>
        <w:t>G</w:t>
      </w:r>
      <w:r w:rsidRPr="00B25D71">
        <w:rPr>
          <w:lang w:val="en-US"/>
        </w:rPr>
        <w:t xml:space="preserve">. </w:t>
      </w:r>
      <w:r>
        <w:rPr>
          <w:lang w:val="en-US"/>
        </w:rPr>
        <w:t>Holmes</w:t>
      </w:r>
      <w:r w:rsidRPr="00B25D71">
        <w:rPr>
          <w:lang w:val="en-US"/>
        </w:rPr>
        <w:t xml:space="preserve">, </w:t>
      </w:r>
      <w:r>
        <w:rPr>
          <w:lang w:val="en-US"/>
        </w:rPr>
        <w:t>D</w:t>
      </w:r>
      <w:r w:rsidRPr="00B25D71">
        <w:rPr>
          <w:lang w:val="en-US"/>
        </w:rPr>
        <w:t>.</w:t>
      </w:r>
      <w:r>
        <w:rPr>
          <w:lang w:val="en-US"/>
        </w:rPr>
        <w:t xml:space="preserve"> St. Angelo, K. Heidel, 2018, A process for capturing CO</w:t>
      </w:r>
      <w:r w:rsidRPr="005C0B9C">
        <w:rPr>
          <w:vertAlign w:val="subscript"/>
          <w:lang w:val="en-US"/>
        </w:rPr>
        <w:t>2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from the atmosphere, Joule, 2, 8, 1573-1594. </w:t>
      </w:r>
    </w:p>
    <w:p w14:paraId="334C0FD0" w14:textId="63AB5058" w:rsidR="005C0B9C" w:rsidRPr="005C0B9C" w:rsidRDefault="005C0B9C" w:rsidP="008D2649">
      <w:pPr>
        <w:pStyle w:val="Els-referenceno-number"/>
        <w:rPr>
          <w:lang w:val="en-US"/>
        </w:rPr>
      </w:pPr>
      <w:r w:rsidRPr="005C0B9C">
        <w:rPr>
          <w:lang w:val="en-US"/>
        </w:rPr>
        <w:t>K. Bareiß, C. de la Rua, M. Möckl, T. Hamacher, 2019, Life cycle assessment of h</w:t>
      </w:r>
      <w:r>
        <w:rPr>
          <w:lang w:val="en-US"/>
        </w:rPr>
        <w:t xml:space="preserve">ydrogen from proton exchange membrane water electrolysis in future energy systems, </w:t>
      </w:r>
      <w:r w:rsidRPr="005C0B9C">
        <w:rPr>
          <w:lang w:val="en-US"/>
        </w:rPr>
        <w:t>Applied Energy,</w:t>
      </w:r>
      <w:r>
        <w:rPr>
          <w:lang w:val="en-US"/>
        </w:rPr>
        <w:t xml:space="preserve"> 237, 862-872.</w:t>
      </w:r>
    </w:p>
    <w:p w14:paraId="144DE6C3" w14:textId="77777777" w:rsidR="008D2649" w:rsidRPr="005C0B9C" w:rsidRDefault="008D2649" w:rsidP="00A5527F">
      <w:pPr>
        <w:pStyle w:val="Els-referenceno-number"/>
        <w:ind w:left="0" w:firstLine="0"/>
        <w:rPr>
          <w:lang w:val="en-US"/>
        </w:rPr>
      </w:pPr>
    </w:p>
    <w:sectPr w:rsidR="008D2649" w:rsidRPr="005C0B9C" w:rsidSect="008B0184">
      <w:headerReference w:type="even" r:id="rId10"/>
      <w:headerReference w:type="default" r:id="rId11"/>
      <w:headerReference w:type="first" r:id="rId12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6A3DF" w14:textId="77777777" w:rsidR="00C40703" w:rsidRDefault="00C40703">
      <w:r>
        <w:separator/>
      </w:r>
    </w:p>
  </w:endnote>
  <w:endnote w:type="continuationSeparator" w:id="0">
    <w:p w14:paraId="6D8E310A" w14:textId="77777777" w:rsidR="00C40703" w:rsidRDefault="00C4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F1C74" w14:textId="77777777" w:rsidR="00C40703" w:rsidRDefault="00C40703">
      <w:r>
        <w:separator/>
      </w:r>
    </w:p>
  </w:footnote>
  <w:footnote w:type="continuationSeparator" w:id="0">
    <w:p w14:paraId="60DE7EA4" w14:textId="77777777" w:rsidR="00C40703" w:rsidRDefault="00C40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9" w14:textId="5EB2E158" w:rsidR="00DD3D9E" w:rsidRDefault="00DD3D9E">
    <w:pPr>
      <w:pStyle w:val="Intestazione"/>
      <w:tabs>
        <w:tab w:val="clear" w:pos="7200"/>
        <w:tab w:val="right" w:pos="7088"/>
      </w:tabs>
    </w:pPr>
    <w:r>
      <w:rPr>
        <w:rStyle w:val="Numeropagina"/>
      </w:rPr>
      <w:tab/>
    </w:r>
    <w:r>
      <w:rPr>
        <w:rStyle w:val="Numeropagina"/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A" w14:textId="0F7BDF63" w:rsidR="00DD3D9E" w:rsidRDefault="00DD3D9E">
    <w:pPr>
      <w:pStyle w:val="Intestazione"/>
      <w:tabs>
        <w:tab w:val="clear" w:pos="7200"/>
        <w:tab w:val="right" w:pos="7088"/>
      </w:tabs>
      <w:jc w:val="right"/>
      <w:rPr>
        <w:sz w:val="24"/>
      </w:rPr>
    </w:pPr>
    <w:r>
      <w:rPr>
        <w:rStyle w:val="Numeropagina"/>
        <w:i/>
        <w:sz w:val="24"/>
      </w:rPr>
      <w:tab/>
    </w:r>
    <w:r>
      <w:rPr>
        <w:rStyle w:val="Numeropagin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C" w14:textId="65EF433B" w:rsidR="00DD3D9E" w:rsidRPr="00FF6043" w:rsidRDefault="001B1DE3" w:rsidP="00FF6043">
    <w:pPr>
      <w:pStyle w:val="ElsevierBodyTextCentredNospace"/>
      <w:jc w:val="left"/>
      <w:rPr>
        <w:noProof/>
        <w:sz w:val="20"/>
        <w:szCs w:val="20"/>
      </w:rPr>
    </w:pPr>
    <w:r>
      <w:rPr>
        <w:noProof/>
        <w:color w:val="auto"/>
        <w:sz w:val="20"/>
        <w:szCs w:val="20"/>
      </w:rPr>
      <w:drawing>
        <wp:inline distT="0" distB="0" distL="0" distR="0" wp14:anchorId="26F3196F" wp14:editId="0458D368">
          <wp:extent cx="4499610" cy="9169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ng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961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6842" w:rsidRPr="00FF6043">
      <w:rPr>
        <w:color w:val="auto"/>
        <w:sz w:val="20"/>
        <w:szCs w:val="20"/>
      </w:rPr>
      <w:t xml:space="preserve">Flavio Manenti, Gintaras V. Reklaitis (Eds.), </w:t>
    </w:r>
    <w:r w:rsidR="00FF6043" w:rsidRPr="00FF6043">
      <w:rPr>
        <w:color w:val="auto"/>
        <w:sz w:val="20"/>
        <w:szCs w:val="20"/>
      </w:rPr>
      <w:t>B</w:t>
    </w:r>
    <w:r w:rsidR="00FF6043" w:rsidRPr="00FF6043">
      <w:rPr>
        <w:noProof/>
        <w:sz w:val="20"/>
        <w:szCs w:val="20"/>
      </w:rPr>
      <w:t>ook of Abstract</w:t>
    </w:r>
    <w:r w:rsidR="00F06842" w:rsidRPr="00FF6043">
      <w:rPr>
        <w:noProof/>
        <w:sz w:val="20"/>
        <w:szCs w:val="20"/>
      </w:rPr>
      <w:t xml:space="preserve"> of the </w:t>
    </w:r>
    <w:r w:rsidR="00F06842" w:rsidRPr="00FF6043">
      <w:rPr>
        <w:rStyle w:val="underline1"/>
        <w:sz w:val="20"/>
        <w:szCs w:val="20"/>
        <w:u w:val="none"/>
      </w:rPr>
      <w:t>34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European Symposium on Computer Aided Process Engineering / 15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International Symposium on Process Systems Engineerin</w:t>
    </w:r>
    <w:r w:rsidR="00F06842" w:rsidRPr="00FF6043">
      <w:rPr>
        <w:rStyle w:val="underline1"/>
        <w:sz w:val="20"/>
        <w:szCs w:val="20"/>
      </w:rPr>
      <w:t>g</w:t>
    </w:r>
    <w:r w:rsidR="00F06842" w:rsidRPr="00FF6043">
      <w:rPr>
        <w:noProof/>
        <w:sz w:val="20"/>
        <w:szCs w:val="20"/>
      </w:rPr>
      <w:t xml:space="preserve"> (ESCAPE34/PSE24), June 2-6, 2024,</w:t>
    </w:r>
    <w:r w:rsidR="00F06842" w:rsidRPr="00FF6043">
      <w:rPr>
        <w:sz w:val="20"/>
        <w:szCs w:val="20"/>
      </w:rPr>
      <w:t xml:space="preserve"> Florence</w:t>
    </w:r>
    <w:r w:rsidR="00F06842" w:rsidRPr="00FF6043">
      <w:rPr>
        <w:noProof/>
        <w:sz w:val="20"/>
        <w:szCs w:val="20"/>
      </w:rPr>
      <w:t>, Italy</w:t>
    </w:r>
    <w:r w:rsidR="00FF6043">
      <w:rPr>
        <w:noProof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0MbAwsDAyNjQzsDRW0lEKTi0uzszPAykwrwUA50jFHCwAAAA="/>
  </w:docVars>
  <w:rsids>
    <w:rsidRoot w:val="00B63237"/>
    <w:rsid w:val="00007092"/>
    <w:rsid w:val="00056AC8"/>
    <w:rsid w:val="000A39B4"/>
    <w:rsid w:val="000A520A"/>
    <w:rsid w:val="000D131F"/>
    <w:rsid w:val="000D3D9B"/>
    <w:rsid w:val="0016032F"/>
    <w:rsid w:val="001879F6"/>
    <w:rsid w:val="001911E6"/>
    <w:rsid w:val="001A34EE"/>
    <w:rsid w:val="001B1DE3"/>
    <w:rsid w:val="001C0148"/>
    <w:rsid w:val="001C706F"/>
    <w:rsid w:val="001C757E"/>
    <w:rsid w:val="001F624A"/>
    <w:rsid w:val="0020390F"/>
    <w:rsid w:val="002318D4"/>
    <w:rsid w:val="00264926"/>
    <w:rsid w:val="002F2108"/>
    <w:rsid w:val="00314EE2"/>
    <w:rsid w:val="003449B0"/>
    <w:rsid w:val="00344D01"/>
    <w:rsid w:val="00366343"/>
    <w:rsid w:val="00372E01"/>
    <w:rsid w:val="003A3CA4"/>
    <w:rsid w:val="003C251B"/>
    <w:rsid w:val="003D1582"/>
    <w:rsid w:val="003D7E4C"/>
    <w:rsid w:val="003E41C2"/>
    <w:rsid w:val="00426896"/>
    <w:rsid w:val="00427290"/>
    <w:rsid w:val="004503D4"/>
    <w:rsid w:val="004628E9"/>
    <w:rsid w:val="00474B52"/>
    <w:rsid w:val="0049772C"/>
    <w:rsid w:val="004B31CE"/>
    <w:rsid w:val="004C667C"/>
    <w:rsid w:val="004E48A3"/>
    <w:rsid w:val="005019A8"/>
    <w:rsid w:val="00507CB7"/>
    <w:rsid w:val="00540646"/>
    <w:rsid w:val="00544337"/>
    <w:rsid w:val="00552EEB"/>
    <w:rsid w:val="00567D93"/>
    <w:rsid w:val="00576F3C"/>
    <w:rsid w:val="00592D30"/>
    <w:rsid w:val="005A2D06"/>
    <w:rsid w:val="005C0B9C"/>
    <w:rsid w:val="0063357D"/>
    <w:rsid w:val="00646843"/>
    <w:rsid w:val="00647553"/>
    <w:rsid w:val="006759AC"/>
    <w:rsid w:val="00694152"/>
    <w:rsid w:val="006A69BF"/>
    <w:rsid w:val="006C11D1"/>
    <w:rsid w:val="00711DF4"/>
    <w:rsid w:val="00716E8E"/>
    <w:rsid w:val="007312EF"/>
    <w:rsid w:val="00743EF2"/>
    <w:rsid w:val="00756E2A"/>
    <w:rsid w:val="00783059"/>
    <w:rsid w:val="0079310F"/>
    <w:rsid w:val="00793DD6"/>
    <w:rsid w:val="007A36B3"/>
    <w:rsid w:val="007B58FE"/>
    <w:rsid w:val="007C1611"/>
    <w:rsid w:val="007C25B9"/>
    <w:rsid w:val="007C79B6"/>
    <w:rsid w:val="007D70A1"/>
    <w:rsid w:val="007E490A"/>
    <w:rsid w:val="007F0038"/>
    <w:rsid w:val="007F4D98"/>
    <w:rsid w:val="007F640A"/>
    <w:rsid w:val="00810AEC"/>
    <w:rsid w:val="008132E8"/>
    <w:rsid w:val="00823407"/>
    <w:rsid w:val="00864991"/>
    <w:rsid w:val="0087450A"/>
    <w:rsid w:val="00883EE9"/>
    <w:rsid w:val="008B0184"/>
    <w:rsid w:val="008C5D02"/>
    <w:rsid w:val="008C6978"/>
    <w:rsid w:val="008C6AB6"/>
    <w:rsid w:val="008D2649"/>
    <w:rsid w:val="0090568D"/>
    <w:rsid w:val="00911FA5"/>
    <w:rsid w:val="009125C9"/>
    <w:rsid w:val="00913879"/>
    <w:rsid w:val="00917661"/>
    <w:rsid w:val="009529D9"/>
    <w:rsid w:val="00970E5D"/>
    <w:rsid w:val="0097701C"/>
    <w:rsid w:val="00980A65"/>
    <w:rsid w:val="00996BC3"/>
    <w:rsid w:val="009A31BD"/>
    <w:rsid w:val="009F7D59"/>
    <w:rsid w:val="00A00CAA"/>
    <w:rsid w:val="00A07AA8"/>
    <w:rsid w:val="00A23526"/>
    <w:rsid w:val="00A25E70"/>
    <w:rsid w:val="00A33765"/>
    <w:rsid w:val="00A54813"/>
    <w:rsid w:val="00A5527F"/>
    <w:rsid w:val="00A63269"/>
    <w:rsid w:val="00A71F5F"/>
    <w:rsid w:val="00A77562"/>
    <w:rsid w:val="00A92377"/>
    <w:rsid w:val="00A94E51"/>
    <w:rsid w:val="00AA7048"/>
    <w:rsid w:val="00AB29ED"/>
    <w:rsid w:val="00AC0E17"/>
    <w:rsid w:val="00AE4BD8"/>
    <w:rsid w:val="00AF7D33"/>
    <w:rsid w:val="00B25D71"/>
    <w:rsid w:val="00B33A6D"/>
    <w:rsid w:val="00B425B2"/>
    <w:rsid w:val="00B4388F"/>
    <w:rsid w:val="00B53E17"/>
    <w:rsid w:val="00B61E58"/>
    <w:rsid w:val="00B63237"/>
    <w:rsid w:val="00B968DF"/>
    <w:rsid w:val="00BB0EC2"/>
    <w:rsid w:val="00BB3CA1"/>
    <w:rsid w:val="00BC32BD"/>
    <w:rsid w:val="00C26446"/>
    <w:rsid w:val="00C37A0F"/>
    <w:rsid w:val="00C40703"/>
    <w:rsid w:val="00C441A7"/>
    <w:rsid w:val="00C92D4D"/>
    <w:rsid w:val="00C960DC"/>
    <w:rsid w:val="00CA0194"/>
    <w:rsid w:val="00CD318B"/>
    <w:rsid w:val="00D02C75"/>
    <w:rsid w:val="00D10E22"/>
    <w:rsid w:val="00D13D2C"/>
    <w:rsid w:val="00D52414"/>
    <w:rsid w:val="00DA69F9"/>
    <w:rsid w:val="00DB0446"/>
    <w:rsid w:val="00DC2F94"/>
    <w:rsid w:val="00DD3D9E"/>
    <w:rsid w:val="00DD7908"/>
    <w:rsid w:val="00E0037D"/>
    <w:rsid w:val="00E10208"/>
    <w:rsid w:val="00E137CA"/>
    <w:rsid w:val="00E20C40"/>
    <w:rsid w:val="00E412BB"/>
    <w:rsid w:val="00E82297"/>
    <w:rsid w:val="00E91717"/>
    <w:rsid w:val="00EB1BEA"/>
    <w:rsid w:val="00ED68E6"/>
    <w:rsid w:val="00EE173E"/>
    <w:rsid w:val="00EE3091"/>
    <w:rsid w:val="00EF39FD"/>
    <w:rsid w:val="00F06842"/>
    <w:rsid w:val="00F107FD"/>
    <w:rsid w:val="00F3042A"/>
    <w:rsid w:val="00F650B1"/>
    <w:rsid w:val="00F65672"/>
    <w:rsid w:val="00F77D96"/>
    <w:rsid w:val="00FB2AF3"/>
    <w:rsid w:val="00FB2F9C"/>
    <w:rsid w:val="00FB484E"/>
    <w:rsid w:val="00FB64A8"/>
    <w:rsid w:val="00FC27BF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B0184"/>
    <w:rPr>
      <w:lang w:eastAsia="en-US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729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B0EC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zalo.guillen.gosalbez@chem.ethz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60B3B-EA34-43E0-BB34-60FF93D2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0</TotalTime>
  <Pages>4</Pages>
  <Words>1620</Words>
  <Characters>9723</Characters>
  <Application>Microsoft Office Word</Application>
  <DocSecurity>0</DocSecurity>
  <Lines>81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Sauro Pierucci</cp:lastModifiedBy>
  <cp:revision>3</cp:revision>
  <cp:lastPrinted>2004-12-17T09:20:00Z</cp:lastPrinted>
  <dcterms:created xsi:type="dcterms:W3CDTF">2024-01-02T08:46:00Z</dcterms:created>
  <dcterms:modified xsi:type="dcterms:W3CDTF">2024-01-14T14:16:00Z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