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DEC7FC5" w:rsidR="00DD3D9E" w:rsidRPr="00B4388F" w:rsidRDefault="00037683">
      <w:pPr>
        <w:pStyle w:val="Els-Title"/>
        <w:rPr>
          <w:color w:val="000000" w:themeColor="text1"/>
        </w:rPr>
      </w:pPr>
      <w:r w:rsidRPr="00037683">
        <w:rPr>
          <w:color w:val="000000" w:themeColor="text1"/>
        </w:rPr>
        <w:t>Global system analysis of on-line comprehensive two-dimensional liquid chromatography in gPROMS</w:t>
      </w:r>
    </w:p>
    <w:p w14:paraId="144DE680" w14:textId="093D0C76" w:rsidR="00DD3D9E" w:rsidRDefault="0032706E">
      <w:pPr>
        <w:pStyle w:val="Els-Author"/>
      </w:pPr>
      <w:r w:rsidRPr="0032706E">
        <w:t>Monica Tirapelle*, Dian Ning Chia, Fanyi Duanmu, Maximilian Besenhard, Luca Mazzei</w:t>
      </w:r>
      <w:r w:rsidR="00FD7D17">
        <w:t xml:space="preserve">, </w:t>
      </w:r>
      <w:r w:rsidRPr="0032706E">
        <w:t xml:space="preserve">Eva Sorensen </w:t>
      </w:r>
      <w:bookmarkStart w:id="0" w:name="_GoBack"/>
      <w:bookmarkEnd w:id="0"/>
    </w:p>
    <w:p w14:paraId="38BA432F" w14:textId="183A0869" w:rsidR="00D5702A" w:rsidRDefault="00D5702A" w:rsidP="00D5702A">
      <w:pPr>
        <w:pStyle w:val="Els-Affiliation"/>
      </w:pPr>
      <w:r w:rsidRPr="0010462E">
        <w:t>Department of Chemical Engineering, University College London, Torrington Place, London WC1E 7JE, UK</w:t>
      </w:r>
    </w:p>
    <w:p w14:paraId="144DE683" w14:textId="47FCF834" w:rsidR="008D2649" w:rsidRPr="00A94774" w:rsidRDefault="00B90981" w:rsidP="00B90981">
      <w:pPr>
        <w:pStyle w:val="Els-Affiliation"/>
        <w:spacing w:after="120"/>
      </w:pPr>
      <w:r w:rsidRPr="00143F7B">
        <w:t>*m.tirapelle@ucl.ac.uk</w:t>
      </w:r>
    </w:p>
    <w:p w14:paraId="144DE684" w14:textId="77777777" w:rsidR="008D2649" w:rsidRDefault="008D2649" w:rsidP="008D2649">
      <w:pPr>
        <w:pStyle w:val="Els-Abstract"/>
      </w:pPr>
      <w:r>
        <w:t>Abstract</w:t>
      </w:r>
    </w:p>
    <w:p w14:paraId="07BBD391" w14:textId="0B8B02A0" w:rsidR="009170EC" w:rsidRPr="0010462E" w:rsidRDefault="009170EC" w:rsidP="009170EC">
      <w:pPr>
        <w:pStyle w:val="Els-body-text"/>
        <w:spacing w:after="120"/>
        <w:rPr>
          <w:lang w:val="en-GB"/>
        </w:rPr>
      </w:pPr>
      <w:r>
        <w:rPr>
          <w:lang w:val="en-GB"/>
        </w:rPr>
        <w:t xml:space="preserve">Process system analysis and consideration of model uncertainty are important toolboxes used by chemical engineers to </w:t>
      </w:r>
      <w:r w:rsidRPr="00420985">
        <w:rPr>
          <w:lang w:val="en-GB"/>
        </w:rPr>
        <w:t>improve process knowledge</w:t>
      </w:r>
      <w:r>
        <w:rPr>
          <w:lang w:val="en-GB"/>
        </w:rPr>
        <w:t>,</w:t>
      </w:r>
      <w:r w:rsidRPr="00D6411E">
        <w:rPr>
          <w:lang w:val="en-GB"/>
        </w:rPr>
        <w:t xml:space="preserve"> </w:t>
      </w:r>
      <w:r>
        <w:rPr>
          <w:lang w:val="en-GB"/>
        </w:rPr>
        <w:t>exploit the effect</w:t>
      </w:r>
      <w:r w:rsidRPr="00D6411E">
        <w:rPr>
          <w:lang w:val="en-GB"/>
        </w:rPr>
        <w:t xml:space="preserve"> of the most important factor</w:t>
      </w:r>
      <w:r>
        <w:rPr>
          <w:lang w:val="en-GB"/>
        </w:rPr>
        <w:t>s</w:t>
      </w:r>
      <w:r w:rsidRPr="00D6411E">
        <w:rPr>
          <w:lang w:val="en-GB"/>
        </w:rPr>
        <w:t xml:space="preserve"> </w:t>
      </w:r>
      <w:r>
        <w:rPr>
          <w:lang w:val="en-GB"/>
        </w:rPr>
        <w:t>on</w:t>
      </w:r>
      <w:r w:rsidRPr="00D6411E">
        <w:rPr>
          <w:lang w:val="en-GB"/>
        </w:rPr>
        <w:t xml:space="preserve"> several output variables</w:t>
      </w:r>
      <w:r>
        <w:rPr>
          <w:lang w:val="en-GB"/>
        </w:rPr>
        <w:t>, and investigate the inherent uncertainty of model predictions that may arise from uncertainty in input variables and model parameters. These analyses are even more important in regulated environments, where it is crucial to monitor process performance and product quality. In this work, we perform</w:t>
      </w:r>
      <w:r w:rsidRPr="00420985">
        <w:rPr>
          <w:lang w:val="en-GB"/>
        </w:rPr>
        <w:t xml:space="preserve"> system analysis</w:t>
      </w:r>
      <w:r>
        <w:rPr>
          <w:lang w:val="en-GB"/>
        </w:rPr>
        <w:t xml:space="preserve"> and model uncertainty analysis of </w:t>
      </w:r>
      <w:r w:rsidRPr="00DB490C">
        <w:rPr>
          <w:lang w:val="en-GB"/>
        </w:rPr>
        <w:t>comprehensive two-dimensional liquid chromatography</w:t>
      </w:r>
      <w:r w:rsidRPr="00420985">
        <w:rPr>
          <w:lang w:val="en-GB"/>
        </w:rPr>
        <w:t xml:space="preserve"> systems that</w:t>
      </w:r>
      <w:r>
        <w:rPr>
          <w:lang w:val="en-GB"/>
        </w:rPr>
        <w:t xml:space="preserve"> are commonly employed in pharmaceutical analysis</w:t>
      </w:r>
      <w:r w:rsidR="0070326B">
        <w:rPr>
          <w:lang w:val="en-GB"/>
        </w:rPr>
        <w:t>, i.e., RPLCxRPLC systems</w:t>
      </w:r>
      <w:r>
        <w:rPr>
          <w:lang w:val="en-GB"/>
        </w:rPr>
        <w:t>.</w:t>
      </w:r>
      <w:r w:rsidRPr="00420985">
        <w:rPr>
          <w:lang w:val="en-GB"/>
        </w:rPr>
        <w:t xml:space="preserve"> It is found that </w:t>
      </w:r>
      <w:r w:rsidRPr="00420985">
        <w:rPr>
          <w:vertAlign w:val="superscript"/>
          <w:lang w:val="en-GB"/>
        </w:rPr>
        <w:t>1</w:t>
      </w:r>
      <w:r w:rsidRPr="00420985">
        <w:rPr>
          <w:lang w:val="en-GB"/>
        </w:rPr>
        <w:t>D flow</w:t>
      </w:r>
      <w:r>
        <w:rPr>
          <w:lang w:val="en-GB"/>
        </w:rPr>
        <w:t xml:space="preserve"> </w:t>
      </w:r>
      <w:r w:rsidRPr="00420985">
        <w:rPr>
          <w:lang w:val="en-GB"/>
        </w:rPr>
        <w:t xml:space="preserve">rate and </w:t>
      </w:r>
      <w:r w:rsidRPr="00420985">
        <w:rPr>
          <w:vertAlign w:val="superscript"/>
          <w:lang w:val="en-GB"/>
        </w:rPr>
        <w:t>2</w:t>
      </w:r>
      <w:r w:rsidRPr="00420985">
        <w:rPr>
          <w:lang w:val="en-GB"/>
        </w:rPr>
        <w:t xml:space="preserve">D column length are the main design parameters influencing the feasibility of a design. But most importantly, </w:t>
      </w:r>
      <w:r>
        <w:rPr>
          <w:lang w:val="en-GB"/>
        </w:rPr>
        <w:t>deviations from the optimal solution due to model uncertainty are</w:t>
      </w:r>
      <w:r w:rsidRPr="00420985">
        <w:rPr>
          <w:lang w:val="en-GB"/>
        </w:rPr>
        <w:t xml:space="preserve"> </w:t>
      </w:r>
      <w:r>
        <w:rPr>
          <w:lang w:val="en-GB"/>
        </w:rPr>
        <w:t>shown</w:t>
      </w:r>
      <w:r w:rsidRPr="00420985">
        <w:rPr>
          <w:lang w:val="en-GB"/>
        </w:rPr>
        <w:t xml:space="preserve"> to be </w:t>
      </w:r>
      <w:r>
        <w:rPr>
          <w:lang w:val="en-GB"/>
        </w:rPr>
        <w:t>minimal for the case studies considered</w:t>
      </w:r>
      <w:r w:rsidRPr="00420985">
        <w:rPr>
          <w:lang w:val="en-GB"/>
        </w:rPr>
        <w:t xml:space="preserve">.  </w:t>
      </w:r>
    </w:p>
    <w:p w14:paraId="144DE687" w14:textId="6FD6F098" w:rsidR="008D2649" w:rsidRDefault="008D2649" w:rsidP="008D2649">
      <w:pPr>
        <w:pStyle w:val="Els-body-text"/>
        <w:spacing w:after="120"/>
        <w:rPr>
          <w:lang w:val="en-GB"/>
        </w:rPr>
      </w:pPr>
      <w:r>
        <w:rPr>
          <w:b/>
          <w:bCs/>
          <w:lang w:val="en-GB"/>
        </w:rPr>
        <w:t>Keywords</w:t>
      </w:r>
      <w:r>
        <w:rPr>
          <w:lang w:val="en-GB"/>
        </w:rPr>
        <w:t xml:space="preserve">: </w:t>
      </w:r>
      <w:r w:rsidR="00B90F1D" w:rsidRPr="00420985">
        <w:rPr>
          <w:lang w:val="en-GB"/>
        </w:rPr>
        <w:t xml:space="preserve">Two-dimensional liquid chromatography, </w:t>
      </w:r>
      <w:r w:rsidR="00B90F1D">
        <w:rPr>
          <w:lang w:val="en-GB"/>
        </w:rPr>
        <w:t>i</w:t>
      </w:r>
      <w:r w:rsidR="00B90F1D" w:rsidRPr="00420985">
        <w:rPr>
          <w:lang w:val="en-GB"/>
        </w:rPr>
        <w:t xml:space="preserve">n-silico method development, </w:t>
      </w:r>
      <w:r w:rsidR="00B90F1D">
        <w:rPr>
          <w:lang w:val="en-GB"/>
        </w:rPr>
        <w:t>g</w:t>
      </w:r>
      <w:r w:rsidR="00B90F1D" w:rsidRPr="00420985">
        <w:rPr>
          <w:lang w:val="en-GB"/>
        </w:rPr>
        <w:t xml:space="preserve">lobal system analysis, </w:t>
      </w:r>
      <w:r w:rsidR="00B90F1D">
        <w:rPr>
          <w:lang w:val="en-GB"/>
        </w:rPr>
        <w:t>u</w:t>
      </w:r>
      <w:r w:rsidR="00B90F1D" w:rsidRPr="00420985">
        <w:rPr>
          <w:lang w:val="en-GB"/>
        </w:rPr>
        <w:t xml:space="preserve">ncertainty analysis, </w:t>
      </w:r>
      <w:r w:rsidR="00B90F1D">
        <w:rPr>
          <w:lang w:val="en-GB"/>
        </w:rPr>
        <w:t>h</w:t>
      </w:r>
      <w:r w:rsidR="00B90F1D" w:rsidRPr="00420985">
        <w:rPr>
          <w:lang w:val="en-GB"/>
        </w:rPr>
        <w:t>ydrophobic-subtraction model.</w:t>
      </w:r>
    </w:p>
    <w:p w14:paraId="152129D7" w14:textId="77777777" w:rsidR="009F384F" w:rsidRPr="0010462E" w:rsidRDefault="009F384F" w:rsidP="009F384F">
      <w:pPr>
        <w:pStyle w:val="Els-1storder-head"/>
        <w:rPr>
          <w:lang w:val="en-GB"/>
        </w:rPr>
      </w:pPr>
      <w:r w:rsidRPr="0010462E">
        <w:rPr>
          <w:lang w:val="en-GB"/>
        </w:rPr>
        <w:t>Introduction</w:t>
      </w:r>
    </w:p>
    <w:p w14:paraId="588847AD" w14:textId="77777777" w:rsidR="00AD1CDC" w:rsidRPr="004166A7" w:rsidRDefault="00AD1CDC" w:rsidP="00AD1CDC">
      <w:pPr>
        <w:pStyle w:val="Els-body-text"/>
        <w:rPr>
          <w:lang w:val="en-GB"/>
        </w:rPr>
      </w:pPr>
      <w:r w:rsidRPr="004166A7">
        <w:rPr>
          <w:lang w:val="en-GB"/>
        </w:rPr>
        <w:t>On-line comprehensive two-dimensional liquid chromatography (</w:t>
      </w:r>
      <w:proofErr w:type="spellStart"/>
      <w:r w:rsidRPr="004166A7">
        <w:rPr>
          <w:lang w:val="en-GB"/>
        </w:rPr>
        <w:t>LCxLC</w:t>
      </w:r>
      <w:proofErr w:type="spellEnd"/>
      <w:r w:rsidRPr="004166A7">
        <w:rPr>
          <w:lang w:val="en-GB"/>
        </w:rPr>
        <w:t>) combines automated coupling of two liquid chromatography columns</w:t>
      </w:r>
      <w:r>
        <w:rPr>
          <w:lang w:val="en-GB"/>
        </w:rPr>
        <w:t xml:space="preserve">, </w:t>
      </w:r>
      <w:r w:rsidRPr="004166A7">
        <w:rPr>
          <w:vertAlign w:val="superscript"/>
          <w:lang w:val="en-GB"/>
        </w:rPr>
        <w:t>1</w:t>
      </w:r>
      <w:r w:rsidRPr="004166A7">
        <w:rPr>
          <w:lang w:val="en-GB"/>
        </w:rPr>
        <w:t xml:space="preserve">D </w:t>
      </w:r>
      <w:r>
        <w:rPr>
          <w:lang w:val="en-GB"/>
        </w:rPr>
        <w:t xml:space="preserve">(column 1) followed by </w:t>
      </w:r>
      <w:r>
        <w:rPr>
          <w:vertAlign w:val="superscript"/>
          <w:lang w:val="en-GB"/>
        </w:rPr>
        <w:t>2</w:t>
      </w:r>
      <w:r w:rsidRPr="004166A7">
        <w:rPr>
          <w:lang w:val="en-GB"/>
        </w:rPr>
        <w:t>D</w:t>
      </w:r>
      <w:r>
        <w:rPr>
          <w:lang w:val="en-GB"/>
        </w:rPr>
        <w:t xml:space="preserve"> (column 2), </w:t>
      </w:r>
      <w:r w:rsidRPr="004166A7">
        <w:rPr>
          <w:lang w:val="en-GB"/>
        </w:rPr>
        <w:t xml:space="preserve">with different </w:t>
      </w:r>
      <w:proofErr w:type="spellStart"/>
      <w:r w:rsidRPr="004166A7">
        <w:rPr>
          <w:lang w:val="en-GB"/>
        </w:rPr>
        <w:t>selectivities</w:t>
      </w:r>
      <w:proofErr w:type="spellEnd"/>
      <w:r w:rsidRPr="004166A7">
        <w:rPr>
          <w:lang w:val="en-GB"/>
        </w:rPr>
        <w:t xml:space="preserve"> and different designs </w:t>
      </w:r>
      <w:r w:rsidRPr="00805E5B">
        <w:rPr>
          <w:noProof/>
          <w:lang w:val="en-GB"/>
        </w:rPr>
        <w:t>(Stoll, 2017)</w:t>
      </w:r>
      <w:r w:rsidRPr="004166A7">
        <w:rPr>
          <w:lang w:val="en-GB"/>
        </w:rPr>
        <w:t xml:space="preserve">. In the </w:t>
      </w:r>
      <w:proofErr w:type="spellStart"/>
      <w:r>
        <w:rPr>
          <w:lang w:val="en-GB"/>
        </w:rPr>
        <w:t>LCxLC</w:t>
      </w:r>
      <w:proofErr w:type="spellEnd"/>
      <w:r>
        <w:rPr>
          <w:lang w:val="en-GB"/>
        </w:rPr>
        <w:t xml:space="preserve"> mode</w:t>
      </w:r>
      <w:r w:rsidRPr="004166A7">
        <w:rPr>
          <w:lang w:val="en-GB"/>
        </w:rPr>
        <w:t xml:space="preserve">, all the fractions of the </w:t>
      </w:r>
      <w:r w:rsidRPr="004166A7">
        <w:rPr>
          <w:vertAlign w:val="superscript"/>
          <w:lang w:val="en-GB"/>
        </w:rPr>
        <w:t>1</w:t>
      </w:r>
      <w:r w:rsidRPr="004166A7">
        <w:rPr>
          <w:lang w:val="en-GB"/>
        </w:rPr>
        <w:t xml:space="preserve">D effluent are transferred through a dual-loop modulation valve to the </w:t>
      </w:r>
      <w:r w:rsidRPr="004166A7">
        <w:rPr>
          <w:vertAlign w:val="superscript"/>
          <w:lang w:val="en-GB"/>
        </w:rPr>
        <w:t>2</w:t>
      </w:r>
      <w:r w:rsidRPr="004166A7">
        <w:rPr>
          <w:lang w:val="en-GB"/>
        </w:rPr>
        <w:t>D column such that the components co</w:t>
      </w:r>
      <w:r>
        <w:rPr>
          <w:lang w:val="en-GB"/>
        </w:rPr>
        <w:t>-</w:t>
      </w:r>
      <w:r w:rsidRPr="004166A7">
        <w:rPr>
          <w:lang w:val="en-GB"/>
        </w:rPr>
        <w:t>eluting from the first dimension</w:t>
      </w:r>
      <w:r>
        <w:rPr>
          <w:lang w:val="en-GB"/>
        </w:rPr>
        <w:t xml:space="preserve"> (</w:t>
      </w:r>
      <w:r w:rsidRPr="004166A7">
        <w:rPr>
          <w:vertAlign w:val="superscript"/>
          <w:lang w:val="en-GB"/>
        </w:rPr>
        <w:t>1</w:t>
      </w:r>
      <w:r w:rsidRPr="004166A7">
        <w:rPr>
          <w:lang w:val="en-GB"/>
        </w:rPr>
        <w:t>D</w:t>
      </w:r>
      <w:r>
        <w:rPr>
          <w:lang w:val="en-GB"/>
        </w:rPr>
        <w:t xml:space="preserve">) </w:t>
      </w:r>
      <w:r w:rsidRPr="004166A7">
        <w:rPr>
          <w:lang w:val="en-GB"/>
        </w:rPr>
        <w:t>are separated in the second dimension</w:t>
      </w:r>
      <w:r>
        <w:rPr>
          <w:lang w:val="en-GB"/>
        </w:rPr>
        <w:t xml:space="preserve"> (</w:t>
      </w:r>
      <w:r>
        <w:rPr>
          <w:vertAlign w:val="superscript"/>
          <w:lang w:val="en-GB"/>
        </w:rPr>
        <w:t>2</w:t>
      </w:r>
      <w:r w:rsidRPr="004166A7">
        <w:rPr>
          <w:lang w:val="en-GB"/>
        </w:rPr>
        <w:t>D</w:t>
      </w:r>
      <w:r>
        <w:rPr>
          <w:lang w:val="en-GB"/>
        </w:rPr>
        <w:t>)</w:t>
      </w:r>
      <w:r w:rsidRPr="004166A7">
        <w:rPr>
          <w:lang w:val="en-GB"/>
        </w:rPr>
        <w:t xml:space="preserve">. </w:t>
      </w:r>
      <w:proofErr w:type="spellStart"/>
      <w:r w:rsidRPr="004166A7">
        <w:rPr>
          <w:lang w:val="en-GB"/>
        </w:rPr>
        <w:t>LCxLC</w:t>
      </w:r>
      <w:proofErr w:type="spellEnd"/>
      <w:r w:rsidRPr="004166A7">
        <w:rPr>
          <w:lang w:val="en-GB"/>
        </w:rPr>
        <w:t xml:space="preserve"> systems are employed in a wide field of applications</w:t>
      </w:r>
      <w:r>
        <w:rPr>
          <w:lang w:val="en-GB"/>
        </w:rPr>
        <w:t>,</w:t>
      </w:r>
      <w:r w:rsidRPr="004166A7">
        <w:rPr>
          <w:lang w:val="en-GB"/>
        </w:rPr>
        <w:t xml:space="preserve"> including biopharmaceuticals, environmental, food and synthetic polymers</w:t>
      </w:r>
      <w:r>
        <w:rPr>
          <w:lang w:val="en-GB"/>
        </w:rPr>
        <w:t xml:space="preserve"> </w:t>
      </w:r>
      <w:r w:rsidRPr="004166A7">
        <w:rPr>
          <w:lang w:val="en-GB"/>
        </w:rPr>
        <w:t xml:space="preserve">due to their high peak capacity </w:t>
      </w:r>
      <w:r w:rsidRPr="00805E5B">
        <w:rPr>
          <w:noProof/>
          <w:lang w:val="en-GB"/>
        </w:rPr>
        <w:t>(Pirok, et al., 2018b)</w:t>
      </w:r>
      <w:r w:rsidRPr="004166A7">
        <w:rPr>
          <w:lang w:val="en-GB"/>
        </w:rPr>
        <w:t xml:space="preserve">; however, </w:t>
      </w:r>
      <w:proofErr w:type="spellStart"/>
      <w:r w:rsidRPr="004166A7">
        <w:rPr>
          <w:lang w:val="en-GB"/>
        </w:rPr>
        <w:t>LCxLC</w:t>
      </w:r>
      <w:proofErr w:type="spellEnd"/>
      <w:r w:rsidRPr="004166A7">
        <w:rPr>
          <w:lang w:val="en-GB"/>
        </w:rPr>
        <w:t xml:space="preserve"> design and method development remains a challenging and complex task due to the large number of design variables and the interactions between the columns. </w:t>
      </w:r>
    </w:p>
    <w:p w14:paraId="7F329EDF" w14:textId="77777777" w:rsidR="00AD1CDC" w:rsidRPr="00DA2B81" w:rsidRDefault="00AD1CDC" w:rsidP="00AD1CDC">
      <w:pPr>
        <w:pStyle w:val="Els-body-text"/>
        <w:rPr>
          <w:strike/>
          <w:lang w:val="en-GB"/>
        </w:rPr>
      </w:pPr>
      <w:r w:rsidRPr="00420985">
        <w:rPr>
          <w:lang w:val="en-GB"/>
        </w:rPr>
        <w:t xml:space="preserve">Many methods have been proposed seeking to develop a systematic procedure to replace trial-and-error approaches and one-variable-at-a-time strategies </w:t>
      </w:r>
      <w:r w:rsidRPr="00805E5B">
        <w:rPr>
          <w:noProof/>
          <w:lang w:val="en-GB"/>
        </w:rPr>
        <w:t>(Bedani, et al., 2012)</w:t>
      </w:r>
      <w:r w:rsidRPr="00420985">
        <w:rPr>
          <w:lang w:val="en-GB"/>
        </w:rPr>
        <w:t xml:space="preserve">. Among these methods, </w:t>
      </w:r>
      <w:r>
        <w:rPr>
          <w:lang w:val="en-GB"/>
        </w:rPr>
        <w:t>some</w:t>
      </w:r>
      <w:r w:rsidRPr="00420985">
        <w:rPr>
          <w:lang w:val="en-GB"/>
        </w:rPr>
        <w:t xml:space="preserve"> are based on the Poppe plot of plate time vs. plate height </w:t>
      </w:r>
      <w:r w:rsidRPr="00805E5B">
        <w:rPr>
          <w:noProof/>
          <w:lang w:val="en-GB"/>
        </w:rPr>
        <w:t>(Poppe, 1997)</w:t>
      </w:r>
      <w:r>
        <w:rPr>
          <w:lang w:val="en-GB"/>
        </w:rPr>
        <w:t>. T</w:t>
      </w:r>
      <w:r w:rsidRPr="00420985">
        <w:rPr>
          <w:lang w:val="en-GB"/>
        </w:rPr>
        <w:t xml:space="preserve">hese </w:t>
      </w:r>
      <w:r>
        <w:rPr>
          <w:lang w:val="en-GB"/>
        </w:rPr>
        <w:t xml:space="preserve">methods </w:t>
      </w:r>
      <w:r w:rsidRPr="00420985">
        <w:rPr>
          <w:lang w:val="en-GB"/>
        </w:rPr>
        <w:t xml:space="preserve">have been used to develop most of the protocols available today </w:t>
      </w:r>
      <w:r w:rsidRPr="00805E5B">
        <w:rPr>
          <w:noProof/>
          <w:lang w:val="en-GB"/>
        </w:rPr>
        <w:t>(Wang, et al., 2006; Schoenmakers, et al., 2006)</w:t>
      </w:r>
      <w:r>
        <w:rPr>
          <w:lang w:val="en-GB"/>
        </w:rPr>
        <w:t>;</w:t>
      </w:r>
      <w:r w:rsidRPr="00420985">
        <w:rPr>
          <w:lang w:val="en-GB"/>
        </w:rPr>
        <w:t xml:space="preserve"> however, </w:t>
      </w:r>
      <w:r>
        <w:rPr>
          <w:lang w:val="en-GB"/>
        </w:rPr>
        <w:t xml:space="preserve">as </w:t>
      </w:r>
      <w:r w:rsidRPr="00420985">
        <w:rPr>
          <w:lang w:val="en-GB"/>
        </w:rPr>
        <w:t xml:space="preserve">they are specific </w:t>
      </w:r>
      <w:r>
        <w:rPr>
          <w:lang w:val="en-GB"/>
        </w:rPr>
        <w:t>to the system considered,</w:t>
      </w:r>
      <w:r w:rsidRPr="00420985">
        <w:rPr>
          <w:lang w:val="en-GB"/>
        </w:rPr>
        <w:t xml:space="preserve"> they lack generality. Other models use the Pareto-optimality method to find the best combination of parameters given two or more objective functions </w:t>
      </w:r>
      <w:r w:rsidRPr="00805E5B">
        <w:rPr>
          <w:noProof/>
          <w:lang w:val="en-GB"/>
        </w:rPr>
        <w:t>(Vivó-Truyols, et al., 2010; Sarrut, et al., 2015)</w:t>
      </w:r>
      <w:r w:rsidRPr="00420985">
        <w:rPr>
          <w:lang w:val="en-GB"/>
        </w:rPr>
        <w:t xml:space="preserve">. In these </w:t>
      </w:r>
      <w:r>
        <w:rPr>
          <w:lang w:val="en-GB"/>
        </w:rPr>
        <w:t>studies</w:t>
      </w:r>
      <w:r w:rsidRPr="00420985">
        <w:rPr>
          <w:lang w:val="en-GB"/>
        </w:rPr>
        <w:t xml:space="preserve">, the objective functions </w:t>
      </w:r>
      <w:r w:rsidRPr="00420985">
        <w:rPr>
          <w:lang w:val="en-GB"/>
        </w:rPr>
        <w:lastRenderedPageBreak/>
        <w:t xml:space="preserve">are </w:t>
      </w:r>
      <w:r w:rsidRPr="007B3FD1">
        <w:rPr>
          <w:i/>
          <w:iCs/>
          <w:lang w:val="en-GB"/>
        </w:rPr>
        <w:t>sample-independent</w:t>
      </w:r>
      <w:r w:rsidRPr="00420985">
        <w:rPr>
          <w:lang w:val="en-GB"/>
        </w:rPr>
        <w:t>, i.e.</w:t>
      </w:r>
      <w:r>
        <w:rPr>
          <w:lang w:val="en-GB"/>
        </w:rPr>
        <w:t>, the authors focus on optimizing column efficiency and number of plates, but they do not consider</w:t>
      </w:r>
      <w:r w:rsidRPr="00170134">
        <w:rPr>
          <w:lang w:val="en-GB"/>
        </w:rPr>
        <w:t xml:space="preserve"> </w:t>
      </w:r>
      <w:r w:rsidRPr="00420985">
        <w:rPr>
          <w:lang w:val="en-GB"/>
        </w:rPr>
        <w:t xml:space="preserve">parameters such as retention and selectivity. </w:t>
      </w:r>
      <w:r>
        <w:rPr>
          <w:lang w:val="en-GB"/>
        </w:rPr>
        <w:t xml:space="preserve">The only </w:t>
      </w:r>
      <w:r w:rsidRPr="007B3FD1">
        <w:rPr>
          <w:i/>
          <w:iCs/>
          <w:lang w:val="en-GB"/>
        </w:rPr>
        <w:t>sample-dependent</w:t>
      </w:r>
      <w:r>
        <w:rPr>
          <w:lang w:val="en-GB"/>
        </w:rPr>
        <w:t xml:space="preserve"> optimization strategies that have been proposed are by </w:t>
      </w:r>
      <w:r w:rsidRPr="00AB6DD3">
        <w:rPr>
          <w:noProof/>
          <w:lang w:val="en-GB"/>
        </w:rPr>
        <w:t>Pirok et al.</w:t>
      </w:r>
      <w:r>
        <w:rPr>
          <w:noProof/>
          <w:lang w:val="en-GB"/>
        </w:rPr>
        <w:t xml:space="preserve"> </w:t>
      </w:r>
      <w:r w:rsidRPr="00DA2B81">
        <w:rPr>
          <w:noProof/>
          <w:lang w:val="en-GB"/>
        </w:rPr>
        <w:t>(2018a)</w:t>
      </w:r>
      <w:r w:rsidRPr="00DA2B81">
        <w:rPr>
          <w:lang w:val="en-GB"/>
        </w:rPr>
        <w:t xml:space="preserve"> and Tirapelle et al. </w:t>
      </w:r>
      <w:r w:rsidRPr="00DA2B81">
        <w:rPr>
          <w:noProof/>
          <w:lang w:val="en-GB"/>
        </w:rPr>
        <w:t>(2023)</w:t>
      </w:r>
      <w:r w:rsidRPr="00DA2B81">
        <w:rPr>
          <w:lang w:val="en-GB"/>
        </w:rPr>
        <w:t xml:space="preserve">. </w:t>
      </w:r>
    </w:p>
    <w:p w14:paraId="5405C7D9" w14:textId="77777777" w:rsidR="00AD1CDC" w:rsidRDefault="00AD1CDC" w:rsidP="00AD1CDC">
      <w:pPr>
        <w:pStyle w:val="Els-body-text"/>
        <w:rPr>
          <w:color w:val="00B050"/>
          <w:lang w:val="en-GB"/>
        </w:rPr>
      </w:pPr>
      <w:r w:rsidRPr="00ED23DE">
        <w:rPr>
          <w:lang w:val="en-GB"/>
        </w:rPr>
        <w:t xml:space="preserve">This work applies our shortcut </w:t>
      </w:r>
      <w:r>
        <w:rPr>
          <w:lang w:val="en-GB"/>
        </w:rPr>
        <w:t>framework</w:t>
      </w:r>
      <w:r w:rsidRPr="00ED23DE">
        <w:rPr>
          <w:lang w:val="en-GB"/>
        </w:rPr>
        <w:t xml:space="preserve"> </w:t>
      </w:r>
      <w:r w:rsidRPr="00805E5B">
        <w:rPr>
          <w:noProof/>
          <w:lang w:val="en-GB"/>
        </w:rPr>
        <w:t>(Tirapelle, et al., 2023)</w:t>
      </w:r>
      <w:r w:rsidRPr="00ED23DE">
        <w:rPr>
          <w:lang w:val="en-GB"/>
        </w:rPr>
        <w:t xml:space="preserve"> for scenario analysis and</w:t>
      </w:r>
      <w:r>
        <w:rPr>
          <w:lang w:val="en-GB"/>
        </w:rPr>
        <w:t xml:space="preserve"> for evaluation of</w:t>
      </w:r>
      <w:r w:rsidRPr="00ED23DE">
        <w:rPr>
          <w:lang w:val="en-GB"/>
        </w:rPr>
        <w:t xml:space="preserve"> model uncertainty. The scenario analysis</w:t>
      </w:r>
      <w:r>
        <w:rPr>
          <w:lang w:val="en-GB"/>
        </w:rPr>
        <w:t xml:space="preserve"> will</w:t>
      </w:r>
      <w:r w:rsidRPr="00ED23DE">
        <w:rPr>
          <w:lang w:val="en-GB"/>
        </w:rPr>
        <w:t xml:space="preserve"> allow us to improve </w:t>
      </w:r>
      <w:proofErr w:type="spellStart"/>
      <w:r w:rsidRPr="00ED23DE">
        <w:rPr>
          <w:lang w:val="en-GB"/>
        </w:rPr>
        <w:t>LCxLC</w:t>
      </w:r>
      <w:proofErr w:type="spellEnd"/>
      <w:r w:rsidRPr="00ED23DE">
        <w:rPr>
          <w:lang w:val="en-GB"/>
        </w:rPr>
        <w:t xml:space="preserve"> process knowledge and understanding, but more importantly, to explore the design space</w:t>
      </w:r>
      <w:r>
        <w:rPr>
          <w:lang w:val="en-GB"/>
        </w:rPr>
        <w:t xml:space="preserve"> </w:t>
      </w:r>
      <w:r w:rsidRPr="00317D71">
        <w:rPr>
          <w:i/>
          <w:lang w:val="en-GB"/>
        </w:rPr>
        <w:t>systematically</w:t>
      </w:r>
      <w:r w:rsidRPr="00ED23DE">
        <w:rPr>
          <w:lang w:val="en-GB"/>
        </w:rPr>
        <w:t xml:space="preserve">. The uncertainty </w:t>
      </w:r>
      <w:r>
        <w:rPr>
          <w:lang w:val="en-GB"/>
        </w:rPr>
        <w:t>evaluation</w:t>
      </w:r>
      <w:r w:rsidRPr="00ED23DE">
        <w:rPr>
          <w:lang w:val="en-GB"/>
        </w:rPr>
        <w:t xml:space="preserve"> allows us to investigate the impact of model inaccuracy on model predictions</w:t>
      </w:r>
      <w:r>
        <w:rPr>
          <w:lang w:val="en-GB"/>
        </w:rPr>
        <w:t xml:space="preserve"> </w:t>
      </w:r>
      <w:r w:rsidRPr="00942295">
        <w:rPr>
          <w:i/>
          <w:lang w:val="en-GB"/>
        </w:rPr>
        <w:t>quantitatively</w:t>
      </w:r>
      <w:r w:rsidRPr="00ED23DE">
        <w:rPr>
          <w:lang w:val="en-GB"/>
        </w:rPr>
        <w:t xml:space="preserve">. Both </w:t>
      </w:r>
      <w:r>
        <w:rPr>
          <w:lang w:val="en-GB"/>
        </w:rPr>
        <w:t>investigations</w:t>
      </w:r>
      <w:r w:rsidRPr="00ED23DE">
        <w:rPr>
          <w:lang w:val="en-GB"/>
        </w:rPr>
        <w:t xml:space="preserve"> are performed with the Global Systems Analysis (GSA)</w:t>
      </w:r>
      <w:r w:rsidRPr="006D6C7A">
        <w:rPr>
          <w:lang w:val="en-GB"/>
        </w:rPr>
        <w:t xml:space="preserve"> f</w:t>
      </w:r>
      <w:r>
        <w:rPr>
          <w:lang w:val="en-GB"/>
        </w:rPr>
        <w:t xml:space="preserve">unctionality </w:t>
      </w:r>
      <w:r w:rsidRPr="006D6C7A">
        <w:rPr>
          <w:lang w:val="en-GB"/>
        </w:rPr>
        <w:t xml:space="preserve">of gPROMS </w:t>
      </w:r>
      <w:r w:rsidRPr="00ED23DE">
        <w:rPr>
          <w:lang w:val="en-GB"/>
        </w:rPr>
        <w:t xml:space="preserve">ModelBuilder </w:t>
      </w:r>
      <w:r w:rsidRPr="00805E5B">
        <w:rPr>
          <w:noProof/>
          <w:lang w:val="en-GB"/>
        </w:rPr>
        <w:t>(Process Systems Enterprise, 2022)</w:t>
      </w:r>
      <w:r w:rsidRPr="00ED23DE">
        <w:rPr>
          <w:lang w:val="en-GB"/>
        </w:rPr>
        <w:t>.</w:t>
      </w:r>
    </w:p>
    <w:p w14:paraId="604CF8D0" w14:textId="77777777" w:rsidR="002C5B9C" w:rsidRPr="0010462E" w:rsidRDefault="002C5B9C" w:rsidP="002C5B9C">
      <w:pPr>
        <w:pStyle w:val="Els-1storder-head"/>
        <w:rPr>
          <w:lang w:val="en-GB"/>
        </w:rPr>
      </w:pPr>
      <w:r w:rsidRPr="0010462E">
        <w:rPr>
          <w:lang w:val="en-GB"/>
        </w:rPr>
        <w:t>Materials and methods</w:t>
      </w:r>
    </w:p>
    <w:p w14:paraId="6FCC24E1" w14:textId="43971785" w:rsidR="00710EF8" w:rsidRDefault="00710EF8" w:rsidP="00710EF8">
      <w:pPr>
        <w:pStyle w:val="Els-body-text"/>
        <w:rPr>
          <w:lang w:val="en-GB"/>
        </w:rPr>
      </w:pPr>
      <w:r w:rsidRPr="00420985">
        <w:rPr>
          <w:lang w:val="en-GB"/>
        </w:rPr>
        <w:t>The shortcut model proposed by</w:t>
      </w:r>
      <w:r>
        <w:rPr>
          <w:lang w:val="en-GB"/>
        </w:rPr>
        <w:t xml:space="preserve"> Tirapelle et al.</w:t>
      </w:r>
      <w:r w:rsidRPr="00420985">
        <w:rPr>
          <w:lang w:val="en-GB"/>
        </w:rPr>
        <w:t xml:space="preserve"> </w:t>
      </w:r>
      <w:r w:rsidRPr="00805E5B">
        <w:rPr>
          <w:noProof/>
          <w:lang w:val="en-GB"/>
        </w:rPr>
        <w:t>(2023)</w:t>
      </w:r>
      <w:r>
        <w:rPr>
          <w:lang w:val="en-GB"/>
        </w:rPr>
        <w:t xml:space="preserve"> consists of a set of analytical equations and relies on the Hydrophobic-Subtraction Model (HSM) </w:t>
      </w:r>
      <w:r w:rsidRPr="00FA5D32">
        <w:rPr>
          <w:noProof/>
          <w:lang w:val="en-GB"/>
        </w:rPr>
        <w:t>(Wilson, et al., 2002; Snyder, et al., 2004)</w:t>
      </w:r>
      <w:r>
        <w:rPr>
          <w:lang w:val="en-GB"/>
        </w:rPr>
        <w:t xml:space="preserve"> for the prediction of retention factors of different components in different reversed-phase (RP) columns. Due to its simplicity, the shortcut model</w:t>
      </w:r>
      <w:r w:rsidRPr="00420985">
        <w:rPr>
          <w:lang w:val="en-GB"/>
        </w:rPr>
        <w:t xml:space="preserve"> can predict, in a matter of seconds, the position and band broadening of chromatographic peaks within the two-dimensional separation space of RPLCxRPLC</w:t>
      </w:r>
      <w:r>
        <w:rPr>
          <w:lang w:val="en-GB"/>
        </w:rPr>
        <w:t xml:space="preserve"> </w:t>
      </w:r>
      <w:r w:rsidRPr="00420985">
        <w:rPr>
          <w:lang w:val="en-GB"/>
        </w:rPr>
        <w:t xml:space="preserve">systems. </w:t>
      </w:r>
      <w:r>
        <w:rPr>
          <w:lang w:val="en-GB"/>
        </w:rPr>
        <w:t>Combined</w:t>
      </w:r>
      <w:r w:rsidRPr="00420985">
        <w:rPr>
          <w:lang w:val="en-GB"/>
        </w:rPr>
        <w:t xml:space="preserve"> with constraints on modulation time, maximum pressure drops, and minimum n</w:t>
      </w:r>
      <w:r>
        <w:rPr>
          <w:lang w:val="en-GB"/>
        </w:rPr>
        <w:t>umber of</w:t>
      </w:r>
      <w:r w:rsidRPr="00420985">
        <w:rPr>
          <w:lang w:val="en-GB"/>
        </w:rPr>
        <w:t xml:space="preserve"> cut</w:t>
      </w:r>
      <w:r>
        <w:rPr>
          <w:lang w:val="en-GB"/>
        </w:rPr>
        <w:t>s</w:t>
      </w:r>
      <w:r w:rsidRPr="00420985">
        <w:rPr>
          <w:lang w:val="en-GB"/>
        </w:rPr>
        <w:t xml:space="preserve"> per peak, the model has </w:t>
      </w:r>
      <w:r w:rsidRPr="00420985">
        <w:rPr>
          <w:color w:val="000000" w:themeColor="text1"/>
          <w:lang w:val="en-GB"/>
        </w:rPr>
        <w:t xml:space="preserve">been </w:t>
      </w:r>
      <w:r w:rsidRPr="00420985">
        <w:rPr>
          <w:lang w:val="en-GB"/>
        </w:rPr>
        <w:t xml:space="preserve">embedded in a two-step framework for </w:t>
      </w:r>
      <w:r w:rsidRPr="00420985">
        <w:rPr>
          <w:color w:val="000000" w:themeColor="text1"/>
          <w:lang w:val="en-GB"/>
        </w:rPr>
        <w:t>in-silico method development and optimization</w:t>
      </w:r>
      <w:r>
        <w:rPr>
          <w:lang w:val="en-GB"/>
        </w:rPr>
        <w:t>, and</w:t>
      </w:r>
      <w:r w:rsidRPr="00420985">
        <w:t xml:space="preserve"> has been validated against rigorous numerical simulations based on the equilibrium dispersive model (EDM)</w:t>
      </w:r>
      <w:r>
        <w:t>.</w:t>
      </w:r>
      <w:r w:rsidRPr="00420985">
        <w:t xml:space="preserve"> </w:t>
      </w:r>
      <w:r>
        <w:t xml:space="preserve">However, </w:t>
      </w:r>
      <w:r>
        <w:rPr>
          <w:lang w:val="en-GB"/>
        </w:rPr>
        <w:t>t</w:t>
      </w:r>
      <w:r w:rsidRPr="00420985">
        <w:rPr>
          <w:lang w:val="en-GB"/>
        </w:rPr>
        <w:t xml:space="preserve">he impact of model uncertainty </w:t>
      </w:r>
      <w:r>
        <w:rPr>
          <w:lang w:val="en-GB"/>
        </w:rPr>
        <w:t>and a proper exploration of the design space has yet to be considered and is therefore the focus of this work</w:t>
      </w:r>
      <w:r w:rsidRPr="00420985">
        <w:rPr>
          <w:lang w:val="en-GB"/>
        </w:rPr>
        <w:t xml:space="preserve">. </w:t>
      </w:r>
    </w:p>
    <w:p w14:paraId="05AFC2BA" w14:textId="77777777" w:rsidR="00710EF8" w:rsidRDefault="00710EF8" w:rsidP="00710EF8">
      <w:pPr>
        <w:pStyle w:val="Els-body-text"/>
        <w:rPr>
          <w:lang w:val="en-GB"/>
        </w:rPr>
      </w:pPr>
      <w:r>
        <w:rPr>
          <w:lang w:val="en-GB"/>
        </w:rPr>
        <w:t xml:space="preserve">Here, we implement the </w:t>
      </w:r>
      <w:r w:rsidRPr="00420985">
        <w:rPr>
          <w:lang w:val="en-GB"/>
        </w:rPr>
        <w:t>shortcut model in gPROMS ModelBuilder</w:t>
      </w:r>
      <w:r>
        <w:rPr>
          <w:lang w:val="en-GB"/>
        </w:rPr>
        <w:t>, version 7.1.1</w:t>
      </w:r>
      <w:r w:rsidRPr="00420985">
        <w:rPr>
          <w:lang w:val="en-GB"/>
        </w:rPr>
        <w:t xml:space="preserve"> </w:t>
      </w:r>
      <w:r w:rsidRPr="00805E5B">
        <w:rPr>
          <w:noProof/>
          <w:lang w:val="en-GB"/>
        </w:rPr>
        <w:t>(Process Systems Enterprise, 2022)</w:t>
      </w:r>
      <w:r w:rsidRPr="006D6C7A">
        <w:rPr>
          <w:lang w:val="en-GB"/>
        </w:rPr>
        <w:t xml:space="preserve">, and we use the </w:t>
      </w:r>
      <w:r>
        <w:t>GSA</w:t>
      </w:r>
      <w:r w:rsidRPr="006D6C7A">
        <w:rPr>
          <w:lang w:val="en-GB"/>
        </w:rPr>
        <w:t xml:space="preserve"> f</w:t>
      </w:r>
      <w:r>
        <w:rPr>
          <w:lang w:val="en-GB"/>
        </w:rPr>
        <w:t xml:space="preserve">unctionality </w:t>
      </w:r>
      <w:r w:rsidRPr="006D6C7A">
        <w:rPr>
          <w:lang w:val="en-GB"/>
        </w:rPr>
        <w:t xml:space="preserve">of gPROMS </w:t>
      </w:r>
      <w:r>
        <w:rPr>
          <w:lang w:val="en-GB"/>
        </w:rPr>
        <w:t xml:space="preserve">for: 1) </w:t>
      </w:r>
      <w:r w:rsidRPr="002C2075">
        <w:rPr>
          <w:i/>
          <w:iCs/>
          <w:lang w:val="en-GB"/>
        </w:rPr>
        <w:t>scenario analysis</w:t>
      </w:r>
      <w:r>
        <w:rPr>
          <w:lang w:val="en-GB"/>
        </w:rPr>
        <w:t xml:space="preserve">, </w:t>
      </w:r>
      <w:r w:rsidRPr="006D6C7A">
        <w:rPr>
          <w:lang w:val="en-GB"/>
        </w:rPr>
        <w:t>to fully exploit the design space</w:t>
      </w:r>
      <w:r>
        <w:rPr>
          <w:lang w:val="en-GB"/>
        </w:rPr>
        <w:t xml:space="preserve"> and</w:t>
      </w:r>
      <w:r w:rsidRPr="006D6C7A">
        <w:rPr>
          <w:lang w:val="en-GB"/>
        </w:rPr>
        <w:t xml:space="preserve"> gain insights into RPLCxRPLC performance</w:t>
      </w:r>
      <w:r>
        <w:rPr>
          <w:lang w:val="en-GB"/>
        </w:rPr>
        <w:t>;</w:t>
      </w:r>
      <w:r w:rsidRPr="006D6C7A">
        <w:rPr>
          <w:lang w:val="en-GB"/>
        </w:rPr>
        <w:t xml:space="preserve"> and </w:t>
      </w:r>
      <w:r>
        <w:rPr>
          <w:lang w:val="en-GB"/>
        </w:rPr>
        <w:t xml:space="preserve">2) </w:t>
      </w:r>
      <w:r w:rsidRPr="002C2075">
        <w:rPr>
          <w:i/>
          <w:iCs/>
          <w:lang w:val="en-GB"/>
        </w:rPr>
        <w:t>uncertainty analysis</w:t>
      </w:r>
      <w:r>
        <w:rPr>
          <w:lang w:val="en-GB"/>
        </w:rPr>
        <w:t xml:space="preserve">, to </w:t>
      </w:r>
      <w:r w:rsidRPr="006D6C7A">
        <w:rPr>
          <w:lang w:val="en-GB"/>
        </w:rPr>
        <w:t xml:space="preserve">investigate the effect of the main source of model uncertainty on the separation quality. </w:t>
      </w:r>
      <w:r>
        <w:rPr>
          <w:lang w:val="en-GB"/>
        </w:rPr>
        <w:t>For the</w:t>
      </w:r>
      <w:r w:rsidRPr="00D77AA4">
        <w:rPr>
          <w:lang w:val="en-GB"/>
        </w:rPr>
        <w:t xml:space="preserve"> uncertainty analysis, </w:t>
      </w:r>
      <w:r>
        <w:rPr>
          <w:lang w:val="en-GB"/>
        </w:rPr>
        <w:t>we</w:t>
      </w:r>
      <w:r w:rsidRPr="00D77AA4">
        <w:rPr>
          <w:lang w:val="en-GB"/>
        </w:rPr>
        <w:t xml:space="preserve"> consider the </w:t>
      </w:r>
      <w:r>
        <w:rPr>
          <w:lang w:val="en-GB"/>
        </w:rPr>
        <w:t xml:space="preserve">quasi-Monte Carlo method, with </w:t>
      </w:r>
      <w:r w:rsidRPr="00D77AA4">
        <w:rPr>
          <w:lang w:val="en-GB"/>
        </w:rPr>
        <w:t xml:space="preserve">quasi-random (Sobol) </w:t>
      </w:r>
      <w:r>
        <w:rPr>
          <w:lang w:val="en-GB"/>
        </w:rPr>
        <w:t xml:space="preserve">sequences for sample generation </w:t>
      </w:r>
      <w:r w:rsidRPr="00805E5B">
        <w:rPr>
          <w:noProof/>
          <w:lang w:val="en-GB"/>
        </w:rPr>
        <w:t>(Process Systems Enterprise, 2022)</w:t>
      </w:r>
      <w:r>
        <w:rPr>
          <w:lang w:val="en-GB"/>
        </w:rPr>
        <w:t xml:space="preserve">. </w:t>
      </w:r>
    </w:p>
    <w:p w14:paraId="42CE1E21" w14:textId="77777777" w:rsidR="00710EF8" w:rsidRDefault="00710EF8" w:rsidP="00710EF8">
      <w:pPr>
        <w:pStyle w:val="Els-body-text"/>
      </w:pPr>
      <w:r w:rsidRPr="00420985">
        <w:rPr>
          <w:lang w:val="en-GB"/>
        </w:rPr>
        <w:t>Throughout this work, we will consider four key performance indicators (KPIs), namely feasibility, total analysis time, overall separation quality</w:t>
      </w:r>
      <w:r>
        <w:rPr>
          <w:lang w:val="en-GB"/>
        </w:rPr>
        <w:t>,</w:t>
      </w:r>
      <w:r w:rsidRPr="00420985">
        <w:rPr>
          <w:lang w:val="en-GB"/>
        </w:rPr>
        <w:t xml:space="preserve"> and n</w:t>
      </w:r>
      <w:r>
        <w:rPr>
          <w:lang w:val="en-GB"/>
        </w:rPr>
        <w:t>umber of</w:t>
      </w:r>
      <w:r w:rsidRPr="00420985">
        <w:rPr>
          <w:lang w:val="en-GB"/>
        </w:rPr>
        <w:t xml:space="preserve"> components overlapping in the 2D </w:t>
      </w:r>
      <w:r>
        <w:rPr>
          <w:lang w:val="en-GB"/>
        </w:rPr>
        <w:t>chromatogram</w:t>
      </w:r>
      <w:r w:rsidRPr="00420985">
        <w:rPr>
          <w:lang w:val="en-GB"/>
        </w:rPr>
        <w:t xml:space="preserve">. For each design, feasibility suggests whether </w:t>
      </w:r>
      <w:r>
        <w:rPr>
          <w:lang w:val="en-GB"/>
        </w:rPr>
        <w:t>the design</w:t>
      </w:r>
      <w:r w:rsidRPr="00420985">
        <w:rPr>
          <w:lang w:val="en-GB"/>
        </w:rPr>
        <w:t xml:space="preserve"> is off-spec (</w:t>
      </w:r>
      <w:r>
        <w:rPr>
          <w:lang w:val="en-GB"/>
        </w:rPr>
        <w:t>feasibility=</w:t>
      </w:r>
      <w:r w:rsidRPr="00420985">
        <w:rPr>
          <w:lang w:val="en-GB"/>
        </w:rPr>
        <w:t>0) or on-spec (</w:t>
      </w:r>
      <w:r>
        <w:rPr>
          <w:lang w:val="en-GB"/>
        </w:rPr>
        <w:t>feasibility=</w:t>
      </w:r>
      <w:r w:rsidRPr="00420985">
        <w:rPr>
          <w:lang w:val="en-GB"/>
        </w:rPr>
        <w:t xml:space="preserve">1) given </w:t>
      </w:r>
      <w:r>
        <w:rPr>
          <w:lang w:val="en-GB"/>
        </w:rPr>
        <w:t>the</w:t>
      </w:r>
      <w:r w:rsidRPr="00420985">
        <w:rPr>
          <w:lang w:val="en-GB"/>
        </w:rPr>
        <w:t xml:space="preserve"> constraints on modulation time and pressure drop. The total analysis time, approximated by the analysis time of the </w:t>
      </w:r>
      <w:r w:rsidRPr="004166A7">
        <w:rPr>
          <w:vertAlign w:val="superscript"/>
          <w:lang w:val="en-GB"/>
        </w:rPr>
        <w:t>1</w:t>
      </w:r>
      <w:r w:rsidRPr="004166A7">
        <w:rPr>
          <w:lang w:val="en-GB"/>
        </w:rPr>
        <w:t>D</w:t>
      </w:r>
      <w:r w:rsidRPr="00420985">
        <w:rPr>
          <w:lang w:val="en-GB"/>
        </w:rPr>
        <w:t xml:space="preserve"> column</w:t>
      </w:r>
      <w:r>
        <w:rPr>
          <w:lang w:val="en-GB"/>
        </w:rPr>
        <w:t xml:space="preserve"> </w:t>
      </w:r>
      <w:r w:rsidRPr="001C77E5">
        <w:rPr>
          <w:noProof/>
          <w:lang w:val="en-GB"/>
        </w:rPr>
        <w:t>(Vivó-Truyols, et al., 2010)</w:t>
      </w:r>
      <w:r w:rsidRPr="00420985">
        <w:rPr>
          <w:lang w:val="en-GB"/>
        </w:rPr>
        <w:t xml:space="preserve">, </w:t>
      </w:r>
      <w:r>
        <w:rPr>
          <w:lang w:val="en-GB"/>
        </w:rPr>
        <w:t>indicates</w:t>
      </w:r>
      <w:r w:rsidRPr="00420985">
        <w:rPr>
          <w:lang w:val="en-GB"/>
        </w:rPr>
        <w:t xml:space="preserve"> how long the separation process lasts. </w:t>
      </w:r>
      <w:r>
        <w:rPr>
          <w:lang w:val="en-GB"/>
        </w:rPr>
        <w:t>Finally</w:t>
      </w:r>
      <w:r w:rsidRPr="00420985">
        <w:rPr>
          <w:lang w:val="en-GB"/>
        </w:rPr>
        <w:t xml:space="preserve">, the overall separation quality </w:t>
      </w:r>
      <w:r>
        <w:rPr>
          <w:noProof/>
        </w:rPr>
        <w:t>(Pirok, et al., 2016)</w:t>
      </w:r>
      <w:r w:rsidRPr="00420985">
        <w:t xml:space="preserve"> and the number of overlaps </w:t>
      </w:r>
      <w:r>
        <w:rPr>
          <w:noProof/>
        </w:rPr>
        <w:t>(Tirapelle, et al., 2023)</w:t>
      </w:r>
      <w:r w:rsidRPr="00420985">
        <w:t xml:space="preserve">, being both functions of the </w:t>
      </w:r>
      <w:r w:rsidRPr="0076562E">
        <w:rPr>
          <w:vertAlign w:val="superscript"/>
        </w:rPr>
        <w:t>2</w:t>
      </w:r>
      <w:r w:rsidRPr="00420985">
        <w:t>D resolution</w:t>
      </w:r>
      <w:r>
        <w:rPr>
          <w:noProof/>
        </w:rPr>
        <w:t xml:space="preserve"> (Schure, 1997)</w:t>
      </w:r>
      <w:r w:rsidRPr="00420985">
        <w:t xml:space="preserve">, </w:t>
      </w:r>
      <w:r>
        <w:t>indicate</w:t>
      </w:r>
      <w:r w:rsidRPr="00420985">
        <w:t xml:space="preserve"> </w:t>
      </w:r>
      <w:r>
        <w:t>how good the separation is.</w:t>
      </w:r>
    </w:p>
    <w:p w14:paraId="45CB560F" w14:textId="77777777" w:rsidR="00545B97" w:rsidRPr="0010462E" w:rsidRDefault="00545B97" w:rsidP="00545B97">
      <w:pPr>
        <w:pStyle w:val="Els-1storder-head"/>
        <w:rPr>
          <w:lang w:val="en-GB"/>
        </w:rPr>
      </w:pPr>
      <w:r w:rsidRPr="0010462E">
        <w:rPr>
          <w:lang w:val="en-GB"/>
        </w:rPr>
        <w:t>Results and discussion</w:t>
      </w:r>
    </w:p>
    <w:p w14:paraId="02D56130" w14:textId="306F5F57" w:rsidR="00D73081" w:rsidRDefault="00911809" w:rsidP="00710EF8">
      <w:pPr>
        <w:pStyle w:val="Els-body-text"/>
        <w:rPr>
          <w:lang w:val="en-GB"/>
        </w:rPr>
      </w:pPr>
      <w:r>
        <w:rPr>
          <w:lang w:val="en-GB"/>
        </w:rPr>
        <w:t xml:space="preserve">In the following sections, we will discuss the results of scenario (or parametric) analysis </w:t>
      </w:r>
      <w:r w:rsidRPr="00420985">
        <w:rPr>
          <w:lang w:val="en-GB"/>
        </w:rPr>
        <w:t>and</w:t>
      </w:r>
      <w:r>
        <w:rPr>
          <w:lang w:val="en-GB"/>
        </w:rPr>
        <w:t xml:space="preserve"> model uncertainty analysis. </w:t>
      </w:r>
      <w:r w:rsidRPr="00420985">
        <w:rPr>
          <w:lang w:val="en-GB"/>
        </w:rPr>
        <w:t xml:space="preserve">As case studies, we </w:t>
      </w:r>
      <w:r>
        <w:rPr>
          <w:lang w:val="en-GB"/>
        </w:rPr>
        <w:t xml:space="preserve">will </w:t>
      </w:r>
      <w:r w:rsidRPr="00420985">
        <w:rPr>
          <w:lang w:val="en-GB"/>
        </w:rPr>
        <w:t xml:space="preserve">consider </w:t>
      </w:r>
      <w:r w:rsidRPr="00420985">
        <w:t xml:space="preserve">two of the mixtures used in </w:t>
      </w:r>
      <w:r>
        <w:t xml:space="preserve">Tirapelle et al. </w:t>
      </w:r>
      <w:r w:rsidRPr="00805E5B">
        <w:rPr>
          <w:noProof/>
          <w:lang w:val="en-GB"/>
        </w:rPr>
        <w:t>(2023)</w:t>
      </w:r>
      <w:r>
        <w:rPr>
          <w:noProof/>
          <w:lang w:val="en-GB"/>
        </w:rPr>
        <w:t>,</w:t>
      </w:r>
      <w:r>
        <w:rPr>
          <w:lang w:val="en-GB"/>
        </w:rPr>
        <w:t xml:space="preserve"> consisting</w:t>
      </w:r>
      <w:r w:rsidRPr="00420985">
        <w:rPr>
          <w:lang w:val="en-GB"/>
        </w:rPr>
        <w:t xml:space="preserve"> of 8 and 16 components</w:t>
      </w:r>
      <w:r>
        <w:rPr>
          <w:lang w:val="en-GB"/>
        </w:rPr>
        <w:t>, all of which are to be separated</w:t>
      </w:r>
      <w:r w:rsidRPr="00420985">
        <w:rPr>
          <w:lang w:val="en-GB"/>
        </w:rPr>
        <w:t xml:space="preserve">. </w:t>
      </w:r>
      <w:r>
        <w:rPr>
          <w:lang w:val="en-GB"/>
        </w:rPr>
        <w:t>For the</w:t>
      </w:r>
      <w:r w:rsidRPr="00420985">
        <w:rPr>
          <w:lang w:val="en-GB"/>
        </w:rPr>
        <w:t xml:space="preserve"> 8-component mixture</w:t>
      </w:r>
      <w:r>
        <w:rPr>
          <w:lang w:val="en-GB"/>
        </w:rPr>
        <w:t>, the columns considered are</w:t>
      </w:r>
      <w:r w:rsidRPr="00420985">
        <w:rPr>
          <w:lang w:val="en-GB"/>
        </w:rPr>
        <w:t xml:space="preserve"> the Flare C18 (Diamond Analytic) and the </w:t>
      </w:r>
      <w:proofErr w:type="spellStart"/>
      <w:r w:rsidRPr="00420985">
        <w:rPr>
          <w:lang w:val="en-GB"/>
        </w:rPr>
        <w:t>Vydac</w:t>
      </w:r>
      <w:proofErr w:type="spellEnd"/>
      <w:r w:rsidRPr="00420985">
        <w:rPr>
          <w:lang w:val="en-GB"/>
        </w:rPr>
        <w:t xml:space="preserve"> 218MS (Grace/</w:t>
      </w:r>
      <w:proofErr w:type="spellStart"/>
      <w:r w:rsidRPr="00420985">
        <w:rPr>
          <w:lang w:val="en-GB"/>
        </w:rPr>
        <w:t>Vydac</w:t>
      </w:r>
      <w:proofErr w:type="spellEnd"/>
      <w:r w:rsidRPr="00420985">
        <w:rPr>
          <w:lang w:val="en-GB"/>
        </w:rPr>
        <w:t xml:space="preserve">). For the 16-component </w:t>
      </w:r>
      <w:r w:rsidRPr="00420985">
        <w:rPr>
          <w:lang w:val="en-GB"/>
        </w:rPr>
        <w:lastRenderedPageBreak/>
        <w:t xml:space="preserve">mixture, the </w:t>
      </w:r>
      <w:proofErr w:type="spellStart"/>
      <w:r w:rsidRPr="00420985">
        <w:rPr>
          <w:lang w:val="en-GB"/>
        </w:rPr>
        <w:t>ZirChrom</w:t>
      </w:r>
      <w:proofErr w:type="spellEnd"/>
      <w:r w:rsidRPr="00420985">
        <w:rPr>
          <w:lang w:val="en-GB"/>
        </w:rPr>
        <w:t>-PBD (</w:t>
      </w:r>
      <w:proofErr w:type="spellStart"/>
      <w:r w:rsidRPr="00420985">
        <w:rPr>
          <w:lang w:val="en-GB"/>
        </w:rPr>
        <w:t>ZirChrom</w:t>
      </w:r>
      <w:proofErr w:type="spellEnd"/>
      <w:r w:rsidRPr="00420985">
        <w:rPr>
          <w:lang w:val="en-GB"/>
        </w:rPr>
        <w:t xml:space="preserve">) and the </w:t>
      </w:r>
      <w:proofErr w:type="spellStart"/>
      <w:r w:rsidRPr="00420985">
        <w:rPr>
          <w:lang w:val="en-GB"/>
        </w:rPr>
        <w:t>Primesep</w:t>
      </w:r>
      <w:proofErr w:type="spellEnd"/>
      <w:r w:rsidRPr="00420985">
        <w:rPr>
          <w:lang w:val="en-GB"/>
        </w:rPr>
        <w:t xml:space="preserve"> B (SIELC) columns are used</w:t>
      </w:r>
      <w:r>
        <w:rPr>
          <w:lang w:val="en-GB"/>
        </w:rPr>
        <w:t xml:space="preserve"> (see Tirapelle et al., 2023 for further information)</w:t>
      </w:r>
      <w:r w:rsidRPr="00420985">
        <w:rPr>
          <w:lang w:val="en-GB"/>
        </w:rPr>
        <w:t>.</w:t>
      </w:r>
    </w:p>
    <w:p w14:paraId="59ED1021" w14:textId="77777777" w:rsidR="000C6703" w:rsidRPr="00797A0C" w:rsidRDefault="000C6703" w:rsidP="00710EF8">
      <w:pPr>
        <w:pStyle w:val="Els-body-text"/>
      </w:pPr>
    </w:p>
    <w:p w14:paraId="304A8A3E" w14:textId="77777777" w:rsidR="006766DB" w:rsidRDefault="006766DB" w:rsidP="006766DB">
      <w:pPr>
        <w:pStyle w:val="Els-2ndorder-head"/>
        <w:rPr>
          <w:lang w:val="en-GB"/>
        </w:rPr>
      </w:pPr>
      <w:r>
        <w:rPr>
          <w:lang w:val="en-GB"/>
        </w:rPr>
        <w:t>S</w:t>
      </w:r>
      <w:r w:rsidRPr="0010462E">
        <w:rPr>
          <w:lang w:val="en-GB"/>
        </w:rPr>
        <w:t xml:space="preserve">cenario </w:t>
      </w:r>
      <w:r>
        <w:rPr>
          <w:lang w:val="en-GB"/>
        </w:rPr>
        <w:t>analysis</w:t>
      </w:r>
    </w:p>
    <w:p w14:paraId="49FFB76F" w14:textId="64E36726" w:rsidR="006D1EA8" w:rsidRDefault="006D1EA8" w:rsidP="006D1EA8">
      <w:pPr>
        <w:pStyle w:val="Els-body-text"/>
        <w:rPr>
          <w:lang w:val="en-GB"/>
        </w:rPr>
      </w:pPr>
      <w:r w:rsidRPr="00420985">
        <w:rPr>
          <w:lang w:val="en-GB"/>
        </w:rPr>
        <w:t>As input factors</w:t>
      </w:r>
      <w:r>
        <w:rPr>
          <w:lang w:val="en-GB"/>
        </w:rPr>
        <w:t xml:space="preserve"> for the scenario analysis</w:t>
      </w:r>
      <w:r w:rsidRPr="00420985">
        <w:rPr>
          <w:lang w:val="en-GB"/>
        </w:rPr>
        <w:t>, we consider the internal diameter, length, and flow</w:t>
      </w:r>
      <w:r>
        <w:rPr>
          <w:lang w:val="en-GB"/>
        </w:rPr>
        <w:t xml:space="preserve"> </w:t>
      </w:r>
      <w:r w:rsidRPr="00420985">
        <w:rPr>
          <w:lang w:val="en-GB"/>
        </w:rPr>
        <w:t xml:space="preserve">rate of both </w:t>
      </w:r>
      <w:r w:rsidRPr="0076562E">
        <w:rPr>
          <w:vertAlign w:val="superscript"/>
          <w:lang w:val="en-GB"/>
        </w:rPr>
        <w:t>1</w:t>
      </w:r>
      <w:r>
        <w:rPr>
          <w:lang w:val="en-GB"/>
        </w:rPr>
        <w:t xml:space="preserve">D and </w:t>
      </w:r>
      <w:r w:rsidRPr="0076562E">
        <w:rPr>
          <w:vertAlign w:val="superscript"/>
          <w:lang w:val="en-GB"/>
        </w:rPr>
        <w:t>2</w:t>
      </w:r>
      <w:r>
        <w:rPr>
          <w:lang w:val="en-GB"/>
        </w:rPr>
        <w:t>D</w:t>
      </w:r>
      <w:r w:rsidRPr="00420985">
        <w:rPr>
          <w:lang w:val="en-GB"/>
        </w:rPr>
        <w:t xml:space="preserve"> columns, as well as sample loop volume and pH pair. The input factors are assumed to </w:t>
      </w:r>
      <w:r>
        <w:rPr>
          <w:lang w:val="en-GB"/>
        </w:rPr>
        <w:t>have a uniform probability distribution</w:t>
      </w:r>
      <w:r w:rsidRPr="00420985">
        <w:rPr>
          <w:lang w:val="en-GB"/>
        </w:rPr>
        <w:t xml:space="preserve">, except for </w:t>
      </w:r>
      <w:r>
        <w:rPr>
          <w:lang w:val="en-GB"/>
        </w:rPr>
        <w:t xml:space="preserve">the </w:t>
      </w:r>
      <w:r w:rsidRPr="00420985">
        <w:rPr>
          <w:lang w:val="en-GB"/>
        </w:rPr>
        <w:t xml:space="preserve">pH pair, which </w:t>
      </w:r>
      <w:r>
        <w:rPr>
          <w:lang w:val="en-GB"/>
        </w:rPr>
        <w:t xml:space="preserve">has a discrete probability distribution. This is because only four combinations of pH pairs are possible for the case studies considered, since the column-selectivity database </w:t>
      </w:r>
      <w:r w:rsidRPr="00805E5B">
        <w:rPr>
          <w:noProof/>
          <w:lang w:val="en-GB"/>
        </w:rPr>
        <w:t>(Stoll, 2020)</w:t>
      </w:r>
      <w:r>
        <w:rPr>
          <w:lang w:val="en-GB"/>
        </w:rPr>
        <w:t xml:space="preserve"> provides the </w:t>
      </w:r>
      <w:r>
        <w:rPr>
          <w:shd w:val="clear" w:color="auto" w:fill="FFFFFF"/>
        </w:rPr>
        <w:t>column cation-exchange activity</w:t>
      </w:r>
      <w:r>
        <w:rPr>
          <w:lang w:val="en-GB"/>
        </w:rPr>
        <w:t xml:space="preserve"> at just pH 2.8 and pH 7</w:t>
      </w:r>
      <w:r>
        <w:t xml:space="preserve">. </w:t>
      </w:r>
      <w:r w:rsidRPr="007F4B3D">
        <w:t>The probability of occurrence of each pH pair is 25</w:t>
      </w:r>
      <w:r w:rsidR="00F543D4">
        <w:t xml:space="preserve"> </w:t>
      </w:r>
      <w:r w:rsidRPr="007F4B3D">
        <w:t>%.</w:t>
      </w:r>
      <w:r>
        <w:t xml:space="preserve"> </w:t>
      </w:r>
      <w:r w:rsidRPr="00420985">
        <w:rPr>
          <w:lang w:val="en-GB"/>
        </w:rPr>
        <w:t>More information on input factors is summarized in Table 1.</w:t>
      </w:r>
    </w:p>
    <w:tbl>
      <w:tblPr>
        <w:tblStyle w:val="Grigliatabella"/>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041571" w14:paraId="567B58DE" w14:textId="77777777" w:rsidTr="000274F2">
        <w:trPr>
          <w:cantSplit/>
        </w:trPr>
        <w:tc>
          <w:tcPr>
            <w:tcW w:w="7076" w:type="dxa"/>
          </w:tcPr>
          <w:p w14:paraId="1E15DF4F" w14:textId="4E929F67" w:rsidR="00041571" w:rsidRDefault="00041571" w:rsidP="000274F2">
            <w:pPr>
              <w:pStyle w:val="Didascalia"/>
              <w:keepNext/>
              <w:jc w:val="both"/>
            </w:pPr>
            <w:bookmarkStart w:id="1" w:name="_Ref148342886"/>
            <w:bookmarkStart w:id="2" w:name="_Ref148342882"/>
            <w:r>
              <w:t xml:space="preserve">Table </w:t>
            </w:r>
            <w:r>
              <w:fldChar w:fldCharType="begin"/>
            </w:r>
            <w:r>
              <w:instrText xml:space="preserve"> SEQ Table \* ARABIC </w:instrText>
            </w:r>
            <w:r>
              <w:fldChar w:fldCharType="separate"/>
            </w:r>
            <w:r w:rsidR="004C3B71">
              <w:rPr>
                <w:noProof/>
              </w:rPr>
              <w:t>1</w:t>
            </w:r>
            <w:r>
              <w:fldChar w:fldCharType="end"/>
            </w:r>
            <w:bookmarkEnd w:id="1"/>
            <w:r>
              <w:t xml:space="preserve">. Input factors considered in the scenario analysis, with their relative symbol, probability distribution, and </w:t>
            </w:r>
            <w:r w:rsidRPr="0010462E">
              <w:rPr>
                <w:lang w:val="en-GB"/>
              </w:rPr>
              <w:t>range of variability</w:t>
            </w:r>
            <w:r>
              <w:rPr>
                <w:lang w:val="en-GB"/>
              </w:rPr>
              <w:t xml:space="preserve"> (bounds)</w:t>
            </w:r>
            <w:bookmarkEnd w:id="2"/>
            <w:r>
              <w:rPr>
                <w:lang w:val="en-GB"/>
              </w:rPr>
              <w:t xml:space="preserve">. </w:t>
            </w:r>
            <w:r>
              <w:t xml:space="preserve">Note that the pH pair indicates four possible combinations of pH, in order: (2.8, </w:t>
            </w:r>
            <w:proofErr w:type="gramStart"/>
            <w:r w:rsidR="00DF223B">
              <w:t>2.8)=</w:t>
            </w:r>
            <w:proofErr w:type="gramEnd"/>
            <w:r>
              <w:t>1, (7.0, 2.8)=2, (2.8, 7.0)=3, and (7.0, 7.0)=4.</w:t>
            </w:r>
          </w:p>
          <w:tbl>
            <w:tblPr>
              <w:tblStyle w:val="Grigliatabella"/>
              <w:tblW w:w="6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1417"/>
              <w:gridCol w:w="1417"/>
              <w:gridCol w:w="1417"/>
            </w:tblGrid>
            <w:tr w:rsidR="00041571" w:rsidRPr="008347FF" w14:paraId="5701ACAB" w14:textId="77777777" w:rsidTr="000274F2">
              <w:trPr>
                <w:trHeight w:val="113"/>
                <w:jc w:val="center"/>
              </w:trPr>
              <w:tc>
                <w:tcPr>
                  <w:tcW w:w="2324" w:type="dxa"/>
                  <w:tcBorders>
                    <w:top w:val="single" w:sz="4" w:space="0" w:color="auto"/>
                    <w:bottom w:val="single" w:sz="4" w:space="0" w:color="auto"/>
                  </w:tcBorders>
                </w:tcPr>
                <w:p w14:paraId="4824A4C7" w14:textId="77777777" w:rsidR="00041571" w:rsidRPr="00D7332C" w:rsidRDefault="00041571" w:rsidP="00FD7D17">
                  <w:pPr>
                    <w:pStyle w:val="Els-body-text"/>
                    <w:framePr w:hSpace="180" w:wrap="around" w:vAnchor="text" w:hAnchor="margin" w:y="92"/>
                    <w:jc w:val="left"/>
                    <w:rPr>
                      <w:b/>
                      <w:bCs/>
                      <w:color w:val="000000" w:themeColor="text1"/>
                      <w:sz w:val="18"/>
                      <w:szCs w:val="18"/>
                    </w:rPr>
                  </w:pPr>
                  <w:r w:rsidRPr="00D7332C">
                    <w:rPr>
                      <w:b/>
                      <w:bCs/>
                      <w:color w:val="000000" w:themeColor="text1"/>
                      <w:sz w:val="18"/>
                      <w:szCs w:val="18"/>
                    </w:rPr>
                    <w:t xml:space="preserve">Input </w:t>
                  </w:r>
                  <w:r>
                    <w:rPr>
                      <w:b/>
                      <w:bCs/>
                      <w:color w:val="000000" w:themeColor="text1"/>
                      <w:sz w:val="18"/>
                      <w:szCs w:val="18"/>
                    </w:rPr>
                    <w:t>factor</w:t>
                  </w:r>
                </w:p>
              </w:tc>
              <w:tc>
                <w:tcPr>
                  <w:tcW w:w="1417" w:type="dxa"/>
                  <w:tcBorders>
                    <w:top w:val="single" w:sz="4" w:space="0" w:color="auto"/>
                    <w:bottom w:val="single" w:sz="4" w:space="0" w:color="auto"/>
                  </w:tcBorders>
                </w:tcPr>
                <w:p w14:paraId="40D24048" w14:textId="77777777" w:rsidR="00041571" w:rsidRPr="00D7332C" w:rsidRDefault="00041571" w:rsidP="00FD7D17">
                  <w:pPr>
                    <w:pStyle w:val="Els-body-text"/>
                    <w:framePr w:hSpace="180" w:wrap="around" w:vAnchor="text" w:hAnchor="margin" w:y="92"/>
                    <w:jc w:val="center"/>
                    <w:rPr>
                      <w:b/>
                      <w:bCs/>
                      <w:color w:val="000000" w:themeColor="text1"/>
                      <w:sz w:val="18"/>
                      <w:szCs w:val="18"/>
                    </w:rPr>
                  </w:pPr>
                  <w:r w:rsidRPr="00D7332C">
                    <w:rPr>
                      <w:b/>
                      <w:bCs/>
                      <w:color w:val="000000" w:themeColor="text1"/>
                      <w:sz w:val="18"/>
                      <w:szCs w:val="18"/>
                    </w:rPr>
                    <w:t>Symbol</w:t>
                  </w:r>
                </w:p>
              </w:tc>
              <w:tc>
                <w:tcPr>
                  <w:tcW w:w="1417" w:type="dxa"/>
                  <w:tcBorders>
                    <w:top w:val="single" w:sz="4" w:space="0" w:color="auto"/>
                    <w:bottom w:val="single" w:sz="4" w:space="0" w:color="auto"/>
                  </w:tcBorders>
                </w:tcPr>
                <w:p w14:paraId="5CF8E9C3" w14:textId="77777777" w:rsidR="00041571" w:rsidRPr="00D7332C" w:rsidRDefault="00041571" w:rsidP="00FD7D17">
                  <w:pPr>
                    <w:pStyle w:val="Els-body-text"/>
                    <w:framePr w:hSpace="180" w:wrap="around" w:vAnchor="text" w:hAnchor="margin" w:y="92"/>
                    <w:jc w:val="center"/>
                    <w:rPr>
                      <w:b/>
                      <w:bCs/>
                      <w:color w:val="000000" w:themeColor="text1"/>
                      <w:sz w:val="18"/>
                      <w:szCs w:val="18"/>
                    </w:rPr>
                  </w:pPr>
                  <w:r>
                    <w:rPr>
                      <w:b/>
                      <w:bCs/>
                      <w:color w:val="000000" w:themeColor="text1"/>
                      <w:sz w:val="18"/>
                      <w:szCs w:val="18"/>
                    </w:rPr>
                    <w:t>Distribution</w:t>
                  </w:r>
                </w:p>
              </w:tc>
              <w:tc>
                <w:tcPr>
                  <w:tcW w:w="1417" w:type="dxa"/>
                  <w:tcBorders>
                    <w:top w:val="single" w:sz="4" w:space="0" w:color="auto"/>
                    <w:bottom w:val="single" w:sz="4" w:space="0" w:color="auto"/>
                  </w:tcBorders>
                </w:tcPr>
                <w:p w14:paraId="542CD559" w14:textId="77777777" w:rsidR="00041571" w:rsidRPr="00D7332C" w:rsidRDefault="00041571" w:rsidP="00FD7D17">
                  <w:pPr>
                    <w:pStyle w:val="Els-body-text"/>
                    <w:framePr w:hSpace="180" w:wrap="around" w:vAnchor="text" w:hAnchor="margin" w:y="92"/>
                    <w:jc w:val="center"/>
                    <w:rPr>
                      <w:b/>
                      <w:bCs/>
                      <w:color w:val="000000" w:themeColor="text1"/>
                      <w:sz w:val="18"/>
                      <w:szCs w:val="18"/>
                    </w:rPr>
                  </w:pPr>
                  <w:r w:rsidRPr="00D7332C">
                    <w:rPr>
                      <w:b/>
                      <w:bCs/>
                      <w:color w:val="000000" w:themeColor="text1"/>
                      <w:sz w:val="18"/>
                      <w:szCs w:val="18"/>
                    </w:rPr>
                    <w:t>Bounds</w:t>
                  </w:r>
                </w:p>
              </w:tc>
            </w:tr>
            <w:tr w:rsidR="00041571" w:rsidRPr="008347FF" w14:paraId="32ED9567" w14:textId="77777777" w:rsidTr="000274F2">
              <w:trPr>
                <w:trHeight w:val="113"/>
                <w:jc w:val="center"/>
              </w:trPr>
              <w:tc>
                <w:tcPr>
                  <w:tcW w:w="2324" w:type="dxa"/>
                  <w:tcBorders>
                    <w:top w:val="single" w:sz="4" w:space="0" w:color="auto"/>
                  </w:tcBorders>
                </w:tcPr>
                <w:p w14:paraId="764A0731"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1</w:t>
                  </w:r>
                  <w:r w:rsidRPr="008347FF">
                    <w:rPr>
                      <w:color w:val="000000" w:themeColor="text1"/>
                      <w:sz w:val="18"/>
                      <w:szCs w:val="18"/>
                    </w:rPr>
                    <w:t>D diameter (cm)</w:t>
                  </w:r>
                </w:p>
              </w:tc>
              <w:tc>
                <w:tcPr>
                  <w:tcW w:w="1417" w:type="dxa"/>
                  <w:tcBorders>
                    <w:top w:val="single" w:sz="4" w:space="0" w:color="auto"/>
                  </w:tcBorders>
                </w:tcPr>
                <w:p w14:paraId="1102D24C" w14:textId="77777777" w:rsidR="00041571" w:rsidRPr="008347FF" w:rsidRDefault="00041571" w:rsidP="00FD7D17">
                  <w:pPr>
                    <w:pStyle w:val="Els-body-text"/>
                    <w:framePr w:hSpace="180" w:wrap="around" w:vAnchor="text" w:hAnchor="margin" w:y="92"/>
                    <w:jc w:val="center"/>
                    <w:rPr>
                      <w:iCs/>
                      <w:color w:val="000000" w:themeColor="text1"/>
                      <w:sz w:val="18"/>
                      <w:szCs w:val="18"/>
                    </w:rPr>
                  </w:pPr>
                  <m:oMathPara>
                    <m:oMath>
                      <m:r>
                        <m:rPr>
                          <m:sty m:val="p"/>
                        </m:rPr>
                        <w:rPr>
                          <w:rFonts w:ascii="Cambria Math" w:hAnsi="Cambria Math"/>
                          <w:color w:val="000000" w:themeColor="text1"/>
                          <w:sz w:val="18"/>
                          <w:szCs w:val="18"/>
                        </w:rPr>
                        <m:t>d1</m:t>
                      </m:r>
                    </m:oMath>
                  </m:oMathPara>
                </w:p>
              </w:tc>
              <w:tc>
                <w:tcPr>
                  <w:tcW w:w="1417" w:type="dxa"/>
                  <w:tcBorders>
                    <w:top w:val="single" w:sz="4" w:space="0" w:color="auto"/>
                  </w:tcBorders>
                </w:tcPr>
                <w:p w14:paraId="344A6BE0" w14:textId="77777777" w:rsidR="00041571" w:rsidRPr="008347FF" w:rsidRDefault="00041571" w:rsidP="00FD7D17">
                  <w:pPr>
                    <w:pStyle w:val="Els-body-text"/>
                    <w:framePr w:hSpace="180" w:wrap="around" w:vAnchor="text" w:hAnchor="margin" w:y="92"/>
                    <w:jc w:val="center"/>
                    <w:rPr>
                      <w:color w:val="000000" w:themeColor="text1"/>
                      <w:sz w:val="18"/>
                      <w:szCs w:val="18"/>
                    </w:rPr>
                  </w:pPr>
                  <w:r>
                    <w:rPr>
                      <w:color w:val="000000" w:themeColor="text1"/>
                      <w:sz w:val="18"/>
                      <w:szCs w:val="18"/>
                    </w:rPr>
                    <w:t>Uniform</w:t>
                  </w:r>
                </w:p>
              </w:tc>
              <w:tc>
                <w:tcPr>
                  <w:tcW w:w="1417" w:type="dxa"/>
                  <w:tcBorders>
                    <w:top w:val="single" w:sz="4" w:space="0" w:color="auto"/>
                  </w:tcBorders>
                </w:tcPr>
                <w:p w14:paraId="2619480B"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[0.1, 3.0]</w:t>
                  </w:r>
                </w:p>
              </w:tc>
            </w:tr>
            <w:tr w:rsidR="00041571" w:rsidRPr="008347FF" w14:paraId="61D13323" w14:textId="77777777" w:rsidTr="000274F2">
              <w:trPr>
                <w:trHeight w:val="113"/>
                <w:jc w:val="center"/>
              </w:trPr>
              <w:tc>
                <w:tcPr>
                  <w:tcW w:w="2324" w:type="dxa"/>
                </w:tcPr>
                <w:p w14:paraId="5F896E3A"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2</w:t>
                  </w:r>
                  <w:r w:rsidRPr="008347FF">
                    <w:rPr>
                      <w:color w:val="000000" w:themeColor="text1"/>
                      <w:sz w:val="18"/>
                      <w:szCs w:val="18"/>
                    </w:rPr>
                    <w:t>D diameter (cm)</w:t>
                  </w:r>
                </w:p>
              </w:tc>
              <w:tc>
                <w:tcPr>
                  <w:tcW w:w="1417" w:type="dxa"/>
                </w:tcPr>
                <w:p w14:paraId="365690CC" w14:textId="77777777" w:rsidR="00041571" w:rsidRPr="008347FF" w:rsidRDefault="00041571" w:rsidP="00FD7D17">
                  <w:pPr>
                    <w:pStyle w:val="Els-body-text"/>
                    <w:framePr w:hSpace="180" w:wrap="around" w:vAnchor="text" w:hAnchor="margin" w:y="92"/>
                    <w:jc w:val="center"/>
                    <w:rPr>
                      <w:iCs/>
                      <w:color w:val="000000" w:themeColor="text1"/>
                      <w:sz w:val="18"/>
                      <w:szCs w:val="18"/>
                    </w:rPr>
                  </w:pPr>
                  <m:oMathPara>
                    <m:oMath>
                      <m:r>
                        <m:rPr>
                          <m:sty m:val="p"/>
                        </m:rPr>
                        <w:rPr>
                          <w:rFonts w:ascii="Cambria Math" w:hAnsi="Cambria Math"/>
                          <w:color w:val="000000" w:themeColor="text1"/>
                          <w:sz w:val="18"/>
                          <w:szCs w:val="18"/>
                        </w:rPr>
                        <m:t>d2</m:t>
                      </m:r>
                    </m:oMath>
                  </m:oMathPara>
                </w:p>
              </w:tc>
              <w:tc>
                <w:tcPr>
                  <w:tcW w:w="1417" w:type="dxa"/>
                </w:tcPr>
                <w:p w14:paraId="31FDA0E7" w14:textId="77777777" w:rsidR="00041571" w:rsidRPr="008347FF" w:rsidRDefault="00041571" w:rsidP="00FD7D17">
                  <w:pPr>
                    <w:pStyle w:val="Els-body-text"/>
                    <w:framePr w:hSpace="180" w:wrap="around" w:vAnchor="text" w:hAnchor="margin" w:y="92"/>
                    <w:jc w:val="center"/>
                    <w:rPr>
                      <w:color w:val="000000" w:themeColor="text1"/>
                      <w:sz w:val="18"/>
                      <w:szCs w:val="18"/>
                    </w:rPr>
                  </w:pPr>
                  <w:r>
                    <w:rPr>
                      <w:color w:val="000000" w:themeColor="text1"/>
                      <w:sz w:val="18"/>
                      <w:szCs w:val="18"/>
                    </w:rPr>
                    <w:t>Uniform</w:t>
                  </w:r>
                </w:p>
              </w:tc>
              <w:tc>
                <w:tcPr>
                  <w:tcW w:w="1417" w:type="dxa"/>
                </w:tcPr>
                <w:p w14:paraId="6A1279A2"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[0.1, 3.0]</w:t>
                  </w:r>
                </w:p>
              </w:tc>
            </w:tr>
            <w:tr w:rsidR="00041571" w:rsidRPr="008347FF" w14:paraId="4C289BF8" w14:textId="77777777" w:rsidTr="000274F2">
              <w:trPr>
                <w:trHeight w:val="113"/>
                <w:jc w:val="center"/>
              </w:trPr>
              <w:tc>
                <w:tcPr>
                  <w:tcW w:w="2324" w:type="dxa"/>
                </w:tcPr>
                <w:p w14:paraId="31A3A626"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1</w:t>
                  </w:r>
                  <w:r w:rsidRPr="008347FF">
                    <w:rPr>
                      <w:color w:val="000000" w:themeColor="text1"/>
                      <w:sz w:val="18"/>
                      <w:szCs w:val="18"/>
                    </w:rPr>
                    <w:t>D length (cm)</w:t>
                  </w:r>
                </w:p>
              </w:tc>
              <w:tc>
                <w:tcPr>
                  <w:tcW w:w="1417" w:type="dxa"/>
                </w:tcPr>
                <w:p w14:paraId="6E29D0E0" w14:textId="77777777" w:rsidR="00041571" w:rsidRPr="008347FF" w:rsidRDefault="00041571" w:rsidP="00FD7D17">
                  <w:pPr>
                    <w:pStyle w:val="Els-body-text"/>
                    <w:framePr w:hSpace="180" w:wrap="around" w:vAnchor="text" w:hAnchor="margin" w:y="92"/>
                    <w:jc w:val="center"/>
                    <w:rPr>
                      <w:color w:val="000000" w:themeColor="text1"/>
                      <w:sz w:val="18"/>
                      <w:szCs w:val="18"/>
                    </w:rPr>
                  </w:pPr>
                  <m:oMathPara>
                    <m:oMath>
                      <m:r>
                        <m:rPr>
                          <m:sty m:val="p"/>
                        </m:rPr>
                        <w:rPr>
                          <w:rFonts w:ascii="Cambria Math" w:hAnsi="Cambria Math"/>
                          <w:color w:val="000000" w:themeColor="text1"/>
                          <w:sz w:val="18"/>
                          <w:szCs w:val="18"/>
                        </w:rPr>
                        <m:t>L1</m:t>
                      </m:r>
                    </m:oMath>
                  </m:oMathPara>
                </w:p>
              </w:tc>
              <w:tc>
                <w:tcPr>
                  <w:tcW w:w="1417" w:type="dxa"/>
                </w:tcPr>
                <w:p w14:paraId="553F0FBE" w14:textId="77777777" w:rsidR="00041571" w:rsidRPr="008347FF" w:rsidRDefault="00041571" w:rsidP="00FD7D17">
                  <w:pPr>
                    <w:pStyle w:val="Els-body-text"/>
                    <w:framePr w:hSpace="180" w:wrap="around" w:vAnchor="text" w:hAnchor="margin" w:y="92"/>
                    <w:jc w:val="center"/>
                    <w:rPr>
                      <w:color w:val="000000" w:themeColor="text1"/>
                      <w:sz w:val="18"/>
                      <w:szCs w:val="18"/>
                    </w:rPr>
                  </w:pPr>
                  <w:r>
                    <w:rPr>
                      <w:color w:val="000000" w:themeColor="text1"/>
                      <w:sz w:val="18"/>
                      <w:szCs w:val="18"/>
                    </w:rPr>
                    <w:t>Uniform</w:t>
                  </w:r>
                </w:p>
              </w:tc>
              <w:tc>
                <w:tcPr>
                  <w:tcW w:w="1417" w:type="dxa"/>
                </w:tcPr>
                <w:p w14:paraId="6F4BDB4A"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[2.0, 15.0]</w:t>
                  </w:r>
                </w:p>
              </w:tc>
            </w:tr>
            <w:tr w:rsidR="00041571" w:rsidRPr="008347FF" w14:paraId="03FC9702" w14:textId="77777777" w:rsidTr="000274F2">
              <w:trPr>
                <w:trHeight w:val="113"/>
                <w:jc w:val="center"/>
              </w:trPr>
              <w:tc>
                <w:tcPr>
                  <w:tcW w:w="2324" w:type="dxa"/>
                </w:tcPr>
                <w:p w14:paraId="4CF45D1F"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2</w:t>
                  </w:r>
                  <w:r w:rsidRPr="008347FF">
                    <w:rPr>
                      <w:color w:val="000000" w:themeColor="text1"/>
                      <w:sz w:val="18"/>
                      <w:szCs w:val="18"/>
                    </w:rPr>
                    <w:t>D length (cm)</w:t>
                  </w:r>
                </w:p>
              </w:tc>
              <w:tc>
                <w:tcPr>
                  <w:tcW w:w="1417" w:type="dxa"/>
                </w:tcPr>
                <w:p w14:paraId="55A55AE8" w14:textId="77777777" w:rsidR="00041571" w:rsidRPr="008347FF" w:rsidRDefault="00041571" w:rsidP="00FD7D17">
                  <w:pPr>
                    <w:pStyle w:val="Els-body-text"/>
                    <w:framePr w:hSpace="180" w:wrap="around" w:vAnchor="text" w:hAnchor="margin" w:y="92"/>
                    <w:jc w:val="center"/>
                    <w:rPr>
                      <w:color w:val="000000" w:themeColor="text1"/>
                      <w:sz w:val="18"/>
                      <w:szCs w:val="18"/>
                    </w:rPr>
                  </w:pPr>
                  <m:oMathPara>
                    <m:oMath>
                      <m:r>
                        <m:rPr>
                          <m:sty m:val="p"/>
                        </m:rPr>
                        <w:rPr>
                          <w:rFonts w:ascii="Cambria Math" w:hAnsi="Cambria Math"/>
                          <w:color w:val="000000" w:themeColor="text1"/>
                          <w:sz w:val="18"/>
                          <w:szCs w:val="18"/>
                        </w:rPr>
                        <m:t>L2</m:t>
                      </m:r>
                    </m:oMath>
                  </m:oMathPara>
                </w:p>
              </w:tc>
              <w:tc>
                <w:tcPr>
                  <w:tcW w:w="1417" w:type="dxa"/>
                </w:tcPr>
                <w:p w14:paraId="439D5EA8"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9717DE">
                    <w:rPr>
                      <w:color w:val="000000" w:themeColor="text1"/>
                      <w:sz w:val="18"/>
                      <w:szCs w:val="18"/>
                    </w:rPr>
                    <w:t>Uniform</w:t>
                  </w:r>
                </w:p>
              </w:tc>
              <w:tc>
                <w:tcPr>
                  <w:tcW w:w="1417" w:type="dxa"/>
                </w:tcPr>
                <w:p w14:paraId="07452DD9"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[2.0, 15.0]</w:t>
                  </w:r>
                </w:p>
              </w:tc>
            </w:tr>
            <w:tr w:rsidR="00041571" w:rsidRPr="008347FF" w14:paraId="59F25C08" w14:textId="77777777" w:rsidTr="000274F2">
              <w:trPr>
                <w:trHeight w:val="113"/>
                <w:jc w:val="center"/>
              </w:trPr>
              <w:tc>
                <w:tcPr>
                  <w:tcW w:w="2324" w:type="dxa"/>
                </w:tcPr>
                <w:p w14:paraId="0C39CB8C"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1</w:t>
                  </w:r>
                  <w:r w:rsidRPr="008347FF">
                    <w:rPr>
                      <w:color w:val="000000" w:themeColor="text1"/>
                      <w:sz w:val="18"/>
                      <w:szCs w:val="18"/>
                    </w:rPr>
                    <w:t>D flow</w:t>
                  </w:r>
                  <w:r>
                    <w:rPr>
                      <w:color w:val="000000" w:themeColor="text1"/>
                      <w:sz w:val="18"/>
                      <w:szCs w:val="18"/>
                    </w:rPr>
                    <w:t xml:space="preserve"> </w:t>
                  </w:r>
                  <w:r w:rsidRPr="008347FF">
                    <w:rPr>
                      <w:color w:val="000000" w:themeColor="text1"/>
                      <w:sz w:val="18"/>
                      <w:szCs w:val="18"/>
                    </w:rPr>
                    <w:t>rate (mL/min)</w:t>
                  </w:r>
                </w:p>
              </w:tc>
              <w:tc>
                <w:tcPr>
                  <w:tcW w:w="1417" w:type="dxa"/>
                </w:tcPr>
                <w:p w14:paraId="20426698" w14:textId="77777777" w:rsidR="00041571" w:rsidRPr="008347FF" w:rsidRDefault="00041571" w:rsidP="00FD7D17">
                  <w:pPr>
                    <w:pStyle w:val="Els-body-text"/>
                    <w:framePr w:hSpace="180" w:wrap="around" w:vAnchor="text" w:hAnchor="margin" w:y="92"/>
                    <w:jc w:val="center"/>
                    <w:rPr>
                      <w:color w:val="000000" w:themeColor="text1"/>
                      <w:sz w:val="18"/>
                      <w:szCs w:val="18"/>
                    </w:rPr>
                  </w:pPr>
                  <m:oMathPara>
                    <m:oMath>
                      <m:r>
                        <m:rPr>
                          <m:sty m:val="p"/>
                        </m:rPr>
                        <w:rPr>
                          <w:rFonts w:ascii="Cambria Math" w:hAnsi="Cambria Math"/>
                          <w:color w:val="000000" w:themeColor="text1"/>
                          <w:sz w:val="18"/>
                          <w:szCs w:val="18"/>
                        </w:rPr>
                        <m:t>FR1</m:t>
                      </m:r>
                    </m:oMath>
                  </m:oMathPara>
                </w:p>
              </w:tc>
              <w:tc>
                <w:tcPr>
                  <w:tcW w:w="1417" w:type="dxa"/>
                </w:tcPr>
                <w:p w14:paraId="2E66998E"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9717DE">
                    <w:rPr>
                      <w:color w:val="000000" w:themeColor="text1"/>
                      <w:sz w:val="18"/>
                      <w:szCs w:val="18"/>
                    </w:rPr>
                    <w:t>Uniform</w:t>
                  </w:r>
                </w:p>
              </w:tc>
              <w:tc>
                <w:tcPr>
                  <w:tcW w:w="1417" w:type="dxa"/>
                </w:tcPr>
                <w:p w14:paraId="311DA93D"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[0.05, 5.00]</w:t>
                  </w:r>
                </w:p>
              </w:tc>
            </w:tr>
            <w:tr w:rsidR="00041571" w:rsidRPr="008347FF" w14:paraId="204F4DB5" w14:textId="77777777" w:rsidTr="000274F2">
              <w:trPr>
                <w:trHeight w:val="113"/>
                <w:jc w:val="center"/>
              </w:trPr>
              <w:tc>
                <w:tcPr>
                  <w:tcW w:w="2324" w:type="dxa"/>
                </w:tcPr>
                <w:p w14:paraId="41C174B3"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vertAlign w:val="superscript"/>
                    </w:rPr>
                    <w:t>2</w:t>
                  </w:r>
                  <w:r w:rsidRPr="008347FF">
                    <w:rPr>
                      <w:color w:val="000000" w:themeColor="text1"/>
                      <w:sz w:val="18"/>
                      <w:szCs w:val="18"/>
                    </w:rPr>
                    <w:t>D flow</w:t>
                  </w:r>
                  <w:r>
                    <w:rPr>
                      <w:color w:val="000000" w:themeColor="text1"/>
                      <w:sz w:val="18"/>
                      <w:szCs w:val="18"/>
                    </w:rPr>
                    <w:t xml:space="preserve"> </w:t>
                  </w:r>
                  <w:r w:rsidRPr="008347FF">
                    <w:rPr>
                      <w:color w:val="000000" w:themeColor="text1"/>
                      <w:sz w:val="18"/>
                      <w:szCs w:val="18"/>
                    </w:rPr>
                    <w:t>rate (mL/min)</w:t>
                  </w:r>
                </w:p>
              </w:tc>
              <w:tc>
                <w:tcPr>
                  <w:tcW w:w="1417" w:type="dxa"/>
                </w:tcPr>
                <w:p w14:paraId="35A6D00B" w14:textId="77777777" w:rsidR="00041571" w:rsidRPr="008347FF" w:rsidRDefault="00041571" w:rsidP="00FD7D17">
                  <w:pPr>
                    <w:pStyle w:val="Els-body-text"/>
                    <w:framePr w:hSpace="180" w:wrap="around" w:vAnchor="text" w:hAnchor="margin" w:y="92"/>
                    <w:jc w:val="center"/>
                    <w:rPr>
                      <w:color w:val="000000" w:themeColor="text1"/>
                      <w:sz w:val="18"/>
                      <w:szCs w:val="18"/>
                    </w:rPr>
                  </w:pPr>
                  <m:oMathPara>
                    <m:oMath>
                      <m:r>
                        <m:rPr>
                          <m:sty m:val="p"/>
                        </m:rPr>
                        <w:rPr>
                          <w:rFonts w:ascii="Cambria Math" w:hAnsi="Cambria Math"/>
                          <w:color w:val="000000" w:themeColor="text1"/>
                          <w:sz w:val="18"/>
                          <w:szCs w:val="18"/>
                        </w:rPr>
                        <m:t>FR2</m:t>
                      </m:r>
                    </m:oMath>
                  </m:oMathPara>
                </w:p>
              </w:tc>
              <w:tc>
                <w:tcPr>
                  <w:tcW w:w="1417" w:type="dxa"/>
                </w:tcPr>
                <w:p w14:paraId="5B8807BE"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9717DE">
                    <w:rPr>
                      <w:color w:val="000000" w:themeColor="text1"/>
                      <w:sz w:val="18"/>
                      <w:szCs w:val="18"/>
                    </w:rPr>
                    <w:t>Uniform</w:t>
                  </w:r>
                </w:p>
              </w:tc>
              <w:tc>
                <w:tcPr>
                  <w:tcW w:w="1417" w:type="dxa"/>
                </w:tcPr>
                <w:p w14:paraId="0C9DE462"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[0.05, 5.00]</w:t>
                  </w:r>
                </w:p>
              </w:tc>
            </w:tr>
            <w:tr w:rsidR="00041571" w:rsidRPr="008347FF" w14:paraId="5F5F9044" w14:textId="77777777" w:rsidTr="000274F2">
              <w:trPr>
                <w:trHeight w:val="113"/>
                <w:jc w:val="center"/>
              </w:trPr>
              <w:tc>
                <w:tcPr>
                  <w:tcW w:w="2324" w:type="dxa"/>
                </w:tcPr>
                <w:p w14:paraId="1D64E4E2"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rPr>
                    <w:t>Sample loop volume (mL)</w:t>
                  </w:r>
                </w:p>
              </w:tc>
              <w:tc>
                <w:tcPr>
                  <w:tcW w:w="1417" w:type="dxa"/>
                </w:tcPr>
                <w:p w14:paraId="42AD7A8F" w14:textId="77777777" w:rsidR="00041571" w:rsidRDefault="00041571" w:rsidP="00FD7D17">
                  <w:pPr>
                    <w:pStyle w:val="Els-body-text"/>
                    <w:framePr w:hSpace="180" w:wrap="around" w:vAnchor="text" w:hAnchor="margin" w:y="92"/>
                    <w:jc w:val="center"/>
                    <w:rPr>
                      <w:color w:val="000000" w:themeColor="text1"/>
                      <w:sz w:val="18"/>
                      <w:szCs w:val="18"/>
                    </w:rPr>
                  </w:pPr>
                  <m:oMathPara>
                    <m:oMath>
                      <m:r>
                        <m:rPr>
                          <m:sty m:val="p"/>
                        </m:rPr>
                        <w:rPr>
                          <w:rFonts w:ascii="Cambria Math" w:hAnsi="Cambria Math"/>
                          <w:color w:val="000000" w:themeColor="text1"/>
                          <w:sz w:val="18"/>
                          <w:szCs w:val="18"/>
                        </w:rPr>
                        <m:t>LV</m:t>
                      </m:r>
                    </m:oMath>
                  </m:oMathPara>
                </w:p>
              </w:tc>
              <w:tc>
                <w:tcPr>
                  <w:tcW w:w="1417" w:type="dxa"/>
                </w:tcPr>
                <w:p w14:paraId="14438C3B" w14:textId="77777777" w:rsidR="00041571" w:rsidRDefault="00041571" w:rsidP="00FD7D17">
                  <w:pPr>
                    <w:pStyle w:val="Els-body-text"/>
                    <w:framePr w:hSpace="180" w:wrap="around" w:vAnchor="text" w:hAnchor="margin" w:y="92"/>
                    <w:jc w:val="center"/>
                    <w:rPr>
                      <w:color w:val="000000" w:themeColor="text1"/>
                      <w:sz w:val="18"/>
                      <w:szCs w:val="18"/>
                    </w:rPr>
                  </w:pPr>
                  <w:r>
                    <w:rPr>
                      <w:color w:val="000000" w:themeColor="text1"/>
                      <w:sz w:val="18"/>
                      <w:szCs w:val="18"/>
                    </w:rPr>
                    <w:t>Uniform</w:t>
                  </w:r>
                </w:p>
              </w:tc>
              <w:tc>
                <w:tcPr>
                  <w:tcW w:w="1417" w:type="dxa"/>
                </w:tcPr>
                <w:p w14:paraId="7E676376"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[0.01, 1.00]</w:t>
                  </w:r>
                </w:p>
              </w:tc>
            </w:tr>
            <w:tr w:rsidR="00041571" w:rsidRPr="008347FF" w14:paraId="6968B1AC" w14:textId="77777777" w:rsidTr="000274F2">
              <w:trPr>
                <w:trHeight w:val="113"/>
                <w:jc w:val="center"/>
              </w:trPr>
              <w:tc>
                <w:tcPr>
                  <w:tcW w:w="2324" w:type="dxa"/>
                  <w:tcBorders>
                    <w:bottom w:val="single" w:sz="4" w:space="0" w:color="auto"/>
                  </w:tcBorders>
                </w:tcPr>
                <w:p w14:paraId="702E57D8" w14:textId="77777777" w:rsidR="00041571" w:rsidRPr="008347FF" w:rsidRDefault="00041571" w:rsidP="00FD7D17">
                  <w:pPr>
                    <w:pStyle w:val="Els-body-text"/>
                    <w:framePr w:hSpace="180" w:wrap="around" w:vAnchor="text" w:hAnchor="margin" w:y="92"/>
                    <w:rPr>
                      <w:color w:val="000000" w:themeColor="text1"/>
                      <w:sz w:val="18"/>
                      <w:szCs w:val="18"/>
                    </w:rPr>
                  </w:pPr>
                  <w:r w:rsidRPr="008347FF">
                    <w:rPr>
                      <w:color w:val="000000" w:themeColor="text1"/>
                      <w:sz w:val="18"/>
                      <w:szCs w:val="18"/>
                    </w:rPr>
                    <w:t>pH pair (-)</w:t>
                  </w:r>
                </w:p>
              </w:tc>
              <w:tc>
                <w:tcPr>
                  <w:tcW w:w="1417" w:type="dxa"/>
                  <w:tcBorders>
                    <w:bottom w:val="single" w:sz="4" w:space="0" w:color="auto"/>
                  </w:tcBorders>
                </w:tcPr>
                <w:p w14:paraId="3CECDCD3" w14:textId="77777777" w:rsidR="00041571" w:rsidRPr="008347FF" w:rsidRDefault="00041571" w:rsidP="00FD7D17">
                  <w:pPr>
                    <w:pStyle w:val="Els-body-text"/>
                    <w:framePr w:hSpace="180" w:wrap="around" w:vAnchor="text" w:hAnchor="margin" w:y="92"/>
                    <w:jc w:val="center"/>
                    <w:rPr>
                      <w:iCs/>
                      <w:color w:val="000000" w:themeColor="text1"/>
                      <w:sz w:val="18"/>
                      <w:szCs w:val="18"/>
                    </w:rPr>
                  </w:pPr>
                  <m:oMathPara>
                    <m:oMath>
                      <m:r>
                        <m:rPr>
                          <m:sty m:val="p"/>
                        </m:rPr>
                        <w:rPr>
                          <w:rFonts w:ascii="Cambria Math" w:hAnsi="Cambria Math"/>
                          <w:color w:val="000000" w:themeColor="text1"/>
                          <w:sz w:val="18"/>
                          <w:szCs w:val="18"/>
                        </w:rPr>
                        <m:t xml:space="preserve"> pair</m:t>
                      </m:r>
                    </m:oMath>
                  </m:oMathPara>
                </w:p>
              </w:tc>
              <w:tc>
                <w:tcPr>
                  <w:tcW w:w="1417" w:type="dxa"/>
                  <w:tcBorders>
                    <w:bottom w:val="single" w:sz="4" w:space="0" w:color="auto"/>
                  </w:tcBorders>
                </w:tcPr>
                <w:p w14:paraId="65E05F18" w14:textId="77777777" w:rsidR="00041571" w:rsidRPr="008347FF" w:rsidRDefault="00041571" w:rsidP="00FD7D17">
                  <w:pPr>
                    <w:pStyle w:val="Els-body-text"/>
                    <w:framePr w:hSpace="180" w:wrap="around" w:vAnchor="text" w:hAnchor="margin" w:y="92"/>
                    <w:jc w:val="center"/>
                    <w:rPr>
                      <w:color w:val="000000" w:themeColor="text1"/>
                      <w:sz w:val="18"/>
                      <w:szCs w:val="18"/>
                    </w:rPr>
                  </w:pPr>
                  <w:r>
                    <w:rPr>
                      <w:color w:val="000000" w:themeColor="text1"/>
                      <w:sz w:val="18"/>
                      <w:szCs w:val="18"/>
                    </w:rPr>
                    <w:t>Discrete</w:t>
                  </w:r>
                </w:p>
              </w:tc>
              <w:tc>
                <w:tcPr>
                  <w:tcW w:w="1417" w:type="dxa"/>
                  <w:tcBorders>
                    <w:bottom w:val="single" w:sz="4" w:space="0" w:color="auto"/>
                  </w:tcBorders>
                </w:tcPr>
                <w:p w14:paraId="6BAD10C1" w14:textId="77777777" w:rsidR="00041571" w:rsidRPr="008347FF" w:rsidRDefault="00041571" w:rsidP="00FD7D17">
                  <w:pPr>
                    <w:pStyle w:val="Els-body-text"/>
                    <w:framePr w:hSpace="180" w:wrap="around" w:vAnchor="text" w:hAnchor="margin" w:y="92"/>
                    <w:jc w:val="center"/>
                    <w:rPr>
                      <w:color w:val="000000" w:themeColor="text1"/>
                      <w:sz w:val="18"/>
                      <w:szCs w:val="18"/>
                    </w:rPr>
                  </w:pPr>
                  <w:r w:rsidRPr="008347FF">
                    <w:rPr>
                      <w:color w:val="000000" w:themeColor="text1"/>
                      <w:sz w:val="18"/>
                      <w:szCs w:val="18"/>
                    </w:rPr>
                    <w:t>[</w:t>
                  </w:r>
                  <w:r>
                    <w:rPr>
                      <w:color w:val="000000" w:themeColor="text1"/>
                      <w:sz w:val="18"/>
                      <w:szCs w:val="18"/>
                    </w:rPr>
                    <w:t>1, 4</w:t>
                  </w:r>
                  <w:r w:rsidRPr="008347FF">
                    <w:rPr>
                      <w:color w:val="000000" w:themeColor="text1"/>
                      <w:sz w:val="18"/>
                      <w:szCs w:val="18"/>
                    </w:rPr>
                    <w:t>]</w:t>
                  </w:r>
                </w:p>
              </w:tc>
            </w:tr>
          </w:tbl>
          <w:p w14:paraId="70751389" w14:textId="77777777" w:rsidR="00041571" w:rsidRDefault="00041571" w:rsidP="000274F2">
            <w:pPr>
              <w:pStyle w:val="Els-body-text"/>
              <w:rPr>
                <w:color w:val="FF0000"/>
              </w:rPr>
            </w:pPr>
          </w:p>
        </w:tc>
      </w:tr>
    </w:tbl>
    <w:p w14:paraId="75D5F52F" w14:textId="77777777" w:rsidR="007B5AF0" w:rsidRDefault="007B5AF0" w:rsidP="007B5AF0">
      <w:pPr>
        <w:pStyle w:val="Els-body-text"/>
        <w:rPr>
          <w:lang w:val="en-GB"/>
        </w:rPr>
      </w:pPr>
    </w:p>
    <w:p w14:paraId="07216215" w14:textId="4BFDEAE6" w:rsidR="007B5AF0" w:rsidRDefault="007B5AF0" w:rsidP="007B5AF0">
      <w:pPr>
        <w:pStyle w:val="Els-body-text"/>
      </w:pPr>
      <w:r w:rsidRPr="00420985">
        <w:rPr>
          <w:lang w:val="en-GB"/>
        </w:rPr>
        <w:fldChar w:fldCharType="begin"/>
      </w:r>
      <w:r w:rsidRPr="00420985">
        <w:rPr>
          <w:lang w:val="en-GB"/>
        </w:rPr>
        <w:instrText xml:space="preserve"> REF _Ref148108524 \h  \* MERGEFORMAT </w:instrText>
      </w:r>
      <w:r w:rsidRPr="00420985">
        <w:rPr>
          <w:lang w:val="en-GB"/>
        </w:rPr>
      </w:r>
      <w:r w:rsidRPr="00420985">
        <w:rPr>
          <w:lang w:val="en-GB"/>
        </w:rPr>
        <w:fldChar w:fldCharType="separate"/>
      </w:r>
      <w:r w:rsidR="004C3B71">
        <w:t xml:space="preserve">Figure </w:t>
      </w:r>
      <w:r w:rsidR="004C3B71">
        <w:rPr>
          <w:noProof/>
        </w:rPr>
        <w:t>1</w:t>
      </w:r>
      <w:r w:rsidRPr="00420985">
        <w:rPr>
          <w:lang w:val="en-GB"/>
        </w:rPr>
        <w:fldChar w:fldCharType="end"/>
      </w:r>
      <w:r w:rsidRPr="00420985">
        <w:rPr>
          <w:lang w:val="en-GB"/>
        </w:rPr>
        <w:t xml:space="preserve"> shows the </w:t>
      </w:r>
      <w:r>
        <w:rPr>
          <w:lang w:val="en-GB"/>
        </w:rPr>
        <w:t xml:space="preserve">resulting </w:t>
      </w:r>
      <w:r w:rsidRPr="00420985">
        <w:rPr>
          <w:lang w:val="en-GB"/>
        </w:rPr>
        <w:t>parallel plot</w:t>
      </w:r>
      <w:r>
        <w:rPr>
          <w:lang w:val="en-GB"/>
        </w:rPr>
        <w:t>s</w:t>
      </w:r>
      <w:r w:rsidRPr="00420985">
        <w:rPr>
          <w:lang w:val="en-GB"/>
        </w:rPr>
        <w:t xml:space="preserve"> for the 8-component mixture (top) and 16-component mixture (bottom). </w:t>
      </w:r>
      <w:r>
        <w:rPr>
          <w:lang w:val="en-GB"/>
        </w:rPr>
        <w:t xml:space="preserve">In both cases, 20,000 different scenarios are evaluated, </w:t>
      </w:r>
      <w:r>
        <w:t xml:space="preserve">of which only </w:t>
      </w:r>
      <w:r w:rsidRPr="00420985">
        <w:t>1.3</w:t>
      </w:r>
      <w:r>
        <w:t>4</w:t>
      </w:r>
      <w:r w:rsidR="00681EDE">
        <w:t xml:space="preserve"> </w:t>
      </w:r>
      <w:r w:rsidRPr="00420985">
        <w:t>% and 0.5</w:t>
      </w:r>
      <w:r>
        <w:t>5</w:t>
      </w:r>
      <w:r w:rsidR="00681EDE">
        <w:t xml:space="preserve"> </w:t>
      </w:r>
      <w:r w:rsidRPr="00420985">
        <w:t>%</w:t>
      </w:r>
      <w:r>
        <w:t xml:space="preserve"> are meeting the specifications </w:t>
      </w:r>
      <w:r w:rsidRPr="00420985">
        <w:t>(dark blue lines)</w:t>
      </w:r>
      <w:r>
        <w:rPr>
          <w:lang w:val="en-GB"/>
        </w:rPr>
        <w:t>. (</w:t>
      </w:r>
      <w:r>
        <w:t>These numbers clearly indicate</w:t>
      </w:r>
      <w:r w:rsidRPr="003D0A0B">
        <w:t xml:space="preserve"> why </w:t>
      </w:r>
      <w:r w:rsidRPr="00420985">
        <w:t xml:space="preserve">experimental </w:t>
      </w:r>
      <w:proofErr w:type="spellStart"/>
      <w:r w:rsidRPr="00420985">
        <w:t>LCxLC</w:t>
      </w:r>
      <w:proofErr w:type="spellEnd"/>
      <w:r w:rsidRPr="00420985">
        <w:t xml:space="preserve"> method development is </w:t>
      </w:r>
      <w:r>
        <w:t>so</w:t>
      </w:r>
      <w:r w:rsidRPr="00420985">
        <w:t xml:space="preserve"> challenging, if not impossible, and </w:t>
      </w:r>
      <w:r>
        <w:t>why</w:t>
      </w:r>
      <w:r w:rsidRPr="00420985">
        <w:t xml:space="preserve"> in-silico procedures are need</w:t>
      </w:r>
      <w:r>
        <w:t>ed</w:t>
      </w:r>
      <w:r w:rsidRPr="00420985">
        <w:t>.</w:t>
      </w:r>
      <w:r>
        <w:t>)</w:t>
      </w:r>
      <w:r w:rsidRPr="00420985">
        <w:t xml:space="preserve"> </w:t>
      </w:r>
      <w:r>
        <w:t>Interestingly, t</w:t>
      </w:r>
      <w:r w:rsidRPr="00420985">
        <w:t>he top three variables impacting (at 5</w:t>
      </w:r>
      <w:r w:rsidR="00563AD6">
        <w:t xml:space="preserve"> </w:t>
      </w:r>
      <w:r w:rsidRPr="00420985">
        <w:t xml:space="preserve">% statistical significance) the feasibility of a given design are, in order, the </w:t>
      </w:r>
      <w:r w:rsidRPr="00420985">
        <w:rPr>
          <w:vertAlign w:val="superscript"/>
          <w:lang w:val="en-GB"/>
        </w:rPr>
        <w:t>1</w:t>
      </w:r>
      <w:r w:rsidRPr="00420985">
        <w:rPr>
          <w:lang w:val="en-GB"/>
        </w:rPr>
        <w:t>D flow</w:t>
      </w:r>
      <w:r>
        <w:rPr>
          <w:lang w:val="en-GB"/>
        </w:rPr>
        <w:t xml:space="preserve"> </w:t>
      </w:r>
      <w:r w:rsidRPr="00420985">
        <w:rPr>
          <w:lang w:val="en-GB"/>
        </w:rPr>
        <w:t>rate</w:t>
      </w:r>
      <w:r>
        <w:rPr>
          <w:lang w:val="en-GB"/>
        </w:rPr>
        <w:t xml:space="preserve"> (mainly characterized by a</w:t>
      </w:r>
      <w:r w:rsidRPr="00420985">
        <w:rPr>
          <w:lang w:val="en-GB"/>
        </w:rPr>
        <w:t xml:space="preserve"> </w:t>
      </w:r>
      <w:r w:rsidRPr="00420985">
        <w:rPr>
          <w:color w:val="000000" w:themeColor="text1"/>
          <w:vertAlign w:val="superscript"/>
        </w:rPr>
        <w:t>1</w:t>
      </w:r>
      <w:r w:rsidRPr="00420985">
        <w:rPr>
          <w:color w:val="000000" w:themeColor="text1"/>
        </w:rPr>
        <w:t xml:space="preserve">D flow </w:t>
      </w:r>
      <w:r w:rsidRPr="00EF6C73">
        <w:rPr>
          <w:color w:val="000000" w:themeColor="text1"/>
        </w:rPr>
        <w:t>rate smaller than 2 mL/min</w:t>
      </w:r>
      <w:r>
        <w:rPr>
          <w:lang w:val="en-GB"/>
        </w:rPr>
        <w:t>)</w:t>
      </w:r>
      <w:r w:rsidRPr="00420985">
        <w:rPr>
          <w:lang w:val="en-GB"/>
        </w:rPr>
        <w:t xml:space="preserve">, </w:t>
      </w:r>
      <w:r w:rsidRPr="00420985">
        <w:rPr>
          <w:vertAlign w:val="superscript"/>
          <w:lang w:val="en-GB"/>
        </w:rPr>
        <w:t>2</w:t>
      </w:r>
      <w:r w:rsidRPr="00420985">
        <w:rPr>
          <w:lang w:val="en-GB"/>
        </w:rPr>
        <w:t>D column length</w:t>
      </w:r>
      <w:r>
        <w:rPr>
          <w:lang w:val="en-GB"/>
        </w:rPr>
        <w:t xml:space="preserve"> (smaller than 12 cm)</w:t>
      </w:r>
      <w:r w:rsidRPr="00420985">
        <w:rPr>
          <w:lang w:val="en-GB"/>
        </w:rPr>
        <w:t xml:space="preserve"> and </w:t>
      </w:r>
      <w:r w:rsidRPr="00420985">
        <w:rPr>
          <w:vertAlign w:val="superscript"/>
          <w:lang w:val="en-GB"/>
        </w:rPr>
        <w:t>2</w:t>
      </w:r>
      <w:r w:rsidRPr="00420985">
        <w:rPr>
          <w:lang w:val="en-GB"/>
        </w:rPr>
        <w:t>D column internal diameter</w:t>
      </w:r>
      <w:r>
        <w:rPr>
          <w:lang w:val="en-GB"/>
        </w:rPr>
        <w:t xml:space="preserve"> (smaller than 2 cm)</w:t>
      </w:r>
      <w:r w:rsidRPr="00EF6C73">
        <w:rPr>
          <w:color w:val="000000" w:themeColor="text1"/>
        </w:rPr>
        <w:t xml:space="preserve">. Furthermore, on-spec designs favor larger columns and up to four-fold smaller flow rates in the </w:t>
      </w:r>
      <w:r w:rsidRPr="00CD0770">
        <w:rPr>
          <w:color w:val="000000" w:themeColor="text1"/>
          <w:vertAlign w:val="superscript"/>
        </w:rPr>
        <w:t>1</w:t>
      </w:r>
      <w:r>
        <w:rPr>
          <w:color w:val="000000" w:themeColor="text1"/>
        </w:rPr>
        <w:t>D</w:t>
      </w:r>
      <w:r w:rsidRPr="00EF6C73">
        <w:rPr>
          <w:color w:val="000000" w:themeColor="text1"/>
        </w:rPr>
        <w:t xml:space="preserve"> column compared to the </w:t>
      </w:r>
      <w:r w:rsidRPr="00CD0770">
        <w:rPr>
          <w:color w:val="000000" w:themeColor="text1"/>
          <w:vertAlign w:val="superscript"/>
        </w:rPr>
        <w:t>2</w:t>
      </w:r>
      <w:r>
        <w:rPr>
          <w:color w:val="000000" w:themeColor="text1"/>
        </w:rPr>
        <w:t>D column</w:t>
      </w:r>
      <w:r w:rsidRPr="00EF6C73">
        <w:rPr>
          <w:lang w:val="en-GB"/>
        </w:rPr>
        <w:t>. Also of interest</w:t>
      </w:r>
      <w:r w:rsidRPr="00AE6A86">
        <w:rPr>
          <w:lang w:val="en-GB"/>
        </w:rPr>
        <w:t xml:space="preserve"> is the fact that it is most often preferable to operate both columns at low </w:t>
      </w:r>
      <w:proofErr w:type="spellStart"/>
      <w:r w:rsidRPr="00AE6A86">
        <w:rPr>
          <w:lang w:val="en-GB"/>
        </w:rPr>
        <w:t>pH.</w:t>
      </w:r>
      <w:proofErr w:type="spellEnd"/>
      <w:r w:rsidRPr="00AE6A86">
        <w:rPr>
          <w:lang w:val="en-GB"/>
        </w:rPr>
        <w:t xml:space="preserve"> Higher pH values in the </w:t>
      </w:r>
      <w:r w:rsidRPr="00CD0770">
        <w:rPr>
          <w:vertAlign w:val="superscript"/>
          <w:lang w:val="en-GB"/>
        </w:rPr>
        <w:t>1</w:t>
      </w:r>
      <w:r>
        <w:rPr>
          <w:lang w:val="en-GB"/>
        </w:rPr>
        <w:t>D</w:t>
      </w:r>
      <w:r w:rsidRPr="00AE6A86">
        <w:rPr>
          <w:lang w:val="en-GB"/>
        </w:rPr>
        <w:t xml:space="preserve"> column result in </w:t>
      </w:r>
      <w:r>
        <w:rPr>
          <w:lang w:val="en-GB"/>
        </w:rPr>
        <w:t>longer</w:t>
      </w:r>
      <w:r w:rsidRPr="00AE6A86">
        <w:rPr>
          <w:lang w:val="en-GB"/>
        </w:rPr>
        <w:t xml:space="preserve"> overall analysis time (not shown here), while operating the </w:t>
      </w:r>
      <w:r w:rsidRPr="00805893">
        <w:rPr>
          <w:vertAlign w:val="superscript"/>
          <w:lang w:val="en-GB"/>
        </w:rPr>
        <w:t>2</w:t>
      </w:r>
      <w:r>
        <w:rPr>
          <w:lang w:val="en-GB"/>
        </w:rPr>
        <w:t>D</w:t>
      </w:r>
      <w:r w:rsidRPr="00AE6A86">
        <w:rPr>
          <w:lang w:val="en-GB"/>
        </w:rPr>
        <w:t xml:space="preserve"> column at higher pH </w:t>
      </w:r>
      <w:r>
        <w:rPr>
          <w:lang w:val="en-GB"/>
        </w:rPr>
        <w:t>r</w:t>
      </w:r>
      <w:r w:rsidRPr="00AE6A86">
        <w:rPr>
          <w:lang w:val="en-GB"/>
        </w:rPr>
        <w:t>educe</w:t>
      </w:r>
      <w:r>
        <w:rPr>
          <w:lang w:val="en-GB"/>
        </w:rPr>
        <w:t>s</w:t>
      </w:r>
      <w:r w:rsidRPr="00AE6A86">
        <w:rPr>
          <w:lang w:val="en-GB"/>
        </w:rPr>
        <w:t xml:space="preserve"> the number of feasible solutions</w:t>
      </w:r>
      <w:r>
        <w:rPr>
          <w:lang w:val="en-GB"/>
        </w:rPr>
        <w:t xml:space="preserve"> (see pH pairs 3 and 4)</w:t>
      </w:r>
      <w:r w:rsidRPr="00AE6A86">
        <w:rPr>
          <w:lang w:val="en-GB"/>
        </w:rPr>
        <w:t>.</w:t>
      </w:r>
      <w:r>
        <w:rPr>
          <w:lang w:val="en-GB"/>
        </w:rPr>
        <w:t xml:space="preserve"> These</w:t>
      </w:r>
      <w:r w:rsidRPr="00AE6A86">
        <w:rPr>
          <w:lang w:val="en-GB"/>
        </w:rPr>
        <w:t xml:space="preserve"> results can be used to reduce the range of variability of the parameters in the subsequent</w:t>
      </w:r>
      <w:r w:rsidRPr="00A96EAC">
        <w:t xml:space="preserve"> optimal design procedure, improving convergence significantly and reducing the solution time</w:t>
      </w:r>
      <w:r>
        <w:t xml:space="preserve"> for optimization</w:t>
      </w:r>
      <w:r w:rsidRPr="00A96EAC">
        <w:t xml:space="preserve">, and thereby improving the accuracy of the resulting designs significantly. </w:t>
      </w:r>
      <w:r>
        <w:t>T</w:t>
      </w:r>
      <w:r w:rsidRPr="00A96EAC">
        <w:t xml:space="preserve">his </w:t>
      </w:r>
      <w:r>
        <w:t xml:space="preserve">approach </w:t>
      </w:r>
      <w:r w:rsidRPr="00A96EAC">
        <w:t xml:space="preserve">will allow users to develop accurate </w:t>
      </w:r>
      <w:r>
        <w:t>RPLCxRP</w:t>
      </w:r>
      <w:r w:rsidRPr="00A96EAC">
        <w:t>LC methods systematically</w:t>
      </w:r>
      <w:r>
        <w:t xml:space="preserve"> and quickly,</w:t>
      </w:r>
      <w:r w:rsidRPr="00A96EAC">
        <w:t xml:space="preserve"> and to choose the best settings and columns without labor</w:t>
      </w:r>
      <w:r>
        <w:t>-</w:t>
      </w:r>
      <w:r w:rsidRPr="00A96EAC">
        <w:t xml:space="preserve"> and material-intensive trial-and-error strategies.</w:t>
      </w:r>
    </w:p>
    <w:p w14:paraId="41866D47" w14:textId="63E81B58" w:rsidR="00713388" w:rsidRPr="00E15564" w:rsidRDefault="00713388" w:rsidP="00713388">
      <w:pPr>
        <w:pStyle w:val="Els-body-text"/>
      </w:pPr>
      <w:r w:rsidRPr="00A96EAC">
        <w:t xml:space="preserve">Having </w:t>
      </w:r>
      <w:r>
        <w:t>considered</w:t>
      </w:r>
      <w:r w:rsidRPr="00A96EAC">
        <w:t xml:space="preserve"> what design options are </w:t>
      </w:r>
      <w:r>
        <w:t xml:space="preserve">practically </w:t>
      </w:r>
      <w:r w:rsidRPr="00A96EAC">
        <w:t>available, we now discuss</w:t>
      </w:r>
      <w:r>
        <w:rPr>
          <w:lang w:val="en-GB"/>
        </w:rPr>
        <w:t xml:space="preserve"> </w:t>
      </w:r>
      <w:r w:rsidRPr="00FB2B65">
        <w:rPr>
          <w:lang w:val="en-GB"/>
        </w:rPr>
        <w:t xml:space="preserve">how different </w:t>
      </w:r>
      <w:r w:rsidRPr="00033E49">
        <w:rPr>
          <w:lang w:val="en-GB"/>
        </w:rPr>
        <w:t xml:space="preserve">on-spec </w:t>
      </w:r>
      <w:r w:rsidRPr="00FB2B65">
        <w:rPr>
          <w:lang w:val="en-GB"/>
        </w:rPr>
        <w:t>designs affect the separation performance</w:t>
      </w:r>
      <w:r>
        <w:rPr>
          <w:lang w:val="en-GB"/>
        </w:rPr>
        <w:t xml:space="preserve">. </w:t>
      </w:r>
      <w:r w:rsidRPr="00420985">
        <w:rPr>
          <w:lang w:val="en-GB"/>
        </w:rPr>
        <w:fldChar w:fldCharType="begin"/>
      </w:r>
      <w:r w:rsidRPr="00420985">
        <w:rPr>
          <w:lang w:val="en-GB"/>
        </w:rPr>
        <w:instrText xml:space="preserve"> REF _Ref148358088 \h </w:instrText>
      </w:r>
      <w:r>
        <w:rPr>
          <w:lang w:val="en-GB"/>
        </w:rPr>
        <w:instrText xml:space="preserve"> \* MERGEFORMAT </w:instrText>
      </w:r>
      <w:r w:rsidRPr="00420985">
        <w:rPr>
          <w:lang w:val="en-GB"/>
        </w:rPr>
      </w:r>
      <w:r w:rsidRPr="00420985">
        <w:rPr>
          <w:lang w:val="en-GB"/>
        </w:rPr>
        <w:fldChar w:fldCharType="separate"/>
      </w:r>
      <w:r w:rsidR="004C3B71" w:rsidRPr="004C3B71">
        <w:rPr>
          <w:lang w:val="en-GB"/>
        </w:rPr>
        <w:t>Figure 2</w:t>
      </w:r>
      <w:r w:rsidRPr="00420985">
        <w:rPr>
          <w:lang w:val="en-GB"/>
        </w:rPr>
        <w:fldChar w:fldCharType="end"/>
      </w:r>
      <w:r w:rsidRPr="00420985">
        <w:rPr>
          <w:lang w:val="en-GB"/>
        </w:rPr>
        <w:t xml:space="preserve"> shows </w:t>
      </w:r>
      <w:r>
        <w:rPr>
          <w:lang w:val="en-GB"/>
        </w:rPr>
        <w:t xml:space="preserve">the impact of </w:t>
      </w:r>
      <w:r w:rsidRPr="00805893">
        <w:rPr>
          <w:vertAlign w:val="superscript"/>
          <w:lang w:val="en-GB"/>
        </w:rPr>
        <w:t>1</w:t>
      </w:r>
      <w:r>
        <w:rPr>
          <w:lang w:val="en-GB"/>
        </w:rPr>
        <w:t xml:space="preserve">D column (left) and </w:t>
      </w:r>
      <w:r w:rsidRPr="00805893">
        <w:rPr>
          <w:vertAlign w:val="superscript"/>
          <w:lang w:val="en-GB"/>
        </w:rPr>
        <w:t>2</w:t>
      </w:r>
      <w:r>
        <w:rPr>
          <w:lang w:val="en-GB"/>
        </w:rPr>
        <w:t xml:space="preserve">D column (right) design parameters on overall separation quality and analysis time. The size and intensity of the bubbles refer to the column internal diameter and length, respectively (blue: 8 components; orange: 16 components). </w:t>
      </w:r>
      <w:r w:rsidRPr="00420985">
        <w:rPr>
          <w:lang w:val="en-GB"/>
        </w:rPr>
        <w:t xml:space="preserve">With the </w:t>
      </w:r>
      <w:r w:rsidRPr="00420985">
        <w:rPr>
          <w:lang w:val="en-GB"/>
        </w:rPr>
        <w:lastRenderedPageBreak/>
        <w:t xml:space="preserve">increase in the number of components, there are fewer </w:t>
      </w:r>
      <w:r>
        <w:rPr>
          <w:lang w:val="en-GB"/>
        </w:rPr>
        <w:t xml:space="preserve">on-spec </w:t>
      </w:r>
      <w:r w:rsidRPr="00420985">
        <w:rPr>
          <w:lang w:val="en-GB"/>
        </w:rPr>
        <w:t xml:space="preserve">designs available, and there is a </w:t>
      </w:r>
      <w:r>
        <w:rPr>
          <w:lang w:val="en-GB"/>
        </w:rPr>
        <w:t>significant</w:t>
      </w:r>
      <w:r w:rsidRPr="00420985">
        <w:rPr>
          <w:lang w:val="en-GB"/>
        </w:rPr>
        <w:t xml:space="preserve"> decline in separation performance</w:t>
      </w:r>
      <w:r>
        <w:rPr>
          <w:lang w:val="en-GB"/>
        </w:rPr>
        <w:t xml:space="preserve">. </w:t>
      </w:r>
      <w:r w:rsidRPr="00420985">
        <w:rPr>
          <w:lang w:val="en-GB"/>
        </w:rPr>
        <w:t xml:space="preserve">Furthermore, more analysis time is required to achieve good separation quality. If we compare the two panels, we can see that the design of the </w:t>
      </w:r>
      <w:r w:rsidRPr="00805893">
        <w:rPr>
          <w:vertAlign w:val="superscript"/>
          <w:lang w:val="en-GB"/>
        </w:rPr>
        <w:t>2</w:t>
      </w:r>
      <w:r>
        <w:rPr>
          <w:lang w:val="en-GB"/>
        </w:rPr>
        <w:t>D</w:t>
      </w:r>
      <w:r w:rsidRPr="00420985">
        <w:rPr>
          <w:lang w:val="en-GB"/>
        </w:rPr>
        <w:t xml:space="preserve"> column is </w:t>
      </w:r>
      <w:r>
        <w:rPr>
          <w:lang w:val="en-GB"/>
        </w:rPr>
        <w:t>most</w:t>
      </w:r>
      <w:r w:rsidRPr="00420985">
        <w:rPr>
          <w:lang w:val="en-GB"/>
        </w:rPr>
        <w:t xml:space="preserve"> critical</w:t>
      </w:r>
      <w:r>
        <w:rPr>
          <w:lang w:val="en-GB"/>
        </w:rPr>
        <w:t xml:space="preserve"> (i.e., the design space</w:t>
      </w:r>
      <w:r w:rsidRPr="0062174F">
        <w:rPr>
          <w:lang w:val="en-GB"/>
        </w:rPr>
        <w:t xml:space="preserve"> is smaller</w:t>
      </w:r>
      <w:r>
        <w:rPr>
          <w:lang w:val="en-GB"/>
        </w:rPr>
        <w:t xml:space="preserve">). </w:t>
      </w:r>
      <w:r>
        <w:t>Note that the impact of each parameter on the separation performance may differ between different samples. T</w:t>
      </w:r>
      <w:r w:rsidRPr="00033E49">
        <w:rPr>
          <w:lang w:val="en-GB"/>
        </w:rPr>
        <w:t xml:space="preserve">he </w:t>
      </w:r>
      <w:r>
        <w:rPr>
          <w:lang w:val="en-GB"/>
        </w:rPr>
        <w:t>only</w:t>
      </w:r>
      <w:r w:rsidRPr="00033E49">
        <w:rPr>
          <w:lang w:val="en-GB"/>
        </w:rPr>
        <w:t xml:space="preserve"> significant parameter</w:t>
      </w:r>
      <w:r>
        <w:rPr>
          <w:lang w:val="en-GB"/>
        </w:rPr>
        <w:t>s</w:t>
      </w:r>
      <w:r w:rsidRPr="00033E49">
        <w:rPr>
          <w:lang w:val="en-GB"/>
        </w:rPr>
        <w:t xml:space="preserve"> (</w:t>
      </w:r>
      <w:r w:rsidRPr="00033E49">
        <w:t>at 5</w:t>
      </w:r>
      <w:r w:rsidR="00A0700D">
        <w:t xml:space="preserve"> </w:t>
      </w:r>
      <w:r w:rsidRPr="00033E49">
        <w:t xml:space="preserve">% statistical significance) </w:t>
      </w:r>
      <w:r w:rsidRPr="00033E49">
        <w:rPr>
          <w:lang w:val="en-GB"/>
        </w:rPr>
        <w:t xml:space="preserve">impacting the overall separation quality </w:t>
      </w:r>
      <w:r>
        <w:rPr>
          <w:lang w:val="en-GB"/>
        </w:rPr>
        <w:t>are p</w:t>
      </w:r>
      <w:r w:rsidRPr="00033E49">
        <w:rPr>
          <w:lang w:val="en-GB"/>
        </w:rPr>
        <w:t>H</w:t>
      </w:r>
      <w:r>
        <w:rPr>
          <w:lang w:val="en-GB"/>
        </w:rPr>
        <w:t xml:space="preserve"> pair</w:t>
      </w:r>
      <w:r w:rsidRPr="00033E49">
        <w:rPr>
          <w:lang w:val="en-GB"/>
        </w:rPr>
        <w:t xml:space="preserve">, </w:t>
      </w:r>
      <w:r>
        <w:rPr>
          <w:lang w:val="en-GB"/>
        </w:rPr>
        <w:t>d</w:t>
      </w:r>
      <w:r w:rsidRPr="00033E49">
        <w:rPr>
          <w:lang w:val="en-GB"/>
        </w:rPr>
        <w:t>1</w:t>
      </w:r>
      <w:r>
        <w:rPr>
          <w:lang w:val="en-GB"/>
        </w:rPr>
        <w:t>,</w:t>
      </w:r>
      <w:r w:rsidRPr="00033E49">
        <w:rPr>
          <w:lang w:val="en-GB"/>
        </w:rPr>
        <w:t xml:space="preserve"> </w:t>
      </w:r>
      <w:r>
        <w:rPr>
          <w:lang w:val="en-GB"/>
        </w:rPr>
        <w:t>d</w:t>
      </w:r>
      <w:r w:rsidRPr="00033E49">
        <w:rPr>
          <w:lang w:val="en-GB"/>
        </w:rPr>
        <w:t>2</w:t>
      </w:r>
      <w:r>
        <w:rPr>
          <w:lang w:val="en-GB"/>
        </w:rPr>
        <w:t xml:space="preserve"> and FR2</w:t>
      </w:r>
      <w:r w:rsidRPr="00033E49">
        <w:rPr>
          <w:lang w:val="en-GB"/>
        </w:rPr>
        <w:t xml:space="preserve"> for the 8-component mixture</w:t>
      </w:r>
      <w:r>
        <w:rPr>
          <w:lang w:val="en-GB"/>
        </w:rPr>
        <w:t xml:space="preserve"> and </w:t>
      </w:r>
      <w:r w:rsidRPr="00033E49">
        <w:rPr>
          <w:lang w:val="en-GB"/>
        </w:rPr>
        <w:t xml:space="preserve">L2 </w:t>
      </w:r>
      <w:r>
        <w:rPr>
          <w:lang w:val="en-GB"/>
        </w:rPr>
        <w:t xml:space="preserve">for the </w:t>
      </w:r>
      <w:r w:rsidRPr="00033E49">
        <w:rPr>
          <w:lang w:val="en-GB"/>
        </w:rPr>
        <w:t>16-component mixture.</w:t>
      </w:r>
      <w:r>
        <w:rPr>
          <w:lang w:val="en-GB"/>
        </w:rPr>
        <w:t xml:space="preserve"> This result shows that each parameter may impact the separation performance differently when different mixtures are considered, indicating that </w:t>
      </w:r>
      <w:r w:rsidRPr="00162EF0">
        <w:rPr>
          <w:i/>
          <w:iCs/>
          <w:lang w:val="en-GB"/>
        </w:rPr>
        <w:t>sample-dependent</w:t>
      </w:r>
      <w:r>
        <w:rPr>
          <w:lang w:val="en-GB"/>
        </w:rPr>
        <w:t xml:space="preserve"> (or </w:t>
      </w:r>
      <w:r w:rsidRPr="00451138">
        <w:rPr>
          <w:i/>
          <w:iCs/>
          <w:lang w:val="en-GB"/>
        </w:rPr>
        <w:t>targeted</w:t>
      </w:r>
      <w:r>
        <w:rPr>
          <w:lang w:val="en-GB"/>
        </w:rPr>
        <w:t xml:space="preserve">) optimization strategies should be preferred over </w:t>
      </w:r>
      <w:r w:rsidRPr="001C77E5">
        <w:rPr>
          <w:i/>
          <w:iCs/>
          <w:lang w:val="en-GB"/>
        </w:rPr>
        <w:t>sample-independent</w:t>
      </w:r>
      <w:r>
        <w:rPr>
          <w:lang w:val="en-GB"/>
        </w:rPr>
        <w:t xml:space="preserve"> (or </w:t>
      </w:r>
      <w:r w:rsidRPr="00922A89">
        <w:rPr>
          <w:i/>
          <w:iCs/>
          <w:lang w:val="en-GB"/>
        </w:rPr>
        <w:t>unt</w:t>
      </w:r>
      <w:r w:rsidRPr="00451138">
        <w:rPr>
          <w:i/>
          <w:iCs/>
          <w:lang w:val="en-GB"/>
        </w:rPr>
        <w:t>argeted</w:t>
      </w:r>
      <w:r>
        <w:rPr>
          <w:lang w:val="en-GB"/>
        </w:rPr>
        <w:t>) optimization strategies.</w:t>
      </w:r>
    </w:p>
    <w:p w14:paraId="0051145A" w14:textId="77777777" w:rsidR="00713388" w:rsidRDefault="00713388" w:rsidP="007B5AF0">
      <w:pPr>
        <w:pStyle w:val="Els-body-text"/>
      </w:pPr>
    </w:p>
    <w:tbl>
      <w:tblPr>
        <w:tblStyle w:val="Grigliatabella"/>
        <w:tblpPr w:leftFromText="180" w:rightFromText="180" w:vertAnchor="text" w:horzAnchor="margin" w:tblpY="14"/>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713388" w:rsidRPr="0010462E" w14:paraId="73EEB8C3" w14:textId="77777777" w:rsidTr="00713388">
        <w:trPr>
          <w:cantSplit/>
        </w:trPr>
        <w:tc>
          <w:tcPr>
            <w:tcW w:w="7087" w:type="dxa"/>
          </w:tcPr>
          <w:p w14:paraId="4F27E62B" w14:textId="77777777" w:rsidR="00713388" w:rsidRPr="0010462E" w:rsidRDefault="00713388" w:rsidP="00713388">
            <w:pPr>
              <w:pStyle w:val="Els-body-text"/>
              <w:jc w:val="center"/>
              <w:rPr>
                <w:lang w:val="it-IT"/>
              </w:rPr>
            </w:pPr>
            <w:r>
              <w:rPr>
                <w:noProof/>
                <w:lang w:val="en-GB" w:eastAsia="en-GB"/>
              </w:rPr>
              <w:drawing>
                <wp:inline distT="0" distB="0" distL="0" distR="0" wp14:anchorId="28330342" wp14:editId="620EDBCB">
                  <wp:extent cx="4320000" cy="1467064"/>
                  <wp:effectExtent l="0" t="0" r="4445" b="0"/>
                  <wp:docPr id="327871129" name="Picture 1" descr="A blue and whit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71129" name="Picture 1" descr="A blue and white graph&#10;&#10;Description automatically generated"/>
                          <pic:cNvPicPr/>
                        </pic:nvPicPr>
                        <pic:blipFill>
                          <a:blip r:embed="rId8">
                            <a:extLst>
                              <a:ext uri="{28A0092B-C50C-407E-A947-70E740481C1C}">
                                <a14:useLocalDpi xmlns:a14="http://schemas.microsoft.com/office/drawing/2010/main" val="0"/>
                              </a:ext>
                            </a:extLst>
                          </a:blip>
                          <a:srcRect t="13603" b="13603"/>
                          <a:stretch>
                            <a:fillRect/>
                          </a:stretch>
                        </pic:blipFill>
                        <pic:spPr bwMode="auto">
                          <a:xfrm>
                            <a:off x="0" y="0"/>
                            <a:ext cx="4320000" cy="1467064"/>
                          </a:xfrm>
                          <a:prstGeom prst="rect">
                            <a:avLst/>
                          </a:prstGeom>
                          <a:ln>
                            <a:noFill/>
                          </a:ln>
                          <a:extLst>
                            <a:ext uri="{53640926-AAD7-44D8-BBD7-CCE9431645EC}">
                              <a14:shadowObscured xmlns:a14="http://schemas.microsoft.com/office/drawing/2010/main"/>
                            </a:ext>
                          </a:extLst>
                        </pic:spPr>
                      </pic:pic>
                    </a:graphicData>
                  </a:graphic>
                </wp:inline>
              </w:drawing>
            </w:r>
          </w:p>
          <w:p w14:paraId="48B5E85F" w14:textId="77777777" w:rsidR="00713388" w:rsidRDefault="00713388" w:rsidP="00713388">
            <w:pPr>
              <w:pStyle w:val="Els-body-text"/>
              <w:keepNext/>
              <w:jc w:val="center"/>
            </w:pPr>
            <w:r>
              <w:rPr>
                <w:noProof/>
                <w:lang w:val="en-GB" w:eastAsia="en-GB"/>
              </w:rPr>
              <w:drawing>
                <wp:inline distT="0" distB="0" distL="0" distR="0" wp14:anchorId="451DD180" wp14:editId="25C12A3E">
                  <wp:extent cx="4320000" cy="1542648"/>
                  <wp:effectExtent l="0" t="0" r="4445" b="635"/>
                  <wp:docPr id="1776144754" name="Picture 1" descr="A graph of a graph of lines and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44754" name="Picture 1" descr="A graph of a graph of lines and triangles&#10;&#10;Description automatically generated with medium confidence"/>
                          <pic:cNvPicPr/>
                        </pic:nvPicPr>
                        <pic:blipFill>
                          <a:blip r:embed="rId9" cstate="print">
                            <a:extLst>
                              <a:ext uri="{28A0092B-C50C-407E-A947-70E740481C1C}">
                                <a14:useLocalDpi xmlns:a14="http://schemas.microsoft.com/office/drawing/2010/main" val="0"/>
                              </a:ext>
                            </a:extLst>
                          </a:blip>
                          <a:srcRect t="11727" b="11727"/>
                          <a:stretch>
                            <a:fillRect/>
                          </a:stretch>
                        </pic:blipFill>
                        <pic:spPr bwMode="auto">
                          <a:xfrm>
                            <a:off x="0" y="0"/>
                            <a:ext cx="4320000" cy="1542648"/>
                          </a:xfrm>
                          <a:prstGeom prst="rect">
                            <a:avLst/>
                          </a:prstGeom>
                          <a:ln>
                            <a:noFill/>
                          </a:ln>
                          <a:extLst>
                            <a:ext uri="{53640926-AAD7-44D8-BBD7-CCE9431645EC}">
                              <a14:shadowObscured xmlns:a14="http://schemas.microsoft.com/office/drawing/2010/main"/>
                            </a:ext>
                          </a:extLst>
                        </pic:spPr>
                      </pic:pic>
                    </a:graphicData>
                  </a:graphic>
                </wp:inline>
              </w:drawing>
            </w:r>
          </w:p>
          <w:p w14:paraId="05A05BCF" w14:textId="7E0857E8" w:rsidR="00713388" w:rsidRPr="00C558D3" w:rsidRDefault="00713388" w:rsidP="00713388">
            <w:pPr>
              <w:pStyle w:val="Didascalia"/>
              <w:jc w:val="both"/>
            </w:pPr>
            <w:bookmarkStart w:id="3" w:name="_Ref148108524"/>
            <w:r>
              <w:t xml:space="preserve">Figure </w:t>
            </w:r>
            <w:r>
              <w:fldChar w:fldCharType="begin"/>
            </w:r>
            <w:r>
              <w:instrText xml:space="preserve"> SEQ Figure \* ARABIC </w:instrText>
            </w:r>
            <w:r>
              <w:fldChar w:fldCharType="separate"/>
            </w:r>
            <w:r w:rsidR="004C3B71">
              <w:rPr>
                <w:noProof/>
              </w:rPr>
              <w:t>1</w:t>
            </w:r>
            <w:r>
              <w:fldChar w:fldCharType="end"/>
            </w:r>
            <w:bookmarkEnd w:id="3"/>
            <w:r>
              <w:t xml:space="preserve">. Parallel plots of the different scenarios tested for the 8-component mixture (top) and 16-component mixture (bottom). The dark blue lines </w:t>
            </w:r>
            <w:r w:rsidR="00F5504B">
              <w:t>refer</w:t>
            </w:r>
            <w:r>
              <w:t xml:space="preserve"> to the feasible (on-spec) designs. </w:t>
            </w:r>
          </w:p>
        </w:tc>
      </w:tr>
    </w:tbl>
    <w:p w14:paraId="3F28C816" w14:textId="722CFC68" w:rsidR="00911809" w:rsidRPr="007B5AF0" w:rsidRDefault="00911809" w:rsidP="00911809">
      <w:pPr>
        <w:pStyle w:val="Els-body-text"/>
      </w:pPr>
    </w:p>
    <w:p w14:paraId="227D8727" w14:textId="77777777" w:rsidR="00C00795" w:rsidRPr="0010462E" w:rsidRDefault="00C00795" w:rsidP="00C00795">
      <w:pPr>
        <w:pStyle w:val="Els-2ndorder-head"/>
        <w:rPr>
          <w:lang w:val="it-IT"/>
        </w:rPr>
      </w:pPr>
      <w:r w:rsidRPr="0010462E">
        <w:rPr>
          <w:lang w:val="it-IT"/>
        </w:rPr>
        <w:t>Uncertainty analysis</w:t>
      </w:r>
    </w:p>
    <w:p w14:paraId="2D228777" w14:textId="130FBDDC" w:rsidR="00A278AE" w:rsidRDefault="00A278AE" w:rsidP="00A278AE">
      <w:pPr>
        <w:pStyle w:val="Els-body-text"/>
        <w:rPr>
          <w:lang w:val="en-GB"/>
        </w:rPr>
      </w:pPr>
      <w:r w:rsidRPr="0010462E">
        <w:rPr>
          <w:lang w:val="en-GB"/>
        </w:rPr>
        <w:t xml:space="preserve">The shortcut model </w:t>
      </w:r>
      <w:r>
        <w:rPr>
          <w:lang w:val="en-GB"/>
        </w:rPr>
        <w:t xml:space="preserve">used in this work relies on the </w:t>
      </w:r>
      <w:r w:rsidRPr="0010462E">
        <w:rPr>
          <w:lang w:val="en-GB"/>
        </w:rPr>
        <w:t xml:space="preserve">Hydrophobic Subtraction Model </w:t>
      </w:r>
      <w:r>
        <w:rPr>
          <w:lang w:val="en-GB"/>
        </w:rPr>
        <w:t>(HSM) for the prediction of the retention factors. Since the</w:t>
      </w:r>
      <w:r w:rsidRPr="0010462E">
        <w:rPr>
          <w:lang w:val="en-GB"/>
        </w:rPr>
        <w:t xml:space="preserve"> HSM</w:t>
      </w:r>
      <w:r>
        <w:rPr>
          <w:lang w:val="en-GB"/>
        </w:rPr>
        <w:t xml:space="preserve"> is</w:t>
      </w:r>
      <w:r w:rsidRPr="0010462E">
        <w:rPr>
          <w:lang w:val="en-GB"/>
        </w:rPr>
        <w:t xml:space="preserve"> an empirical model with experimentally measured solute-specific parameters and derived column-specific parameters, it is subjected to inaccuracy. According to</w:t>
      </w:r>
      <w:r>
        <w:rPr>
          <w:lang w:val="en-GB"/>
        </w:rPr>
        <w:t xml:space="preserve"> Wilson et al. (2002)</w:t>
      </w:r>
      <w:r w:rsidRPr="0010462E">
        <w:rPr>
          <w:lang w:val="en-GB"/>
        </w:rPr>
        <w:t xml:space="preserve">, the </w:t>
      </w:r>
      <w:r>
        <w:rPr>
          <w:lang w:val="en-GB"/>
        </w:rPr>
        <w:t>HSM model</w:t>
      </w:r>
      <w:r w:rsidRPr="0010462E">
        <w:rPr>
          <w:lang w:val="en-GB"/>
        </w:rPr>
        <w:t xml:space="preserve"> can predict the retention factor </w:t>
      </w:r>
      <m:oMath>
        <m:sSub>
          <m:sSubPr>
            <m:ctrlPr>
              <w:rPr>
                <w:rFonts w:ascii="Cambria Math" w:hAnsi="Cambria Math"/>
                <w:i/>
                <w:lang w:val="en-GB"/>
              </w:rPr>
            </m:ctrlPr>
          </m:sSubPr>
          <m:e>
            <m:sPre>
              <m:sPrePr>
                <m:ctrlPr>
                  <w:rPr>
                    <w:rFonts w:ascii="Cambria Math" w:hAnsi="Cambria Math"/>
                    <w:i/>
                    <w:lang w:val="en-GB"/>
                  </w:rPr>
                </m:ctrlPr>
              </m:sPrePr>
              <m:sub>
                <m:r>
                  <w:rPr>
                    <w:rFonts w:ascii="Cambria Math" w:hAnsi="Cambria Math"/>
                    <w:lang w:val="en-GB"/>
                  </w:rPr>
                  <m:t xml:space="preserve"> </m:t>
                </m:r>
              </m:sub>
              <m:sup>
                <m:r>
                  <w:rPr>
                    <w:rFonts w:ascii="Cambria Math" w:hAnsi="Cambria Math"/>
                    <w:lang w:val="en-GB"/>
                  </w:rPr>
                  <m:t>x</m:t>
                </m:r>
              </m:sup>
              <m:e>
                <m:r>
                  <w:rPr>
                    <w:rFonts w:ascii="Cambria Math" w:hAnsi="Cambria Math"/>
                    <w:lang w:val="en-GB"/>
                  </w:rPr>
                  <m:t>k</m:t>
                </m:r>
              </m:e>
            </m:sPre>
          </m:e>
          <m:sub>
            <m:r>
              <w:rPr>
                <w:rFonts w:ascii="Cambria Math" w:hAnsi="Cambria Math"/>
                <w:lang w:val="en-GB"/>
              </w:rPr>
              <m:t>i</m:t>
            </m:r>
          </m:sub>
        </m:sSub>
      </m:oMath>
      <w:r w:rsidRPr="0010462E">
        <w:rPr>
          <w:lang w:val="en-GB"/>
        </w:rPr>
        <w:t xml:space="preserve"> of component </w:t>
      </w:r>
      <w:r w:rsidRPr="0010462E">
        <w:rPr>
          <w:i/>
          <w:iCs/>
          <w:lang w:val="en-GB"/>
        </w:rPr>
        <w:t>i</w:t>
      </w:r>
      <w:r w:rsidRPr="0010462E">
        <w:rPr>
          <w:lang w:val="en-GB"/>
        </w:rPr>
        <w:t xml:space="preserve"> in dimension </w:t>
      </w:r>
      <w:r w:rsidRPr="0010462E">
        <w:rPr>
          <w:i/>
          <w:iCs/>
          <w:lang w:val="en-GB"/>
        </w:rPr>
        <w:t>x</w:t>
      </w:r>
      <w:r w:rsidRPr="0010462E">
        <w:rPr>
          <w:lang w:val="en-GB"/>
        </w:rPr>
        <w:t xml:space="preserve"> with a prediction accuracy of </w:t>
      </w:r>
      <m:oMath>
        <m:r>
          <w:rPr>
            <w:rFonts w:ascii="Cambria Math" w:hAnsi="Cambria Math"/>
            <w:lang w:val="en-GB"/>
          </w:rPr>
          <m:t>±0.7 %</m:t>
        </m:r>
      </m:oMath>
      <w:r w:rsidRPr="0010462E">
        <w:rPr>
          <w:lang w:val="en-GB"/>
        </w:rPr>
        <w:t>. To evaluate how much th</w:t>
      </w:r>
      <w:r>
        <w:rPr>
          <w:lang w:val="en-GB"/>
        </w:rPr>
        <w:t>is</w:t>
      </w:r>
      <w:r w:rsidRPr="0010462E">
        <w:rPr>
          <w:lang w:val="en-GB"/>
        </w:rPr>
        <w:t xml:space="preserve"> uncertainty </w:t>
      </w:r>
      <w:r>
        <w:rPr>
          <w:lang w:val="en-GB"/>
        </w:rPr>
        <w:t>i</w:t>
      </w:r>
      <w:r w:rsidRPr="0010462E">
        <w:rPr>
          <w:lang w:val="en-GB"/>
        </w:rPr>
        <w:t xml:space="preserve">n </w:t>
      </w:r>
      <m:oMath>
        <m:sSub>
          <m:sSubPr>
            <m:ctrlPr>
              <w:rPr>
                <w:rFonts w:ascii="Cambria Math" w:hAnsi="Cambria Math"/>
                <w:i/>
                <w:lang w:val="en-GB"/>
              </w:rPr>
            </m:ctrlPr>
          </m:sSubPr>
          <m:e>
            <m:sPre>
              <m:sPrePr>
                <m:ctrlPr>
                  <w:rPr>
                    <w:rFonts w:ascii="Cambria Math" w:hAnsi="Cambria Math"/>
                    <w:i/>
                    <w:lang w:val="en-GB"/>
                  </w:rPr>
                </m:ctrlPr>
              </m:sPrePr>
              <m:sub>
                <m:r>
                  <w:rPr>
                    <w:rFonts w:ascii="Cambria Math" w:hAnsi="Cambria Math"/>
                    <w:lang w:val="en-GB"/>
                  </w:rPr>
                  <m:t xml:space="preserve"> </m:t>
                </m:r>
              </m:sub>
              <m:sup>
                <m:r>
                  <w:rPr>
                    <w:rFonts w:ascii="Cambria Math" w:hAnsi="Cambria Math"/>
                    <w:lang w:val="en-GB"/>
                  </w:rPr>
                  <m:t>x</m:t>
                </m:r>
              </m:sup>
              <m:e>
                <m:r>
                  <w:rPr>
                    <w:rFonts w:ascii="Cambria Math" w:hAnsi="Cambria Math"/>
                    <w:lang w:val="en-GB"/>
                  </w:rPr>
                  <m:t>k</m:t>
                </m:r>
              </m:e>
            </m:sPre>
          </m:e>
          <m:sub>
            <m:r>
              <w:rPr>
                <w:rFonts w:ascii="Cambria Math" w:hAnsi="Cambria Math"/>
                <w:lang w:val="en-GB"/>
              </w:rPr>
              <m:t>i</m:t>
            </m:r>
          </m:sub>
        </m:sSub>
      </m:oMath>
      <w:r w:rsidRPr="0010462E">
        <w:rPr>
          <w:lang w:val="en-GB"/>
        </w:rPr>
        <w:t xml:space="preserve"> values impact</w:t>
      </w:r>
      <w:r>
        <w:rPr>
          <w:lang w:val="en-GB"/>
        </w:rPr>
        <w:t xml:space="preserve">s </w:t>
      </w:r>
      <w:r w:rsidRPr="0010462E">
        <w:rPr>
          <w:lang w:val="en-GB"/>
        </w:rPr>
        <w:t xml:space="preserve">the response factors, and whether this impact jeopardizes the </w:t>
      </w:r>
      <w:r>
        <w:rPr>
          <w:lang w:val="en-GB"/>
        </w:rPr>
        <w:t xml:space="preserve">results of the </w:t>
      </w:r>
      <w:r w:rsidRPr="0010462E">
        <w:rPr>
          <w:lang w:val="en-GB"/>
        </w:rPr>
        <w:t xml:space="preserve">shortcut model, </w:t>
      </w:r>
      <w:r>
        <w:rPr>
          <w:lang w:val="en-GB"/>
        </w:rPr>
        <w:t xml:space="preserve">we perform </w:t>
      </w:r>
      <w:r w:rsidRPr="0010462E">
        <w:rPr>
          <w:lang w:val="en-GB"/>
        </w:rPr>
        <w:t>an uncertainty analysis</w:t>
      </w:r>
      <w:r>
        <w:rPr>
          <w:lang w:val="en-GB"/>
        </w:rPr>
        <w:t>.</w:t>
      </w:r>
    </w:p>
    <w:p w14:paraId="5E9E8B64" w14:textId="495D162F" w:rsidR="002F4C35" w:rsidRPr="0008181B" w:rsidRDefault="00713388" w:rsidP="00A278AE">
      <w:pPr>
        <w:pStyle w:val="Els-body-text"/>
        <w:rPr>
          <w:lang w:val="en-GB"/>
        </w:rPr>
      </w:pPr>
      <w:r>
        <w:rPr>
          <w:lang w:val="en-GB"/>
        </w:rPr>
        <w:t>For the uncertainty analysis, w</w:t>
      </w:r>
      <w:r w:rsidRPr="0010462E">
        <w:rPr>
          <w:lang w:val="en-GB"/>
        </w:rPr>
        <w:t xml:space="preserve">e consider </w:t>
      </w:r>
      <w:r>
        <w:rPr>
          <w:lang w:val="en-GB"/>
        </w:rPr>
        <w:t>the</w:t>
      </w:r>
      <w:r w:rsidRPr="0010462E">
        <w:rPr>
          <w:lang w:val="en-GB"/>
        </w:rPr>
        <w:t xml:space="preserve"> mixture of 8 components and the optimal design </w:t>
      </w:r>
      <w:r>
        <w:rPr>
          <w:lang w:val="en-GB"/>
        </w:rPr>
        <w:t>obtained by Tirapelle et al. (2023).</w:t>
      </w:r>
      <w:r w:rsidRPr="0010462E">
        <w:rPr>
          <w:lang w:val="en-GB"/>
        </w:rPr>
        <w:t xml:space="preserve"> All the </w:t>
      </w:r>
      <m:oMath>
        <m:sSub>
          <m:sSubPr>
            <m:ctrlPr>
              <w:rPr>
                <w:rFonts w:ascii="Cambria Math" w:hAnsi="Cambria Math"/>
                <w:i/>
                <w:lang w:val="en-GB"/>
              </w:rPr>
            </m:ctrlPr>
          </m:sSubPr>
          <m:e>
            <m:sPre>
              <m:sPrePr>
                <m:ctrlPr>
                  <w:rPr>
                    <w:rFonts w:ascii="Cambria Math" w:hAnsi="Cambria Math"/>
                    <w:i/>
                    <w:lang w:val="en-GB"/>
                  </w:rPr>
                </m:ctrlPr>
              </m:sPrePr>
              <m:sub>
                <m:r>
                  <w:rPr>
                    <w:rFonts w:ascii="Cambria Math" w:hAnsi="Cambria Math"/>
                    <w:lang w:val="en-GB"/>
                  </w:rPr>
                  <m:t xml:space="preserve"> </m:t>
                </m:r>
              </m:sub>
              <m:sup>
                <m:r>
                  <w:rPr>
                    <w:rFonts w:ascii="Cambria Math" w:hAnsi="Cambria Math"/>
                    <w:lang w:val="en-GB"/>
                  </w:rPr>
                  <m:t>x</m:t>
                </m:r>
              </m:sup>
              <m:e>
                <m:r>
                  <w:rPr>
                    <w:rFonts w:ascii="Cambria Math" w:hAnsi="Cambria Math"/>
                    <w:lang w:val="en-GB"/>
                  </w:rPr>
                  <m:t>k</m:t>
                </m:r>
              </m:e>
            </m:sPre>
          </m:e>
          <m:sub>
            <m:r>
              <w:rPr>
                <w:rFonts w:ascii="Cambria Math" w:hAnsi="Cambria Math"/>
                <w:lang w:val="en-GB"/>
              </w:rPr>
              <m:t>i</m:t>
            </m:r>
          </m:sub>
        </m:sSub>
      </m:oMath>
      <w:r w:rsidRPr="0010462E">
        <w:rPr>
          <w:lang w:val="en-GB"/>
        </w:rPr>
        <w:t xml:space="preserve"> values are assumed to follow a normal distribution with mean </w:t>
      </w:r>
      <m:oMath>
        <m:sSub>
          <m:sSubPr>
            <m:ctrlPr>
              <w:rPr>
                <w:rFonts w:ascii="Cambria Math" w:hAnsi="Cambria Math"/>
                <w:i/>
                <w:lang w:val="en-GB"/>
              </w:rPr>
            </m:ctrlPr>
          </m:sSubPr>
          <m:e>
            <m:sPre>
              <m:sPrePr>
                <m:ctrlPr>
                  <w:rPr>
                    <w:rFonts w:ascii="Cambria Math" w:hAnsi="Cambria Math"/>
                    <w:i/>
                    <w:lang w:val="en-GB"/>
                  </w:rPr>
                </m:ctrlPr>
              </m:sPrePr>
              <m:sub>
                <m:r>
                  <w:rPr>
                    <w:rFonts w:ascii="Cambria Math" w:hAnsi="Cambria Math"/>
                    <w:lang w:val="en-GB"/>
                  </w:rPr>
                  <m:t xml:space="preserve"> </m:t>
                </m:r>
              </m:sub>
              <m:sup>
                <m:r>
                  <w:rPr>
                    <w:rFonts w:ascii="Cambria Math" w:hAnsi="Cambria Math"/>
                    <w:lang w:val="en-GB"/>
                  </w:rPr>
                  <m:t>x</m:t>
                </m:r>
              </m:sup>
              <m:e>
                <m:acc>
                  <m:accPr>
                    <m:chr m:val="̅"/>
                    <m:ctrlPr>
                      <w:rPr>
                        <w:rFonts w:ascii="Cambria Math" w:hAnsi="Cambria Math"/>
                        <w:i/>
                        <w:lang w:val="en-GB"/>
                      </w:rPr>
                    </m:ctrlPr>
                  </m:accPr>
                  <m:e>
                    <m:r>
                      <w:rPr>
                        <w:rFonts w:ascii="Cambria Math" w:hAnsi="Cambria Math"/>
                        <w:lang w:val="en-GB"/>
                      </w:rPr>
                      <m:t>k</m:t>
                    </m:r>
                  </m:e>
                </m:acc>
              </m:e>
            </m:sPre>
          </m:e>
          <m:sub>
            <m:r>
              <w:rPr>
                <w:rFonts w:ascii="Cambria Math" w:hAnsi="Cambria Math"/>
                <w:lang w:val="en-GB"/>
              </w:rPr>
              <m:t>i</m:t>
            </m:r>
          </m:sub>
        </m:sSub>
      </m:oMath>
      <w:r w:rsidRPr="0010462E">
        <w:rPr>
          <w:lang w:val="en-GB"/>
        </w:rPr>
        <w:t xml:space="preserve"> and standard deviation </w:t>
      </w:r>
      <m:oMath>
        <m:sSub>
          <m:sSubPr>
            <m:ctrlPr>
              <w:rPr>
                <w:rFonts w:ascii="Cambria Math" w:hAnsi="Cambria Math"/>
                <w:i/>
                <w:lang w:val="en-GB"/>
              </w:rPr>
            </m:ctrlPr>
          </m:sSubPr>
          <m:e>
            <m:sPre>
              <m:sPrePr>
                <m:ctrlPr>
                  <w:rPr>
                    <w:rFonts w:ascii="Cambria Math" w:hAnsi="Cambria Math"/>
                    <w:i/>
                    <w:lang w:val="en-GB"/>
                  </w:rPr>
                </m:ctrlPr>
              </m:sPrePr>
              <m:sub>
                <m:r>
                  <w:rPr>
                    <w:rFonts w:ascii="Cambria Math" w:hAnsi="Cambria Math"/>
                    <w:lang w:val="en-GB"/>
                  </w:rPr>
                  <m:t xml:space="preserve"> </m:t>
                </m:r>
              </m:sub>
              <m:sup>
                <m:r>
                  <w:rPr>
                    <w:rFonts w:ascii="Cambria Math" w:hAnsi="Cambria Math"/>
                    <w:lang w:val="en-GB"/>
                  </w:rPr>
                  <m:t>x</m:t>
                </m:r>
              </m:sup>
              <m:e>
                <m:r>
                  <w:rPr>
                    <w:rFonts w:ascii="Cambria Math" w:hAnsi="Cambria Math"/>
                    <w:lang w:val="en-GB"/>
                  </w:rPr>
                  <m:t>σ</m:t>
                </m:r>
              </m:e>
            </m:sPre>
          </m:e>
          <m:sub>
            <m:r>
              <w:rPr>
                <w:rFonts w:ascii="Cambria Math" w:hAnsi="Cambria Math"/>
                <w:lang w:val="en-GB"/>
              </w:rPr>
              <m:t>i</m:t>
            </m:r>
          </m:sub>
        </m:sSub>
        <m:r>
          <w:rPr>
            <w:rFonts w:ascii="Cambria Math" w:hAnsi="Cambria Math"/>
            <w:lang w:val="en-GB"/>
          </w:rPr>
          <m:t>=0.007</m:t>
        </m:r>
      </m:oMath>
      <w:r>
        <w:rPr>
          <w:lang w:val="en-GB"/>
        </w:rPr>
        <w:t>, while the number of uncertainty scenarios is set to 1000</w:t>
      </w:r>
      <w:r w:rsidRPr="0010462E">
        <w:rPr>
          <w:lang w:val="en-GB"/>
        </w:rPr>
        <w:t xml:space="preserve">. </w:t>
      </w:r>
      <w:r>
        <w:rPr>
          <w:lang w:val="en-GB"/>
        </w:rPr>
        <w:fldChar w:fldCharType="begin"/>
      </w:r>
      <w:r>
        <w:rPr>
          <w:lang w:val="en-GB"/>
        </w:rPr>
        <w:instrText xml:space="preserve"> REF _Ref148438908 \h </w:instrText>
      </w:r>
      <w:r>
        <w:rPr>
          <w:lang w:val="en-GB"/>
        </w:rPr>
      </w:r>
      <w:r>
        <w:rPr>
          <w:lang w:val="en-GB"/>
        </w:rPr>
        <w:fldChar w:fldCharType="separate"/>
      </w:r>
      <w:r w:rsidR="004C3B71">
        <w:t xml:space="preserve">Figure </w:t>
      </w:r>
      <w:r w:rsidR="004C3B71">
        <w:rPr>
          <w:noProof/>
        </w:rPr>
        <w:t>3</w:t>
      </w:r>
      <w:r>
        <w:rPr>
          <w:lang w:val="en-GB"/>
        </w:rPr>
        <w:fldChar w:fldCharType="end"/>
      </w:r>
      <w:r>
        <w:rPr>
          <w:lang w:val="en-GB"/>
        </w:rPr>
        <w:t xml:space="preserve"> </w:t>
      </w:r>
      <w:r w:rsidRPr="0010462E">
        <w:rPr>
          <w:lang w:val="en-GB"/>
        </w:rPr>
        <w:t>shows</w:t>
      </w:r>
      <w:r>
        <w:rPr>
          <w:lang w:val="en-GB"/>
        </w:rPr>
        <w:t xml:space="preserve"> </w:t>
      </w:r>
      <w:r w:rsidRPr="0010462E">
        <w:rPr>
          <w:lang w:val="en-GB"/>
        </w:rPr>
        <w:t>the</w:t>
      </w:r>
      <w:r>
        <w:rPr>
          <w:lang w:val="en-GB"/>
        </w:rPr>
        <w:t xml:space="preserve"> distributions of each KPI as a </w:t>
      </w:r>
      <w:r>
        <w:rPr>
          <w:lang w:val="en-GB"/>
        </w:rPr>
        <w:lastRenderedPageBreak/>
        <w:t>function of the uncertainty in the retention factors</w:t>
      </w:r>
      <w:r w:rsidRPr="0010462E">
        <w:rPr>
          <w:lang w:val="en-GB"/>
        </w:rPr>
        <w:t xml:space="preserve">. </w:t>
      </w:r>
      <w:r>
        <w:rPr>
          <w:lang w:val="en-GB"/>
        </w:rPr>
        <w:t>The figure shows that the inaccuracy of the model does not impact the feasibility of the method (i.e., all scenarios are on-spec)</w:t>
      </w:r>
      <w:r w:rsidRPr="0010462E">
        <w:rPr>
          <w:lang w:val="en-GB"/>
        </w:rPr>
        <w:t xml:space="preserve">. </w:t>
      </w:r>
      <w:r>
        <w:rPr>
          <w:lang w:val="en-GB"/>
        </w:rPr>
        <w:t>The</w:t>
      </w:r>
      <w:r w:rsidRPr="00DB35E6">
        <w:rPr>
          <w:lang w:val="en-GB"/>
        </w:rPr>
        <w:t xml:space="preserve"> uncertainty</w:t>
      </w:r>
      <w:r>
        <w:rPr>
          <w:lang w:val="en-GB"/>
        </w:rPr>
        <w:t xml:space="preserve"> results in a</w:t>
      </w:r>
      <w:r w:rsidRPr="00DB35E6">
        <w:rPr>
          <w:lang w:val="en-GB"/>
        </w:rPr>
        <w:t xml:space="preserve"> probability</w:t>
      </w:r>
      <w:r>
        <w:rPr>
          <w:lang w:val="en-GB"/>
        </w:rPr>
        <w:t xml:space="preserve"> of</w:t>
      </w:r>
      <w:r w:rsidRPr="00DB35E6">
        <w:rPr>
          <w:lang w:val="en-GB"/>
        </w:rPr>
        <w:t xml:space="preserve"> occurrence of two</w:t>
      </w:r>
      <w:r>
        <w:rPr>
          <w:lang w:val="en-GB"/>
        </w:rPr>
        <w:t>-</w:t>
      </w:r>
      <w:r w:rsidRPr="00DB35E6">
        <w:rPr>
          <w:lang w:val="en-GB"/>
        </w:rPr>
        <w:t xml:space="preserve"> and four</w:t>
      </w:r>
      <w:r>
        <w:rPr>
          <w:lang w:val="en-GB"/>
        </w:rPr>
        <w:t>-</w:t>
      </w:r>
      <w:r w:rsidRPr="00DB35E6">
        <w:rPr>
          <w:lang w:val="en-GB"/>
        </w:rPr>
        <w:t xml:space="preserve">component overlapping </w:t>
      </w:r>
      <w:r>
        <w:rPr>
          <w:lang w:val="en-GB"/>
        </w:rPr>
        <w:t>of</w:t>
      </w:r>
      <w:r w:rsidRPr="00DB35E6">
        <w:rPr>
          <w:lang w:val="en-GB"/>
        </w:rPr>
        <w:t xml:space="preserve"> 3</w:t>
      </w:r>
      <w:r>
        <w:rPr>
          <w:lang w:val="en-GB"/>
        </w:rPr>
        <w:t>9.8</w:t>
      </w:r>
      <w:r w:rsidR="00B43403">
        <w:rPr>
          <w:lang w:val="en-GB"/>
        </w:rPr>
        <w:t xml:space="preserve"> </w:t>
      </w:r>
      <w:r w:rsidRPr="00DB35E6">
        <w:rPr>
          <w:lang w:val="en-GB"/>
        </w:rPr>
        <w:t>% and 5.4</w:t>
      </w:r>
      <w:r w:rsidR="00B43403">
        <w:rPr>
          <w:lang w:val="en-GB"/>
        </w:rPr>
        <w:t xml:space="preserve"> </w:t>
      </w:r>
      <w:r w:rsidRPr="00DB35E6">
        <w:rPr>
          <w:lang w:val="en-GB"/>
        </w:rPr>
        <w:t>%, respectively.</w:t>
      </w:r>
      <w:r w:rsidRPr="0010462E">
        <w:rPr>
          <w:lang w:val="en-GB"/>
        </w:rPr>
        <w:t xml:space="preserve"> </w:t>
      </w:r>
      <w:r>
        <w:rPr>
          <w:lang w:val="en-GB"/>
        </w:rPr>
        <w:t xml:space="preserve">However, the distribution of the overall separation quality suggests that the extent of the band overlap is minimal (expected value for the overall separation quality of 0.979); thus, components can still be separated but with a lower yield (i.e., overlapping parts will go to waste or will require reprocessing). This </w:t>
      </w:r>
      <w:r w:rsidRPr="0008181B">
        <w:rPr>
          <w:lang w:val="en-GB"/>
        </w:rPr>
        <w:t xml:space="preserve">reveals that inaccuracies introduced by the underlying </w:t>
      </w:r>
      <w:r>
        <w:rPr>
          <w:lang w:val="en-GB"/>
        </w:rPr>
        <w:t>HSM model</w:t>
      </w:r>
      <w:r w:rsidRPr="0008181B">
        <w:rPr>
          <w:lang w:val="en-GB"/>
        </w:rPr>
        <w:t xml:space="preserve"> do not impact</w:t>
      </w:r>
      <w:r>
        <w:rPr>
          <w:lang w:val="en-GB"/>
        </w:rPr>
        <w:t xml:space="preserve"> </w:t>
      </w:r>
      <w:r w:rsidRPr="0008181B">
        <w:rPr>
          <w:lang w:val="en-GB"/>
        </w:rPr>
        <w:t xml:space="preserve">the performance of a given </w:t>
      </w:r>
      <w:r>
        <w:rPr>
          <w:lang w:val="en-GB"/>
        </w:rPr>
        <w:t>RP</w:t>
      </w:r>
      <w:r w:rsidRPr="0008181B">
        <w:rPr>
          <w:lang w:val="en-GB"/>
        </w:rPr>
        <w:t>LCx</w:t>
      </w:r>
      <w:r>
        <w:rPr>
          <w:lang w:val="en-GB"/>
        </w:rPr>
        <w:t>RP</w:t>
      </w:r>
      <w:r w:rsidRPr="0008181B">
        <w:rPr>
          <w:lang w:val="en-GB"/>
        </w:rPr>
        <w:t xml:space="preserve">LC system, thus demonstrating that the shortcut </w:t>
      </w:r>
    </w:p>
    <w:tbl>
      <w:tblPr>
        <w:tblStyle w:val="Grigliatabella"/>
        <w:tblpPr w:leftFromText="180" w:rightFromText="180" w:vertAnchor="text" w:horzAnchor="margin" w:tblpY="371"/>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tblGrid>
      <w:tr w:rsidR="002F4C35" w:rsidRPr="0010462E" w14:paraId="772A6AE0" w14:textId="77777777" w:rsidTr="002F4C35">
        <w:trPr>
          <w:cantSplit/>
        </w:trPr>
        <w:tc>
          <w:tcPr>
            <w:tcW w:w="7119" w:type="dxa"/>
          </w:tcPr>
          <w:p w14:paraId="03566BE0" w14:textId="77777777" w:rsidR="002F4C35" w:rsidRDefault="002F4C35" w:rsidP="002F4C35">
            <w:pPr>
              <w:pStyle w:val="Els-body-text"/>
              <w:keepNext/>
              <w:jc w:val="center"/>
            </w:pPr>
          </w:p>
          <w:p w14:paraId="25751D1C" w14:textId="77777777" w:rsidR="002F4C35" w:rsidRDefault="002F4C35" w:rsidP="002F4C35">
            <w:pPr>
              <w:pStyle w:val="Els-body-text"/>
              <w:keepNext/>
              <w:jc w:val="center"/>
            </w:pPr>
            <w:r w:rsidRPr="0010462E">
              <w:rPr>
                <w:noProof/>
                <w:lang w:val="en-GB" w:eastAsia="en-GB"/>
              </w:rPr>
              <w:drawing>
                <wp:inline distT="0" distB="0" distL="0" distR="0" wp14:anchorId="31530C9C" wp14:editId="5A17929D">
                  <wp:extent cx="4320000" cy="1359683"/>
                  <wp:effectExtent l="0" t="0" r="4445" b="0"/>
                  <wp:docPr id="737191414" name="Picture 4" descr="A diagram of different colore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91414" name="Picture 4" descr="A diagram of different colored circles&#10;&#10;Description automatically generated with medium confidence"/>
                          <pic:cNvPicPr/>
                        </pic:nvPicPr>
                        <pic:blipFill>
                          <a:blip r:embed="rId10" cstate="print">
                            <a:extLst>
                              <a:ext uri="{28A0092B-C50C-407E-A947-70E740481C1C}">
                                <a14:useLocalDpi xmlns:a14="http://schemas.microsoft.com/office/drawing/2010/main" val="0"/>
                              </a:ext>
                            </a:extLst>
                          </a:blip>
                          <a:srcRect t="2789" b="2789"/>
                          <a:stretch>
                            <a:fillRect/>
                          </a:stretch>
                        </pic:blipFill>
                        <pic:spPr bwMode="auto">
                          <a:xfrm>
                            <a:off x="0" y="0"/>
                            <a:ext cx="4320000" cy="1359683"/>
                          </a:xfrm>
                          <a:prstGeom prst="rect">
                            <a:avLst/>
                          </a:prstGeom>
                          <a:ln>
                            <a:noFill/>
                          </a:ln>
                          <a:extLst>
                            <a:ext uri="{53640926-AAD7-44D8-BBD7-CCE9431645EC}">
                              <a14:shadowObscured xmlns:a14="http://schemas.microsoft.com/office/drawing/2010/main"/>
                            </a:ext>
                          </a:extLst>
                        </pic:spPr>
                      </pic:pic>
                    </a:graphicData>
                  </a:graphic>
                </wp:inline>
              </w:drawing>
            </w:r>
          </w:p>
          <w:p w14:paraId="18EA7F82" w14:textId="225A086F" w:rsidR="002F4C35" w:rsidRPr="000A3000" w:rsidRDefault="002F4C35" w:rsidP="002F4C35">
            <w:pPr>
              <w:pStyle w:val="Didascalia"/>
              <w:jc w:val="both"/>
            </w:pPr>
            <w:bookmarkStart w:id="4" w:name="_Ref148358088"/>
            <w:r>
              <w:t xml:space="preserve">Figure </w:t>
            </w:r>
            <w:r>
              <w:fldChar w:fldCharType="begin"/>
            </w:r>
            <w:r>
              <w:instrText xml:space="preserve"> SEQ Figure \* ARABIC </w:instrText>
            </w:r>
            <w:r>
              <w:fldChar w:fldCharType="separate"/>
            </w:r>
            <w:r w:rsidR="004C3B71">
              <w:rPr>
                <w:noProof/>
              </w:rPr>
              <w:t>2</w:t>
            </w:r>
            <w:r>
              <w:fldChar w:fldCharType="end"/>
            </w:r>
            <w:bookmarkEnd w:id="4"/>
            <w:r>
              <w:t xml:space="preserve">. Bubble plot of the overall separation quality vs. analysis time of on-spec designs. The bubble size and color gradient refer to column internal diameter and column length, respectively, for the </w:t>
            </w:r>
            <w:r w:rsidRPr="008437B1">
              <w:rPr>
                <w:vertAlign w:val="superscript"/>
              </w:rPr>
              <w:t>1</w:t>
            </w:r>
            <w:r>
              <w:t xml:space="preserve">D column (left) and </w:t>
            </w:r>
            <w:r w:rsidRPr="008437B1">
              <w:rPr>
                <w:vertAlign w:val="superscript"/>
              </w:rPr>
              <w:t>2</w:t>
            </w:r>
            <w:r>
              <w:t>D column (right). The blue and orange color-maps refer to the 8-component and 16-component mixtures, respectively.</w:t>
            </w:r>
          </w:p>
        </w:tc>
      </w:tr>
    </w:tbl>
    <w:p w14:paraId="7BDCBC6D" w14:textId="4C22658C" w:rsidR="00713388" w:rsidRDefault="00713388" w:rsidP="00A278AE">
      <w:pPr>
        <w:pStyle w:val="Els-body-text"/>
        <w:rPr>
          <w:lang w:val="en-GB"/>
        </w:rPr>
      </w:pPr>
      <w:r w:rsidRPr="0008181B">
        <w:rPr>
          <w:lang w:val="en-GB"/>
        </w:rPr>
        <w:t>model can be safely used for in-silico RPLCxRPLC method development.</w:t>
      </w:r>
    </w:p>
    <w:p w14:paraId="24388C58" w14:textId="614BD3C1" w:rsidR="00A278AE" w:rsidRDefault="00A278AE" w:rsidP="00A278AE">
      <w:pPr>
        <w:pStyle w:val="Els-body-text"/>
        <w:rPr>
          <w:lang w:val="en-GB"/>
        </w:rPr>
      </w:pPr>
    </w:p>
    <w:tbl>
      <w:tblPr>
        <w:tblStyle w:val="Grigliatabella"/>
        <w:tblpPr w:leftFromText="180" w:rightFromText="180" w:vertAnchor="text" w:horzAnchor="margin"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2F4C35" w14:paraId="17EC7A71" w14:textId="77777777" w:rsidTr="002F4C35">
        <w:tc>
          <w:tcPr>
            <w:tcW w:w="7076" w:type="dxa"/>
          </w:tcPr>
          <w:p w14:paraId="78D24733" w14:textId="77777777" w:rsidR="002F4C35" w:rsidRDefault="002F4C35" w:rsidP="002F4C35">
            <w:pPr>
              <w:pStyle w:val="Els-body-text"/>
              <w:keepNext/>
              <w:jc w:val="center"/>
            </w:pPr>
            <w:r>
              <w:rPr>
                <w:noProof/>
                <w:lang w:val="en-GB" w:eastAsia="en-GB"/>
              </w:rPr>
              <w:drawing>
                <wp:inline distT="0" distB="0" distL="0" distR="0" wp14:anchorId="66220A07" wp14:editId="42E7AB99">
                  <wp:extent cx="4320000" cy="1259999"/>
                  <wp:effectExtent l="0" t="0" r="4445" b="0"/>
                  <wp:docPr id="792078992" name="Picture 792078992"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78992" name="Picture 792078992" descr="A comparison of a grap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1259999"/>
                          </a:xfrm>
                          <a:prstGeom prst="rect">
                            <a:avLst/>
                          </a:prstGeom>
                        </pic:spPr>
                      </pic:pic>
                    </a:graphicData>
                  </a:graphic>
                </wp:inline>
              </w:drawing>
            </w:r>
          </w:p>
          <w:p w14:paraId="36027919" w14:textId="2A2517E3" w:rsidR="002F4C35" w:rsidRDefault="002F4C35" w:rsidP="002F4C35">
            <w:pPr>
              <w:pStyle w:val="Didascalia"/>
              <w:jc w:val="both"/>
              <w:rPr>
                <w:lang w:val="en-GB"/>
              </w:rPr>
            </w:pPr>
            <w:bookmarkStart w:id="5" w:name="_Ref148438908"/>
            <w:r>
              <w:t xml:space="preserve">Figure </w:t>
            </w:r>
            <w:r>
              <w:fldChar w:fldCharType="begin"/>
            </w:r>
            <w:r>
              <w:instrText xml:space="preserve"> SEQ Figure \* ARABIC </w:instrText>
            </w:r>
            <w:r>
              <w:fldChar w:fldCharType="separate"/>
            </w:r>
            <w:r w:rsidR="004C3B71">
              <w:rPr>
                <w:noProof/>
              </w:rPr>
              <w:t>3</w:t>
            </w:r>
            <w:r>
              <w:fldChar w:fldCharType="end"/>
            </w:r>
            <w:bookmarkEnd w:id="5"/>
            <w:r>
              <w:t xml:space="preserve">. </w:t>
            </w:r>
            <w:r w:rsidRPr="00774C99">
              <w:t>Distribution of feasibility, analysis time, n</w:t>
            </w:r>
            <w:r>
              <w:t>umber of</w:t>
            </w:r>
            <w:r w:rsidRPr="00774C99">
              <w:t xml:space="preserve"> overlaps and overall separation quality as a result of </w:t>
            </w:r>
            <w:r>
              <w:t>uncertainty in the retention factors of the H</w:t>
            </w:r>
            <w:r w:rsidRPr="006C4BDC">
              <w:t>ydrophobic-</w:t>
            </w:r>
            <w:r>
              <w:t>S</w:t>
            </w:r>
            <w:r w:rsidRPr="006C4BDC">
              <w:t>ubtraction</w:t>
            </w:r>
            <w:r>
              <w:t xml:space="preserve"> M</w:t>
            </w:r>
            <w:r w:rsidRPr="00774C99">
              <w:t>odel.</w:t>
            </w:r>
          </w:p>
        </w:tc>
      </w:tr>
    </w:tbl>
    <w:p w14:paraId="144DE6A1" w14:textId="00FF824F" w:rsidR="008D2649" w:rsidRPr="00A94774" w:rsidRDefault="00A278AE" w:rsidP="008D2649">
      <w:pPr>
        <w:pStyle w:val="Els-1storder-head"/>
        <w:spacing w:after="120"/>
        <w:rPr>
          <w:lang w:val="en-GB"/>
        </w:rPr>
      </w:pPr>
      <w:r>
        <w:rPr>
          <w:lang w:val="en-GB"/>
        </w:rPr>
        <w:t>Conclusions</w:t>
      </w:r>
    </w:p>
    <w:p w14:paraId="0819DF13" w14:textId="6B0281F8" w:rsidR="00E875AF" w:rsidRPr="000E3496" w:rsidRDefault="00E875AF" w:rsidP="00E875AF">
      <w:pPr>
        <w:pStyle w:val="Els-body-text"/>
        <w:rPr>
          <w:color w:val="00B050"/>
          <w:lang w:val="en-GB"/>
        </w:rPr>
      </w:pPr>
      <w:r>
        <w:rPr>
          <w:lang w:val="en-GB"/>
        </w:rPr>
        <w:t>In this work, we have considered</w:t>
      </w:r>
      <w:r w:rsidRPr="00D027FF">
        <w:rPr>
          <w:lang w:val="en-GB"/>
        </w:rPr>
        <w:t xml:space="preserve"> method development and optimization of on-line comprehensive two-dimensional liquid chromatography</w:t>
      </w:r>
      <w:r>
        <w:rPr>
          <w:lang w:val="en-GB"/>
        </w:rPr>
        <w:t xml:space="preserve"> (</w:t>
      </w:r>
      <w:proofErr w:type="spellStart"/>
      <w:r>
        <w:rPr>
          <w:lang w:val="en-GB"/>
        </w:rPr>
        <w:t>LCxLC</w:t>
      </w:r>
      <w:proofErr w:type="spellEnd"/>
      <w:r>
        <w:rPr>
          <w:lang w:val="en-GB"/>
        </w:rPr>
        <w:t>); in particular,</w:t>
      </w:r>
      <w:r w:rsidRPr="00D027FF">
        <w:rPr>
          <w:lang w:val="en-GB"/>
        </w:rPr>
        <w:t xml:space="preserve"> we </w:t>
      </w:r>
      <w:r>
        <w:rPr>
          <w:lang w:val="en-GB"/>
        </w:rPr>
        <w:t xml:space="preserve">have demonstrated how global system analysis </w:t>
      </w:r>
      <w:r w:rsidRPr="00D027FF">
        <w:rPr>
          <w:lang w:val="en-GB"/>
        </w:rPr>
        <w:t>allow</w:t>
      </w:r>
      <w:r>
        <w:rPr>
          <w:lang w:val="en-GB"/>
        </w:rPr>
        <w:t>s</w:t>
      </w:r>
      <w:r w:rsidRPr="00D027FF">
        <w:rPr>
          <w:lang w:val="en-GB"/>
        </w:rPr>
        <w:t xml:space="preserve"> gain</w:t>
      </w:r>
      <w:r>
        <w:rPr>
          <w:lang w:val="en-GB"/>
        </w:rPr>
        <w:t>ing</w:t>
      </w:r>
      <w:r w:rsidRPr="00D027FF">
        <w:rPr>
          <w:lang w:val="en-GB"/>
        </w:rPr>
        <w:t xml:space="preserve"> insight into the performance </w:t>
      </w:r>
      <w:r>
        <w:rPr>
          <w:lang w:val="en-GB"/>
        </w:rPr>
        <w:t xml:space="preserve">of </w:t>
      </w:r>
      <w:proofErr w:type="spellStart"/>
      <w:r w:rsidRPr="00D027FF">
        <w:rPr>
          <w:lang w:val="en-GB"/>
        </w:rPr>
        <w:t>LCxLC</w:t>
      </w:r>
      <w:proofErr w:type="spellEnd"/>
      <w:r w:rsidRPr="00D027FF">
        <w:rPr>
          <w:lang w:val="en-GB"/>
        </w:rPr>
        <w:t xml:space="preserve"> </w:t>
      </w:r>
      <w:r>
        <w:rPr>
          <w:lang w:val="en-GB"/>
        </w:rPr>
        <w:t xml:space="preserve">systems </w:t>
      </w:r>
      <w:r w:rsidRPr="00D027FF">
        <w:rPr>
          <w:lang w:val="en-GB"/>
        </w:rPr>
        <w:t>and assess</w:t>
      </w:r>
      <w:r>
        <w:rPr>
          <w:lang w:val="en-GB"/>
        </w:rPr>
        <w:t>ing</w:t>
      </w:r>
      <w:r w:rsidRPr="00D027FF">
        <w:rPr>
          <w:lang w:val="en-GB"/>
        </w:rPr>
        <w:t xml:space="preserve"> the impact of </w:t>
      </w:r>
      <w:r>
        <w:rPr>
          <w:lang w:val="en-GB"/>
        </w:rPr>
        <w:t xml:space="preserve">the main sources of </w:t>
      </w:r>
      <w:r w:rsidRPr="00D027FF">
        <w:rPr>
          <w:lang w:val="en-GB"/>
        </w:rPr>
        <w:t>model uncertainty on the responses. Although</w:t>
      </w:r>
      <w:r>
        <w:rPr>
          <w:lang w:val="en-GB"/>
        </w:rPr>
        <w:t xml:space="preserve"> model</w:t>
      </w:r>
      <w:r w:rsidRPr="00D027FF">
        <w:rPr>
          <w:lang w:val="en-GB"/>
        </w:rPr>
        <w:t xml:space="preserve"> uncertainties impact the </w:t>
      </w:r>
      <w:r>
        <w:rPr>
          <w:lang w:val="en-GB"/>
        </w:rPr>
        <w:t>process performance</w:t>
      </w:r>
      <w:r w:rsidRPr="00D027FF">
        <w:rPr>
          <w:lang w:val="en-GB"/>
        </w:rPr>
        <w:t xml:space="preserve">, </w:t>
      </w:r>
      <w:r>
        <w:rPr>
          <w:lang w:val="en-GB"/>
        </w:rPr>
        <w:t xml:space="preserve">variation in </w:t>
      </w:r>
      <w:r w:rsidRPr="00D027FF">
        <w:rPr>
          <w:lang w:val="en-GB"/>
        </w:rPr>
        <w:t xml:space="preserve">the overall </w:t>
      </w:r>
      <w:r>
        <w:rPr>
          <w:lang w:val="en-GB"/>
        </w:rPr>
        <w:t>separation quality is limited, hence the proposed methodology is robust and permits developing fast and accurate two-dimensional designs</w:t>
      </w:r>
      <w:r w:rsidRPr="00D027FF">
        <w:rPr>
          <w:lang w:val="en-GB"/>
        </w:rPr>
        <w:t>.</w:t>
      </w:r>
      <w:r w:rsidRPr="00D901B6">
        <w:t xml:space="preserve"> </w:t>
      </w:r>
    </w:p>
    <w:p w14:paraId="638F8064" w14:textId="77777777" w:rsidR="00E875AF" w:rsidRDefault="00E875AF" w:rsidP="00E875AF">
      <w:pPr>
        <w:pStyle w:val="Els-reference-head"/>
        <w:rPr>
          <w:lang w:val="en-GB"/>
        </w:rPr>
      </w:pPr>
      <w:r w:rsidRPr="000F7145">
        <w:rPr>
          <w:lang w:val="en-GB"/>
        </w:rPr>
        <w:lastRenderedPageBreak/>
        <w:t>Acknowledgement</w:t>
      </w:r>
    </w:p>
    <w:p w14:paraId="133D67C7" w14:textId="77777777" w:rsidR="00E875AF" w:rsidRPr="00201C1F" w:rsidRDefault="00E875AF" w:rsidP="00E875AF">
      <w:pPr>
        <w:pStyle w:val="Els-body-text"/>
        <w:rPr>
          <w:lang w:val="en-GB"/>
        </w:rPr>
      </w:pPr>
      <w:r w:rsidRPr="00201C1F">
        <w:rPr>
          <w:lang w:val="en-GB"/>
        </w:rPr>
        <w:t>The authors wish to acknowledge the financial support</w:t>
      </w:r>
      <w:r>
        <w:rPr>
          <w:lang w:val="en-GB"/>
        </w:rPr>
        <w:t xml:space="preserve"> </w:t>
      </w:r>
      <w:r w:rsidRPr="00201C1F">
        <w:rPr>
          <w:lang w:val="en-GB"/>
        </w:rPr>
        <w:t xml:space="preserve">given to this research project by </w:t>
      </w:r>
      <w:r>
        <w:rPr>
          <w:lang w:val="en-GB"/>
        </w:rPr>
        <w:t xml:space="preserve">Eli Lilly and Company, and </w:t>
      </w:r>
      <w:r w:rsidRPr="00201C1F">
        <w:rPr>
          <w:lang w:val="en-GB"/>
        </w:rPr>
        <w:t>the Engineering and</w:t>
      </w:r>
      <w:r>
        <w:rPr>
          <w:lang w:val="en-GB"/>
        </w:rPr>
        <w:t xml:space="preserve"> </w:t>
      </w:r>
      <w:r w:rsidRPr="00201C1F">
        <w:rPr>
          <w:lang w:val="en-GB"/>
        </w:rPr>
        <w:t>Physical Sciences Research Council (EPSRC), grant code</w:t>
      </w:r>
      <w:r>
        <w:rPr>
          <w:lang w:val="en-GB"/>
        </w:rPr>
        <w:t xml:space="preserve"> </w:t>
      </w:r>
      <w:r w:rsidRPr="00201C1F">
        <w:rPr>
          <w:lang w:val="en-GB"/>
        </w:rPr>
        <w:t>EP/T005556/1.</w:t>
      </w:r>
    </w:p>
    <w:p w14:paraId="144DE6BF" w14:textId="608D0AD6" w:rsidR="008D2649" w:rsidRDefault="008D2649" w:rsidP="008D2649">
      <w:pPr>
        <w:pStyle w:val="Els-reference-head"/>
      </w:pPr>
      <w:r>
        <w:t>References</w:t>
      </w:r>
    </w:p>
    <w:p w14:paraId="5424E80E" w14:textId="77777777" w:rsidR="008E2486" w:rsidRPr="00342A8D" w:rsidRDefault="008E2486" w:rsidP="008E2486">
      <w:pPr>
        <w:pStyle w:val="Els-referenceno-number"/>
        <w:rPr>
          <w:lang w:val="en-US"/>
        </w:rPr>
      </w:pPr>
      <w:r>
        <w:rPr>
          <w:lang w:val="en-US"/>
        </w:rPr>
        <w:t xml:space="preserve">F. </w:t>
      </w:r>
      <w:r w:rsidRPr="00342A8D">
        <w:rPr>
          <w:lang w:val="en-US"/>
        </w:rPr>
        <w:t xml:space="preserve">Bedani, </w:t>
      </w:r>
      <w:r>
        <w:rPr>
          <w:lang w:val="en-US"/>
        </w:rPr>
        <w:t>P. J.</w:t>
      </w:r>
      <w:r w:rsidRPr="00342A8D">
        <w:rPr>
          <w:lang w:val="en-US"/>
        </w:rPr>
        <w:t xml:space="preserve"> Schoenmakers, </w:t>
      </w:r>
      <w:r>
        <w:rPr>
          <w:lang w:val="en-US"/>
        </w:rPr>
        <w:t xml:space="preserve">H.G. </w:t>
      </w:r>
      <w:r w:rsidRPr="00342A8D">
        <w:rPr>
          <w:lang w:val="en-US"/>
        </w:rPr>
        <w:t>Janssen, 2012. Theories to support method development in comprehensive two-dimensional liquid chromatography - A review. Journal of Separation Science, pp. 1697-1711.</w:t>
      </w:r>
    </w:p>
    <w:p w14:paraId="26E74E55" w14:textId="77777777" w:rsidR="008E2486" w:rsidRPr="00342A8D" w:rsidRDefault="008E2486" w:rsidP="008E2486">
      <w:pPr>
        <w:pStyle w:val="Els-referenceno-number"/>
        <w:rPr>
          <w:lang w:val="en-US"/>
        </w:rPr>
      </w:pPr>
      <w:r w:rsidRPr="00342A8D">
        <w:rPr>
          <w:lang w:val="en-US"/>
        </w:rPr>
        <w:t>B. W. J.</w:t>
      </w:r>
      <w:r>
        <w:rPr>
          <w:lang w:val="en-US"/>
        </w:rPr>
        <w:t xml:space="preserve"> </w:t>
      </w:r>
      <w:r w:rsidRPr="00342A8D">
        <w:rPr>
          <w:lang w:val="en-US"/>
        </w:rPr>
        <w:t>Pirok, A. F. G.</w:t>
      </w:r>
      <w:r>
        <w:rPr>
          <w:lang w:val="en-US"/>
        </w:rPr>
        <w:t xml:space="preserve"> </w:t>
      </w:r>
      <w:r w:rsidRPr="00342A8D">
        <w:rPr>
          <w:lang w:val="en-US"/>
        </w:rPr>
        <w:t>Gargano, P. J. Schoenmakers, 2018a. Optimizing separations in online comprehensive two-dimensional liquid chromatography. Journal of separation science, 68-98.</w:t>
      </w:r>
    </w:p>
    <w:p w14:paraId="12B4E647" w14:textId="77777777" w:rsidR="008E2486" w:rsidRPr="00342A8D" w:rsidRDefault="008E2486" w:rsidP="008E2486">
      <w:pPr>
        <w:pStyle w:val="Els-referenceno-number"/>
        <w:rPr>
          <w:lang w:val="en-US"/>
        </w:rPr>
      </w:pPr>
      <w:r w:rsidRPr="00342A8D">
        <w:t xml:space="preserve">B. W. J. Pirok, </w:t>
      </w:r>
      <w:r>
        <w:t>S.</w:t>
      </w:r>
      <w:r w:rsidRPr="00342A8D">
        <w:t xml:space="preserve"> Pous-Torres, </w:t>
      </w:r>
      <w:r>
        <w:t>C.</w:t>
      </w:r>
      <w:r w:rsidRPr="00342A8D">
        <w:t xml:space="preserve"> Ortiz-Bolsico, </w:t>
      </w:r>
      <w:r>
        <w:t xml:space="preserve">G. </w:t>
      </w:r>
      <w:r w:rsidRPr="00342A8D">
        <w:t>Viv</w:t>
      </w:r>
      <w:r>
        <w:t>ó</w:t>
      </w:r>
      <w:r w:rsidRPr="00342A8D">
        <w:t xml:space="preserve">-Truyols, </w:t>
      </w:r>
      <w:r>
        <w:t>P. J.</w:t>
      </w:r>
      <w:r w:rsidRPr="00342A8D">
        <w:t xml:space="preserve"> Schoenmakers, 2016. </w:t>
      </w:r>
      <w:r w:rsidRPr="00342A8D">
        <w:rPr>
          <w:lang w:val="en-US"/>
        </w:rPr>
        <w:t>Program for the interpretive optimization of two-dimensional resolution. Journal of Chromatography A, pp. 29-37.</w:t>
      </w:r>
    </w:p>
    <w:p w14:paraId="40F2EBA3" w14:textId="77777777" w:rsidR="008E2486" w:rsidRPr="00342A8D" w:rsidRDefault="008E2486" w:rsidP="008E2486">
      <w:pPr>
        <w:pStyle w:val="Els-referenceno-number"/>
        <w:rPr>
          <w:lang w:val="en-US"/>
        </w:rPr>
      </w:pPr>
      <w:r w:rsidRPr="00342A8D">
        <w:rPr>
          <w:lang w:val="en-US"/>
        </w:rPr>
        <w:t>B. W. J.</w:t>
      </w:r>
      <w:r>
        <w:rPr>
          <w:lang w:val="en-US"/>
        </w:rPr>
        <w:t xml:space="preserve"> </w:t>
      </w:r>
      <w:r w:rsidRPr="00342A8D">
        <w:rPr>
          <w:lang w:val="en-US"/>
        </w:rPr>
        <w:t>Pirok,</w:t>
      </w:r>
      <w:r>
        <w:rPr>
          <w:lang w:val="en-US"/>
        </w:rPr>
        <w:t xml:space="preserve"> </w:t>
      </w:r>
      <w:r w:rsidRPr="00342A8D">
        <w:rPr>
          <w:lang w:val="en-US"/>
        </w:rPr>
        <w:t>D. R. Stoll, , P. J. Schoenmakers</w:t>
      </w:r>
      <w:r>
        <w:rPr>
          <w:lang w:val="en-US"/>
        </w:rPr>
        <w:t xml:space="preserve">, </w:t>
      </w:r>
      <w:r w:rsidRPr="00342A8D">
        <w:rPr>
          <w:lang w:val="en-US"/>
        </w:rPr>
        <w:t>2018b. Recent Developments in Two-Dimensional Liquid Chromatography: Fundamental Improvements for Practical Applications. Analytical Chemistry, pp. 240-263.</w:t>
      </w:r>
    </w:p>
    <w:p w14:paraId="4246AEBF" w14:textId="77777777" w:rsidR="008E2486" w:rsidRPr="00342A8D" w:rsidRDefault="008E2486" w:rsidP="008E2486">
      <w:pPr>
        <w:pStyle w:val="Els-referenceno-number"/>
        <w:rPr>
          <w:lang w:val="en-US"/>
        </w:rPr>
      </w:pPr>
      <w:r>
        <w:rPr>
          <w:lang w:val="en-US"/>
        </w:rPr>
        <w:t xml:space="preserve">H. </w:t>
      </w:r>
      <w:r w:rsidRPr="00342A8D">
        <w:rPr>
          <w:lang w:val="en-US"/>
        </w:rPr>
        <w:t>Poppe, 1997. Some reflections on speed and efficiency of modem chromatographic methods. Journal of Chromatography A, pp. 3-21.</w:t>
      </w:r>
    </w:p>
    <w:p w14:paraId="2CAAA9C2" w14:textId="77777777" w:rsidR="008E2486" w:rsidRPr="00342A8D" w:rsidRDefault="008E2486" w:rsidP="008E2486">
      <w:pPr>
        <w:pStyle w:val="Els-referenceno-number"/>
        <w:rPr>
          <w:lang w:val="en-US"/>
        </w:rPr>
      </w:pPr>
      <w:r w:rsidRPr="00342A8D">
        <w:rPr>
          <w:lang w:val="en-US"/>
        </w:rPr>
        <w:t xml:space="preserve">Process Systems Enterprise, 2022. gPROMS ModelBuilder Version 7.1. </w:t>
      </w:r>
    </w:p>
    <w:p w14:paraId="2A3F3F2F" w14:textId="77777777" w:rsidR="008E2486" w:rsidRPr="00342A8D" w:rsidRDefault="008E2486" w:rsidP="008E2486">
      <w:pPr>
        <w:pStyle w:val="Els-referenceno-number"/>
        <w:rPr>
          <w:lang w:val="en-US"/>
        </w:rPr>
      </w:pPr>
      <w:r>
        <w:rPr>
          <w:lang w:val="en-US"/>
        </w:rPr>
        <w:t xml:space="preserve">G. </w:t>
      </w:r>
      <w:r w:rsidRPr="00342A8D">
        <w:rPr>
          <w:lang w:val="en-US"/>
        </w:rPr>
        <w:t xml:space="preserve">Qian, </w:t>
      </w:r>
      <w:r>
        <w:rPr>
          <w:lang w:val="en-US"/>
        </w:rPr>
        <w:t>A.</w:t>
      </w:r>
      <w:r w:rsidRPr="00342A8D">
        <w:rPr>
          <w:lang w:val="en-US"/>
        </w:rPr>
        <w:t xml:space="preserve"> Mahdi, 2020. Sensitivity analysis methods in the biomedical sciences. Mathematical biosciences</w:t>
      </w:r>
      <w:r>
        <w:rPr>
          <w:lang w:val="en-US"/>
        </w:rPr>
        <w:t xml:space="preserve">, </w:t>
      </w:r>
      <w:r w:rsidRPr="00342A8D">
        <w:rPr>
          <w:lang w:val="en-US"/>
        </w:rPr>
        <w:t>323, 108306.</w:t>
      </w:r>
    </w:p>
    <w:p w14:paraId="5767C165" w14:textId="77777777" w:rsidR="008E2486" w:rsidRPr="00342A8D" w:rsidRDefault="008E2486" w:rsidP="008E2486">
      <w:pPr>
        <w:pStyle w:val="Els-referenceno-number"/>
        <w:rPr>
          <w:lang w:val="en-US"/>
        </w:rPr>
      </w:pPr>
      <w:r w:rsidRPr="003810C0">
        <w:t xml:space="preserve">M. Sarrut, A. D'Attoma, S. Heinisch, 2015. </w:t>
      </w:r>
      <w:r w:rsidRPr="00342A8D">
        <w:rPr>
          <w:lang w:val="en-US"/>
        </w:rPr>
        <w:t>Optimization of conditions in on-line comprehensive two-dimensional reversed phase liquid chromatography. Experimental comparison with one-dimensional reversed phase liquid chromatography for the separation of peptides. Journal of Chromatography A, pp. 48-59.</w:t>
      </w:r>
    </w:p>
    <w:p w14:paraId="427318EE" w14:textId="77777777" w:rsidR="008E2486" w:rsidRPr="00342A8D" w:rsidRDefault="008E2486" w:rsidP="008E2486">
      <w:pPr>
        <w:pStyle w:val="Els-referenceno-number"/>
        <w:rPr>
          <w:lang w:val="en-US"/>
        </w:rPr>
      </w:pPr>
      <w:r w:rsidRPr="00342A8D">
        <w:rPr>
          <w:lang w:val="en-US"/>
        </w:rPr>
        <w:t>P. J.</w:t>
      </w:r>
      <w:r>
        <w:rPr>
          <w:lang w:val="en-US"/>
        </w:rPr>
        <w:t xml:space="preserve"> </w:t>
      </w:r>
      <w:r w:rsidRPr="00342A8D">
        <w:rPr>
          <w:lang w:val="en-US"/>
        </w:rPr>
        <w:t xml:space="preserve">Schoenmakers, </w:t>
      </w:r>
      <w:r>
        <w:rPr>
          <w:lang w:val="en-US"/>
        </w:rPr>
        <w:t xml:space="preserve">G. </w:t>
      </w:r>
      <w:r w:rsidRPr="00342A8D">
        <w:rPr>
          <w:lang w:val="en-US"/>
        </w:rPr>
        <w:t>Vivó-Truyols, W. M. C.</w:t>
      </w:r>
      <w:r>
        <w:rPr>
          <w:lang w:val="en-US"/>
        </w:rPr>
        <w:t xml:space="preserve"> </w:t>
      </w:r>
      <w:r w:rsidRPr="00342A8D">
        <w:rPr>
          <w:lang w:val="en-US"/>
        </w:rPr>
        <w:t>Decrop,</w:t>
      </w:r>
      <w:r>
        <w:rPr>
          <w:lang w:val="en-US"/>
        </w:rPr>
        <w:t xml:space="preserve"> </w:t>
      </w:r>
      <w:r w:rsidRPr="00342A8D">
        <w:rPr>
          <w:lang w:val="en-US"/>
        </w:rPr>
        <w:t>2006. A protocol for designing comprehensive two-dimensional liquid chromatography separation systems. Journal of Chromatography A, pp. 282-290.</w:t>
      </w:r>
    </w:p>
    <w:p w14:paraId="5490491D" w14:textId="77777777" w:rsidR="008E2486" w:rsidRPr="00342A8D" w:rsidRDefault="008E2486" w:rsidP="008E2486">
      <w:pPr>
        <w:pStyle w:val="Els-referenceno-number"/>
        <w:rPr>
          <w:lang w:val="en-US"/>
        </w:rPr>
      </w:pPr>
      <w:r w:rsidRPr="00342A8D">
        <w:rPr>
          <w:lang w:val="en-US"/>
        </w:rPr>
        <w:t>M. R.</w:t>
      </w:r>
      <w:r>
        <w:rPr>
          <w:lang w:val="en-US"/>
        </w:rPr>
        <w:t xml:space="preserve"> </w:t>
      </w:r>
      <w:r w:rsidRPr="00342A8D">
        <w:rPr>
          <w:lang w:val="en-US"/>
        </w:rPr>
        <w:t>Schure, 1997. Quantification of resolution for two-dimensional separations. Journal of Microcolumn Separations, pp. 169-176.</w:t>
      </w:r>
    </w:p>
    <w:p w14:paraId="3E51B188" w14:textId="77777777" w:rsidR="008E2486" w:rsidRPr="00342A8D" w:rsidRDefault="008E2486" w:rsidP="008E2486">
      <w:pPr>
        <w:pStyle w:val="Els-referenceno-number"/>
        <w:rPr>
          <w:lang w:val="en-US"/>
        </w:rPr>
      </w:pPr>
      <w:r w:rsidRPr="00342A8D">
        <w:rPr>
          <w:lang w:val="en-US"/>
        </w:rPr>
        <w:t>L. R.</w:t>
      </w:r>
      <w:r>
        <w:rPr>
          <w:lang w:val="en-US"/>
        </w:rPr>
        <w:t xml:space="preserve"> </w:t>
      </w:r>
      <w:r w:rsidRPr="00342A8D">
        <w:rPr>
          <w:lang w:val="en-US"/>
        </w:rPr>
        <w:t>Snyder, J. W. Dolan, P. W. Carr, 2004. The hydrophobic-subtraction model of reversed-phase column selectivity. Journal of Chromatography A, pp. 77-116.</w:t>
      </w:r>
    </w:p>
    <w:p w14:paraId="5F1479A2" w14:textId="18643D3A" w:rsidR="008E2486" w:rsidRPr="00342A8D" w:rsidRDefault="008E2486" w:rsidP="008E2486">
      <w:pPr>
        <w:pStyle w:val="Els-referenceno-number"/>
        <w:rPr>
          <w:lang w:val="en-US"/>
        </w:rPr>
      </w:pPr>
      <w:r>
        <w:rPr>
          <w:lang w:val="en-US"/>
        </w:rPr>
        <w:t xml:space="preserve">D. </w:t>
      </w:r>
      <w:r w:rsidRPr="00342A8D">
        <w:rPr>
          <w:lang w:val="en-US"/>
        </w:rPr>
        <w:t>Stoll, 2020. HPLC columns - Column Selectivity Database. Available at: https://www.hplccolumns.org/database/ [Accessed 17 October 2023].</w:t>
      </w:r>
    </w:p>
    <w:p w14:paraId="2F8B23C7" w14:textId="77777777" w:rsidR="008E2486" w:rsidRPr="00342A8D" w:rsidRDefault="008E2486" w:rsidP="008E2486">
      <w:pPr>
        <w:pStyle w:val="Els-referenceno-number"/>
        <w:rPr>
          <w:lang w:val="en-US"/>
        </w:rPr>
      </w:pPr>
      <w:r w:rsidRPr="00342A8D">
        <w:rPr>
          <w:lang w:val="en-US"/>
        </w:rPr>
        <w:t>D. R</w:t>
      </w:r>
      <w:r>
        <w:rPr>
          <w:lang w:val="en-US"/>
        </w:rPr>
        <w:t xml:space="preserve">. </w:t>
      </w:r>
      <w:r w:rsidRPr="00342A8D">
        <w:rPr>
          <w:lang w:val="en-US"/>
        </w:rPr>
        <w:t>Stoll, 2017. Introduction to two-dimensional liquid chromatography</w:t>
      </w:r>
      <w:r>
        <w:rPr>
          <w:lang w:val="en-US"/>
        </w:rPr>
        <w:t xml:space="preserve"> </w:t>
      </w:r>
      <w:r w:rsidRPr="00342A8D">
        <w:rPr>
          <w:lang w:val="en-US"/>
        </w:rPr>
        <w:t>-</w:t>
      </w:r>
      <w:r>
        <w:rPr>
          <w:lang w:val="en-US"/>
        </w:rPr>
        <w:t xml:space="preserve"> </w:t>
      </w:r>
      <w:r w:rsidRPr="00342A8D">
        <w:rPr>
          <w:lang w:val="en-US"/>
        </w:rPr>
        <w:t>theory and practice. Handbook of Advanced Chromatography/Mass Spectrometry Techniques</w:t>
      </w:r>
      <w:r>
        <w:rPr>
          <w:lang w:val="en-US"/>
        </w:rPr>
        <w:t>,</w:t>
      </w:r>
      <w:r w:rsidRPr="00342A8D">
        <w:rPr>
          <w:lang w:val="en-US"/>
        </w:rPr>
        <w:t xml:space="preserve"> Elsevier, 227-286.</w:t>
      </w:r>
    </w:p>
    <w:p w14:paraId="07E860AA" w14:textId="77777777" w:rsidR="008E2486" w:rsidRPr="00342A8D" w:rsidRDefault="008E2486" w:rsidP="008E2486">
      <w:pPr>
        <w:pStyle w:val="Els-referenceno-number"/>
        <w:rPr>
          <w:lang w:val="en-US"/>
        </w:rPr>
      </w:pPr>
      <w:r w:rsidRPr="003810C0">
        <w:t xml:space="preserve">M. Tirapelle, D. N. Chia, F. Duanmu, M. O. Besenhard, L. Mazzei, E. Sorensen, 2023. </w:t>
      </w:r>
      <w:r w:rsidRPr="001D5225">
        <w:rPr>
          <w:lang w:val="en-US"/>
        </w:rPr>
        <w:t>In-silico method development and optimization of on-line comprehensive two-dimensional liquid chromatography via a shortcut mode</w:t>
      </w:r>
      <w:r>
        <w:rPr>
          <w:lang w:val="en-US"/>
        </w:rPr>
        <w:t>l</w:t>
      </w:r>
      <w:r w:rsidRPr="00342A8D">
        <w:rPr>
          <w:lang w:val="en-US"/>
        </w:rPr>
        <w:t xml:space="preserve">, </w:t>
      </w:r>
      <w:r>
        <w:rPr>
          <w:lang w:val="en-US"/>
        </w:rPr>
        <w:t>submitted for publication.</w:t>
      </w:r>
    </w:p>
    <w:p w14:paraId="78D1054A" w14:textId="77777777" w:rsidR="008E2486" w:rsidRPr="00342A8D" w:rsidRDefault="008E2486" w:rsidP="008E2486">
      <w:pPr>
        <w:pStyle w:val="Els-referenceno-number"/>
        <w:rPr>
          <w:lang w:val="en-US"/>
        </w:rPr>
      </w:pPr>
      <w:r>
        <w:rPr>
          <w:lang w:val="en-US"/>
        </w:rPr>
        <w:t xml:space="preserve">G. </w:t>
      </w:r>
      <w:r w:rsidRPr="00342A8D">
        <w:rPr>
          <w:lang w:val="en-US"/>
        </w:rPr>
        <w:t>Vivó-Truyols, S. J. Van Der Wal, P. J. Schoenmakers, 2010. Comprehensive Study on the Optimization of Online Two-Dimensional Liquid Chromatographic Systems Considering Losses in Theoretical Peak Capacity in First-and Second-Dimensions: A Pareto-Optimality Approach. Analytical chemistry, pp. 8525-8536.</w:t>
      </w:r>
    </w:p>
    <w:p w14:paraId="05C4D62E" w14:textId="77777777" w:rsidR="008E2486" w:rsidRPr="00342A8D" w:rsidRDefault="008E2486" w:rsidP="008E2486">
      <w:pPr>
        <w:pStyle w:val="Els-referenceno-number"/>
        <w:rPr>
          <w:lang w:val="en-US"/>
        </w:rPr>
      </w:pPr>
      <w:r>
        <w:rPr>
          <w:lang w:val="en-US"/>
        </w:rPr>
        <w:t xml:space="preserve">X. </w:t>
      </w:r>
      <w:r w:rsidRPr="00342A8D">
        <w:rPr>
          <w:lang w:val="en-US"/>
        </w:rPr>
        <w:t>Wang, D. R.</w:t>
      </w:r>
      <w:r>
        <w:rPr>
          <w:lang w:val="en-US"/>
        </w:rPr>
        <w:t xml:space="preserve"> </w:t>
      </w:r>
      <w:r w:rsidRPr="00342A8D">
        <w:rPr>
          <w:lang w:val="en-US"/>
        </w:rPr>
        <w:t>Stoll, A. P. Schellinger, P. W. Carr, 2006. Peak capacity optimization of peptide separations in reversed-phase gradient elution chromatography: fixed column format. Analytical chemistry, pp. 3406-3416.</w:t>
      </w:r>
    </w:p>
    <w:p w14:paraId="6B596492" w14:textId="77777777" w:rsidR="008E2486" w:rsidRDefault="008E2486" w:rsidP="008E2486">
      <w:pPr>
        <w:pStyle w:val="Els-referenceno-number"/>
        <w:rPr>
          <w:lang w:val="en-US"/>
        </w:rPr>
      </w:pPr>
      <w:r>
        <w:t>N. S. Wilson, M. D. Nelson, J. W. Dolan, L. R. Snyder, R. G. Wolcott, P. W. Carr</w:t>
      </w:r>
      <w:r w:rsidRPr="001D5225">
        <w:t xml:space="preserve">, 2002. </w:t>
      </w:r>
      <w:r w:rsidRPr="00342A8D">
        <w:rPr>
          <w:lang w:val="en-US"/>
        </w:rPr>
        <w:t>Column selectivity in reversed-phase liquid chromatography: I. A general quantitative relationship. Journal of chromatography A, pp. 171-193.</w:t>
      </w:r>
    </w:p>
    <w:p w14:paraId="144DE6C3" w14:textId="77777777" w:rsidR="008D2649" w:rsidRDefault="008D2649" w:rsidP="008D2649">
      <w:pPr>
        <w:pStyle w:val="Els-referenceno-number"/>
        <w:rPr>
          <w:lang w:val="en-US"/>
        </w:rPr>
      </w:pP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9DF8" w14:textId="77777777" w:rsidR="000B5419" w:rsidRDefault="000B5419">
      <w:r>
        <w:separator/>
      </w:r>
    </w:p>
  </w:endnote>
  <w:endnote w:type="continuationSeparator" w:id="0">
    <w:p w14:paraId="0A8EA897" w14:textId="77777777" w:rsidR="000B5419" w:rsidRDefault="000B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B315" w14:textId="77777777" w:rsidR="000B5419" w:rsidRDefault="000B5419">
      <w:r>
        <w:separator/>
      </w:r>
    </w:p>
  </w:footnote>
  <w:footnote w:type="continuationSeparator" w:id="0">
    <w:p w14:paraId="3B9CCB73" w14:textId="77777777" w:rsidR="000B5419" w:rsidRDefault="000B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CB0DA3A" w:rsidR="00DD3D9E" w:rsidRDefault="00DD3D9E">
    <w:pPr>
      <w:pStyle w:val="Intestazione"/>
      <w:tabs>
        <w:tab w:val="clear" w:pos="7200"/>
        <w:tab w:val="right" w:pos="7088"/>
      </w:tabs>
    </w:pPr>
    <w:r>
      <w:rPr>
        <w:rStyle w:val="Numeropagina"/>
      </w:rPr>
      <w:tab/>
    </w:r>
    <w:r>
      <w:rPr>
        <w:rStyle w:val="Numeropagina"/>
        <w:i/>
      </w:rPr>
      <w:tab/>
    </w:r>
    <w:r w:rsidR="00A217D9">
      <w:rPr>
        <w:i/>
      </w:rPr>
      <w:t>M. Tirapelle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63F0604" w:rsidR="00DD3D9E" w:rsidRDefault="00E75F1F" w:rsidP="00A217D9">
    <w:pPr>
      <w:pStyle w:val="Intestazione"/>
      <w:tabs>
        <w:tab w:val="clear" w:pos="7200"/>
        <w:tab w:val="right" w:pos="7088"/>
      </w:tabs>
      <w:rPr>
        <w:sz w:val="24"/>
      </w:rPr>
    </w:pPr>
    <w:r w:rsidRPr="00E75F1F">
      <w:rPr>
        <w:i/>
      </w:rPr>
      <w:t>Global system analysis of on-line comprehensive two-dimensional liqui</w:t>
    </w:r>
    <w:r w:rsidR="00A217D9">
      <w:rPr>
        <w:i/>
      </w:rPr>
      <w:t>d…</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2552"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7683"/>
    <w:rsid w:val="00041571"/>
    <w:rsid w:val="000B5419"/>
    <w:rsid w:val="000C6703"/>
    <w:rsid w:val="000D3D9B"/>
    <w:rsid w:val="001330C6"/>
    <w:rsid w:val="0016032F"/>
    <w:rsid w:val="001879F6"/>
    <w:rsid w:val="001C0148"/>
    <w:rsid w:val="001C757E"/>
    <w:rsid w:val="001F2F9D"/>
    <w:rsid w:val="0020390F"/>
    <w:rsid w:val="00264926"/>
    <w:rsid w:val="002C5B9C"/>
    <w:rsid w:val="002F4C35"/>
    <w:rsid w:val="0032706E"/>
    <w:rsid w:val="003D1582"/>
    <w:rsid w:val="003D7E4C"/>
    <w:rsid w:val="003E41C2"/>
    <w:rsid w:val="0049772C"/>
    <w:rsid w:val="004C3B71"/>
    <w:rsid w:val="00545B97"/>
    <w:rsid w:val="00552EEB"/>
    <w:rsid w:val="00563AD6"/>
    <w:rsid w:val="005655CB"/>
    <w:rsid w:val="00565EBA"/>
    <w:rsid w:val="00623C7E"/>
    <w:rsid w:val="0064214F"/>
    <w:rsid w:val="006766DB"/>
    <w:rsid w:val="00681EDE"/>
    <w:rsid w:val="006A69BF"/>
    <w:rsid w:val="006D1EA8"/>
    <w:rsid w:val="006F51A2"/>
    <w:rsid w:val="0070326B"/>
    <w:rsid w:val="00710EF8"/>
    <w:rsid w:val="00711DF4"/>
    <w:rsid w:val="00713388"/>
    <w:rsid w:val="007720D5"/>
    <w:rsid w:val="007936D1"/>
    <w:rsid w:val="007B5AF0"/>
    <w:rsid w:val="007D70A1"/>
    <w:rsid w:val="008132E8"/>
    <w:rsid w:val="00823407"/>
    <w:rsid w:val="008B0184"/>
    <w:rsid w:val="008C5D02"/>
    <w:rsid w:val="008D2649"/>
    <w:rsid w:val="008E2486"/>
    <w:rsid w:val="0090568D"/>
    <w:rsid w:val="00911809"/>
    <w:rsid w:val="009125C9"/>
    <w:rsid w:val="00913879"/>
    <w:rsid w:val="009170EC"/>
    <w:rsid w:val="00917661"/>
    <w:rsid w:val="00970E5D"/>
    <w:rsid w:val="0097701C"/>
    <w:rsid w:val="00980A65"/>
    <w:rsid w:val="009C6F90"/>
    <w:rsid w:val="009F384F"/>
    <w:rsid w:val="00A06585"/>
    <w:rsid w:val="00A0700D"/>
    <w:rsid w:val="00A217D9"/>
    <w:rsid w:val="00A25CBF"/>
    <w:rsid w:val="00A25E70"/>
    <w:rsid w:val="00A278AE"/>
    <w:rsid w:val="00A33765"/>
    <w:rsid w:val="00A63269"/>
    <w:rsid w:val="00A72DCE"/>
    <w:rsid w:val="00A92377"/>
    <w:rsid w:val="00AB29ED"/>
    <w:rsid w:val="00AD1CDC"/>
    <w:rsid w:val="00AE4BD8"/>
    <w:rsid w:val="00AE652F"/>
    <w:rsid w:val="00AF0072"/>
    <w:rsid w:val="00B05B38"/>
    <w:rsid w:val="00B43403"/>
    <w:rsid w:val="00B4388F"/>
    <w:rsid w:val="00B44CDA"/>
    <w:rsid w:val="00B63237"/>
    <w:rsid w:val="00B90981"/>
    <w:rsid w:val="00B90F1D"/>
    <w:rsid w:val="00BE77CB"/>
    <w:rsid w:val="00C00795"/>
    <w:rsid w:val="00C20500"/>
    <w:rsid w:val="00C960DC"/>
    <w:rsid w:val="00CD724D"/>
    <w:rsid w:val="00D02C75"/>
    <w:rsid w:val="00D10E22"/>
    <w:rsid w:val="00D13D2C"/>
    <w:rsid w:val="00D5702A"/>
    <w:rsid w:val="00D73081"/>
    <w:rsid w:val="00D9508F"/>
    <w:rsid w:val="00DC2F94"/>
    <w:rsid w:val="00DD3D9E"/>
    <w:rsid w:val="00DD7908"/>
    <w:rsid w:val="00DF223B"/>
    <w:rsid w:val="00E75F1F"/>
    <w:rsid w:val="00E82297"/>
    <w:rsid w:val="00E875AF"/>
    <w:rsid w:val="00E96DA9"/>
    <w:rsid w:val="00EF39FD"/>
    <w:rsid w:val="00F06842"/>
    <w:rsid w:val="00F107FD"/>
    <w:rsid w:val="00F543D4"/>
    <w:rsid w:val="00F5504B"/>
    <w:rsid w:val="00FB631E"/>
    <w:rsid w:val="00FB64A8"/>
    <w:rsid w:val="00FD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04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C165-FF36-4C89-857E-B6ACBDA6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51</TotalTime>
  <Pages>6</Pages>
  <Words>2589</Words>
  <Characters>15427</Characters>
  <Application>Microsoft Office Word</Application>
  <DocSecurity>0</DocSecurity>
  <Lines>128</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75</cp:revision>
  <cp:lastPrinted>2023-12-13T16:36:00Z</cp:lastPrinted>
  <dcterms:created xsi:type="dcterms:W3CDTF">2023-10-02T07:50:00Z</dcterms:created>
  <dcterms:modified xsi:type="dcterms:W3CDTF">2024-01-21T16:22:00Z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