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E67F" w14:textId="33D3A394" w:rsidR="00DD3D9E" w:rsidRPr="00B4388F" w:rsidRDefault="00001AAF" w:rsidP="00001AAF">
      <w:pPr>
        <w:pStyle w:val="Els-Title"/>
        <w:jc w:val="center"/>
        <w:rPr>
          <w:color w:val="000000" w:themeColor="text1"/>
        </w:rPr>
      </w:pPr>
      <w:r w:rsidRPr="00001AAF">
        <w:rPr>
          <w:color w:val="000000" w:themeColor="text1"/>
        </w:rPr>
        <w:t>Modelling and optimization of ikaite precipitation for CO</w:t>
      </w:r>
      <w:r w:rsidRPr="00001AAF">
        <w:rPr>
          <w:color w:val="000000" w:themeColor="text1"/>
          <w:vertAlign w:val="subscript"/>
        </w:rPr>
        <w:t>2</w:t>
      </w:r>
      <w:r w:rsidRPr="00001AAF">
        <w:rPr>
          <w:color w:val="000000" w:themeColor="text1"/>
        </w:rPr>
        <w:t xml:space="preserve"> removal based on ocean alkalinity enhancement</w:t>
      </w:r>
    </w:p>
    <w:p w14:paraId="144DE681" w14:textId="45BBA455" w:rsidR="00DD3D9E" w:rsidRDefault="00001AAF">
      <w:pPr>
        <w:pStyle w:val="Els-Affiliation"/>
      </w:pPr>
      <w:r w:rsidRPr="00001AAF">
        <w:rPr>
          <w:i w:val="0"/>
          <w:sz w:val="22"/>
        </w:rPr>
        <w:t xml:space="preserve">Xuesong Lu, Pranav Thoutam, Aidong Yang </w:t>
      </w:r>
    </w:p>
    <w:p w14:paraId="144DE682" w14:textId="7E921850" w:rsidR="00DD3D9E" w:rsidRDefault="00001AAF">
      <w:pPr>
        <w:pStyle w:val="Els-Affiliation"/>
      </w:pPr>
      <w:r w:rsidRPr="00001AAF">
        <w:t>Department of Engineering Science, University of Oxford</w:t>
      </w:r>
    </w:p>
    <w:p w14:paraId="6E959C49" w14:textId="579BF61E" w:rsidR="007A0F49" w:rsidRDefault="00223C8F">
      <w:pPr>
        <w:pStyle w:val="Els-Affiliation"/>
      </w:pPr>
      <w:r w:rsidRPr="00D25159">
        <w:t xml:space="preserve">{xuesong.lu, </w:t>
      </w:r>
      <w:r w:rsidR="007A0F49" w:rsidRPr="00D25159">
        <w:t>Pranav.thoutam</w:t>
      </w:r>
      <w:r w:rsidRPr="00D25159">
        <w:t>, aidong.yang)</w:t>
      </w:r>
      <w:r w:rsidR="007A0F49" w:rsidRPr="00D25159">
        <w:t>@</w:t>
      </w:r>
      <w:r w:rsidR="007A0F49">
        <w:t>eng.ox.ac.uk</w:t>
      </w:r>
    </w:p>
    <w:p w14:paraId="144DE684" w14:textId="77777777" w:rsidR="008D2649" w:rsidRDefault="008D2649" w:rsidP="008D2649">
      <w:pPr>
        <w:pStyle w:val="Els-Abstract"/>
      </w:pPr>
      <w:r>
        <w:t>Abstract</w:t>
      </w:r>
    </w:p>
    <w:p w14:paraId="3F92CEBB" w14:textId="2CF32AF6" w:rsidR="00001AAF" w:rsidRDefault="00001AAF" w:rsidP="008D2649">
      <w:pPr>
        <w:pStyle w:val="Els-body-text"/>
        <w:spacing w:after="120"/>
        <w:rPr>
          <w:lang w:val="en-GB"/>
        </w:rPr>
      </w:pPr>
      <w:r w:rsidRPr="00001AAF">
        <w:rPr>
          <w:lang w:val="en-GB"/>
        </w:rPr>
        <w:t>In this study, numerical modelling</w:t>
      </w:r>
      <w:r w:rsidR="000A428A">
        <w:rPr>
          <w:lang w:val="en-GB"/>
        </w:rPr>
        <w:t xml:space="preserve"> </w:t>
      </w:r>
      <w:r w:rsidRPr="00001AAF">
        <w:rPr>
          <w:lang w:val="en-GB"/>
        </w:rPr>
        <w:t xml:space="preserve">that couples mass transfer and reaction kinetics has been performed on a process designed for ikaite production involving dissolution of calcite and the subsequent controlled precipitation to favour </w:t>
      </w:r>
      <w:r w:rsidR="00507F94">
        <w:rPr>
          <w:lang w:val="en-GB"/>
        </w:rPr>
        <w:t>i</w:t>
      </w:r>
      <w:r w:rsidRPr="00001AAF">
        <w:rPr>
          <w:lang w:val="en-GB"/>
        </w:rPr>
        <w:t xml:space="preserve">kaite selective crystallization. Multiple configurations regarding supply </w:t>
      </w:r>
      <w:r w:rsidR="0073128F">
        <w:rPr>
          <w:lang w:val="en-GB"/>
        </w:rPr>
        <w:t xml:space="preserve">of </w:t>
      </w:r>
      <w:r w:rsidR="00507F94">
        <w:rPr>
          <w:lang w:val="en-GB"/>
        </w:rPr>
        <w:t xml:space="preserve">calcite particles </w:t>
      </w:r>
      <w:r w:rsidRPr="00001AAF">
        <w:rPr>
          <w:lang w:val="en-GB"/>
        </w:rPr>
        <w:t>and agitation were considered</w:t>
      </w:r>
      <w:r w:rsidR="00C20F8C">
        <w:rPr>
          <w:lang w:val="en-GB"/>
        </w:rPr>
        <w:t xml:space="preserve"> </w:t>
      </w:r>
      <w:r w:rsidR="00507F94">
        <w:rPr>
          <w:lang w:val="en-GB"/>
        </w:rPr>
        <w:t>to evaluate</w:t>
      </w:r>
      <w:r w:rsidRPr="00001AAF">
        <w:rPr>
          <w:lang w:val="en-GB"/>
        </w:rPr>
        <w:t xml:space="preserve"> energy consumption. </w:t>
      </w:r>
      <w:r w:rsidR="000A428A">
        <w:rPr>
          <w:lang w:val="en-GB"/>
        </w:rPr>
        <w:t>Through simulation in COMSOL, t</w:t>
      </w:r>
      <w:r w:rsidRPr="00001AAF">
        <w:rPr>
          <w:lang w:val="en-GB"/>
        </w:rPr>
        <w:t>he results</w:t>
      </w:r>
      <w:r w:rsidR="00C20F8C">
        <w:rPr>
          <w:lang w:val="en-GB"/>
        </w:rPr>
        <w:t xml:space="preserve"> identified </w:t>
      </w:r>
      <w:r w:rsidR="0005242E">
        <w:rPr>
          <w:lang w:val="en-GB"/>
        </w:rPr>
        <w:t>the importance of dissolution and crystallisation over degassing</w:t>
      </w:r>
      <w:r w:rsidRPr="00001AAF">
        <w:rPr>
          <w:lang w:val="en-GB"/>
        </w:rPr>
        <w:t>,</w:t>
      </w:r>
      <w:r w:rsidR="00123788">
        <w:rPr>
          <w:lang w:val="en-GB"/>
        </w:rPr>
        <w:t xml:space="preserve"> and the significant influence of calcite particle size and agitation speed on total energy demand</w:t>
      </w:r>
      <w:r w:rsidR="0088522F">
        <w:rPr>
          <w:lang w:val="en-GB"/>
        </w:rPr>
        <w:t>, which are to be focused on in the subsequent experimental studies</w:t>
      </w:r>
      <w:r w:rsidRPr="00001AAF">
        <w:rPr>
          <w:lang w:val="en-GB"/>
        </w:rPr>
        <w:t xml:space="preserve">. </w:t>
      </w:r>
    </w:p>
    <w:p w14:paraId="144DE687" w14:textId="0827E843" w:rsidR="008D2649" w:rsidRDefault="008D2649" w:rsidP="008D2649">
      <w:pPr>
        <w:pStyle w:val="Els-body-text"/>
        <w:spacing w:after="120"/>
        <w:rPr>
          <w:lang w:val="en-GB"/>
        </w:rPr>
      </w:pPr>
      <w:r>
        <w:rPr>
          <w:b/>
          <w:bCs/>
          <w:lang w:val="en-GB"/>
        </w:rPr>
        <w:t>Keywords</w:t>
      </w:r>
      <w:r>
        <w:rPr>
          <w:lang w:val="en-GB"/>
        </w:rPr>
        <w:t xml:space="preserve">: </w:t>
      </w:r>
      <w:r w:rsidR="00001AAF">
        <w:rPr>
          <w:lang w:val="en-GB"/>
        </w:rPr>
        <w:t xml:space="preserve">dissolution, crystallization, </w:t>
      </w:r>
      <w:r w:rsidR="007E50EC">
        <w:rPr>
          <w:lang w:val="en-GB"/>
        </w:rPr>
        <w:t>i</w:t>
      </w:r>
      <w:r w:rsidR="00001AAF">
        <w:rPr>
          <w:lang w:val="en-GB"/>
        </w:rPr>
        <w:t>kaite, energy efficiency</w:t>
      </w:r>
    </w:p>
    <w:p w14:paraId="144DE689" w14:textId="095C547C" w:rsidR="008D2649" w:rsidRDefault="00001AAF" w:rsidP="008D2649">
      <w:pPr>
        <w:pStyle w:val="Els-1storder-head"/>
      </w:pPr>
      <w:r>
        <w:t>Introduction</w:t>
      </w:r>
    </w:p>
    <w:p w14:paraId="522BD34A" w14:textId="6575F995" w:rsidR="00C8789D" w:rsidRDefault="00C8789D" w:rsidP="00C8789D">
      <w:pPr>
        <w:pStyle w:val="Els-body-text"/>
      </w:pPr>
      <w:r>
        <w:t xml:space="preserve">In order to reach the goals of </w:t>
      </w:r>
      <w:r w:rsidR="00754FC8">
        <w:t>the Paris</w:t>
      </w:r>
      <w:r>
        <w:t xml:space="preserve"> agreement, it </w:t>
      </w:r>
      <w:r w:rsidR="00070347">
        <w:t xml:space="preserve">has been considered necessary to remove </w:t>
      </w:r>
      <w:r>
        <w:t>CO</w:t>
      </w:r>
      <w:r w:rsidRPr="00C8789D">
        <w:rPr>
          <w:vertAlign w:val="subscript"/>
        </w:rPr>
        <w:t>2</w:t>
      </w:r>
      <w:r>
        <w:t xml:space="preserve"> from the atmosphere</w:t>
      </w:r>
      <w:r w:rsidR="007B452E">
        <w:t xml:space="preserve"> along with significant reduction of emissions</w:t>
      </w:r>
      <w:r>
        <w:t>. Oceans have been acting as the natural sink for CO</w:t>
      </w:r>
      <w:r w:rsidRPr="00C8789D">
        <w:rPr>
          <w:vertAlign w:val="subscript"/>
        </w:rPr>
        <w:t>2</w:t>
      </w:r>
      <w:r w:rsidR="00861870">
        <w:t xml:space="preserve">. </w:t>
      </w:r>
      <w:r>
        <w:t xml:space="preserve">To </w:t>
      </w:r>
      <w:r w:rsidR="009873ED">
        <w:t xml:space="preserve">enhance </w:t>
      </w:r>
      <w:r w:rsidR="003F04E0">
        <w:t xml:space="preserve">this </w:t>
      </w:r>
      <w:r w:rsidR="00375986">
        <w:t>process</w:t>
      </w:r>
      <w:r w:rsidR="003A0126">
        <w:t xml:space="preserve"> as a way to actively remove CO</w:t>
      </w:r>
      <w:r w:rsidR="003A0126" w:rsidRPr="00E0371B">
        <w:rPr>
          <w:vertAlign w:val="subscript"/>
        </w:rPr>
        <w:t>2</w:t>
      </w:r>
      <w:r w:rsidR="003A0126">
        <w:t xml:space="preserve"> from the atmosphere</w:t>
      </w:r>
      <w:r>
        <w:t xml:space="preserve">, </w:t>
      </w:r>
      <w:r w:rsidR="00D12AAD">
        <w:t xml:space="preserve">it has been proposed to dissolve suitable minerals </w:t>
      </w:r>
      <w:r w:rsidR="0074214F">
        <w:t>in seawater to increase alkalinity</w:t>
      </w:r>
      <w:r w:rsidR="00041CCD">
        <w:t>,</w:t>
      </w:r>
      <w:r w:rsidR="0074214F">
        <w:t xml:space="preserve"> which promotes the dissolution of atmospheric CO</w:t>
      </w:r>
      <w:r w:rsidR="0074214F" w:rsidRPr="00E0371B">
        <w:rPr>
          <w:vertAlign w:val="subscript"/>
        </w:rPr>
        <w:t>2</w:t>
      </w:r>
      <w:r w:rsidR="0074214F">
        <w:t xml:space="preserve"> to form </w:t>
      </w:r>
      <w:r>
        <w:t>bicarbonates</w:t>
      </w:r>
      <w:r w:rsidR="00601163">
        <w:t xml:space="preserve">. </w:t>
      </w:r>
      <w:r>
        <w:t xml:space="preserve">Especially, </w:t>
      </w:r>
      <w:r w:rsidR="00807DE4">
        <w:t xml:space="preserve">calcite </w:t>
      </w:r>
      <w:r>
        <w:t>(CaCO</w:t>
      </w:r>
      <w:r w:rsidRPr="00C8789D">
        <w:rPr>
          <w:vertAlign w:val="subscript"/>
        </w:rPr>
        <w:t>3</w:t>
      </w:r>
      <w:r>
        <w:t>)</w:t>
      </w:r>
      <w:r w:rsidR="00601163">
        <w:t xml:space="preserve"> as a relatively fast dissolving </w:t>
      </w:r>
      <w:r w:rsidR="0085777A">
        <w:t>mineral has been suggested for this purpose</w:t>
      </w:r>
      <w:r w:rsidR="008F3A2A">
        <w:t xml:space="preserve">, </w:t>
      </w:r>
      <w:r w:rsidR="0085777A">
        <w:t xml:space="preserve">which however </w:t>
      </w:r>
      <w:r w:rsidR="005878D0">
        <w:t>has already</w:t>
      </w:r>
      <w:r>
        <w:t xml:space="preserve"> </w:t>
      </w:r>
      <w:r w:rsidR="007A0F49">
        <w:t>supersaturated</w:t>
      </w:r>
      <w:r>
        <w:t xml:space="preserve"> the ocean surface</w:t>
      </w:r>
      <w:r w:rsidR="00127F52">
        <w:t xml:space="preserve">, making it impossible to </w:t>
      </w:r>
      <w:r w:rsidR="001339B8">
        <w:t>draw down CO</w:t>
      </w:r>
      <w:r w:rsidR="001339B8" w:rsidRPr="00E0371B">
        <w:rPr>
          <w:vertAlign w:val="subscript"/>
        </w:rPr>
        <w:t>2</w:t>
      </w:r>
      <w:r w:rsidR="001339B8">
        <w:t xml:space="preserve"> from air through its </w:t>
      </w:r>
      <w:r w:rsidR="00754FC8">
        <w:t>dissolution.</w:t>
      </w:r>
      <w:r>
        <w:t xml:space="preserve">  </w:t>
      </w:r>
    </w:p>
    <w:p w14:paraId="1E9FEC93" w14:textId="7BD80A4F" w:rsidR="000A19DE" w:rsidRDefault="001339B8" w:rsidP="000A19DE">
      <w:pPr>
        <w:pStyle w:val="Els-1storder-head"/>
        <w:numPr>
          <w:ilvl w:val="0"/>
          <w:numId w:val="0"/>
        </w:numPr>
        <w:rPr>
          <w:b w:val="0"/>
          <w:bCs/>
          <w:sz w:val="20"/>
        </w:rPr>
      </w:pPr>
      <w:r w:rsidRPr="000A19DE">
        <w:rPr>
          <w:b w:val="0"/>
          <w:bCs/>
          <w:sz w:val="20"/>
        </w:rPr>
        <w:t xml:space="preserve">To address this issue, </w:t>
      </w:r>
      <w:r w:rsidR="006B2FDC" w:rsidRPr="000A19DE">
        <w:rPr>
          <w:b w:val="0"/>
          <w:bCs/>
          <w:sz w:val="20"/>
        </w:rPr>
        <w:t xml:space="preserve">the use of other minerals has been proposed, including particularly </w:t>
      </w:r>
      <w:r w:rsidR="00C8789D" w:rsidRPr="000A19DE">
        <w:rPr>
          <w:b w:val="0"/>
          <w:bCs/>
          <w:sz w:val="20"/>
        </w:rPr>
        <w:t>hydrated CaCO</w:t>
      </w:r>
      <w:r w:rsidR="00C8789D" w:rsidRPr="000A19DE">
        <w:rPr>
          <w:b w:val="0"/>
          <w:bCs/>
          <w:sz w:val="20"/>
          <w:vertAlign w:val="subscript"/>
        </w:rPr>
        <w:t>3</w:t>
      </w:r>
      <w:r w:rsidR="00C8789D" w:rsidRPr="000A19DE">
        <w:rPr>
          <w:b w:val="0"/>
          <w:bCs/>
          <w:sz w:val="20"/>
        </w:rPr>
        <w:t xml:space="preserve"> minerals such as </w:t>
      </w:r>
      <w:r w:rsidR="00807DE4" w:rsidRPr="000A19DE">
        <w:rPr>
          <w:b w:val="0"/>
          <w:bCs/>
          <w:sz w:val="20"/>
        </w:rPr>
        <w:t>ikaite</w:t>
      </w:r>
      <w:r w:rsidR="00C8789D" w:rsidRPr="000A19DE">
        <w:rPr>
          <w:b w:val="0"/>
          <w:bCs/>
          <w:sz w:val="20"/>
        </w:rPr>
        <w:t xml:space="preserve">, which </w:t>
      </w:r>
      <w:r w:rsidR="00807DE4" w:rsidRPr="000A19DE">
        <w:rPr>
          <w:b w:val="0"/>
          <w:bCs/>
          <w:sz w:val="20"/>
        </w:rPr>
        <w:t xml:space="preserve">can </w:t>
      </w:r>
      <w:r w:rsidR="009F1FB5" w:rsidRPr="000A19DE">
        <w:rPr>
          <w:b w:val="0"/>
          <w:bCs/>
          <w:sz w:val="20"/>
        </w:rPr>
        <w:t>overcome</w:t>
      </w:r>
      <w:r w:rsidR="00807DE4" w:rsidRPr="000A19DE">
        <w:rPr>
          <w:b w:val="0"/>
          <w:bCs/>
          <w:sz w:val="20"/>
        </w:rPr>
        <w:t xml:space="preserve"> the limitation of calcite and dissolve in seawater naturally</w:t>
      </w:r>
      <w:r w:rsidR="00051187" w:rsidRPr="000A19DE">
        <w:rPr>
          <w:b w:val="0"/>
          <w:bCs/>
          <w:sz w:val="20"/>
        </w:rPr>
        <w:t xml:space="preserve">, hence fulfilling the purpose of </w:t>
      </w:r>
      <w:r w:rsidR="00EE1219" w:rsidRPr="000A19DE">
        <w:rPr>
          <w:b w:val="0"/>
          <w:bCs/>
          <w:sz w:val="20"/>
        </w:rPr>
        <w:t>CO</w:t>
      </w:r>
      <w:r w:rsidR="00EE1219" w:rsidRPr="000A19DE">
        <w:rPr>
          <w:b w:val="0"/>
          <w:bCs/>
          <w:sz w:val="20"/>
          <w:vertAlign w:val="subscript"/>
        </w:rPr>
        <w:t>2</w:t>
      </w:r>
      <w:r w:rsidR="00EE1219" w:rsidRPr="000A19DE">
        <w:rPr>
          <w:b w:val="0"/>
          <w:bCs/>
          <w:sz w:val="20"/>
        </w:rPr>
        <w:t xml:space="preserve"> removal</w:t>
      </w:r>
      <w:r w:rsidR="00743950" w:rsidRPr="000A19DE">
        <w:rPr>
          <w:b w:val="0"/>
          <w:bCs/>
          <w:sz w:val="20"/>
        </w:rPr>
        <w:t xml:space="preserve"> </w:t>
      </w:r>
      <w:sdt>
        <w:sdtPr>
          <w:rPr>
            <w:b w:val="0"/>
            <w:bCs/>
            <w:sz w:val="20"/>
          </w:rPr>
          <w:id w:val="-1615817608"/>
          <w:citation/>
        </w:sdtPr>
        <w:sdtEndPr/>
        <w:sdtContent>
          <w:r w:rsidR="004B156D" w:rsidRPr="00BA049B">
            <w:rPr>
              <w:b w:val="0"/>
              <w:bCs/>
              <w:sz w:val="20"/>
            </w:rPr>
            <w:fldChar w:fldCharType="begin"/>
          </w:r>
          <w:r w:rsidR="004B156D" w:rsidRPr="00BA049B">
            <w:rPr>
              <w:b w:val="0"/>
              <w:bCs/>
              <w:sz w:val="20"/>
              <w:lang w:val="en-GB"/>
            </w:rPr>
            <w:instrText xml:space="preserve"> CITATION Ren17 \l 2057 </w:instrText>
          </w:r>
          <w:r w:rsidR="004B156D" w:rsidRPr="00BA049B">
            <w:rPr>
              <w:b w:val="0"/>
              <w:bCs/>
              <w:sz w:val="20"/>
            </w:rPr>
            <w:fldChar w:fldCharType="separate"/>
          </w:r>
          <w:r w:rsidR="00A56146" w:rsidRPr="00BA049B">
            <w:rPr>
              <w:b w:val="0"/>
              <w:bCs/>
              <w:noProof/>
              <w:sz w:val="20"/>
              <w:lang w:val="en-GB"/>
            </w:rPr>
            <w:t>(Renforth &amp; Henderson, 2017)</w:t>
          </w:r>
          <w:r w:rsidR="004B156D" w:rsidRPr="00BA049B">
            <w:rPr>
              <w:b w:val="0"/>
              <w:bCs/>
              <w:sz w:val="20"/>
            </w:rPr>
            <w:fldChar w:fldCharType="end"/>
          </w:r>
        </w:sdtContent>
      </w:sdt>
      <w:r w:rsidR="00A56146" w:rsidRPr="00BA049B">
        <w:rPr>
          <w:b w:val="0"/>
          <w:bCs/>
          <w:sz w:val="20"/>
        </w:rPr>
        <w:t>.</w:t>
      </w:r>
      <w:r w:rsidR="00A56146">
        <w:rPr>
          <w:b w:val="0"/>
          <w:bCs/>
          <w:sz w:val="20"/>
        </w:rPr>
        <w:t xml:space="preserve"> </w:t>
      </w:r>
      <w:r w:rsidR="00EE1219" w:rsidRPr="000A19DE">
        <w:rPr>
          <w:b w:val="0"/>
          <w:bCs/>
          <w:sz w:val="20"/>
        </w:rPr>
        <w:t xml:space="preserve">However, </w:t>
      </w:r>
      <w:r w:rsidR="00C8789D" w:rsidRPr="000A19DE">
        <w:rPr>
          <w:b w:val="0"/>
          <w:bCs/>
          <w:sz w:val="20"/>
        </w:rPr>
        <w:t xml:space="preserve">the natural </w:t>
      </w:r>
      <w:r w:rsidR="007A0F49" w:rsidRPr="000A19DE">
        <w:rPr>
          <w:b w:val="0"/>
          <w:bCs/>
          <w:sz w:val="20"/>
        </w:rPr>
        <w:t>occurrence</w:t>
      </w:r>
      <w:r w:rsidR="00C8789D" w:rsidRPr="000A19DE">
        <w:rPr>
          <w:b w:val="0"/>
          <w:bCs/>
          <w:sz w:val="20"/>
        </w:rPr>
        <w:t xml:space="preserve"> of </w:t>
      </w:r>
      <w:r w:rsidR="00874B1C">
        <w:rPr>
          <w:b w:val="0"/>
          <w:bCs/>
          <w:sz w:val="20"/>
        </w:rPr>
        <w:t>i</w:t>
      </w:r>
      <w:r w:rsidR="00C8789D" w:rsidRPr="000A19DE">
        <w:rPr>
          <w:b w:val="0"/>
          <w:bCs/>
          <w:sz w:val="20"/>
        </w:rPr>
        <w:t xml:space="preserve">kaite is extremely low, </w:t>
      </w:r>
      <w:r w:rsidR="00EE1219" w:rsidRPr="000A19DE">
        <w:rPr>
          <w:b w:val="0"/>
          <w:bCs/>
          <w:sz w:val="20"/>
        </w:rPr>
        <w:t>which means</w:t>
      </w:r>
      <w:r w:rsidR="00242721">
        <w:rPr>
          <w:b w:val="0"/>
          <w:bCs/>
          <w:sz w:val="20"/>
        </w:rPr>
        <w:t xml:space="preserve"> that</w:t>
      </w:r>
      <w:r w:rsidR="00EE1219" w:rsidRPr="000A19DE">
        <w:rPr>
          <w:b w:val="0"/>
          <w:bCs/>
          <w:sz w:val="20"/>
        </w:rPr>
        <w:t xml:space="preserve"> it </w:t>
      </w:r>
      <w:r w:rsidR="00651CC2" w:rsidRPr="000A19DE">
        <w:rPr>
          <w:b w:val="0"/>
          <w:bCs/>
          <w:sz w:val="20"/>
        </w:rPr>
        <w:t xml:space="preserve">needs to be manufactured artificially for use in ocean alkalinity enhancement. </w:t>
      </w:r>
      <w:r w:rsidR="00097D83" w:rsidRPr="000A19DE">
        <w:rPr>
          <w:b w:val="0"/>
          <w:bCs/>
          <w:sz w:val="20"/>
        </w:rPr>
        <w:t xml:space="preserve">To understand the feasibility and cost of ikaite manufacturing, </w:t>
      </w:r>
      <w:r w:rsidR="00B650A5" w:rsidRPr="000A19DE">
        <w:rPr>
          <w:b w:val="0"/>
          <w:bCs/>
          <w:sz w:val="20"/>
        </w:rPr>
        <w:t xml:space="preserve">the current </w:t>
      </w:r>
      <w:r w:rsidR="00B650A5" w:rsidRPr="000A19DE">
        <w:rPr>
          <w:b w:val="0"/>
          <w:bCs/>
          <w:sz w:val="20"/>
        </w:rPr>
        <w:lastRenderedPageBreak/>
        <w:t xml:space="preserve">work extends an earlier </w:t>
      </w:r>
      <w:r w:rsidR="00B650A5" w:rsidRPr="00EF51A2">
        <w:rPr>
          <w:b w:val="0"/>
          <w:bCs/>
          <w:sz w:val="20"/>
        </w:rPr>
        <w:t xml:space="preserve">study </w:t>
      </w:r>
      <w:r w:rsidR="00D27FD8" w:rsidRPr="00EF51A2">
        <w:rPr>
          <w:b w:val="0"/>
          <w:bCs/>
          <w:sz w:val="20"/>
        </w:rPr>
        <w:t>(Renforth et al., 2022)</w:t>
      </w:r>
      <w:r w:rsidR="00D27FD8" w:rsidRPr="00D27FD8">
        <w:rPr>
          <w:b w:val="0"/>
          <w:bCs/>
          <w:sz w:val="20"/>
        </w:rPr>
        <w:t xml:space="preserve"> </w:t>
      </w:r>
      <w:r w:rsidR="00B650A5" w:rsidRPr="000A19DE">
        <w:rPr>
          <w:b w:val="0"/>
          <w:bCs/>
          <w:sz w:val="20"/>
        </w:rPr>
        <w:t xml:space="preserve">through </w:t>
      </w:r>
      <w:r w:rsidR="000F0D6E" w:rsidRPr="000A19DE">
        <w:rPr>
          <w:b w:val="0"/>
          <w:bCs/>
          <w:sz w:val="20"/>
        </w:rPr>
        <w:t xml:space="preserve">process modelling, particularly aiming at quantifying energy consumption of </w:t>
      </w:r>
      <w:r w:rsidR="00743950" w:rsidRPr="000A19DE">
        <w:rPr>
          <w:b w:val="0"/>
          <w:bCs/>
          <w:sz w:val="20"/>
        </w:rPr>
        <w:t>a potentially feasible process.</w:t>
      </w:r>
      <w:r w:rsidR="00082B88" w:rsidRPr="000A19DE">
        <w:rPr>
          <w:b w:val="0"/>
          <w:bCs/>
          <w:sz w:val="20"/>
        </w:rPr>
        <w:t xml:space="preserve"> </w:t>
      </w:r>
      <w:r w:rsidR="00754FC8" w:rsidRPr="000A19DE">
        <w:rPr>
          <w:b w:val="0"/>
          <w:bCs/>
          <w:sz w:val="20"/>
        </w:rPr>
        <w:t xml:space="preserve"> </w:t>
      </w:r>
    </w:p>
    <w:p w14:paraId="144DE699" w14:textId="7ED2A682" w:rsidR="008D2649" w:rsidRPr="000A19DE" w:rsidRDefault="00C8789D" w:rsidP="000A19DE">
      <w:pPr>
        <w:pStyle w:val="Els-1storder-head"/>
      </w:pPr>
      <w:r w:rsidRPr="000A19DE">
        <w:t>Process configuration</w:t>
      </w:r>
      <w:r w:rsidR="00082B88" w:rsidRPr="000A19DE">
        <w:t xml:space="preserve"> and modelling</w:t>
      </w:r>
    </w:p>
    <w:p w14:paraId="5B554B67" w14:textId="46C011C4" w:rsidR="00C8789D" w:rsidRDefault="00645631" w:rsidP="00C8789D">
      <w:pPr>
        <w:pStyle w:val="Els-body-text"/>
      </w:pPr>
      <w:r w:rsidRPr="000A19DE">
        <w:t xml:space="preserve">A COMSOL model consisting of a dissolution reactor, </w:t>
      </w:r>
      <w:r w:rsidR="00B57797" w:rsidRPr="000A19DE">
        <w:t xml:space="preserve">a </w:t>
      </w:r>
      <w:r w:rsidRPr="000A19DE">
        <w:t>degasser</w:t>
      </w:r>
      <w:r w:rsidRPr="00645631">
        <w:t xml:space="preserve"> and </w:t>
      </w:r>
      <w:r w:rsidR="00B57797">
        <w:t xml:space="preserve">a </w:t>
      </w:r>
      <w:r w:rsidRPr="00645631">
        <w:t xml:space="preserve">crystallizer </w:t>
      </w:r>
      <w:r w:rsidR="00DD2894">
        <w:t>was</w:t>
      </w:r>
      <w:r w:rsidR="00DD2894" w:rsidRPr="00645631">
        <w:t xml:space="preserve"> </w:t>
      </w:r>
      <w:r w:rsidR="00B57797">
        <w:t>developed</w:t>
      </w:r>
      <w:r w:rsidR="00B57797" w:rsidRPr="00645631">
        <w:t xml:space="preserve"> </w:t>
      </w:r>
      <w:r w:rsidRPr="00645631">
        <w:t xml:space="preserve">to create the </w:t>
      </w:r>
      <w:r w:rsidR="00B57797">
        <w:t>i</w:t>
      </w:r>
      <w:r w:rsidRPr="00645631">
        <w:t>kaite production process (Figure 1</w:t>
      </w:r>
      <w:r w:rsidR="00D15FD1" w:rsidRPr="00645631">
        <w:t>)</w:t>
      </w:r>
      <w:r w:rsidR="00D15FD1">
        <w:t xml:space="preserve">, </w:t>
      </w:r>
      <w:r w:rsidR="00D15FD1" w:rsidRPr="00645631">
        <w:t>follow</w:t>
      </w:r>
      <w:r w:rsidR="00D15FD1">
        <w:t>ing</w:t>
      </w:r>
      <w:r w:rsidR="00D15FD1" w:rsidRPr="00645631">
        <w:t xml:space="preserve"> </w:t>
      </w:r>
      <w:r w:rsidRPr="00645631">
        <w:t xml:space="preserve">the configuration </w:t>
      </w:r>
      <w:r w:rsidR="00361DDA">
        <w:t>and process conditions</w:t>
      </w:r>
      <w:r w:rsidR="00D17EF7">
        <w:t xml:space="preserve"> with </w:t>
      </w:r>
      <w:r w:rsidR="00FB24E6">
        <w:t>constant temperature at 276.15K throughout the system while</w:t>
      </w:r>
      <w:r w:rsidR="00B507D7">
        <w:t xml:space="preserve"> the dissolution reactor, degasser and crystallizer were maintained at </w:t>
      </w:r>
      <w:r w:rsidR="00892AB2">
        <w:t>2, 0.5 and 0.02 bar pressure respectively</w:t>
      </w:r>
      <w:r w:rsidR="00361DDA">
        <w:t xml:space="preserve"> </w:t>
      </w:r>
      <w:r w:rsidR="00892AB2">
        <w:t>as</w:t>
      </w:r>
      <w:r w:rsidR="00361DDA">
        <w:t xml:space="preserve"> proposed</w:t>
      </w:r>
      <w:r w:rsidR="00361DDA" w:rsidRPr="00645631">
        <w:t xml:space="preserve"> </w:t>
      </w:r>
      <w:r w:rsidRPr="00645631">
        <w:t>by Renforth et al. (2022)</w:t>
      </w:r>
      <w:r>
        <w:t>.</w:t>
      </w:r>
    </w:p>
    <w:p w14:paraId="3FBF852D" w14:textId="73F02033" w:rsidR="00645631" w:rsidRPr="00685C8E" w:rsidRDefault="00E0371B" w:rsidP="00645631">
      <w:pPr>
        <w:spacing w:line="276" w:lineRule="auto"/>
        <w:jc w:val="both"/>
        <w:rPr>
          <w:sz w:val="22"/>
          <w:szCs w:val="22"/>
        </w:rPr>
      </w:pPr>
      <w:r w:rsidRPr="00E0371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E1036DE" wp14:editId="61363154">
            <wp:extent cx="4499610" cy="2694305"/>
            <wp:effectExtent l="0" t="0" r="0" b="0"/>
            <wp:docPr id="1758089536" name="Picture 1" descr="A diagram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89536" name="Picture 1" descr="A diagram of a machi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4E704" w14:textId="73461091" w:rsidR="00645631" w:rsidRPr="00645631" w:rsidRDefault="00645631" w:rsidP="00C362E8">
      <w:pPr>
        <w:spacing w:line="276" w:lineRule="auto"/>
        <w:jc w:val="center"/>
        <w:rPr>
          <w:sz w:val="22"/>
          <w:szCs w:val="22"/>
        </w:rPr>
      </w:pPr>
      <w:r w:rsidRPr="00645631">
        <w:t xml:space="preserve">Figure 1. Ikaite production process configuration </w:t>
      </w:r>
      <w:sdt>
        <w:sdtPr>
          <w:id w:val="1638296047"/>
          <w:citation/>
        </w:sdtPr>
        <w:sdtEndPr/>
        <w:sdtContent>
          <w:r w:rsidRPr="00645631">
            <w:fldChar w:fldCharType="begin"/>
          </w:r>
          <w:r w:rsidRPr="00645631">
            <w:instrText xml:space="preserve"> CITATION Ren22 \l 2057 </w:instrText>
          </w:r>
          <w:r w:rsidRPr="00645631">
            <w:fldChar w:fldCharType="separate"/>
          </w:r>
          <w:r w:rsidR="00A56146">
            <w:rPr>
              <w:noProof/>
            </w:rPr>
            <w:t>(Renforth, et al., 2022)</w:t>
          </w:r>
          <w:r w:rsidRPr="00645631">
            <w:fldChar w:fldCharType="end"/>
          </w:r>
        </w:sdtContent>
      </w:sdt>
    </w:p>
    <w:p w14:paraId="226DDBAD" w14:textId="7A9732F8" w:rsidR="00A47D02" w:rsidRDefault="00892AB2" w:rsidP="00645631">
      <w:pPr>
        <w:pStyle w:val="Els-2ndorder-head"/>
        <w:numPr>
          <w:ilvl w:val="0"/>
          <w:numId w:val="0"/>
        </w:numPr>
        <w:rPr>
          <w:i w:val="0"/>
        </w:rPr>
      </w:pPr>
      <w:r>
        <w:rPr>
          <w:i w:val="0"/>
        </w:rPr>
        <w:t>All the</w:t>
      </w:r>
      <w:r w:rsidR="00F4718C">
        <w:rPr>
          <w:i w:val="0"/>
        </w:rPr>
        <w:t xml:space="preserve"> three reactors w</w:t>
      </w:r>
      <w:r>
        <w:rPr>
          <w:i w:val="0"/>
        </w:rPr>
        <w:t>ere</w:t>
      </w:r>
      <w:r w:rsidR="00F4718C">
        <w:rPr>
          <w:i w:val="0"/>
        </w:rPr>
        <w:t xml:space="preserve"> modelled as </w:t>
      </w:r>
      <w:r w:rsidR="00645631" w:rsidRPr="00645631">
        <w:rPr>
          <w:i w:val="0"/>
        </w:rPr>
        <w:t>stirred tank</w:t>
      </w:r>
      <w:r>
        <w:rPr>
          <w:i w:val="0"/>
        </w:rPr>
        <w:t>s</w:t>
      </w:r>
      <w:r w:rsidR="00F361F2">
        <w:rPr>
          <w:i w:val="0"/>
        </w:rPr>
        <w:t>, operating in a batch mode</w:t>
      </w:r>
      <w:r w:rsidR="00F4718C">
        <w:rPr>
          <w:i w:val="0"/>
        </w:rPr>
        <w:t xml:space="preserve">. </w:t>
      </w:r>
      <w:r w:rsidR="00104550">
        <w:rPr>
          <w:i w:val="0"/>
        </w:rPr>
        <w:t xml:space="preserve">The dissolution reactor </w:t>
      </w:r>
      <w:r w:rsidR="00626BA2">
        <w:rPr>
          <w:i w:val="0"/>
        </w:rPr>
        <w:t>was</w:t>
      </w:r>
      <w:r w:rsidR="00104550">
        <w:rPr>
          <w:i w:val="0"/>
        </w:rPr>
        <w:t xml:space="preserve"> fed with</w:t>
      </w:r>
      <w:r w:rsidR="00140306">
        <w:rPr>
          <w:i w:val="0"/>
        </w:rPr>
        <w:t xml:space="preserve"> (recycled) CO</w:t>
      </w:r>
      <w:r w:rsidR="00140306" w:rsidRPr="00E0371B">
        <w:rPr>
          <w:i w:val="0"/>
          <w:vertAlign w:val="subscript"/>
        </w:rPr>
        <w:t>2</w:t>
      </w:r>
      <w:r w:rsidR="00140306">
        <w:rPr>
          <w:i w:val="0"/>
        </w:rPr>
        <w:t xml:space="preserve"> gas and calcite solid particles</w:t>
      </w:r>
      <w:r w:rsidR="007E65B8">
        <w:rPr>
          <w:i w:val="0"/>
        </w:rPr>
        <w:t xml:space="preserve"> to dissolve the latter in water. The dissolution p</w:t>
      </w:r>
      <w:r w:rsidR="00F361F2">
        <w:rPr>
          <w:i w:val="0"/>
        </w:rPr>
        <w:t>roduct solution enter</w:t>
      </w:r>
      <w:r w:rsidR="00626BA2">
        <w:rPr>
          <w:i w:val="0"/>
        </w:rPr>
        <w:t>ed</w:t>
      </w:r>
      <w:r w:rsidR="00F361F2">
        <w:rPr>
          <w:i w:val="0"/>
        </w:rPr>
        <w:t xml:space="preserve"> </w:t>
      </w:r>
      <w:r w:rsidR="00844DD3">
        <w:rPr>
          <w:i w:val="0"/>
        </w:rPr>
        <w:t xml:space="preserve">the degasser tank where the </w:t>
      </w:r>
      <w:r w:rsidR="00141B84">
        <w:rPr>
          <w:i w:val="0"/>
        </w:rPr>
        <w:t xml:space="preserve">total </w:t>
      </w:r>
      <w:r w:rsidR="00844DD3">
        <w:rPr>
          <w:i w:val="0"/>
        </w:rPr>
        <w:t>dissolved carbon</w:t>
      </w:r>
      <w:r w:rsidR="00F306BF">
        <w:rPr>
          <w:i w:val="0"/>
        </w:rPr>
        <w:t xml:space="preserve"> (</w:t>
      </w:r>
      <w:r w:rsidR="00141B84">
        <w:rPr>
          <w:i w:val="0"/>
        </w:rPr>
        <w:t>TDC</w:t>
      </w:r>
      <w:r w:rsidR="00A16F93">
        <w:rPr>
          <w:i w:val="0"/>
        </w:rPr>
        <w:t xml:space="preserve">, including </w:t>
      </w:r>
      <w:r w:rsidR="00F306BF">
        <w:rPr>
          <w:i w:val="0"/>
        </w:rPr>
        <w:t>CO</w:t>
      </w:r>
      <w:r w:rsidR="00F306BF" w:rsidRPr="00E0371B">
        <w:rPr>
          <w:i w:val="0"/>
          <w:vertAlign w:val="subscript"/>
        </w:rPr>
        <w:t>2</w:t>
      </w:r>
      <w:r w:rsidR="00F306BF">
        <w:rPr>
          <w:i w:val="0"/>
        </w:rPr>
        <w:t>-aqueous, HCO</w:t>
      </w:r>
      <w:r w:rsidR="00F306BF" w:rsidRPr="00E0371B">
        <w:rPr>
          <w:i w:val="0"/>
          <w:vertAlign w:val="subscript"/>
        </w:rPr>
        <w:t>3</w:t>
      </w:r>
      <w:r w:rsidR="00F306BF" w:rsidRPr="00E0371B">
        <w:rPr>
          <w:i w:val="0"/>
          <w:vertAlign w:val="superscript"/>
        </w:rPr>
        <w:t>-</w:t>
      </w:r>
      <w:r w:rsidR="00F306BF">
        <w:rPr>
          <w:i w:val="0"/>
        </w:rPr>
        <w:t>, CO</w:t>
      </w:r>
      <w:r w:rsidR="00F306BF" w:rsidRPr="00E0371B">
        <w:rPr>
          <w:i w:val="0"/>
          <w:vertAlign w:val="subscript"/>
        </w:rPr>
        <w:t>3</w:t>
      </w:r>
      <w:r w:rsidR="00F306BF" w:rsidRPr="00E0371B">
        <w:rPr>
          <w:i w:val="0"/>
          <w:vertAlign w:val="superscript"/>
        </w:rPr>
        <w:t>2-</w:t>
      </w:r>
      <w:r w:rsidR="00F306BF">
        <w:rPr>
          <w:i w:val="0"/>
        </w:rPr>
        <w:t xml:space="preserve">) </w:t>
      </w:r>
      <w:r w:rsidR="00745335">
        <w:rPr>
          <w:i w:val="0"/>
        </w:rPr>
        <w:t>was</w:t>
      </w:r>
      <w:r w:rsidR="00F306BF">
        <w:rPr>
          <w:i w:val="0"/>
        </w:rPr>
        <w:t xml:space="preserve"> partially</w:t>
      </w:r>
      <w:r w:rsidR="007E65B8">
        <w:rPr>
          <w:i w:val="0"/>
        </w:rPr>
        <w:t xml:space="preserve"> </w:t>
      </w:r>
      <w:r w:rsidR="00F306BF">
        <w:rPr>
          <w:i w:val="0"/>
        </w:rPr>
        <w:t>removed</w:t>
      </w:r>
      <w:r w:rsidR="009E0535">
        <w:rPr>
          <w:i w:val="0"/>
        </w:rPr>
        <w:t xml:space="preserve"> from the solution, with the remaining solution </w:t>
      </w:r>
      <w:r w:rsidR="00754FC8">
        <w:rPr>
          <w:i w:val="0"/>
        </w:rPr>
        <w:t>entering</w:t>
      </w:r>
      <w:r w:rsidR="009E0535">
        <w:rPr>
          <w:i w:val="0"/>
        </w:rPr>
        <w:t xml:space="preserve"> the crystallizer</w:t>
      </w:r>
      <w:r w:rsidR="0044128B">
        <w:rPr>
          <w:i w:val="0"/>
        </w:rPr>
        <w:t>. In this final reactor,</w:t>
      </w:r>
      <w:r w:rsidR="004F00FE">
        <w:rPr>
          <w:i w:val="0"/>
        </w:rPr>
        <w:t xml:space="preserve"> </w:t>
      </w:r>
      <w:r w:rsidR="00141B84">
        <w:rPr>
          <w:i w:val="0"/>
        </w:rPr>
        <w:t xml:space="preserve">TDC </w:t>
      </w:r>
      <w:r w:rsidR="00E169F8">
        <w:rPr>
          <w:i w:val="0"/>
        </w:rPr>
        <w:t>wa</w:t>
      </w:r>
      <w:r w:rsidR="00BB7141">
        <w:rPr>
          <w:i w:val="0"/>
        </w:rPr>
        <w:t xml:space="preserve">s further removed due to the pressure difference, and </w:t>
      </w:r>
      <w:r w:rsidR="00A47D02">
        <w:rPr>
          <w:i w:val="0"/>
        </w:rPr>
        <w:t xml:space="preserve">seeded crystallization of ikaite </w:t>
      </w:r>
      <w:r w:rsidR="00BB7141">
        <w:rPr>
          <w:i w:val="0"/>
        </w:rPr>
        <w:t>occurs</w:t>
      </w:r>
      <w:r w:rsidR="00A47D02">
        <w:rPr>
          <w:i w:val="0"/>
        </w:rPr>
        <w:t>.</w:t>
      </w:r>
      <w:r w:rsidR="00CF79DA">
        <w:rPr>
          <w:i w:val="0"/>
        </w:rPr>
        <w:t xml:space="preserve"> The evolved CO</w:t>
      </w:r>
      <w:r w:rsidR="00CF79DA" w:rsidRPr="00F3021A">
        <w:rPr>
          <w:i w:val="0"/>
          <w:vertAlign w:val="subscript"/>
        </w:rPr>
        <w:t>2</w:t>
      </w:r>
      <w:r w:rsidR="00CF79DA">
        <w:rPr>
          <w:i w:val="0"/>
        </w:rPr>
        <w:t xml:space="preserve"> gas </w:t>
      </w:r>
      <w:r w:rsidR="009D0247">
        <w:rPr>
          <w:i w:val="0"/>
        </w:rPr>
        <w:t xml:space="preserve">flows </w:t>
      </w:r>
      <w:r w:rsidR="00CF79DA">
        <w:rPr>
          <w:i w:val="0"/>
        </w:rPr>
        <w:t xml:space="preserve">from the degasser and the crystallizer </w:t>
      </w:r>
      <w:r w:rsidR="0094720F">
        <w:rPr>
          <w:i w:val="0"/>
        </w:rPr>
        <w:t xml:space="preserve">were </w:t>
      </w:r>
      <w:r w:rsidR="009D0247">
        <w:rPr>
          <w:i w:val="0"/>
        </w:rPr>
        <w:t>recycled through two compressors back to the dissolution reactor</w:t>
      </w:r>
      <w:r w:rsidR="004F2EC7">
        <w:rPr>
          <w:i w:val="0"/>
        </w:rPr>
        <w:t xml:space="preserve"> which also received </w:t>
      </w:r>
      <w:r w:rsidR="009D0247">
        <w:rPr>
          <w:i w:val="0"/>
        </w:rPr>
        <w:t xml:space="preserve">the </w:t>
      </w:r>
      <w:r w:rsidR="00BF1512">
        <w:rPr>
          <w:i w:val="0"/>
        </w:rPr>
        <w:t xml:space="preserve">depleted solution from the crystallizer </w:t>
      </w:r>
      <w:r w:rsidR="004F2EC7">
        <w:rPr>
          <w:i w:val="0"/>
        </w:rPr>
        <w:t>through a pump.</w:t>
      </w:r>
    </w:p>
    <w:p w14:paraId="3BD5C496" w14:textId="57543094" w:rsidR="00645631" w:rsidRDefault="00794348" w:rsidP="00F41C33">
      <w:pPr>
        <w:pStyle w:val="Els-2ndorder-head"/>
        <w:numPr>
          <w:ilvl w:val="0"/>
          <w:numId w:val="0"/>
        </w:numPr>
        <w:rPr>
          <w:i w:val="0"/>
          <w:iCs/>
        </w:rPr>
      </w:pPr>
      <w:r>
        <w:rPr>
          <w:i w:val="0"/>
        </w:rPr>
        <w:t xml:space="preserve">To model these reactors, </w:t>
      </w:r>
      <w:r w:rsidR="00654804">
        <w:rPr>
          <w:i w:val="0"/>
        </w:rPr>
        <w:t>c</w:t>
      </w:r>
      <w:r w:rsidR="00645631" w:rsidRPr="00645631">
        <w:rPr>
          <w:i w:val="0"/>
        </w:rPr>
        <w:t xml:space="preserve">alcite </w:t>
      </w:r>
      <w:r w:rsidR="00654804">
        <w:rPr>
          <w:i w:val="0"/>
        </w:rPr>
        <w:t xml:space="preserve">particle </w:t>
      </w:r>
      <w:r w:rsidR="00645631" w:rsidRPr="00645631">
        <w:rPr>
          <w:i w:val="0"/>
        </w:rPr>
        <w:t xml:space="preserve">dissolution </w:t>
      </w:r>
      <w:r w:rsidR="00654804">
        <w:rPr>
          <w:i w:val="0"/>
        </w:rPr>
        <w:t xml:space="preserve">was </w:t>
      </w:r>
      <w:r w:rsidR="00AB4DDA">
        <w:rPr>
          <w:i w:val="0"/>
        </w:rPr>
        <w:t>simulated</w:t>
      </w:r>
      <w:r w:rsidR="00645631" w:rsidRPr="00645631">
        <w:rPr>
          <w:i w:val="0"/>
        </w:rPr>
        <w:t xml:space="preserve"> using </w:t>
      </w:r>
      <w:r w:rsidR="00AB4DDA">
        <w:rPr>
          <w:i w:val="0"/>
        </w:rPr>
        <w:t xml:space="preserve">the </w:t>
      </w:r>
      <w:r w:rsidR="006A3269">
        <w:rPr>
          <w:i w:val="0"/>
        </w:rPr>
        <w:t xml:space="preserve">particle </w:t>
      </w:r>
      <w:r w:rsidR="00AB4DDA">
        <w:rPr>
          <w:i w:val="0"/>
        </w:rPr>
        <w:t>s</w:t>
      </w:r>
      <w:r w:rsidR="00AB4DDA" w:rsidRPr="00645631">
        <w:rPr>
          <w:i w:val="0"/>
        </w:rPr>
        <w:t xml:space="preserve">hrinking </w:t>
      </w:r>
      <w:r w:rsidR="00645631" w:rsidRPr="00645631">
        <w:rPr>
          <w:i w:val="0"/>
        </w:rPr>
        <w:t xml:space="preserve">model. The chemical reactions depicting calcite dissolution and the aqueous phase reactions were considered </w:t>
      </w:r>
      <w:r w:rsidR="00AB1396">
        <w:rPr>
          <w:i w:val="0"/>
        </w:rPr>
        <w:t>following</w:t>
      </w:r>
      <w:r w:rsidR="00AB1396" w:rsidRPr="00645631">
        <w:rPr>
          <w:i w:val="0"/>
        </w:rPr>
        <w:t xml:space="preserve"> </w:t>
      </w:r>
      <w:r w:rsidR="00645631" w:rsidRPr="00645631">
        <w:rPr>
          <w:i w:val="0"/>
        </w:rPr>
        <w:t xml:space="preserve">the studies of Plumber and Busenberg (1982) and Cents et al (2005) respectively. The </w:t>
      </w:r>
      <w:r w:rsidR="00CC2D8D">
        <w:rPr>
          <w:i w:val="0"/>
        </w:rPr>
        <w:t>gas-liquid</w:t>
      </w:r>
      <w:r w:rsidR="00CC2D8D" w:rsidRPr="00645631">
        <w:rPr>
          <w:i w:val="0"/>
        </w:rPr>
        <w:t xml:space="preserve"> </w:t>
      </w:r>
      <w:r w:rsidR="00645631" w:rsidRPr="00645631">
        <w:rPr>
          <w:i w:val="0"/>
        </w:rPr>
        <w:t xml:space="preserve">mass transfer </w:t>
      </w:r>
      <w:r w:rsidR="00CC2D8D">
        <w:rPr>
          <w:i w:val="0"/>
        </w:rPr>
        <w:t>followed the same approach in</w:t>
      </w:r>
      <w:r w:rsidR="00645631" w:rsidRPr="00645631">
        <w:rPr>
          <w:i w:val="0"/>
        </w:rPr>
        <w:t xml:space="preserve"> Xing et al (2023)</w:t>
      </w:r>
      <w:r w:rsidR="005C6CD0">
        <w:rPr>
          <w:i w:val="0"/>
        </w:rPr>
        <w:t>.</w:t>
      </w:r>
      <w:r w:rsidR="00645631" w:rsidRPr="00645631">
        <w:rPr>
          <w:i w:val="0"/>
        </w:rPr>
        <w:t xml:space="preserve"> </w:t>
      </w:r>
      <w:r w:rsidR="00F41C33">
        <w:rPr>
          <w:i w:val="0"/>
        </w:rPr>
        <w:t xml:space="preserve">Precipitation of </w:t>
      </w:r>
      <w:r w:rsidR="00F41C33">
        <w:rPr>
          <w:i w:val="0"/>
          <w:iCs/>
        </w:rPr>
        <w:t>i</w:t>
      </w:r>
      <w:r w:rsidR="00F41C33" w:rsidRPr="00645631">
        <w:rPr>
          <w:i w:val="0"/>
          <w:iCs/>
        </w:rPr>
        <w:t xml:space="preserve">kaite </w:t>
      </w:r>
      <w:r w:rsidR="00F41C33">
        <w:rPr>
          <w:i w:val="0"/>
          <w:iCs/>
        </w:rPr>
        <w:t xml:space="preserve">was modelled </w:t>
      </w:r>
      <w:r w:rsidR="00A4179A">
        <w:rPr>
          <w:i w:val="0"/>
          <w:iCs/>
        </w:rPr>
        <w:t>using</w:t>
      </w:r>
      <w:r w:rsidR="00645631" w:rsidRPr="00645631">
        <w:rPr>
          <w:i w:val="0"/>
          <w:iCs/>
        </w:rPr>
        <w:t xml:space="preserve"> the empirical </w:t>
      </w:r>
      <w:r w:rsidR="00A4179A">
        <w:rPr>
          <w:i w:val="0"/>
          <w:iCs/>
        </w:rPr>
        <w:t xml:space="preserve">kinetic </w:t>
      </w:r>
      <w:r w:rsidR="00645631" w:rsidRPr="00645631">
        <w:rPr>
          <w:i w:val="0"/>
          <w:iCs/>
        </w:rPr>
        <w:t xml:space="preserve">equation proposed by Papadimitriou et al. (2014), while the supersaturation and the precipitation constants were calculated </w:t>
      </w:r>
      <w:r w:rsidR="003F5646">
        <w:rPr>
          <w:i w:val="0"/>
          <w:iCs/>
        </w:rPr>
        <w:t>according to</w:t>
      </w:r>
      <w:r w:rsidR="003F5646" w:rsidRPr="00645631">
        <w:rPr>
          <w:i w:val="0"/>
          <w:iCs/>
        </w:rPr>
        <w:t xml:space="preserve"> </w:t>
      </w:r>
      <w:r w:rsidR="00645631" w:rsidRPr="00645631">
        <w:rPr>
          <w:i w:val="0"/>
          <w:iCs/>
        </w:rPr>
        <w:t xml:space="preserve">Strohm et al. (2022). The secondary nucleation and growth equations were utilized in </w:t>
      </w:r>
      <w:r w:rsidR="00F135F3">
        <w:rPr>
          <w:i w:val="0"/>
          <w:iCs/>
        </w:rPr>
        <w:t>the q</w:t>
      </w:r>
      <w:r w:rsidR="00F135F3" w:rsidRPr="00645631">
        <w:rPr>
          <w:i w:val="0"/>
          <w:iCs/>
        </w:rPr>
        <w:t xml:space="preserve">uadrature </w:t>
      </w:r>
      <w:r w:rsidR="00645631" w:rsidRPr="00645631">
        <w:rPr>
          <w:i w:val="0"/>
          <w:iCs/>
        </w:rPr>
        <w:t xml:space="preserve">method of </w:t>
      </w:r>
      <w:r w:rsidR="00645631" w:rsidRPr="00645631">
        <w:rPr>
          <w:i w:val="0"/>
          <w:iCs/>
        </w:rPr>
        <w:lastRenderedPageBreak/>
        <w:t xml:space="preserve">moments (QMOM) equations </w:t>
      </w:r>
      <w:sdt>
        <w:sdtPr>
          <w:rPr>
            <w:i w:val="0"/>
            <w:iCs/>
          </w:rPr>
          <w:id w:val="-2004353128"/>
          <w:citation/>
        </w:sdtPr>
        <w:sdtEndPr/>
        <w:sdtContent>
          <w:r w:rsidR="00BA049B" w:rsidRPr="00BA049B">
            <w:rPr>
              <w:i w:val="0"/>
              <w:iCs/>
            </w:rPr>
            <w:fldChar w:fldCharType="begin"/>
          </w:r>
          <w:r w:rsidR="00BA049B" w:rsidRPr="00BA049B">
            <w:rPr>
              <w:i w:val="0"/>
              <w:iCs/>
              <w:lang w:val="en-GB"/>
            </w:rPr>
            <w:instrText xml:space="preserve"> CITATION Wei01 \l 2057 </w:instrText>
          </w:r>
          <w:r w:rsidR="00BA049B" w:rsidRPr="00BA049B">
            <w:rPr>
              <w:i w:val="0"/>
              <w:iCs/>
            </w:rPr>
            <w:fldChar w:fldCharType="separate"/>
          </w:r>
          <w:r w:rsidR="00BA049B" w:rsidRPr="00BA049B">
            <w:rPr>
              <w:i w:val="0"/>
              <w:iCs/>
              <w:noProof/>
              <w:lang w:val="en-GB"/>
            </w:rPr>
            <w:t>(Wei, et al., 2001)</w:t>
          </w:r>
          <w:r w:rsidR="00BA049B" w:rsidRPr="00BA049B">
            <w:rPr>
              <w:i w:val="0"/>
              <w:iCs/>
            </w:rPr>
            <w:fldChar w:fldCharType="end"/>
          </w:r>
        </w:sdtContent>
      </w:sdt>
      <w:r w:rsidR="00F135F3">
        <w:rPr>
          <w:i w:val="0"/>
          <w:iCs/>
        </w:rPr>
        <w:t xml:space="preserve"> </w:t>
      </w:r>
      <w:r w:rsidR="00645631" w:rsidRPr="00645631">
        <w:rPr>
          <w:i w:val="0"/>
          <w:iCs/>
        </w:rPr>
        <w:t xml:space="preserve">to simulate the </w:t>
      </w:r>
      <w:r w:rsidR="00A60BB0">
        <w:rPr>
          <w:i w:val="0"/>
          <w:iCs/>
        </w:rPr>
        <w:t>i</w:t>
      </w:r>
      <w:r w:rsidR="00A60BB0" w:rsidRPr="00645631">
        <w:rPr>
          <w:i w:val="0"/>
          <w:iCs/>
        </w:rPr>
        <w:t xml:space="preserve">kaite </w:t>
      </w:r>
      <w:r w:rsidR="00645631" w:rsidRPr="00645631">
        <w:rPr>
          <w:i w:val="0"/>
          <w:iCs/>
        </w:rPr>
        <w:t>precipitation in COMSOL.</w:t>
      </w:r>
    </w:p>
    <w:p w14:paraId="12E18830" w14:textId="684F60CF" w:rsidR="00645631" w:rsidRDefault="00645631" w:rsidP="00754FC8">
      <w:pPr>
        <w:pStyle w:val="Els-1storder-head"/>
      </w:pPr>
      <w:r w:rsidRPr="00645631">
        <w:t>Energy Calculations</w:t>
      </w:r>
      <w:r w:rsidR="00A60BB0">
        <w:t xml:space="preserve"> and Simulation Cases</w:t>
      </w:r>
    </w:p>
    <w:p w14:paraId="5A4CCBCB" w14:textId="205430C5" w:rsidR="00645631" w:rsidRDefault="00645631" w:rsidP="00645631">
      <w:pPr>
        <w:pStyle w:val="Els-body-text"/>
      </w:pPr>
      <w:r>
        <w:t xml:space="preserve">The current study </w:t>
      </w:r>
      <w:r w:rsidR="0015031A">
        <w:t xml:space="preserve">explores </w:t>
      </w:r>
      <w:r>
        <w:t xml:space="preserve">the direction of optimization </w:t>
      </w:r>
      <w:r w:rsidR="0015031A">
        <w:t>guid</w:t>
      </w:r>
      <w:r w:rsidR="00BB09A2">
        <w:t xml:space="preserve">ed by the minimization of </w:t>
      </w:r>
      <w:r>
        <w:t xml:space="preserve">energy </w:t>
      </w:r>
      <w:r w:rsidR="00BB09A2">
        <w:t xml:space="preserve">consumption </w:t>
      </w:r>
      <w:r>
        <w:t xml:space="preserve">per unit mass production of </w:t>
      </w:r>
      <w:r w:rsidR="00BB09A2">
        <w:t>ikaite</w:t>
      </w:r>
      <w:r>
        <w:t xml:space="preserve">. </w:t>
      </w:r>
      <w:r w:rsidR="00BB09A2">
        <w:t>T</w:t>
      </w:r>
      <w:r>
        <w:t>o calculate energy consumption</w:t>
      </w:r>
      <w:r w:rsidR="003578F5">
        <w:t>,</w:t>
      </w:r>
      <w:r>
        <w:t xml:space="preserve"> the following operations</w:t>
      </w:r>
      <w:r w:rsidR="00C05C2D">
        <w:t xml:space="preserve"> </w:t>
      </w:r>
      <w:r w:rsidR="003578F5">
        <w:t>h</w:t>
      </w:r>
      <w:r w:rsidR="00C05C2D">
        <w:t>ave</w:t>
      </w:r>
      <w:r>
        <w:t xml:space="preserve"> been </w:t>
      </w:r>
      <w:r w:rsidR="00C05C2D">
        <w:t>considered</w:t>
      </w:r>
      <w:r>
        <w:t>:</w:t>
      </w:r>
    </w:p>
    <w:p w14:paraId="4F32FF31" w14:textId="0146C2CD" w:rsidR="00645631" w:rsidRDefault="00645631" w:rsidP="007A0F49">
      <w:pPr>
        <w:pStyle w:val="Els-body-text"/>
        <w:numPr>
          <w:ilvl w:val="0"/>
          <w:numId w:val="22"/>
        </w:numPr>
      </w:pPr>
      <w:r>
        <w:t>Compressor</w:t>
      </w:r>
      <w:r w:rsidR="00C05C2D">
        <w:t>s</w:t>
      </w:r>
      <w:r>
        <w:t xml:space="preserve"> for the </w:t>
      </w:r>
      <w:r w:rsidR="00D80506">
        <w:t>recycling</w:t>
      </w:r>
      <w:r w:rsidR="003578F5">
        <w:t xml:space="preserve"> CO</w:t>
      </w:r>
      <w:r w:rsidR="003578F5" w:rsidRPr="00754FC8">
        <w:rPr>
          <w:vertAlign w:val="subscript"/>
        </w:rPr>
        <w:t>2</w:t>
      </w:r>
      <w:r w:rsidR="003578F5">
        <w:t xml:space="preserve"> gas </w:t>
      </w:r>
      <w:r w:rsidR="002E383C">
        <w:t>flows</w:t>
      </w:r>
      <w:r>
        <w:t xml:space="preserve"> </w:t>
      </w:r>
    </w:p>
    <w:p w14:paraId="6D07B15A" w14:textId="28B2ED7B" w:rsidR="002D17E6" w:rsidRDefault="002D17E6" w:rsidP="007A0F49">
      <w:pPr>
        <w:pStyle w:val="Els-body-text"/>
        <w:numPr>
          <w:ilvl w:val="0"/>
          <w:numId w:val="22"/>
        </w:numPr>
      </w:pPr>
      <w:r>
        <w:t>Pumping for water recycle</w:t>
      </w:r>
    </w:p>
    <w:p w14:paraId="05621C86" w14:textId="3F651411" w:rsidR="00645631" w:rsidRDefault="00645631" w:rsidP="007A0F49">
      <w:pPr>
        <w:pStyle w:val="Els-body-text"/>
        <w:numPr>
          <w:ilvl w:val="0"/>
          <w:numId w:val="22"/>
        </w:numPr>
      </w:pPr>
      <w:r>
        <w:t xml:space="preserve">Agitation in </w:t>
      </w:r>
      <w:r w:rsidR="009E6D34">
        <w:t>the stirred tanks</w:t>
      </w:r>
    </w:p>
    <w:p w14:paraId="1FECF402" w14:textId="3BCF8512" w:rsidR="00645631" w:rsidRDefault="00645631" w:rsidP="007A0F49">
      <w:pPr>
        <w:pStyle w:val="Els-body-text"/>
        <w:numPr>
          <w:ilvl w:val="0"/>
          <w:numId w:val="22"/>
        </w:numPr>
      </w:pPr>
      <w:r>
        <w:t xml:space="preserve">Grinding </w:t>
      </w:r>
      <w:r w:rsidR="002D17E6">
        <w:t>for preparing calcite particles</w:t>
      </w:r>
    </w:p>
    <w:p w14:paraId="476BEFF6" w14:textId="6A6C6568" w:rsidR="00645631" w:rsidRDefault="00106BCD" w:rsidP="00645631">
      <w:pPr>
        <w:pStyle w:val="Els-body-text"/>
      </w:pPr>
      <w:r>
        <w:t xml:space="preserve">Grinding energy </w:t>
      </w:r>
      <w:r w:rsidR="00645631">
        <w:t>was calculated from the method given by Xing et al (2022</w:t>
      </w:r>
      <w:r w:rsidR="00B54516">
        <w:t>), while the energy consumption of the other processes was calculated using standard methods</w:t>
      </w:r>
      <w:r w:rsidR="00645631">
        <w:t>.</w:t>
      </w:r>
    </w:p>
    <w:p w14:paraId="720F43D7" w14:textId="77777777" w:rsidR="004638AA" w:rsidRDefault="004638AA" w:rsidP="00645631">
      <w:pPr>
        <w:pStyle w:val="Els-body-text"/>
      </w:pPr>
    </w:p>
    <w:p w14:paraId="04C76127" w14:textId="62BEED26" w:rsidR="004638AA" w:rsidRDefault="004638AA" w:rsidP="00645631">
      <w:pPr>
        <w:pStyle w:val="Els-body-text"/>
      </w:pPr>
      <w:r>
        <w:t xml:space="preserve">Through preliminary simulation tests, it became clear that </w:t>
      </w:r>
      <w:r w:rsidR="007B1CE6">
        <w:t xml:space="preserve">the degassing process </w:t>
      </w:r>
      <w:r w:rsidR="006D0CF2">
        <w:t xml:space="preserve">was </w:t>
      </w:r>
      <w:r w:rsidR="007B1CE6">
        <w:t>significantly faster than the other two processes</w:t>
      </w:r>
      <w:r w:rsidR="00997907">
        <w:t xml:space="preserve"> which was therefore </w:t>
      </w:r>
      <w:r w:rsidR="008029E1">
        <w:t>excluded in the analysis</w:t>
      </w:r>
      <w:r w:rsidR="00B23F49">
        <w:t>.</w:t>
      </w:r>
      <w:r w:rsidR="009D68BF">
        <w:t xml:space="preserve"> </w:t>
      </w:r>
      <w:r w:rsidR="006D0CF2">
        <w:t>T</w:t>
      </w:r>
      <w:r w:rsidR="00D434B8">
        <w:t xml:space="preserve">he duration of dissolution </w:t>
      </w:r>
      <w:r w:rsidR="006D0CF2">
        <w:t xml:space="preserve">was </w:t>
      </w:r>
      <w:r w:rsidR="00AF7935">
        <w:t>potentially affected by both gas-liquid mass transfer and the surface dissolution kinetics</w:t>
      </w:r>
      <w:r w:rsidR="004E6F8D">
        <w:t xml:space="preserve">. Therefore, its stirring speed (affecting mass transfer) and </w:t>
      </w:r>
      <w:r w:rsidR="00E12727">
        <w:t xml:space="preserve">feed </w:t>
      </w:r>
      <w:r w:rsidR="00A51630">
        <w:t>calcite particle diameter (affecting area available for surface dissolution)</w:t>
      </w:r>
      <w:r w:rsidR="0015277D">
        <w:t xml:space="preserve"> were chosen as key parameters for analysis. Besides, the stirring speed in the crystallizer, which affects </w:t>
      </w:r>
      <w:r w:rsidR="008D59D0">
        <w:t>the evolution of CO</w:t>
      </w:r>
      <w:r w:rsidR="008D59D0" w:rsidRPr="00043C6E">
        <w:rPr>
          <w:vertAlign w:val="subscript"/>
        </w:rPr>
        <w:t>2</w:t>
      </w:r>
      <w:r w:rsidR="008D59D0">
        <w:t xml:space="preserve"> gas through gas-liquid mass transfer, </w:t>
      </w:r>
      <w:r w:rsidR="0015277D">
        <w:t>was also chosen to assess its effect.</w:t>
      </w:r>
      <w:r w:rsidR="00AF7935">
        <w:t xml:space="preserve"> </w:t>
      </w:r>
      <w:r w:rsidR="008D59D0">
        <w:t xml:space="preserve">Table 1 shows all the cases </w:t>
      </w:r>
      <w:r w:rsidR="00B51EF0">
        <w:t xml:space="preserve">comprising combinations of different settings of these parameters. </w:t>
      </w:r>
    </w:p>
    <w:p w14:paraId="369E996D" w14:textId="77777777" w:rsidR="00645631" w:rsidRPr="00645631" w:rsidRDefault="00645631" w:rsidP="00C362E8">
      <w:pPr>
        <w:spacing w:before="240" w:line="276" w:lineRule="auto"/>
        <w:jc w:val="center"/>
      </w:pPr>
      <w:r w:rsidRPr="00645631">
        <w:t>Table 1. The configurations considered for the energy modulations.</w:t>
      </w:r>
    </w:p>
    <w:tbl>
      <w:tblPr>
        <w:tblStyle w:val="PlainTable5"/>
        <w:tblW w:w="7087" w:type="dxa"/>
        <w:tblLook w:val="04A0" w:firstRow="1" w:lastRow="0" w:firstColumn="1" w:lastColumn="0" w:noHBand="0" w:noVBand="1"/>
      </w:tblPr>
      <w:tblGrid>
        <w:gridCol w:w="1007"/>
        <w:gridCol w:w="2395"/>
        <w:gridCol w:w="1887"/>
        <w:gridCol w:w="1798"/>
      </w:tblGrid>
      <w:tr w:rsidR="00645631" w:rsidRPr="00645631" w14:paraId="48754733" w14:textId="77777777" w:rsidTr="00645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7D70AAE2" w14:textId="77777777" w:rsidR="00645631" w:rsidRPr="00645631" w:rsidRDefault="00645631" w:rsidP="00BC42A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Case no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14:paraId="66589A75" w14:textId="1D423793" w:rsidR="00645631" w:rsidRPr="00645631" w:rsidRDefault="00645631" w:rsidP="00BC42A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Stirring speed in dissolution reactor (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RPM</w:t>
            </w:r>
            <w:r w:rsidRPr="00645631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702A6C2B" w14:textId="3117E065" w:rsidR="00645631" w:rsidRPr="00645631" w:rsidRDefault="00645631" w:rsidP="00BC42A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Stirring speed in the crystallizer (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RPM</w:t>
            </w:r>
            <w:r w:rsidRPr="00645631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26849C84" w14:textId="77777777" w:rsidR="00645631" w:rsidRPr="00645631" w:rsidRDefault="00645631" w:rsidP="00BC42A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Particle diameter (µm)</w:t>
            </w:r>
          </w:p>
        </w:tc>
      </w:tr>
      <w:tr w:rsidR="00645631" w:rsidRPr="00645631" w14:paraId="1EE90E2C" w14:textId="77777777" w:rsidTr="00645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auto"/>
              <w:right w:val="none" w:sz="0" w:space="0" w:color="auto"/>
            </w:tcBorders>
          </w:tcPr>
          <w:p w14:paraId="563941CC" w14:textId="77777777" w:rsidR="00645631" w:rsidRPr="00645631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Case1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6D9E19E1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53C6B8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FB75F5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5631" w:rsidRPr="00645631" w14:paraId="41794B8F" w14:textId="77777777" w:rsidTr="00645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none" w:sz="0" w:space="0" w:color="auto"/>
            </w:tcBorders>
          </w:tcPr>
          <w:p w14:paraId="6DD1837A" w14:textId="77777777" w:rsidR="00645631" w:rsidRPr="00645631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Case2</w:t>
            </w:r>
          </w:p>
        </w:tc>
        <w:tc>
          <w:tcPr>
            <w:tcW w:w="2395" w:type="dxa"/>
            <w:tcBorders>
              <w:left w:val="nil"/>
            </w:tcBorders>
            <w:shd w:val="clear" w:color="auto" w:fill="FFFFFF" w:themeFill="background1"/>
          </w:tcPr>
          <w:p w14:paraId="19ADC2D4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87" w:type="dxa"/>
            <w:shd w:val="clear" w:color="auto" w:fill="FFFFFF" w:themeFill="background1"/>
          </w:tcPr>
          <w:p w14:paraId="3A17FAE2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98" w:type="dxa"/>
            <w:shd w:val="clear" w:color="auto" w:fill="FFFFFF" w:themeFill="background1"/>
          </w:tcPr>
          <w:p w14:paraId="45008EF6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5631" w:rsidRPr="00645631" w14:paraId="459D5ADF" w14:textId="77777777" w:rsidTr="00645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none" w:sz="0" w:space="0" w:color="auto"/>
            </w:tcBorders>
          </w:tcPr>
          <w:p w14:paraId="65547EC5" w14:textId="77777777" w:rsidR="00645631" w:rsidRPr="00645631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Case3</w:t>
            </w:r>
          </w:p>
        </w:tc>
        <w:tc>
          <w:tcPr>
            <w:tcW w:w="2395" w:type="dxa"/>
            <w:tcBorders>
              <w:left w:val="nil"/>
            </w:tcBorders>
            <w:shd w:val="clear" w:color="auto" w:fill="FFFFFF" w:themeFill="background1"/>
          </w:tcPr>
          <w:p w14:paraId="759032E4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87" w:type="dxa"/>
            <w:shd w:val="clear" w:color="auto" w:fill="FFFFFF" w:themeFill="background1"/>
          </w:tcPr>
          <w:p w14:paraId="37FD412D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98" w:type="dxa"/>
            <w:shd w:val="clear" w:color="auto" w:fill="FFFFFF" w:themeFill="background1"/>
          </w:tcPr>
          <w:p w14:paraId="09BA2801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5631" w:rsidRPr="00645631" w14:paraId="2DE51EC0" w14:textId="77777777" w:rsidTr="00645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none" w:sz="0" w:space="0" w:color="auto"/>
            </w:tcBorders>
          </w:tcPr>
          <w:p w14:paraId="40B3F2CE" w14:textId="77777777" w:rsidR="00645631" w:rsidRPr="00645631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Case4</w:t>
            </w:r>
          </w:p>
        </w:tc>
        <w:tc>
          <w:tcPr>
            <w:tcW w:w="2395" w:type="dxa"/>
            <w:tcBorders>
              <w:left w:val="nil"/>
            </w:tcBorders>
            <w:shd w:val="clear" w:color="auto" w:fill="FFFFFF" w:themeFill="background1"/>
          </w:tcPr>
          <w:p w14:paraId="5276A1DA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87" w:type="dxa"/>
            <w:shd w:val="clear" w:color="auto" w:fill="FFFFFF" w:themeFill="background1"/>
          </w:tcPr>
          <w:p w14:paraId="2C2BF9F2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8" w:type="dxa"/>
            <w:shd w:val="clear" w:color="auto" w:fill="FFFFFF" w:themeFill="background1"/>
          </w:tcPr>
          <w:p w14:paraId="2E2072E9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5631" w:rsidRPr="00A54D71" w14:paraId="59102B73" w14:textId="77777777" w:rsidTr="00D2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none" w:sz="0" w:space="0" w:color="auto"/>
            </w:tcBorders>
            <w:shd w:val="clear" w:color="auto" w:fill="B8CCE4" w:themeFill="accent1" w:themeFillTint="66"/>
          </w:tcPr>
          <w:p w14:paraId="49D977E0" w14:textId="77777777" w:rsidR="00645631" w:rsidRPr="002E77CF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2E77C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Case5</w:t>
            </w:r>
          </w:p>
        </w:tc>
        <w:tc>
          <w:tcPr>
            <w:tcW w:w="2395" w:type="dxa"/>
            <w:tcBorders>
              <w:left w:val="nil"/>
            </w:tcBorders>
            <w:shd w:val="clear" w:color="auto" w:fill="B8CCE4" w:themeFill="accent1" w:themeFillTint="66"/>
          </w:tcPr>
          <w:p w14:paraId="36D8BB32" w14:textId="77777777" w:rsidR="00645631" w:rsidRPr="002E77CF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7C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87" w:type="dxa"/>
            <w:shd w:val="clear" w:color="auto" w:fill="B8CCE4" w:themeFill="accent1" w:themeFillTint="66"/>
          </w:tcPr>
          <w:p w14:paraId="33923971" w14:textId="77777777" w:rsidR="00645631" w:rsidRPr="002E77CF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7C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8" w:type="dxa"/>
            <w:shd w:val="clear" w:color="auto" w:fill="B8CCE4" w:themeFill="accent1" w:themeFillTint="66"/>
          </w:tcPr>
          <w:p w14:paraId="0BB27A72" w14:textId="77777777" w:rsidR="00645631" w:rsidRPr="002E77CF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7C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5631" w:rsidRPr="00645631" w14:paraId="50440C68" w14:textId="77777777" w:rsidTr="00645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none" w:sz="0" w:space="0" w:color="auto"/>
            </w:tcBorders>
          </w:tcPr>
          <w:p w14:paraId="5C5FB1EB" w14:textId="77777777" w:rsidR="00645631" w:rsidRPr="00645631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Case6</w:t>
            </w:r>
          </w:p>
        </w:tc>
        <w:tc>
          <w:tcPr>
            <w:tcW w:w="2395" w:type="dxa"/>
            <w:tcBorders>
              <w:left w:val="nil"/>
            </w:tcBorders>
            <w:shd w:val="clear" w:color="auto" w:fill="FFFFFF" w:themeFill="background1"/>
          </w:tcPr>
          <w:p w14:paraId="5E3967B9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87" w:type="dxa"/>
            <w:shd w:val="clear" w:color="auto" w:fill="FFFFFF" w:themeFill="background1"/>
          </w:tcPr>
          <w:p w14:paraId="5B4D1EDD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98" w:type="dxa"/>
            <w:shd w:val="clear" w:color="auto" w:fill="FFFFFF" w:themeFill="background1"/>
          </w:tcPr>
          <w:p w14:paraId="38A5EB63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5631" w:rsidRPr="00645631" w14:paraId="787894B5" w14:textId="77777777" w:rsidTr="00645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none" w:sz="0" w:space="0" w:color="auto"/>
            </w:tcBorders>
          </w:tcPr>
          <w:p w14:paraId="5D9CCAA5" w14:textId="77777777" w:rsidR="00645631" w:rsidRPr="00645631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Case7</w:t>
            </w:r>
          </w:p>
        </w:tc>
        <w:tc>
          <w:tcPr>
            <w:tcW w:w="2395" w:type="dxa"/>
            <w:tcBorders>
              <w:left w:val="nil"/>
            </w:tcBorders>
            <w:shd w:val="clear" w:color="auto" w:fill="FFFFFF" w:themeFill="background1"/>
          </w:tcPr>
          <w:p w14:paraId="6317061D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87" w:type="dxa"/>
            <w:shd w:val="clear" w:color="auto" w:fill="FFFFFF" w:themeFill="background1"/>
          </w:tcPr>
          <w:p w14:paraId="05526F24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8" w:type="dxa"/>
            <w:shd w:val="clear" w:color="auto" w:fill="FFFFFF" w:themeFill="background1"/>
          </w:tcPr>
          <w:p w14:paraId="467E5B12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5631" w:rsidRPr="00645631" w14:paraId="0BCC1757" w14:textId="77777777" w:rsidTr="00645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none" w:sz="0" w:space="0" w:color="auto"/>
            </w:tcBorders>
          </w:tcPr>
          <w:p w14:paraId="44EDD56C" w14:textId="77777777" w:rsidR="00645631" w:rsidRPr="00645631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Case8</w:t>
            </w:r>
          </w:p>
        </w:tc>
        <w:tc>
          <w:tcPr>
            <w:tcW w:w="2395" w:type="dxa"/>
            <w:tcBorders>
              <w:left w:val="nil"/>
            </w:tcBorders>
            <w:shd w:val="clear" w:color="auto" w:fill="FFFFFF" w:themeFill="background1"/>
          </w:tcPr>
          <w:p w14:paraId="732158D6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87" w:type="dxa"/>
            <w:shd w:val="clear" w:color="auto" w:fill="FFFFFF" w:themeFill="background1"/>
          </w:tcPr>
          <w:p w14:paraId="615A0A51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98" w:type="dxa"/>
            <w:shd w:val="clear" w:color="auto" w:fill="FFFFFF" w:themeFill="background1"/>
          </w:tcPr>
          <w:p w14:paraId="564AB9F0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5631" w:rsidRPr="00645631" w14:paraId="51B30CDF" w14:textId="77777777" w:rsidTr="00D25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none" w:sz="0" w:space="0" w:color="auto"/>
            </w:tcBorders>
          </w:tcPr>
          <w:p w14:paraId="2FA80E58" w14:textId="77777777" w:rsidR="00645631" w:rsidRPr="00645631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Case9</w:t>
            </w:r>
          </w:p>
        </w:tc>
        <w:tc>
          <w:tcPr>
            <w:tcW w:w="2395" w:type="dxa"/>
            <w:tcBorders>
              <w:left w:val="nil"/>
            </w:tcBorders>
            <w:shd w:val="clear" w:color="auto" w:fill="FFFFFF" w:themeFill="background1"/>
          </w:tcPr>
          <w:p w14:paraId="5D3B001D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87" w:type="dxa"/>
            <w:shd w:val="clear" w:color="auto" w:fill="FFFFFF" w:themeFill="background1"/>
          </w:tcPr>
          <w:p w14:paraId="3B803094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98" w:type="dxa"/>
            <w:shd w:val="clear" w:color="auto" w:fill="FFFFFF" w:themeFill="background1"/>
          </w:tcPr>
          <w:p w14:paraId="3FD461A7" w14:textId="77777777" w:rsidR="00645631" w:rsidRPr="00645631" w:rsidRDefault="00645631" w:rsidP="00BC42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5631" w:rsidRPr="00645631" w14:paraId="5187B933" w14:textId="77777777" w:rsidTr="00645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bottom w:val="single" w:sz="4" w:space="0" w:color="auto"/>
              <w:right w:val="none" w:sz="0" w:space="0" w:color="auto"/>
            </w:tcBorders>
          </w:tcPr>
          <w:p w14:paraId="5D01B29B" w14:textId="77777777" w:rsidR="00645631" w:rsidRPr="00645631" w:rsidRDefault="00645631" w:rsidP="00BC42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Case10</w:t>
            </w:r>
          </w:p>
        </w:tc>
        <w:tc>
          <w:tcPr>
            <w:tcW w:w="239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52DDE38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B2D21F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33EFEA" w14:textId="77777777" w:rsidR="00645631" w:rsidRPr="00645631" w:rsidRDefault="00645631" w:rsidP="00BC42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5631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</w:tbl>
    <w:p w14:paraId="144DE6A1" w14:textId="485EB779" w:rsidR="008D2649" w:rsidRPr="00A94774" w:rsidRDefault="007910C5" w:rsidP="008D2649">
      <w:pPr>
        <w:pStyle w:val="Els-1storder-head"/>
        <w:spacing w:after="120"/>
        <w:rPr>
          <w:lang w:val="en-GB"/>
        </w:rPr>
      </w:pPr>
      <w:r>
        <w:rPr>
          <w:lang w:val="en-GB"/>
        </w:rPr>
        <w:t>Results and Discussion</w:t>
      </w:r>
    </w:p>
    <w:p w14:paraId="05921833" w14:textId="39FC8B2C" w:rsidR="00754FC8" w:rsidRDefault="000A05AB" w:rsidP="00754FC8">
      <w:pPr>
        <w:spacing w:line="276" w:lineRule="auto"/>
        <w:jc w:val="both"/>
      </w:pPr>
      <w:r>
        <w:t>Figure 2 shows</w:t>
      </w:r>
      <w:r w:rsidR="007D32B8">
        <w:t xml:space="preserve"> the key simulation results of the base case</w:t>
      </w:r>
      <w:r w:rsidR="00873EC6">
        <w:t xml:space="preserve">. One can see </w:t>
      </w:r>
      <w:r w:rsidR="009A2F85">
        <w:t>significant</w:t>
      </w:r>
      <w:r w:rsidR="00873EC6">
        <w:t xml:space="preserve"> CO</w:t>
      </w:r>
      <w:r w:rsidR="00873EC6" w:rsidRPr="00E0371B">
        <w:rPr>
          <w:vertAlign w:val="subscript"/>
        </w:rPr>
        <w:t>2</w:t>
      </w:r>
      <w:r w:rsidR="00873EC6">
        <w:t xml:space="preserve"> dissolution (</w:t>
      </w:r>
      <w:r w:rsidR="009A2F85">
        <w:t xml:space="preserve">in the dissolution reactor) and evolution (in the crystalliser) </w:t>
      </w:r>
      <w:r w:rsidR="00990237">
        <w:t>within a very short period of operation, followed by more gradual increase or decrease</w:t>
      </w:r>
      <w:r w:rsidR="0061380F">
        <w:t xml:space="preserve"> in TDC caused mainly by the dissolution or crystallisation.</w:t>
      </w:r>
      <w:r w:rsidR="005232E7">
        <w:t xml:space="preserve"> In contra</w:t>
      </w:r>
      <w:r w:rsidR="00652929">
        <w:t>s</w:t>
      </w:r>
      <w:r w:rsidR="005232E7">
        <w:t xml:space="preserve">t, the concentration of calcium ions changed more </w:t>
      </w:r>
      <w:r w:rsidR="00C34B34">
        <w:t xml:space="preserve">evenly. </w:t>
      </w:r>
      <w:r w:rsidR="00371456">
        <w:t>In term of the batch duration, dissolution appeared to consume much longer time than crystallisation.</w:t>
      </w:r>
      <w:r w:rsidR="005232E7">
        <w:t xml:space="preserve"> </w:t>
      </w:r>
      <w:r w:rsidR="00990237">
        <w:t xml:space="preserve"> </w:t>
      </w:r>
      <w:r w:rsidR="00754FC8">
        <w:t xml:space="preserve">On energy consumption, </w:t>
      </w:r>
      <w:r w:rsidR="00754FC8" w:rsidRPr="00862804">
        <w:t xml:space="preserve">Table 2 shows the </w:t>
      </w:r>
      <w:r w:rsidR="00754FC8">
        <w:t>results of</w:t>
      </w:r>
      <w:r w:rsidR="00754FC8" w:rsidRPr="00862804">
        <w:t xml:space="preserve"> the base case.</w:t>
      </w:r>
    </w:p>
    <w:p w14:paraId="436AD2A7" w14:textId="50B70450" w:rsidR="000A05AB" w:rsidRDefault="000A05AB" w:rsidP="008D2649">
      <w:pPr>
        <w:pStyle w:val="Els-body-text"/>
        <w:rPr>
          <w:lang w:val="en-GB"/>
        </w:rPr>
      </w:pPr>
    </w:p>
    <w:p w14:paraId="0A522902" w14:textId="5FC98B87" w:rsidR="00A40A91" w:rsidRDefault="003438BC" w:rsidP="00A40A91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4B245D2" wp14:editId="42AA903B">
            <wp:extent cx="4499610" cy="3451860"/>
            <wp:effectExtent l="0" t="0" r="0" b="0"/>
            <wp:docPr id="124787992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F22B" w14:textId="35B828F4" w:rsidR="00A40A91" w:rsidRPr="00685C8E" w:rsidRDefault="00A40A91" w:rsidP="00A40A91">
      <w:pPr>
        <w:spacing w:line="276" w:lineRule="auto"/>
        <w:jc w:val="center"/>
      </w:pPr>
      <w:r w:rsidRPr="00685C8E">
        <w:t xml:space="preserve">Figure 2. </w:t>
      </w:r>
      <w:r>
        <w:t>Simulation results</w:t>
      </w:r>
      <w:r w:rsidR="00754295">
        <w:t xml:space="preserve"> of the base case (case </w:t>
      </w:r>
      <w:r w:rsidR="00754295">
        <w:t>5</w:t>
      </w:r>
      <w:r w:rsidR="00754295">
        <w:t>)</w:t>
      </w:r>
      <w:r>
        <w:t>.</w:t>
      </w:r>
    </w:p>
    <w:p w14:paraId="5AFF7CE7" w14:textId="6FCF3635" w:rsidR="00862804" w:rsidRDefault="00862804" w:rsidP="00862804">
      <w:pPr>
        <w:spacing w:line="276" w:lineRule="auto"/>
        <w:jc w:val="center"/>
      </w:pPr>
      <w:r w:rsidRPr="00862804">
        <w:t xml:space="preserve">Table 2. Energy consumption during various operations of the base case per </w:t>
      </w:r>
      <w:r w:rsidR="00E0371B">
        <w:t xml:space="preserve">kg </w:t>
      </w:r>
      <w:r w:rsidR="00017BD1">
        <w:t>i</w:t>
      </w:r>
      <w:r w:rsidR="00E0371B">
        <w:t>kaite</w:t>
      </w:r>
      <w:r w:rsidRPr="00862804">
        <w:t>.</w:t>
      </w:r>
    </w:p>
    <w:tbl>
      <w:tblPr>
        <w:tblStyle w:val="TableGrid"/>
        <w:tblW w:w="7077" w:type="dxa"/>
        <w:tblLook w:val="04A0" w:firstRow="1" w:lastRow="0" w:firstColumn="1" w:lastColumn="0" w:noHBand="0" w:noVBand="1"/>
      </w:tblPr>
      <w:tblGrid>
        <w:gridCol w:w="5104"/>
        <w:gridCol w:w="1973"/>
      </w:tblGrid>
      <w:tr w:rsidR="00D52F48" w:rsidRPr="00D52F48" w14:paraId="4A3AE401" w14:textId="77777777" w:rsidTr="00D25159">
        <w:tc>
          <w:tcPr>
            <w:tcW w:w="5104" w:type="dxa"/>
          </w:tcPr>
          <w:p w14:paraId="23518194" w14:textId="77777777" w:rsidR="00D52F48" w:rsidRPr="00D52F48" w:rsidRDefault="00D52F48" w:rsidP="004865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Operation</w:t>
            </w:r>
          </w:p>
        </w:tc>
        <w:tc>
          <w:tcPr>
            <w:tcW w:w="1973" w:type="dxa"/>
          </w:tcPr>
          <w:p w14:paraId="08E4BD32" w14:textId="1A0CC454" w:rsidR="00D52F48" w:rsidRPr="00D52F48" w:rsidRDefault="00D52F48" w:rsidP="004865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Energy Consumption (kJ</w:t>
            </w:r>
            <w:r w:rsidR="00ED03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/kg </w:t>
            </w:r>
            <w:r w:rsidR="00017B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</w:t>
            </w:r>
            <w:r w:rsidR="00ED03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kaite</w:t>
            </w: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D25159" w:rsidRPr="00D52F48" w14:paraId="4592CA26" w14:textId="77777777" w:rsidTr="00D25159">
        <w:tc>
          <w:tcPr>
            <w:tcW w:w="5104" w:type="dxa"/>
          </w:tcPr>
          <w:p w14:paraId="5049E715" w14:textId="77777777" w:rsidR="00D25159" w:rsidRPr="00D52F48" w:rsidRDefault="00D25159" w:rsidP="00D25159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Compressor1</w:t>
            </w:r>
          </w:p>
        </w:tc>
        <w:tc>
          <w:tcPr>
            <w:tcW w:w="1973" w:type="dxa"/>
          </w:tcPr>
          <w:p w14:paraId="3E32FFF9" w14:textId="07B6023A" w:rsidR="00D25159" w:rsidRPr="00D52F48" w:rsidRDefault="00D25159" w:rsidP="00D251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5.92E</w:t>
            </w: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25159" w:rsidRPr="00D52F48" w14:paraId="1D8D7592" w14:textId="77777777" w:rsidTr="00D25159">
        <w:tc>
          <w:tcPr>
            <w:tcW w:w="5104" w:type="dxa"/>
          </w:tcPr>
          <w:p w14:paraId="2B61F3B7" w14:textId="77777777" w:rsidR="00D25159" w:rsidRPr="00D52F48" w:rsidRDefault="00D25159" w:rsidP="00D25159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Compressor2</w:t>
            </w:r>
          </w:p>
        </w:tc>
        <w:tc>
          <w:tcPr>
            <w:tcW w:w="1973" w:type="dxa"/>
          </w:tcPr>
          <w:p w14:paraId="67CF7A23" w14:textId="0C11FC29" w:rsidR="00D25159" w:rsidRPr="00D52F48" w:rsidRDefault="00D25159" w:rsidP="00D251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52E</w:t>
            </w: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25159" w:rsidRPr="00D52F48" w14:paraId="450B4E2E" w14:textId="77777777" w:rsidTr="00D25159">
        <w:tc>
          <w:tcPr>
            <w:tcW w:w="5104" w:type="dxa"/>
          </w:tcPr>
          <w:p w14:paraId="56E4283F" w14:textId="77777777" w:rsidR="00D25159" w:rsidRPr="00D52F48" w:rsidRDefault="00D25159" w:rsidP="00D25159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Agitation in dissolution reactor</w:t>
            </w:r>
          </w:p>
        </w:tc>
        <w:tc>
          <w:tcPr>
            <w:tcW w:w="1973" w:type="dxa"/>
          </w:tcPr>
          <w:p w14:paraId="09E8DA4C" w14:textId="0484474A" w:rsidR="00D25159" w:rsidRPr="00D52F48" w:rsidRDefault="00D25159" w:rsidP="00D251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5.93E2</w:t>
            </w:r>
          </w:p>
        </w:tc>
      </w:tr>
      <w:tr w:rsidR="00D25159" w:rsidRPr="00D52F48" w14:paraId="25E626D2" w14:textId="77777777" w:rsidTr="00D25159">
        <w:tc>
          <w:tcPr>
            <w:tcW w:w="5104" w:type="dxa"/>
          </w:tcPr>
          <w:p w14:paraId="5DC319DE" w14:textId="77777777" w:rsidR="00D25159" w:rsidRPr="00D52F48" w:rsidRDefault="00D25159" w:rsidP="00D25159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Agitation in crystallization</w:t>
            </w:r>
          </w:p>
        </w:tc>
        <w:tc>
          <w:tcPr>
            <w:tcW w:w="1973" w:type="dxa"/>
          </w:tcPr>
          <w:p w14:paraId="20C44DB7" w14:textId="57D7F870" w:rsidR="00D25159" w:rsidRPr="00D52F48" w:rsidRDefault="00596457" w:rsidP="00D251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4.05</w:t>
            </w:r>
            <w:r w:rsidR="00D25159"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="00D25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25159" w:rsidRPr="00D52F48" w14:paraId="474015E6" w14:textId="77777777" w:rsidTr="00D25159">
        <w:tc>
          <w:tcPr>
            <w:tcW w:w="5104" w:type="dxa"/>
          </w:tcPr>
          <w:p w14:paraId="096C08C1" w14:textId="77777777" w:rsidR="00D25159" w:rsidRPr="00D52F48" w:rsidRDefault="00D25159" w:rsidP="00D25159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Water pumping</w:t>
            </w:r>
          </w:p>
        </w:tc>
        <w:tc>
          <w:tcPr>
            <w:tcW w:w="1973" w:type="dxa"/>
          </w:tcPr>
          <w:p w14:paraId="10988C03" w14:textId="7DDE017D" w:rsidR="00D25159" w:rsidRPr="00D52F48" w:rsidRDefault="00D25159" w:rsidP="00D251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E2</w:t>
            </w:r>
          </w:p>
        </w:tc>
      </w:tr>
      <w:tr w:rsidR="00D25159" w:rsidRPr="00D52F48" w14:paraId="78DA64BE" w14:textId="77777777" w:rsidTr="00D25159">
        <w:tc>
          <w:tcPr>
            <w:tcW w:w="5104" w:type="dxa"/>
          </w:tcPr>
          <w:p w14:paraId="0094E4FC" w14:textId="77777777" w:rsidR="00D25159" w:rsidRPr="00D52F48" w:rsidRDefault="00D25159" w:rsidP="00D25159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Grinding</w:t>
            </w:r>
          </w:p>
        </w:tc>
        <w:tc>
          <w:tcPr>
            <w:tcW w:w="1973" w:type="dxa"/>
          </w:tcPr>
          <w:p w14:paraId="6B215583" w14:textId="2672FA06" w:rsidR="00D25159" w:rsidRPr="00D52F48" w:rsidRDefault="00D25159" w:rsidP="00D251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3.86</w:t>
            </w: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E1</w:t>
            </w:r>
          </w:p>
        </w:tc>
      </w:tr>
      <w:tr w:rsidR="00D25159" w:rsidRPr="00D52F48" w14:paraId="65C6535D" w14:textId="77777777" w:rsidTr="00D25159">
        <w:tc>
          <w:tcPr>
            <w:tcW w:w="5104" w:type="dxa"/>
          </w:tcPr>
          <w:p w14:paraId="6D57D6D0" w14:textId="77777777" w:rsidR="00D25159" w:rsidRPr="00D52F48" w:rsidRDefault="00D25159" w:rsidP="00D25159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973" w:type="dxa"/>
          </w:tcPr>
          <w:p w14:paraId="5DD8EB43" w14:textId="0E28EC3F" w:rsidR="00D25159" w:rsidRPr="00D52F48" w:rsidRDefault="00D25159" w:rsidP="00D251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5.96</w:t>
            </w:r>
            <w:r w:rsidRPr="00D52F4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E3</w:t>
            </w:r>
          </w:p>
        </w:tc>
      </w:tr>
    </w:tbl>
    <w:p w14:paraId="63CBFCBE" w14:textId="00B32FC8" w:rsidR="009A2E2C" w:rsidRDefault="00D52F48" w:rsidP="006D66F6">
      <w:pPr>
        <w:spacing w:before="240" w:line="276" w:lineRule="auto"/>
        <w:jc w:val="both"/>
      </w:pPr>
      <w:r>
        <w:t>T</w:t>
      </w:r>
      <w:r w:rsidR="00D33E9A" w:rsidRPr="00D33E9A">
        <w:t xml:space="preserve">he overall energy consumption per one cycle of </w:t>
      </w:r>
      <w:r w:rsidR="00C65202">
        <w:t>i</w:t>
      </w:r>
      <w:r w:rsidR="00D33E9A" w:rsidRPr="00D33E9A">
        <w:t xml:space="preserve">kaite production was calculated to be </w:t>
      </w:r>
      <w:r w:rsidR="00D25159">
        <w:t>5.96</w:t>
      </w:r>
      <w:r w:rsidR="009043BF">
        <w:t>E3 k</w:t>
      </w:r>
      <w:r w:rsidR="00D33E9A" w:rsidRPr="00D33E9A">
        <w:t>J/</w:t>
      </w:r>
      <w:r w:rsidR="003A5585">
        <w:t>k</w:t>
      </w:r>
      <w:r w:rsidR="00D33E9A" w:rsidRPr="00D33E9A">
        <w:t xml:space="preserve">g of </w:t>
      </w:r>
      <w:r w:rsidR="00024E8C">
        <w:t>i</w:t>
      </w:r>
      <w:r w:rsidR="00024E8C" w:rsidRPr="00D33E9A">
        <w:t xml:space="preserve">kaite </w:t>
      </w:r>
      <w:r w:rsidR="00D33E9A" w:rsidRPr="00D33E9A">
        <w:t xml:space="preserve">production. Amongst all the operations, </w:t>
      </w:r>
      <w:r w:rsidR="00024E8C">
        <w:t>a</w:t>
      </w:r>
      <w:r w:rsidR="00024E8C" w:rsidRPr="00D33E9A">
        <w:t xml:space="preserve">gitation </w:t>
      </w:r>
      <w:r w:rsidR="00D33E9A" w:rsidRPr="00D33E9A">
        <w:t>was observed to have contributed the highest to the energy consumption followed by compression</w:t>
      </w:r>
      <w:r w:rsidR="00024E8C">
        <w:t>s</w:t>
      </w:r>
      <w:r w:rsidR="00D33E9A" w:rsidRPr="00D33E9A">
        <w:t>.</w:t>
      </w:r>
    </w:p>
    <w:p w14:paraId="190BE5C4" w14:textId="77777777" w:rsidR="00770AE0" w:rsidRDefault="00770AE0" w:rsidP="00862804">
      <w:pPr>
        <w:spacing w:line="276" w:lineRule="auto"/>
        <w:jc w:val="both"/>
      </w:pPr>
    </w:p>
    <w:p w14:paraId="49A211E9" w14:textId="249F9C60" w:rsidR="00D33E9A" w:rsidRDefault="009A2E2C" w:rsidP="00862804">
      <w:pPr>
        <w:spacing w:line="276" w:lineRule="auto"/>
        <w:jc w:val="both"/>
      </w:pPr>
      <w:r>
        <w:t xml:space="preserve">Figure 3 summarised </w:t>
      </w:r>
      <w:r w:rsidR="00D33E9A" w:rsidRPr="00D33E9A">
        <w:t xml:space="preserve">the </w:t>
      </w:r>
      <w:r w:rsidR="00285405">
        <w:t>energy consumption</w:t>
      </w:r>
      <w:r w:rsidR="00285405" w:rsidRPr="00D33E9A">
        <w:t xml:space="preserve"> </w:t>
      </w:r>
      <w:r w:rsidR="00D33E9A" w:rsidRPr="00D33E9A">
        <w:t>results</w:t>
      </w:r>
      <w:r w:rsidR="00285405">
        <w:t xml:space="preserve"> of all the simulation cases.</w:t>
      </w:r>
      <w:r w:rsidR="00285405" w:rsidRPr="00D33E9A">
        <w:t xml:space="preserve"> </w:t>
      </w:r>
      <w:r w:rsidR="00E92920">
        <w:t xml:space="preserve">It </w:t>
      </w:r>
      <w:r w:rsidR="00B92931">
        <w:t>can</w:t>
      </w:r>
      <w:r w:rsidR="00E92920">
        <w:t xml:space="preserve"> be</w:t>
      </w:r>
      <w:r w:rsidR="00B92931">
        <w:t xml:space="preserve"> see</w:t>
      </w:r>
      <w:r w:rsidR="00E92920">
        <w:t>n</w:t>
      </w:r>
      <w:r w:rsidR="00B92931">
        <w:t xml:space="preserve"> that </w:t>
      </w:r>
      <w:r w:rsidR="00D33E9A" w:rsidRPr="00D33E9A">
        <w:t>the particle diameter has profound influence</w:t>
      </w:r>
      <w:r w:rsidR="00716B7B">
        <w:t xml:space="preserve">. Smaller particles, although consuming more grinding energy, lead to </w:t>
      </w:r>
      <w:r w:rsidR="00005CE9">
        <w:t xml:space="preserve">a </w:t>
      </w:r>
      <w:r w:rsidR="00716B7B">
        <w:t xml:space="preserve">shorter </w:t>
      </w:r>
      <w:r w:rsidR="00005CE9">
        <w:t>dissolution time</w:t>
      </w:r>
      <w:r w:rsidR="00D3569A">
        <w:t xml:space="preserve"> </w:t>
      </w:r>
      <w:r w:rsidR="00005CE9">
        <w:t xml:space="preserve">and hence lower energy consumption for agitation. A higher </w:t>
      </w:r>
      <w:r w:rsidR="00D33E9A" w:rsidRPr="00D33E9A">
        <w:t xml:space="preserve">stirring speed </w:t>
      </w:r>
      <w:r w:rsidR="000A2228">
        <w:t>always leads to the increase in</w:t>
      </w:r>
      <w:r w:rsidR="000A2228" w:rsidRPr="00D33E9A">
        <w:t xml:space="preserve"> </w:t>
      </w:r>
      <w:r w:rsidR="00D33E9A" w:rsidRPr="00D33E9A">
        <w:lastRenderedPageBreak/>
        <w:t xml:space="preserve">the power required for agitation </w:t>
      </w:r>
      <w:r w:rsidR="000A2228">
        <w:t xml:space="preserve">(while with limited </w:t>
      </w:r>
      <w:r w:rsidR="006E5758">
        <w:t xml:space="preserve">impact on the dissolution rate, not shown) </w:t>
      </w:r>
      <w:r w:rsidR="00D33E9A" w:rsidRPr="00D33E9A">
        <w:t xml:space="preserve">and hence </w:t>
      </w:r>
      <w:r w:rsidR="006E5758">
        <w:t xml:space="preserve">higher </w:t>
      </w:r>
      <w:r w:rsidR="00D33E9A" w:rsidRPr="00D33E9A">
        <w:t>energy consumption</w:t>
      </w:r>
      <w:r w:rsidR="00A11FD5">
        <w:t>.</w:t>
      </w:r>
    </w:p>
    <w:p w14:paraId="63F2DC44" w14:textId="63D4CD32" w:rsidR="00D33E9A" w:rsidRPr="00685C8E" w:rsidRDefault="002E3D35" w:rsidP="00D33E9A">
      <w:pPr>
        <w:spacing w:line="276" w:lineRule="auto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75D0E010" wp14:editId="237931C5">
            <wp:extent cx="4499610" cy="2840355"/>
            <wp:effectExtent l="0" t="0" r="15240" b="17145"/>
            <wp:docPr id="16229272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1EE62B5-27F2-3143-CF60-2A9A9A7E53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6F9023A" w14:textId="2F01DBEF" w:rsidR="00D33E9A" w:rsidRPr="00D33E9A" w:rsidRDefault="00D33E9A" w:rsidP="006D66F6">
      <w:pPr>
        <w:spacing w:after="240" w:line="276" w:lineRule="auto"/>
        <w:jc w:val="center"/>
      </w:pPr>
      <w:r w:rsidRPr="00D33E9A">
        <w:t xml:space="preserve">Figure </w:t>
      </w:r>
      <w:r w:rsidR="009A2E2C">
        <w:t>3</w:t>
      </w:r>
      <w:r w:rsidRPr="00D33E9A">
        <w:t>. Specific energy consumption by case</w:t>
      </w:r>
      <w:r w:rsidR="00285405">
        <w:t>s listed in</w:t>
      </w:r>
      <w:r w:rsidRPr="00D33E9A">
        <w:t xml:space="preserve"> </w:t>
      </w:r>
      <w:r w:rsidR="00285405">
        <w:t>T</w:t>
      </w:r>
      <w:r w:rsidR="00285405" w:rsidRPr="00D33E9A">
        <w:t xml:space="preserve">able </w:t>
      </w:r>
      <w:r w:rsidRPr="00D33E9A">
        <w:t>1.</w:t>
      </w:r>
    </w:p>
    <w:p w14:paraId="7469A801" w14:textId="1E867FAC" w:rsidR="00D33E9A" w:rsidRDefault="00D33E9A" w:rsidP="006D66F6">
      <w:pPr>
        <w:spacing w:after="240" w:line="276" w:lineRule="auto"/>
        <w:jc w:val="both"/>
      </w:pPr>
      <w:r w:rsidRPr="00D33E9A">
        <w:t>Amongst all the cases considered, Case 7, with 100rpm dissolution and crystallizer stirring speeds with 60µm feed particle size was observed to have consumed highest amount of energy with a total of 8</w:t>
      </w:r>
      <w:r w:rsidR="00A11FD5">
        <w:t>.</w:t>
      </w:r>
      <w:r w:rsidRPr="00D33E9A">
        <w:t>83</w:t>
      </w:r>
      <w:r w:rsidR="00A11FD5">
        <w:t>E</w:t>
      </w:r>
      <w:r w:rsidR="00E0371B">
        <w:t>3</w:t>
      </w:r>
      <w:r w:rsidRPr="00D33E9A">
        <w:t xml:space="preserve"> </w:t>
      </w:r>
      <w:r>
        <w:t>k</w:t>
      </w:r>
      <w:r w:rsidRPr="00D33E9A">
        <w:t xml:space="preserve">J/kg of </w:t>
      </w:r>
      <w:r w:rsidR="00A11FD5">
        <w:t>i</w:t>
      </w:r>
      <w:r w:rsidR="00A11FD5" w:rsidRPr="00D33E9A">
        <w:t>kaite</w:t>
      </w:r>
      <w:r w:rsidRPr="00D33E9A">
        <w:t>. The minimum energy consumption was observed for the case 2 with 30rpm each with 60µm feed particle size with 1</w:t>
      </w:r>
      <w:r w:rsidR="00A11FD5">
        <w:t>.</w:t>
      </w:r>
      <w:r w:rsidR="002B7B78">
        <w:t>60E3</w:t>
      </w:r>
      <w:r w:rsidRPr="00D33E9A">
        <w:t xml:space="preserve"> </w:t>
      </w:r>
      <w:r>
        <w:t>k</w:t>
      </w:r>
      <w:r w:rsidRPr="00D33E9A">
        <w:t xml:space="preserve">J/kg of </w:t>
      </w:r>
      <w:r w:rsidR="00E93DAA">
        <w:t>i</w:t>
      </w:r>
      <w:r w:rsidRPr="00D33E9A">
        <w:t>kaite.</w:t>
      </w:r>
    </w:p>
    <w:p w14:paraId="278BB626" w14:textId="3B6AFDBA" w:rsidR="00D67B20" w:rsidRDefault="00D67B20" w:rsidP="00D67B20">
      <w:pPr>
        <w:pStyle w:val="Els-1storder-head"/>
        <w:spacing w:after="120"/>
        <w:rPr>
          <w:lang w:val="en-GB"/>
        </w:rPr>
      </w:pPr>
      <w:r>
        <w:rPr>
          <w:lang w:val="en-GB"/>
        </w:rPr>
        <w:t>Conclusion</w:t>
      </w:r>
    </w:p>
    <w:p w14:paraId="10C2075C" w14:textId="26E75B72" w:rsidR="00D33E9A" w:rsidRPr="00862804" w:rsidRDefault="00D67B20" w:rsidP="00B74C58">
      <w:pPr>
        <w:pStyle w:val="Els-body-text"/>
        <w:spacing w:line="276" w:lineRule="auto"/>
        <w:rPr>
          <w:lang w:val="en-GB"/>
        </w:rPr>
      </w:pPr>
      <w:r w:rsidRPr="00D67B20">
        <w:rPr>
          <w:lang w:val="en-GB"/>
        </w:rPr>
        <w:t xml:space="preserve">This COMSOL based modelling of </w:t>
      </w:r>
      <w:r w:rsidR="00F12E70">
        <w:rPr>
          <w:lang w:val="en-GB"/>
        </w:rPr>
        <w:t>i</w:t>
      </w:r>
      <w:r w:rsidR="00F12E70" w:rsidRPr="00D67B20">
        <w:rPr>
          <w:lang w:val="en-GB"/>
        </w:rPr>
        <w:t xml:space="preserve">kaite </w:t>
      </w:r>
      <w:r w:rsidRPr="00D67B20">
        <w:rPr>
          <w:lang w:val="en-GB"/>
        </w:rPr>
        <w:t xml:space="preserve">precipitation </w:t>
      </w:r>
      <w:r w:rsidR="00ED3B27">
        <w:rPr>
          <w:lang w:val="en-GB"/>
        </w:rPr>
        <w:t xml:space="preserve">predicted the feasibility of the </w:t>
      </w:r>
      <w:r w:rsidR="001B64C0">
        <w:rPr>
          <w:lang w:val="en-GB"/>
        </w:rPr>
        <w:t>production of</w:t>
      </w:r>
      <w:r w:rsidRPr="00D67B20">
        <w:rPr>
          <w:lang w:val="en-GB"/>
        </w:rPr>
        <w:t xml:space="preserve"> </w:t>
      </w:r>
      <w:r w:rsidR="001B64C0">
        <w:rPr>
          <w:lang w:val="en-GB"/>
        </w:rPr>
        <w:t>i</w:t>
      </w:r>
      <w:r w:rsidR="001B64C0" w:rsidRPr="00D67B20">
        <w:rPr>
          <w:lang w:val="en-GB"/>
        </w:rPr>
        <w:t>kaite</w:t>
      </w:r>
      <w:r w:rsidR="00E0371B">
        <w:rPr>
          <w:lang w:val="en-GB"/>
        </w:rPr>
        <w:t xml:space="preserve"> </w:t>
      </w:r>
      <w:r w:rsidR="001B64C0">
        <w:rPr>
          <w:lang w:val="en-GB"/>
        </w:rPr>
        <w:t>and</w:t>
      </w:r>
      <w:r w:rsidRPr="00D67B20">
        <w:rPr>
          <w:lang w:val="en-GB"/>
        </w:rPr>
        <w:t xml:space="preserve"> </w:t>
      </w:r>
      <w:r w:rsidR="001B64C0">
        <w:rPr>
          <w:lang w:val="en-GB"/>
        </w:rPr>
        <w:t xml:space="preserve">identified key parameters </w:t>
      </w:r>
      <w:r w:rsidR="00B23282">
        <w:rPr>
          <w:lang w:val="en-GB"/>
        </w:rPr>
        <w:t>for future optimisation in order to reduce energy consumption</w:t>
      </w:r>
      <w:r w:rsidRPr="00D67B20">
        <w:rPr>
          <w:lang w:val="en-GB"/>
        </w:rPr>
        <w:t xml:space="preserve">. </w:t>
      </w:r>
      <w:r w:rsidR="001413A4">
        <w:rPr>
          <w:lang w:val="en-GB"/>
        </w:rPr>
        <w:t>More specifically</w:t>
      </w:r>
      <w:r w:rsidRPr="00D67B20">
        <w:rPr>
          <w:lang w:val="en-GB"/>
        </w:rPr>
        <w:t xml:space="preserve">, we observed that the lower stirring speeds </w:t>
      </w:r>
      <w:r w:rsidR="00255795">
        <w:rPr>
          <w:lang w:val="en-GB"/>
        </w:rPr>
        <w:t xml:space="preserve">would be preferrable, and that </w:t>
      </w:r>
      <w:r w:rsidR="0063379D">
        <w:rPr>
          <w:lang w:val="en-GB"/>
        </w:rPr>
        <w:t xml:space="preserve">using </w:t>
      </w:r>
      <w:r w:rsidR="004753FC">
        <w:rPr>
          <w:lang w:val="en-GB"/>
        </w:rPr>
        <w:t xml:space="preserve">more energy to produce </w:t>
      </w:r>
      <w:r w:rsidRPr="00D67B20">
        <w:rPr>
          <w:lang w:val="en-GB"/>
        </w:rPr>
        <w:t>particle</w:t>
      </w:r>
      <w:r w:rsidR="004753FC">
        <w:rPr>
          <w:lang w:val="en-GB"/>
        </w:rPr>
        <w:t>s</w:t>
      </w:r>
      <w:r w:rsidRPr="00D67B20">
        <w:rPr>
          <w:lang w:val="en-GB"/>
        </w:rPr>
        <w:t xml:space="preserve"> </w:t>
      </w:r>
      <w:r w:rsidR="004753FC">
        <w:rPr>
          <w:lang w:val="en-GB"/>
        </w:rPr>
        <w:t xml:space="preserve">at smaller </w:t>
      </w:r>
      <w:r w:rsidRPr="00D67B20">
        <w:rPr>
          <w:lang w:val="en-GB"/>
        </w:rPr>
        <w:t>sizes would</w:t>
      </w:r>
      <w:r w:rsidR="00634CD5">
        <w:rPr>
          <w:lang w:val="en-GB"/>
        </w:rPr>
        <w:t xml:space="preserve"> lead to the reduction of the overall energy demand</w:t>
      </w:r>
      <w:r w:rsidRPr="00D67B20">
        <w:rPr>
          <w:lang w:val="en-GB"/>
        </w:rPr>
        <w:t>.</w:t>
      </w:r>
      <w:r w:rsidR="00FD293A">
        <w:rPr>
          <w:lang w:val="en-GB"/>
        </w:rPr>
        <w:t xml:space="preserve"> </w:t>
      </w:r>
    </w:p>
    <w:p w14:paraId="144DE6BF" w14:textId="608D0AD6" w:rsidR="008D2649" w:rsidRDefault="008D2649" w:rsidP="008D2649">
      <w:pPr>
        <w:pStyle w:val="Els-reference-head"/>
      </w:pPr>
      <w:r>
        <w:t>References</w:t>
      </w:r>
    </w:p>
    <w:p w14:paraId="6B40122A" w14:textId="1D53FF9F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Bischoff, J., Fitzpatrick, J. &amp; Rosenbauer, R., 1993. The Journal of Geology, 101(1), pp. 21-33.</w:t>
      </w:r>
    </w:p>
    <w:p w14:paraId="1405C01C" w14:textId="2D93A367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Caderbank, P., 1958. Chemical Engineering Research and Design, Volume 36, p. 443.</w:t>
      </w:r>
    </w:p>
    <w:p w14:paraId="3BA7A68C" w14:textId="13F06AAE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Caldeira, K. &amp; Rau, G., 2000. Geophysical Research Letters, 27(2), pp. 225-228.</w:t>
      </w:r>
    </w:p>
    <w:p w14:paraId="29AD216D" w14:textId="09395AE6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Cents, A., Brilman, D. &amp; Versteeg, G., 2005. Chemical Engineering Science, 60(21), pp. 5830-5835.</w:t>
      </w:r>
    </w:p>
    <w:p w14:paraId="71E820E5" w14:textId="7860DA2E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Dvorak, B. et al., 1996. Environmental science &amp; technology, 30(3), pp. 945-953..</w:t>
      </w:r>
    </w:p>
    <w:p w14:paraId="7142EA46" w14:textId="369F127E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Edwards, T., Maurer, G., Newman, J. &amp; Prausnitz, J., 1978. AIChE Journal, 24(6), pp. 966-976.</w:t>
      </w:r>
    </w:p>
    <w:p w14:paraId="2F226DA7" w14:textId="759C870A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Hughmark, G., 1980. Industrial &amp; Engineering Chemistry Process Design and Development, 19(4), pp. 638-641.</w:t>
      </w:r>
    </w:p>
    <w:p w14:paraId="56D55AA3" w14:textId="12BEBA58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lastRenderedPageBreak/>
        <w:t>Hu, Y. et al., 2014. Marine Chemistry, Volume 162, pp. 10-18.</w:t>
      </w:r>
    </w:p>
    <w:p w14:paraId="5202F72E" w14:textId="19B397CB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Onda, K., Takeuchi, H. &amp; Okumoto, Y., 1968</w:t>
      </w:r>
      <w:r>
        <w:rPr>
          <w:lang w:val="en-US"/>
        </w:rPr>
        <w:t>.</w:t>
      </w:r>
      <w:r w:rsidRPr="00D67B20">
        <w:rPr>
          <w:lang w:val="en-US"/>
        </w:rPr>
        <w:t xml:space="preserve"> Journal of chemical engineering of Japan, 1(1), pp. 56-62.</w:t>
      </w:r>
    </w:p>
    <w:p w14:paraId="56D182FD" w14:textId="50711060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Papadimitriou, S., Kennedy, H., Kennedy, P. &amp; Thomas, D., 2013</w:t>
      </w:r>
      <w:r>
        <w:rPr>
          <w:lang w:val="en-US"/>
        </w:rPr>
        <w:t>.</w:t>
      </w:r>
      <w:r w:rsidRPr="00D67B20">
        <w:rPr>
          <w:lang w:val="en-US"/>
        </w:rPr>
        <w:t xml:space="preserve"> Geochimica et Cosmochimica Acta, Volume 109, pp. 241-253.</w:t>
      </w:r>
    </w:p>
    <w:p w14:paraId="3E9B179A" w14:textId="1C8E0F44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Papadimitriou, S., Kennedy, H., Kennedy, P. &amp; Thomas, D., 2014. Geochimica et Cosmochimica Acta, Volume 140, pp. 199-211.</w:t>
      </w:r>
    </w:p>
    <w:p w14:paraId="5EE533CE" w14:textId="10EC55C2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Plummer, L. &amp; Busenberg, E., 1982. Geochimica et cosmochimica acta, 46(6), pp. 1011-1040..</w:t>
      </w:r>
    </w:p>
    <w:p w14:paraId="1A013CE8" w14:textId="1326EBA6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Pokrovsky, O., Golubev, S. &amp; Schott, J., 2005</w:t>
      </w:r>
      <w:r>
        <w:rPr>
          <w:lang w:val="en-US"/>
        </w:rPr>
        <w:t xml:space="preserve">. </w:t>
      </w:r>
      <w:r w:rsidRPr="00D67B20">
        <w:rPr>
          <w:lang w:val="en-US"/>
        </w:rPr>
        <w:t>Chemical geology, , 217(3-4), pp. 239-255.</w:t>
      </w:r>
    </w:p>
    <w:p w14:paraId="3C8A464E" w14:textId="572B013E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Renforth, P. et al., 2022. Joule, 6(12), pp. 2674-2679.</w:t>
      </w:r>
    </w:p>
    <w:p w14:paraId="1FB7F6C1" w14:textId="27DB7B5F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Renforth, P. &amp; Henderson, G., 2017. Reviews of Geophysics, 55(3), pp. 636-674.</w:t>
      </w:r>
    </w:p>
    <w:p w14:paraId="6F820A79" w14:textId="2A18A8CE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Sjoeberg, E. &amp; Rickard, D., 1984 Chemical Geology, 42(1-4), pp. 119-136.</w:t>
      </w:r>
    </w:p>
    <w:p w14:paraId="6AD8C548" w14:textId="0F10B0A5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Stockmann, G. et al., 2018. Applied Geochemistry, Volume 89, pp. 11-22.</w:t>
      </w:r>
    </w:p>
    <w:p w14:paraId="191548C7" w14:textId="0E555A33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Strohm, S. et al., 2022. Chemical Geology, Volume 611, p. 121089.</w:t>
      </w:r>
    </w:p>
    <w:p w14:paraId="6095CA3D" w14:textId="7B72091A" w:rsid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Tollefsen, E. et al., 2018. Mineralogical Magazine, 82(5), pp. 1119-1129.</w:t>
      </w:r>
    </w:p>
    <w:p w14:paraId="01AA79C9" w14:textId="3A294737" w:rsidR="00716FCB" w:rsidRPr="00D67B20" w:rsidRDefault="00716FCB" w:rsidP="00D67B20">
      <w:pPr>
        <w:pStyle w:val="Els-referenceno-number"/>
        <w:rPr>
          <w:lang w:val="en-US"/>
        </w:rPr>
      </w:pPr>
      <w:r w:rsidRPr="00716FCB">
        <w:rPr>
          <w:lang w:val="en-US"/>
        </w:rPr>
        <w:t>Wei, H.</w:t>
      </w:r>
      <w:r w:rsidR="00BD07A2">
        <w:rPr>
          <w:lang w:val="en-US"/>
        </w:rPr>
        <w:t xml:space="preserve"> </w:t>
      </w:r>
      <w:r>
        <w:rPr>
          <w:lang w:val="en-US"/>
        </w:rPr>
        <w:t>et al</w:t>
      </w:r>
      <w:r w:rsidRPr="00716FCB">
        <w:rPr>
          <w:lang w:val="en-US"/>
        </w:rPr>
        <w:t>., 2001. Industrial &amp; engineering chemistry research, 40(23), pp.5255-5261.</w:t>
      </w:r>
    </w:p>
    <w:p w14:paraId="6D7C7F18" w14:textId="60D41B96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Xing, L. et al., 2023. Chemical Engineering Journal, Volume 454, p. 139997.</w:t>
      </w:r>
    </w:p>
    <w:p w14:paraId="5C249C00" w14:textId="44332E1F" w:rsidR="00D67B20" w:rsidRPr="00D67B20" w:rsidRDefault="00D67B20" w:rsidP="00D67B20">
      <w:pPr>
        <w:pStyle w:val="Els-referenceno-number"/>
        <w:rPr>
          <w:lang w:val="en-US"/>
        </w:rPr>
      </w:pPr>
      <w:r w:rsidRPr="00D67B20">
        <w:rPr>
          <w:lang w:val="en-US"/>
        </w:rPr>
        <w:t>Xing, L. et al., 2022. Chemical Engineering Journal, Volume 431, p. 134096.</w:t>
      </w:r>
    </w:p>
    <w:p w14:paraId="144DE6C3" w14:textId="77777777" w:rsidR="008D2649" w:rsidRDefault="008D2649" w:rsidP="008D2649">
      <w:pPr>
        <w:pStyle w:val="Els-referenceno-number"/>
        <w:rPr>
          <w:lang w:val="en-US"/>
        </w:rPr>
      </w:pPr>
    </w:p>
    <w:sectPr w:rsidR="008D2649" w:rsidSect="008B0184">
      <w:headerReference w:type="even" r:id="rId11"/>
      <w:headerReference w:type="default" r:id="rId12"/>
      <w:headerReference w:type="first" r:id="rId13"/>
      <w:type w:val="continuous"/>
      <w:pgSz w:w="11906" w:h="16838" w:code="9"/>
      <w:pgMar w:top="2377" w:right="2410" w:bottom="2892" w:left="2410" w:header="1701" w:footer="2892" w:gutter="0"/>
      <w:cols w:space="720" w:equalWidth="0">
        <w:col w:w="7087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C537" w14:textId="77777777" w:rsidR="00661E55" w:rsidRDefault="00661E55">
      <w:r>
        <w:separator/>
      </w:r>
    </w:p>
  </w:endnote>
  <w:endnote w:type="continuationSeparator" w:id="0">
    <w:p w14:paraId="6BD2E96D" w14:textId="77777777" w:rsidR="00661E55" w:rsidRDefault="0066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2EE5" w14:textId="77777777" w:rsidR="00661E55" w:rsidRDefault="00661E55">
      <w:r>
        <w:separator/>
      </w:r>
    </w:p>
  </w:footnote>
  <w:footnote w:type="continuationSeparator" w:id="0">
    <w:p w14:paraId="543FFEBB" w14:textId="77777777" w:rsidR="00661E55" w:rsidRDefault="0066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9" w14:textId="5EB2E158" w:rsidR="00DD3D9E" w:rsidRDefault="00DD3D9E">
    <w:pPr>
      <w:pStyle w:val="Header"/>
      <w:tabs>
        <w:tab w:val="clear" w:pos="7200"/>
        <w:tab w:val="right" w:pos="7088"/>
      </w:tabs>
    </w:pPr>
    <w:r>
      <w:rPr>
        <w:rStyle w:val="PageNumber"/>
      </w:rPr>
      <w:tab/>
    </w:r>
    <w:r>
      <w:rPr>
        <w:rStyle w:val="PageNumber"/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A" w14:textId="0F7BDF63" w:rsidR="00DD3D9E" w:rsidRDefault="00DD3D9E">
    <w:pPr>
      <w:pStyle w:val="Header"/>
      <w:tabs>
        <w:tab w:val="clear" w:pos="7200"/>
        <w:tab w:val="right" w:pos="7088"/>
      </w:tabs>
      <w:jc w:val="right"/>
      <w:rPr>
        <w:sz w:val="24"/>
      </w:rPr>
    </w:pPr>
    <w:r>
      <w:rPr>
        <w:rStyle w:val="PageNumber"/>
        <w:i/>
        <w:sz w:val="24"/>
      </w:rPr>
      <w:tab/>
    </w:r>
    <w:r>
      <w:rPr>
        <w:rStyle w:val="PageNumber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E6CC" w14:textId="65EF433B" w:rsidR="00DD3D9E" w:rsidRPr="00FF6043" w:rsidRDefault="001B1DE3" w:rsidP="00FF6043">
    <w:pPr>
      <w:pStyle w:val="ElsevierBodyTextCentredNospace"/>
      <w:jc w:val="left"/>
      <w:rPr>
        <w:noProof/>
        <w:sz w:val="20"/>
        <w:szCs w:val="20"/>
      </w:rPr>
    </w:pPr>
    <w:r>
      <w:rPr>
        <w:noProof/>
        <w:color w:val="auto"/>
        <w:sz w:val="20"/>
        <w:szCs w:val="20"/>
      </w:rPr>
      <w:drawing>
        <wp:inline distT="0" distB="0" distL="0" distR="0" wp14:anchorId="26F3196F" wp14:editId="0458D368">
          <wp:extent cx="4499610" cy="9169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ng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9610" cy="91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6842" w:rsidRPr="00FF6043">
      <w:rPr>
        <w:color w:val="auto"/>
        <w:sz w:val="20"/>
        <w:szCs w:val="20"/>
      </w:rPr>
      <w:t xml:space="preserve">Flavio Manenti, Gintaras V. Reklaitis (Eds.), </w:t>
    </w:r>
    <w:r w:rsidR="00FF6043" w:rsidRPr="00FF6043">
      <w:rPr>
        <w:color w:val="auto"/>
        <w:sz w:val="20"/>
        <w:szCs w:val="20"/>
      </w:rPr>
      <w:t>B</w:t>
    </w:r>
    <w:r w:rsidR="00FF6043" w:rsidRPr="00FF6043">
      <w:rPr>
        <w:noProof/>
        <w:sz w:val="20"/>
        <w:szCs w:val="20"/>
      </w:rPr>
      <w:t>ook of Abstract</w:t>
    </w:r>
    <w:r w:rsidR="00F06842" w:rsidRPr="00FF6043">
      <w:rPr>
        <w:noProof/>
        <w:sz w:val="20"/>
        <w:szCs w:val="20"/>
      </w:rPr>
      <w:t xml:space="preserve"> of the </w:t>
    </w:r>
    <w:r w:rsidR="00F06842" w:rsidRPr="00FF6043">
      <w:rPr>
        <w:rStyle w:val="underline1"/>
        <w:sz w:val="20"/>
        <w:szCs w:val="20"/>
        <w:u w:val="none"/>
      </w:rPr>
      <w:t>34</w:t>
    </w:r>
    <w:r w:rsidR="00F06842" w:rsidRPr="00FF6043">
      <w:rPr>
        <w:rStyle w:val="underline1"/>
        <w:sz w:val="20"/>
        <w:szCs w:val="20"/>
        <w:u w:val="none"/>
        <w:vertAlign w:val="superscript"/>
      </w:rPr>
      <w:t>th</w:t>
    </w:r>
    <w:r w:rsidR="00F06842" w:rsidRPr="00FF6043">
      <w:rPr>
        <w:rStyle w:val="underline1"/>
        <w:sz w:val="20"/>
        <w:szCs w:val="20"/>
        <w:u w:val="none"/>
      </w:rPr>
      <w:t xml:space="preserve"> European Symposium on Computer Aided Process Engineering / 15</w:t>
    </w:r>
    <w:r w:rsidR="00F06842" w:rsidRPr="00FF6043">
      <w:rPr>
        <w:rStyle w:val="underline1"/>
        <w:sz w:val="20"/>
        <w:szCs w:val="20"/>
        <w:u w:val="none"/>
        <w:vertAlign w:val="superscript"/>
      </w:rPr>
      <w:t>th</w:t>
    </w:r>
    <w:r w:rsidR="00F06842" w:rsidRPr="00FF6043">
      <w:rPr>
        <w:rStyle w:val="underline1"/>
        <w:sz w:val="20"/>
        <w:szCs w:val="20"/>
        <w:u w:val="none"/>
      </w:rPr>
      <w:t xml:space="preserve"> International Symposium on Process Systems Engineerin</w:t>
    </w:r>
    <w:r w:rsidR="00F06842" w:rsidRPr="00FF6043">
      <w:rPr>
        <w:rStyle w:val="underline1"/>
        <w:sz w:val="20"/>
        <w:szCs w:val="20"/>
      </w:rPr>
      <w:t>g</w:t>
    </w:r>
    <w:r w:rsidR="00F06842" w:rsidRPr="00FF6043">
      <w:rPr>
        <w:noProof/>
        <w:sz w:val="20"/>
        <w:szCs w:val="20"/>
      </w:rPr>
      <w:t xml:space="preserve"> (ESCAPE34/PSE24), June 2-6, 2024,</w:t>
    </w:r>
    <w:r w:rsidR="00F06842" w:rsidRPr="00FF6043">
      <w:rPr>
        <w:sz w:val="20"/>
        <w:szCs w:val="20"/>
      </w:rPr>
      <w:t xml:space="preserve"> Florence</w:t>
    </w:r>
    <w:r w:rsidR="00F06842" w:rsidRPr="00FF6043">
      <w:rPr>
        <w:noProof/>
        <w:sz w:val="20"/>
        <w:szCs w:val="20"/>
      </w:rPr>
      <w:t>, Italy</w:t>
    </w:r>
    <w:r w:rsidR="00FF6043">
      <w:rPr>
        <w:noProof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78C"/>
    <w:multiLevelType w:val="multilevel"/>
    <w:tmpl w:val="A2DC3AD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1A2E0393"/>
    <w:multiLevelType w:val="multilevel"/>
    <w:tmpl w:val="77CA1008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2" w15:restartNumberingAfterBreak="0">
    <w:nsid w:val="1D0C7A89"/>
    <w:multiLevelType w:val="singleLevel"/>
    <w:tmpl w:val="3814B02C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3" w15:restartNumberingAfterBreak="0">
    <w:nsid w:val="241C6CF0"/>
    <w:multiLevelType w:val="multilevel"/>
    <w:tmpl w:val="F490D9D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4" w15:restartNumberingAfterBreak="0">
    <w:nsid w:val="2438217E"/>
    <w:multiLevelType w:val="multilevel"/>
    <w:tmpl w:val="B3242232"/>
    <w:lvl w:ilvl="0">
      <w:start w:val="1"/>
      <w:numFmt w:val="decimal"/>
      <w:pStyle w:val="Els-Chapterno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ls-1storder-head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ls-2ndorder-head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-3rdorder-head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486B6C"/>
    <w:multiLevelType w:val="singleLevel"/>
    <w:tmpl w:val="FE1C3F06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6" w15:restartNumberingAfterBreak="0">
    <w:nsid w:val="29322B9F"/>
    <w:multiLevelType w:val="multilevel"/>
    <w:tmpl w:val="C5F4A82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AB1025D"/>
    <w:multiLevelType w:val="hybridMultilevel"/>
    <w:tmpl w:val="3DD8E7C4"/>
    <w:lvl w:ilvl="0" w:tplc="0BECA5BC">
      <w:start w:val="1"/>
      <w:numFmt w:val="decimal"/>
      <w:pStyle w:val="Els-reference"/>
      <w:lvlText w:val="%1."/>
      <w:lvlJc w:val="right"/>
      <w:pPr>
        <w:tabs>
          <w:tab w:val="num" w:pos="480"/>
        </w:tabs>
        <w:ind w:left="480" w:hanging="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84C10"/>
    <w:multiLevelType w:val="hybridMultilevel"/>
    <w:tmpl w:val="B1AC9626"/>
    <w:lvl w:ilvl="0" w:tplc="68469B26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15516"/>
    <w:multiLevelType w:val="hybridMultilevel"/>
    <w:tmpl w:val="E81C1E52"/>
    <w:lvl w:ilvl="0" w:tplc="68469B26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52E1E"/>
    <w:multiLevelType w:val="hybridMultilevel"/>
    <w:tmpl w:val="6F0EF366"/>
    <w:lvl w:ilvl="0" w:tplc="FF169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A62CA"/>
    <w:multiLevelType w:val="hybridMultilevel"/>
    <w:tmpl w:val="AB36EAAA"/>
    <w:lvl w:ilvl="0" w:tplc="A0824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E7170"/>
    <w:multiLevelType w:val="multilevel"/>
    <w:tmpl w:val="596AD3C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E827A20"/>
    <w:multiLevelType w:val="multilevel"/>
    <w:tmpl w:val="3170006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1E67FE1"/>
    <w:multiLevelType w:val="hybridMultilevel"/>
    <w:tmpl w:val="3C34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D661F"/>
    <w:multiLevelType w:val="hybridMultilevel"/>
    <w:tmpl w:val="E5207F8E"/>
    <w:lvl w:ilvl="0" w:tplc="68469B26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535D76"/>
    <w:multiLevelType w:val="multilevel"/>
    <w:tmpl w:val="D480ADB0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960" w:hanging="2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20"/>
        </w:tabs>
        <w:ind w:left="1200" w:hanging="2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60"/>
        </w:tabs>
        <w:ind w:left="1440" w:hanging="2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40"/>
        </w:tabs>
        <w:ind w:left="1920" w:hanging="2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280"/>
        </w:tabs>
        <w:ind w:left="2160" w:hanging="240"/>
      </w:pPr>
      <w:rPr>
        <w:rFonts w:hint="default"/>
      </w:rPr>
    </w:lvl>
  </w:abstractNum>
  <w:abstractNum w:abstractNumId="18" w15:restartNumberingAfterBreak="0">
    <w:nsid w:val="752849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3698436">
    <w:abstractNumId w:val="13"/>
  </w:num>
  <w:num w:numId="2" w16cid:durableId="775368120">
    <w:abstractNumId w:val="13"/>
  </w:num>
  <w:num w:numId="3" w16cid:durableId="1033769778">
    <w:abstractNumId w:val="13"/>
  </w:num>
  <w:num w:numId="4" w16cid:durableId="1256792340">
    <w:abstractNumId w:val="13"/>
  </w:num>
  <w:num w:numId="5" w16cid:durableId="405735398">
    <w:abstractNumId w:val="0"/>
  </w:num>
  <w:num w:numId="6" w16cid:durableId="1653414443">
    <w:abstractNumId w:val="6"/>
  </w:num>
  <w:num w:numId="7" w16cid:durableId="145752166">
    <w:abstractNumId w:val="14"/>
  </w:num>
  <w:num w:numId="8" w16cid:durableId="2038458997">
    <w:abstractNumId w:val="1"/>
  </w:num>
  <w:num w:numId="9" w16cid:durableId="1698001751">
    <w:abstractNumId w:val="12"/>
  </w:num>
  <w:num w:numId="10" w16cid:durableId="1857578211">
    <w:abstractNumId w:val="18"/>
  </w:num>
  <w:num w:numId="11" w16cid:durableId="384723623">
    <w:abstractNumId w:val="17"/>
  </w:num>
  <w:num w:numId="12" w16cid:durableId="1397582033">
    <w:abstractNumId w:val="5"/>
  </w:num>
  <w:num w:numId="13" w16cid:durableId="1218281043">
    <w:abstractNumId w:val="10"/>
  </w:num>
  <w:num w:numId="14" w16cid:durableId="851070869">
    <w:abstractNumId w:val="2"/>
  </w:num>
  <w:num w:numId="15" w16cid:durableId="2030372743">
    <w:abstractNumId w:val="7"/>
  </w:num>
  <w:num w:numId="16" w16cid:durableId="335426271">
    <w:abstractNumId w:val="3"/>
  </w:num>
  <w:num w:numId="17" w16cid:durableId="1276252604">
    <w:abstractNumId w:val="4"/>
  </w:num>
  <w:num w:numId="18" w16cid:durableId="484473473">
    <w:abstractNumId w:val="11"/>
  </w:num>
  <w:num w:numId="19" w16cid:durableId="839471975">
    <w:abstractNumId w:val="15"/>
  </w:num>
  <w:num w:numId="20" w16cid:durableId="99179150">
    <w:abstractNumId w:val="8"/>
  </w:num>
  <w:num w:numId="21" w16cid:durableId="1659770523">
    <w:abstractNumId w:val="16"/>
  </w:num>
  <w:num w:numId="22" w16cid:durableId="1931886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evenAndOddHeader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7"/>
    <w:rsid w:val="00001AAF"/>
    <w:rsid w:val="00005CE9"/>
    <w:rsid w:val="00014B17"/>
    <w:rsid w:val="00017BD1"/>
    <w:rsid w:val="00024E8C"/>
    <w:rsid w:val="00041CCD"/>
    <w:rsid w:val="00043C6E"/>
    <w:rsid w:val="00051187"/>
    <w:rsid w:val="0005242E"/>
    <w:rsid w:val="00053DA8"/>
    <w:rsid w:val="00070347"/>
    <w:rsid w:val="0008249B"/>
    <w:rsid w:val="00082B88"/>
    <w:rsid w:val="00097D83"/>
    <w:rsid w:val="000A05AB"/>
    <w:rsid w:val="000A19DE"/>
    <w:rsid w:val="000A2228"/>
    <w:rsid w:val="000A428A"/>
    <w:rsid w:val="000D3D9B"/>
    <w:rsid w:val="000F0D6E"/>
    <w:rsid w:val="00104550"/>
    <w:rsid w:val="00106BCD"/>
    <w:rsid w:val="00116D84"/>
    <w:rsid w:val="00123788"/>
    <w:rsid w:val="00127F52"/>
    <w:rsid w:val="001339B8"/>
    <w:rsid w:val="00140306"/>
    <w:rsid w:val="001413A4"/>
    <w:rsid w:val="00141B84"/>
    <w:rsid w:val="0015031A"/>
    <w:rsid w:val="0015277D"/>
    <w:rsid w:val="00152EA6"/>
    <w:rsid w:val="0016032F"/>
    <w:rsid w:val="001879F6"/>
    <w:rsid w:val="00191852"/>
    <w:rsid w:val="001B1DE3"/>
    <w:rsid w:val="001B64C0"/>
    <w:rsid w:val="001C0148"/>
    <w:rsid w:val="001C67F2"/>
    <w:rsid w:val="001C757E"/>
    <w:rsid w:val="001D79A5"/>
    <w:rsid w:val="001F624A"/>
    <w:rsid w:val="001F75DC"/>
    <w:rsid w:val="0020390F"/>
    <w:rsid w:val="00215960"/>
    <w:rsid w:val="002167FD"/>
    <w:rsid w:val="00223C8F"/>
    <w:rsid w:val="00236090"/>
    <w:rsid w:val="00242721"/>
    <w:rsid w:val="00246268"/>
    <w:rsid w:val="00255795"/>
    <w:rsid w:val="00264926"/>
    <w:rsid w:val="00285405"/>
    <w:rsid w:val="002901A5"/>
    <w:rsid w:val="002B7B78"/>
    <w:rsid w:val="002D17E6"/>
    <w:rsid w:val="002E383C"/>
    <w:rsid w:val="002E3D35"/>
    <w:rsid w:val="002E6D39"/>
    <w:rsid w:val="002E77CF"/>
    <w:rsid w:val="003438BC"/>
    <w:rsid w:val="00344D01"/>
    <w:rsid w:val="003474EC"/>
    <w:rsid w:val="00356493"/>
    <w:rsid w:val="003578F5"/>
    <w:rsid w:val="00361DDA"/>
    <w:rsid w:val="00371456"/>
    <w:rsid w:val="00375986"/>
    <w:rsid w:val="00382429"/>
    <w:rsid w:val="00382D63"/>
    <w:rsid w:val="003937E3"/>
    <w:rsid w:val="003A0126"/>
    <w:rsid w:val="003A5585"/>
    <w:rsid w:val="003D1582"/>
    <w:rsid w:val="003D7E4C"/>
    <w:rsid w:val="003E41C2"/>
    <w:rsid w:val="003F04E0"/>
    <w:rsid w:val="003F5646"/>
    <w:rsid w:val="00431526"/>
    <w:rsid w:val="0044128B"/>
    <w:rsid w:val="00451212"/>
    <w:rsid w:val="004628E9"/>
    <w:rsid w:val="004638AA"/>
    <w:rsid w:val="004753FC"/>
    <w:rsid w:val="0049772C"/>
    <w:rsid w:val="004B156D"/>
    <w:rsid w:val="004E6F8D"/>
    <w:rsid w:val="004F00FE"/>
    <w:rsid w:val="004F265E"/>
    <w:rsid w:val="004F2EC7"/>
    <w:rsid w:val="00507AC2"/>
    <w:rsid w:val="00507CB7"/>
    <w:rsid w:val="00507F94"/>
    <w:rsid w:val="005232E7"/>
    <w:rsid w:val="00542304"/>
    <w:rsid w:val="00552EEB"/>
    <w:rsid w:val="00567D93"/>
    <w:rsid w:val="005878D0"/>
    <w:rsid w:val="00596457"/>
    <w:rsid w:val="005A20EB"/>
    <w:rsid w:val="005B2E54"/>
    <w:rsid w:val="005C616F"/>
    <w:rsid w:val="005C6CD0"/>
    <w:rsid w:val="00601163"/>
    <w:rsid w:val="0061380F"/>
    <w:rsid w:val="00624F5E"/>
    <w:rsid w:val="00626BA2"/>
    <w:rsid w:val="0063379D"/>
    <w:rsid w:val="00634CD5"/>
    <w:rsid w:val="00642221"/>
    <w:rsid w:val="00645631"/>
    <w:rsid w:val="00651CC2"/>
    <w:rsid w:val="00652929"/>
    <w:rsid w:val="00654804"/>
    <w:rsid w:val="00661E55"/>
    <w:rsid w:val="006A3269"/>
    <w:rsid w:val="006A69BF"/>
    <w:rsid w:val="006B2FDC"/>
    <w:rsid w:val="006C11D1"/>
    <w:rsid w:val="006D0CF2"/>
    <w:rsid w:val="006D66F6"/>
    <w:rsid w:val="006E5758"/>
    <w:rsid w:val="00711DF4"/>
    <w:rsid w:val="00716B7B"/>
    <w:rsid w:val="00716FCB"/>
    <w:rsid w:val="0073128F"/>
    <w:rsid w:val="0074214F"/>
    <w:rsid w:val="00743950"/>
    <w:rsid w:val="00744D02"/>
    <w:rsid w:val="00745335"/>
    <w:rsid w:val="00754295"/>
    <w:rsid w:val="00754FC8"/>
    <w:rsid w:val="00770AE0"/>
    <w:rsid w:val="007910C5"/>
    <w:rsid w:val="00794348"/>
    <w:rsid w:val="007A0F49"/>
    <w:rsid w:val="007B1CE6"/>
    <w:rsid w:val="007B452E"/>
    <w:rsid w:val="007C1B0C"/>
    <w:rsid w:val="007C79B6"/>
    <w:rsid w:val="007D32B8"/>
    <w:rsid w:val="007D70A1"/>
    <w:rsid w:val="007E50EC"/>
    <w:rsid w:val="007E65B8"/>
    <w:rsid w:val="007E7B43"/>
    <w:rsid w:val="007F0038"/>
    <w:rsid w:val="008029E1"/>
    <w:rsid w:val="00807DE4"/>
    <w:rsid w:val="008132E8"/>
    <w:rsid w:val="00823407"/>
    <w:rsid w:val="00844DD3"/>
    <w:rsid w:val="00851536"/>
    <w:rsid w:val="0085777A"/>
    <w:rsid w:val="00861870"/>
    <w:rsid w:val="00862804"/>
    <w:rsid w:val="00873EC6"/>
    <w:rsid w:val="00874B1C"/>
    <w:rsid w:val="0088522F"/>
    <w:rsid w:val="00887C9C"/>
    <w:rsid w:val="00892AB2"/>
    <w:rsid w:val="008B0184"/>
    <w:rsid w:val="008C5D02"/>
    <w:rsid w:val="008D2649"/>
    <w:rsid w:val="008D3459"/>
    <w:rsid w:val="008D59D0"/>
    <w:rsid w:val="008D6813"/>
    <w:rsid w:val="008F3A2A"/>
    <w:rsid w:val="009043BF"/>
    <w:rsid w:val="0090568D"/>
    <w:rsid w:val="009125C9"/>
    <w:rsid w:val="00913879"/>
    <w:rsid w:val="00917661"/>
    <w:rsid w:val="0092563A"/>
    <w:rsid w:val="0094720F"/>
    <w:rsid w:val="00970963"/>
    <w:rsid w:val="00970E5D"/>
    <w:rsid w:val="0097701C"/>
    <w:rsid w:val="00980A65"/>
    <w:rsid w:val="009873ED"/>
    <w:rsid w:val="00990237"/>
    <w:rsid w:val="00997907"/>
    <w:rsid w:val="009A2E2C"/>
    <w:rsid w:val="009A2F85"/>
    <w:rsid w:val="009D0247"/>
    <w:rsid w:val="009D68BF"/>
    <w:rsid w:val="009E0535"/>
    <w:rsid w:val="009E6D34"/>
    <w:rsid w:val="009F05B2"/>
    <w:rsid w:val="009F1FB5"/>
    <w:rsid w:val="00A00CAA"/>
    <w:rsid w:val="00A11FD5"/>
    <w:rsid w:val="00A16F93"/>
    <w:rsid w:val="00A25E70"/>
    <w:rsid w:val="00A323CE"/>
    <w:rsid w:val="00A33765"/>
    <w:rsid w:val="00A37FC1"/>
    <w:rsid w:val="00A40A91"/>
    <w:rsid w:val="00A4179A"/>
    <w:rsid w:val="00A47D02"/>
    <w:rsid w:val="00A51630"/>
    <w:rsid w:val="00A54D71"/>
    <w:rsid w:val="00A56146"/>
    <w:rsid w:val="00A60BB0"/>
    <w:rsid w:val="00A61DD3"/>
    <w:rsid w:val="00A63269"/>
    <w:rsid w:val="00A702BA"/>
    <w:rsid w:val="00A92377"/>
    <w:rsid w:val="00AB1396"/>
    <w:rsid w:val="00AB29ED"/>
    <w:rsid w:val="00AB4DDA"/>
    <w:rsid w:val="00AE4BD8"/>
    <w:rsid w:val="00AF7935"/>
    <w:rsid w:val="00B23282"/>
    <w:rsid w:val="00B23F49"/>
    <w:rsid w:val="00B4388F"/>
    <w:rsid w:val="00B507D7"/>
    <w:rsid w:val="00B51EF0"/>
    <w:rsid w:val="00B54516"/>
    <w:rsid w:val="00B57797"/>
    <w:rsid w:val="00B63237"/>
    <w:rsid w:val="00B650A5"/>
    <w:rsid w:val="00B74C58"/>
    <w:rsid w:val="00B767FB"/>
    <w:rsid w:val="00B92931"/>
    <w:rsid w:val="00BA049B"/>
    <w:rsid w:val="00BB09A2"/>
    <w:rsid w:val="00BB7141"/>
    <w:rsid w:val="00BD07A2"/>
    <w:rsid w:val="00BF1512"/>
    <w:rsid w:val="00C05C2D"/>
    <w:rsid w:val="00C20F8C"/>
    <w:rsid w:val="00C34B34"/>
    <w:rsid w:val="00C362E8"/>
    <w:rsid w:val="00C65202"/>
    <w:rsid w:val="00C8789D"/>
    <w:rsid w:val="00C960DC"/>
    <w:rsid w:val="00CA4B90"/>
    <w:rsid w:val="00CA6A80"/>
    <w:rsid w:val="00CC2D8D"/>
    <w:rsid w:val="00CF036E"/>
    <w:rsid w:val="00CF79DA"/>
    <w:rsid w:val="00D02C75"/>
    <w:rsid w:val="00D10E22"/>
    <w:rsid w:val="00D12AAD"/>
    <w:rsid w:val="00D13D2C"/>
    <w:rsid w:val="00D15FD1"/>
    <w:rsid w:val="00D17EF7"/>
    <w:rsid w:val="00D2043C"/>
    <w:rsid w:val="00D25159"/>
    <w:rsid w:val="00D27FD8"/>
    <w:rsid w:val="00D33E9A"/>
    <w:rsid w:val="00D3569A"/>
    <w:rsid w:val="00D434B8"/>
    <w:rsid w:val="00D478E0"/>
    <w:rsid w:val="00D52F48"/>
    <w:rsid w:val="00D67B20"/>
    <w:rsid w:val="00D80506"/>
    <w:rsid w:val="00DC2F94"/>
    <w:rsid w:val="00DD2894"/>
    <w:rsid w:val="00DD3D9E"/>
    <w:rsid w:val="00DD7908"/>
    <w:rsid w:val="00E0371B"/>
    <w:rsid w:val="00E12727"/>
    <w:rsid w:val="00E169F8"/>
    <w:rsid w:val="00E812C1"/>
    <w:rsid w:val="00E82297"/>
    <w:rsid w:val="00E92920"/>
    <w:rsid w:val="00E93DAA"/>
    <w:rsid w:val="00EA5609"/>
    <w:rsid w:val="00ED03AD"/>
    <w:rsid w:val="00ED3B27"/>
    <w:rsid w:val="00EE1219"/>
    <w:rsid w:val="00EF39FD"/>
    <w:rsid w:val="00EF51A2"/>
    <w:rsid w:val="00F06842"/>
    <w:rsid w:val="00F107FD"/>
    <w:rsid w:val="00F12E70"/>
    <w:rsid w:val="00F135F3"/>
    <w:rsid w:val="00F144CC"/>
    <w:rsid w:val="00F3021A"/>
    <w:rsid w:val="00F306BF"/>
    <w:rsid w:val="00F361F2"/>
    <w:rsid w:val="00F41924"/>
    <w:rsid w:val="00F41C33"/>
    <w:rsid w:val="00F4718C"/>
    <w:rsid w:val="00F60192"/>
    <w:rsid w:val="00FB24E6"/>
    <w:rsid w:val="00FB64A8"/>
    <w:rsid w:val="00FD293A"/>
    <w:rsid w:val="00FE408F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DE67F"/>
  <w15:docId w15:val="{B89D3AFA-8814-4AAB-A339-74180925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84"/>
    <w:rPr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456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8B01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Els-caption"/>
    <w:next w:val="Els-caption"/>
    <w:qFormat/>
    <w:rsid w:val="008B0184"/>
  </w:style>
  <w:style w:type="paragraph" w:customStyle="1" w:styleId="Els-caption">
    <w:name w:val="Els-caption"/>
    <w:rsid w:val="008B0184"/>
    <w:pPr>
      <w:keepLines/>
      <w:spacing w:before="100" w:after="120"/>
    </w:pPr>
    <w:rPr>
      <w:sz w:val="18"/>
      <w:lang w:val="en-US" w:eastAsia="en-US"/>
    </w:rPr>
  </w:style>
  <w:style w:type="paragraph" w:customStyle="1" w:styleId="Els-1storder-head">
    <w:name w:val="Els-1storder-head"/>
    <w:basedOn w:val="Els-body-text"/>
    <w:next w:val="Els-body-text"/>
    <w:rsid w:val="008B0184"/>
    <w:pPr>
      <w:keepNext/>
      <w:numPr>
        <w:ilvl w:val="1"/>
        <w:numId w:val="17"/>
      </w:numPr>
      <w:suppressAutoHyphens/>
      <w:spacing w:before="240" w:after="60" w:line="240" w:lineRule="exact"/>
    </w:pPr>
    <w:rPr>
      <w:b/>
      <w:sz w:val="22"/>
    </w:rPr>
  </w:style>
  <w:style w:type="paragraph" w:customStyle="1" w:styleId="Els-body-text">
    <w:name w:val="Els-body-text"/>
    <w:rsid w:val="008B0184"/>
    <w:pPr>
      <w:jc w:val="both"/>
    </w:pPr>
    <w:rPr>
      <w:lang w:val="en-US" w:eastAsia="en-US"/>
    </w:rPr>
  </w:style>
  <w:style w:type="paragraph" w:customStyle="1" w:styleId="Els-2ndorder-head">
    <w:name w:val="Els-2ndorder-head"/>
    <w:basedOn w:val="Els-body-text"/>
    <w:next w:val="Els-body-text"/>
    <w:rsid w:val="008B0184"/>
    <w:pPr>
      <w:keepNext/>
      <w:numPr>
        <w:ilvl w:val="2"/>
        <w:numId w:val="17"/>
      </w:numPr>
      <w:suppressAutoHyphens/>
      <w:spacing w:before="80"/>
    </w:pPr>
    <w:rPr>
      <w:i/>
    </w:rPr>
  </w:style>
  <w:style w:type="paragraph" w:customStyle="1" w:styleId="Els-3rdorder-head">
    <w:name w:val="Els-3rdorder-head"/>
    <w:basedOn w:val="Els-body-text"/>
    <w:next w:val="Els-body-text"/>
    <w:rsid w:val="008B0184"/>
    <w:pPr>
      <w:keepNext/>
      <w:numPr>
        <w:ilvl w:val="3"/>
        <w:numId w:val="17"/>
      </w:numPr>
      <w:suppressAutoHyphens/>
      <w:spacing w:before="60"/>
    </w:pPr>
    <w:rPr>
      <w:i/>
    </w:rPr>
  </w:style>
  <w:style w:type="paragraph" w:customStyle="1" w:styleId="Els-Affiliation">
    <w:name w:val="Els-Affiliation"/>
    <w:rsid w:val="008B0184"/>
    <w:pPr>
      <w:suppressAutoHyphens/>
      <w:spacing w:line="240" w:lineRule="exact"/>
    </w:pPr>
    <w:rPr>
      <w:i/>
      <w:noProof/>
      <w:lang w:eastAsia="en-US"/>
    </w:rPr>
  </w:style>
  <w:style w:type="paragraph" w:customStyle="1" w:styleId="Els-Author">
    <w:name w:val="Els-Author"/>
    <w:next w:val="Els-Affiliation"/>
    <w:rsid w:val="008B0184"/>
    <w:pPr>
      <w:keepNext/>
      <w:suppressAutoHyphens/>
      <w:spacing w:after="60" w:line="310" w:lineRule="exact"/>
    </w:pPr>
    <w:rPr>
      <w:noProof/>
      <w:sz w:val="22"/>
      <w:lang w:eastAsia="en-US"/>
    </w:rPr>
  </w:style>
  <w:style w:type="paragraph" w:customStyle="1" w:styleId="Els-bulletlist">
    <w:name w:val="Els-bulletlist"/>
    <w:basedOn w:val="Els-body-text"/>
    <w:rsid w:val="008B0184"/>
    <w:pPr>
      <w:tabs>
        <w:tab w:val="left" w:pos="240"/>
        <w:tab w:val="num" w:pos="360"/>
      </w:tabs>
      <w:ind w:left="240" w:hanging="240"/>
      <w:jc w:val="left"/>
    </w:pPr>
  </w:style>
  <w:style w:type="paragraph" w:customStyle="1" w:styleId="Els-chem-equation">
    <w:name w:val="Els-chem-equation"/>
    <w:basedOn w:val="Els-body-text"/>
    <w:next w:val="Els-body-text"/>
    <w:rsid w:val="008B0184"/>
    <w:pPr>
      <w:tabs>
        <w:tab w:val="right" w:pos="7088"/>
      </w:tabs>
      <w:spacing w:before="120" w:after="120"/>
    </w:pPr>
    <w:rPr>
      <w:noProof/>
      <w:lang w:val="en-GB"/>
    </w:rPr>
  </w:style>
  <w:style w:type="paragraph" w:customStyle="1" w:styleId="Els-equation">
    <w:name w:val="Els-equation"/>
    <w:basedOn w:val="Els-body-text"/>
    <w:next w:val="Els-body-text"/>
    <w:rsid w:val="008B0184"/>
    <w:pPr>
      <w:tabs>
        <w:tab w:val="right" w:pos="7088"/>
      </w:tabs>
      <w:spacing w:before="120" w:after="120"/>
    </w:pPr>
    <w:rPr>
      <w:i/>
      <w:noProof/>
      <w:lang w:val="en-GB"/>
    </w:rPr>
  </w:style>
  <w:style w:type="paragraph" w:customStyle="1" w:styleId="Els-footnote">
    <w:name w:val="Els-footnote"/>
    <w:rsid w:val="008B0184"/>
    <w:pPr>
      <w:keepLines/>
      <w:widowControl w:val="0"/>
      <w:ind w:left="120" w:hanging="120"/>
    </w:pPr>
    <w:rPr>
      <w:sz w:val="18"/>
      <w:lang w:val="en-US" w:eastAsia="en-US"/>
    </w:rPr>
  </w:style>
  <w:style w:type="paragraph" w:customStyle="1" w:styleId="Els-numlist">
    <w:name w:val="Els-numlist"/>
    <w:basedOn w:val="Els-body-text"/>
    <w:rsid w:val="008B0184"/>
    <w:pPr>
      <w:tabs>
        <w:tab w:val="left" w:pos="240"/>
        <w:tab w:val="num" w:pos="360"/>
      </w:tabs>
      <w:ind w:left="240" w:hanging="240"/>
      <w:jc w:val="left"/>
    </w:pPr>
  </w:style>
  <w:style w:type="paragraph" w:customStyle="1" w:styleId="Els-reference">
    <w:name w:val="Els-reference"/>
    <w:rsid w:val="008B0184"/>
    <w:pPr>
      <w:numPr>
        <w:numId w:val="15"/>
      </w:numPr>
      <w:ind w:left="482"/>
    </w:pPr>
    <w:rPr>
      <w:noProof/>
      <w:sz w:val="18"/>
      <w:lang w:eastAsia="en-US"/>
    </w:rPr>
  </w:style>
  <w:style w:type="paragraph" w:customStyle="1" w:styleId="Els-reference-head">
    <w:name w:val="Els-reference-head"/>
    <w:basedOn w:val="Els-body-text"/>
    <w:next w:val="Els-referenceno-number"/>
    <w:rsid w:val="008B0184"/>
    <w:pPr>
      <w:keepNext/>
      <w:spacing w:before="240" w:after="60"/>
    </w:pPr>
    <w:rPr>
      <w:b/>
      <w:sz w:val="22"/>
      <w:szCs w:val="22"/>
    </w:rPr>
  </w:style>
  <w:style w:type="paragraph" w:customStyle="1" w:styleId="Els-table-text">
    <w:name w:val="Els-table-text"/>
    <w:rsid w:val="008B0184"/>
    <w:pPr>
      <w:keepNext/>
      <w:spacing w:after="80" w:line="240" w:lineRule="exact"/>
    </w:pPr>
    <w:rPr>
      <w:sz w:val="18"/>
      <w:lang w:val="en-US" w:eastAsia="en-US"/>
    </w:rPr>
  </w:style>
  <w:style w:type="paragraph" w:customStyle="1" w:styleId="Els-Title">
    <w:name w:val="Els-Title"/>
    <w:next w:val="Els-Author"/>
    <w:rsid w:val="008B0184"/>
    <w:pPr>
      <w:suppressAutoHyphens/>
      <w:spacing w:before="240" w:after="120" w:line="360" w:lineRule="exact"/>
    </w:pPr>
    <w:rPr>
      <w:b/>
      <w:sz w:val="32"/>
      <w:lang w:val="en-US" w:eastAsia="en-US"/>
    </w:rPr>
  </w:style>
  <w:style w:type="character" w:styleId="EndnoteReference">
    <w:name w:val="endnote reference"/>
    <w:basedOn w:val="DefaultParagraphFont"/>
    <w:semiHidden/>
    <w:rsid w:val="008B0184"/>
    <w:rPr>
      <w:vertAlign w:val="superscript"/>
    </w:rPr>
  </w:style>
  <w:style w:type="paragraph" w:styleId="Header">
    <w:name w:val="header"/>
    <w:rsid w:val="008B0184"/>
    <w:pPr>
      <w:tabs>
        <w:tab w:val="center" w:pos="3600"/>
        <w:tab w:val="right" w:pos="7200"/>
      </w:tabs>
      <w:spacing w:line="200" w:lineRule="atLeast"/>
    </w:pPr>
    <w:rPr>
      <w:noProof/>
      <w:lang w:eastAsia="en-US"/>
    </w:rPr>
  </w:style>
  <w:style w:type="paragraph" w:styleId="Footer">
    <w:name w:val="footer"/>
    <w:basedOn w:val="Header"/>
    <w:rsid w:val="008B0184"/>
  </w:style>
  <w:style w:type="character" w:styleId="FootnoteReference">
    <w:name w:val="footnote reference"/>
    <w:semiHidden/>
    <w:rsid w:val="008B0184"/>
    <w:rPr>
      <w:vertAlign w:val="superscript"/>
    </w:rPr>
  </w:style>
  <w:style w:type="paragraph" w:styleId="FootnoteText">
    <w:name w:val="footnote text"/>
    <w:basedOn w:val="Normal"/>
    <w:semiHidden/>
    <w:rsid w:val="008B0184"/>
    <w:rPr>
      <w:rFonts w:ascii="Univers" w:hAnsi="Univers"/>
    </w:rPr>
  </w:style>
  <w:style w:type="character" w:styleId="Hyperlink">
    <w:name w:val="Hyperlink"/>
    <w:basedOn w:val="DefaultParagraphFont"/>
    <w:rsid w:val="008B0184"/>
    <w:rPr>
      <w:color w:val="0000FF"/>
      <w:u w:val="single"/>
    </w:rPr>
  </w:style>
  <w:style w:type="character" w:customStyle="1" w:styleId="MTEquationSection">
    <w:name w:val="MTEquationSection"/>
    <w:basedOn w:val="DefaultParagraphFont"/>
    <w:rsid w:val="008B0184"/>
    <w:rPr>
      <w:vanish/>
      <w:color w:val="FF0000"/>
    </w:rPr>
  </w:style>
  <w:style w:type="character" w:styleId="PageNumber">
    <w:name w:val="page number"/>
    <w:basedOn w:val="DefaultParagraphFont"/>
    <w:rsid w:val="008B0184"/>
    <w:rPr>
      <w:sz w:val="20"/>
      <w:szCs w:val="20"/>
    </w:rPr>
  </w:style>
  <w:style w:type="paragraph" w:customStyle="1" w:styleId="Els-Chapterno">
    <w:name w:val="Els-Chapter no"/>
    <w:rsid w:val="008B0184"/>
    <w:pPr>
      <w:numPr>
        <w:numId w:val="17"/>
      </w:numPr>
      <w:spacing w:before="907" w:line="260" w:lineRule="exact"/>
    </w:pPr>
    <w:rPr>
      <w:sz w:val="24"/>
      <w:szCs w:val="24"/>
      <w:lang w:val="en-US" w:eastAsia="en-US"/>
    </w:rPr>
  </w:style>
  <w:style w:type="paragraph" w:customStyle="1" w:styleId="Els-referenceno-number">
    <w:name w:val="Els-reference no-number"/>
    <w:basedOn w:val="Els-reference"/>
    <w:rsid w:val="008B0184"/>
    <w:pPr>
      <w:numPr>
        <w:numId w:val="0"/>
      </w:numPr>
      <w:ind w:left="240" w:hanging="240"/>
    </w:pPr>
  </w:style>
  <w:style w:type="character" w:customStyle="1" w:styleId="Els-captionChar">
    <w:name w:val="Els-caption Char"/>
    <w:basedOn w:val="DefaultParagraphFont"/>
    <w:rsid w:val="008B0184"/>
    <w:rPr>
      <w:sz w:val="1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8B0184"/>
    <w:rPr>
      <w:sz w:val="16"/>
      <w:szCs w:val="16"/>
    </w:rPr>
  </w:style>
  <w:style w:type="paragraph" w:styleId="CommentText">
    <w:name w:val="annotation text"/>
    <w:basedOn w:val="Normal"/>
    <w:semiHidden/>
    <w:rsid w:val="008B0184"/>
  </w:style>
  <w:style w:type="paragraph" w:styleId="CommentSubject">
    <w:name w:val="annotation subject"/>
    <w:basedOn w:val="CommentText"/>
    <w:next w:val="CommentText"/>
    <w:semiHidden/>
    <w:rsid w:val="008B0184"/>
    <w:rPr>
      <w:b/>
      <w:bCs/>
    </w:rPr>
  </w:style>
  <w:style w:type="paragraph" w:styleId="BalloonText">
    <w:name w:val="Balloon Text"/>
    <w:basedOn w:val="Normal"/>
    <w:semiHidden/>
    <w:rsid w:val="008B0184"/>
    <w:rPr>
      <w:rFonts w:ascii="Tahoma" w:hAnsi="Tahoma" w:cs="Tahoma"/>
      <w:sz w:val="16"/>
      <w:szCs w:val="16"/>
    </w:rPr>
  </w:style>
  <w:style w:type="paragraph" w:customStyle="1" w:styleId="Els-Abstract">
    <w:name w:val="Els-Abstract"/>
    <w:basedOn w:val="Els-1storder-head"/>
    <w:next w:val="Els-body-text"/>
    <w:autoRedefine/>
    <w:rsid w:val="008B0184"/>
    <w:pPr>
      <w:numPr>
        <w:ilvl w:val="0"/>
        <w:numId w:val="0"/>
      </w:numPr>
    </w:pPr>
  </w:style>
  <w:style w:type="character" w:customStyle="1" w:styleId="underline1">
    <w:name w:val="underline1"/>
    <w:basedOn w:val="DefaultParagraphFont"/>
    <w:rsid w:val="00F06842"/>
    <w:rPr>
      <w:u w:val="single"/>
    </w:rPr>
  </w:style>
  <w:style w:type="paragraph" w:customStyle="1" w:styleId="ElsevierBodyTextCentredNospace">
    <w:name w:val="Elsevier Body Text Centred No space"/>
    <w:basedOn w:val="Normal"/>
    <w:qFormat/>
    <w:rsid w:val="00F06842"/>
    <w:pPr>
      <w:jc w:val="center"/>
    </w:pPr>
    <w:rPr>
      <w:bCs/>
      <w:iCs/>
      <w:color w:val="000000" w:themeColor="text1"/>
      <w:sz w:val="22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6456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PlainTable5">
    <w:name w:val="Plain Table 5"/>
    <w:basedOn w:val="TableNormal"/>
    <w:uiPriority w:val="45"/>
    <w:rsid w:val="0064563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86280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7AC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kisk\KOSTAS-10%20July%202017\books\book%20proposals\Computer%20Aided%20Chemical%20Engineering\Instructions\Chapter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oxfordnexus-my.sharepoint.com/personal/engs2586_ox_ac_uk/Documents/Desktop/Project/Energy_Calc_AY_edits_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16393121333803"/>
          <c:y val="4.035088226034262E-2"/>
          <c:w val="0.84336695487299629"/>
          <c:h val="0.8117315063270300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Agi_Dissol!$H$36</c:f>
              <c:strCache>
                <c:ptCount val="1"/>
                <c:pt idx="0">
                  <c:v>Agitation for dissolution (kJ/kg)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Agi_Dissol!$G$37:$G$46</c:f>
              <c:strCache>
                <c:ptCount val="10"/>
                <c:pt idx="0">
                  <c:v>Case1</c:v>
                </c:pt>
                <c:pt idx="1">
                  <c:v>Case2</c:v>
                </c:pt>
                <c:pt idx="2">
                  <c:v>Case3</c:v>
                </c:pt>
                <c:pt idx="3">
                  <c:v>Case4</c:v>
                </c:pt>
                <c:pt idx="4">
                  <c:v>Case5</c:v>
                </c:pt>
                <c:pt idx="5">
                  <c:v>Case6</c:v>
                </c:pt>
                <c:pt idx="6">
                  <c:v>Case7</c:v>
                </c:pt>
                <c:pt idx="7">
                  <c:v>Case8</c:v>
                </c:pt>
                <c:pt idx="8">
                  <c:v>Case9</c:v>
                </c:pt>
                <c:pt idx="9">
                  <c:v>Case10</c:v>
                </c:pt>
              </c:strCache>
            </c:strRef>
          </c:cat>
          <c:val>
            <c:numRef>
              <c:f>Agi_Dissol!$H$37:$H$46</c:f>
              <c:numCache>
                <c:formatCode>General</c:formatCode>
                <c:ptCount val="10"/>
                <c:pt idx="0">
                  <c:v>99.88857444793652</c:v>
                </c:pt>
                <c:pt idx="1">
                  <c:v>93.476974596159906</c:v>
                </c:pt>
                <c:pt idx="2">
                  <c:v>593.39747196793985</c:v>
                </c:pt>
                <c:pt idx="3">
                  <c:v>93.476974596159906</c:v>
                </c:pt>
                <c:pt idx="4">
                  <c:v>593.39747196793985</c:v>
                </c:pt>
                <c:pt idx="5">
                  <c:v>3469.4532478761516</c:v>
                </c:pt>
                <c:pt idx="6">
                  <c:v>3469.4532478761516</c:v>
                </c:pt>
                <c:pt idx="7">
                  <c:v>93.476974596159906</c:v>
                </c:pt>
                <c:pt idx="8">
                  <c:v>592.40847618132659</c:v>
                </c:pt>
                <c:pt idx="9">
                  <c:v>1770.3024580376868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DE-49A2-81A6-6C935B56F5C7}"/>
            </c:ext>
          </c:extLst>
        </c:ser>
        <c:ser>
          <c:idx val="1"/>
          <c:order val="1"/>
          <c:tx>
            <c:strRef>
              <c:f>Agi_Dissol!$I$36</c:f>
              <c:strCache>
                <c:ptCount val="1"/>
                <c:pt idx="0">
                  <c:v>Agitation for crystallization (kJ/kg)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Agi_Dissol!$G$37:$G$46</c:f>
              <c:strCache>
                <c:ptCount val="10"/>
                <c:pt idx="0">
                  <c:v>Case1</c:v>
                </c:pt>
                <c:pt idx="1">
                  <c:v>Case2</c:v>
                </c:pt>
                <c:pt idx="2">
                  <c:v>Case3</c:v>
                </c:pt>
                <c:pt idx="3">
                  <c:v>Case4</c:v>
                </c:pt>
                <c:pt idx="4">
                  <c:v>Case5</c:v>
                </c:pt>
                <c:pt idx="5">
                  <c:v>Case6</c:v>
                </c:pt>
                <c:pt idx="6">
                  <c:v>Case7</c:v>
                </c:pt>
                <c:pt idx="7">
                  <c:v>Case8</c:v>
                </c:pt>
                <c:pt idx="8">
                  <c:v>Case9</c:v>
                </c:pt>
                <c:pt idx="9">
                  <c:v>Case10</c:v>
                </c:pt>
              </c:strCache>
            </c:strRef>
          </c:cat>
          <c:val>
            <c:numRef>
              <c:f>Agi_Dissol!$I$37:$I$46</c:f>
              <c:numCache>
                <c:formatCode>General</c:formatCode>
                <c:ptCount val="10"/>
                <c:pt idx="0">
                  <c:v>4051.0338580623916</c:v>
                </c:pt>
                <c:pt idx="1">
                  <c:v>189.93343672371438</c:v>
                </c:pt>
                <c:pt idx="2">
                  <c:v>189.93343672371438</c:v>
                </c:pt>
                <c:pt idx="3">
                  <c:v>4051.0338580623916</c:v>
                </c:pt>
                <c:pt idx="4">
                  <c:v>4051.0338580623916</c:v>
                </c:pt>
                <c:pt idx="5">
                  <c:v>189.93343672371438</c:v>
                </c:pt>
                <c:pt idx="6">
                  <c:v>4051.0338580623916</c:v>
                </c:pt>
                <c:pt idx="7">
                  <c:v>1106.7068882697665</c:v>
                </c:pt>
                <c:pt idx="8">
                  <c:v>1106.7068882697665</c:v>
                </c:pt>
                <c:pt idx="9">
                  <c:v>4051.0338580623916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DE-49A2-81A6-6C935B56F5C7}"/>
            </c:ext>
          </c:extLst>
        </c:ser>
        <c:ser>
          <c:idx val="2"/>
          <c:order val="2"/>
          <c:tx>
            <c:strRef>
              <c:f>Agi_Dissol!$J$36</c:f>
              <c:strCache>
                <c:ptCount val="1"/>
                <c:pt idx="0">
                  <c:v>Grinding (kJ/kg)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Agi_Dissol!$G$37:$G$46</c:f>
              <c:strCache>
                <c:ptCount val="10"/>
                <c:pt idx="0">
                  <c:v>Case1</c:v>
                </c:pt>
                <c:pt idx="1">
                  <c:v>Case2</c:v>
                </c:pt>
                <c:pt idx="2">
                  <c:v>Case3</c:v>
                </c:pt>
                <c:pt idx="3">
                  <c:v>Case4</c:v>
                </c:pt>
                <c:pt idx="4">
                  <c:v>Case5</c:v>
                </c:pt>
                <c:pt idx="5">
                  <c:v>Case6</c:v>
                </c:pt>
                <c:pt idx="6">
                  <c:v>Case7</c:v>
                </c:pt>
                <c:pt idx="7">
                  <c:v>Case8</c:v>
                </c:pt>
                <c:pt idx="8">
                  <c:v>Case9</c:v>
                </c:pt>
                <c:pt idx="9">
                  <c:v>Case10</c:v>
                </c:pt>
              </c:strCache>
            </c:strRef>
          </c:cat>
          <c:val>
            <c:numRef>
              <c:f>Agi_Dissol!$J$37:$J$46</c:f>
              <c:numCache>
                <c:formatCode>General</c:formatCode>
                <c:ptCount val="10"/>
                <c:pt idx="0">
                  <c:v>94.607146667397259</c:v>
                </c:pt>
                <c:pt idx="1">
                  <c:v>38.623205892628881</c:v>
                </c:pt>
                <c:pt idx="2">
                  <c:v>38.623205892628881</c:v>
                </c:pt>
                <c:pt idx="3">
                  <c:v>38.623205892628881</c:v>
                </c:pt>
                <c:pt idx="4">
                  <c:v>38.623205892628903</c:v>
                </c:pt>
                <c:pt idx="5">
                  <c:v>38.623205892628903</c:v>
                </c:pt>
                <c:pt idx="6">
                  <c:v>38.623205892628903</c:v>
                </c:pt>
                <c:pt idx="7">
                  <c:v>38.623205892628903</c:v>
                </c:pt>
                <c:pt idx="8">
                  <c:v>38.623205892628903</c:v>
                </c:pt>
                <c:pt idx="9">
                  <c:v>22.299118319075625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DE-49A2-81A6-6C935B56F5C7}"/>
            </c:ext>
          </c:extLst>
        </c:ser>
        <c:ser>
          <c:idx val="3"/>
          <c:order val="3"/>
          <c:tx>
            <c:strRef>
              <c:f>Agi_Dissol!$K$36</c:f>
              <c:strCache>
                <c:ptCount val="1"/>
                <c:pt idx="0">
                  <c:v>Compression (kJ/kg)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Agi_Dissol!$G$37:$G$46</c:f>
              <c:strCache>
                <c:ptCount val="10"/>
                <c:pt idx="0">
                  <c:v>Case1</c:v>
                </c:pt>
                <c:pt idx="1">
                  <c:v>Case2</c:v>
                </c:pt>
                <c:pt idx="2">
                  <c:v>Case3</c:v>
                </c:pt>
                <c:pt idx="3">
                  <c:v>Case4</c:v>
                </c:pt>
                <c:pt idx="4">
                  <c:v>Case5</c:v>
                </c:pt>
                <c:pt idx="5">
                  <c:v>Case6</c:v>
                </c:pt>
                <c:pt idx="6">
                  <c:v>Case7</c:v>
                </c:pt>
                <c:pt idx="7">
                  <c:v>Case8</c:v>
                </c:pt>
                <c:pt idx="8">
                  <c:v>Case9</c:v>
                </c:pt>
                <c:pt idx="9">
                  <c:v>Case10</c:v>
                </c:pt>
              </c:strCache>
            </c:strRef>
          </c:cat>
          <c:val>
            <c:numRef>
              <c:f>Agi_Dissol!$K$37:$K$46</c:f>
              <c:numCache>
                <c:formatCode>General</c:formatCode>
                <c:ptCount val="10"/>
                <c:pt idx="0">
                  <c:v>910.72001219608489</c:v>
                </c:pt>
                <c:pt idx="1">
                  <c:v>910.72001219608489</c:v>
                </c:pt>
                <c:pt idx="2">
                  <c:v>910.72001219608489</c:v>
                </c:pt>
                <c:pt idx="3">
                  <c:v>910.72001219608489</c:v>
                </c:pt>
                <c:pt idx="4">
                  <c:v>910.72001219608489</c:v>
                </c:pt>
                <c:pt idx="5">
                  <c:v>910.72001219608489</c:v>
                </c:pt>
                <c:pt idx="6">
                  <c:v>910.72001219608489</c:v>
                </c:pt>
                <c:pt idx="7">
                  <c:v>910.72001219608489</c:v>
                </c:pt>
                <c:pt idx="8">
                  <c:v>910.72001219608489</c:v>
                </c:pt>
                <c:pt idx="9">
                  <c:v>910.72001219608489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DE-49A2-81A6-6C935B56F5C7}"/>
            </c:ext>
          </c:extLst>
        </c:ser>
        <c:ser>
          <c:idx val="4"/>
          <c:order val="4"/>
          <c:tx>
            <c:strRef>
              <c:f>Agi_Dissol!$L$36</c:f>
              <c:strCache>
                <c:ptCount val="1"/>
                <c:pt idx="0">
                  <c:v>Pumping (kJ/kg)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Agi_Dissol!$G$37:$G$46</c:f>
              <c:strCache>
                <c:ptCount val="10"/>
                <c:pt idx="0">
                  <c:v>Case1</c:v>
                </c:pt>
                <c:pt idx="1">
                  <c:v>Case2</c:v>
                </c:pt>
                <c:pt idx="2">
                  <c:v>Case3</c:v>
                </c:pt>
                <c:pt idx="3">
                  <c:v>Case4</c:v>
                </c:pt>
                <c:pt idx="4">
                  <c:v>Case5</c:v>
                </c:pt>
                <c:pt idx="5">
                  <c:v>Case6</c:v>
                </c:pt>
                <c:pt idx="6">
                  <c:v>Case7</c:v>
                </c:pt>
                <c:pt idx="7">
                  <c:v>Case8</c:v>
                </c:pt>
                <c:pt idx="8">
                  <c:v>Case9</c:v>
                </c:pt>
                <c:pt idx="9">
                  <c:v>Case10</c:v>
                </c:pt>
              </c:strCache>
            </c:strRef>
          </c:cat>
          <c:val>
            <c:numRef>
              <c:f>Agi_Dissol!$L$37:$L$46</c:f>
              <c:numCache>
                <c:formatCode>General</c:formatCode>
                <c:ptCount val="10"/>
                <c:pt idx="0">
                  <c:v>362.323813183646</c:v>
                </c:pt>
                <c:pt idx="1">
                  <c:v>362.323813183646</c:v>
                </c:pt>
                <c:pt idx="2">
                  <c:v>362.323813183646</c:v>
                </c:pt>
                <c:pt idx="3">
                  <c:v>362.323813183646</c:v>
                </c:pt>
                <c:pt idx="4">
                  <c:v>362.323813183646</c:v>
                </c:pt>
                <c:pt idx="5">
                  <c:v>362.323813183646</c:v>
                </c:pt>
                <c:pt idx="6">
                  <c:v>362.323813183646</c:v>
                </c:pt>
                <c:pt idx="7">
                  <c:v>362.323813183646</c:v>
                </c:pt>
                <c:pt idx="8">
                  <c:v>362.323813183646</c:v>
                </c:pt>
                <c:pt idx="9">
                  <c:v>362.323813183646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DE-49A2-81A6-6C935B56F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83116688"/>
        <c:axId val="611930768"/>
      </c:barChart>
      <c:catAx>
        <c:axId val="283116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1930768"/>
        <c:crosses val="autoZero"/>
        <c:auto val="1"/>
        <c:lblAlgn val="ctr"/>
        <c:lblOffset val="100"/>
        <c:noMultiLvlLbl val="0"/>
      </c:catAx>
      <c:valAx>
        <c:axId val="61193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Energy consumption (kJ/kg of ikaite)</a:t>
                </a:r>
              </a:p>
            </c:rich>
          </c:tx>
          <c:layout>
            <c:manualLayout>
              <c:xMode val="edge"/>
              <c:yMode val="edge"/>
              <c:x val="1.2910452239194063E-2"/>
              <c:y val="0.163745024829642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311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483662484104592"/>
          <c:y val="4.9460303339273801E-2"/>
          <c:w val="0.43296396798833675"/>
          <c:h val="0.306422260597707"/>
        </c:manualLayout>
      </c:layout>
      <c:overlay val="0"/>
      <c:spPr>
        <a:noFill/>
        <a:ln w="6350"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Ren22</b:Tag>
    <b:SourceType>JournalArticle</b:SourceType>
    <b:Guid>{47B7298D-3C1A-4135-BBAF-5EE52683C354}</b:Guid>
    <b:Author>
      <b:Author>
        <b:NameList>
          <b:Person>
            <b:Last>Renforth</b:Last>
            <b:First>P.</b:First>
          </b:Person>
          <b:Person>
            <b:Last>Baltruschat</b:Last>
            <b:First>S.</b:First>
          </b:Person>
          <b:Person>
            <b:Last>Peterson</b:Last>
            <b:First>K.</b:First>
          </b:Person>
          <b:Person>
            <b:Last>Mihailova</b:Last>
            <b:First>B.D.</b:First>
          </b:Person>
          <b:Person>
            <b:Last>Hartmann</b:Last>
            <b:First>J.</b:First>
          </b:Person>
        </b:NameList>
      </b:Author>
    </b:Author>
    <b:Title>Using ikaite and other hydrated carbonate minerals to increase ocean alkalinity for carbon dioxide removal and environmental remediation. </b:Title>
    <b:JournalName>Joule</b:JournalName>
    <b:Year>2022</b:Year>
    <b:Pages>2674-2679</b:Pages>
    <b:Volume>6</b:Volume>
    <b:Issue>12</b:Issue>
    <b:RefOrder>2</b:RefOrder>
  </b:Source>
  <b:Source>
    <b:Tag>Xin23</b:Tag>
    <b:SourceType>JournalArticle</b:SourceType>
    <b:Guid>{DB112014-ABF4-4DF4-B6D6-53721D82DC73}</b:Guid>
    <b:Title>Data-driven surrogate modelling and multi-variable optimization of trickle bed and packed bubble column reactors for CO2 capture via enhanced weathering </b:Title>
    <b:Year>2023</b:Year>
    <b:Author>
      <b:Author>
        <b:NameList>
          <b:Person>
            <b:Last>Xing</b:Last>
            <b:First>L.</b:First>
          </b:Person>
          <b:Person>
            <b:Last>Jiang</b:Last>
            <b:First>H.</b:First>
          </b:Person>
          <b:Person>
            <b:Last>Wang</b:Last>
            <b:First>S.</b:First>
          </b:Person>
          <b:Person>
            <b:Last>Pinfield</b:Last>
            <b:First>V.J.</b:First>
          </b:Person>
          <b:Person>
            <b:Last>Xuan</b:Last>
            <b:First>J.</b:First>
          </b:Person>
        </b:NameList>
      </b:Author>
    </b:Author>
    <b:JournalName>Chemical Engineering Journal</b:JournalName>
    <b:Pages>139997</b:Pages>
    <b:Volume>454</b:Volume>
    <b:RefOrder>4</b:RefOrder>
  </b:Source>
  <b:Source>
    <b:Tag>Xin22</b:Tag>
    <b:SourceType>JournalArticle</b:SourceType>
    <b:Guid>{68B62009-D086-45ED-89BE-BEBF3510DEC2}</b:Guid>
    <b:Title>Potential of enhanced weathering of calcite in packed bubble columns with seawater for carbon dioxide removal. </b:Title>
    <b:JournalName>Chemical Engineering Journal</b:JournalName>
    <b:Year>2022</b:Year>
    <b:Pages>134096</b:Pages>
    <b:Author>
      <b:Author>
        <b:NameList>
          <b:Person>
            <b:Last>Xing</b:Last>
            <b:First>L.</b:First>
          </b:Person>
          <b:Person>
            <b:Last>Pullin</b:Last>
            <b:First>H.</b:First>
          </b:Person>
          <b:Person>
            <b:Last>Bullock</b:Last>
            <b:First>L.</b:First>
          </b:Person>
          <b:Person>
            <b:Last>Renforth</b:Last>
            <b:First>P.</b:First>
          </b:Person>
          <b:Person>
            <b:Last>Darton</b:Last>
            <b:First>R.C.</b:First>
          </b:Person>
          <b:Person>
            <b:Last>Yang</b:Last>
            <b:First>A.</b:First>
          </b:Person>
        </b:NameList>
      </b:Author>
    </b:Author>
    <b:Volume>431</b:Volume>
    <b:RefOrder>5</b:RefOrder>
  </b:Source>
  <b:Source>
    <b:Tag>Ond68</b:Tag>
    <b:SourceType>JournalArticle</b:SourceType>
    <b:Guid>{5A1E578E-D434-45A6-8805-3C02CD353FEE}</b:Guid>
    <b:Author>
      <b:Author>
        <b:NameList>
          <b:Person>
            <b:Last>Onda</b:Last>
            <b:First>K.</b:First>
          </b:Person>
          <b:Person>
            <b:Last>Takeuchi</b:Last>
            <b:First>H.</b:First>
          </b:Person>
          <b:Person>
            <b:Last>Okumoto</b:Last>
            <b:First>Y.</b:First>
          </b:Person>
        </b:NameList>
      </b:Author>
    </b:Author>
    <b:Title>Mass transfer coefficients between gas and liquid phases in packed columns</b:Title>
    <b:JournalName> Journal of chemical engineering of Japan</b:JournalName>
    <b:Year>1968</b:Year>
    <b:Pages>56-62</b:Pages>
    <b:Volume>1</b:Volume>
    <b:Issue>1</b:Issue>
    <b:RefOrder>6</b:RefOrder>
  </b:Source>
  <b:Source>
    <b:Tag>Dvo96</b:Tag>
    <b:SourceType>JournalArticle</b:SourceType>
    <b:Guid>{D5BA44F4-B00A-476D-A05F-BFE3B78CC951}</b:Guid>
    <b:Author>
      <b:Author>
        <b:NameList>
          <b:Person>
            <b:Last>Dvorak</b:Last>
            <b:First>B.I.</b:First>
          </b:Person>
          <b:Person>
            <b:Last>Lawler</b:Last>
            <b:First>D.F.</b:First>
          </b:Person>
          <b:Person>
            <b:Last>Fair</b:Last>
          </b:Person>
          <b:Person>
            <b:Last>J.R.</b:Last>
          </b:Person>
          <b:Person>
            <b:Last>Handler</b:Last>
            <b:First>N.E.</b:First>
          </b:Person>
        </b:NameList>
      </b:Author>
    </b:Author>
    <b:Title>Evaluation of the Onda correlations for mass transfer with large random packings</b:Title>
    <b:JournalName>Environmental science &amp; technology</b:JournalName>
    <b:Year>1996</b:Year>
    <b:Pages>945-953.</b:Pages>
    <b:Volume>30</b:Volume>
    <b:Issue>3</b:Issue>
    <b:RefOrder>7</b:RefOrder>
  </b:Source>
  <b:Source>
    <b:Tag>Cen05</b:Tag>
    <b:SourceType>JournalArticle</b:SourceType>
    <b:Guid>{7DE0F188-AAFD-41F7-8610-CE0388C02B2A}</b:Guid>
    <b:Author>
      <b:Author>
        <b:NameList>
          <b:Person>
            <b:Last>Cents</b:Last>
            <b:First>A.H.G.</b:First>
          </b:Person>
          <b:Person>
            <b:Last>Brilman</b:Last>
            <b:First>D.W.F.</b:First>
          </b:Person>
          <b:Person>
            <b:Last>Versteeg</b:Last>
            <b:First>G.F.</b:First>
          </b:Person>
        </b:NameList>
      </b:Author>
    </b:Author>
    <b:Title>CO2 absorption in carbonate/bicarbonate solutions: The Danckwerts-criterion revisited</b:Title>
    <b:JournalName>Chemical Engineering Science</b:JournalName>
    <b:Year>2005</b:Year>
    <b:Pages>5830-5835</b:Pages>
    <b:Volume>60</b:Volume>
    <b:Issue>21</b:Issue>
    <b:RefOrder>8</b:RefOrder>
  </b:Source>
  <b:Source>
    <b:Tag>Plu82</b:Tag>
    <b:SourceType>JournalArticle</b:SourceType>
    <b:Guid>{08A64DBC-5287-435E-AF58-B9DFA3788EB2}</b:Guid>
    <b:Author>
      <b:Author>
        <b:NameList>
          <b:Person>
            <b:Last>Plummer</b:Last>
            <b:First>L.N.</b:First>
          </b:Person>
          <b:Person>
            <b:Last>Busenberg</b:Last>
            <b:First>E.</b:First>
          </b:Person>
        </b:NameList>
      </b:Author>
    </b:Author>
    <b:Title> The solubilities of calcite, aragonite and vaterite in CO2-H2O solutions between 0 and 90 C, and an evaluation of the aqueous model for the system CaCO3-CO2-H2O</b:Title>
    <b:JournalName>Geochimica et cosmochimica acta</b:JournalName>
    <b:Year>1982</b:Year>
    <b:Pages>1011-1040.</b:Pages>
    <b:Volume>46</b:Volume>
    <b:Issue>6</b:Issue>
    <b:RefOrder>9</b:RefOrder>
  </b:Source>
  <b:Source>
    <b:Tag>Hug80</b:Tag>
    <b:SourceType>JournalArticle</b:SourceType>
    <b:Guid>{5F91CB05-A911-46CC-852D-44807129F6F1}</b:Guid>
    <b:Author>
      <b:Author>
        <b:NameList>
          <b:Person>
            <b:Last>Hughmark</b:Last>
            <b:First>G.A.</b:First>
          </b:Person>
        </b:NameList>
      </b:Author>
    </b:Author>
    <b:Title>Power requirements and interfacial area in gas-liquid turbine agitated systems.</b:Title>
    <b:JournalName>Industrial &amp; Engineering Chemistry Process Design and Development, </b:JournalName>
    <b:Year>1980</b:Year>
    <b:Pages>638-641.</b:Pages>
    <b:Volume>19</b:Volume>
    <b:Issue>4</b:Issue>
    <b:RefOrder>10</b:RefOrder>
  </b:Source>
  <b:Source>
    <b:Tag>Cad58</b:Tag>
    <b:SourceType>JournalArticle</b:SourceType>
    <b:Guid>{D8366C3B-D87B-4892-9193-294E2D86F8C9}</b:Guid>
    <b:Author>
      <b:Author>
        <b:NameList>
          <b:Person>
            <b:Last>Caderbank</b:Last>
            <b:First>P.H.</b:First>
          </b:Person>
        </b:NameList>
      </b:Author>
    </b:Author>
    <b:Title>Physical rate processes in industrial fermentation part 1: The interfacial area in gas–liquid contacting with mechanical agitation</b:Title>
    <b:JournalName>Chemical Engineering Research and Design</b:JournalName>
    <b:Year>1958</b:Year>
    <b:Pages>443</b:Pages>
    <b:Volume>36</b:Volume>
    <b:RefOrder>11</b:RefOrder>
  </b:Source>
  <b:Source>
    <b:Tag>Edw78</b:Tag>
    <b:SourceType>JournalArticle</b:SourceType>
    <b:Guid>{B04242D2-74CF-4217-B2E8-DAB1D64D024A}</b:Guid>
    <b:Author>
      <b:Author>
        <b:NameList>
          <b:Person>
            <b:Last>Edwards</b:Last>
            <b:First>T.J.</b:First>
          </b:Person>
          <b:Person>
            <b:Last>Maurer</b:Last>
            <b:First>G.</b:First>
          </b:Person>
          <b:Person>
            <b:Last>Newman</b:Last>
            <b:First>J.</b:First>
          </b:Person>
          <b:Person>
            <b:Last>Prausnitz</b:Last>
            <b:First>J.M.</b:First>
          </b:Person>
        </b:NameList>
      </b:Author>
    </b:Author>
    <b:Title> Vapor‐liquid equilibria in multicomponent aqueous solutions of volatile weak electrolytes</b:Title>
    <b:JournalName>AIChE Journal</b:JournalName>
    <b:Year>1978</b:Year>
    <b:Pages>966-976</b:Pages>
    <b:Volume>24</b:Volume>
    <b:Issue>6</b:Issue>
    <b:RefOrder>12</b:RefOrder>
  </b:Source>
  <b:Source>
    <b:Tag>Str22</b:Tag>
    <b:SourceType>JournalArticle</b:SourceType>
    <b:Guid>{3DB6F00D-9F57-414E-BB9D-86E2032EE28B}</b:Guid>
    <b:Author>
      <b:Author>
        <b:NameList>
          <b:Person>
            <b:Last>Strohm</b:Last>
            <b:First>S.B.</b:First>
          </b:Person>
          <b:Person>
            <b:Last>Inckemann</b:Last>
            <b:First>S.E.</b:First>
          </b:Person>
          <b:Person>
            <b:Last>Gao</b:Last>
            <b:First>K.</b:First>
          </b:Person>
          <b:Person>
            <b:Last>Schweikert</b:Last>
            <b:First>M.,</b:First>
          </b:Person>
          <b:Person>
            <b:Last>Lemloh</b:Last>
            <b:First>M.L.</b:First>
          </b:Person>
          <b:Person>
            <b:Last>Schmahl</b:Last>
            <b:First>W.W.</b:First>
          </b:Person>
          <b:Person>
            <b:Last>Jordan</b:Last>
            <b:First>G.</b:First>
          </b:Person>
        </b:NameList>
      </b:Author>
    </b:Author>
    <b:Title>On the nucleation of ikaite (CaCO3x6H2O)–A comparative study in the presence and absence of mineral surfaces</b:Title>
    <b:JournalName>Chemical Geology</b:JournalName>
    <b:Year>2022</b:Year>
    <b:Pages>121089</b:Pages>
    <b:Volume> 611</b:Volume>
    <b:RefOrder>13</b:RefOrder>
  </b:Source>
  <b:Source>
    <b:Tag>Pap14</b:Tag>
    <b:SourceType>JournalArticle</b:SourceType>
    <b:Guid>{014DE4BC-FEE6-4204-A6A4-C7123E1AFC36}</b:Guid>
    <b:Author>
      <b:Author>
        <b:NameList>
          <b:Person>
            <b:Last>Papadimitriou</b:Last>
            <b:First>S.</b:First>
          </b:Person>
          <b:Person>
            <b:Last>Kennedy</b:Last>
            <b:First>H.</b:First>
          </b:Person>
          <b:Person>
            <b:Last>Kennedy</b:Last>
            <b:First>P.</b:First>
          </b:Person>
          <b:Person>
            <b:Last>Thomas</b:Last>
            <b:First>D.N.</b:First>
          </b:Person>
        </b:NameList>
      </b:Author>
    </b:Author>
    <b:Title>Kinetics of ikaite precipitation and dissolution in seawater-derived brines at sub-zero temperatures to 265 K.</b:Title>
    <b:JournalName>Geochimica et Cosmochimica Acta</b:JournalName>
    <b:Year>2014</b:Year>
    <b:Pages>199-211</b:Pages>
    <b:Volume>140</b:Volume>
    <b:RefOrder>14</b:RefOrder>
  </b:Source>
  <b:Source>
    <b:Tag>Pap13</b:Tag>
    <b:SourceType>JournalArticle</b:SourceType>
    <b:Guid>{98DC0D5A-A05D-4D8C-A96D-60343B596D9E}</b:Guid>
    <b:Author>
      <b:Author>
        <b:NameList>
          <b:Person>
            <b:Last>Papadimitriou</b:Last>
            <b:First>S.</b:First>
          </b:Person>
          <b:Person>
            <b:Last>Kennedy</b:Last>
            <b:First>H.</b:First>
          </b:Person>
          <b:Person>
            <b:Last>Kennedy</b:Last>
            <b:First>P.</b:First>
          </b:Person>
          <b:Person>
            <b:Last>Thomas</b:Last>
            <b:First>D.N.</b:First>
          </b:Person>
        </b:NameList>
      </b:Author>
    </b:Author>
    <b:Title>Ikaite solubility in seawater-derived brines at 1 atm and sub-zero temperatures to 265 K</b:Title>
    <b:JournalName>Geochimica et Cosmochimica Acta</b:JournalName>
    <b:Year>2013</b:Year>
    <b:Pages>241-253</b:Pages>
    <b:Volume>109</b:Volume>
    <b:RefOrder>15</b:RefOrder>
  </b:Source>
  <b:Source>
    <b:Tag>Xin221</b:Tag>
    <b:SourceType>JournalArticle</b:SourceType>
    <b:Guid>{0D711C1D-20C4-4C59-B885-3FA720EE2F75}</b:Guid>
    <b:Title>Potential of enhanced weathering of calcite in packed bubble columns with seawater for carbon dioxide removal</b:Title>
    <b:JournalName>Chemical Engineering Journal</b:JournalName>
    <b:Year>2022</b:Year>
    <b:Pages>134096</b:Pages>
    <b:Author>
      <b:Author>
        <b:NameList>
          <b:Person>
            <b:Last>Xing</b:Last>
            <b:First>L.</b:First>
          </b:Person>
          <b:Person>
            <b:Last>Pullin</b:Last>
            <b:First>H.</b:First>
          </b:Person>
          <b:Person>
            <b:Last>Bullock</b:Last>
            <b:First>L.</b:First>
          </b:Person>
          <b:Person>
            <b:Last>Renforth</b:Last>
            <b:First>P.</b:First>
          </b:Person>
          <b:Person>
            <b:Last>Darton</b:Last>
            <b:First>R.C.</b:First>
          </b:Person>
          <b:Person>
            <b:Last>Yang</b:Last>
            <b:First>A.</b:First>
          </b:Person>
        </b:NameList>
      </b:Author>
    </b:Author>
    <b:Volume>431</b:Volume>
    <b:RefOrder>16</b:RefOrder>
  </b:Source>
  <b:Source>
    <b:Tag>Sjo84</b:Tag>
    <b:SourceType>JournalArticle</b:SourceType>
    <b:Guid>{25C50D9D-4ED5-4A3C-9E4D-BA3906841345}</b:Guid>
    <b:Author>
      <b:Author>
        <b:NameList>
          <b:Person>
            <b:Last>Sjoeberg</b:Last>
            <b:First>E.L.</b:First>
          </b:Person>
          <b:Person>
            <b:Last>Rickard</b:Last>
            <b:First>D.T.</b:First>
          </b:Person>
        </b:NameList>
      </b:Author>
    </b:Author>
    <b:Title>Calcite dissolution kinetics: surface speciation and the origin of the variable pH dependence</b:Title>
    <b:JournalName>Chemical Geology</b:JournalName>
    <b:Year>1984</b:Year>
    <b:Pages>119-136</b:Pages>
    <b:Volume> 42</b:Volume>
    <b:Issue>1-4</b:Issue>
    <b:RefOrder>17</b:RefOrder>
  </b:Source>
  <b:Source>
    <b:Tag>Pok05</b:Tag>
    <b:SourceType>JournalArticle</b:SourceType>
    <b:Guid>{0137E476-5EC8-44BE-AE54-DF24C277A4A0}</b:Guid>
    <b:Author>
      <b:Author>
        <b:NameList>
          <b:Person>
            <b:Last>Pokrovsky</b:Last>
            <b:First>O.S.</b:First>
          </b:Person>
          <b:Person>
            <b:Last>Golubev</b:Last>
            <b:First>S.V.</b:First>
          </b:Person>
          <b:Person>
            <b:Last>Schott</b:Last>
            <b:First>J.</b:First>
          </b:Person>
        </b:NameList>
      </b:Author>
    </b:Author>
    <b:Title>Dissolution kinetics of calcite, dolomite and magnesite at 25 C and 0 to 50 atm pCO2. </b:Title>
    <b:JournalName>Chemical geology, </b:JournalName>
    <b:Year>2005</b:Year>
    <b:Pages>239-255</b:Pages>
    <b:Volume>217</b:Volume>
    <b:Issue>3-4</b:Issue>
    <b:RefOrder>18</b:RefOrder>
  </b:Source>
  <b:Source>
    <b:Tag>Ren17</b:Tag>
    <b:SourceType>JournalArticle</b:SourceType>
    <b:Guid>{02CD9CBE-EBDE-4E42-B721-12CF653BEE91}</b:Guid>
    <b:Author>
      <b:Author>
        <b:NameList>
          <b:Person>
            <b:Last>Renforth</b:Last>
            <b:First>P.</b:First>
          </b:Person>
          <b:Person>
            <b:Last>Henderson</b:Last>
            <b:First>G.</b:First>
          </b:Person>
        </b:NameList>
      </b:Author>
    </b:Author>
    <b:Title>Assessing ocean alkalinity for carbon sequestration</b:Title>
    <b:JournalName>Reviews of Geophysics</b:JournalName>
    <b:Year>2017</b:Year>
    <b:Pages>636-674</b:Pages>
    <b:Volume>55</b:Volume>
    <b:Issue>3</b:Issue>
    <b:RefOrder>1</b:RefOrder>
  </b:Source>
  <b:Source>
    <b:Tag>Cal00</b:Tag>
    <b:SourceType>JournalArticle</b:SourceType>
    <b:Guid>{2722EB01-F396-44EF-9625-AC131E25B0EB}</b:Guid>
    <b:Author>
      <b:Author>
        <b:NameList>
          <b:Person>
            <b:Last>Caldeira</b:Last>
            <b:First>K.</b:First>
          </b:Person>
          <b:Person>
            <b:Last>Rau</b:Last>
            <b:First>G.H.</b:First>
          </b:Person>
        </b:NameList>
      </b:Author>
    </b:Author>
    <b:Title>Accelerating carbonate dissolution to sequester carbon dioxide in the ocean: Geochemical implications.</b:Title>
    <b:JournalName>Geophysical Research Letters</b:JournalName>
    <b:Year>2000</b:Year>
    <b:Pages>225-228</b:Pages>
    <b:Volume>27</b:Volume>
    <b:Issue>2</b:Issue>
    <b:RefOrder>19</b:RefOrder>
  </b:Source>
  <b:Source>
    <b:Tag>Bis93</b:Tag>
    <b:SourceType>JournalArticle</b:SourceType>
    <b:Guid>{E7584DA3-0C77-4857-88A9-FE9F47BF615E}</b:Guid>
    <b:Author>
      <b:Author>
        <b:NameList>
          <b:Person>
            <b:Last>Bischoff</b:Last>
            <b:First>J.L.</b:First>
          </b:Person>
          <b:Person>
            <b:Last>Fitzpatrick</b:Last>
            <b:First>J.A.</b:First>
          </b:Person>
          <b:Person>
            <b:Last>Rosenbauer</b:Last>
            <b:First>R.J.</b:First>
          </b:Person>
        </b:NameList>
      </b:Author>
    </b:Author>
    <b:Title>The solubility and stabilization of ikaite (CaCO3· 6H2O) from 0 to 25 C: Environmental and paleoclimatic implications for thinolite tufa. </b:Title>
    <b:JournalName>The Journal of Geology</b:JournalName>
    <b:Year>1993</b:Year>
    <b:Pages>21-33</b:Pages>
    <b:Volume>101</b:Volume>
    <b:Issue>1</b:Issue>
    <b:RefOrder>20</b:RefOrder>
  </b:Source>
  <b:Source>
    <b:Tag>HuY14</b:Tag>
    <b:SourceType>JournalArticle</b:SourceType>
    <b:Guid>{B391EE21-EBDB-4D9A-B9C8-FE0CC4E3EEFB}</b:Guid>
    <b:Author>
      <b:Author>
        <b:NameList>
          <b:Person>
            <b:Last>Hu</b:Last>
            <b:First>Y.B.</b:First>
          </b:Person>
          <b:Person>
            <b:Last>Wolf-Gladrow</b:Last>
            <b:First>D.A.</b:First>
          </b:Person>
          <b:Person>
            <b:Last>Dieckmann</b:Last>
            <b:First>G.S.</b:First>
          </b:Person>
          <b:Person>
            <b:Last>Völker</b:Last>
            <b:First>C.</b:First>
          </b:Person>
          <b:Person>
            <b:Last>Nehrke</b:Last>
            <b:First>G.</b:First>
          </b:Person>
        </b:NameList>
      </b:Author>
    </b:Author>
    <b:Title>A laboratory study of ikaite (CaCO3· 6H2O) precipitation as a function of pH, salinity, temperature and phosphate concentration.</b:Title>
    <b:JournalName>Marine Chemistry</b:JournalName>
    <b:Year>2014</b:Year>
    <b:Pages>10-18</b:Pages>
    <b:Volume>162</b:Volume>
    <b:RefOrder>21</b:RefOrder>
  </b:Source>
  <b:Source>
    <b:Tag>Tol18</b:Tag>
    <b:SourceType>JournalArticle</b:SourceType>
    <b:Guid>{8E6D56A0-38DC-4D61-A7A8-3C020E210F3E}</b:Guid>
    <b:Author>
      <b:Author>
        <b:NameList>
          <b:Person>
            <b:Last>Tollefsen</b:Last>
            <b:First>E.</b:First>
          </b:Person>
          <b:Person>
            <b:Last>Stockmann</b:Last>
            <b:First>G.</b:First>
          </b:Person>
          <b:Person>
            <b:Last>Skelton</b:Last>
            <b:First>A.</b:First>
          </b:Person>
          <b:Person>
            <b:Last>Mörth</b:Last>
            <b:First>C.M.</b:First>
          </b:Person>
          <b:Person>
            <b:Last>Dupraz</b:Last>
            <b:First>C.</b:First>
          </b:Person>
          <b:Person>
            <b:Last>Sturkell</b:Last>
            <b:First>E.</b:First>
          </b:Person>
        </b:NameList>
      </b:Author>
    </b:Author>
    <b:Title>Chemical controls on ikaite formation. </b:Title>
    <b:JournalName>Mineralogical Magazine</b:JournalName>
    <b:Year>2018</b:Year>
    <b:Pages>1119-1129</b:Pages>
    <b:Volume>82</b:Volume>
    <b:Issue>5</b:Issue>
    <b:RefOrder>22</b:RefOrder>
  </b:Source>
  <b:Source>
    <b:Tag>Sto18</b:Tag>
    <b:SourceType>JournalArticle</b:SourceType>
    <b:Guid>{C9A5E58B-8C4C-481D-9910-736BD65FE22D}</b:Guid>
    <b:Author>
      <b:Author>
        <b:NameList>
          <b:Person>
            <b:Last>Stockmann</b:Last>
            <b:First>G.</b:First>
          </b:Person>
          <b:Person>
            <b:Last>Tollefsen</b:Last>
            <b:First>E.</b:First>
          </b:Person>
          <b:Person>
            <b:Last>Skelton</b:Last>
            <b:First>A.</b:First>
          </b:Person>
          <b:Person>
            <b:Last>Brüchert</b:Last>
            <b:First>V.</b:First>
          </b:Person>
          <b:Person>
            <b:Last>Balic-Zunic</b:Last>
            <b:First>T.</b:First>
          </b:Person>
          <b:Person>
            <b:Last>Langhof</b:Last>
            <b:First>J.</b:First>
          </b:Person>
          <b:Person>
            <b:Last>Skogby</b:Last>
            <b:First>H.</b:First>
          </b:Person>
          <b:Person>
            <b:Last>Karlsson</b:Last>
            <b:First>A.</b:First>
          </b:Person>
        </b:NameList>
      </b:Author>
    </b:Author>
    <b:Title>Control of a calcite inhibitor (phosphate) and temperature on ikaite precipitation in Ikka Fjord, southwest Greenland. </b:Title>
    <b:JournalName>Applied Geochemistry</b:JournalName>
    <b:Year>2018</b:Year>
    <b:Pages>11-22</b:Pages>
    <b:Volume>89</b:Volume>
    <b:RefOrder>23</b:RefOrder>
  </b:Source>
  <b:Source>
    <b:Tag>Wei01</b:Tag>
    <b:SourceType>JournalArticle</b:SourceType>
    <b:Guid>{30083155-C26A-4E55-8FEA-E3463FD49EA4}</b:Guid>
    <b:Author>
      <b:Author>
        <b:NameList>
          <b:Person>
            <b:Last>Wei</b:Last>
            <b:First>H.</b:First>
          </b:Person>
          <b:Person>
            <b:Last>Zhou</b:Last>
            <b:First>W.</b:First>
          </b:Person>
          <b:Person>
            <b:Last>Garside</b:Last>
            <b:First>J.</b:First>
          </b:Person>
        </b:NameList>
      </b:Author>
    </b:Author>
    <b:Title>Computational fluid dynamics modeling of the precipitation process in a semibatch crystallizer.</b:Title>
    <b:Year>2001</b:Year>
    <b:Volume>40</b:Volume>
    <b:Pages>5255-5261</b:Pages>
    <b:JournalName>Industrial &amp; engineering chemistry research</b:JournalName>
    <b:Issue>23</b:Issue>
    <b:RefOrder>3</b:RefOrder>
  </b:Source>
</b:Sources>
</file>

<file path=customXml/itemProps1.xml><?xml version="1.0" encoding="utf-8"?>
<ds:datastoreItem xmlns:ds="http://schemas.openxmlformats.org/officeDocument/2006/customXml" ds:itemID="{46353555-44C8-45F4-9E69-5ECD6D73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</Template>
  <TotalTime>24</TotalTime>
  <Pages>6</Pages>
  <Words>1571</Words>
  <Characters>9093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Chapter</vt:lpstr>
      <vt:lpstr>Chapter</vt:lpstr>
    </vt:vector>
  </TitlesOfParts>
  <Company>Elsevier Science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</dc:title>
  <dc:creator>Kostas</dc:creator>
  <cp:lastModifiedBy>Pranav Thoutam</cp:lastModifiedBy>
  <cp:revision>8</cp:revision>
  <cp:lastPrinted>2004-12-17T09:20:00Z</cp:lastPrinted>
  <dcterms:created xsi:type="dcterms:W3CDTF">2024-01-04T17:12:00Z</dcterms:created>
  <dcterms:modified xsi:type="dcterms:W3CDTF">2024-01-04T17:38:00Z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2023-10-02T08:38:43Z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d1e5754d-f2d2-4025-b8e5-4cd2943f5f30</vt:lpwstr>
  </property>
  <property fmtid="{D5CDD505-2E9C-101B-9397-08002B2CF9AE}" pid="8" name="MSIP_Label_549ac42a-3eb4-4074-b885-aea26bd6241e_ContentBits">
    <vt:lpwstr>0</vt:lpwstr>
  </property>
  <property fmtid="{D5CDD505-2E9C-101B-9397-08002B2CF9AE}" pid="9" name="GrammarlyDocumentId">
    <vt:lpwstr>1dbdf9704ae63b23c772d0a2d4dc5007e513b2143281315c46e9c661110ba89d</vt:lpwstr>
  </property>
</Properties>
</file>