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7302A" w14:textId="0A182D8C" w:rsidR="00A83802" w:rsidRDefault="00A83802">
      <w:pPr>
        <w:pStyle w:val="Els-Author"/>
        <w:rPr>
          <w:b/>
          <w:noProof w:val="0"/>
          <w:color w:val="000000" w:themeColor="text1"/>
          <w:sz w:val="32"/>
        </w:rPr>
      </w:pPr>
      <w:bookmarkStart w:id="0" w:name="_GoBack"/>
      <w:bookmarkEnd w:id="0"/>
      <w:r w:rsidRPr="00A83802">
        <w:rPr>
          <w:b/>
          <w:noProof w:val="0"/>
          <w:color w:val="000000" w:themeColor="text1"/>
          <w:sz w:val="32"/>
        </w:rPr>
        <w:t xml:space="preserve">Multi-objective optimization for pharmaceutical supply chain design: application to COVID-19 vaccine distribution network </w:t>
      </w:r>
    </w:p>
    <w:p w14:paraId="23DDBC51" w14:textId="0D6918E5" w:rsidR="00A83802" w:rsidRPr="00372F99" w:rsidRDefault="00A83802">
      <w:pPr>
        <w:pStyle w:val="Els-Affiliation"/>
        <w:rPr>
          <w:i w:val="0"/>
          <w:sz w:val="22"/>
          <w:lang w:val="en-US"/>
        </w:rPr>
      </w:pPr>
      <w:r w:rsidRPr="00372F99">
        <w:rPr>
          <w:i w:val="0"/>
          <w:sz w:val="22"/>
          <w:lang w:val="en-US"/>
        </w:rPr>
        <w:t>Jonathan J. Cuevas-Lopez</w:t>
      </w:r>
      <w:r w:rsidR="00BB6F94" w:rsidRPr="007E3A82">
        <w:rPr>
          <w:vertAlign w:val="superscript"/>
          <w:lang w:val="en-US"/>
        </w:rPr>
        <w:t>a</w:t>
      </w:r>
      <w:r w:rsidRPr="00372F99">
        <w:rPr>
          <w:i w:val="0"/>
          <w:sz w:val="22"/>
          <w:lang w:val="en-US"/>
        </w:rPr>
        <w:t>, Catherine Azzaro-Pantel</w:t>
      </w:r>
      <w:r w:rsidR="00BB6F94" w:rsidRPr="007E3A82">
        <w:rPr>
          <w:vertAlign w:val="superscript"/>
          <w:lang w:val="en-US"/>
        </w:rPr>
        <w:t>a</w:t>
      </w:r>
      <w:r w:rsidRPr="00372F99">
        <w:rPr>
          <w:i w:val="0"/>
          <w:sz w:val="22"/>
          <w:lang w:val="en-US"/>
        </w:rPr>
        <w:t>* and Sofıa De-Leon Almaraz</w:t>
      </w:r>
      <w:r w:rsidR="00BB6F94">
        <w:rPr>
          <w:spacing w:val="9"/>
          <w:w w:val="105"/>
          <w:position w:val="7"/>
          <w:sz w:val="14"/>
        </w:rPr>
        <w:t>b</w:t>
      </w:r>
    </w:p>
    <w:p w14:paraId="144DE681" w14:textId="480C8882" w:rsidR="00DD3D9E" w:rsidRPr="009B4BFC" w:rsidRDefault="007A2746">
      <w:pPr>
        <w:pStyle w:val="Els-Affiliation"/>
        <w:rPr>
          <w:lang w:val="fr-FR"/>
        </w:rPr>
      </w:pPr>
      <w:r w:rsidRPr="009B4BFC">
        <w:rPr>
          <w:vertAlign w:val="superscript"/>
          <w:lang w:val="fr-FR"/>
        </w:rPr>
        <w:t>a</w:t>
      </w:r>
      <w:r w:rsidRPr="009B4BFC">
        <w:rPr>
          <w:lang w:val="fr-FR"/>
        </w:rPr>
        <w:t>Laboratoire de Génie Chimique, Université de Toulouse, CNRS, INPT, UPS, Toulouse, France</w:t>
      </w:r>
    </w:p>
    <w:p w14:paraId="49B0B524" w14:textId="77777777" w:rsidR="00A83802" w:rsidRDefault="00A83802" w:rsidP="008D2649">
      <w:pPr>
        <w:pStyle w:val="Els-Affiliation"/>
        <w:spacing w:after="120"/>
      </w:pPr>
      <w:r>
        <w:rPr>
          <w:spacing w:val="9"/>
          <w:w w:val="105"/>
          <w:position w:val="7"/>
          <w:sz w:val="14"/>
        </w:rPr>
        <w:t>b</w:t>
      </w:r>
      <w:r>
        <w:rPr>
          <w:w w:val="99"/>
        </w:rPr>
        <w:t>Corvinus</w:t>
      </w:r>
      <w:r>
        <w:rPr>
          <w:spacing w:val="1"/>
        </w:rPr>
        <w:t xml:space="preserve"> </w:t>
      </w:r>
      <w:r>
        <w:rPr>
          <w:w w:val="99"/>
        </w:rPr>
        <w:t>Unive</w:t>
      </w:r>
      <w:r>
        <w:rPr>
          <w:spacing w:val="-2"/>
          <w:w w:val="99"/>
        </w:rPr>
        <w:t>r</w:t>
      </w:r>
      <w:r>
        <w:rPr>
          <w:w w:val="99"/>
        </w:rPr>
        <w:t>sity</w:t>
      </w:r>
      <w:r>
        <w:rPr>
          <w:spacing w:val="1"/>
        </w:rPr>
        <w:t xml:space="preserve"> </w:t>
      </w:r>
      <w:r>
        <w:rPr>
          <w:w w:val="99"/>
        </w:rPr>
        <w:t>of</w:t>
      </w:r>
      <w:r>
        <w:rPr>
          <w:spacing w:val="1"/>
        </w:rPr>
        <w:t xml:space="preserve"> </w:t>
      </w:r>
      <w:r>
        <w:rPr>
          <w:w w:val="99"/>
        </w:rPr>
        <w:t>Budapest.</w:t>
      </w:r>
      <w:r>
        <w:rPr>
          <w:spacing w:val="15"/>
        </w:rPr>
        <w:t xml:space="preserve"> </w:t>
      </w:r>
      <w:r>
        <w:rPr>
          <w:w w:val="99"/>
        </w:rPr>
        <w:t>Department</w:t>
      </w:r>
      <w:r>
        <w:rPr>
          <w:spacing w:val="1"/>
        </w:rPr>
        <w:t xml:space="preserve"> </w:t>
      </w:r>
      <w:r>
        <w:rPr>
          <w:w w:val="99"/>
        </w:rPr>
        <w:t>of</w:t>
      </w:r>
      <w:r>
        <w:rPr>
          <w:spacing w:val="1"/>
        </w:rPr>
        <w:t xml:space="preserve"> </w:t>
      </w:r>
      <w:r>
        <w:rPr>
          <w:w w:val="99"/>
        </w:rPr>
        <w:t>Supply</w:t>
      </w:r>
      <w:r>
        <w:rPr>
          <w:spacing w:val="1"/>
        </w:rPr>
        <w:t xml:space="preserve"> </w:t>
      </w:r>
      <w:r>
        <w:rPr>
          <w:w w:val="99"/>
        </w:rPr>
        <w:t>Chain</w:t>
      </w:r>
      <w:r>
        <w:rPr>
          <w:spacing w:val="1"/>
        </w:rPr>
        <w:t xml:space="preserve"> </w:t>
      </w:r>
      <w:r>
        <w:rPr>
          <w:w w:val="99"/>
        </w:rPr>
        <w:t>Man</w:t>
      </w:r>
      <w:r>
        <w:rPr>
          <w:spacing w:val="-2"/>
          <w:w w:val="99"/>
        </w:rPr>
        <w:t>ag</w:t>
      </w:r>
      <w:r>
        <w:rPr>
          <w:w w:val="99"/>
        </w:rPr>
        <w:t>ement.</w:t>
      </w:r>
      <w:r>
        <w:rPr>
          <w:spacing w:val="15"/>
        </w:rPr>
        <w:t xml:space="preserve"> </w:t>
      </w:r>
      <w:r>
        <w:rPr>
          <w:w w:val="99"/>
        </w:rPr>
        <w:t>8</w:t>
      </w:r>
      <w:r>
        <w:rPr>
          <w:spacing w:val="1"/>
        </w:rPr>
        <w:t xml:space="preserve"> </w:t>
      </w:r>
      <w:r>
        <w:rPr>
          <w:spacing w:val="-1"/>
          <w:w w:val="99"/>
        </w:rPr>
        <w:t>F</w:t>
      </w:r>
      <w:r>
        <w:rPr>
          <w:spacing w:val="-84"/>
          <w:w w:val="99"/>
        </w:rPr>
        <w:t>o</w:t>
      </w:r>
      <w:r>
        <w:rPr>
          <w:spacing w:val="17"/>
          <w:w w:val="99"/>
        </w:rPr>
        <w:t>˝</w:t>
      </w:r>
      <w:r>
        <w:rPr>
          <w:w w:val="99"/>
        </w:rPr>
        <w:t>vam</w:t>
      </w:r>
      <w:r>
        <w:rPr>
          <w:spacing w:val="1"/>
        </w:rPr>
        <w:t xml:space="preserve"> </w:t>
      </w:r>
      <w:r>
        <w:rPr>
          <w:w w:val="99"/>
        </w:rPr>
        <w:t>t</w:t>
      </w:r>
      <w:r>
        <w:rPr>
          <w:spacing w:val="-78"/>
          <w:w w:val="99"/>
        </w:rPr>
        <w:t>e</w:t>
      </w:r>
      <w:r>
        <w:rPr>
          <w:spacing w:val="11"/>
          <w:w w:val="99"/>
        </w:rPr>
        <w:t>´</w:t>
      </w:r>
      <w:r>
        <w:rPr>
          <w:spacing w:val="-23"/>
          <w:w w:val="99"/>
        </w:rPr>
        <w:t>r</w:t>
      </w:r>
      <w:r>
        <w:rPr>
          <w:w w:val="99"/>
        </w:rPr>
        <w:t>.</w:t>
      </w:r>
      <w:r>
        <w:rPr>
          <w:spacing w:val="15"/>
        </w:rPr>
        <w:t xml:space="preserve"> </w:t>
      </w:r>
      <w:r>
        <w:rPr>
          <w:spacing w:val="-3"/>
          <w:w w:val="99"/>
        </w:rPr>
        <w:t>1093</w:t>
      </w:r>
      <w:r>
        <w:rPr>
          <w:w w:val="99"/>
        </w:rPr>
        <w:t xml:space="preserve"> </w:t>
      </w:r>
      <w:r>
        <w:t>Budapest,</w:t>
      </w:r>
      <w:r>
        <w:rPr>
          <w:spacing w:val="-2"/>
        </w:rPr>
        <w:t xml:space="preserve"> </w:t>
      </w:r>
      <w:r>
        <w:t>Hungary</w:t>
      </w:r>
      <w:r w:rsidRPr="00040F87">
        <w:t xml:space="preserve"> </w:t>
      </w:r>
    </w:p>
    <w:p w14:paraId="144DE683" w14:textId="6F5E2C0E" w:rsidR="008D2649" w:rsidRPr="00040F87" w:rsidRDefault="009669A1" w:rsidP="008D2649">
      <w:pPr>
        <w:pStyle w:val="Els-Affiliation"/>
        <w:spacing w:after="120"/>
      </w:pPr>
      <w:hyperlink r:id="rId8">
        <w:r w:rsidR="00A83802" w:rsidRPr="00A83802">
          <w:t>jonathanjair.cuevaslopez@toulouse-inp.fr,</w:t>
        </w:r>
        <w:r w:rsidR="00A83802" w:rsidRPr="00A83802">
          <w:rPr>
            <w:spacing w:val="-2"/>
          </w:rPr>
          <w:t xml:space="preserve"> </w:t>
        </w:r>
      </w:hyperlink>
    </w:p>
    <w:p w14:paraId="1DC0C79F" w14:textId="18413675" w:rsidR="0034623A" w:rsidRPr="00A83802" w:rsidRDefault="008D2649" w:rsidP="005E423C">
      <w:pPr>
        <w:pStyle w:val="Els-Abstract"/>
        <w:rPr>
          <w:lang w:val="en-GB"/>
        </w:rPr>
      </w:pPr>
      <w:r w:rsidRPr="00A83802">
        <w:rPr>
          <w:lang w:val="en-GB"/>
        </w:rPr>
        <w:t>Abstract</w:t>
      </w:r>
    </w:p>
    <w:p w14:paraId="2B3D017A" w14:textId="1DBD9288" w:rsidR="00A83802" w:rsidRDefault="00A83802" w:rsidP="00A83802">
      <w:pPr>
        <w:pStyle w:val="Els-body-text"/>
        <w:spacing w:after="120"/>
        <w:rPr>
          <w:lang w:val="en-GB"/>
        </w:rPr>
      </w:pPr>
      <w:r w:rsidRPr="00A83802">
        <w:rPr>
          <w:lang w:val="en-GB"/>
        </w:rPr>
        <w:t xml:space="preserve">In response to the exigencies of the COVID-19 pandemic, this study proposes a novel Pharmaceutical Supply Chain (PSC) model for vaccination. Our model encompasses a five-echelon structure, integrating manufacturing plants, fill-finish facilities, distribution </w:t>
      </w:r>
      <w:r w:rsidR="006C1E20">
        <w:rPr>
          <w:lang w:val="en-GB"/>
        </w:rPr>
        <w:t>centres</w:t>
      </w:r>
      <w:r w:rsidRPr="00A83802">
        <w:rPr>
          <w:lang w:val="en-GB"/>
        </w:rPr>
        <w:t xml:space="preserve">, and administration points focusing on a stratified deterministic demand for COVID-19 vaccines. A distinctive feature of our work is the incorporation of a multi-objective optimization approach within the </w:t>
      </w:r>
      <w:r w:rsidR="00482F60" w:rsidRPr="00482F60">
        <w:rPr>
          <w:lang w:val="en-GB"/>
        </w:rPr>
        <w:t xml:space="preserve">General Algebraic </w:t>
      </w:r>
      <w:proofErr w:type="spellStart"/>
      <w:r w:rsidR="00482F60" w:rsidRPr="00482F60">
        <w:rPr>
          <w:lang w:val="en-GB"/>
        </w:rPr>
        <w:t>Modeling</w:t>
      </w:r>
      <w:proofErr w:type="spellEnd"/>
      <w:r w:rsidR="00482F60" w:rsidRPr="00482F60">
        <w:rPr>
          <w:lang w:val="en-GB"/>
        </w:rPr>
        <w:t xml:space="preserve"> System</w:t>
      </w:r>
      <w:r w:rsidR="00482F60">
        <w:rPr>
          <w:lang w:val="en-GB"/>
        </w:rPr>
        <w:t xml:space="preserve"> (</w:t>
      </w:r>
      <w:r w:rsidRPr="00A83802">
        <w:rPr>
          <w:lang w:val="en-GB"/>
        </w:rPr>
        <w:t>GAMS</w:t>
      </w:r>
      <w:r w:rsidR="00482F60">
        <w:rPr>
          <w:lang w:val="en-GB"/>
        </w:rPr>
        <w:t>)</w:t>
      </w:r>
      <w:r w:rsidRPr="00A83802">
        <w:rPr>
          <w:lang w:val="en-GB"/>
        </w:rPr>
        <w:t xml:space="preserve"> environment using Mixed Integer Linear Programming (MILP). This approach is designed to optimize cost, CO</w:t>
      </w:r>
      <w:r w:rsidRPr="006C1E20">
        <w:rPr>
          <w:vertAlign w:val="subscript"/>
          <w:lang w:val="en-GB"/>
        </w:rPr>
        <w:t>2</w:t>
      </w:r>
      <w:r w:rsidRPr="00A83802">
        <w:rPr>
          <w:lang w:val="en-GB"/>
        </w:rPr>
        <w:t xml:space="preserve"> emissions, and backlog over a 40-week vaccination campaign. Utilizing an augmented epsilon-constraint method, our model facilitates the identification of trade-offs between these objectives, thus enabling informed decision-making in PSCs. The results underscore the inherent trade-offs among the objectives, reflecting the complexity of the supply chain management for vaccination as shown in the Pareto fronts.</w:t>
      </w:r>
    </w:p>
    <w:p w14:paraId="144DE687" w14:textId="160F601A" w:rsidR="008D2649" w:rsidRDefault="008D2649" w:rsidP="008D2649">
      <w:pPr>
        <w:pStyle w:val="Els-body-text"/>
        <w:spacing w:after="120"/>
        <w:rPr>
          <w:lang w:val="en-GB"/>
        </w:rPr>
      </w:pPr>
      <w:r w:rsidRPr="00040F87">
        <w:rPr>
          <w:b/>
          <w:bCs/>
          <w:lang w:val="en-GB"/>
        </w:rPr>
        <w:t>Keywords</w:t>
      </w:r>
      <w:r w:rsidRPr="00040F87">
        <w:rPr>
          <w:lang w:val="en-GB"/>
        </w:rPr>
        <w:t xml:space="preserve">: </w:t>
      </w:r>
      <w:r w:rsidR="00A83802">
        <w:t>Pharmaceutical Supply Chain, Mixed Integer Linear Programming, multi-objective</w:t>
      </w:r>
      <w:r w:rsidR="00A83802">
        <w:rPr>
          <w:spacing w:val="1"/>
        </w:rPr>
        <w:t xml:space="preserve"> </w:t>
      </w:r>
      <w:r w:rsidR="00A83802">
        <w:t>optimization,</w:t>
      </w:r>
      <w:r w:rsidR="00A83802">
        <w:rPr>
          <w:spacing w:val="-2"/>
        </w:rPr>
        <w:t xml:space="preserve"> </w:t>
      </w:r>
      <w:r w:rsidR="00A83802">
        <w:t>COVID-19</w:t>
      </w:r>
      <w:r w:rsidR="00A83802">
        <w:rPr>
          <w:spacing w:val="-1"/>
        </w:rPr>
        <w:t xml:space="preserve"> </w:t>
      </w:r>
      <w:r w:rsidR="00A83802">
        <w:t>vaccines,</w:t>
      </w:r>
      <w:r w:rsidR="00A83802">
        <w:rPr>
          <w:spacing w:val="-2"/>
        </w:rPr>
        <w:t xml:space="preserve"> </w:t>
      </w:r>
      <w:r w:rsidR="00A83802">
        <w:t>epsilon-constraint</w:t>
      </w:r>
      <w:r w:rsidR="0034623A" w:rsidRPr="00040F87">
        <w:rPr>
          <w:lang w:val="en-GB"/>
        </w:rPr>
        <w:t>.</w:t>
      </w:r>
    </w:p>
    <w:p w14:paraId="144DE689" w14:textId="5276E89B" w:rsidR="008D2649" w:rsidRDefault="0034623A" w:rsidP="008D2649">
      <w:pPr>
        <w:pStyle w:val="Els-1storder-head"/>
        <w:rPr>
          <w:lang w:val="en-GB"/>
        </w:rPr>
      </w:pPr>
      <w:r w:rsidRPr="00040F87">
        <w:rPr>
          <w:lang w:val="en-GB"/>
        </w:rPr>
        <w:t>Introduction</w:t>
      </w:r>
    </w:p>
    <w:p w14:paraId="71FA1832" w14:textId="701DB6CA" w:rsidR="003F01B8" w:rsidRDefault="003F01B8" w:rsidP="003F01B8">
      <w:pPr>
        <w:pStyle w:val="Els-body-text"/>
        <w:spacing w:after="120"/>
        <w:rPr>
          <w:lang w:val="en-GB"/>
        </w:rPr>
      </w:pPr>
      <w:r w:rsidRPr="003F01B8">
        <w:rPr>
          <w:lang w:val="en-GB"/>
        </w:rPr>
        <w:t xml:space="preserve">The COVID-19 pandemic has highlighted the essential role of Pharmaceutical Supply Chains (PSCs) in maintaining global health. Unlike other supply chains, the pharmaceutical supply chain is unique, particularly in its </w:t>
      </w:r>
      <w:r w:rsidR="001028A6">
        <w:rPr>
          <w:lang w:val="en-GB"/>
        </w:rPr>
        <w:t xml:space="preserve">crucial role </w:t>
      </w:r>
      <w:r w:rsidRPr="003F01B8">
        <w:rPr>
          <w:lang w:val="en-GB"/>
        </w:rPr>
        <w:t>during a pandemic for vaccine distribution. Disruptions in this supply chain can lead to severe consequences</w:t>
      </w:r>
      <w:r w:rsidR="001028A6">
        <w:rPr>
          <w:lang w:val="en-GB"/>
        </w:rPr>
        <w:t>.</w:t>
      </w:r>
      <w:r w:rsidR="006C1E20" w:rsidRPr="003F01B8">
        <w:rPr>
          <w:lang w:val="en-GB"/>
        </w:rPr>
        <w:t xml:space="preserve"> </w:t>
      </w:r>
      <w:r w:rsidR="001028A6">
        <w:rPr>
          <w:lang w:val="en-GB"/>
        </w:rPr>
        <w:t>I</w:t>
      </w:r>
      <w:r w:rsidR="001028A6" w:rsidRPr="003F01B8">
        <w:rPr>
          <w:lang w:val="en-GB"/>
        </w:rPr>
        <w:t xml:space="preserve">nadequate </w:t>
      </w:r>
      <w:r w:rsidRPr="003F01B8">
        <w:rPr>
          <w:lang w:val="en-GB"/>
        </w:rPr>
        <w:t xml:space="preserve">management strategies in healthcare industries can result in substantial financial losses and significantly impact patient care and outcomes </w:t>
      </w:r>
      <w:sdt>
        <w:sdtPr>
          <w:rPr>
            <w:lang w:val="en-GB"/>
          </w:rPr>
          <w:id w:val="1623256911"/>
          <w:citation/>
        </w:sdtPr>
        <w:sdtEndPr/>
        <w:sdtContent>
          <w:r w:rsidR="003B38A4">
            <w:rPr>
              <w:lang w:val="en-GB"/>
            </w:rPr>
            <w:fldChar w:fldCharType="begin"/>
          </w:r>
          <w:r w:rsidR="003B38A4">
            <w:instrText xml:space="preserve"> CITATION Uth13 \l 1033 </w:instrText>
          </w:r>
          <w:r w:rsidR="003B38A4">
            <w:rPr>
              <w:lang w:val="en-GB"/>
            </w:rPr>
            <w:fldChar w:fldCharType="separate"/>
          </w:r>
          <w:r w:rsidR="003B38A4">
            <w:rPr>
              <w:noProof/>
            </w:rPr>
            <w:t>(Uthayakumar, 2013)</w:t>
          </w:r>
          <w:r w:rsidR="003B38A4">
            <w:rPr>
              <w:lang w:val="en-GB"/>
            </w:rPr>
            <w:fldChar w:fldCharType="end"/>
          </w:r>
        </w:sdtContent>
      </w:sdt>
      <w:r w:rsidRPr="003F01B8">
        <w:rPr>
          <w:lang w:val="en-GB"/>
        </w:rPr>
        <w:t>.</w:t>
      </w:r>
    </w:p>
    <w:p w14:paraId="0D4345C5" w14:textId="34CA351A" w:rsidR="001028A6" w:rsidRPr="00190810" w:rsidRDefault="003F01B8" w:rsidP="003F01B8">
      <w:pPr>
        <w:pStyle w:val="Els-body-text"/>
        <w:spacing w:after="120"/>
        <w:rPr>
          <w:lang w:val="en-GB"/>
        </w:rPr>
      </w:pPr>
      <w:r w:rsidRPr="003F01B8">
        <w:rPr>
          <w:lang w:val="en-GB"/>
        </w:rPr>
        <w:t xml:space="preserve">To address the optimization of the supply chain, approaches can be either single-objective, focusing mainly on cost, or multi-objective where traditional models, primarily focused on cost and service efficiency </w:t>
      </w:r>
      <w:sdt>
        <w:sdtPr>
          <w:rPr>
            <w:lang w:val="en-GB"/>
          </w:rPr>
          <w:id w:val="-640961956"/>
          <w:citation/>
        </w:sdtPr>
        <w:sdtEndPr/>
        <w:sdtContent>
          <w:r w:rsidR="003B38A4">
            <w:rPr>
              <w:lang w:val="en-GB"/>
            </w:rPr>
            <w:fldChar w:fldCharType="begin"/>
          </w:r>
          <w:r w:rsidR="003B38A4">
            <w:instrText xml:space="preserve"> CITATION Pap09 \l 1033 </w:instrText>
          </w:r>
          <w:r w:rsidR="003B38A4">
            <w:rPr>
              <w:lang w:val="en-GB"/>
            </w:rPr>
            <w:fldChar w:fldCharType="separate"/>
          </w:r>
          <w:r w:rsidR="003B38A4">
            <w:rPr>
              <w:noProof/>
            </w:rPr>
            <w:t>(Papageorgiou, 2009)</w:t>
          </w:r>
          <w:r w:rsidR="003B38A4">
            <w:rPr>
              <w:lang w:val="en-GB"/>
            </w:rPr>
            <w:fldChar w:fldCharType="end"/>
          </w:r>
        </w:sdtContent>
      </w:sdt>
      <w:r w:rsidRPr="003F01B8">
        <w:rPr>
          <w:lang w:val="en-GB"/>
        </w:rPr>
        <w:t xml:space="preserve">, often </w:t>
      </w:r>
      <w:r w:rsidR="001028A6">
        <w:rPr>
          <w:lang w:val="en-GB"/>
        </w:rPr>
        <w:t>overlook</w:t>
      </w:r>
      <w:r w:rsidR="001028A6" w:rsidRPr="003F01B8">
        <w:rPr>
          <w:lang w:val="en-GB"/>
        </w:rPr>
        <w:t xml:space="preserve"> </w:t>
      </w:r>
      <w:r w:rsidRPr="003F01B8">
        <w:rPr>
          <w:lang w:val="en-GB"/>
        </w:rPr>
        <w:t xml:space="preserve">environmental considerations </w:t>
      </w:r>
      <w:sdt>
        <w:sdtPr>
          <w:rPr>
            <w:lang w:val="en-GB"/>
          </w:rPr>
          <w:id w:val="-427427743"/>
          <w:citation/>
        </w:sdtPr>
        <w:sdtEndPr/>
        <w:sdtContent>
          <w:r w:rsidR="003B38A4">
            <w:rPr>
              <w:lang w:val="en-GB"/>
            </w:rPr>
            <w:fldChar w:fldCharType="begin"/>
          </w:r>
          <w:r w:rsidR="003B38A4">
            <w:instrText xml:space="preserve"> CITATION Aln13 \l 1033 </w:instrText>
          </w:r>
          <w:r w:rsidR="003B38A4">
            <w:rPr>
              <w:lang w:val="en-GB"/>
            </w:rPr>
            <w:fldChar w:fldCharType="separate"/>
          </w:r>
          <w:r w:rsidR="003B38A4">
            <w:rPr>
              <w:noProof/>
            </w:rPr>
            <w:t>(Alnaji, 2013)</w:t>
          </w:r>
          <w:r w:rsidR="003B38A4">
            <w:rPr>
              <w:lang w:val="en-GB"/>
            </w:rPr>
            <w:fldChar w:fldCharType="end"/>
          </w:r>
        </w:sdtContent>
      </w:sdt>
      <w:r w:rsidRPr="003F01B8">
        <w:rPr>
          <w:lang w:val="en-GB"/>
        </w:rPr>
        <w:t xml:space="preserve">. This oversight, coupled with concerns about social equity in vaccine distribution, </w:t>
      </w:r>
      <w:sdt>
        <w:sdtPr>
          <w:rPr>
            <w:lang w:val="en-GB"/>
          </w:rPr>
          <w:id w:val="343605751"/>
          <w:citation/>
        </w:sdtPr>
        <w:sdtEndPr/>
        <w:sdtContent>
          <w:r w:rsidR="003B38A4">
            <w:rPr>
              <w:lang w:val="en-GB"/>
            </w:rPr>
            <w:fldChar w:fldCharType="begin"/>
          </w:r>
          <w:r w:rsidR="003B38A4">
            <w:instrText xml:space="preserve"> CITATION Saz21 \l 1033 </w:instrText>
          </w:r>
          <w:r w:rsidR="003B38A4">
            <w:rPr>
              <w:lang w:val="en-GB"/>
            </w:rPr>
            <w:fldChar w:fldCharType="separate"/>
          </w:r>
          <w:r w:rsidR="003B38A4">
            <w:rPr>
              <w:noProof/>
            </w:rPr>
            <w:t>(Sazvar, 2021)</w:t>
          </w:r>
          <w:r w:rsidR="003B38A4">
            <w:rPr>
              <w:lang w:val="en-GB"/>
            </w:rPr>
            <w:fldChar w:fldCharType="end"/>
          </w:r>
        </w:sdtContent>
      </w:sdt>
      <w:r w:rsidRPr="003F01B8">
        <w:rPr>
          <w:lang w:val="en-GB"/>
        </w:rPr>
        <w:t xml:space="preserve"> underscores the need for a more comprehensive approach to PSC management. To bridge this gap, our study introduces a new PSC model for the distribution of COVID-19 vaccines. In this work, we are particularly interested in understanding the impact of integrating various sustainability objectives when designing a specific PSC.</w:t>
      </w:r>
      <w:r w:rsidR="00CC00BE">
        <w:rPr>
          <w:lang w:val="en-GB"/>
        </w:rPr>
        <w:t xml:space="preserve"> </w:t>
      </w:r>
      <w:r w:rsidRPr="003F01B8">
        <w:rPr>
          <w:lang w:val="en-GB"/>
        </w:rPr>
        <w:t xml:space="preserve">This model incorporates a multi-echelon structure, reflecting insights from studies like </w:t>
      </w:r>
      <w:sdt>
        <w:sdtPr>
          <w:rPr>
            <w:lang w:val="en-GB"/>
          </w:rPr>
          <w:id w:val="-1857115840"/>
          <w:citation/>
        </w:sdtPr>
        <w:sdtEndPr/>
        <w:sdtContent>
          <w:r w:rsidR="003B38A4">
            <w:rPr>
              <w:lang w:val="en-GB"/>
            </w:rPr>
            <w:fldChar w:fldCharType="begin"/>
          </w:r>
          <w:r w:rsidR="003B38A4">
            <w:instrText xml:space="preserve"> CITATION Pap09 \l 1033 </w:instrText>
          </w:r>
          <w:r w:rsidR="003B38A4">
            <w:rPr>
              <w:lang w:val="en-GB"/>
            </w:rPr>
            <w:fldChar w:fldCharType="separate"/>
          </w:r>
          <w:r w:rsidR="003B38A4">
            <w:rPr>
              <w:noProof/>
            </w:rPr>
            <w:t>(Papageorgiou, 2009)</w:t>
          </w:r>
          <w:r w:rsidR="003B38A4">
            <w:rPr>
              <w:lang w:val="en-GB"/>
            </w:rPr>
            <w:fldChar w:fldCharType="end"/>
          </w:r>
        </w:sdtContent>
      </w:sdt>
      <w:r w:rsidRPr="003F01B8">
        <w:rPr>
          <w:lang w:val="en-GB"/>
        </w:rPr>
        <w:t>. It employs a multi-</w:t>
      </w:r>
      <w:r w:rsidRPr="003F01B8">
        <w:rPr>
          <w:lang w:val="en-GB"/>
        </w:rPr>
        <w:lastRenderedPageBreak/>
        <w:t xml:space="preserve">objective optimization strategy using an augmented epsilon-constraint method </w:t>
      </w:r>
      <w:sdt>
        <w:sdtPr>
          <w:rPr>
            <w:lang w:val="en-GB"/>
          </w:rPr>
          <w:id w:val="-2026009873"/>
          <w:citation/>
        </w:sdtPr>
        <w:sdtEndPr/>
        <w:sdtContent>
          <w:r w:rsidR="003B38A4">
            <w:rPr>
              <w:lang w:val="en-GB"/>
            </w:rPr>
            <w:fldChar w:fldCharType="begin"/>
          </w:r>
          <w:r w:rsidR="003B38A4">
            <w:instrText xml:space="preserve"> CITATION Mav09 \l 1033 </w:instrText>
          </w:r>
          <w:r w:rsidR="003B38A4">
            <w:rPr>
              <w:lang w:val="en-GB"/>
            </w:rPr>
            <w:fldChar w:fldCharType="separate"/>
          </w:r>
          <w:r w:rsidR="003B38A4">
            <w:rPr>
              <w:noProof/>
            </w:rPr>
            <w:t>(Mavrotas, 2009)</w:t>
          </w:r>
          <w:r w:rsidR="003B38A4">
            <w:rPr>
              <w:lang w:val="en-GB"/>
            </w:rPr>
            <w:fldChar w:fldCharType="end"/>
          </w:r>
        </w:sdtContent>
      </w:sdt>
      <w:r w:rsidRPr="003F01B8">
        <w:rPr>
          <w:lang w:val="en-GB"/>
        </w:rPr>
        <w:t xml:space="preserve">, enabling the identification of balanced solutions between cost, </w:t>
      </w:r>
      <w:r w:rsidR="00B40575">
        <w:rPr>
          <w:lang w:val="en-GB"/>
        </w:rPr>
        <w:t>b</w:t>
      </w:r>
      <w:r w:rsidR="00B40575" w:rsidRPr="003F01B8">
        <w:rPr>
          <w:lang w:val="en-GB"/>
        </w:rPr>
        <w:t>acklog</w:t>
      </w:r>
      <w:r w:rsidRPr="003F01B8">
        <w:rPr>
          <w:lang w:val="en-GB"/>
        </w:rPr>
        <w:t>, and environmental impacts. Our objective is to address the existing gaps in PSC management and offer a model that seamlessly integrates economic, service-level, and environmental objectives. This model serves as a valuable tool for stakeholders and modelers engaged in multi-criteria decision-making within the pharmaceutical supply domain.</w:t>
      </w:r>
    </w:p>
    <w:p w14:paraId="7FA6F98B" w14:textId="75E08E0D" w:rsidR="009B5596" w:rsidRPr="00040F87" w:rsidRDefault="003F01B8" w:rsidP="008D2649">
      <w:pPr>
        <w:pStyle w:val="Els-1storder-head"/>
        <w:rPr>
          <w:lang w:val="en-GB"/>
        </w:rPr>
      </w:pPr>
      <w:r w:rsidRPr="003F01B8">
        <w:rPr>
          <w:lang w:val="en-GB"/>
        </w:rPr>
        <w:t>Formulation of the PSC Mathematical Mode</w:t>
      </w:r>
      <w:r w:rsidR="003D7070" w:rsidRPr="00040F87">
        <w:rPr>
          <w:lang w:val="en-GB"/>
        </w:rPr>
        <w:t>l</w:t>
      </w:r>
    </w:p>
    <w:p w14:paraId="2D283968" w14:textId="3DA5E562" w:rsidR="003F01B8" w:rsidRPr="00040F87" w:rsidRDefault="00B40575" w:rsidP="009B4BFC">
      <w:pPr>
        <w:pStyle w:val="Els-body-text"/>
        <w:spacing w:after="120"/>
        <w:rPr>
          <w:lang w:val="en-GB"/>
        </w:rPr>
      </w:pPr>
      <w:r>
        <w:rPr>
          <w:noProof/>
        </w:rPr>
        <w:drawing>
          <wp:anchor distT="0" distB="0" distL="0" distR="0" simplePos="0" relativeHeight="251659264" behindDoc="0" locked="0" layoutInCell="1" allowOverlap="1" wp14:anchorId="03FFB116" wp14:editId="169CDB33">
            <wp:simplePos x="0" y="0"/>
            <wp:positionH relativeFrom="page">
              <wp:posOffset>1530350</wp:posOffset>
            </wp:positionH>
            <wp:positionV relativeFrom="paragraph">
              <wp:posOffset>1009650</wp:posOffset>
            </wp:positionV>
            <wp:extent cx="4472305" cy="1772920"/>
            <wp:effectExtent l="0" t="0" r="0" b="508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grayscl/>
                    </a:blip>
                    <a:stretch>
                      <a:fillRect/>
                    </a:stretch>
                  </pic:blipFill>
                  <pic:spPr>
                    <a:xfrm>
                      <a:off x="0" y="0"/>
                      <a:ext cx="4472305" cy="17729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28A4816D" wp14:editId="2DA8F26D">
                <wp:simplePos x="0" y="0"/>
                <wp:positionH relativeFrom="column">
                  <wp:posOffset>-30480</wp:posOffset>
                </wp:positionH>
                <wp:positionV relativeFrom="paragraph">
                  <wp:posOffset>2781262</wp:posOffset>
                </wp:positionV>
                <wp:extent cx="4713605" cy="635"/>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4713605" cy="635"/>
                        </a:xfrm>
                        <a:prstGeom prst="rect">
                          <a:avLst/>
                        </a:prstGeom>
                        <a:solidFill>
                          <a:prstClr val="white"/>
                        </a:solidFill>
                        <a:ln>
                          <a:noFill/>
                        </a:ln>
                      </wps:spPr>
                      <wps:txbx>
                        <w:txbxContent>
                          <w:p w14:paraId="0B77B68D" w14:textId="725CB1E9" w:rsidR="00ED7EC5" w:rsidRPr="00554BE7" w:rsidRDefault="00ED7EC5" w:rsidP="00554BE7">
                            <w:pPr>
                              <w:pStyle w:val="Caption"/>
                              <w:jc w:val="center"/>
                            </w:pPr>
                            <w:r>
                              <w:t xml:space="preserve">Figure </w:t>
                            </w:r>
                            <w:r>
                              <w:fldChar w:fldCharType="begin"/>
                            </w:r>
                            <w:r>
                              <w:instrText xml:space="preserve"> SEQ Figure \* ARABIC </w:instrText>
                            </w:r>
                            <w:r>
                              <w:fldChar w:fldCharType="separate"/>
                            </w:r>
                            <w:r w:rsidR="00554BE7">
                              <w:t>1</w:t>
                            </w:r>
                            <w:r>
                              <w:fldChar w:fldCharType="end"/>
                            </w:r>
                            <w:r w:rsidR="009B6C95">
                              <w:t>.</w:t>
                            </w:r>
                            <w:r>
                              <w:t xml:space="preserve"> </w:t>
                            </w:r>
                            <w:r w:rsidRPr="00B75284">
                              <w:t>PSC scheme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8A4816D" id="_x0000_t202" coordsize="21600,21600" o:spt="202" path="m,l,21600r21600,l21600,xe">
                <v:stroke joinstyle="miter"/>
                <v:path gradientshapeok="t" o:connecttype="rect"/>
              </v:shapetype>
              <v:shape id="Text Box 2" o:spid="_x0000_s1026" type="#_x0000_t202" style="position:absolute;left:0;text-align:left;margin-left:-2.4pt;margin-top:219pt;width:371.1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" stroked="f">
                <v:textbox style="mso-fit-shape-to-text:t" inset="0,0,0,0">
                  <w:txbxContent>
                    <w:p w14:paraId="0B77B68D" w14:textId="725CB1E9" w:rsidR="00ED7EC5" w:rsidRPr="00554BE7" w:rsidRDefault="00ED7EC5" w:rsidP="00554BE7">
                      <w:pPr>
                        <w:pStyle w:val="Caption"/>
                        <w:jc w:val="center"/>
                      </w:pPr>
                      <w:r>
                        <w:t xml:space="preserve">Figure </w:t>
                      </w:r>
                      <w:r>
                        <w:fldChar w:fldCharType="begin"/>
                      </w:r>
                      <w:r>
                        <w:instrText xml:space="preserve"> SEQ Figure \* ARABIC </w:instrText>
                      </w:r>
                      <w:r>
                        <w:fldChar w:fldCharType="separate"/>
                      </w:r>
                      <w:r w:rsidR="00554BE7">
                        <w:t>1</w:t>
                      </w:r>
                      <w:r>
                        <w:fldChar w:fldCharType="end"/>
                      </w:r>
                      <w:r w:rsidR="009B6C95">
                        <w:t>.</w:t>
                      </w:r>
                      <w:r>
                        <w:t xml:space="preserve"> </w:t>
                      </w:r>
                      <w:r w:rsidRPr="00B75284">
                        <w:t>PSC scheme</w:t>
                      </w:r>
                    </w:p>
                  </w:txbxContent>
                </v:textbox>
                <w10:wrap type="topAndBottom"/>
              </v:shape>
            </w:pict>
          </mc:Fallback>
        </mc:AlternateContent>
      </w:r>
      <w:r w:rsidR="003F01B8" w:rsidRPr="003F01B8">
        <w:rPr>
          <w:noProof/>
          <w:lang w:val="en-GB"/>
        </w:rPr>
        <w:t>Our model for COVID-19 vaccine distribution integrates various stages of the supply chain, from manufacturing plants to administration points. Figure 1 showcases the vaccine’s journey through the supply chain. The primary manufacturers echelon involves vaccine synthesis at import locations (i) or manufacturing plants (m), followed by fill-finish plants (f) in the secondary manufacturers echelon. Subsequently, vaccines are stored and distributed through the main and local storage echelons, represented by warehouses (w) and regional stores (r), respectively. The final demand zone echelon includes administration points (c), where the public receives vaccines. Likewise, the variable ”F” indicates the flow of vaccines entering and leaving each entity, which are denoted as variables with the letter ”E”, while the ”Q” is interpreted as the quantity of vaccines transported between the different entities.</w:t>
      </w:r>
      <w:r w:rsidDel="00B40575">
        <w:rPr>
          <w:noProof/>
          <w:lang w:val="en-GB"/>
        </w:rPr>
        <w:t xml:space="preserve"> </w:t>
      </w:r>
    </w:p>
    <w:p w14:paraId="61CF12DD" w14:textId="3E0E1962" w:rsidR="006716D4" w:rsidRDefault="006716D4" w:rsidP="006716D4">
      <w:pPr>
        <w:pStyle w:val="Els-body-text"/>
        <w:spacing w:after="120"/>
        <w:rPr>
          <w:lang w:val="en-GB"/>
        </w:rPr>
      </w:pPr>
      <w:r w:rsidRPr="003F01B8">
        <w:rPr>
          <w:lang w:val="en-GB"/>
        </w:rPr>
        <w:t>Table 1 briefly encapsulates the Pharmaceutical Supply Chain (PSC) model’s components, illustrating the intricate framework designed to optimize the distribution of vaccines. Parameters bring real-world context into the model, grounding it with empirical data such as costs and capacities. Central to the model are the objective functions, which guide the system towards cost efficiency, backlog minimization, and reduced environmental impact. Optimization variables dictate the supply chain’s functionality, while sets categorize the key elements, from manufacturing entities to distribution factors, within a structured matrix</w:t>
      </w:r>
      <w:r>
        <w:rPr>
          <w:lang w:val="en-GB"/>
        </w:rPr>
        <w:t xml:space="preserve">. </w:t>
      </w:r>
      <w:r w:rsidRPr="003F01B8">
        <w:rPr>
          <w:lang w:val="en-GB"/>
        </w:rPr>
        <w:t xml:space="preserve">This integration is key to optimizing the three above mentioned objectives. The use of continuous integer and binary variables in linear constraints results in </w:t>
      </w:r>
      <w:proofErr w:type="gramStart"/>
      <w:r w:rsidRPr="003F01B8">
        <w:rPr>
          <w:lang w:val="en-GB"/>
        </w:rPr>
        <w:t>a</w:t>
      </w:r>
      <w:r w:rsidR="008F36B8">
        <w:rPr>
          <w:lang w:val="en-GB"/>
        </w:rPr>
        <w:t>n</w:t>
      </w:r>
      <w:proofErr w:type="gramEnd"/>
      <w:r w:rsidRPr="003F01B8">
        <w:rPr>
          <w:lang w:val="en-GB"/>
        </w:rPr>
        <w:t xml:space="preserve"> MILP model and </w:t>
      </w:r>
      <w:r w:rsidR="008F36B8">
        <w:rPr>
          <w:lang w:val="en-GB"/>
        </w:rPr>
        <w:t>a</w:t>
      </w:r>
      <w:r w:rsidRPr="003F01B8">
        <w:rPr>
          <w:lang w:val="en-GB"/>
        </w:rPr>
        <w:t xml:space="preserve"> strategy of multi-objective optimization through an enhanced epsilon-constraint approach</w:t>
      </w:r>
      <w:r w:rsidR="008F36B8">
        <w:rPr>
          <w:lang w:val="en-GB"/>
        </w:rPr>
        <w:t xml:space="preserve"> is implemented</w:t>
      </w:r>
      <w:r w:rsidRPr="003F01B8">
        <w:rPr>
          <w:lang w:val="en-GB"/>
        </w:rPr>
        <w:t xml:space="preserve">, as outlined by </w:t>
      </w:r>
      <w:proofErr w:type="spellStart"/>
      <w:r w:rsidRPr="003F01B8">
        <w:rPr>
          <w:lang w:val="en-GB"/>
        </w:rPr>
        <w:t>Mavrotas</w:t>
      </w:r>
      <w:proofErr w:type="spellEnd"/>
      <w:r w:rsidRPr="003F01B8">
        <w:rPr>
          <w:lang w:val="en-GB"/>
        </w:rPr>
        <w:t xml:space="preserve"> (2009) within the GAMS environment.</w:t>
      </w:r>
    </w:p>
    <w:p w14:paraId="18C3EF1C" w14:textId="2FB8BD98" w:rsidR="00CC00BE" w:rsidRDefault="00CC00BE" w:rsidP="006716D4">
      <w:pPr>
        <w:pStyle w:val="Els-body-text"/>
        <w:spacing w:after="120"/>
        <w:rPr>
          <w:lang w:val="en-GB"/>
        </w:rPr>
      </w:pPr>
    </w:p>
    <w:p w14:paraId="5D4E4171" w14:textId="77777777" w:rsidR="00CC00BE" w:rsidRPr="003F01B8" w:rsidRDefault="00CC00BE" w:rsidP="006716D4">
      <w:pPr>
        <w:pStyle w:val="Els-body-text"/>
        <w:spacing w:after="120"/>
        <w:rPr>
          <w:lang w:val="en-GB"/>
        </w:rPr>
      </w:pPr>
    </w:p>
    <w:p w14:paraId="2AE9254D" w14:textId="53E9BBFD" w:rsidR="0025569B" w:rsidRDefault="0025569B" w:rsidP="007E3A82">
      <w:pPr>
        <w:pStyle w:val="Els-body-text"/>
        <w:spacing w:after="120"/>
        <w:jc w:val="left"/>
      </w:pPr>
      <w:r w:rsidRPr="00554BE7">
        <w:rPr>
          <w:szCs w:val="22"/>
        </w:rPr>
        <w:lastRenderedPageBreak/>
        <w:t>Table</w:t>
      </w:r>
      <w:r>
        <w:t xml:space="preserve"> </w:t>
      </w:r>
      <w:r>
        <w:fldChar w:fldCharType="begin"/>
      </w:r>
      <w:r>
        <w:instrText xml:space="preserve"> SEQ Table \* ARABIC </w:instrText>
      </w:r>
      <w:r>
        <w:fldChar w:fldCharType="separate"/>
      </w:r>
      <w:r w:rsidR="00554BE7">
        <w:rPr>
          <w:noProof/>
        </w:rPr>
        <w:t>1</w:t>
      </w:r>
      <w:r>
        <w:fldChar w:fldCharType="end"/>
      </w:r>
      <w:r w:rsidR="009B6C95">
        <w:t>.</w:t>
      </w:r>
      <w:r>
        <w:t xml:space="preserve"> </w:t>
      </w:r>
      <w:r w:rsidRPr="00C5385C">
        <w:t xml:space="preserve">Summary of the PSC </w:t>
      </w:r>
      <w:r w:rsidR="009B6C95">
        <w:t>m</w:t>
      </w:r>
      <w:r w:rsidR="009B6C95" w:rsidRPr="00C5385C">
        <w:t xml:space="preserve">odel </w:t>
      </w:r>
      <w:r w:rsidR="009B6C95">
        <w:t>f</w:t>
      </w:r>
      <w:r w:rsidR="009B6C95" w:rsidRPr="00C5385C">
        <w:t>ramework</w:t>
      </w:r>
    </w:p>
    <w:tbl>
      <w:tblPr>
        <w:tblW w:w="0" w:type="auto"/>
        <w:jc w:val="center"/>
        <w:tblBorders>
          <w:insideH w:val="single" w:sz="4" w:space="0" w:color="auto"/>
        </w:tblBorders>
        <w:tblLayout w:type="fixed"/>
        <w:tblCellMar>
          <w:left w:w="0" w:type="dxa"/>
          <w:right w:w="0" w:type="dxa"/>
        </w:tblCellMar>
        <w:tblLook w:val="01E0" w:firstRow="1" w:lastRow="1" w:firstColumn="1" w:lastColumn="1" w:noHBand="0" w:noVBand="0"/>
      </w:tblPr>
      <w:tblGrid>
        <w:gridCol w:w="2099"/>
        <w:gridCol w:w="2558"/>
        <w:gridCol w:w="2148"/>
      </w:tblGrid>
      <w:tr w:rsidR="003F01B8" w:rsidRPr="009B6C95" w14:paraId="511F9575" w14:textId="77777777" w:rsidTr="007E3A82">
        <w:trPr>
          <w:trHeight w:val="237"/>
          <w:jc w:val="center"/>
        </w:trPr>
        <w:tc>
          <w:tcPr>
            <w:tcW w:w="2099" w:type="dxa"/>
          </w:tcPr>
          <w:p w14:paraId="6C05D8B5" w14:textId="77777777" w:rsidR="003F01B8" w:rsidRPr="0077118C" w:rsidRDefault="003F01B8" w:rsidP="00ED7EC5">
            <w:pPr>
              <w:pStyle w:val="TableParagraph"/>
              <w:spacing w:line="210" w:lineRule="exact"/>
              <w:ind w:left="118"/>
              <w:rPr>
                <w:b/>
                <w:sz w:val="18"/>
              </w:rPr>
            </w:pPr>
            <w:r w:rsidRPr="0077118C">
              <w:rPr>
                <w:b/>
                <w:sz w:val="18"/>
              </w:rPr>
              <w:t>Inputs</w:t>
            </w:r>
          </w:p>
        </w:tc>
        <w:tc>
          <w:tcPr>
            <w:tcW w:w="2558" w:type="dxa"/>
          </w:tcPr>
          <w:p w14:paraId="37578B4B" w14:textId="77777777" w:rsidR="003F01B8" w:rsidRPr="0077118C" w:rsidRDefault="003F01B8" w:rsidP="00ED7EC5">
            <w:pPr>
              <w:pStyle w:val="TableParagraph"/>
              <w:spacing w:line="210" w:lineRule="exact"/>
              <w:ind w:left="118"/>
              <w:rPr>
                <w:b/>
                <w:sz w:val="18"/>
              </w:rPr>
            </w:pPr>
            <w:r w:rsidRPr="0077118C">
              <w:rPr>
                <w:b/>
                <w:sz w:val="18"/>
              </w:rPr>
              <w:t>Optimization</w:t>
            </w:r>
          </w:p>
        </w:tc>
        <w:tc>
          <w:tcPr>
            <w:tcW w:w="2148" w:type="dxa"/>
          </w:tcPr>
          <w:p w14:paraId="348799AF" w14:textId="77777777" w:rsidR="003F01B8" w:rsidRPr="0077118C" w:rsidRDefault="003F01B8" w:rsidP="00ED7EC5">
            <w:pPr>
              <w:pStyle w:val="TableParagraph"/>
              <w:spacing w:line="210" w:lineRule="exact"/>
              <w:ind w:left="118"/>
              <w:rPr>
                <w:b/>
                <w:sz w:val="18"/>
              </w:rPr>
            </w:pPr>
            <w:r w:rsidRPr="0077118C">
              <w:rPr>
                <w:b/>
                <w:sz w:val="18"/>
              </w:rPr>
              <w:t>Outputs</w:t>
            </w:r>
          </w:p>
        </w:tc>
      </w:tr>
      <w:tr w:rsidR="003F01B8" w:rsidRPr="0077118C" w14:paraId="60755F9C" w14:textId="77777777" w:rsidTr="007E3A82">
        <w:trPr>
          <w:trHeight w:val="1671"/>
          <w:jc w:val="center"/>
        </w:trPr>
        <w:tc>
          <w:tcPr>
            <w:tcW w:w="2099" w:type="dxa"/>
          </w:tcPr>
          <w:p w14:paraId="43B57CE6" w14:textId="77777777" w:rsidR="003F01B8" w:rsidRPr="0077118C" w:rsidRDefault="003F01B8" w:rsidP="00ED7EC5">
            <w:pPr>
              <w:pStyle w:val="TableParagraph"/>
              <w:spacing w:line="210" w:lineRule="exact"/>
              <w:ind w:left="118"/>
              <w:rPr>
                <w:i/>
                <w:sz w:val="18"/>
              </w:rPr>
            </w:pPr>
            <w:r w:rsidRPr="0077118C">
              <w:rPr>
                <w:i/>
                <w:sz w:val="18"/>
              </w:rPr>
              <w:t>Sets:</w:t>
            </w:r>
          </w:p>
          <w:p w14:paraId="248563C4" w14:textId="77777777" w:rsidR="003F01B8" w:rsidRPr="0077118C" w:rsidRDefault="003F01B8" w:rsidP="003F01B8">
            <w:pPr>
              <w:pStyle w:val="TableParagraph"/>
              <w:numPr>
                <w:ilvl w:val="0"/>
                <w:numId w:val="24"/>
              </w:numPr>
              <w:tabs>
                <w:tab w:val="left" w:pos="235"/>
              </w:tabs>
              <w:spacing w:before="9"/>
              <w:rPr>
                <w:sz w:val="18"/>
              </w:rPr>
            </w:pPr>
            <w:r w:rsidRPr="0077118C">
              <w:rPr>
                <w:sz w:val="18"/>
              </w:rPr>
              <w:t>Manufacturing</w:t>
            </w:r>
            <w:r w:rsidRPr="0077118C">
              <w:rPr>
                <w:spacing w:val="-5"/>
                <w:sz w:val="18"/>
              </w:rPr>
              <w:t xml:space="preserve"> </w:t>
            </w:r>
            <w:r w:rsidRPr="0077118C">
              <w:rPr>
                <w:sz w:val="18"/>
              </w:rPr>
              <w:t>plants</w:t>
            </w:r>
          </w:p>
          <w:p w14:paraId="2C51125F" w14:textId="77777777" w:rsidR="003F01B8" w:rsidRPr="0077118C" w:rsidRDefault="003F01B8" w:rsidP="003F01B8">
            <w:pPr>
              <w:pStyle w:val="TableParagraph"/>
              <w:numPr>
                <w:ilvl w:val="0"/>
                <w:numId w:val="24"/>
              </w:numPr>
              <w:tabs>
                <w:tab w:val="left" w:pos="235"/>
              </w:tabs>
              <w:spacing w:before="9"/>
              <w:rPr>
                <w:sz w:val="18"/>
              </w:rPr>
            </w:pPr>
            <w:r w:rsidRPr="0077118C">
              <w:rPr>
                <w:sz w:val="18"/>
              </w:rPr>
              <w:t>Fill-finish</w:t>
            </w:r>
            <w:r w:rsidRPr="0077118C">
              <w:rPr>
                <w:spacing w:val="-9"/>
                <w:sz w:val="18"/>
              </w:rPr>
              <w:t xml:space="preserve"> </w:t>
            </w:r>
            <w:r w:rsidRPr="0077118C">
              <w:rPr>
                <w:sz w:val="18"/>
              </w:rPr>
              <w:t>facilities</w:t>
            </w:r>
          </w:p>
          <w:p w14:paraId="3D3A9AE2" w14:textId="77777777" w:rsidR="003F01B8" w:rsidRPr="0077118C" w:rsidRDefault="003F01B8" w:rsidP="003F01B8">
            <w:pPr>
              <w:pStyle w:val="TableParagraph"/>
              <w:numPr>
                <w:ilvl w:val="0"/>
                <w:numId w:val="24"/>
              </w:numPr>
              <w:tabs>
                <w:tab w:val="left" w:pos="235"/>
              </w:tabs>
              <w:spacing w:before="9"/>
              <w:rPr>
                <w:sz w:val="18"/>
              </w:rPr>
            </w:pPr>
            <w:r w:rsidRPr="0077118C">
              <w:rPr>
                <w:sz w:val="18"/>
              </w:rPr>
              <w:t>Distribution</w:t>
            </w:r>
            <w:r w:rsidRPr="0077118C">
              <w:rPr>
                <w:spacing w:val="-6"/>
                <w:sz w:val="18"/>
              </w:rPr>
              <w:t xml:space="preserve"> </w:t>
            </w:r>
            <w:r w:rsidRPr="0077118C">
              <w:rPr>
                <w:sz w:val="18"/>
              </w:rPr>
              <w:t>centers</w:t>
            </w:r>
          </w:p>
          <w:p w14:paraId="0C5497D0" w14:textId="77777777" w:rsidR="003F01B8" w:rsidRPr="0077118C" w:rsidRDefault="003F01B8" w:rsidP="003F01B8">
            <w:pPr>
              <w:pStyle w:val="TableParagraph"/>
              <w:numPr>
                <w:ilvl w:val="0"/>
                <w:numId w:val="24"/>
              </w:numPr>
              <w:tabs>
                <w:tab w:val="left" w:pos="235"/>
              </w:tabs>
              <w:spacing w:before="9"/>
              <w:rPr>
                <w:sz w:val="18"/>
              </w:rPr>
            </w:pPr>
            <w:r w:rsidRPr="0077118C">
              <w:rPr>
                <w:sz w:val="18"/>
              </w:rPr>
              <w:t>Administration</w:t>
            </w:r>
            <w:r w:rsidRPr="0077118C">
              <w:rPr>
                <w:spacing w:val="-4"/>
                <w:sz w:val="18"/>
              </w:rPr>
              <w:t xml:space="preserve"> </w:t>
            </w:r>
            <w:r w:rsidRPr="0077118C">
              <w:rPr>
                <w:sz w:val="18"/>
              </w:rPr>
              <w:t>points</w:t>
            </w:r>
          </w:p>
          <w:p w14:paraId="2450B386" w14:textId="77777777" w:rsidR="003F01B8" w:rsidRPr="0077118C" w:rsidRDefault="003F01B8" w:rsidP="003F01B8">
            <w:pPr>
              <w:pStyle w:val="TableParagraph"/>
              <w:numPr>
                <w:ilvl w:val="0"/>
                <w:numId w:val="24"/>
              </w:numPr>
              <w:tabs>
                <w:tab w:val="left" w:pos="235"/>
              </w:tabs>
              <w:spacing w:before="9"/>
              <w:rPr>
                <w:sz w:val="18"/>
              </w:rPr>
            </w:pPr>
            <w:r w:rsidRPr="0077118C">
              <w:rPr>
                <w:sz w:val="18"/>
              </w:rPr>
              <w:t>Time</w:t>
            </w:r>
            <w:r w:rsidRPr="0077118C">
              <w:rPr>
                <w:spacing w:val="-5"/>
                <w:sz w:val="18"/>
              </w:rPr>
              <w:t xml:space="preserve"> </w:t>
            </w:r>
            <w:r w:rsidRPr="0077118C">
              <w:rPr>
                <w:sz w:val="18"/>
              </w:rPr>
              <w:t>periods</w:t>
            </w:r>
            <w:r w:rsidRPr="0077118C">
              <w:rPr>
                <w:spacing w:val="-5"/>
                <w:sz w:val="18"/>
              </w:rPr>
              <w:t xml:space="preserve"> </w:t>
            </w:r>
            <w:r w:rsidRPr="0077118C">
              <w:rPr>
                <w:sz w:val="18"/>
              </w:rPr>
              <w:t>(weeks)</w:t>
            </w:r>
          </w:p>
        </w:tc>
        <w:tc>
          <w:tcPr>
            <w:tcW w:w="2558" w:type="dxa"/>
          </w:tcPr>
          <w:p w14:paraId="4703CE8E" w14:textId="77777777" w:rsidR="003F01B8" w:rsidRPr="0077118C" w:rsidRDefault="003F01B8" w:rsidP="00ED7EC5">
            <w:pPr>
              <w:pStyle w:val="TableParagraph"/>
              <w:spacing w:line="210" w:lineRule="exact"/>
              <w:ind w:left="118"/>
              <w:rPr>
                <w:i/>
                <w:sz w:val="18"/>
              </w:rPr>
            </w:pPr>
            <w:r w:rsidRPr="0077118C">
              <w:rPr>
                <w:i/>
                <w:sz w:val="18"/>
              </w:rPr>
              <w:t>Constraints:</w:t>
            </w:r>
          </w:p>
          <w:p w14:paraId="7818043C" w14:textId="77777777" w:rsidR="003F01B8" w:rsidRPr="0077118C" w:rsidRDefault="003F01B8" w:rsidP="003F01B8">
            <w:pPr>
              <w:pStyle w:val="TableParagraph"/>
              <w:numPr>
                <w:ilvl w:val="0"/>
                <w:numId w:val="23"/>
              </w:numPr>
              <w:tabs>
                <w:tab w:val="left" w:pos="235"/>
              </w:tabs>
              <w:spacing w:before="9"/>
              <w:rPr>
                <w:sz w:val="18"/>
              </w:rPr>
            </w:pPr>
            <w:r w:rsidRPr="0077118C">
              <w:rPr>
                <w:sz w:val="18"/>
              </w:rPr>
              <w:t>Supply</w:t>
            </w:r>
            <w:r w:rsidRPr="0077118C">
              <w:rPr>
                <w:spacing w:val="-10"/>
                <w:sz w:val="18"/>
              </w:rPr>
              <w:t xml:space="preserve"> </w:t>
            </w:r>
            <w:r w:rsidRPr="0077118C">
              <w:rPr>
                <w:sz w:val="18"/>
              </w:rPr>
              <w:t>flow</w:t>
            </w:r>
            <w:r w:rsidRPr="0077118C">
              <w:rPr>
                <w:spacing w:val="-9"/>
                <w:sz w:val="18"/>
              </w:rPr>
              <w:t xml:space="preserve"> </w:t>
            </w:r>
            <w:r w:rsidRPr="0077118C">
              <w:rPr>
                <w:sz w:val="18"/>
              </w:rPr>
              <w:t>conservation</w:t>
            </w:r>
          </w:p>
          <w:p w14:paraId="4C676C28" w14:textId="77777777" w:rsidR="003F01B8" w:rsidRPr="0077118C" w:rsidRDefault="003F01B8" w:rsidP="003F01B8">
            <w:pPr>
              <w:pStyle w:val="TableParagraph"/>
              <w:numPr>
                <w:ilvl w:val="0"/>
                <w:numId w:val="23"/>
              </w:numPr>
              <w:tabs>
                <w:tab w:val="left" w:pos="235"/>
              </w:tabs>
              <w:spacing w:before="9"/>
              <w:rPr>
                <w:sz w:val="18"/>
              </w:rPr>
            </w:pPr>
            <w:r w:rsidRPr="0077118C">
              <w:rPr>
                <w:sz w:val="18"/>
              </w:rPr>
              <w:t>Capacity</w:t>
            </w:r>
            <w:r w:rsidRPr="0077118C">
              <w:rPr>
                <w:spacing w:val="-4"/>
                <w:sz w:val="18"/>
              </w:rPr>
              <w:t xml:space="preserve"> </w:t>
            </w:r>
            <w:r w:rsidRPr="0077118C">
              <w:rPr>
                <w:sz w:val="18"/>
              </w:rPr>
              <w:t>limitations</w:t>
            </w:r>
          </w:p>
          <w:p w14:paraId="36AD05D6" w14:textId="77777777" w:rsidR="003F01B8" w:rsidRPr="0077118C" w:rsidRDefault="003F01B8" w:rsidP="003F01B8">
            <w:pPr>
              <w:pStyle w:val="TableParagraph"/>
              <w:numPr>
                <w:ilvl w:val="0"/>
                <w:numId w:val="23"/>
              </w:numPr>
              <w:tabs>
                <w:tab w:val="left" w:pos="235"/>
              </w:tabs>
              <w:spacing w:before="9"/>
              <w:rPr>
                <w:sz w:val="18"/>
              </w:rPr>
            </w:pPr>
            <w:r w:rsidRPr="0077118C">
              <w:rPr>
                <w:sz w:val="18"/>
              </w:rPr>
              <w:t>Inventory</w:t>
            </w:r>
            <w:r w:rsidRPr="0077118C">
              <w:rPr>
                <w:spacing w:val="-8"/>
                <w:sz w:val="18"/>
              </w:rPr>
              <w:t xml:space="preserve"> </w:t>
            </w:r>
            <w:r w:rsidRPr="0077118C">
              <w:rPr>
                <w:sz w:val="18"/>
              </w:rPr>
              <w:t>bounds</w:t>
            </w:r>
          </w:p>
          <w:p w14:paraId="26C5AB46" w14:textId="77777777" w:rsidR="003F01B8" w:rsidRPr="0077118C" w:rsidRDefault="003F01B8" w:rsidP="003F01B8">
            <w:pPr>
              <w:pStyle w:val="TableParagraph"/>
              <w:numPr>
                <w:ilvl w:val="0"/>
                <w:numId w:val="23"/>
              </w:numPr>
              <w:tabs>
                <w:tab w:val="left" w:pos="235"/>
              </w:tabs>
              <w:spacing w:before="9"/>
              <w:rPr>
                <w:sz w:val="18"/>
              </w:rPr>
            </w:pPr>
            <w:r w:rsidRPr="0077118C">
              <w:rPr>
                <w:sz w:val="18"/>
              </w:rPr>
              <w:t>Transportation</w:t>
            </w:r>
            <w:r w:rsidRPr="0077118C">
              <w:rPr>
                <w:spacing w:val="-7"/>
                <w:sz w:val="18"/>
              </w:rPr>
              <w:t xml:space="preserve"> </w:t>
            </w:r>
            <w:r w:rsidRPr="0077118C">
              <w:rPr>
                <w:sz w:val="18"/>
              </w:rPr>
              <w:t>logistics</w:t>
            </w:r>
          </w:p>
          <w:p w14:paraId="08486FAE" w14:textId="77777777" w:rsidR="003F01B8" w:rsidRPr="0077118C" w:rsidRDefault="003F01B8" w:rsidP="003F01B8">
            <w:pPr>
              <w:pStyle w:val="TableParagraph"/>
              <w:numPr>
                <w:ilvl w:val="0"/>
                <w:numId w:val="23"/>
              </w:numPr>
              <w:tabs>
                <w:tab w:val="left" w:pos="235"/>
              </w:tabs>
              <w:spacing w:before="9"/>
              <w:rPr>
                <w:sz w:val="18"/>
              </w:rPr>
            </w:pPr>
            <w:r w:rsidRPr="0077118C">
              <w:rPr>
                <w:sz w:val="18"/>
              </w:rPr>
              <w:t>Service</w:t>
            </w:r>
            <w:r w:rsidRPr="0077118C">
              <w:rPr>
                <w:spacing w:val="-6"/>
                <w:sz w:val="18"/>
              </w:rPr>
              <w:t xml:space="preserve"> </w:t>
            </w:r>
            <w:r w:rsidRPr="0077118C">
              <w:rPr>
                <w:sz w:val="18"/>
              </w:rPr>
              <w:t>level</w:t>
            </w:r>
            <w:r w:rsidRPr="0077118C">
              <w:rPr>
                <w:spacing w:val="-6"/>
                <w:sz w:val="18"/>
              </w:rPr>
              <w:t xml:space="preserve"> </w:t>
            </w:r>
            <w:r w:rsidRPr="0077118C">
              <w:rPr>
                <w:sz w:val="18"/>
              </w:rPr>
              <w:t>requirements</w:t>
            </w:r>
          </w:p>
        </w:tc>
        <w:tc>
          <w:tcPr>
            <w:tcW w:w="2148" w:type="dxa"/>
          </w:tcPr>
          <w:p w14:paraId="5DF1121E" w14:textId="77777777" w:rsidR="003F01B8" w:rsidRPr="0077118C" w:rsidRDefault="003F01B8" w:rsidP="00ED7EC5">
            <w:pPr>
              <w:pStyle w:val="TableParagraph"/>
              <w:spacing w:line="210" w:lineRule="exact"/>
              <w:ind w:left="118"/>
              <w:rPr>
                <w:i/>
                <w:sz w:val="18"/>
              </w:rPr>
            </w:pPr>
            <w:r w:rsidRPr="0077118C">
              <w:rPr>
                <w:i/>
                <w:spacing w:val="-1"/>
                <w:sz w:val="18"/>
              </w:rPr>
              <w:t>Optimization</w:t>
            </w:r>
            <w:r w:rsidRPr="0077118C">
              <w:rPr>
                <w:i/>
                <w:spacing w:val="-9"/>
                <w:sz w:val="18"/>
              </w:rPr>
              <w:t xml:space="preserve"> </w:t>
            </w:r>
            <w:r w:rsidRPr="0077118C">
              <w:rPr>
                <w:i/>
                <w:sz w:val="18"/>
              </w:rPr>
              <w:t>Variables:</w:t>
            </w:r>
          </w:p>
          <w:p w14:paraId="0450F3AD" w14:textId="77777777" w:rsidR="003F01B8" w:rsidRPr="0077118C" w:rsidRDefault="003F01B8" w:rsidP="003F01B8">
            <w:pPr>
              <w:pStyle w:val="TableParagraph"/>
              <w:numPr>
                <w:ilvl w:val="0"/>
                <w:numId w:val="22"/>
              </w:numPr>
              <w:tabs>
                <w:tab w:val="left" w:pos="235"/>
              </w:tabs>
              <w:spacing w:before="9"/>
              <w:rPr>
                <w:sz w:val="18"/>
              </w:rPr>
            </w:pPr>
            <w:r w:rsidRPr="0077118C">
              <w:rPr>
                <w:spacing w:val="-1"/>
                <w:sz w:val="18"/>
              </w:rPr>
              <w:t>Vaccine</w:t>
            </w:r>
            <w:r w:rsidRPr="0077118C">
              <w:rPr>
                <w:spacing w:val="-10"/>
                <w:sz w:val="18"/>
              </w:rPr>
              <w:t xml:space="preserve"> </w:t>
            </w:r>
            <w:r w:rsidRPr="0077118C">
              <w:rPr>
                <w:sz w:val="18"/>
              </w:rPr>
              <w:t>quantities</w:t>
            </w:r>
          </w:p>
          <w:p w14:paraId="30A0E11B" w14:textId="77777777" w:rsidR="003F01B8" w:rsidRPr="0077118C" w:rsidRDefault="003F01B8" w:rsidP="003F01B8">
            <w:pPr>
              <w:pStyle w:val="TableParagraph"/>
              <w:numPr>
                <w:ilvl w:val="0"/>
                <w:numId w:val="22"/>
              </w:numPr>
              <w:tabs>
                <w:tab w:val="left" w:pos="235"/>
              </w:tabs>
              <w:spacing w:before="9"/>
              <w:rPr>
                <w:sz w:val="18"/>
              </w:rPr>
            </w:pPr>
            <w:r w:rsidRPr="0077118C">
              <w:rPr>
                <w:sz w:val="18"/>
              </w:rPr>
              <w:t>Associated</w:t>
            </w:r>
            <w:r w:rsidRPr="0077118C">
              <w:rPr>
                <w:spacing w:val="-3"/>
                <w:sz w:val="18"/>
              </w:rPr>
              <w:t xml:space="preserve"> </w:t>
            </w:r>
            <w:r w:rsidRPr="0077118C">
              <w:rPr>
                <w:sz w:val="18"/>
              </w:rPr>
              <w:t>costs</w:t>
            </w:r>
          </w:p>
          <w:p w14:paraId="26E8978F" w14:textId="77777777" w:rsidR="003F01B8" w:rsidRPr="0077118C" w:rsidRDefault="003F01B8" w:rsidP="003F01B8">
            <w:pPr>
              <w:pStyle w:val="TableParagraph"/>
              <w:numPr>
                <w:ilvl w:val="0"/>
                <w:numId w:val="22"/>
              </w:numPr>
              <w:tabs>
                <w:tab w:val="left" w:pos="235"/>
              </w:tabs>
              <w:spacing w:before="9"/>
              <w:rPr>
                <w:sz w:val="18"/>
              </w:rPr>
            </w:pPr>
            <w:r w:rsidRPr="0077118C">
              <w:rPr>
                <w:sz w:val="18"/>
              </w:rPr>
              <w:t>Emission</w:t>
            </w:r>
            <w:r w:rsidRPr="0077118C">
              <w:rPr>
                <w:spacing w:val="-4"/>
                <w:sz w:val="18"/>
              </w:rPr>
              <w:t xml:space="preserve"> </w:t>
            </w:r>
            <w:r w:rsidRPr="0077118C">
              <w:rPr>
                <w:sz w:val="18"/>
              </w:rPr>
              <w:t>metrics</w:t>
            </w:r>
          </w:p>
          <w:p w14:paraId="161D389A" w14:textId="77777777" w:rsidR="00190810" w:rsidRPr="0077118C" w:rsidRDefault="00190810" w:rsidP="00ED7EC5">
            <w:pPr>
              <w:pStyle w:val="TableParagraph"/>
              <w:spacing w:before="7"/>
              <w:ind w:left="0"/>
              <w:rPr>
                <w:sz w:val="18"/>
              </w:rPr>
            </w:pPr>
          </w:p>
          <w:p w14:paraId="79B59763" w14:textId="77777777" w:rsidR="003F01B8" w:rsidRPr="0077118C" w:rsidRDefault="003F01B8" w:rsidP="00ED7EC5">
            <w:pPr>
              <w:pStyle w:val="TableParagraph"/>
              <w:ind w:left="118"/>
              <w:rPr>
                <w:i/>
                <w:sz w:val="18"/>
              </w:rPr>
            </w:pPr>
            <w:r w:rsidRPr="0077118C">
              <w:rPr>
                <w:i/>
                <w:sz w:val="18"/>
              </w:rPr>
              <w:t>Network</w:t>
            </w:r>
            <w:r w:rsidRPr="0077118C">
              <w:rPr>
                <w:i/>
                <w:spacing w:val="-10"/>
                <w:sz w:val="18"/>
              </w:rPr>
              <w:t xml:space="preserve"> </w:t>
            </w:r>
            <w:r w:rsidRPr="0077118C">
              <w:rPr>
                <w:i/>
                <w:sz w:val="18"/>
              </w:rPr>
              <w:t>Configuration:</w:t>
            </w:r>
          </w:p>
          <w:p w14:paraId="467DBAD5" w14:textId="77777777" w:rsidR="003F01B8" w:rsidRPr="0077118C" w:rsidRDefault="003F01B8" w:rsidP="003F01B8">
            <w:pPr>
              <w:pStyle w:val="TableParagraph"/>
              <w:numPr>
                <w:ilvl w:val="0"/>
                <w:numId w:val="22"/>
              </w:numPr>
              <w:tabs>
                <w:tab w:val="left" w:pos="235"/>
              </w:tabs>
              <w:spacing w:before="9"/>
              <w:rPr>
                <w:sz w:val="18"/>
              </w:rPr>
            </w:pPr>
            <w:r w:rsidRPr="0077118C">
              <w:rPr>
                <w:sz w:val="18"/>
              </w:rPr>
              <w:t>Supply</w:t>
            </w:r>
            <w:r w:rsidRPr="0077118C">
              <w:rPr>
                <w:spacing w:val="-3"/>
                <w:sz w:val="18"/>
              </w:rPr>
              <w:t xml:space="preserve"> </w:t>
            </w:r>
            <w:r w:rsidRPr="0077118C">
              <w:rPr>
                <w:sz w:val="18"/>
              </w:rPr>
              <w:t>chain</w:t>
            </w:r>
            <w:r w:rsidRPr="0077118C">
              <w:rPr>
                <w:spacing w:val="-3"/>
                <w:sz w:val="18"/>
              </w:rPr>
              <w:t xml:space="preserve"> </w:t>
            </w:r>
            <w:r w:rsidRPr="0077118C">
              <w:rPr>
                <w:sz w:val="18"/>
              </w:rPr>
              <w:t>structure</w:t>
            </w:r>
          </w:p>
        </w:tc>
      </w:tr>
      <w:tr w:rsidR="003F01B8" w:rsidRPr="0077118C" w14:paraId="7A540255" w14:textId="77777777" w:rsidTr="007E3A82">
        <w:trPr>
          <w:trHeight w:val="1432"/>
          <w:jc w:val="center"/>
        </w:trPr>
        <w:tc>
          <w:tcPr>
            <w:tcW w:w="2099" w:type="dxa"/>
          </w:tcPr>
          <w:p w14:paraId="11E1C289" w14:textId="77777777" w:rsidR="003F01B8" w:rsidRPr="0077118C" w:rsidRDefault="003F01B8" w:rsidP="00ED7EC5">
            <w:pPr>
              <w:pStyle w:val="TableParagraph"/>
              <w:spacing w:line="210" w:lineRule="exact"/>
              <w:ind w:left="118"/>
              <w:rPr>
                <w:i/>
                <w:sz w:val="18"/>
              </w:rPr>
            </w:pPr>
            <w:r w:rsidRPr="0077118C">
              <w:rPr>
                <w:i/>
                <w:sz w:val="18"/>
              </w:rPr>
              <w:t>Parameters:</w:t>
            </w:r>
          </w:p>
          <w:p w14:paraId="1CF0B399" w14:textId="77777777" w:rsidR="003F01B8" w:rsidRPr="0077118C" w:rsidRDefault="003F01B8" w:rsidP="003F01B8">
            <w:pPr>
              <w:pStyle w:val="TableParagraph"/>
              <w:numPr>
                <w:ilvl w:val="0"/>
                <w:numId w:val="21"/>
              </w:numPr>
              <w:tabs>
                <w:tab w:val="left" w:pos="235"/>
              </w:tabs>
              <w:spacing w:before="9"/>
              <w:rPr>
                <w:sz w:val="18"/>
              </w:rPr>
            </w:pPr>
            <w:r w:rsidRPr="0077118C">
              <w:rPr>
                <w:sz w:val="18"/>
              </w:rPr>
              <w:t>Cost</w:t>
            </w:r>
            <w:r w:rsidRPr="0077118C">
              <w:rPr>
                <w:spacing w:val="-4"/>
                <w:sz w:val="18"/>
              </w:rPr>
              <w:t xml:space="preserve"> </w:t>
            </w:r>
            <w:r w:rsidRPr="0077118C">
              <w:rPr>
                <w:sz w:val="18"/>
              </w:rPr>
              <w:t>factors</w:t>
            </w:r>
          </w:p>
          <w:p w14:paraId="5926C667" w14:textId="77777777" w:rsidR="003F01B8" w:rsidRPr="0077118C" w:rsidRDefault="003F01B8" w:rsidP="003F01B8">
            <w:pPr>
              <w:pStyle w:val="TableParagraph"/>
              <w:numPr>
                <w:ilvl w:val="0"/>
                <w:numId w:val="21"/>
              </w:numPr>
              <w:tabs>
                <w:tab w:val="left" w:pos="235"/>
              </w:tabs>
              <w:spacing w:before="9"/>
              <w:rPr>
                <w:sz w:val="18"/>
              </w:rPr>
            </w:pPr>
            <w:r w:rsidRPr="0077118C">
              <w:rPr>
                <w:sz w:val="18"/>
              </w:rPr>
              <w:t>Capacity</w:t>
            </w:r>
            <w:r w:rsidRPr="0077118C">
              <w:rPr>
                <w:spacing w:val="-4"/>
                <w:sz w:val="18"/>
              </w:rPr>
              <w:t xml:space="preserve"> </w:t>
            </w:r>
            <w:r w:rsidRPr="0077118C">
              <w:rPr>
                <w:sz w:val="18"/>
              </w:rPr>
              <w:t>constraints</w:t>
            </w:r>
          </w:p>
          <w:p w14:paraId="3F9644BF" w14:textId="77777777" w:rsidR="003F01B8" w:rsidRPr="0077118C" w:rsidRDefault="003F01B8" w:rsidP="003F01B8">
            <w:pPr>
              <w:pStyle w:val="TableParagraph"/>
              <w:numPr>
                <w:ilvl w:val="0"/>
                <w:numId w:val="21"/>
              </w:numPr>
              <w:tabs>
                <w:tab w:val="left" w:pos="235"/>
              </w:tabs>
              <w:spacing w:before="9"/>
              <w:rPr>
                <w:sz w:val="18"/>
              </w:rPr>
            </w:pPr>
            <w:r w:rsidRPr="0077118C">
              <w:rPr>
                <w:sz w:val="18"/>
              </w:rPr>
              <w:t>Distance</w:t>
            </w:r>
            <w:r w:rsidRPr="0077118C">
              <w:rPr>
                <w:spacing w:val="-6"/>
                <w:sz w:val="18"/>
              </w:rPr>
              <w:t xml:space="preserve"> </w:t>
            </w:r>
            <w:r w:rsidRPr="0077118C">
              <w:rPr>
                <w:sz w:val="18"/>
              </w:rPr>
              <w:t>matrices</w:t>
            </w:r>
          </w:p>
          <w:p w14:paraId="02D81960" w14:textId="77777777" w:rsidR="003F01B8" w:rsidRPr="0077118C" w:rsidRDefault="003F01B8" w:rsidP="003F01B8">
            <w:pPr>
              <w:pStyle w:val="TableParagraph"/>
              <w:numPr>
                <w:ilvl w:val="0"/>
                <w:numId w:val="21"/>
              </w:numPr>
              <w:tabs>
                <w:tab w:val="left" w:pos="235"/>
              </w:tabs>
              <w:spacing w:before="9"/>
              <w:rPr>
                <w:sz w:val="18"/>
              </w:rPr>
            </w:pPr>
            <w:r w:rsidRPr="0077118C">
              <w:rPr>
                <w:sz w:val="18"/>
              </w:rPr>
              <w:t>Demand</w:t>
            </w:r>
            <w:r w:rsidRPr="0077118C">
              <w:rPr>
                <w:spacing w:val="-7"/>
                <w:sz w:val="18"/>
              </w:rPr>
              <w:t xml:space="preserve"> </w:t>
            </w:r>
            <w:r w:rsidRPr="0077118C">
              <w:rPr>
                <w:sz w:val="18"/>
              </w:rPr>
              <w:t>forecasts</w:t>
            </w:r>
          </w:p>
          <w:p w14:paraId="37521E04" w14:textId="77777777" w:rsidR="003F01B8" w:rsidRPr="0077118C" w:rsidRDefault="003F01B8" w:rsidP="003F01B8">
            <w:pPr>
              <w:pStyle w:val="TableParagraph"/>
              <w:numPr>
                <w:ilvl w:val="0"/>
                <w:numId w:val="21"/>
              </w:numPr>
              <w:tabs>
                <w:tab w:val="left" w:pos="235"/>
              </w:tabs>
              <w:spacing w:before="9"/>
              <w:rPr>
                <w:sz w:val="18"/>
              </w:rPr>
            </w:pPr>
            <w:r w:rsidRPr="0077118C">
              <w:rPr>
                <w:sz w:val="18"/>
              </w:rPr>
              <w:t>CO</w:t>
            </w:r>
            <w:r w:rsidRPr="00474D19">
              <w:rPr>
                <w:sz w:val="18"/>
                <w:vertAlign w:val="subscript"/>
              </w:rPr>
              <w:t>2</w:t>
            </w:r>
            <w:r w:rsidRPr="0077118C">
              <w:rPr>
                <w:spacing w:val="-3"/>
                <w:sz w:val="18"/>
              </w:rPr>
              <w:t xml:space="preserve"> </w:t>
            </w:r>
            <w:r w:rsidRPr="0077118C">
              <w:rPr>
                <w:sz w:val="18"/>
              </w:rPr>
              <w:t>emissions</w:t>
            </w:r>
          </w:p>
        </w:tc>
        <w:tc>
          <w:tcPr>
            <w:tcW w:w="2558" w:type="dxa"/>
          </w:tcPr>
          <w:p w14:paraId="64564463" w14:textId="77777777" w:rsidR="003F01B8" w:rsidRPr="0077118C" w:rsidRDefault="003F01B8" w:rsidP="00ED7EC5">
            <w:pPr>
              <w:pStyle w:val="TableParagraph"/>
              <w:spacing w:line="210" w:lineRule="exact"/>
              <w:ind w:left="118"/>
              <w:rPr>
                <w:i/>
                <w:sz w:val="18"/>
              </w:rPr>
            </w:pPr>
            <w:r w:rsidRPr="0077118C">
              <w:rPr>
                <w:i/>
                <w:sz w:val="18"/>
              </w:rPr>
              <w:t>Objective</w:t>
            </w:r>
            <w:r w:rsidRPr="0077118C">
              <w:rPr>
                <w:i/>
                <w:spacing w:val="-7"/>
                <w:sz w:val="18"/>
              </w:rPr>
              <w:t xml:space="preserve"> </w:t>
            </w:r>
            <w:r w:rsidRPr="0077118C">
              <w:rPr>
                <w:i/>
                <w:sz w:val="18"/>
              </w:rPr>
              <w:t>Functions:</w:t>
            </w:r>
          </w:p>
          <w:p w14:paraId="5C8A7F00" w14:textId="77777777" w:rsidR="003F01B8" w:rsidRPr="0077118C" w:rsidRDefault="003F01B8" w:rsidP="003F01B8">
            <w:pPr>
              <w:pStyle w:val="TableParagraph"/>
              <w:numPr>
                <w:ilvl w:val="0"/>
                <w:numId w:val="20"/>
              </w:numPr>
              <w:tabs>
                <w:tab w:val="left" w:pos="235"/>
              </w:tabs>
              <w:spacing w:before="9"/>
              <w:rPr>
                <w:sz w:val="18"/>
              </w:rPr>
            </w:pPr>
            <w:r w:rsidRPr="0077118C">
              <w:rPr>
                <w:sz w:val="18"/>
              </w:rPr>
              <w:t>Minimizing</w:t>
            </w:r>
            <w:r w:rsidRPr="0077118C">
              <w:rPr>
                <w:spacing w:val="-6"/>
                <w:sz w:val="18"/>
              </w:rPr>
              <w:t xml:space="preserve"> </w:t>
            </w:r>
            <w:r w:rsidRPr="0077118C">
              <w:rPr>
                <w:sz w:val="18"/>
              </w:rPr>
              <w:t>cost</w:t>
            </w:r>
          </w:p>
          <w:p w14:paraId="48371890" w14:textId="77777777" w:rsidR="003F01B8" w:rsidRPr="0077118C" w:rsidRDefault="003F01B8" w:rsidP="003F01B8">
            <w:pPr>
              <w:pStyle w:val="TableParagraph"/>
              <w:numPr>
                <w:ilvl w:val="0"/>
                <w:numId w:val="20"/>
              </w:numPr>
              <w:tabs>
                <w:tab w:val="left" w:pos="235"/>
              </w:tabs>
              <w:spacing w:before="9"/>
              <w:rPr>
                <w:sz w:val="18"/>
              </w:rPr>
            </w:pPr>
            <w:r w:rsidRPr="0077118C">
              <w:rPr>
                <w:sz w:val="18"/>
              </w:rPr>
              <w:t>Minimizing</w:t>
            </w:r>
            <w:r w:rsidRPr="0077118C">
              <w:rPr>
                <w:spacing w:val="-4"/>
                <w:sz w:val="18"/>
              </w:rPr>
              <w:t xml:space="preserve"> </w:t>
            </w:r>
            <w:r w:rsidRPr="0077118C">
              <w:rPr>
                <w:sz w:val="18"/>
              </w:rPr>
              <w:t>backlog</w:t>
            </w:r>
          </w:p>
          <w:p w14:paraId="04B625EE" w14:textId="77777777" w:rsidR="003F01B8" w:rsidRPr="0077118C" w:rsidRDefault="003F01B8" w:rsidP="003F01B8">
            <w:pPr>
              <w:pStyle w:val="TableParagraph"/>
              <w:numPr>
                <w:ilvl w:val="0"/>
                <w:numId w:val="20"/>
              </w:numPr>
              <w:tabs>
                <w:tab w:val="left" w:pos="235"/>
              </w:tabs>
              <w:spacing w:before="9"/>
              <w:rPr>
                <w:sz w:val="18"/>
              </w:rPr>
            </w:pPr>
            <w:r w:rsidRPr="0077118C">
              <w:rPr>
                <w:sz w:val="18"/>
              </w:rPr>
              <w:t>Minimizing</w:t>
            </w:r>
            <w:r w:rsidRPr="0077118C">
              <w:rPr>
                <w:spacing w:val="-4"/>
                <w:sz w:val="18"/>
              </w:rPr>
              <w:t xml:space="preserve"> </w:t>
            </w:r>
            <w:r w:rsidRPr="0077118C">
              <w:rPr>
                <w:sz w:val="18"/>
              </w:rPr>
              <w:t>CO</w:t>
            </w:r>
            <w:r w:rsidRPr="00474D19">
              <w:rPr>
                <w:sz w:val="18"/>
                <w:vertAlign w:val="subscript"/>
              </w:rPr>
              <w:t>2</w:t>
            </w:r>
            <w:r w:rsidRPr="0077118C">
              <w:rPr>
                <w:spacing w:val="-3"/>
                <w:sz w:val="18"/>
              </w:rPr>
              <w:t xml:space="preserve"> </w:t>
            </w:r>
            <w:r w:rsidRPr="0077118C">
              <w:rPr>
                <w:sz w:val="18"/>
              </w:rPr>
              <w:t>emissions</w:t>
            </w:r>
          </w:p>
        </w:tc>
        <w:tc>
          <w:tcPr>
            <w:tcW w:w="2148" w:type="dxa"/>
          </w:tcPr>
          <w:p w14:paraId="5AD9D83A" w14:textId="77777777" w:rsidR="003F01B8" w:rsidRPr="0077118C" w:rsidRDefault="003F01B8" w:rsidP="00ED7EC5">
            <w:pPr>
              <w:pStyle w:val="TableParagraph"/>
              <w:spacing w:line="210" w:lineRule="exact"/>
              <w:ind w:left="118"/>
              <w:rPr>
                <w:i/>
                <w:sz w:val="18"/>
              </w:rPr>
            </w:pPr>
            <w:r w:rsidRPr="0077118C">
              <w:rPr>
                <w:i/>
                <w:sz w:val="18"/>
              </w:rPr>
              <w:t>Performance</w:t>
            </w:r>
            <w:r w:rsidRPr="0077118C">
              <w:rPr>
                <w:i/>
                <w:spacing w:val="-11"/>
                <w:sz w:val="18"/>
              </w:rPr>
              <w:t xml:space="preserve"> </w:t>
            </w:r>
            <w:r w:rsidRPr="0077118C">
              <w:rPr>
                <w:i/>
                <w:sz w:val="18"/>
              </w:rPr>
              <w:t>Metrics:</w:t>
            </w:r>
          </w:p>
          <w:p w14:paraId="72490ED2" w14:textId="77777777" w:rsidR="003F01B8" w:rsidRPr="0077118C" w:rsidRDefault="003F01B8" w:rsidP="003F01B8">
            <w:pPr>
              <w:pStyle w:val="TableParagraph"/>
              <w:numPr>
                <w:ilvl w:val="0"/>
                <w:numId w:val="19"/>
              </w:numPr>
              <w:tabs>
                <w:tab w:val="left" w:pos="235"/>
              </w:tabs>
              <w:spacing w:before="9"/>
              <w:rPr>
                <w:sz w:val="18"/>
              </w:rPr>
            </w:pPr>
            <w:r w:rsidRPr="0077118C">
              <w:rPr>
                <w:sz w:val="18"/>
              </w:rPr>
              <w:t>Total</w:t>
            </w:r>
            <w:r w:rsidRPr="0077118C">
              <w:rPr>
                <w:spacing w:val="-9"/>
                <w:sz w:val="18"/>
              </w:rPr>
              <w:t xml:space="preserve"> </w:t>
            </w:r>
            <w:r w:rsidRPr="0077118C">
              <w:rPr>
                <w:sz w:val="18"/>
              </w:rPr>
              <w:t>cost</w:t>
            </w:r>
          </w:p>
          <w:p w14:paraId="77CA81C0" w14:textId="77777777" w:rsidR="003F01B8" w:rsidRPr="0077118C" w:rsidRDefault="003F01B8" w:rsidP="003F01B8">
            <w:pPr>
              <w:pStyle w:val="TableParagraph"/>
              <w:numPr>
                <w:ilvl w:val="0"/>
                <w:numId w:val="19"/>
              </w:numPr>
              <w:tabs>
                <w:tab w:val="left" w:pos="235"/>
              </w:tabs>
              <w:spacing w:before="9"/>
              <w:rPr>
                <w:sz w:val="18"/>
              </w:rPr>
            </w:pPr>
            <w:r w:rsidRPr="0077118C">
              <w:rPr>
                <w:sz w:val="18"/>
              </w:rPr>
              <w:t>Environmental</w:t>
            </w:r>
            <w:r w:rsidRPr="0077118C">
              <w:rPr>
                <w:spacing w:val="-7"/>
                <w:sz w:val="18"/>
              </w:rPr>
              <w:t xml:space="preserve"> </w:t>
            </w:r>
            <w:r w:rsidRPr="0077118C">
              <w:rPr>
                <w:sz w:val="18"/>
              </w:rPr>
              <w:t>impact</w:t>
            </w:r>
          </w:p>
          <w:p w14:paraId="2EE09F82" w14:textId="77777777" w:rsidR="003F01B8" w:rsidRPr="0077118C" w:rsidRDefault="003F01B8" w:rsidP="003F01B8">
            <w:pPr>
              <w:pStyle w:val="TableParagraph"/>
              <w:numPr>
                <w:ilvl w:val="0"/>
                <w:numId w:val="19"/>
              </w:numPr>
              <w:tabs>
                <w:tab w:val="left" w:pos="235"/>
              </w:tabs>
              <w:spacing w:before="9"/>
              <w:rPr>
                <w:sz w:val="18"/>
              </w:rPr>
            </w:pPr>
            <w:r w:rsidRPr="0077118C">
              <w:rPr>
                <w:sz w:val="18"/>
              </w:rPr>
              <w:t>Backlog</w:t>
            </w:r>
          </w:p>
        </w:tc>
      </w:tr>
    </w:tbl>
    <w:p w14:paraId="3994A7AC" w14:textId="333A880D" w:rsidR="00297124" w:rsidRDefault="00A712FD" w:rsidP="008D2649">
      <w:pPr>
        <w:pStyle w:val="Els-1storder-head"/>
        <w:rPr>
          <w:lang w:val="en-GB"/>
        </w:rPr>
      </w:pPr>
      <w:r>
        <w:rPr>
          <w:lang w:val="en-GB"/>
        </w:rPr>
        <w:t>Case study</w:t>
      </w:r>
    </w:p>
    <w:p w14:paraId="70A7419A" w14:textId="190DE332" w:rsidR="009E23DE" w:rsidRPr="009E23DE" w:rsidRDefault="009E23DE" w:rsidP="009E23DE">
      <w:pPr>
        <w:pStyle w:val="Els-body-text"/>
        <w:spacing w:after="120"/>
        <w:rPr>
          <w:lang w:val="en-GB"/>
        </w:rPr>
      </w:pPr>
      <w:r w:rsidRPr="009E23DE">
        <w:rPr>
          <w:lang w:val="en-GB"/>
        </w:rPr>
        <w:t>In this work</w:t>
      </w:r>
      <w:r w:rsidR="00B40575">
        <w:rPr>
          <w:lang w:val="en-GB"/>
        </w:rPr>
        <w:t>,</w:t>
      </w:r>
      <w:r w:rsidRPr="009E23DE">
        <w:rPr>
          <w:lang w:val="en-GB"/>
        </w:rPr>
        <w:t xml:space="preserve"> insights from the framework proposed by </w:t>
      </w:r>
      <w:sdt>
        <w:sdtPr>
          <w:rPr>
            <w:lang w:val="en-GB"/>
          </w:rPr>
          <w:id w:val="1995842206"/>
          <w:citation/>
        </w:sdtPr>
        <w:sdtEndPr/>
        <w:sdtContent>
          <w:r w:rsidR="003B38A4">
            <w:rPr>
              <w:lang w:val="en-GB"/>
            </w:rPr>
            <w:fldChar w:fldCharType="begin"/>
          </w:r>
          <w:r w:rsidR="003B38A4">
            <w:instrText xml:space="preserve"> CITATION Ibr21 \l 1033 </w:instrText>
          </w:r>
          <w:r w:rsidR="003B38A4">
            <w:rPr>
              <w:lang w:val="en-GB"/>
            </w:rPr>
            <w:fldChar w:fldCharType="separate"/>
          </w:r>
          <w:r w:rsidR="003B38A4">
            <w:rPr>
              <w:noProof/>
            </w:rPr>
            <w:t>(Ibrahim, 2021)</w:t>
          </w:r>
          <w:r w:rsidR="003B38A4">
            <w:rPr>
              <w:lang w:val="en-GB"/>
            </w:rPr>
            <w:fldChar w:fldCharType="end"/>
          </w:r>
        </w:sdtContent>
      </w:sdt>
      <w:r w:rsidRPr="009E23DE">
        <w:rPr>
          <w:lang w:val="en-GB"/>
        </w:rPr>
        <w:t xml:space="preserve"> have been used to validate our methodology. Within the four echelons used in the COVID-19 vaccine supply chain, the case study utilizes a single import location since the vaccine comes from </w:t>
      </w:r>
      <w:proofErr w:type="spellStart"/>
      <w:r w:rsidRPr="009E23DE">
        <w:rPr>
          <w:lang w:val="en-GB"/>
        </w:rPr>
        <w:t>Puurs</w:t>
      </w:r>
      <w:proofErr w:type="spellEnd"/>
      <w:r w:rsidRPr="009E23DE">
        <w:rPr>
          <w:lang w:val="en-GB"/>
        </w:rPr>
        <w:t xml:space="preserve">, Belgium. </w:t>
      </w:r>
      <w:r w:rsidR="007E2D50" w:rsidRPr="007E2D50">
        <w:rPr>
          <w:lang w:val="en-GB"/>
        </w:rPr>
        <w:t xml:space="preserve">Regarding warehouse locations, there are four major cities in the UK, including the capital. Additionally, there are 12 potential sites for regional stores and 12 administration </w:t>
      </w:r>
      <w:proofErr w:type="gramStart"/>
      <w:r w:rsidR="007E2D50" w:rsidRPr="007E2D50">
        <w:rPr>
          <w:lang w:val="en-GB"/>
        </w:rPr>
        <w:t>points.</w:t>
      </w:r>
      <w:r w:rsidRPr="009E23DE">
        <w:rPr>
          <w:lang w:val="en-GB"/>
        </w:rPr>
        <w:t>.</w:t>
      </w:r>
      <w:proofErr w:type="gramEnd"/>
    </w:p>
    <w:p w14:paraId="3B250237" w14:textId="0A2F4D50" w:rsidR="009E23DE" w:rsidRPr="009E23DE" w:rsidRDefault="006716D4" w:rsidP="009E23DE">
      <w:pPr>
        <w:pStyle w:val="Els-body-text"/>
        <w:spacing w:after="120"/>
        <w:rPr>
          <w:lang w:val="en-GB"/>
        </w:rPr>
      </w:pPr>
      <w:r>
        <w:rPr>
          <w:lang w:val="en-GB"/>
        </w:rPr>
        <w:t>O</w:t>
      </w:r>
      <w:r w:rsidR="009E23DE" w:rsidRPr="009E23DE">
        <w:rPr>
          <w:lang w:val="en-GB"/>
        </w:rPr>
        <w:t>ur focus is exclusively on the Pfizer vaccine, selected due to the availability of detailed data and its widespread use during the study period. This choice allowed for a more precise and data-driven analysis, crucial for the model’s accuracy.</w:t>
      </w:r>
      <w:r>
        <w:rPr>
          <w:lang w:val="en-GB"/>
        </w:rPr>
        <w:t xml:space="preserve"> </w:t>
      </w:r>
      <w:r w:rsidR="009E23DE" w:rsidRPr="009E23DE">
        <w:rPr>
          <w:lang w:val="en-GB"/>
        </w:rPr>
        <w:t xml:space="preserve">The vaccination campaign was planned for a duration of 40 weeks, aiming for full vaccination (two doses per person). It is noteworthy that the demand is entirely met by imported vaccines, as domestic production of Pfizer vaccines was not available. </w:t>
      </w:r>
    </w:p>
    <w:p w14:paraId="15D2BB92" w14:textId="2727978B" w:rsidR="009E23DE" w:rsidRPr="009E23DE" w:rsidRDefault="009E23DE" w:rsidP="009E23DE">
      <w:pPr>
        <w:pStyle w:val="Els-body-text"/>
        <w:spacing w:after="120"/>
        <w:rPr>
          <w:lang w:val="en-GB"/>
        </w:rPr>
      </w:pPr>
      <w:r w:rsidRPr="009E23DE">
        <w:rPr>
          <w:lang w:val="en-GB"/>
        </w:rPr>
        <w:t xml:space="preserve">For cost parameters, including fabrication, storage, and application, we drew insights from studies such as those by </w:t>
      </w:r>
      <w:sdt>
        <w:sdtPr>
          <w:rPr>
            <w:lang w:val="en-GB"/>
          </w:rPr>
          <w:id w:val="25916662"/>
          <w:citation/>
        </w:sdtPr>
        <w:sdtEndPr/>
        <w:sdtContent>
          <w:r w:rsidR="003B38A4">
            <w:rPr>
              <w:lang w:val="en-GB"/>
            </w:rPr>
            <w:fldChar w:fldCharType="begin"/>
          </w:r>
          <w:r w:rsidR="003B38A4">
            <w:instrText xml:space="preserve"> CITATION Mar21 \l 1033 </w:instrText>
          </w:r>
          <w:r w:rsidR="003B38A4">
            <w:rPr>
              <w:lang w:val="en-GB"/>
            </w:rPr>
            <w:fldChar w:fldCharType="separate"/>
          </w:r>
          <w:r w:rsidR="003B38A4">
            <w:rPr>
              <w:noProof/>
            </w:rPr>
            <w:t>(Martonosi, 2021)</w:t>
          </w:r>
          <w:r w:rsidR="003B38A4">
            <w:rPr>
              <w:lang w:val="en-GB"/>
            </w:rPr>
            <w:fldChar w:fldCharType="end"/>
          </w:r>
        </w:sdtContent>
      </w:sdt>
      <w:r w:rsidRPr="009E23DE">
        <w:rPr>
          <w:lang w:val="en-GB"/>
        </w:rPr>
        <w:t xml:space="preserve">. These studies provided a comprehensive understanding of various cost factors in the vaccine supply chain. Logistics parameters, particularly </w:t>
      </w:r>
      <w:r w:rsidR="007E2D50" w:rsidRPr="007E2D50">
        <w:rPr>
          <w:lang w:val="en-GB"/>
        </w:rPr>
        <w:t xml:space="preserve">those associated with </w:t>
      </w:r>
      <w:r w:rsidRPr="009E23DE">
        <w:rPr>
          <w:lang w:val="en-GB"/>
        </w:rPr>
        <w:t xml:space="preserve">vaccine transportation, cold chain requirements, and packaging, were informed by research including </w:t>
      </w:r>
      <w:sdt>
        <w:sdtPr>
          <w:rPr>
            <w:lang w:val="en-GB"/>
          </w:rPr>
          <w:id w:val="-1303538986"/>
          <w:citation/>
        </w:sdtPr>
        <w:sdtEndPr/>
        <w:sdtContent>
          <w:r w:rsidR="003B38A4">
            <w:rPr>
              <w:lang w:val="en-GB"/>
            </w:rPr>
            <w:fldChar w:fldCharType="begin"/>
          </w:r>
          <w:r w:rsidR="003B38A4">
            <w:instrText xml:space="preserve"> CITATION Hol21 \l 1033 </w:instrText>
          </w:r>
          <w:r w:rsidR="003B38A4">
            <w:rPr>
              <w:lang w:val="en-GB"/>
            </w:rPr>
            <w:fldChar w:fldCharType="separate"/>
          </w:r>
          <w:r w:rsidR="003B38A4">
            <w:rPr>
              <w:noProof/>
            </w:rPr>
            <w:t>(Holm, 2021)</w:t>
          </w:r>
          <w:r w:rsidR="003B38A4">
            <w:rPr>
              <w:lang w:val="en-GB"/>
            </w:rPr>
            <w:fldChar w:fldCharType="end"/>
          </w:r>
        </w:sdtContent>
      </w:sdt>
      <w:r w:rsidR="00296C23">
        <w:rPr>
          <w:lang w:val="en-GB"/>
        </w:rPr>
        <w:t xml:space="preserve"> </w:t>
      </w:r>
      <w:proofErr w:type="spellStart"/>
      <w:r w:rsidR="00296C23">
        <w:rPr>
          <w:lang w:val="en-GB"/>
        </w:rPr>
        <w:t>and</w:t>
      </w:r>
      <w:proofErr w:type="spellEnd"/>
      <w:r w:rsidRPr="009E23DE">
        <w:rPr>
          <w:lang w:val="en-GB"/>
        </w:rPr>
        <w:t xml:space="preserve"> </w:t>
      </w:r>
      <w:sdt>
        <w:sdtPr>
          <w:rPr>
            <w:lang w:val="en-GB"/>
          </w:rPr>
          <w:id w:val="896405069"/>
          <w:citation/>
        </w:sdtPr>
        <w:sdtEndPr/>
        <w:sdtContent>
          <w:r w:rsidR="003B38A4">
            <w:rPr>
              <w:lang w:val="en-GB"/>
            </w:rPr>
            <w:fldChar w:fldCharType="begin"/>
          </w:r>
          <w:r w:rsidR="003B38A4">
            <w:instrText xml:space="preserve"> CITATION Org22 \l 1033 </w:instrText>
          </w:r>
          <w:r w:rsidR="003B38A4">
            <w:rPr>
              <w:lang w:val="en-GB"/>
            </w:rPr>
            <w:fldChar w:fldCharType="separate"/>
          </w:r>
          <w:r w:rsidR="003B38A4">
            <w:rPr>
              <w:noProof/>
            </w:rPr>
            <w:t>(Organization, 2022)</w:t>
          </w:r>
          <w:r w:rsidR="003B38A4">
            <w:rPr>
              <w:lang w:val="en-GB"/>
            </w:rPr>
            <w:fldChar w:fldCharType="end"/>
          </w:r>
        </w:sdtContent>
      </w:sdt>
      <w:r w:rsidRPr="009E23DE">
        <w:rPr>
          <w:lang w:val="en-GB"/>
        </w:rPr>
        <w:t>. Finally, the environmental impact, focusing on CO</w:t>
      </w:r>
      <w:r w:rsidRPr="00474D19">
        <w:rPr>
          <w:vertAlign w:val="subscript"/>
          <w:lang w:val="en-GB"/>
        </w:rPr>
        <w:t>2</w:t>
      </w:r>
      <w:r w:rsidRPr="009E23DE">
        <w:rPr>
          <w:lang w:val="en-GB"/>
        </w:rPr>
        <w:t xml:space="preserve"> emissions related to refrigeration, transportation, and waste, was a critical aspect. </w:t>
      </w:r>
      <w:r w:rsidR="007E2D50">
        <w:rPr>
          <w:lang w:val="en-GB"/>
        </w:rPr>
        <w:t xml:space="preserve">The </w:t>
      </w:r>
      <w:r w:rsidR="007E2D50" w:rsidRPr="007E2D50">
        <w:rPr>
          <w:lang w:val="en-GB"/>
        </w:rPr>
        <w:t>ecological footprint of the vaccine supply chain</w:t>
      </w:r>
      <w:r w:rsidR="007E2D50">
        <w:rPr>
          <w:lang w:val="en-GB"/>
        </w:rPr>
        <w:t xml:space="preserve"> is assessed </w:t>
      </w:r>
      <w:r w:rsidR="007E2D50" w:rsidRPr="007E2D50">
        <w:rPr>
          <w:lang w:val="en-GB"/>
        </w:rPr>
        <w:t xml:space="preserve">similarly to the approach taken by </w:t>
      </w:r>
      <w:sdt>
        <w:sdtPr>
          <w:rPr>
            <w:lang w:val="en-GB"/>
          </w:rPr>
          <w:id w:val="-668799691"/>
          <w:citation/>
        </w:sdtPr>
        <w:sdtEndPr/>
        <w:sdtContent>
          <w:r w:rsidR="007E2D50">
            <w:rPr>
              <w:lang w:val="en-GB"/>
            </w:rPr>
            <w:fldChar w:fldCharType="begin"/>
          </w:r>
          <w:r w:rsidR="007E2D50">
            <w:instrText xml:space="preserve"> CITATION Kur21 \l 1033 </w:instrText>
          </w:r>
          <w:r w:rsidR="007E2D50">
            <w:rPr>
              <w:lang w:val="en-GB"/>
            </w:rPr>
            <w:fldChar w:fldCharType="separate"/>
          </w:r>
          <w:r w:rsidR="007E2D50">
            <w:rPr>
              <w:noProof/>
            </w:rPr>
            <w:t>(Kurzweil, 2021)</w:t>
          </w:r>
          <w:r w:rsidR="007E2D50">
            <w:rPr>
              <w:lang w:val="en-GB"/>
            </w:rPr>
            <w:fldChar w:fldCharType="end"/>
          </w:r>
        </w:sdtContent>
      </w:sdt>
      <w:r w:rsidR="007E2D50">
        <w:rPr>
          <w:lang w:val="en-GB"/>
        </w:rPr>
        <w:t xml:space="preserve">, </w:t>
      </w:r>
      <w:r w:rsidR="007E2D50" w:rsidRPr="007E2D50">
        <w:rPr>
          <w:lang w:val="en-GB"/>
        </w:rPr>
        <w:t>ensuring that our model also incorporates sustainability.</w:t>
      </w:r>
    </w:p>
    <w:p w14:paraId="431FC099" w14:textId="39171D6C" w:rsidR="002F3AFF" w:rsidRDefault="002F3AFF" w:rsidP="002F3AFF">
      <w:pPr>
        <w:pStyle w:val="Els-1storder-head"/>
        <w:rPr>
          <w:lang w:val="en-GB"/>
        </w:rPr>
      </w:pPr>
      <w:r>
        <w:rPr>
          <w:lang w:val="en-GB"/>
        </w:rPr>
        <w:t>Results</w:t>
      </w:r>
    </w:p>
    <w:p w14:paraId="1FB2EB63" w14:textId="477D6FE2" w:rsidR="00ED7EC5" w:rsidRDefault="00ED7EC5" w:rsidP="00ED7EC5">
      <w:pPr>
        <w:pStyle w:val="Els-body-text"/>
        <w:spacing w:after="120"/>
        <w:rPr>
          <w:lang w:val="en-GB"/>
        </w:rPr>
      </w:pPr>
      <w:r w:rsidRPr="00ED7EC5">
        <w:rPr>
          <w:lang w:val="en-GB"/>
        </w:rPr>
        <w:t>The statistics of the MILP model</w:t>
      </w:r>
      <w:r w:rsidR="00190810">
        <w:rPr>
          <w:lang w:val="en-GB"/>
        </w:rPr>
        <w:t xml:space="preserve"> </w:t>
      </w:r>
      <w:r w:rsidRPr="00ED7EC5">
        <w:rPr>
          <w:lang w:val="en-GB"/>
        </w:rPr>
        <w:t xml:space="preserve">are presented in </w:t>
      </w:r>
      <w:r w:rsidR="00B40575">
        <w:rPr>
          <w:lang w:val="en-GB"/>
        </w:rPr>
        <w:t>T</w:t>
      </w:r>
      <w:r w:rsidRPr="00ED7EC5">
        <w:rPr>
          <w:lang w:val="en-GB"/>
        </w:rPr>
        <w:t xml:space="preserve">able 2. </w:t>
      </w:r>
      <w:r w:rsidR="007E2D50" w:rsidRPr="007E2D50">
        <w:rPr>
          <w:lang w:val="en-GB"/>
        </w:rPr>
        <w:t>The computations were carried out on a system running Microsoft Windows</w:t>
      </w:r>
      <w:r w:rsidR="007E2D50">
        <w:rPr>
          <w:lang w:val="en-GB"/>
        </w:rPr>
        <w:t xml:space="preserve"> 10 as the operating system. </w:t>
      </w:r>
      <w:r w:rsidR="007E2D50" w:rsidRPr="007E2D50">
        <w:rPr>
          <w:lang w:val="en-GB"/>
        </w:rPr>
        <w:t xml:space="preserve">The core processing tasks were managed by an 11th Gen Intel(R) </w:t>
      </w:r>
      <w:proofErr w:type="gramStart"/>
      <w:r w:rsidR="007E2D50" w:rsidRPr="007E2D50">
        <w:rPr>
          <w:lang w:val="en-GB"/>
        </w:rPr>
        <w:t>Core(</w:t>
      </w:r>
      <w:proofErr w:type="gramEnd"/>
      <w:r w:rsidR="007E2D50" w:rsidRPr="007E2D50">
        <w:rPr>
          <w:lang w:val="en-GB"/>
        </w:rPr>
        <w:t xml:space="preserve">TM) i7-11850H processor, operating at a base frequency of 2.50GHz and equipped with 8 cores. </w:t>
      </w:r>
      <w:r w:rsidRPr="00ED7EC5">
        <w:rPr>
          <w:lang w:val="en-GB"/>
        </w:rPr>
        <w:t>The system was supported by 16 GB of RAM.</w:t>
      </w:r>
    </w:p>
    <w:p w14:paraId="67893439" w14:textId="15A55E94" w:rsidR="00CC00BE" w:rsidRDefault="00CC00BE" w:rsidP="00ED7EC5">
      <w:pPr>
        <w:pStyle w:val="Els-body-text"/>
        <w:spacing w:after="120"/>
        <w:rPr>
          <w:lang w:val="en-GB"/>
        </w:rPr>
      </w:pPr>
    </w:p>
    <w:p w14:paraId="3A94CFCF" w14:textId="258DD5DC" w:rsidR="00554BE7" w:rsidRPr="00554BE7" w:rsidRDefault="00554BE7" w:rsidP="007E3A82">
      <w:pPr>
        <w:pStyle w:val="Els-body-text"/>
        <w:spacing w:after="120"/>
        <w:jc w:val="left"/>
      </w:pPr>
      <w:r w:rsidRPr="00554BE7">
        <w:lastRenderedPageBreak/>
        <w:t xml:space="preserve">Table </w:t>
      </w:r>
      <w:r w:rsidRPr="00554BE7">
        <w:fldChar w:fldCharType="begin"/>
      </w:r>
      <w:r w:rsidRPr="00554BE7">
        <w:instrText xml:space="preserve"> SEQ Table \* ARABIC </w:instrText>
      </w:r>
      <w:r w:rsidRPr="00554BE7">
        <w:fldChar w:fldCharType="separate"/>
      </w:r>
      <w:r w:rsidRPr="00554BE7">
        <w:t>2</w:t>
      </w:r>
      <w:r w:rsidRPr="00554BE7">
        <w:fldChar w:fldCharType="end"/>
      </w:r>
      <w:r w:rsidR="009B6C95">
        <w:t>.</w:t>
      </w:r>
      <w:r w:rsidRPr="00554BE7">
        <w:t xml:space="preserve"> </w:t>
      </w:r>
      <w:r w:rsidR="00190810">
        <w:t>Typical features of the m</w:t>
      </w:r>
      <w:r w:rsidR="00190810" w:rsidRPr="00554BE7">
        <w:t xml:space="preserve">odel </w:t>
      </w:r>
      <w:r w:rsidR="00190810">
        <w:t>instance.</w:t>
      </w:r>
    </w:p>
    <w:tbl>
      <w:tblPr>
        <w:tblW w:w="0" w:type="auto"/>
        <w:jc w:val="center"/>
        <w:tblBorders>
          <w:insideH w:val="single" w:sz="4" w:space="0" w:color="auto"/>
        </w:tblBorders>
        <w:tblLayout w:type="fixed"/>
        <w:tblCellMar>
          <w:left w:w="0" w:type="dxa"/>
          <w:right w:w="0" w:type="dxa"/>
        </w:tblCellMar>
        <w:tblLook w:val="01E0" w:firstRow="1" w:lastRow="1" w:firstColumn="1" w:lastColumn="1" w:noHBand="0" w:noVBand="0"/>
      </w:tblPr>
      <w:tblGrid>
        <w:gridCol w:w="2973"/>
        <w:gridCol w:w="886"/>
      </w:tblGrid>
      <w:tr w:rsidR="00ED7EC5" w:rsidRPr="009B6C95" w14:paraId="7E1C68E1" w14:textId="77777777" w:rsidTr="007E3A82">
        <w:trPr>
          <w:trHeight w:val="237"/>
          <w:jc w:val="center"/>
        </w:trPr>
        <w:tc>
          <w:tcPr>
            <w:tcW w:w="2973" w:type="dxa"/>
          </w:tcPr>
          <w:p w14:paraId="358AE1BC" w14:textId="79E98381" w:rsidR="00ED7EC5" w:rsidRPr="0077118C" w:rsidRDefault="00190810" w:rsidP="00ED7EC5">
            <w:pPr>
              <w:pStyle w:val="TableParagraph"/>
              <w:spacing w:line="210" w:lineRule="exact"/>
              <w:ind w:left="118"/>
              <w:rPr>
                <w:b/>
                <w:sz w:val="18"/>
              </w:rPr>
            </w:pPr>
            <w:r>
              <w:rPr>
                <w:b/>
                <w:sz w:val="18"/>
              </w:rPr>
              <w:t>Typical features of the instance</w:t>
            </w:r>
          </w:p>
        </w:tc>
        <w:tc>
          <w:tcPr>
            <w:tcW w:w="886" w:type="dxa"/>
          </w:tcPr>
          <w:p w14:paraId="2C02AFBB" w14:textId="77777777" w:rsidR="00ED7EC5" w:rsidRPr="0077118C" w:rsidRDefault="00ED7EC5" w:rsidP="00ED7EC5">
            <w:pPr>
              <w:pStyle w:val="TableParagraph"/>
              <w:spacing w:line="210" w:lineRule="exact"/>
              <w:ind w:left="0" w:right="107"/>
              <w:jc w:val="right"/>
              <w:rPr>
                <w:b/>
                <w:sz w:val="18"/>
              </w:rPr>
            </w:pPr>
            <w:r w:rsidRPr="0077118C">
              <w:rPr>
                <w:b/>
                <w:sz w:val="18"/>
              </w:rPr>
              <w:t>Value</w:t>
            </w:r>
          </w:p>
        </w:tc>
      </w:tr>
      <w:tr w:rsidR="00ED7EC5" w:rsidRPr="009B6C95" w14:paraId="34448E72" w14:textId="77777777" w:rsidTr="007E3A82">
        <w:trPr>
          <w:trHeight w:val="221"/>
          <w:jc w:val="center"/>
        </w:trPr>
        <w:tc>
          <w:tcPr>
            <w:tcW w:w="2973" w:type="dxa"/>
          </w:tcPr>
          <w:p w14:paraId="22F078AD" w14:textId="3AF29483" w:rsidR="00ED7EC5" w:rsidRPr="0077118C" w:rsidRDefault="00ED7EC5" w:rsidP="00ED7EC5">
            <w:pPr>
              <w:pStyle w:val="TableParagraph"/>
              <w:spacing w:line="202" w:lineRule="exact"/>
              <w:ind w:left="118"/>
              <w:rPr>
                <w:sz w:val="18"/>
              </w:rPr>
            </w:pPr>
            <w:r w:rsidRPr="0077118C">
              <w:rPr>
                <w:sz w:val="18"/>
              </w:rPr>
              <w:t>Blocks</w:t>
            </w:r>
            <w:r w:rsidRPr="0077118C">
              <w:rPr>
                <w:spacing w:val="-3"/>
                <w:sz w:val="18"/>
              </w:rPr>
              <w:t xml:space="preserve"> </w:t>
            </w:r>
            <w:r w:rsidRPr="0077118C">
              <w:rPr>
                <w:sz w:val="18"/>
              </w:rPr>
              <w:t>of</w:t>
            </w:r>
            <w:r w:rsidRPr="006716D4">
              <w:rPr>
                <w:sz w:val="18"/>
              </w:rPr>
              <w:t xml:space="preserve"> </w:t>
            </w:r>
            <w:r w:rsidR="006716D4" w:rsidRPr="006716D4">
              <w:rPr>
                <w:sz w:val="18"/>
              </w:rPr>
              <w:t>Equations</w:t>
            </w:r>
            <w:r w:rsidR="00C2104E" w:rsidRPr="0077118C">
              <w:rPr>
                <w:sz w:val="18"/>
              </w:rPr>
              <w:t>.</w:t>
            </w:r>
          </w:p>
        </w:tc>
        <w:tc>
          <w:tcPr>
            <w:tcW w:w="886" w:type="dxa"/>
          </w:tcPr>
          <w:p w14:paraId="7E523EEA" w14:textId="77777777" w:rsidR="00ED7EC5" w:rsidRPr="0077118C" w:rsidRDefault="00ED7EC5" w:rsidP="00ED7EC5">
            <w:pPr>
              <w:pStyle w:val="TableParagraph"/>
              <w:spacing w:line="202" w:lineRule="exact"/>
              <w:ind w:left="0" w:right="107"/>
              <w:jc w:val="right"/>
              <w:rPr>
                <w:sz w:val="18"/>
              </w:rPr>
            </w:pPr>
            <w:r w:rsidRPr="0077118C">
              <w:rPr>
                <w:sz w:val="18"/>
              </w:rPr>
              <w:t>143</w:t>
            </w:r>
          </w:p>
        </w:tc>
      </w:tr>
      <w:tr w:rsidR="00ED7EC5" w:rsidRPr="009B6C95" w14:paraId="75D48BB6" w14:textId="77777777" w:rsidTr="007E3A82">
        <w:trPr>
          <w:trHeight w:val="239"/>
          <w:jc w:val="center"/>
        </w:trPr>
        <w:tc>
          <w:tcPr>
            <w:tcW w:w="2973" w:type="dxa"/>
          </w:tcPr>
          <w:p w14:paraId="45197392" w14:textId="3FE28A8D" w:rsidR="00ED7EC5" w:rsidRPr="0077118C" w:rsidRDefault="00ED7EC5" w:rsidP="00ED7EC5">
            <w:pPr>
              <w:pStyle w:val="TableParagraph"/>
              <w:spacing w:line="219" w:lineRule="exact"/>
              <w:ind w:left="118"/>
              <w:rPr>
                <w:sz w:val="18"/>
              </w:rPr>
            </w:pPr>
            <w:r w:rsidRPr="0077118C">
              <w:rPr>
                <w:sz w:val="18"/>
              </w:rPr>
              <w:t>Single</w:t>
            </w:r>
            <w:r w:rsidRPr="0077118C">
              <w:rPr>
                <w:spacing w:val="-3"/>
                <w:sz w:val="18"/>
              </w:rPr>
              <w:t xml:space="preserve"> </w:t>
            </w:r>
            <w:r w:rsidR="006716D4" w:rsidRPr="006716D4">
              <w:rPr>
                <w:sz w:val="18"/>
              </w:rPr>
              <w:t>Equations</w:t>
            </w:r>
            <w:r w:rsidR="00C2104E" w:rsidRPr="0077118C">
              <w:rPr>
                <w:sz w:val="18"/>
              </w:rPr>
              <w:t>.</w:t>
            </w:r>
          </w:p>
        </w:tc>
        <w:tc>
          <w:tcPr>
            <w:tcW w:w="886" w:type="dxa"/>
          </w:tcPr>
          <w:p w14:paraId="7C737ECD" w14:textId="77777777" w:rsidR="00ED7EC5" w:rsidRPr="0077118C" w:rsidRDefault="00ED7EC5" w:rsidP="00ED7EC5">
            <w:pPr>
              <w:pStyle w:val="TableParagraph"/>
              <w:spacing w:line="219" w:lineRule="exact"/>
              <w:ind w:left="0" w:right="107"/>
              <w:jc w:val="right"/>
              <w:rPr>
                <w:sz w:val="18"/>
              </w:rPr>
            </w:pPr>
            <w:r w:rsidRPr="0077118C">
              <w:rPr>
                <w:sz w:val="18"/>
              </w:rPr>
              <w:t>237,306</w:t>
            </w:r>
          </w:p>
        </w:tc>
      </w:tr>
      <w:tr w:rsidR="00ED7EC5" w:rsidRPr="009B6C95" w14:paraId="5709AA18" w14:textId="77777777" w:rsidTr="007E3A82">
        <w:trPr>
          <w:trHeight w:val="239"/>
          <w:jc w:val="center"/>
        </w:trPr>
        <w:tc>
          <w:tcPr>
            <w:tcW w:w="2973" w:type="dxa"/>
          </w:tcPr>
          <w:p w14:paraId="7600AE17" w14:textId="77777777" w:rsidR="00ED7EC5" w:rsidRPr="0077118C" w:rsidRDefault="00ED7EC5" w:rsidP="00ED7EC5">
            <w:pPr>
              <w:pStyle w:val="TableParagraph"/>
              <w:spacing w:line="219" w:lineRule="exact"/>
              <w:ind w:left="118"/>
              <w:rPr>
                <w:sz w:val="18"/>
              </w:rPr>
            </w:pPr>
            <w:r w:rsidRPr="0077118C">
              <w:rPr>
                <w:sz w:val="18"/>
              </w:rPr>
              <w:t>Blocks</w:t>
            </w:r>
            <w:r w:rsidRPr="0077118C">
              <w:rPr>
                <w:spacing w:val="-10"/>
                <w:sz w:val="18"/>
              </w:rPr>
              <w:t xml:space="preserve"> </w:t>
            </w:r>
            <w:r w:rsidRPr="0077118C">
              <w:rPr>
                <w:sz w:val="18"/>
              </w:rPr>
              <w:t>of</w:t>
            </w:r>
            <w:r w:rsidRPr="0077118C">
              <w:rPr>
                <w:spacing w:val="-9"/>
                <w:sz w:val="18"/>
              </w:rPr>
              <w:t xml:space="preserve"> </w:t>
            </w:r>
            <w:r w:rsidRPr="0077118C">
              <w:rPr>
                <w:sz w:val="18"/>
              </w:rPr>
              <w:t>Variables</w:t>
            </w:r>
          </w:p>
        </w:tc>
        <w:tc>
          <w:tcPr>
            <w:tcW w:w="886" w:type="dxa"/>
          </w:tcPr>
          <w:p w14:paraId="132394A1" w14:textId="77777777" w:rsidR="00ED7EC5" w:rsidRPr="0077118C" w:rsidRDefault="00ED7EC5" w:rsidP="00ED7EC5">
            <w:pPr>
              <w:pStyle w:val="TableParagraph"/>
              <w:spacing w:line="219" w:lineRule="exact"/>
              <w:ind w:left="0" w:right="107"/>
              <w:jc w:val="right"/>
              <w:rPr>
                <w:sz w:val="18"/>
              </w:rPr>
            </w:pPr>
            <w:r w:rsidRPr="0077118C">
              <w:rPr>
                <w:sz w:val="18"/>
              </w:rPr>
              <w:t>92</w:t>
            </w:r>
          </w:p>
        </w:tc>
      </w:tr>
      <w:tr w:rsidR="00ED7EC5" w:rsidRPr="0077118C" w14:paraId="7ACEFC7E" w14:textId="77777777" w:rsidTr="007E3A82">
        <w:trPr>
          <w:trHeight w:val="239"/>
          <w:jc w:val="center"/>
        </w:trPr>
        <w:tc>
          <w:tcPr>
            <w:tcW w:w="2973" w:type="dxa"/>
          </w:tcPr>
          <w:p w14:paraId="28CF511B" w14:textId="77777777" w:rsidR="00ED7EC5" w:rsidRPr="0077118C" w:rsidRDefault="00ED7EC5" w:rsidP="00ED7EC5">
            <w:pPr>
              <w:pStyle w:val="TableParagraph"/>
              <w:spacing w:line="219" w:lineRule="exact"/>
              <w:ind w:left="118"/>
              <w:rPr>
                <w:sz w:val="18"/>
              </w:rPr>
            </w:pPr>
            <w:r w:rsidRPr="0077118C">
              <w:rPr>
                <w:spacing w:val="-1"/>
                <w:sz w:val="18"/>
              </w:rPr>
              <w:t>Single</w:t>
            </w:r>
            <w:r w:rsidRPr="0077118C">
              <w:rPr>
                <w:spacing w:val="-11"/>
                <w:sz w:val="18"/>
              </w:rPr>
              <w:t xml:space="preserve"> </w:t>
            </w:r>
            <w:r w:rsidRPr="0077118C">
              <w:rPr>
                <w:sz w:val="18"/>
              </w:rPr>
              <w:t>Variables</w:t>
            </w:r>
          </w:p>
        </w:tc>
        <w:tc>
          <w:tcPr>
            <w:tcW w:w="886" w:type="dxa"/>
          </w:tcPr>
          <w:p w14:paraId="34675259" w14:textId="77777777" w:rsidR="00ED7EC5" w:rsidRPr="0077118C" w:rsidRDefault="00ED7EC5" w:rsidP="00ED7EC5">
            <w:pPr>
              <w:pStyle w:val="TableParagraph"/>
              <w:spacing w:line="219" w:lineRule="exact"/>
              <w:ind w:left="0" w:right="107"/>
              <w:jc w:val="right"/>
              <w:rPr>
                <w:sz w:val="18"/>
              </w:rPr>
            </w:pPr>
            <w:r w:rsidRPr="0077118C">
              <w:rPr>
                <w:sz w:val="18"/>
              </w:rPr>
              <w:t>111,090</w:t>
            </w:r>
          </w:p>
        </w:tc>
      </w:tr>
      <w:tr w:rsidR="00ED7EC5" w:rsidRPr="0077118C" w14:paraId="182F14B2" w14:textId="77777777" w:rsidTr="007E3A82">
        <w:trPr>
          <w:trHeight w:val="239"/>
          <w:jc w:val="center"/>
        </w:trPr>
        <w:tc>
          <w:tcPr>
            <w:tcW w:w="2973" w:type="dxa"/>
          </w:tcPr>
          <w:p w14:paraId="71B957A5" w14:textId="77777777" w:rsidR="00ED7EC5" w:rsidRPr="0077118C" w:rsidRDefault="00ED7EC5" w:rsidP="00ED7EC5">
            <w:pPr>
              <w:pStyle w:val="TableParagraph"/>
              <w:spacing w:line="219" w:lineRule="exact"/>
              <w:ind w:left="118"/>
              <w:rPr>
                <w:sz w:val="18"/>
              </w:rPr>
            </w:pPr>
            <w:r w:rsidRPr="0077118C">
              <w:rPr>
                <w:sz w:val="18"/>
              </w:rPr>
              <w:t>Non-Zero</w:t>
            </w:r>
            <w:r w:rsidRPr="0077118C">
              <w:rPr>
                <w:spacing w:val="-4"/>
                <w:sz w:val="18"/>
              </w:rPr>
              <w:t xml:space="preserve"> </w:t>
            </w:r>
            <w:r w:rsidRPr="0077118C">
              <w:rPr>
                <w:sz w:val="18"/>
              </w:rPr>
              <w:t>Elements</w:t>
            </w:r>
          </w:p>
        </w:tc>
        <w:tc>
          <w:tcPr>
            <w:tcW w:w="886" w:type="dxa"/>
          </w:tcPr>
          <w:p w14:paraId="6E64481B" w14:textId="77777777" w:rsidR="00ED7EC5" w:rsidRPr="0077118C" w:rsidRDefault="00ED7EC5" w:rsidP="00ED7EC5">
            <w:pPr>
              <w:pStyle w:val="TableParagraph"/>
              <w:spacing w:line="219" w:lineRule="exact"/>
              <w:ind w:left="0" w:right="107"/>
              <w:jc w:val="right"/>
              <w:rPr>
                <w:sz w:val="18"/>
              </w:rPr>
            </w:pPr>
            <w:r w:rsidRPr="0077118C">
              <w:rPr>
                <w:sz w:val="18"/>
              </w:rPr>
              <w:t>591,480</w:t>
            </w:r>
          </w:p>
        </w:tc>
      </w:tr>
      <w:tr w:rsidR="00ED7EC5" w:rsidRPr="0077118C" w14:paraId="3DE00CCB" w14:textId="77777777" w:rsidTr="007E3A82">
        <w:trPr>
          <w:trHeight w:val="239"/>
          <w:jc w:val="center"/>
        </w:trPr>
        <w:tc>
          <w:tcPr>
            <w:tcW w:w="2973" w:type="dxa"/>
          </w:tcPr>
          <w:p w14:paraId="61399EE5" w14:textId="77777777" w:rsidR="00ED7EC5" w:rsidRPr="0077118C" w:rsidRDefault="00ED7EC5" w:rsidP="00ED7EC5">
            <w:pPr>
              <w:pStyle w:val="TableParagraph"/>
              <w:spacing w:line="219" w:lineRule="exact"/>
              <w:ind w:left="118"/>
              <w:rPr>
                <w:sz w:val="18"/>
              </w:rPr>
            </w:pPr>
            <w:r w:rsidRPr="0077118C">
              <w:rPr>
                <w:spacing w:val="-1"/>
                <w:sz w:val="18"/>
              </w:rPr>
              <w:t>Discrete</w:t>
            </w:r>
            <w:r w:rsidRPr="0077118C">
              <w:rPr>
                <w:spacing w:val="-10"/>
                <w:sz w:val="18"/>
              </w:rPr>
              <w:t xml:space="preserve"> </w:t>
            </w:r>
            <w:r w:rsidRPr="0077118C">
              <w:rPr>
                <w:sz w:val="18"/>
              </w:rPr>
              <w:t>Variables</w:t>
            </w:r>
          </w:p>
        </w:tc>
        <w:tc>
          <w:tcPr>
            <w:tcW w:w="886" w:type="dxa"/>
          </w:tcPr>
          <w:p w14:paraId="7A9193CD" w14:textId="77777777" w:rsidR="00ED7EC5" w:rsidRPr="0077118C" w:rsidRDefault="00ED7EC5" w:rsidP="00ED7EC5">
            <w:pPr>
              <w:pStyle w:val="TableParagraph"/>
              <w:spacing w:line="219" w:lineRule="exact"/>
              <w:ind w:left="0" w:right="107"/>
              <w:jc w:val="right"/>
              <w:rPr>
                <w:sz w:val="18"/>
              </w:rPr>
            </w:pPr>
            <w:r w:rsidRPr="0077118C">
              <w:rPr>
                <w:sz w:val="18"/>
              </w:rPr>
              <w:t>24,376</w:t>
            </w:r>
          </w:p>
        </w:tc>
      </w:tr>
      <w:tr w:rsidR="00ED7EC5" w:rsidRPr="0077118C" w14:paraId="0B0B78C7" w14:textId="77777777" w:rsidTr="007E3A82">
        <w:trPr>
          <w:trHeight w:val="254"/>
          <w:jc w:val="center"/>
        </w:trPr>
        <w:tc>
          <w:tcPr>
            <w:tcW w:w="2973" w:type="dxa"/>
          </w:tcPr>
          <w:p w14:paraId="5757A22F" w14:textId="77777777" w:rsidR="00ED7EC5" w:rsidRPr="0077118C" w:rsidRDefault="00ED7EC5" w:rsidP="00ED7EC5">
            <w:pPr>
              <w:pStyle w:val="TableParagraph"/>
              <w:spacing w:line="227" w:lineRule="exact"/>
              <w:ind w:left="118"/>
              <w:rPr>
                <w:sz w:val="18"/>
              </w:rPr>
            </w:pPr>
            <w:r w:rsidRPr="0077118C">
              <w:rPr>
                <w:sz w:val="18"/>
              </w:rPr>
              <w:t>Generation</w:t>
            </w:r>
            <w:r w:rsidRPr="0077118C">
              <w:rPr>
                <w:spacing w:val="-6"/>
                <w:sz w:val="18"/>
              </w:rPr>
              <w:t xml:space="preserve"> </w:t>
            </w:r>
            <w:r w:rsidRPr="0077118C">
              <w:rPr>
                <w:sz w:val="18"/>
              </w:rPr>
              <w:t>Time</w:t>
            </w:r>
            <w:r w:rsidRPr="0077118C">
              <w:rPr>
                <w:spacing w:val="-5"/>
                <w:sz w:val="18"/>
              </w:rPr>
              <w:t xml:space="preserve"> </w:t>
            </w:r>
            <w:r w:rsidRPr="0077118C">
              <w:rPr>
                <w:sz w:val="18"/>
              </w:rPr>
              <w:t>(seconds)</w:t>
            </w:r>
          </w:p>
        </w:tc>
        <w:tc>
          <w:tcPr>
            <w:tcW w:w="886" w:type="dxa"/>
          </w:tcPr>
          <w:p w14:paraId="57F5C821" w14:textId="77777777" w:rsidR="00ED7EC5" w:rsidRPr="0077118C" w:rsidRDefault="00ED7EC5" w:rsidP="00ED7EC5">
            <w:pPr>
              <w:pStyle w:val="TableParagraph"/>
              <w:spacing w:line="227" w:lineRule="exact"/>
              <w:ind w:left="0" w:right="107"/>
              <w:jc w:val="right"/>
              <w:rPr>
                <w:sz w:val="18"/>
              </w:rPr>
            </w:pPr>
            <w:r w:rsidRPr="0077118C">
              <w:rPr>
                <w:sz w:val="18"/>
              </w:rPr>
              <w:t>1.382</w:t>
            </w:r>
          </w:p>
        </w:tc>
      </w:tr>
    </w:tbl>
    <w:p w14:paraId="44A89DDD" w14:textId="77777777" w:rsidR="00190810" w:rsidRDefault="00190810" w:rsidP="00ED7EC5">
      <w:pPr>
        <w:pStyle w:val="Els-body-text"/>
        <w:spacing w:after="120"/>
        <w:rPr>
          <w:lang w:val="en-GB"/>
        </w:rPr>
      </w:pPr>
    </w:p>
    <w:p w14:paraId="21FC1940" w14:textId="79B99A96" w:rsidR="00190810" w:rsidRPr="00190810" w:rsidRDefault="00ED7EC5" w:rsidP="00ED7EC5">
      <w:pPr>
        <w:pStyle w:val="Els-body-text"/>
        <w:spacing w:after="120"/>
        <w:rPr>
          <w:lang w:val="en-GB"/>
        </w:rPr>
      </w:pPr>
      <w:r w:rsidRPr="00ED7EC5">
        <w:rPr>
          <w:lang w:val="en-GB"/>
        </w:rPr>
        <w:t xml:space="preserve">The model consists of 143 blocks of </w:t>
      </w:r>
      <w:r w:rsidR="007E2D50">
        <w:rPr>
          <w:lang w:val="en-GB"/>
        </w:rPr>
        <w:t>equations</w:t>
      </w:r>
      <w:r w:rsidRPr="00ED7EC5">
        <w:rPr>
          <w:lang w:val="en-GB"/>
        </w:rPr>
        <w:t xml:space="preserve">, further detailed into 237,306 single </w:t>
      </w:r>
      <w:r w:rsidR="00190810">
        <w:rPr>
          <w:lang w:val="en-GB"/>
        </w:rPr>
        <w:t>equations</w:t>
      </w:r>
      <w:r w:rsidRPr="00ED7EC5">
        <w:rPr>
          <w:lang w:val="en-GB"/>
        </w:rPr>
        <w:t>, highlighting the detailed level of mode</w:t>
      </w:r>
      <w:r w:rsidR="00190810">
        <w:rPr>
          <w:lang w:val="en-GB"/>
        </w:rPr>
        <w:t>l</w:t>
      </w:r>
      <w:r w:rsidRPr="00ED7EC5">
        <w:rPr>
          <w:lang w:val="en-GB"/>
        </w:rPr>
        <w:t>ling. The variable blocks are fewer, at 92, but expand into 111,090 individual variables, of which 24,376 are discrete, likely representing binary decisions within the supply chain. The large number of non-zero elements, 591,480, reflects the density and connectivity of the model constraints. The model was generated and solved in a relatively swift</w:t>
      </w:r>
      <w:r w:rsidR="00275958">
        <w:rPr>
          <w:lang w:val="en-GB"/>
        </w:rPr>
        <w:t xml:space="preserve"> </w:t>
      </w:r>
      <w:r w:rsidRPr="00ED7EC5">
        <w:rPr>
          <w:lang w:val="en-GB"/>
        </w:rPr>
        <w:t>1.382 seconds, demonstrating the efficiency of the solver in handling such an extensive model.</w:t>
      </w:r>
    </w:p>
    <w:p w14:paraId="34E22946" w14:textId="3BA98DCB" w:rsidR="00ED7EC5" w:rsidRPr="00ED7EC5" w:rsidRDefault="00ED7EC5" w:rsidP="00ED7EC5">
      <w:pPr>
        <w:pStyle w:val="Els-body-text"/>
        <w:spacing w:after="120"/>
        <w:rPr>
          <w:lang w:val="en-GB"/>
        </w:rPr>
      </w:pPr>
      <w:r w:rsidRPr="00ED7EC5">
        <w:rPr>
          <w:lang w:val="en-GB"/>
        </w:rPr>
        <w:t xml:space="preserve">Table 3 presents </w:t>
      </w:r>
      <w:r w:rsidR="007E2D50">
        <w:rPr>
          <w:lang w:val="en-GB"/>
        </w:rPr>
        <w:t xml:space="preserve">some typical </w:t>
      </w:r>
      <w:r w:rsidRPr="00ED7EC5">
        <w:rPr>
          <w:lang w:val="en-GB"/>
        </w:rPr>
        <w:t>results of a single-objective optimization for the PSC model for COVID-19 vaccines. The objectives were individually minimized, showcasing the minimal results for cost, backlog (BL), and CO</w:t>
      </w:r>
      <w:r w:rsidRPr="00474D19">
        <w:rPr>
          <w:vertAlign w:val="subscript"/>
          <w:lang w:val="en-GB"/>
        </w:rPr>
        <w:t>2</w:t>
      </w:r>
      <w:r w:rsidRPr="00ED7EC5">
        <w:rPr>
          <w:lang w:val="en-GB"/>
        </w:rPr>
        <w:t xml:space="preserve"> emissions.</w:t>
      </w:r>
    </w:p>
    <w:p w14:paraId="2D0C1B76" w14:textId="72B16E06" w:rsidR="00554BE7" w:rsidRDefault="00554BE7" w:rsidP="007E3A82">
      <w:pPr>
        <w:pStyle w:val="Els-body-text"/>
        <w:spacing w:after="120"/>
        <w:jc w:val="left"/>
      </w:pPr>
      <w:r>
        <w:t xml:space="preserve">Table </w:t>
      </w:r>
      <w:r>
        <w:fldChar w:fldCharType="begin"/>
      </w:r>
      <w:r>
        <w:instrText xml:space="preserve"> SEQ Table \* ARABIC </w:instrText>
      </w:r>
      <w:r>
        <w:fldChar w:fldCharType="separate"/>
      </w:r>
      <w:r>
        <w:rPr>
          <w:noProof/>
        </w:rPr>
        <w:t>3</w:t>
      </w:r>
      <w:r>
        <w:fldChar w:fldCharType="end"/>
      </w:r>
      <w:r w:rsidR="009B6C95">
        <w:t>.</w:t>
      </w:r>
      <w:r>
        <w:t xml:space="preserve"> </w:t>
      </w:r>
      <w:r w:rsidRPr="00025D30">
        <w:t>Payoff table</w:t>
      </w:r>
      <w:r w:rsidR="009B6C95">
        <w:t xml:space="preserve"> with</w:t>
      </w:r>
      <w:r w:rsidR="009B6C95" w:rsidRPr="00025D30">
        <w:t xml:space="preserve"> </w:t>
      </w:r>
      <w:r w:rsidRPr="00025D30">
        <w:t>single</w:t>
      </w:r>
      <w:r w:rsidR="009162D9">
        <w:t>-</w:t>
      </w:r>
      <w:r w:rsidRPr="00025D30">
        <w:t>objective results</w:t>
      </w:r>
    </w:p>
    <w:tbl>
      <w:tblPr>
        <w:tblW w:w="7195" w:type="dxa"/>
        <w:jc w:val="center"/>
        <w:tblBorders>
          <w:insideH w:val="single" w:sz="4" w:space="0" w:color="auto"/>
        </w:tblBorders>
        <w:tblLayout w:type="fixed"/>
        <w:tblCellMar>
          <w:left w:w="0" w:type="dxa"/>
          <w:right w:w="0" w:type="dxa"/>
        </w:tblCellMar>
        <w:tblLook w:val="01E0" w:firstRow="1" w:lastRow="1" w:firstColumn="1" w:lastColumn="1" w:noHBand="0" w:noVBand="0"/>
      </w:tblPr>
      <w:tblGrid>
        <w:gridCol w:w="626"/>
        <w:gridCol w:w="1905"/>
        <w:gridCol w:w="2390"/>
        <w:gridCol w:w="2274"/>
      </w:tblGrid>
      <w:tr w:rsidR="00ED7EC5" w:rsidRPr="00360ADD" w14:paraId="4844B70A" w14:textId="77777777" w:rsidTr="007E3A82">
        <w:trPr>
          <w:trHeight w:val="237"/>
          <w:jc w:val="center"/>
        </w:trPr>
        <w:tc>
          <w:tcPr>
            <w:tcW w:w="626" w:type="dxa"/>
          </w:tcPr>
          <w:p w14:paraId="3C404C72" w14:textId="77777777" w:rsidR="00ED7EC5" w:rsidRPr="0077118C" w:rsidRDefault="00ED7EC5" w:rsidP="00ED7EC5">
            <w:pPr>
              <w:pStyle w:val="TableParagraph"/>
              <w:ind w:left="0"/>
              <w:rPr>
                <w:sz w:val="18"/>
              </w:rPr>
            </w:pPr>
          </w:p>
        </w:tc>
        <w:tc>
          <w:tcPr>
            <w:tcW w:w="1905" w:type="dxa"/>
          </w:tcPr>
          <w:p w14:paraId="09C1954C" w14:textId="77777777" w:rsidR="00ED7EC5" w:rsidRPr="0077118C" w:rsidRDefault="00ED7EC5" w:rsidP="00ED7EC5">
            <w:pPr>
              <w:pStyle w:val="TableParagraph"/>
              <w:spacing w:line="210" w:lineRule="exact"/>
              <w:ind w:left="99" w:right="90"/>
              <w:jc w:val="center"/>
              <w:rPr>
                <w:b/>
                <w:sz w:val="18"/>
              </w:rPr>
            </w:pPr>
            <w:r w:rsidRPr="0077118C">
              <w:rPr>
                <w:b/>
                <w:sz w:val="18"/>
              </w:rPr>
              <w:t>Min</w:t>
            </w:r>
            <w:r w:rsidRPr="0077118C">
              <w:rPr>
                <w:b/>
                <w:spacing w:val="-3"/>
                <w:sz w:val="18"/>
              </w:rPr>
              <w:t xml:space="preserve"> </w:t>
            </w:r>
            <w:r w:rsidRPr="0077118C">
              <w:rPr>
                <w:b/>
                <w:sz w:val="18"/>
              </w:rPr>
              <w:t>Cost</w:t>
            </w:r>
            <w:r w:rsidRPr="0077118C">
              <w:rPr>
                <w:b/>
                <w:spacing w:val="-2"/>
                <w:sz w:val="18"/>
              </w:rPr>
              <w:t xml:space="preserve"> </w:t>
            </w:r>
            <w:r w:rsidRPr="0077118C">
              <w:rPr>
                <w:b/>
                <w:sz w:val="18"/>
              </w:rPr>
              <w:t>(billion</w:t>
            </w:r>
            <w:r w:rsidRPr="0077118C">
              <w:rPr>
                <w:b/>
                <w:spacing w:val="-2"/>
                <w:sz w:val="18"/>
              </w:rPr>
              <w:t xml:space="preserve"> </w:t>
            </w:r>
            <w:r w:rsidRPr="0077118C">
              <w:rPr>
                <w:b/>
                <w:sz w:val="18"/>
              </w:rPr>
              <w:t>$)</w:t>
            </w:r>
          </w:p>
        </w:tc>
        <w:tc>
          <w:tcPr>
            <w:tcW w:w="2390" w:type="dxa"/>
          </w:tcPr>
          <w:p w14:paraId="62893CF4" w14:textId="77777777" w:rsidR="00ED7EC5" w:rsidRPr="0077118C" w:rsidRDefault="00ED7EC5" w:rsidP="00ED7EC5">
            <w:pPr>
              <w:pStyle w:val="TableParagraph"/>
              <w:spacing w:line="210" w:lineRule="exact"/>
              <w:ind w:left="99" w:right="90"/>
              <w:jc w:val="center"/>
              <w:rPr>
                <w:b/>
                <w:sz w:val="18"/>
              </w:rPr>
            </w:pPr>
            <w:r w:rsidRPr="0077118C">
              <w:rPr>
                <w:b/>
                <w:sz w:val="18"/>
              </w:rPr>
              <w:t>Min</w:t>
            </w:r>
            <w:r w:rsidRPr="0077118C">
              <w:rPr>
                <w:b/>
                <w:spacing w:val="-4"/>
                <w:sz w:val="18"/>
              </w:rPr>
              <w:t xml:space="preserve"> </w:t>
            </w:r>
            <w:r w:rsidRPr="0077118C">
              <w:rPr>
                <w:b/>
                <w:sz w:val="18"/>
              </w:rPr>
              <w:t>BL</w:t>
            </w:r>
            <w:r w:rsidRPr="0077118C">
              <w:rPr>
                <w:b/>
                <w:spacing w:val="-3"/>
                <w:sz w:val="18"/>
              </w:rPr>
              <w:t xml:space="preserve"> </w:t>
            </w:r>
            <w:r w:rsidRPr="0077118C">
              <w:rPr>
                <w:b/>
                <w:sz w:val="18"/>
              </w:rPr>
              <w:t>(Million</w:t>
            </w:r>
            <w:r w:rsidRPr="0077118C">
              <w:rPr>
                <w:b/>
                <w:spacing w:val="-3"/>
                <w:sz w:val="18"/>
              </w:rPr>
              <w:t xml:space="preserve"> </w:t>
            </w:r>
            <w:r w:rsidRPr="0077118C">
              <w:rPr>
                <w:b/>
                <w:sz w:val="18"/>
              </w:rPr>
              <w:t>vaccine)</w:t>
            </w:r>
          </w:p>
        </w:tc>
        <w:tc>
          <w:tcPr>
            <w:tcW w:w="2274" w:type="dxa"/>
          </w:tcPr>
          <w:p w14:paraId="45F44D42" w14:textId="77777777" w:rsidR="00ED7EC5" w:rsidRPr="0077118C" w:rsidRDefault="00ED7EC5" w:rsidP="00ED7EC5">
            <w:pPr>
              <w:pStyle w:val="TableParagraph"/>
              <w:spacing w:line="210" w:lineRule="exact"/>
              <w:ind w:left="102" w:right="92"/>
              <w:jc w:val="center"/>
              <w:rPr>
                <w:b/>
                <w:sz w:val="18"/>
              </w:rPr>
            </w:pPr>
            <w:r w:rsidRPr="0077118C">
              <w:rPr>
                <w:b/>
                <w:sz w:val="18"/>
              </w:rPr>
              <w:t>Min</w:t>
            </w:r>
            <w:r w:rsidRPr="0077118C">
              <w:rPr>
                <w:b/>
                <w:spacing w:val="-6"/>
                <w:sz w:val="18"/>
              </w:rPr>
              <w:t xml:space="preserve"> </w:t>
            </w:r>
            <w:r w:rsidRPr="0077118C">
              <w:rPr>
                <w:i/>
                <w:sz w:val="18"/>
              </w:rPr>
              <w:t>CO</w:t>
            </w:r>
            <w:r w:rsidRPr="0077118C">
              <w:rPr>
                <w:sz w:val="18"/>
                <w:vertAlign w:val="subscript"/>
              </w:rPr>
              <w:t>2</w:t>
            </w:r>
            <w:r w:rsidRPr="0077118C">
              <w:rPr>
                <w:spacing w:val="17"/>
                <w:sz w:val="18"/>
              </w:rPr>
              <w:t xml:space="preserve"> </w:t>
            </w:r>
            <w:r w:rsidRPr="0077118C">
              <w:rPr>
                <w:b/>
                <w:sz w:val="18"/>
              </w:rPr>
              <w:t>(Million</w:t>
            </w:r>
            <w:r w:rsidRPr="0077118C">
              <w:rPr>
                <w:b/>
                <w:spacing w:val="5"/>
                <w:sz w:val="18"/>
              </w:rPr>
              <w:t xml:space="preserve"> </w:t>
            </w:r>
            <w:r w:rsidRPr="0077118C">
              <w:rPr>
                <w:b/>
                <w:sz w:val="18"/>
              </w:rPr>
              <w:t>Kg</w:t>
            </w:r>
            <w:r w:rsidRPr="0077118C">
              <w:rPr>
                <w:b/>
                <w:spacing w:val="-5"/>
                <w:sz w:val="18"/>
              </w:rPr>
              <w:t xml:space="preserve"> </w:t>
            </w:r>
            <w:r w:rsidRPr="0077118C">
              <w:rPr>
                <w:i/>
                <w:sz w:val="18"/>
              </w:rPr>
              <w:t>CO</w:t>
            </w:r>
            <w:r w:rsidRPr="0077118C">
              <w:rPr>
                <w:sz w:val="18"/>
                <w:vertAlign w:val="subscript"/>
              </w:rPr>
              <w:t>2</w:t>
            </w:r>
            <w:r w:rsidRPr="0077118C">
              <w:rPr>
                <w:b/>
                <w:sz w:val="18"/>
              </w:rPr>
              <w:t>-eq)</w:t>
            </w:r>
          </w:p>
        </w:tc>
      </w:tr>
      <w:tr w:rsidR="00ED7EC5" w:rsidRPr="009B6C95" w14:paraId="677B795C" w14:textId="77777777" w:rsidTr="007E3A82">
        <w:trPr>
          <w:trHeight w:val="223"/>
          <w:jc w:val="center"/>
        </w:trPr>
        <w:tc>
          <w:tcPr>
            <w:tcW w:w="626" w:type="dxa"/>
          </w:tcPr>
          <w:p w14:paraId="0F2EE137" w14:textId="77777777" w:rsidR="00ED7EC5" w:rsidRPr="0077118C" w:rsidRDefault="00ED7EC5" w:rsidP="00ED7EC5">
            <w:pPr>
              <w:pStyle w:val="TableParagraph"/>
              <w:spacing w:line="203" w:lineRule="exact"/>
              <w:ind w:left="118"/>
              <w:rPr>
                <w:b/>
                <w:sz w:val="18"/>
              </w:rPr>
            </w:pPr>
            <w:r w:rsidRPr="0077118C">
              <w:rPr>
                <w:b/>
                <w:sz w:val="18"/>
              </w:rPr>
              <w:t>Cost</w:t>
            </w:r>
          </w:p>
        </w:tc>
        <w:tc>
          <w:tcPr>
            <w:tcW w:w="1905" w:type="dxa"/>
          </w:tcPr>
          <w:p w14:paraId="1482A1A5" w14:textId="77777777" w:rsidR="00ED7EC5" w:rsidRPr="0077118C" w:rsidRDefault="00ED7EC5" w:rsidP="00ED7EC5">
            <w:pPr>
              <w:pStyle w:val="TableParagraph"/>
              <w:spacing w:line="203" w:lineRule="exact"/>
              <w:ind w:left="99" w:right="90"/>
              <w:jc w:val="center"/>
              <w:rPr>
                <w:sz w:val="18"/>
              </w:rPr>
            </w:pPr>
            <w:r w:rsidRPr="0077118C">
              <w:rPr>
                <w:sz w:val="18"/>
              </w:rPr>
              <w:t>5.693</w:t>
            </w:r>
          </w:p>
        </w:tc>
        <w:tc>
          <w:tcPr>
            <w:tcW w:w="2390" w:type="dxa"/>
          </w:tcPr>
          <w:p w14:paraId="7280064A" w14:textId="77777777" w:rsidR="00ED7EC5" w:rsidRPr="0077118C" w:rsidRDefault="00ED7EC5" w:rsidP="00ED7EC5">
            <w:pPr>
              <w:pStyle w:val="TableParagraph"/>
              <w:spacing w:line="203" w:lineRule="exact"/>
              <w:ind w:left="99" w:right="90"/>
              <w:jc w:val="center"/>
              <w:rPr>
                <w:sz w:val="18"/>
              </w:rPr>
            </w:pPr>
            <w:r w:rsidRPr="0077118C">
              <w:rPr>
                <w:sz w:val="18"/>
              </w:rPr>
              <w:t>321.534</w:t>
            </w:r>
          </w:p>
        </w:tc>
        <w:tc>
          <w:tcPr>
            <w:tcW w:w="2274" w:type="dxa"/>
          </w:tcPr>
          <w:p w14:paraId="347E2C6F" w14:textId="77777777" w:rsidR="00ED7EC5" w:rsidRPr="0077118C" w:rsidRDefault="00ED7EC5" w:rsidP="00ED7EC5">
            <w:pPr>
              <w:pStyle w:val="TableParagraph"/>
              <w:spacing w:line="203" w:lineRule="exact"/>
              <w:ind w:left="102" w:right="92"/>
              <w:jc w:val="center"/>
              <w:rPr>
                <w:sz w:val="18"/>
              </w:rPr>
            </w:pPr>
            <w:r w:rsidRPr="0077118C">
              <w:rPr>
                <w:sz w:val="18"/>
              </w:rPr>
              <w:t>50.514</w:t>
            </w:r>
          </w:p>
        </w:tc>
      </w:tr>
      <w:tr w:rsidR="00ED7EC5" w:rsidRPr="009B6C95" w14:paraId="33D93A64" w14:textId="77777777" w:rsidTr="007E3A82">
        <w:trPr>
          <w:trHeight w:val="241"/>
          <w:jc w:val="center"/>
        </w:trPr>
        <w:tc>
          <w:tcPr>
            <w:tcW w:w="626" w:type="dxa"/>
          </w:tcPr>
          <w:p w14:paraId="06EBB2DD" w14:textId="77777777" w:rsidR="00ED7EC5" w:rsidRPr="0077118C" w:rsidRDefault="00ED7EC5" w:rsidP="00ED7EC5">
            <w:pPr>
              <w:pStyle w:val="TableParagraph"/>
              <w:spacing w:line="221" w:lineRule="exact"/>
              <w:ind w:left="118"/>
              <w:rPr>
                <w:b/>
                <w:sz w:val="18"/>
              </w:rPr>
            </w:pPr>
            <w:r w:rsidRPr="0077118C">
              <w:rPr>
                <w:b/>
                <w:sz w:val="18"/>
              </w:rPr>
              <w:t>BL</w:t>
            </w:r>
          </w:p>
        </w:tc>
        <w:tc>
          <w:tcPr>
            <w:tcW w:w="1905" w:type="dxa"/>
          </w:tcPr>
          <w:p w14:paraId="1B39861B" w14:textId="77777777" w:rsidR="00ED7EC5" w:rsidRPr="0077118C" w:rsidRDefault="00ED7EC5" w:rsidP="00ED7EC5">
            <w:pPr>
              <w:pStyle w:val="TableParagraph"/>
              <w:spacing w:line="221" w:lineRule="exact"/>
              <w:ind w:left="99" w:right="90"/>
              <w:jc w:val="center"/>
              <w:rPr>
                <w:sz w:val="18"/>
              </w:rPr>
            </w:pPr>
            <w:r w:rsidRPr="0077118C">
              <w:rPr>
                <w:sz w:val="18"/>
              </w:rPr>
              <w:t>6.326</w:t>
            </w:r>
          </w:p>
        </w:tc>
        <w:tc>
          <w:tcPr>
            <w:tcW w:w="2390" w:type="dxa"/>
          </w:tcPr>
          <w:p w14:paraId="08DA67AB" w14:textId="77777777" w:rsidR="00ED7EC5" w:rsidRPr="0077118C" w:rsidRDefault="00ED7EC5" w:rsidP="00ED7EC5">
            <w:pPr>
              <w:pStyle w:val="TableParagraph"/>
              <w:spacing w:line="221" w:lineRule="exact"/>
              <w:ind w:left="9"/>
              <w:jc w:val="center"/>
              <w:rPr>
                <w:sz w:val="18"/>
              </w:rPr>
            </w:pPr>
            <w:r w:rsidRPr="0077118C">
              <w:rPr>
                <w:w w:val="99"/>
                <w:sz w:val="18"/>
              </w:rPr>
              <w:t>0</w:t>
            </w:r>
          </w:p>
        </w:tc>
        <w:tc>
          <w:tcPr>
            <w:tcW w:w="2274" w:type="dxa"/>
          </w:tcPr>
          <w:p w14:paraId="3DC7C4E4" w14:textId="77777777" w:rsidR="00ED7EC5" w:rsidRPr="0077118C" w:rsidRDefault="00ED7EC5" w:rsidP="00ED7EC5">
            <w:pPr>
              <w:pStyle w:val="TableParagraph"/>
              <w:spacing w:line="221" w:lineRule="exact"/>
              <w:ind w:left="102" w:right="92"/>
              <w:jc w:val="center"/>
              <w:rPr>
                <w:sz w:val="18"/>
              </w:rPr>
            </w:pPr>
            <w:r w:rsidRPr="0077118C">
              <w:rPr>
                <w:sz w:val="18"/>
              </w:rPr>
              <w:t>85.989</w:t>
            </w:r>
          </w:p>
        </w:tc>
      </w:tr>
      <w:tr w:rsidR="00ED7EC5" w:rsidRPr="0077118C" w14:paraId="537FE208" w14:textId="77777777" w:rsidTr="007E3A82">
        <w:trPr>
          <w:trHeight w:val="250"/>
          <w:jc w:val="center"/>
        </w:trPr>
        <w:tc>
          <w:tcPr>
            <w:tcW w:w="626" w:type="dxa"/>
          </w:tcPr>
          <w:p w14:paraId="2FA1E6D2" w14:textId="77777777" w:rsidR="00ED7EC5" w:rsidRPr="00474D19" w:rsidRDefault="00ED7EC5" w:rsidP="00ED7EC5">
            <w:pPr>
              <w:pStyle w:val="TableParagraph"/>
              <w:spacing w:line="224" w:lineRule="exact"/>
              <w:ind w:left="108"/>
              <w:rPr>
                <w:b/>
                <w:sz w:val="18"/>
              </w:rPr>
            </w:pPr>
            <w:r w:rsidRPr="00474D19">
              <w:rPr>
                <w:b/>
                <w:i/>
                <w:w w:val="105"/>
                <w:sz w:val="18"/>
              </w:rPr>
              <w:t>CO</w:t>
            </w:r>
            <w:r w:rsidRPr="00474D19">
              <w:rPr>
                <w:b/>
                <w:w w:val="105"/>
                <w:sz w:val="18"/>
                <w:vertAlign w:val="subscript"/>
              </w:rPr>
              <w:t>2</w:t>
            </w:r>
          </w:p>
        </w:tc>
        <w:tc>
          <w:tcPr>
            <w:tcW w:w="1905" w:type="dxa"/>
          </w:tcPr>
          <w:p w14:paraId="7120CD9E" w14:textId="77777777" w:rsidR="00ED7EC5" w:rsidRPr="0077118C" w:rsidRDefault="00ED7EC5" w:rsidP="00ED7EC5">
            <w:pPr>
              <w:pStyle w:val="TableParagraph"/>
              <w:spacing w:line="224" w:lineRule="exact"/>
              <w:ind w:left="99" w:right="90"/>
              <w:jc w:val="center"/>
              <w:rPr>
                <w:sz w:val="18"/>
              </w:rPr>
            </w:pPr>
            <w:r w:rsidRPr="0077118C">
              <w:rPr>
                <w:sz w:val="18"/>
              </w:rPr>
              <w:t>5.693</w:t>
            </w:r>
          </w:p>
        </w:tc>
        <w:tc>
          <w:tcPr>
            <w:tcW w:w="2390" w:type="dxa"/>
          </w:tcPr>
          <w:p w14:paraId="127D239B" w14:textId="77777777" w:rsidR="00ED7EC5" w:rsidRPr="0077118C" w:rsidRDefault="00ED7EC5" w:rsidP="00ED7EC5">
            <w:pPr>
              <w:pStyle w:val="TableParagraph"/>
              <w:spacing w:line="224" w:lineRule="exact"/>
              <w:ind w:left="99" w:right="90"/>
              <w:jc w:val="center"/>
              <w:rPr>
                <w:sz w:val="18"/>
              </w:rPr>
            </w:pPr>
            <w:r w:rsidRPr="0077118C">
              <w:rPr>
                <w:sz w:val="18"/>
              </w:rPr>
              <w:t>321.534</w:t>
            </w:r>
          </w:p>
        </w:tc>
        <w:tc>
          <w:tcPr>
            <w:tcW w:w="2274" w:type="dxa"/>
          </w:tcPr>
          <w:p w14:paraId="65CBB8DD" w14:textId="77777777" w:rsidR="00ED7EC5" w:rsidRPr="0077118C" w:rsidRDefault="00ED7EC5" w:rsidP="00ED7EC5">
            <w:pPr>
              <w:pStyle w:val="TableParagraph"/>
              <w:spacing w:line="224" w:lineRule="exact"/>
              <w:ind w:left="102" w:right="92"/>
              <w:jc w:val="center"/>
              <w:rPr>
                <w:sz w:val="18"/>
              </w:rPr>
            </w:pPr>
            <w:r w:rsidRPr="0077118C">
              <w:rPr>
                <w:sz w:val="18"/>
              </w:rPr>
              <w:t>33.426</w:t>
            </w:r>
          </w:p>
        </w:tc>
      </w:tr>
    </w:tbl>
    <w:p w14:paraId="71B4B778" w14:textId="77777777" w:rsidR="007E2D50" w:rsidRDefault="007E2D50" w:rsidP="00ED7EC5">
      <w:pPr>
        <w:pStyle w:val="Els-body-text"/>
        <w:spacing w:after="120"/>
        <w:rPr>
          <w:lang w:val="en-GB"/>
        </w:rPr>
      </w:pPr>
    </w:p>
    <w:p w14:paraId="0C68DDA7" w14:textId="10577E81" w:rsidR="00ED7EC5" w:rsidRPr="00ED7EC5" w:rsidRDefault="00ED7EC5" w:rsidP="00ED7EC5">
      <w:pPr>
        <w:pStyle w:val="Els-body-text"/>
        <w:spacing w:after="120"/>
        <w:rPr>
          <w:lang w:val="en-GB"/>
        </w:rPr>
      </w:pPr>
      <w:r w:rsidRPr="00ED7EC5">
        <w:rPr>
          <w:lang w:val="en-GB"/>
        </w:rPr>
        <w:t>When minimizing cost, the model achieved a balance with a cost of 5.693 billion dollars, a backlog of 321.534 million vaccines, and CO</w:t>
      </w:r>
      <w:r w:rsidRPr="00474D19">
        <w:rPr>
          <w:vertAlign w:val="subscript"/>
          <w:lang w:val="en-GB"/>
        </w:rPr>
        <w:t>2</w:t>
      </w:r>
      <w:r w:rsidRPr="00ED7EC5">
        <w:rPr>
          <w:lang w:val="en-GB"/>
        </w:rPr>
        <w:t xml:space="preserve"> emissions of 50.514 million kg. Focusing solely on minimizing the backlog resulted in zero backlog but increased cost and CO</w:t>
      </w:r>
      <w:r w:rsidRPr="00474D19">
        <w:rPr>
          <w:vertAlign w:val="subscript"/>
          <w:lang w:val="en-GB"/>
        </w:rPr>
        <w:t>2</w:t>
      </w:r>
      <w:r w:rsidRPr="00ED7EC5">
        <w:rPr>
          <w:lang w:val="en-GB"/>
        </w:rPr>
        <w:t xml:space="preserve"> emissions, indicating the trade-offs involved. Lastly, targeting CO</w:t>
      </w:r>
      <w:r w:rsidRPr="00474D19">
        <w:rPr>
          <w:vertAlign w:val="subscript"/>
          <w:lang w:val="en-GB"/>
        </w:rPr>
        <w:t>2</w:t>
      </w:r>
      <w:r w:rsidRPr="00ED7EC5">
        <w:rPr>
          <w:lang w:val="en-GB"/>
        </w:rPr>
        <w:t xml:space="preserve"> reduction led to lower emissions </w:t>
      </w:r>
      <w:r w:rsidR="004D305B" w:rsidRPr="004D305B">
        <w:rPr>
          <w:lang w:val="en-GB"/>
        </w:rPr>
        <w:t>but at the cost of higher expenses and backlog</w:t>
      </w:r>
      <w:r w:rsidRPr="00ED7EC5">
        <w:rPr>
          <w:lang w:val="en-GB"/>
        </w:rPr>
        <w:t xml:space="preserve">. These results </w:t>
      </w:r>
      <w:r w:rsidR="009B6C95">
        <w:rPr>
          <w:lang w:val="en-GB"/>
        </w:rPr>
        <w:t>underscore</w:t>
      </w:r>
      <w:r w:rsidR="009B6C95" w:rsidRPr="00ED7EC5">
        <w:rPr>
          <w:lang w:val="en-GB"/>
        </w:rPr>
        <w:t xml:space="preserve"> </w:t>
      </w:r>
      <w:r w:rsidRPr="00ED7EC5">
        <w:rPr>
          <w:lang w:val="en-GB"/>
        </w:rPr>
        <w:t>the inherent compromises in supply chain optimization</w:t>
      </w:r>
      <w:r w:rsidR="004D305B" w:rsidRPr="004D305B">
        <w:rPr>
          <w:lang w:val="en-GB"/>
        </w:rPr>
        <w:t>, emphasizing the need for a balanced approach for practical implementation.</w:t>
      </w:r>
    </w:p>
    <w:p w14:paraId="2E0C004C" w14:textId="079CDBC1" w:rsidR="00ED7EC5" w:rsidRPr="00ED7EC5" w:rsidRDefault="00ED7EC5" w:rsidP="00ED7EC5">
      <w:pPr>
        <w:pStyle w:val="Els-body-text"/>
        <w:spacing w:after="120"/>
        <w:rPr>
          <w:lang w:val="en-GB"/>
        </w:rPr>
      </w:pPr>
      <w:r w:rsidRPr="00ED7EC5">
        <w:rPr>
          <w:lang w:val="en-GB"/>
        </w:rPr>
        <w:t>Table 4 encapsulates the outcomes of a multi-objective optimization using the epsilon constraint method, which simultaneously considers cost, backlog (BL), and CO</w:t>
      </w:r>
      <w:r w:rsidRPr="00474D19">
        <w:rPr>
          <w:vertAlign w:val="subscript"/>
          <w:lang w:val="en-GB"/>
        </w:rPr>
        <w:t xml:space="preserve">2 </w:t>
      </w:r>
      <w:r w:rsidRPr="00ED7EC5">
        <w:rPr>
          <w:lang w:val="en-GB"/>
        </w:rPr>
        <w:t xml:space="preserve">emissions. </w:t>
      </w:r>
    </w:p>
    <w:p w14:paraId="16BA7805" w14:textId="27A73A21" w:rsidR="00554BE7" w:rsidRDefault="00554BE7" w:rsidP="007E3A82">
      <w:pPr>
        <w:pStyle w:val="Els-body-text"/>
        <w:spacing w:after="120"/>
        <w:jc w:val="left"/>
      </w:pPr>
      <w:r>
        <w:t xml:space="preserve">Table </w:t>
      </w:r>
      <w:r>
        <w:fldChar w:fldCharType="begin"/>
      </w:r>
      <w:r>
        <w:instrText xml:space="preserve"> SEQ Table \* ARABIC </w:instrText>
      </w:r>
      <w:r>
        <w:fldChar w:fldCharType="separate"/>
      </w:r>
      <w:r>
        <w:rPr>
          <w:noProof/>
        </w:rPr>
        <w:t>4</w:t>
      </w:r>
      <w:r>
        <w:fldChar w:fldCharType="end"/>
      </w:r>
      <w:r w:rsidR="009B6C95">
        <w:t>.</w:t>
      </w:r>
      <w:r>
        <w:t xml:space="preserve"> </w:t>
      </w:r>
      <w:r w:rsidRPr="00FB2700">
        <w:t>Payoff table</w:t>
      </w:r>
      <w:r w:rsidR="009B6C95">
        <w:t xml:space="preserve"> with</w:t>
      </w:r>
      <w:r w:rsidR="009B6C95" w:rsidRPr="00FB2700">
        <w:t xml:space="preserve"> </w:t>
      </w:r>
      <w:r w:rsidRPr="00FB2700">
        <w:t>multi</w:t>
      </w:r>
      <w:r w:rsidR="009162D9">
        <w:t>-</w:t>
      </w:r>
      <w:r w:rsidRPr="00FB2700">
        <w:t>objective optimization results</w:t>
      </w:r>
    </w:p>
    <w:tbl>
      <w:tblPr>
        <w:tblW w:w="7105" w:type="dxa"/>
        <w:jc w:val="center"/>
        <w:tblBorders>
          <w:insideH w:val="single" w:sz="4" w:space="0" w:color="auto"/>
        </w:tblBorders>
        <w:tblLayout w:type="fixed"/>
        <w:tblCellMar>
          <w:left w:w="0" w:type="dxa"/>
          <w:right w:w="0" w:type="dxa"/>
        </w:tblCellMar>
        <w:tblLook w:val="01E0" w:firstRow="1" w:lastRow="1" w:firstColumn="1" w:lastColumn="1" w:noHBand="0" w:noVBand="0"/>
      </w:tblPr>
      <w:tblGrid>
        <w:gridCol w:w="2405"/>
        <w:gridCol w:w="1190"/>
        <w:gridCol w:w="2070"/>
        <w:gridCol w:w="1440"/>
      </w:tblGrid>
      <w:tr w:rsidR="00ED7EC5" w:rsidRPr="00360ADD" w14:paraId="046DC852" w14:textId="77777777" w:rsidTr="007E3A82">
        <w:trPr>
          <w:trHeight w:val="291"/>
          <w:jc w:val="center"/>
        </w:trPr>
        <w:tc>
          <w:tcPr>
            <w:tcW w:w="2405" w:type="dxa"/>
          </w:tcPr>
          <w:p w14:paraId="7A76B3EC" w14:textId="77777777" w:rsidR="00ED7EC5" w:rsidRPr="0077118C" w:rsidRDefault="00ED7EC5" w:rsidP="00ED7EC5">
            <w:pPr>
              <w:pStyle w:val="TableParagraph"/>
              <w:ind w:left="0"/>
              <w:rPr>
                <w:sz w:val="18"/>
              </w:rPr>
            </w:pPr>
          </w:p>
        </w:tc>
        <w:tc>
          <w:tcPr>
            <w:tcW w:w="1190" w:type="dxa"/>
          </w:tcPr>
          <w:p w14:paraId="36E168AF" w14:textId="77777777" w:rsidR="00ED7EC5" w:rsidRPr="0077118C" w:rsidRDefault="00ED7EC5" w:rsidP="00ED7EC5">
            <w:pPr>
              <w:pStyle w:val="TableParagraph"/>
              <w:spacing w:line="210" w:lineRule="exact"/>
              <w:ind w:left="98" w:right="92"/>
              <w:jc w:val="center"/>
              <w:rPr>
                <w:b/>
                <w:sz w:val="18"/>
              </w:rPr>
            </w:pPr>
            <w:r w:rsidRPr="0077118C">
              <w:rPr>
                <w:b/>
                <w:sz w:val="18"/>
              </w:rPr>
              <w:t>Cost</w:t>
            </w:r>
            <w:r w:rsidRPr="0077118C">
              <w:rPr>
                <w:b/>
                <w:spacing w:val="-3"/>
                <w:sz w:val="18"/>
              </w:rPr>
              <w:t xml:space="preserve"> </w:t>
            </w:r>
            <w:r w:rsidRPr="0077118C">
              <w:rPr>
                <w:b/>
                <w:sz w:val="18"/>
              </w:rPr>
              <w:t>(billion</w:t>
            </w:r>
            <w:r w:rsidRPr="0077118C">
              <w:rPr>
                <w:b/>
                <w:spacing w:val="-2"/>
                <w:sz w:val="18"/>
              </w:rPr>
              <w:t xml:space="preserve"> </w:t>
            </w:r>
            <w:r w:rsidRPr="0077118C">
              <w:rPr>
                <w:b/>
                <w:sz w:val="18"/>
              </w:rPr>
              <w:t>$)</w:t>
            </w:r>
          </w:p>
        </w:tc>
        <w:tc>
          <w:tcPr>
            <w:tcW w:w="2070" w:type="dxa"/>
          </w:tcPr>
          <w:p w14:paraId="0079D679" w14:textId="77777777" w:rsidR="00ED7EC5" w:rsidRPr="0077118C" w:rsidRDefault="00ED7EC5" w:rsidP="00ED7EC5">
            <w:pPr>
              <w:pStyle w:val="TableParagraph"/>
              <w:spacing w:line="210" w:lineRule="exact"/>
              <w:ind w:left="96" w:right="92"/>
              <w:jc w:val="center"/>
              <w:rPr>
                <w:b/>
                <w:sz w:val="18"/>
              </w:rPr>
            </w:pPr>
            <w:r w:rsidRPr="0077118C">
              <w:rPr>
                <w:b/>
                <w:sz w:val="18"/>
              </w:rPr>
              <w:t>BL</w:t>
            </w:r>
            <w:r w:rsidRPr="0077118C">
              <w:rPr>
                <w:b/>
                <w:spacing w:val="-4"/>
                <w:sz w:val="18"/>
              </w:rPr>
              <w:t xml:space="preserve"> </w:t>
            </w:r>
            <w:r w:rsidRPr="0077118C">
              <w:rPr>
                <w:b/>
                <w:sz w:val="18"/>
              </w:rPr>
              <w:t>(Million</w:t>
            </w:r>
            <w:r w:rsidRPr="0077118C">
              <w:rPr>
                <w:b/>
                <w:spacing w:val="-3"/>
                <w:sz w:val="18"/>
              </w:rPr>
              <w:t xml:space="preserve"> </w:t>
            </w:r>
            <w:r w:rsidRPr="0077118C">
              <w:rPr>
                <w:b/>
                <w:sz w:val="18"/>
              </w:rPr>
              <w:t>vaccine)</w:t>
            </w:r>
          </w:p>
        </w:tc>
        <w:tc>
          <w:tcPr>
            <w:tcW w:w="1440" w:type="dxa"/>
          </w:tcPr>
          <w:p w14:paraId="5D258BB7" w14:textId="77777777" w:rsidR="00ED7EC5" w:rsidRPr="0077118C" w:rsidRDefault="00ED7EC5" w:rsidP="00ED7EC5">
            <w:pPr>
              <w:pStyle w:val="TableParagraph"/>
              <w:spacing w:line="210" w:lineRule="exact"/>
              <w:ind w:left="91" w:right="95"/>
              <w:jc w:val="center"/>
              <w:rPr>
                <w:b/>
                <w:sz w:val="18"/>
              </w:rPr>
            </w:pPr>
            <w:r w:rsidRPr="0077118C">
              <w:rPr>
                <w:i/>
                <w:sz w:val="18"/>
              </w:rPr>
              <w:t>CO</w:t>
            </w:r>
            <w:r w:rsidRPr="0077118C">
              <w:rPr>
                <w:sz w:val="18"/>
                <w:vertAlign w:val="subscript"/>
              </w:rPr>
              <w:t>2</w:t>
            </w:r>
            <w:r w:rsidRPr="0077118C">
              <w:rPr>
                <w:spacing w:val="18"/>
                <w:sz w:val="18"/>
              </w:rPr>
              <w:t xml:space="preserve"> </w:t>
            </w:r>
            <w:r w:rsidRPr="0077118C">
              <w:rPr>
                <w:b/>
                <w:sz w:val="18"/>
              </w:rPr>
              <w:t>(Million</w:t>
            </w:r>
            <w:r w:rsidRPr="0077118C">
              <w:rPr>
                <w:b/>
                <w:spacing w:val="7"/>
                <w:sz w:val="18"/>
              </w:rPr>
              <w:t xml:space="preserve"> </w:t>
            </w:r>
            <w:r w:rsidRPr="0077118C">
              <w:rPr>
                <w:b/>
                <w:sz w:val="18"/>
              </w:rPr>
              <w:t>Kg</w:t>
            </w:r>
            <w:r w:rsidRPr="0077118C">
              <w:rPr>
                <w:b/>
                <w:spacing w:val="-4"/>
                <w:sz w:val="18"/>
              </w:rPr>
              <w:t xml:space="preserve"> </w:t>
            </w:r>
            <w:r w:rsidRPr="0077118C">
              <w:rPr>
                <w:i/>
                <w:sz w:val="18"/>
              </w:rPr>
              <w:t>CO</w:t>
            </w:r>
            <w:r w:rsidRPr="0077118C">
              <w:rPr>
                <w:sz w:val="18"/>
                <w:vertAlign w:val="subscript"/>
              </w:rPr>
              <w:t>2</w:t>
            </w:r>
            <w:r w:rsidRPr="0077118C">
              <w:rPr>
                <w:b/>
                <w:sz w:val="18"/>
              </w:rPr>
              <w:t>-eq)</w:t>
            </w:r>
          </w:p>
        </w:tc>
      </w:tr>
      <w:tr w:rsidR="00ED7EC5" w:rsidRPr="009B6C95" w14:paraId="4D2D7DEE" w14:textId="77777777" w:rsidTr="007E3A82">
        <w:trPr>
          <w:trHeight w:val="291"/>
          <w:jc w:val="center"/>
        </w:trPr>
        <w:tc>
          <w:tcPr>
            <w:tcW w:w="2405" w:type="dxa"/>
          </w:tcPr>
          <w:p w14:paraId="02AAB2C2" w14:textId="38EB959C" w:rsidR="00ED7EC5" w:rsidRPr="0077118C" w:rsidRDefault="00ED7EC5" w:rsidP="00ED7EC5">
            <w:pPr>
              <w:pStyle w:val="TableParagraph"/>
              <w:spacing w:line="210" w:lineRule="exact"/>
              <w:ind w:left="118"/>
              <w:rPr>
                <w:b/>
                <w:sz w:val="18"/>
              </w:rPr>
            </w:pPr>
            <w:r w:rsidRPr="0077118C">
              <w:rPr>
                <w:b/>
                <w:sz w:val="18"/>
              </w:rPr>
              <w:t>Multi</w:t>
            </w:r>
            <w:r w:rsidR="00DD0A60">
              <w:rPr>
                <w:b/>
                <w:sz w:val="18"/>
              </w:rPr>
              <w:t>-</w:t>
            </w:r>
            <w:r w:rsidRPr="0077118C">
              <w:rPr>
                <w:b/>
                <w:sz w:val="18"/>
              </w:rPr>
              <w:t>objective</w:t>
            </w:r>
            <w:r w:rsidRPr="0077118C">
              <w:rPr>
                <w:b/>
                <w:spacing w:val="-7"/>
                <w:sz w:val="18"/>
              </w:rPr>
              <w:t xml:space="preserve"> </w:t>
            </w:r>
            <w:r w:rsidRPr="0077118C">
              <w:rPr>
                <w:b/>
                <w:sz w:val="18"/>
              </w:rPr>
              <w:t>Optimization</w:t>
            </w:r>
          </w:p>
        </w:tc>
        <w:tc>
          <w:tcPr>
            <w:tcW w:w="1190" w:type="dxa"/>
          </w:tcPr>
          <w:p w14:paraId="69985C18" w14:textId="77777777" w:rsidR="00ED7EC5" w:rsidRPr="0077118C" w:rsidRDefault="00ED7EC5" w:rsidP="00ED7EC5">
            <w:pPr>
              <w:pStyle w:val="TableParagraph"/>
              <w:spacing w:line="210" w:lineRule="exact"/>
              <w:ind w:left="98" w:right="92"/>
              <w:jc w:val="center"/>
              <w:rPr>
                <w:sz w:val="18"/>
              </w:rPr>
            </w:pPr>
            <w:r w:rsidRPr="0077118C">
              <w:rPr>
                <w:sz w:val="18"/>
              </w:rPr>
              <w:t>6.131</w:t>
            </w:r>
          </w:p>
        </w:tc>
        <w:tc>
          <w:tcPr>
            <w:tcW w:w="2070" w:type="dxa"/>
          </w:tcPr>
          <w:p w14:paraId="1511F797" w14:textId="77777777" w:rsidR="00ED7EC5" w:rsidRPr="0077118C" w:rsidRDefault="00ED7EC5" w:rsidP="00ED7EC5">
            <w:pPr>
              <w:pStyle w:val="TableParagraph"/>
              <w:spacing w:line="210" w:lineRule="exact"/>
              <w:ind w:left="96" w:right="92"/>
              <w:jc w:val="center"/>
              <w:rPr>
                <w:sz w:val="18"/>
              </w:rPr>
            </w:pPr>
            <w:r w:rsidRPr="0077118C">
              <w:rPr>
                <w:sz w:val="18"/>
              </w:rPr>
              <w:t>32.153</w:t>
            </w:r>
          </w:p>
        </w:tc>
        <w:tc>
          <w:tcPr>
            <w:tcW w:w="1440" w:type="dxa"/>
          </w:tcPr>
          <w:p w14:paraId="6D54116D" w14:textId="77777777" w:rsidR="00ED7EC5" w:rsidRPr="0077118C" w:rsidRDefault="00ED7EC5" w:rsidP="00ED7EC5">
            <w:pPr>
              <w:pStyle w:val="TableParagraph"/>
              <w:spacing w:line="210" w:lineRule="exact"/>
              <w:ind w:left="91" w:right="88"/>
              <w:jc w:val="center"/>
              <w:rPr>
                <w:sz w:val="18"/>
              </w:rPr>
            </w:pPr>
            <w:r w:rsidRPr="0077118C">
              <w:rPr>
                <w:sz w:val="18"/>
              </w:rPr>
              <w:t>37.763</w:t>
            </w:r>
          </w:p>
        </w:tc>
      </w:tr>
    </w:tbl>
    <w:p w14:paraId="46797350" w14:textId="77777777" w:rsidR="00CC00BE" w:rsidRDefault="00CC00BE" w:rsidP="00ED7EC5">
      <w:pPr>
        <w:pStyle w:val="Els-body-text"/>
        <w:spacing w:after="120"/>
        <w:rPr>
          <w:lang w:val="en-GB"/>
        </w:rPr>
      </w:pPr>
    </w:p>
    <w:p w14:paraId="2DE1CCD8" w14:textId="2F345BC7" w:rsidR="00273CED" w:rsidRDefault="009B6C95" w:rsidP="00ED7EC5">
      <w:pPr>
        <w:pStyle w:val="Els-body-text"/>
        <w:spacing w:after="120"/>
        <w:rPr>
          <w:lang w:val="en-GB"/>
        </w:rPr>
      </w:pPr>
      <w:r w:rsidRPr="00ED7EC5">
        <w:rPr>
          <w:lang w:val="en-GB"/>
        </w:rPr>
        <w:t>Th</w:t>
      </w:r>
      <w:r>
        <w:rPr>
          <w:lang w:val="en-GB"/>
        </w:rPr>
        <w:t>is trade-off</w:t>
      </w:r>
      <w:r w:rsidRPr="00ED7EC5">
        <w:rPr>
          <w:lang w:val="en-GB"/>
        </w:rPr>
        <w:t xml:space="preserve"> </w:t>
      </w:r>
      <w:r w:rsidR="00ED7EC5" w:rsidRPr="00ED7EC5">
        <w:rPr>
          <w:lang w:val="en-GB"/>
        </w:rPr>
        <w:t>solution showcases the efficacy of the epsilon constraint method in deriving a balanced solution that does not excessively favo</w:t>
      </w:r>
      <w:r>
        <w:rPr>
          <w:lang w:val="en-GB"/>
        </w:rPr>
        <w:t>u</w:t>
      </w:r>
      <w:r w:rsidR="00ED7EC5" w:rsidRPr="00ED7EC5">
        <w:rPr>
          <w:lang w:val="en-GB"/>
        </w:rPr>
        <w:t xml:space="preserve">r one objective over the others. With </w:t>
      </w:r>
      <w:r w:rsidR="00ED7EC5" w:rsidRPr="00ED7EC5">
        <w:rPr>
          <w:lang w:val="en-GB"/>
        </w:rPr>
        <w:lastRenderedPageBreak/>
        <w:t>a cost of 6.131 billion dollars, a backlog of 32.153 million vaccines, and CO</w:t>
      </w:r>
      <w:r w:rsidR="00ED7EC5" w:rsidRPr="00360ADD">
        <w:rPr>
          <w:vertAlign w:val="subscript"/>
          <w:lang w:val="en-GB"/>
        </w:rPr>
        <w:t xml:space="preserve">2 </w:t>
      </w:r>
      <w:r w:rsidR="00ED7EC5" w:rsidRPr="00ED7EC5">
        <w:rPr>
          <w:lang w:val="en-GB"/>
        </w:rPr>
        <w:t>emissions of 37.763 million kg, a feasible and sustainable approach to managing the vaccine supply chain</w:t>
      </w:r>
      <w:r>
        <w:rPr>
          <w:lang w:val="en-GB"/>
        </w:rPr>
        <w:t xml:space="preserve"> is proposed</w:t>
      </w:r>
      <w:r w:rsidR="00ED7EC5" w:rsidRPr="00ED7EC5">
        <w:rPr>
          <w:lang w:val="en-GB"/>
        </w:rPr>
        <w:t>, underlining the method’s capacity to find a middle ground that could be acceptable on multiple fronts.</w:t>
      </w:r>
      <w:r w:rsidR="00CC00BE">
        <w:rPr>
          <w:lang w:val="en-GB"/>
        </w:rPr>
        <w:t xml:space="preserve"> </w:t>
      </w:r>
      <w:r w:rsidR="00ED7EC5" w:rsidRPr="00ED7EC5">
        <w:rPr>
          <w:lang w:val="en-GB"/>
        </w:rPr>
        <w:t>The outcomes of the multi-objective optimization, conducted through the augmented epsilon constraint method, are graphically depicted in Figures 2, 3, and 4. These Pareto fronts collectively encapsulate the trade-offs within the vaccine supply chain optimization process.</w:t>
      </w:r>
      <w:r w:rsidR="00EB39EB">
        <w:rPr>
          <w:lang w:val="en-GB"/>
        </w:rPr>
        <w:t xml:space="preserve"> </w:t>
      </w:r>
      <w:r w:rsidR="00ED7EC5" w:rsidRPr="00ED7EC5">
        <w:rPr>
          <w:lang w:val="en-GB"/>
        </w:rPr>
        <w:t>Figure 2 presents the trade-offs between the cost</w:t>
      </w:r>
      <w:r w:rsidR="0050452B">
        <w:rPr>
          <w:lang w:val="en-GB"/>
        </w:rPr>
        <w:t xml:space="preserve"> (USD)</w:t>
      </w:r>
      <w:r w:rsidR="00ED7EC5" w:rsidRPr="00ED7EC5">
        <w:rPr>
          <w:lang w:val="en-GB"/>
        </w:rPr>
        <w:t xml:space="preserve"> and backlog </w:t>
      </w:r>
      <w:r w:rsidR="0050452B">
        <w:rPr>
          <w:lang w:val="en-GB"/>
        </w:rPr>
        <w:t>(</w:t>
      </w:r>
      <w:r w:rsidR="0041239D">
        <w:rPr>
          <w:lang w:val="en-GB"/>
        </w:rPr>
        <w:t>V</w:t>
      </w:r>
      <w:r w:rsidR="0050452B">
        <w:rPr>
          <w:lang w:val="en-GB"/>
        </w:rPr>
        <w:t xml:space="preserve">accines) </w:t>
      </w:r>
      <w:r w:rsidR="00ED7EC5" w:rsidRPr="00ED7EC5">
        <w:rPr>
          <w:lang w:val="en-GB"/>
        </w:rPr>
        <w:t>in vaccine distribution. Lower costs are associated with higher backlogs, demonstrating the complexities inherent in optimizing for cost-effectiveness while maintaining high levels of service.</w:t>
      </w:r>
    </w:p>
    <w:p w14:paraId="1AE6F879" w14:textId="39F56B05" w:rsidR="00273CED" w:rsidRDefault="00D07F60" w:rsidP="00ED7EC5">
      <w:pPr>
        <w:pStyle w:val="Els-body-text"/>
        <w:spacing w:after="120"/>
        <w:rPr>
          <w:lang w:val="en-GB"/>
        </w:rPr>
      </w:pPr>
      <w:r>
        <w:rPr>
          <w:noProof/>
          <w:lang w:val="en-GB"/>
        </w:rPr>
        <w:drawing>
          <wp:inline distT="0" distB="0" distL="0" distR="0" wp14:anchorId="42DBD6A9" wp14:editId="3081502D">
            <wp:extent cx="4493776" cy="100983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2612" b="2987"/>
                    <a:stretch/>
                  </pic:blipFill>
                  <pic:spPr bwMode="auto">
                    <a:xfrm>
                      <a:off x="0" y="0"/>
                      <a:ext cx="4494212" cy="1009928"/>
                    </a:xfrm>
                    <a:prstGeom prst="rect">
                      <a:avLst/>
                    </a:prstGeom>
                    <a:noFill/>
                    <a:ln>
                      <a:noFill/>
                    </a:ln>
                    <a:extLst>
                      <a:ext uri="{53640926-AAD7-44D8-BBD7-CCE9431645EC}">
                        <a14:shadowObscured xmlns:a14="http://schemas.microsoft.com/office/drawing/2010/main"/>
                      </a:ext>
                    </a:extLst>
                  </pic:spPr>
                </pic:pic>
              </a:graphicData>
            </a:graphic>
          </wp:inline>
        </w:drawing>
      </w:r>
    </w:p>
    <w:p w14:paraId="29740CC2" w14:textId="06B1A7F4" w:rsidR="00190810" w:rsidRDefault="00190810" w:rsidP="00EB39EB">
      <w:pPr>
        <w:pStyle w:val="Els-body-text"/>
        <w:spacing w:after="120"/>
        <w:jc w:val="center"/>
        <w:rPr>
          <w:sz w:val="18"/>
          <w:szCs w:val="18"/>
          <w:lang w:val="en-GB"/>
        </w:rPr>
      </w:pPr>
      <w:r w:rsidRPr="00474D19">
        <w:rPr>
          <w:sz w:val="18"/>
          <w:szCs w:val="18"/>
          <w:lang w:val="en-GB"/>
        </w:rPr>
        <w:t>Figure 2</w:t>
      </w:r>
      <w:r w:rsidR="009B6C95">
        <w:rPr>
          <w:sz w:val="18"/>
          <w:szCs w:val="18"/>
          <w:lang w:val="en-GB"/>
        </w:rPr>
        <w:t>.</w:t>
      </w:r>
      <w:r w:rsidRPr="00474D19">
        <w:rPr>
          <w:sz w:val="18"/>
          <w:szCs w:val="18"/>
          <w:lang w:val="en-GB"/>
        </w:rPr>
        <w:t xml:space="preserve"> Pareto front</w:t>
      </w:r>
      <w:r w:rsidR="009B6C95">
        <w:rPr>
          <w:sz w:val="18"/>
          <w:szCs w:val="18"/>
          <w:lang w:val="en-GB"/>
        </w:rPr>
        <w:t xml:space="preserve"> with</w:t>
      </w:r>
      <w:r w:rsidR="009B6C95" w:rsidRPr="00474D19">
        <w:rPr>
          <w:sz w:val="18"/>
          <w:szCs w:val="18"/>
          <w:lang w:val="en-GB"/>
        </w:rPr>
        <w:t xml:space="preserve"> </w:t>
      </w:r>
      <w:r w:rsidR="00EB39EB" w:rsidRPr="00474D19">
        <w:rPr>
          <w:sz w:val="18"/>
          <w:szCs w:val="18"/>
          <w:lang w:val="en-GB"/>
        </w:rPr>
        <w:t xml:space="preserve">cost and backlog </w:t>
      </w:r>
    </w:p>
    <w:p w14:paraId="50E63059" w14:textId="3D5E653C" w:rsidR="00ED7EC5" w:rsidRDefault="00ED7EC5" w:rsidP="00ED7EC5">
      <w:pPr>
        <w:pStyle w:val="Els-body-text"/>
        <w:spacing w:after="120"/>
        <w:rPr>
          <w:lang w:val="en-GB"/>
        </w:rPr>
      </w:pPr>
      <w:r w:rsidRPr="00ED7EC5">
        <w:rPr>
          <w:lang w:val="en-GB"/>
        </w:rPr>
        <w:t xml:space="preserve">In Figure 3, the interplay between operational costs </w:t>
      </w:r>
      <w:r w:rsidR="00C94D3A">
        <w:rPr>
          <w:lang w:val="en-GB"/>
        </w:rPr>
        <w:t xml:space="preserve">(USD) </w:t>
      </w:r>
      <w:r w:rsidRPr="00ED7EC5">
        <w:rPr>
          <w:lang w:val="en-GB"/>
        </w:rPr>
        <w:t>and CO</w:t>
      </w:r>
      <w:r w:rsidRPr="00474D19">
        <w:rPr>
          <w:vertAlign w:val="subscript"/>
          <w:lang w:val="en-GB"/>
        </w:rPr>
        <w:t>2</w:t>
      </w:r>
      <w:r w:rsidRPr="00ED7EC5">
        <w:rPr>
          <w:lang w:val="en-GB"/>
        </w:rPr>
        <w:t xml:space="preserve"> emissions </w:t>
      </w:r>
      <w:r w:rsidR="00C94D3A">
        <w:rPr>
          <w:lang w:val="en-GB"/>
        </w:rPr>
        <w:t xml:space="preserve">(kg) </w:t>
      </w:r>
      <w:r w:rsidRPr="00ED7EC5">
        <w:rPr>
          <w:lang w:val="en-GB"/>
        </w:rPr>
        <w:t>is explored. It becomes evident that more cost-effective operations tend to result in increased emissions, positing a challenge for balancing financial and environmental considerations in supply chain management.</w:t>
      </w:r>
    </w:p>
    <w:p w14:paraId="22A60730" w14:textId="68903105" w:rsidR="00C94D3A" w:rsidRDefault="00D07F60" w:rsidP="009206E5">
      <w:pPr>
        <w:pStyle w:val="Els-body-text"/>
        <w:spacing w:after="120"/>
        <w:rPr>
          <w:lang w:val="en-GB"/>
        </w:rPr>
      </w:pPr>
      <w:r>
        <w:rPr>
          <w:noProof/>
          <w:lang w:val="en-GB"/>
        </w:rPr>
        <w:drawing>
          <wp:inline distT="0" distB="0" distL="0" distR="0" wp14:anchorId="3844241F" wp14:editId="6AAEED86">
            <wp:extent cx="4492414" cy="989349"/>
            <wp:effectExtent l="0" t="0" r="381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3116" b="3970"/>
                    <a:stretch/>
                  </pic:blipFill>
                  <pic:spPr bwMode="auto">
                    <a:xfrm>
                      <a:off x="0" y="0"/>
                      <a:ext cx="4497070" cy="990374"/>
                    </a:xfrm>
                    <a:prstGeom prst="rect">
                      <a:avLst/>
                    </a:prstGeom>
                    <a:noFill/>
                    <a:ln>
                      <a:noFill/>
                    </a:ln>
                    <a:extLst>
                      <a:ext uri="{53640926-AAD7-44D8-BBD7-CCE9431645EC}">
                        <a14:shadowObscured xmlns:a14="http://schemas.microsoft.com/office/drawing/2010/main"/>
                      </a:ext>
                    </a:extLst>
                  </pic:spPr>
                </pic:pic>
              </a:graphicData>
            </a:graphic>
          </wp:inline>
        </w:drawing>
      </w:r>
    </w:p>
    <w:p w14:paraId="64E3E49C" w14:textId="6884FA21" w:rsidR="00EB39EB" w:rsidRDefault="00EB39EB" w:rsidP="00EB39EB">
      <w:pPr>
        <w:pStyle w:val="Els-body-text"/>
        <w:spacing w:after="120"/>
        <w:jc w:val="center"/>
        <w:rPr>
          <w:sz w:val="18"/>
          <w:szCs w:val="18"/>
          <w:lang w:val="en-GB"/>
        </w:rPr>
      </w:pPr>
      <w:r w:rsidRPr="00185181">
        <w:rPr>
          <w:sz w:val="18"/>
          <w:szCs w:val="18"/>
          <w:lang w:val="en-GB"/>
        </w:rPr>
        <w:t xml:space="preserve">Figure </w:t>
      </w:r>
      <w:r>
        <w:rPr>
          <w:sz w:val="18"/>
          <w:szCs w:val="18"/>
          <w:lang w:val="en-GB"/>
        </w:rPr>
        <w:t>3</w:t>
      </w:r>
      <w:r w:rsidR="009B6C95">
        <w:rPr>
          <w:sz w:val="18"/>
          <w:szCs w:val="18"/>
          <w:lang w:val="en-GB"/>
        </w:rPr>
        <w:t>.</w:t>
      </w:r>
      <w:r w:rsidRPr="00185181">
        <w:rPr>
          <w:sz w:val="18"/>
          <w:szCs w:val="18"/>
          <w:lang w:val="en-GB"/>
        </w:rPr>
        <w:t xml:space="preserve"> Pareto fron</w:t>
      </w:r>
      <w:r w:rsidR="009B6C95">
        <w:rPr>
          <w:sz w:val="18"/>
          <w:szCs w:val="18"/>
          <w:lang w:val="en-GB"/>
        </w:rPr>
        <w:t>t with</w:t>
      </w:r>
      <w:r w:rsidRPr="00185181">
        <w:rPr>
          <w:sz w:val="18"/>
          <w:szCs w:val="18"/>
          <w:lang w:val="en-GB"/>
        </w:rPr>
        <w:t xml:space="preserve"> cost and </w:t>
      </w:r>
      <w:r>
        <w:rPr>
          <w:sz w:val="18"/>
          <w:szCs w:val="18"/>
          <w:lang w:val="en-GB"/>
        </w:rPr>
        <w:t>CO</w:t>
      </w:r>
      <w:r w:rsidRPr="00474D19">
        <w:rPr>
          <w:sz w:val="18"/>
          <w:szCs w:val="18"/>
          <w:vertAlign w:val="subscript"/>
          <w:lang w:val="en-GB"/>
        </w:rPr>
        <w:t>2</w:t>
      </w:r>
      <w:r>
        <w:rPr>
          <w:sz w:val="18"/>
          <w:szCs w:val="18"/>
          <w:lang w:val="en-GB"/>
        </w:rPr>
        <w:t xml:space="preserve"> emissions</w:t>
      </w:r>
    </w:p>
    <w:p w14:paraId="6EA847B9" w14:textId="507CB08F" w:rsidR="00EB39EB" w:rsidRPr="00185181" w:rsidRDefault="00EB39EB" w:rsidP="00474D19">
      <w:pPr>
        <w:pStyle w:val="Els-body-text"/>
        <w:spacing w:after="120"/>
        <w:rPr>
          <w:sz w:val="18"/>
          <w:szCs w:val="18"/>
          <w:lang w:val="en-GB"/>
        </w:rPr>
      </w:pPr>
      <w:r w:rsidRPr="00ED7EC5">
        <w:rPr>
          <w:lang w:val="en-GB"/>
        </w:rPr>
        <w:t xml:space="preserve">Figure 4 demonstrates the correlation between backlog </w:t>
      </w:r>
      <w:r>
        <w:rPr>
          <w:lang w:val="en-GB"/>
        </w:rPr>
        <w:t xml:space="preserve">(Vaccines) </w:t>
      </w:r>
      <w:r w:rsidRPr="00ED7EC5">
        <w:rPr>
          <w:lang w:val="en-GB"/>
        </w:rPr>
        <w:t>and CO</w:t>
      </w:r>
      <w:r w:rsidRPr="00185181">
        <w:rPr>
          <w:vertAlign w:val="subscript"/>
          <w:lang w:val="en-GB"/>
        </w:rPr>
        <w:t>2</w:t>
      </w:r>
      <w:r w:rsidRPr="00ED7EC5">
        <w:rPr>
          <w:lang w:val="en-GB"/>
        </w:rPr>
        <w:t xml:space="preserve"> </w:t>
      </w:r>
      <w:r>
        <w:rPr>
          <w:lang w:val="en-GB"/>
        </w:rPr>
        <w:t xml:space="preserve">(kg) </w:t>
      </w:r>
      <w:r w:rsidRPr="00ED7EC5">
        <w:rPr>
          <w:lang w:val="en-GB"/>
        </w:rPr>
        <w:t xml:space="preserve">emissions. It is observed that scenarios with reduced backlogs are associated with </w:t>
      </w:r>
      <w:r w:rsidR="009B6C95">
        <w:rPr>
          <w:lang w:val="en-GB"/>
        </w:rPr>
        <w:t>higher</w:t>
      </w:r>
      <w:r w:rsidR="009B6C95" w:rsidRPr="00ED7EC5">
        <w:rPr>
          <w:lang w:val="en-GB"/>
        </w:rPr>
        <w:t xml:space="preserve"> </w:t>
      </w:r>
      <w:r w:rsidRPr="00ED7EC5">
        <w:rPr>
          <w:lang w:val="en-GB"/>
        </w:rPr>
        <w:t>emissions, underscoring the environmental cost of enhanced service levels in vaccine distribution.</w:t>
      </w:r>
      <w:r w:rsidRPr="00185181">
        <w:rPr>
          <w:sz w:val="18"/>
          <w:szCs w:val="18"/>
          <w:lang w:val="en-GB"/>
        </w:rPr>
        <w:t xml:space="preserve"> </w:t>
      </w:r>
    </w:p>
    <w:p w14:paraId="281D24FF" w14:textId="48B2DE93" w:rsidR="00554BE7" w:rsidRDefault="0041239D" w:rsidP="00554BE7">
      <w:pPr>
        <w:pStyle w:val="Els-body-text"/>
        <w:keepNext/>
        <w:spacing w:after="120"/>
      </w:pPr>
      <w:r>
        <w:rPr>
          <w:noProof/>
          <w:lang w:val="en-GB"/>
        </w:rPr>
        <w:drawing>
          <wp:inline distT="0" distB="0" distL="0" distR="0" wp14:anchorId="318906FE" wp14:editId="6310AFE7">
            <wp:extent cx="4456428" cy="942833"/>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3603" r="882" b="6968"/>
                    <a:stretch/>
                  </pic:blipFill>
                  <pic:spPr bwMode="auto">
                    <a:xfrm>
                      <a:off x="0" y="0"/>
                      <a:ext cx="4457440" cy="943047"/>
                    </a:xfrm>
                    <a:prstGeom prst="rect">
                      <a:avLst/>
                    </a:prstGeom>
                    <a:noFill/>
                    <a:ln>
                      <a:noFill/>
                    </a:ln>
                    <a:extLst>
                      <a:ext uri="{53640926-AAD7-44D8-BBD7-CCE9431645EC}">
                        <a14:shadowObscured xmlns:a14="http://schemas.microsoft.com/office/drawing/2010/main"/>
                      </a:ext>
                    </a:extLst>
                  </pic:spPr>
                </pic:pic>
              </a:graphicData>
            </a:graphic>
          </wp:inline>
        </w:drawing>
      </w:r>
    </w:p>
    <w:p w14:paraId="37D51754" w14:textId="21580277" w:rsidR="00ED7EC5" w:rsidRPr="00ED7EC5" w:rsidRDefault="00554BE7" w:rsidP="00554BE7">
      <w:pPr>
        <w:pStyle w:val="Caption"/>
        <w:jc w:val="center"/>
        <w:rPr>
          <w:lang w:val="en-GB"/>
        </w:rPr>
      </w:pPr>
      <w:r>
        <w:t xml:space="preserve">Figure </w:t>
      </w:r>
      <w:r>
        <w:fldChar w:fldCharType="begin"/>
      </w:r>
      <w:r>
        <w:instrText xml:space="preserve"> SEQ Figure \* ARABIC </w:instrText>
      </w:r>
      <w:r>
        <w:fldChar w:fldCharType="separate"/>
      </w:r>
      <w:r>
        <w:rPr>
          <w:noProof/>
        </w:rPr>
        <w:t>4</w:t>
      </w:r>
      <w:r>
        <w:fldChar w:fldCharType="end"/>
      </w:r>
      <w:r w:rsidR="009B6C95">
        <w:t>.</w:t>
      </w:r>
      <w:r>
        <w:t xml:space="preserve"> </w:t>
      </w:r>
      <w:r w:rsidRPr="00045A36">
        <w:t>Pareto front</w:t>
      </w:r>
      <w:r w:rsidR="009B6C95">
        <w:t xml:space="preserve"> with</w:t>
      </w:r>
      <w:r w:rsidRPr="00045A36">
        <w:t xml:space="preserve"> backlog</w:t>
      </w:r>
      <w:r w:rsidR="00C94D3A">
        <w:t xml:space="preserve"> </w:t>
      </w:r>
      <w:r w:rsidRPr="00045A36">
        <w:t>and CO</w:t>
      </w:r>
      <w:r w:rsidRPr="00474D19">
        <w:rPr>
          <w:vertAlign w:val="subscript"/>
        </w:rPr>
        <w:t>2</w:t>
      </w:r>
      <w:r w:rsidRPr="00045A36">
        <w:t xml:space="preserve"> emissions.</w:t>
      </w:r>
    </w:p>
    <w:p w14:paraId="5D814201" w14:textId="6C3C230A" w:rsidR="00ED7EC5" w:rsidRDefault="00ED7EC5" w:rsidP="00ED7EC5">
      <w:pPr>
        <w:pStyle w:val="Els-body-text"/>
        <w:spacing w:after="120"/>
        <w:rPr>
          <w:lang w:val="en-GB"/>
        </w:rPr>
      </w:pPr>
      <w:r w:rsidRPr="00ED7EC5">
        <w:rPr>
          <w:lang w:val="en-GB"/>
        </w:rPr>
        <w:t>Together, these Pareto fronts offer a multifaceted view of the decision-making landscape, where the goals of minimizing costs and backlogs must be weighed against the imperative of reducing carbon footprint. The analyses provide strategic insights into achieving an optimal compromise in the complex domain of global vaccine distribution logistics.</w:t>
      </w:r>
    </w:p>
    <w:p w14:paraId="040840C8" w14:textId="77777777" w:rsidR="00ED7EC5" w:rsidRDefault="00ED7EC5" w:rsidP="00ED7EC5">
      <w:pPr>
        <w:pStyle w:val="Els-1storder-head"/>
      </w:pPr>
      <w:r w:rsidRPr="00ED7EC5">
        <w:rPr>
          <w:lang w:val="en-GB"/>
        </w:rPr>
        <w:lastRenderedPageBreak/>
        <w:t>Conclusions</w:t>
      </w:r>
    </w:p>
    <w:p w14:paraId="07564E81" w14:textId="1E16BA19" w:rsidR="00ED7EC5" w:rsidRDefault="0004296B" w:rsidP="0004296B">
      <w:pPr>
        <w:pStyle w:val="Els-body-text"/>
        <w:spacing w:after="120"/>
        <w:rPr>
          <w:lang w:val="en-GB"/>
        </w:rPr>
      </w:pPr>
      <w:r w:rsidRPr="0004296B">
        <w:rPr>
          <w:lang w:val="en-GB"/>
        </w:rPr>
        <w:t>In this study, a novel Pharmaceutical Supply Chain (PSC) model for the effective distribution of COVID-19 vaccines has been developed. This model showcases a significant advancement in supply chain management by integrating a multi-objective optimization framework using MILP within the GAMS environment. Its unique capability lies in balancing critical objectives like minimizing costs, reducing CO</w:t>
      </w:r>
      <w:r w:rsidRPr="00474D19">
        <w:rPr>
          <w:vertAlign w:val="subscript"/>
          <w:lang w:val="en-GB"/>
        </w:rPr>
        <w:t>2</w:t>
      </w:r>
      <w:r w:rsidRPr="0004296B">
        <w:rPr>
          <w:lang w:val="en-GB"/>
        </w:rPr>
        <w:t xml:space="preserve"> emissions, and optimizing backlog during a 40-week vaccination campaign. Employing the augmented epsilon-constraint method, the model effectively navigates trade-offs between these objectives, aiding informed PSC management decisions. Its comprehensive approach, drawing from diverse data sources including academic research and public health data, ensures robustness and adaptability in the complex realm of pharmaceutical supply chains, especially during pandemics. While the multi-objective nature of the model impacts resolution times, it achieves a significant reduction in CO</w:t>
      </w:r>
      <w:r w:rsidRPr="00474D19">
        <w:rPr>
          <w:vertAlign w:val="subscript"/>
          <w:lang w:val="en-GB"/>
        </w:rPr>
        <w:t>2</w:t>
      </w:r>
      <w:r w:rsidRPr="0004296B">
        <w:rPr>
          <w:lang w:val="en-GB"/>
        </w:rPr>
        <w:t xml:space="preserve"> emissions, at least 38%, highlighting its substantial contribution to managing pharmaceutical supply chains more effectively in crisis situations like the COVID-19 pandemic</w:t>
      </w:r>
      <w:r w:rsidR="00ED7EC5" w:rsidRPr="00ED7EC5">
        <w:rPr>
          <w:lang w:val="en-GB"/>
        </w:rPr>
        <w:t>.</w:t>
      </w:r>
    </w:p>
    <w:sdt>
      <w:sdtPr>
        <w:rPr>
          <w:b w:val="0"/>
          <w:noProof/>
          <w:sz w:val="20"/>
          <w:szCs w:val="20"/>
          <w:lang w:val="en-GB"/>
        </w:rPr>
        <w:id w:val="-172498652"/>
        <w:docPartObj>
          <w:docPartGallery w:val="Bibliographies"/>
          <w:docPartUnique/>
        </w:docPartObj>
      </w:sdtPr>
      <w:sdtEndPr>
        <w:rPr>
          <w:sz w:val="18"/>
        </w:rPr>
      </w:sdtEndPr>
      <w:sdtContent>
        <w:p w14:paraId="2E3DA32A" w14:textId="7D1A73E0" w:rsidR="001A7D23" w:rsidRPr="00C22131" w:rsidRDefault="001A7D23" w:rsidP="00C22131">
          <w:pPr>
            <w:pStyle w:val="Els-reference-head"/>
          </w:pPr>
          <w:r w:rsidRPr="00C22131">
            <w:rPr>
              <w:lang w:val="en-GB"/>
            </w:rPr>
            <w:t>References</w:t>
          </w:r>
        </w:p>
        <w:sdt>
          <w:sdtPr>
            <w:id w:val="-573587230"/>
            <w:bibliography/>
          </w:sdtPr>
          <w:sdtEndPr>
            <w:rPr>
              <w:highlight w:val="yellow"/>
            </w:rPr>
          </w:sdtEndPr>
          <w:sdtContent>
            <w:p w14:paraId="2794FBC2" w14:textId="77777777" w:rsidR="001A7D23" w:rsidRPr="00C22131" w:rsidRDefault="001A7D23" w:rsidP="00C22131">
              <w:pPr>
                <w:pStyle w:val="Els-referenceno-number"/>
                <w:jc w:val="both"/>
              </w:pPr>
              <w:r w:rsidRPr="00C22131">
                <w:fldChar w:fldCharType="begin"/>
              </w:r>
              <w:r w:rsidRPr="00C22131">
                <w:instrText xml:space="preserve"> BIBLIOGRAPHY </w:instrText>
              </w:r>
              <w:r w:rsidRPr="00C22131">
                <w:fldChar w:fldCharType="separate"/>
              </w:r>
              <w:r w:rsidRPr="00C22131">
                <w:t>Alnaji, L. (2013). The role of Supply Chain Applications in Jordanian Pharmacies: A case study on Pharmacies in the capital city Amman. Industrial Engineering Letters, 65--71.</w:t>
              </w:r>
            </w:p>
            <w:p w14:paraId="062880AF" w14:textId="77777777" w:rsidR="001A7D23" w:rsidRPr="00C22131" w:rsidRDefault="001A7D23" w:rsidP="00C22131">
              <w:pPr>
                <w:pStyle w:val="Els-referenceno-number"/>
                <w:jc w:val="both"/>
              </w:pPr>
              <w:r w:rsidRPr="00C22131">
                <w:t>Holm, M. (2021). Critical aspects of packaging, storage, preparation, and administration of mRNA and adenovirus-vectored COVID-19 vaccines for optimal efficacy. Vaccine, 457.</w:t>
              </w:r>
            </w:p>
            <w:p w14:paraId="5ADD62A2" w14:textId="77777777" w:rsidR="001A7D23" w:rsidRPr="00C22131" w:rsidRDefault="001A7D23" w:rsidP="00C22131">
              <w:pPr>
                <w:pStyle w:val="Els-referenceno-number"/>
                <w:jc w:val="both"/>
              </w:pPr>
              <w:r w:rsidRPr="00C22131">
                <w:t>Ibrahim, D. (2021). Model-based planning and delivery of mass vaccination campaigns against infectious disease: Application to the COVID-19 pandemic in the UK. Vaccines, 430--445.</w:t>
              </w:r>
            </w:p>
            <w:p w14:paraId="7A1DCF5E" w14:textId="77777777" w:rsidR="001A7D23" w:rsidRPr="00C22131" w:rsidRDefault="001A7D23" w:rsidP="00C22131">
              <w:pPr>
                <w:pStyle w:val="Els-referenceno-number"/>
                <w:jc w:val="both"/>
              </w:pPr>
              <w:r w:rsidRPr="00C22131">
                <w:t>Ivanov, D., &amp; Dolgui, A. (2020). Viability of intertwined supply networks: extending the supply chain resilience angles towards survivability. A position paper motivated by COVID-19 outbreak. International journal of production research, 2904--2915.</w:t>
              </w:r>
            </w:p>
            <w:p w14:paraId="64A94647" w14:textId="77777777" w:rsidR="001A7D23" w:rsidRPr="00C22131" w:rsidRDefault="001A7D23" w:rsidP="00C22131">
              <w:pPr>
                <w:pStyle w:val="Els-referenceno-number"/>
                <w:jc w:val="both"/>
              </w:pPr>
              <w:r w:rsidRPr="00C22131">
                <w:t>Kurzweil, P. (2021). The ecological footprint of COVID-19 mRNA vaccines: estimating greenhouse gas emissions in Germany. International Journal of Environmental Research and Public Health, 7425.</w:t>
              </w:r>
            </w:p>
            <w:p w14:paraId="4CF9F8D2" w14:textId="77777777" w:rsidR="001A7D23" w:rsidRPr="00C22131" w:rsidRDefault="001A7D23" w:rsidP="00C22131">
              <w:pPr>
                <w:pStyle w:val="Els-referenceno-number"/>
                <w:jc w:val="both"/>
              </w:pPr>
              <w:r w:rsidRPr="00C22131">
                <w:t>Lainez, J. (2012). Prospective and perspective review in integrated supply chain modelling for the chemical process industry. Current Opinion in Chemical Engineering, 430--445.</w:t>
              </w:r>
            </w:p>
            <w:p w14:paraId="114BF5D4" w14:textId="77777777" w:rsidR="001A7D23" w:rsidRPr="00C22131" w:rsidRDefault="001A7D23" w:rsidP="00C22131">
              <w:pPr>
                <w:pStyle w:val="Els-referenceno-number"/>
                <w:jc w:val="both"/>
              </w:pPr>
              <w:r w:rsidRPr="00C22131">
                <w:t>Martonosi, S. (2021). Pricing the COVID-19 vaccine: A mathematical approach. Omega, 102451.</w:t>
              </w:r>
            </w:p>
            <w:p w14:paraId="2A228974" w14:textId="77777777" w:rsidR="001A7D23" w:rsidRPr="00C22131" w:rsidRDefault="001A7D23" w:rsidP="00C22131">
              <w:pPr>
                <w:pStyle w:val="Els-referenceno-number"/>
                <w:jc w:val="both"/>
              </w:pPr>
              <w:r w:rsidRPr="00C22131">
                <w:t>Mavrotas, G. (2009). Effective implementation of the $\varepsilon$-constraint method in multi-objective mathematical programming problems},. Applied mathematics and computation, 455--465.</w:t>
              </w:r>
            </w:p>
            <w:p w14:paraId="09FFECE7" w14:textId="77777777" w:rsidR="001A7D23" w:rsidRPr="00C22131" w:rsidRDefault="001A7D23" w:rsidP="00C22131">
              <w:pPr>
                <w:pStyle w:val="Els-referenceno-number"/>
                <w:jc w:val="both"/>
              </w:pPr>
              <w:r w:rsidRPr="00C22131">
                <w:t>Organization, W. H. (2022). Operational guidance on establishing an ultra-cold chain system in support of the Pfizer-BioNTech COVID-19 vaccine rollout, 1 February 2022.</w:t>
              </w:r>
            </w:p>
            <w:p w14:paraId="3A301184" w14:textId="77777777" w:rsidR="001A7D23" w:rsidRPr="00C22131" w:rsidRDefault="001A7D23" w:rsidP="00C22131">
              <w:pPr>
                <w:pStyle w:val="Els-referenceno-number"/>
                <w:jc w:val="both"/>
              </w:pPr>
              <w:r w:rsidRPr="00C22131">
                <w:t>Papageorgiou, L. G. (2009). Supply chain optimisation for the process industries: Advances and opportunities. Elsevier, 1931--1938.</w:t>
              </w:r>
            </w:p>
            <w:p w14:paraId="7F38A1B9" w14:textId="77777777" w:rsidR="001A7D23" w:rsidRPr="00C22131" w:rsidRDefault="001A7D23" w:rsidP="00C22131">
              <w:pPr>
                <w:pStyle w:val="Els-referenceno-number"/>
                <w:jc w:val="both"/>
              </w:pPr>
              <w:r w:rsidRPr="00C22131">
                <w:t>Sadjadi, S. (2019). The design of the vaccine supply network under uncertain condition: A robust mathematical programming approach. Journal of Modelling in Management, 841--871.</w:t>
              </w:r>
            </w:p>
            <w:p w14:paraId="3AA12673" w14:textId="77777777" w:rsidR="001A7D23" w:rsidRPr="00C22131" w:rsidRDefault="001A7D23" w:rsidP="00C22131">
              <w:pPr>
                <w:pStyle w:val="Els-referenceno-number"/>
                <w:jc w:val="both"/>
              </w:pPr>
              <w:r w:rsidRPr="00C22131">
                <w:t>Sazvar, Z. (2021). Designing a sustainable closed-loop pharmaceutical supply chain in a competitive market considering demand uncertainty, manufacturer’s brand and waste management. Annals of Operations Research, 1--32.</w:t>
              </w:r>
            </w:p>
            <w:p w14:paraId="534CE783" w14:textId="77777777" w:rsidR="001A7D23" w:rsidRPr="00C22131" w:rsidRDefault="001A7D23" w:rsidP="00C22131">
              <w:pPr>
                <w:pStyle w:val="Els-referenceno-number"/>
                <w:jc w:val="both"/>
              </w:pPr>
              <w:r w:rsidRPr="00C22131">
                <w:t>Uthayakumar, R. (2013). Pharmaceutical supply chain and inventory management strategies: Optimization for a pharmaceutical company and a hospital. Operations Research for Health Care, 52--64.</w:t>
              </w:r>
            </w:p>
            <w:p w14:paraId="485A6F58" w14:textId="77777777" w:rsidR="001A7D23" w:rsidRPr="00C22131" w:rsidRDefault="001A7D23" w:rsidP="00C22131">
              <w:pPr>
                <w:pStyle w:val="Els-referenceno-number"/>
                <w:jc w:val="both"/>
              </w:pPr>
              <w:r w:rsidRPr="00C22131">
                <w:t>Zahiri, B. (2018). Design of a pharmaceutical supply chain network under uncertainty considering perishability and substitutability of products. Information sciences, 257--283.</w:t>
              </w:r>
            </w:p>
            <w:p w14:paraId="3E666552" w14:textId="0A0B96CA" w:rsidR="001A7D23" w:rsidRPr="005B7F72" w:rsidRDefault="001A7D23" w:rsidP="00C22131">
              <w:pPr>
                <w:pStyle w:val="Els-referenceno-number"/>
                <w:jc w:val="both"/>
              </w:pPr>
              <w:r w:rsidRPr="00C22131">
                <w:fldChar w:fldCharType="end"/>
              </w:r>
            </w:p>
          </w:sdtContent>
        </w:sdt>
      </w:sdtContent>
    </w:sdt>
    <w:sectPr w:rsidR="001A7D23" w:rsidRPr="005B7F72" w:rsidSect="008B0184">
      <w:headerReference w:type="even" r:id="rId13"/>
      <w:headerReference w:type="default" r:id="rId14"/>
      <w:head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7877F" w14:textId="77777777" w:rsidR="009669A1" w:rsidRDefault="009669A1">
      <w:r>
        <w:separator/>
      </w:r>
    </w:p>
  </w:endnote>
  <w:endnote w:type="continuationSeparator" w:id="0">
    <w:p w14:paraId="0A10077D" w14:textId="77777777" w:rsidR="009669A1" w:rsidRDefault="0096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1C2BE" w14:textId="77777777" w:rsidR="009669A1" w:rsidRDefault="009669A1">
      <w:r>
        <w:separator/>
      </w:r>
    </w:p>
  </w:footnote>
  <w:footnote w:type="continuationSeparator" w:id="0">
    <w:p w14:paraId="503F727F" w14:textId="77777777" w:rsidR="009669A1" w:rsidRDefault="00966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3387003E" w:rsidR="00ED7EC5" w:rsidRPr="003F01B8" w:rsidRDefault="00ED7EC5">
    <w:pPr>
      <w:pStyle w:val="Header"/>
      <w:tabs>
        <w:tab w:val="clear" w:pos="7200"/>
        <w:tab w:val="right" w:pos="7088"/>
      </w:tabs>
      <w:rPr>
        <w:lang w:val="fr-FR"/>
      </w:rPr>
    </w:pPr>
    <w:r>
      <w:rPr>
        <w:rStyle w:val="PageNumber"/>
      </w:rPr>
      <w:tab/>
    </w:r>
    <w:r>
      <w:rPr>
        <w:rStyle w:val="PageNumber"/>
        <w:i/>
      </w:rPr>
      <w:tab/>
    </w:r>
    <w:r w:rsidRPr="003F01B8">
      <w:rPr>
        <w:i/>
        <w:lang w:val="fr-FR"/>
      </w:rPr>
      <w:t>J.Cuevas-Lopez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5C02B8BB" w:rsidR="00ED7EC5" w:rsidRPr="003F01B8" w:rsidRDefault="00ED7EC5" w:rsidP="003F01B8">
    <w:pPr>
      <w:pStyle w:val="Header"/>
    </w:pPr>
    <w:r w:rsidRPr="003F01B8">
      <w:rPr>
        <w:i/>
      </w:rPr>
      <w:t>Multi-objective optimization for pharmaceutical sup- ply chain design: application to COVID-19 vaccine distribution network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ED7EC5" w:rsidRPr="003B50B5" w:rsidRDefault="00ED7EC5"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ED7EC5" w:rsidRPr="009B4BFC" w:rsidRDefault="00ED7EC5" w:rsidP="00F06842">
    <w:pPr>
      <w:tabs>
        <w:tab w:val="right" w:pos="7086"/>
      </w:tabs>
      <w:rPr>
        <w:lang w:val="en-GB"/>
      </w:rPr>
    </w:pPr>
    <w:r w:rsidRPr="009B4BFC">
      <w:rPr>
        <w:sz w:val="18"/>
        <w:szCs w:val="18"/>
        <w:lang w:val="en-GB"/>
      </w:rPr>
      <w:t>© 2024 Elsevier B.V. All rights reserved.</w:t>
    </w:r>
    <w:r w:rsidRPr="009B4BFC">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83B36"/>
    <w:multiLevelType w:val="hybridMultilevel"/>
    <w:tmpl w:val="6CF8D406"/>
    <w:lvl w:ilvl="0" w:tplc="78B8CD2C">
      <w:numFmt w:val="bullet"/>
      <w:lvlText w:val="-"/>
      <w:lvlJc w:val="left"/>
      <w:pPr>
        <w:ind w:left="234" w:hanging="117"/>
      </w:pPr>
      <w:rPr>
        <w:rFonts w:ascii="Times New Roman" w:eastAsia="Times New Roman" w:hAnsi="Times New Roman" w:cs="Times New Roman" w:hint="default"/>
        <w:w w:val="99"/>
        <w:sz w:val="20"/>
        <w:szCs w:val="20"/>
        <w:lang w:val="en-US" w:eastAsia="en-US" w:bidi="ar-SA"/>
      </w:rPr>
    </w:lvl>
    <w:lvl w:ilvl="1" w:tplc="A9C2E1BE">
      <w:numFmt w:val="bullet"/>
      <w:lvlText w:val="•"/>
      <w:lvlJc w:val="left"/>
      <w:pPr>
        <w:ind w:left="429" w:hanging="117"/>
      </w:pPr>
      <w:rPr>
        <w:rFonts w:hint="default"/>
        <w:lang w:val="en-US" w:eastAsia="en-US" w:bidi="ar-SA"/>
      </w:rPr>
    </w:lvl>
    <w:lvl w:ilvl="2" w:tplc="CB841CA8">
      <w:numFmt w:val="bullet"/>
      <w:lvlText w:val="•"/>
      <w:lvlJc w:val="left"/>
      <w:pPr>
        <w:ind w:left="619" w:hanging="117"/>
      </w:pPr>
      <w:rPr>
        <w:rFonts w:hint="default"/>
        <w:lang w:val="en-US" w:eastAsia="en-US" w:bidi="ar-SA"/>
      </w:rPr>
    </w:lvl>
    <w:lvl w:ilvl="3" w:tplc="D6D06C0C">
      <w:numFmt w:val="bullet"/>
      <w:lvlText w:val="•"/>
      <w:lvlJc w:val="left"/>
      <w:pPr>
        <w:ind w:left="809" w:hanging="117"/>
      </w:pPr>
      <w:rPr>
        <w:rFonts w:hint="default"/>
        <w:lang w:val="en-US" w:eastAsia="en-US" w:bidi="ar-SA"/>
      </w:rPr>
    </w:lvl>
    <w:lvl w:ilvl="4" w:tplc="65C8002A">
      <w:numFmt w:val="bullet"/>
      <w:lvlText w:val="•"/>
      <w:lvlJc w:val="left"/>
      <w:pPr>
        <w:ind w:left="999" w:hanging="117"/>
      </w:pPr>
      <w:rPr>
        <w:rFonts w:hint="default"/>
        <w:lang w:val="en-US" w:eastAsia="en-US" w:bidi="ar-SA"/>
      </w:rPr>
    </w:lvl>
    <w:lvl w:ilvl="5" w:tplc="90A8E9FC">
      <w:numFmt w:val="bullet"/>
      <w:lvlText w:val="•"/>
      <w:lvlJc w:val="left"/>
      <w:pPr>
        <w:ind w:left="1189" w:hanging="117"/>
      </w:pPr>
      <w:rPr>
        <w:rFonts w:hint="default"/>
        <w:lang w:val="en-US" w:eastAsia="en-US" w:bidi="ar-SA"/>
      </w:rPr>
    </w:lvl>
    <w:lvl w:ilvl="6" w:tplc="2EE0BD6A">
      <w:numFmt w:val="bullet"/>
      <w:lvlText w:val="•"/>
      <w:lvlJc w:val="left"/>
      <w:pPr>
        <w:ind w:left="1378" w:hanging="117"/>
      </w:pPr>
      <w:rPr>
        <w:rFonts w:hint="default"/>
        <w:lang w:val="en-US" w:eastAsia="en-US" w:bidi="ar-SA"/>
      </w:rPr>
    </w:lvl>
    <w:lvl w:ilvl="7" w:tplc="3A74EB58">
      <w:numFmt w:val="bullet"/>
      <w:lvlText w:val="•"/>
      <w:lvlJc w:val="left"/>
      <w:pPr>
        <w:ind w:left="1568" w:hanging="117"/>
      </w:pPr>
      <w:rPr>
        <w:rFonts w:hint="default"/>
        <w:lang w:val="en-US" w:eastAsia="en-US" w:bidi="ar-SA"/>
      </w:rPr>
    </w:lvl>
    <w:lvl w:ilvl="8" w:tplc="3E1C0E92">
      <w:numFmt w:val="bullet"/>
      <w:lvlText w:val="•"/>
      <w:lvlJc w:val="left"/>
      <w:pPr>
        <w:ind w:left="1758" w:hanging="117"/>
      </w:pPr>
      <w:rPr>
        <w:rFonts w:hint="default"/>
        <w:lang w:val="en-US" w:eastAsia="en-US" w:bidi="ar-SA"/>
      </w:r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6443B8"/>
    <w:multiLevelType w:val="hybridMultilevel"/>
    <w:tmpl w:val="3CFE6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B34086"/>
    <w:multiLevelType w:val="hybridMultilevel"/>
    <w:tmpl w:val="2F067D8E"/>
    <w:lvl w:ilvl="0" w:tplc="1BAE25A2">
      <w:numFmt w:val="bullet"/>
      <w:lvlText w:val="-"/>
      <w:lvlJc w:val="left"/>
      <w:pPr>
        <w:ind w:left="234" w:hanging="117"/>
      </w:pPr>
      <w:rPr>
        <w:rFonts w:ascii="Times New Roman" w:eastAsia="Times New Roman" w:hAnsi="Times New Roman" w:cs="Times New Roman" w:hint="default"/>
        <w:w w:val="99"/>
        <w:sz w:val="20"/>
        <w:szCs w:val="20"/>
        <w:lang w:val="en-US" w:eastAsia="en-US" w:bidi="ar-SA"/>
      </w:rPr>
    </w:lvl>
    <w:lvl w:ilvl="1" w:tplc="3B96362E">
      <w:numFmt w:val="bullet"/>
      <w:lvlText w:val="•"/>
      <w:lvlJc w:val="left"/>
      <w:pPr>
        <w:ind w:left="470" w:hanging="117"/>
      </w:pPr>
      <w:rPr>
        <w:rFonts w:hint="default"/>
        <w:lang w:val="en-US" w:eastAsia="en-US" w:bidi="ar-SA"/>
      </w:rPr>
    </w:lvl>
    <w:lvl w:ilvl="2" w:tplc="F370B460">
      <w:numFmt w:val="bullet"/>
      <w:lvlText w:val="•"/>
      <w:lvlJc w:val="left"/>
      <w:pPr>
        <w:ind w:left="701" w:hanging="117"/>
      </w:pPr>
      <w:rPr>
        <w:rFonts w:hint="default"/>
        <w:lang w:val="en-US" w:eastAsia="en-US" w:bidi="ar-SA"/>
      </w:rPr>
    </w:lvl>
    <w:lvl w:ilvl="3" w:tplc="40960DA2">
      <w:numFmt w:val="bullet"/>
      <w:lvlText w:val="•"/>
      <w:lvlJc w:val="left"/>
      <w:pPr>
        <w:ind w:left="932" w:hanging="117"/>
      </w:pPr>
      <w:rPr>
        <w:rFonts w:hint="default"/>
        <w:lang w:val="en-US" w:eastAsia="en-US" w:bidi="ar-SA"/>
      </w:rPr>
    </w:lvl>
    <w:lvl w:ilvl="4" w:tplc="582C21A4">
      <w:numFmt w:val="bullet"/>
      <w:lvlText w:val="•"/>
      <w:lvlJc w:val="left"/>
      <w:pPr>
        <w:ind w:left="1163" w:hanging="117"/>
      </w:pPr>
      <w:rPr>
        <w:rFonts w:hint="default"/>
        <w:lang w:val="en-US" w:eastAsia="en-US" w:bidi="ar-SA"/>
      </w:rPr>
    </w:lvl>
    <w:lvl w:ilvl="5" w:tplc="FBE63128">
      <w:numFmt w:val="bullet"/>
      <w:lvlText w:val="•"/>
      <w:lvlJc w:val="left"/>
      <w:pPr>
        <w:ind w:left="1394" w:hanging="117"/>
      </w:pPr>
      <w:rPr>
        <w:rFonts w:hint="default"/>
        <w:lang w:val="en-US" w:eastAsia="en-US" w:bidi="ar-SA"/>
      </w:rPr>
    </w:lvl>
    <w:lvl w:ilvl="6" w:tplc="4CF4A9F0">
      <w:numFmt w:val="bullet"/>
      <w:lvlText w:val="•"/>
      <w:lvlJc w:val="left"/>
      <w:pPr>
        <w:ind w:left="1624" w:hanging="117"/>
      </w:pPr>
      <w:rPr>
        <w:rFonts w:hint="default"/>
        <w:lang w:val="en-US" w:eastAsia="en-US" w:bidi="ar-SA"/>
      </w:rPr>
    </w:lvl>
    <w:lvl w:ilvl="7" w:tplc="ED9AE490">
      <w:numFmt w:val="bullet"/>
      <w:lvlText w:val="•"/>
      <w:lvlJc w:val="left"/>
      <w:pPr>
        <w:ind w:left="1855" w:hanging="117"/>
      </w:pPr>
      <w:rPr>
        <w:rFonts w:hint="default"/>
        <w:lang w:val="en-US" w:eastAsia="en-US" w:bidi="ar-SA"/>
      </w:rPr>
    </w:lvl>
    <w:lvl w:ilvl="8" w:tplc="12B86B94">
      <w:numFmt w:val="bullet"/>
      <w:lvlText w:val="•"/>
      <w:lvlJc w:val="left"/>
      <w:pPr>
        <w:ind w:left="2086" w:hanging="117"/>
      </w:pPr>
      <w:rPr>
        <w:rFonts w:hint="default"/>
        <w:lang w:val="en-US" w:eastAsia="en-US" w:bidi="ar-SA"/>
      </w:rPr>
    </w:lvl>
  </w:abstractNum>
  <w:abstractNum w:abstractNumId="11" w15:restartNumberingAfterBreak="0">
    <w:nsid w:val="44E41E04"/>
    <w:multiLevelType w:val="hybridMultilevel"/>
    <w:tmpl w:val="7E5E3AE6"/>
    <w:lvl w:ilvl="0" w:tplc="0AA4713C">
      <w:numFmt w:val="bullet"/>
      <w:lvlText w:val="-"/>
      <w:lvlJc w:val="left"/>
      <w:pPr>
        <w:ind w:left="234" w:hanging="117"/>
      </w:pPr>
      <w:rPr>
        <w:rFonts w:ascii="Times New Roman" w:eastAsia="Times New Roman" w:hAnsi="Times New Roman" w:cs="Times New Roman" w:hint="default"/>
        <w:w w:val="99"/>
        <w:sz w:val="20"/>
        <w:szCs w:val="20"/>
        <w:lang w:val="en-US" w:eastAsia="en-US" w:bidi="ar-SA"/>
      </w:rPr>
    </w:lvl>
    <w:lvl w:ilvl="1" w:tplc="6802883A">
      <w:numFmt w:val="bullet"/>
      <w:lvlText w:val="•"/>
      <w:lvlJc w:val="left"/>
      <w:pPr>
        <w:ind w:left="424" w:hanging="117"/>
      </w:pPr>
      <w:rPr>
        <w:rFonts w:hint="default"/>
        <w:lang w:val="en-US" w:eastAsia="en-US" w:bidi="ar-SA"/>
      </w:rPr>
    </w:lvl>
    <w:lvl w:ilvl="2" w:tplc="8A8ED3D4">
      <w:numFmt w:val="bullet"/>
      <w:lvlText w:val="•"/>
      <w:lvlJc w:val="left"/>
      <w:pPr>
        <w:ind w:left="609" w:hanging="117"/>
      </w:pPr>
      <w:rPr>
        <w:rFonts w:hint="default"/>
        <w:lang w:val="en-US" w:eastAsia="en-US" w:bidi="ar-SA"/>
      </w:rPr>
    </w:lvl>
    <w:lvl w:ilvl="3" w:tplc="2A3E0FF2">
      <w:numFmt w:val="bullet"/>
      <w:lvlText w:val="•"/>
      <w:lvlJc w:val="left"/>
      <w:pPr>
        <w:ind w:left="794" w:hanging="117"/>
      </w:pPr>
      <w:rPr>
        <w:rFonts w:hint="default"/>
        <w:lang w:val="en-US" w:eastAsia="en-US" w:bidi="ar-SA"/>
      </w:rPr>
    </w:lvl>
    <w:lvl w:ilvl="4" w:tplc="13D68074">
      <w:numFmt w:val="bullet"/>
      <w:lvlText w:val="•"/>
      <w:lvlJc w:val="left"/>
      <w:pPr>
        <w:ind w:left="979" w:hanging="117"/>
      </w:pPr>
      <w:rPr>
        <w:rFonts w:hint="default"/>
        <w:lang w:val="en-US" w:eastAsia="en-US" w:bidi="ar-SA"/>
      </w:rPr>
    </w:lvl>
    <w:lvl w:ilvl="5" w:tplc="860A9546">
      <w:numFmt w:val="bullet"/>
      <w:lvlText w:val="•"/>
      <w:lvlJc w:val="left"/>
      <w:pPr>
        <w:ind w:left="1164" w:hanging="117"/>
      </w:pPr>
      <w:rPr>
        <w:rFonts w:hint="default"/>
        <w:lang w:val="en-US" w:eastAsia="en-US" w:bidi="ar-SA"/>
      </w:rPr>
    </w:lvl>
    <w:lvl w:ilvl="6" w:tplc="334A1C78">
      <w:numFmt w:val="bullet"/>
      <w:lvlText w:val="•"/>
      <w:lvlJc w:val="left"/>
      <w:pPr>
        <w:ind w:left="1349" w:hanging="117"/>
      </w:pPr>
      <w:rPr>
        <w:rFonts w:hint="default"/>
        <w:lang w:val="en-US" w:eastAsia="en-US" w:bidi="ar-SA"/>
      </w:rPr>
    </w:lvl>
    <w:lvl w:ilvl="7" w:tplc="AB2E79E2">
      <w:numFmt w:val="bullet"/>
      <w:lvlText w:val="•"/>
      <w:lvlJc w:val="left"/>
      <w:pPr>
        <w:ind w:left="1534" w:hanging="117"/>
      </w:pPr>
      <w:rPr>
        <w:rFonts w:hint="default"/>
        <w:lang w:val="en-US" w:eastAsia="en-US" w:bidi="ar-SA"/>
      </w:rPr>
    </w:lvl>
    <w:lvl w:ilvl="8" w:tplc="5F804A18">
      <w:numFmt w:val="bullet"/>
      <w:lvlText w:val="•"/>
      <w:lvlJc w:val="left"/>
      <w:pPr>
        <w:ind w:left="1719" w:hanging="117"/>
      </w:pPr>
      <w:rPr>
        <w:rFonts w:hint="default"/>
        <w:lang w:val="en-US" w:eastAsia="en-US" w:bidi="ar-SA"/>
      </w:rPr>
    </w:lvl>
  </w:abstractNum>
  <w:abstractNum w:abstractNumId="12" w15:restartNumberingAfterBreak="0">
    <w:nsid w:val="485F2524"/>
    <w:multiLevelType w:val="hybridMultilevel"/>
    <w:tmpl w:val="12BE81CA"/>
    <w:lvl w:ilvl="0" w:tplc="84B0F45C">
      <w:numFmt w:val="bullet"/>
      <w:lvlText w:val="-"/>
      <w:lvlJc w:val="left"/>
      <w:pPr>
        <w:ind w:left="234" w:hanging="117"/>
      </w:pPr>
      <w:rPr>
        <w:rFonts w:ascii="Times New Roman" w:eastAsia="Times New Roman" w:hAnsi="Times New Roman" w:cs="Times New Roman" w:hint="default"/>
        <w:w w:val="99"/>
        <w:sz w:val="20"/>
        <w:szCs w:val="20"/>
        <w:lang w:val="en-US" w:eastAsia="en-US" w:bidi="ar-SA"/>
      </w:rPr>
    </w:lvl>
    <w:lvl w:ilvl="1" w:tplc="100CDA3A">
      <w:numFmt w:val="bullet"/>
      <w:lvlText w:val="•"/>
      <w:lvlJc w:val="left"/>
      <w:pPr>
        <w:ind w:left="429" w:hanging="117"/>
      </w:pPr>
      <w:rPr>
        <w:rFonts w:hint="default"/>
        <w:lang w:val="en-US" w:eastAsia="en-US" w:bidi="ar-SA"/>
      </w:rPr>
    </w:lvl>
    <w:lvl w:ilvl="2" w:tplc="7A0A6B08">
      <w:numFmt w:val="bullet"/>
      <w:lvlText w:val="•"/>
      <w:lvlJc w:val="left"/>
      <w:pPr>
        <w:ind w:left="619" w:hanging="117"/>
      </w:pPr>
      <w:rPr>
        <w:rFonts w:hint="default"/>
        <w:lang w:val="en-US" w:eastAsia="en-US" w:bidi="ar-SA"/>
      </w:rPr>
    </w:lvl>
    <w:lvl w:ilvl="3" w:tplc="8C307798">
      <w:numFmt w:val="bullet"/>
      <w:lvlText w:val="•"/>
      <w:lvlJc w:val="left"/>
      <w:pPr>
        <w:ind w:left="809" w:hanging="117"/>
      </w:pPr>
      <w:rPr>
        <w:rFonts w:hint="default"/>
        <w:lang w:val="en-US" w:eastAsia="en-US" w:bidi="ar-SA"/>
      </w:rPr>
    </w:lvl>
    <w:lvl w:ilvl="4" w:tplc="9C7CB4BA">
      <w:numFmt w:val="bullet"/>
      <w:lvlText w:val="•"/>
      <w:lvlJc w:val="left"/>
      <w:pPr>
        <w:ind w:left="999" w:hanging="117"/>
      </w:pPr>
      <w:rPr>
        <w:rFonts w:hint="default"/>
        <w:lang w:val="en-US" w:eastAsia="en-US" w:bidi="ar-SA"/>
      </w:rPr>
    </w:lvl>
    <w:lvl w:ilvl="5" w:tplc="F5B0E5E4">
      <w:numFmt w:val="bullet"/>
      <w:lvlText w:val="•"/>
      <w:lvlJc w:val="left"/>
      <w:pPr>
        <w:ind w:left="1189" w:hanging="117"/>
      </w:pPr>
      <w:rPr>
        <w:rFonts w:hint="default"/>
        <w:lang w:val="en-US" w:eastAsia="en-US" w:bidi="ar-SA"/>
      </w:rPr>
    </w:lvl>
    <w:lvl w:ilvl="6" w:tplc="061A854E">
      <w:numFmt w:val="bullet"/>
      <w:lvlText w:val="•"/>
      <w:lvlJc w:val="left"/>
      <w:pPr>
        <w:ind w:left="1378" w:hanging="117"/>
      </w:pPr>
      <w:rPr>
        <w:rFonts w:hint="default"/>
        <w:lang w:val="en-US" w:eastAsia="en-US" w:bidi="ar-SA"/>
      </w:rPr>
    </w:lvl>
    <w:lvl w:ilvl="7" w:tplc="A816E56C">
      <w:numFmt w:val="bullet"/>
      <w:lvlText w:val="•"/>
      <w:lvlJc w:val="left"/>
      <w:pPr>
        <w:ind w:left="1568" w:hanging="117"/>
      </w:pPr>
      <w:rPr>
        <w:rFonts w:hint="default"/>
        <w:lang w:val="en-US" w:eastAsia="en-US" w:bidi="ar-SA"/>
      </w:rPr>
    </w:lvl>
    <w:lvl w:ilvl="8" w:tplc="017C706E">
      <w:numFmt w:val="bullet"/>
      <w:lvlText w:val="•"/>
      <w:lvlJc w:val="left"/>
      <w:pPr>
        <w:ind w:left="1758" w:hanging="117"/>
      </w:pPr>
      <w:rPr>
        <w:rFonts w:hint="default"/>
        <w:lang w:val="en-US" w:eastAsia="en-US" w:bidi="ar-SA"/>
      </w:rPr>
    </w:lvl>
  </w:abstractNum>
  <w:abstractNum w:abstractNumId="13" w15:restartNumberingAfterBreak="0">
    <w:nsid w:val="4C517658"/>
    <w:multiLevelType w:val="hybridMultilevel"/>
    <w:tmpl w:val="AE36DCFE"/>
    <w:lvl w:ilvl="0" w:tplc="9708890C">
      <w:numFmt w:val="bullet"/>
      <w:lvlText w:val="-"/>
      <w:lvlJc w:val="left"/>
      <w:pPr>
        <w:ind w:left="234" w:hanging="117"/>
      </w:pPr>
      <w:rPr>
        <w:rFonts w:ascii="Times New Roman" w:eastAsia="Times New Roman" w:hAnsi="Times New Roman" w:cs="Times New Roman" w:hint="default"/>
        <w:w w:val="99"/>
        <w:sz w:val="20"/>
        <w:szCs w:val="20"/>
        <w:lang w:val="en-US" w:eastAsia="en-US" w:bidi="ar-SA"/>
      </w:rPr>
    </w:lvl>
    <w:lvl w:ilvl="1" w:tplc="37981C5C">
      <w:numFmt w:val="bullet"/>
      <w:lvlText w:val="•"/>
      <w:lvlJc w:val="left"/>
      <w:pPr>
        <w:ind w:left="470" w:hanging="117"/>
      </w:pPr>
      <w:rPr>
        <w:rFonts w:hint="default"/>
        <w:lang w:val="en-US" w:eastAsia="en-US" w:bidi="ar-SA"/>
      </w:rPr>
    </w:lvl>
    <w:lvl w:ilvl="2" w:tplc="3C1ECBA6">
      <w:numFmt w:val="bullet"/>
      <w:lvlText w:val="•"/>
      <w:lvlJc w:val="left"/>
      <w:pPr>
        <w:ind w:left="701" w:hanging="117"/>
      </w:pPr>
      <w:rPr>
        <w:rFonts w:hint="default"/>
        <w:lang w:val="en-US" w:eastAsia="en-US" w:bidi="ar-SA"/>
      </w:rPr>
    </w:lvl>
    <w:lvl w:ilvl="3" w:tplc="38B62072">
      <w:numFmt w:val="bullet"/>
      <w:lvlText w:val="•"/>
      <w:lvlJc w:val="left"/>
      <w:pPr>
        <w:ind w:left="932" w:hanging="117"/>
      </w:pPr>
      <w:rPr>
        <w:rFonts w:hint="default"/>
        <w:lang w:val="en-US" w:eastAsia="en-US" w:bidi="ar-SA"/>
      </w:rPr>
    </w:lvl>
    <w:lvl w:ilvl="4" w:tplc="304C457E">
      <w:numFmt w:val="bullet"/>
      <w:lvlText w:val="•"/>
      <w:lvlJc w:val="left"/>
      <w:pPr>
        <w:ind w:left="1163" w:hanging="117"/>
      </w:pPr>
      <w:rPr>
        <w:rFonts w:hint="default"/>
        <w:lang w:val="en-US" w:eastAsia="en-US" w:bidi="ar-SA"/>
      </w:rPr>
    </w:lvl>
    <w:lvl w:ilvl="5" w:tplc="4DB8E5D4">
      <w:numFmt w:val="bullet"/>
      <w:lvlText w:val="•"/>
      <w:lvlJc w:val="left"/>
      <w:pPr>
        <w:ind w:left="1394" w:hanging="117"/>
      </w:pPr>
      <w:rPr>
        <w:rFonts w:hint="default"/>
        <w:lang w:val="en-US" w:eastAsia="en-US" w:bidi="ar-SA"/>
      </w:rPr>
    </w:lvl>
    <w:lvl w:ilvl="6" w:tplc="A9ACB184">
      <w:numFmt w:val="bullet"/>
      <w:lvlText w:val="•"/>
      <w:lvlJc w:val="left"/>
      <w:pPr>
        <w:ind w:left="1624" w:hanging="117"/>
      </w:pPr>
      <w:rPr>
        <w:rFonts w:hint="default"/>
        <w:lang w:val="en-US" w:eastAsia="en-US" w:bidi="ar-SA"/>
      </w:rPr>
    </w:lvl>
    <w:lvl w:ilvl="7" w:tplc="8236E4D8">
      <w:numFmt w:val="bullet"/>
      <w:lvlText w:val="•"/>
      <w:lvlJc w:val="left"/>
      <w:pPr>
        <w:ind w:left="1855" w:hanging="117"/>
      </w:pPr>
      <w:rPr>
        <w:rFonts w:hint="default"/>
        <w:lang w:val="en-US" w:eastAsia="en-US" w:bidi="ar-SA"/>
      </w:rPr>
    </w:lvl>
    <w:lvl w:ilvl="8" w:tplc="BE2E731C">
      <w:numFmt w:val="bullet"/>
      <w:lvlText w:val="•"/>
      <w:lvlJc w:val="left"/>
      <w:pPr>
        <w:ind w:left="2086" w:hanging="117"/>
      </w:pPr>
      <w:rPr>
        <w:rFonts w:hint="default"/>
        <w:lang w:val="en-US" w:eastAsia="en-US" w:bidi="ar-SA"/>
      </w:rPr>
    </w:lvl>
  </w:abstractNum>
  <w:abstractNum w:abstractNumId="14" w15:restartNumberingAfterBreak="0">
    <w:nsid w:val="4E2F23DF"/>
    <w:multiLevelType w:val="hybridMultilevel"/>
    <w:tmpl w:val="C2CA5386"/>
    <w:lvl w:ilvl="0" w:tplc="B60C8200">
      <w:numFmt w:val="bullet"/>
      <w:lvlText w:val="-"/>
      <w:lvlJc w:val="left"/>
      <w:pPr>
        <w:ind w:left="234" w:hanging="117"/>
      </w:pPr>
      <w:rPr>
        <w:rFonts w:ascii="Times New Roman" w:eastAsia="Times New Roman" w:hAnsi="Times New Roman" w:cs="Times New Roman" w:hint="default"/>
        <w:w w:val="99"/>
        <w:sz w:val="20"/>
        <w:szCs w:val="20"/>
        <w:lang w:val="en-US" w:eastAsia="en-US" w:bidi="ar-SA"/>
      </w:rPr>
    </w:lvl>
    <w:lvl w:ilvl="1" w:tplc="D390C3CA">
      <w:numFmt w:val="bullet"/>
      <w:lvlText w:val="•"/>
      <w:lvlJc w:val="left"/>
      <w:pPr>
        <w:ind w:left="424" w:hanging="117"/>
      </w:pPr>
      <w:rPr>
        <w:rFonts w:hint="default"/>
        <w:lang w:val="en-US" w:eastAsia="en-US" w:bidi="ar-SA"/>
      </w:rPr>
    </w:lvl>
    <w:lvl w:ilvl="2" w:tplc="C4A815B4">
      <w:numFmt w:val="bullet"/>
      <w:lvlText w:val="•"/>
      <w:lvlJc w:val="left"/>
      <w:pPr>
        <w:ind w:left="609" w:hanging="117"/>
      </w:pPr>
      <w:rPr>
        <w:rFonts w:hint="default"/>
        <w:lang w:val="en-US" w:eastAsia="en-US" w:bidi="ar-SA"/>
      </w:rPr>
    </w:lvl>
    <w:lvl w:ilvl="3" w:tplc="DF72CF1C">
      <w:numFmt w:val="bullet"/>
      <w:lvlText w:val="•"/>
      <w:lvlJc w:val="left"/>
      <w:pPr>
        <w:ind w:left="794" w:hanging="117"/>
      </w:pPr>
      <w:rPr>
        <w:rFonts w:hint="default"/>
        <w:lang w:val="en-US" w:eastAsia="en-US" w:bidi="ar-SA"/>
      </w:rPr>
    </w:lvl>
    <w:lvl w:ilvl="4" w:tplc="EB0EF5F2">
      <w:numFmt w:val="bullet"/>
      <w:lvlText w:val="•"/>
      <w:lvlJc w:val="left"/>
      <w:pPr>
        <w:ind w:left="979" w:hanging="117"/>
      </w:pPr>
      <w:rPr>
        <w:rFonts w:hint="default"/>
        <w:lang w:val="en-US" w:eastAsia="en-US" w:bidi="ar-SA"/>
      </w:rPr>
    </w:lvl>
    <w:lvl w:ilvl="5" w:tplc="F864C916">
      <w:numFmt w:val="bullet"/>
      <w:lvlText w:val="•"/>
      <w:lvlJc w:val="left"/>
      <w:pPr>
        <w:ind w:left="1164" w:hanging="117"/>
      </w:pPr>
      <w:rPr>
        <w:rFonts w:hint="default"/>
        <w:lang w:val="en-US" w:eastAsia="en-US" w:bidi="ar-SA"/>
      </w:rPr>
    </w:lvl>
    <w:lvl w:ilvl="6" w:tplc="D31ED432">
      <w:numFmt w:val="bullet"/>
      <w:lvlText w:val="•"/>
      <w:lvlJc w:val="left"/>
      <w:pPr>
        <w:ind w:left="1349" w:hanging="117"/>
      </w:pPr>
      <w:rPr>
        <w:rFonts w:hint="default"/>
        <w:lang w:val="en-US" w:eastAsia="en-US" w:bidi="ar-SA"/>
      </w:rPr>
    </w:lvl>
    <w:lvl w:ilvl="7" w:tplc="180CEBF4">
      <w:numFmt w:val="bullet"/>
      <w:lvlText w:val="•"/>
      <w:lvlJc w:val="left"/>
      <w:pPr>
        <w:ind w:left="1534" w:hanging="117"/>
      </w:pPr>
      <w:rPr>
        <w:rFonts w:hint="default"/>
        <w:lang w:val="en-US" w:eastAsia="en-US" w:bidi="ar-SA"/>
      </w:rPr>
    </w:lvl>
    <w:lvl w:ilvl="8" w:tplc="9C68CF30">
      <w:numFmt w:val="bullet"/>
      <w:lvlText w:val="•"/>
      <w:lvlJc w:val="left"/>
      <w:pPr>
        <w:ind w:left="1719" w:hanging="117"/>
      </w:pPr>
      <w:rPr>
        <w:rFonts w:hint="default"/>
        <w:lang w:val="en-US" w:eastAsia="en-US" w:bidi="ar-SA"/>
      </w:rPr>
    </w:lvl>
  </w:abstractNum>
  <w:abstractNum w:abstractNumId="15"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0"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21" w15:restartNumberingAfterBreak="0">
    <w:nsid w:val="73DD4866"/>
    <w:multiLevelType w:val="hybridMultilevel"/>
    <w:tmpl w:val="7158CEDA"/>
    <w:lvl w:ilvl="0" w:tplc="FDAEC4F4">
      <w:start w:val="1"/>
      <w:numFmt w:val="decimal"/>
      <w:lvlText w:val="%1."/>
      <w:lvlJc w:val="left"/>
      <w:pPr>
        <w:ind w:left="611" w:hanging="240"/>
      </w:pPr>
      <w:rPr>
        <w:rFonts w:ascii="Times New Roman" w:eastAsia="Times New Roman" w:hAnsi="Times New Roman" w:cs="Times New Roman" w:hint="default"/>
        <w:b/>
        <w:bCs/>
        <w:w w:val="99"/>
        <w:sz w:val="24"/>
        <w:szCs w:val="24"/>
        <w:lang w:val="en-US" w:eastAsia="en-US" w:bidi="ar-SA"/>
      </w:rPr>
    </w:lvl>
    <w:lvl w:ilvl="1" w:tplc="39D2A776">
      <w:start w:val="1"/>
      <w:numFmt w:val="decimal"/>
      <w:lvlText w:val="%2."/>
      <w:lvlJc w:val="left"/>
      <w:pPr>
        <w:ind w:left="870" w:hanging="250"/>
      </w:pPr>
      <w:rPr>
        <w:rFonts w:ascii="Times New Roman" w:eastAsia="Times New Roman" w:hAnsi="Times New Roman" w:cs="Times New Roman" w:hint="default"/>
        <w:w w:val="99"/>
        <w:sz w:val="20"/>
        <w:szCs w:val="20"/>
        <w:lang w:val="en-US" w:eastAsia="en-US" w:bidi="ar-SA"/>
      </w:rPr>
    </w:lvl>
    <w:lvl w:ilvl="2" w:tplc="D4A694D0">
      <w:numFmt w:val="bullet"/>
      <w:lvlText w:val="•"/>
      <w:lvlJc w:val="left"/>
      <w:pPr>
        <w:ind w:left="1782" w:hanging="250"/>
      </w:pPr>
      <w:rPr>
        <w:rFonts w:hint="default"/>
        <w:lang w:val="en-US" w:eastAsia="en-US" w:bidi="ar-SA"/>
      </w:rPr>
    </w:lvl>
    <w:lvl w:ilvl="3" w:tplc="69822830">
      <w:numFmt w:val="bullet"/>
      <w:lvlText w:val="•"/>
      <w:lvlJc w:val="left"/>
      <w:pPr>
        <w:ind w:left="2684" w:hanging="250"/>
      </w:pPr>
      <w:rPr>
        <w:rFonts w:hint="default"/>
        <w:lang w:val="en-US" w:eastAsia="en-US" w:bidi="ar-SA"/>
      </w:rPr>
    </w:lvl>
    <w:lvl w:ilvl="4" w:tplc="01080866">
      <w:numFmt w:val="bullet"/>
      <w:lvlText w:val="•"/>
      <w:lvlJc w:val="left"/>
      <w:pPr>
        <w:ind w:left="3586" w:hanging="250"/>
      </w:pPr>
      <w:rPr>
        <w:rFonts w:hint="default"/>
        <w:lang w:val="en-US" w:eastAsia="en-US" w:bidi="ar-SA"/>
      </w:rPr>
    </w:lvl>
    <w:lvl w:ilvl="5" w:tplc="83387286">
      <w:numFmt w:val="bullet"/>
      <w:lvlText w:val="•"/>
      <w:lvlJc w:val="left"/>
      <w:pPr>
        <w:ind w:left="4488" w:hanging="250"/>
      </w:pPr>
      <w:rPr>
        <w:rFonts w:hint="default"/>
        <w:lang w:val="en-US" w:eastAsia="en-US" w:bidi="ar-SA"/>
      </w:rPr>
    </w:lvl>
    <w:lvl w:ilvl="6" w:tplc="FB3E3578">
      <w:numFmt w:val="bullet"/>
      <w:lvlText w:val="•"/>
      <w:lvlJc w:val="left"/>
      <w:pPr>
        <w:ind w:left="5391" w:hanging="250"/>
      </w:pPr>
      <w:rPr>
        <w:rFonts w:hint="default"/>
        <w:lang w:val="en-US" w:eastAsia="en-US" w:bidi="ar-SA"/>
      </w:rPr>
    </w:lvl>
    <w:lvl w:ilvl="7" w:tplc="8D8E20BE">
      <w:numFmt w:val="bullet"/>
      <w:lvlText w:val="•"/>
      <w:lvlJc w:val="left"/>
      <w:pPr>
        <w:ind w:left="6293" w:hanging="250"/>
      </w:pPr>
      <w:rPr>
        <w:rFonts w:hint="default"/>
        <w:lang w:val="en-US" w:eastAsia="en-US" w:bidi="ar-SA"/>
      </w:rPr>
    </w:lvl>
    <w:lvl w:ilvl="8" w:tplc="62B4E904">
      <w:numFmt w:val="bullet"/>
      <w:lvlText w:val="•"/>
      <w:lvlJc w:val="left"/>
      <w:pPr>
        <w:ind w:left="7195" w:hanging="250"/>
      </w:pPr>
      <w:rPr>
        <w:rFonts w:hint="default"/>
        <w:lang w:val="en-US" w:eastAsia="en-US" w:bidi="ar-SA"/>
      </w:rPr>
    </w:lvl>
  </w:abstractNum>
  <w:abstractNum w:abstractNumId="22"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18"/>
  </w:num>
  <w:num w:numId="3">
    <w:abstractNumId w:val="18"/>
  </w:num>
  <w:num w:numId="4">
    <w:abstractNumId w:val="18"/>
  </w:num>
  <w:num w:numId="5">
    <w:abstractNumId w:val="1"/>
  </w:num>
  <w:num w:numId="6">
    <w:abstractNumId w:val="7"/>
  </w:num>
  <w:num w:numId="7">
    <w:abstractNumId w:val="19"/>
  </w:num>
  <w:num w:numId="8">
    <w:abstractNumId w:val="2"/>
  </w:num>
  <w:num w:numId="9">
    <w:abstractNumId w:val="17"/>
  </w:num>
  <w:num w:numId="10">
    <w:abstractNumId w:val="22"/>
  </w:num>
  <w:num w:numId="11">
    <w:abstractNumId w:val="20"/>
  </w:num>
  <w:num w:numId="12">
    <w:abstractNumId w:val="6"/>
  </w:num>
  <w:num w:numId="13">
    <w:abstractNumId w:val="15"/>
  </w:num>
  <w:num w:numId="14">
    <w:abstractNumId w:val="3"/>
  </w:num>
  <w:num w:numId="15">
    <w:abstractNumId w:val="8"/>
  </w:num>
  <w:num w:numId="16">
    <w:abstractNumId w:val="4"/>
  </w:num>
  <w:num w:numId="17">
    <w:abstractNumId w:val="5"/>
  </w:num>
  <w:num w:numId="18">
    <w:abstractNumId w:val="16"/>
  </w:num>
  <w:num w:numId="19">
    <w:abstractNumId w:val="12"/>
  </w:num>
  <w:num w:numId="20">
    <w:abstractNumId w:val="13"/>
  </w:num>
  <w:num w:numId="21">
    <w:abstractNumId w:val="11"/>
  </w:num>
  <w:num w:numId="22">
    <w:abstractNumId w:val="0"/>
  </w:num>
  <w:num w:numId="23">
    <w:abstractNumId w:val="10"/>
  </w:num>
  <w:num w:numId="24">
    <w:abstractNumId w:val="14"/>
  </w:num>
  <w:num w:numId="25">
    <w:abstractNumId w:val="21"/>
  </w:num>
  <w:num w:numId="26">
    <w:abstractNumId w:val="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40F87"/>
    <w:rsid w:val="000422A7"/>
    <w:rsid w:val="0004296B"/>
    <w:rsid w:val="0006597A"/>
    <w:rsid w:val="00081F71"/>
    <w:rsid w:val="000A7182"/>
    <w:rsid w:val="000B6DEA"/>
    <w:rsid w:val="000D35D5"/>
    <w:rsid w:val="000D3D9B"/>
    <w:rsid w:val="000F3AD1"/>
    <w:rsid w:val="001002DF"/>
    <w:rsid w:val="00101F56"/>
    <w:rsid w:val="001028A6"/>
    <w:rsid w:val="0016032F"/>
    <w:rsid w:val="001879F6"/>
    <w:rsid w:val="00190810"/>
    <w:rsid w:val="001A7D23"/>
    <w:rsid w:val="001B36CE"/>
    <w:rsid w:val="001C0148"/>
    <w:rsid w:val="001C757E"/>
    <w:rsid w:val="001D21D3"/>
    <w:rsid w:val="001F0B30"/>
    <w:rsid w:val="0020390F"/>
    <w:rsid w:val="0020549F"/>
    <w:rsid w:val="00205B32"/>
    <w:rsid w:val="00224CE3"/>
    <w:rsid w:val="00227EBF"/>
    <w:rsid w:val="0025569B"/>
    <w:rsid w:val="00264926"/>
    <w:rsid w:val="002733FD"/>
    <w:rsid w:val="00273CED"/>
    <w:rsid w:val="00275958"/>
    <w:rsid w:val="00280E99"/>
    <w:rsid w:val="00285DDB"/>
    <w:rsid w:val="00296C23"/>
    <w:rsid w:val="00297124"/>
    <w:rsid w:val="002B6DCB"/>
    <w:rsid w:val="002F3AFF"/>
    <w:rsid w:val="0034623A"/>
    <w:rsid w:val="00347948"/>
    <w:rsid w:val="00360ADD"/>
    <w:rsid w:val="00372F99"/>
    <w:rsid w:val="00390FB1"/>
    <w:rsid w:val="003B38A4"/>
    <w:rsid w:val="003D1582"/>
    <w:rsid w:val="003D366A"/>
    <w:rsid w:val="003D7070"/>
    <w:rsid w:val="003D7E4C"/>
    <w:rsid w:val="003E41C2"/>
    <w:rsid w:val="003F01B8"/>
    <w:rsid w:val="003F4911"/>
    <w:rsid w:val="0041239D"/>
    <w:rsid w:val="00436F3E"/>
    <w:rsid w:val="0043793B"/>
    <w:rsid w:val="00474D19"/>
    <w:rsid w:val="00482F60"/>
    <w:rsid w:val="0049772C"/>
    <w:rsid w:val="004D305B"/>
    <w:rsid w:val="004F50F8"/>
    <w:rsid w:val="0050452B"/>
    <w:rsid w:val="00510C4D"/>
    <w:rsid w:val="00526C97"/>
    <w:rsid w:val="00545207"/>
    <w:rsid w:val="00552EEB"/>
    <w:rsid w:val="00554BE7"/>
    <w:rsid w:val="00556983"/>
    <w:rsid w:val="00583DBD"/>
    <w:rsid w:val="0058456A"/>
    <w:rsid w:val="005B7F72"/>
    <w:rsid w:val="005E423C"/>
    <w:rsid w:val="005E70D7"/>
    <w:rsid w:val="006716D4"/>
    <w:rsid w:val="006755BE"/>
    <w:rsid w:val="006A69BF"/>
    <w:rsid w:val="006C1E20"/>
    <w:rsid w:val="006E2C19"/>
    <w:rsid w:val="006E36E1"/>
    <w:rsid w:val="00711DF4"/>
    <w:rsid w:val="00734ACE"/>
    <w:rsid w:val="00740AA2"/>
    <w:rsid w:val="007425A4"/>
    <w:rsid w:val="0077118C"/>
    <w:rsid w:val="007822DB"/>
    <w:rsid w:val="007A2746"/>
    <w:rsid w:val="007A3AB4"/>
    <w:rsid w:val="007D70A1"/>
    <w:rsid w:val="007E2D50"/>
    <w:rsid w:val="007E3A82"/>
    <w:rsid w:val="007E4BB9"/>
    <w:rsid w:val="007E57C3"/>
    <w:rsid w:val="008132E8"/>
    <w:rsid w:val="00823407"/>
    <w:rsid w:val="0087127D"/>
    <w:rsid w:val="00895E0C"/>
    <w:rsid w:val="008A17E9"/>
    <w:rsid w:val="008B0184"/>
    <w:rsid w:val="008C5D02"/>
    <w:rsid w:val="008D2649"/>
    <w:rsid w:val="008F36B8"/>
    <w:rsid w:val="0090568D"/>
    <w:rsid w:val="009125C9"/>
    <w:rsid w:val="00913879"/>
    <w:rsid w:val="009162D9"/>
    <w:rsid w:val="00917661"/>
    <w:rsid w:val="009206E5"/>
    <w:rsid w:val="00947614"/>
    <w:rsid w:val="009669A1"/>
    <w:rsid w:val="00970E5D"/>
    <w:rsid w:val="0097100B"/>
    <w:rsid w:val="00974E5D"/>
    <w:rsid w:val="0097701C"/>
    <w:rsid w:val="00980A65"/>
    <w:rsid w:val="00984D60"/>
    <w:rsid w:val="009B4BFC"/>
    <w:rsid w:val="009B5596"/>
    <w:rsid w:val="009B6C95"/>
    <w:rsid w:val="009E23DE"/>
    <w:rsid w:val="00A25E70"/>
    <w:rsid w:val="00A33765"/>
    <w:rsid w:val="00A63269"/>
    <w:rsid w:val="00A712FD"/>
    <w:rsid w:val="00A736ED"/>
    <w:rsid w:val="00A83802"/>
    <w:rsid w:val="00A87E66"/>
    <w:rsid w:val="00A92377"/>
    <w:rsid w:val="00AB29ED"/>
    <w:rsid w:val="00AC06CA"/>
    <w:rsid w:val="00AE3610"/>
    <w:rsid w:val="00AE4BD8"/>
    <w:rsid w:val="00B40575"/>
    <w:rsid w:val="00B4388F"/>
    <w:rsid w:val="00B44A4C"/>
    <w:rsid w:val="00B5397D"/>
    <w:rsid w:val="00B63237"/>
    <w:rsid w:val="00B713D9"/>
    <w:rsid w:val="00B744B3"/>
    <w:rsid w:val="00B95F6B"/>
    <w:rsid w:val="00BA073F"/>
    <w:rsid w:val="00BB6F94"/>
    <w:rsid w:val="00BC6826"/>
    <w:rsid w:val="00BD0F9E"/>
    <w:rsid w:val="00BF2D8F"/>
    <w:rsid w:val="00C13DF3"/>
    <w:rsid w:val="00C2104E"/>
    <w:rsid w:val="00C22131"/>
    <w:rsid w:val="00C3486D"/>
    <w:rsid w:val="00C37A07"/>
    <w:rsid w:val="00C5718C"/>
    <w:rsid w:val="00C57426"/>
    <w:rsid w:val="00C94D3A"/>
    <w:rsid w:val="00C960DC"/>
    <w:rsid w:val="00CC00BE"/>
    <w:rsid w:val="00CD6B30"/>
    <w:rsid w:val="00CE6B0A"/>
    <w:rsid w:val="00CF6AC5"/>
    <w:rsid w:val="00D02C75"/>
    <w:rsid w:val="00D0561C"/>
    <w:rsid w:val="00D07F60"/>
    <w:rsid w:val="00D10E22"/>
    <w:rsid w:val="00D13D2C"/>
    <w:rsid w:val="00D1674A"/>
    <w:rsid w:val="00D54249"/>
    <w:rsid w:val="00DA1F4E"/>
    <w:rsid w:val="00DB4DE7"/>
    <w:rsid w:val="00DC2F94"/>
    <w:rsid w:val="00DC7211"/>
    <w:rsid w:val="00DD0A60"/>
    <w:rsid w:val="00DD3D9E"/>
    <w:rsid w:val="00DD6082"/>
    <w:rsid w:val="00DD7908"/>
    <w:rsid w:val="00E50A46"/>
    <w:rsid w:val="00E70E9F"/>
    <w:rsid w:val="00E77204"/>
    <w:rsid w:val="00E82297"/>
    <w:rsid w:val="00EB39EB"/>
    <w:rsid w:val="00ED7EC5"/>
    <w:rsid w:val="00EF39FD"/>
    <w:rsid w:val="00F0676C"/>
    <w:rsid w:val="00F06842"/>
    <w:rsid w:val="00F107FD"/>
    <w:rsid w:val="00F2003E"/>
    <w:rsid w:val="00F457F1"/>
    <w:rsid w:val="00F66DF0"/>
    <w:rsid w:val="00F846F4"/>
    <w:rsid w:val="00FA3E80"/>
    <w:rsid w:val="00FB64A8"/>
    <w:rsid w:val="00FF1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4DE7"/>
    <w:rPr>
      <w:sz w:val="24"/>
      <w:szCs w:val="24"/>
      <w:lang w:val="fr-FR" w:eastAsia="fr-FR"/>
    </w:rPr>
  </w:style>
  <w:style w:type="paragraph" w:styleId="Heading1">
    <w:name w:val="heading 1"/>
    <w:basedOn w:val="Normal"/>
    <w:next w:val="Normal"/>
    <w:link w:val="Heading1Char"/>
    <w:uiPriority w:val="9"/>
    <w:qFormat/>
    <w:rsid w:val="00ED7EC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lang w:val="en-US"/>
    </w:rPr>
  </w:style>
  <w:style w:type="character" w:styleId="PlaceholderText">
    <w:name w:val="Placeholder Text"/>
    <w:basedOn w:val="DefaultParagraphFont"/>
    <w:uiPriority w:val="99"/>
    <w:semiHidden/>
    <w:rsid w:val="00583DBD"/>
    <w:rPr>
      <w:color w:val="808080"/>
    </w:rPr>
  </w:style>
  <w:style w:type="table" w:styleId="TableGrid">
    <w:name w:val="Table Grid"/>
    <w:basedOn w:val="TableNormal"/>
    <w:rsid w:val="00CF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4DE7"/>
    <w:pPr>
      <w:spacing w:before="100" w:beforeAutospacing="1" w:after="100" w:afterAutospacing="1"/>
    </w:pPr>
  </w:style>
  <w:style w:type="paragraph" w:styleId="Bibliography">
    <w:name w:val="Bibliography"/>
    <w:basedOn w:val="Normal"/>
    <w:next w:val="Normal"/>
    <w:uiPriority w:val="37"/>
    <w:unhideWhenUsed/>
    <w:rsid w:val="001002DF"/>
  </w:style>
  <w:style w:type="character" w:styleId="UnresolvedMention">
    <w:name w:val="Unresolved Mention"/>
    <w:basedOn w:val="DefaultParagraphFont"/>
    <w:uiPriority w:val="99"/>
    <w:semiHidden/>
    <w:unhideWhenUsed/>
    <w:rsid w:val="00A83802"/>
    <w:rPr>
      <w:color w:val="605E5C"/>
      <w:shd w:val="clear" w:color="auto" w:fill="E1DFDD"/>
    </w:rPr>
  </w:style>
  <w:style w:type="paragraph" w:styleId="BodyText">
    <w:name w:val="Body Text"/>
    <w:basedOn w:val="Normal"/>
    <w:link w:val="BodyTextChar"/>
    <w:uiPriority w:val="1"/>
    <w:qFormat/>
    <w:rsid w:val="003F01B8"/>
    <w:pPr>
      <w:widowControl w:val="0"/>
      <w:autoSpaceDE w:val="0"/>
      <w:autoSpaceDN w:val="0"/>
    </w:pPr>
    <w:rPr>
      <w:sz w:val="20"/>
      <w:szCs w:val="20"/>
      <w:lang w:val="en-US" w:eastAsia="en-US"/>
    </w:rPr>
  </w:style>
  <w:style w:type="character" w:customStyle="1" w:styleId="BodyTextChar">
    <w:name w:val="Body Text Char"/>
    <w:basedOn w:val="DefaultParagraphFont"/>
    <w:link w:val="BodyText"/>
    <w:uiPriority w:val="1"/>
    <w:rsid w:val="003F01B8"/>
    <w:rPr>
      <w:lang w:val="en-US" w:eastAsia="en-US"/>
    </w:rPr>
  </w:style>
  <w:style w:type="paragraph" w:customStyle="1" w:styleId="TableParagraph">
    <w:name w:val="Table Paragraph"/>
    <w:basedOn w:val="Normal"/>
    <w:uiPriority w:val="1"/>
    <w:qFormat/>
    <w:rsid w:val="003F01B8"/>
    <w:pPr>
      <w:widowControl w:val="0"/>
      <w:autoSpaceDE w:val="0"/>
      <w:autoSpaceDN w:val="0"/>
      <w:ind w:left="234"/>
    </w:pPr>
    <w:rPr>
      <w:sz w:val="22"/>
      <w:szCs w:val="22"/>
      <w:lang w:val="en-US" w:eastAsia="en-US"/>
    </w:rPr>
  </w:style>
  <w:style w:type="character" w:customStyle="1" w:styleId="Heading1Char">
    <w:name w:val="Heading 1 Char"/>
    <w:basedOn w:val="DefaultParagraphFont"/>
    <w:link w:val="Heading1"/>
    <w:uiPriority w:val="9"/>
    <w:rsid w:val="00ED7EC5"/>
    <w:rPr>
      <w:rFonts w:asciiTheme="majorHAnsi" w:eastAsiaTheme="majorEastAsia" w:hAnsiTheme="majorHAnsi" w:cstheme="majorBidi"/>
      <w:color w:val="365F91" w:themeColor="accent1" w:themeShade="BF"/>
      <w:sz w:val="32"/>
      <w:szCs w:val="32"/>
      <w:lang w:val="fr-FR" w:eastAsia="fr-FR"/>
    </w:rPr>
  </w:style>
  <w:style w:type="paragraph" w:styleId="ListParagraph">
    <w:name w:val="List Paragraph"/>
    <w:basedOn w:val="Normal"/>
    <w:uiPriority w:val="1"/>
    <w:qFormat/>
    <w:rsid w:val="00ED7EC5"/>
    <w:pPr>
      <w:widowControl w:val="0"/>
      <w:autoSpaceDE w:val="0"/>
      <w:autoSpaceDN w:val="0"/>
      <w:ind w:left="870" w:right="859" w:hanging="250"/>
      <w:jc w:val="both"/>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0031">
      <w:bodyDiv w:val="1"/>
      <w:marLeft w:val="0"/>
      <w:marRight w:val="0"/>
      <w:marTop w:val="0"/>
      <w:marBottom w:val="0"/>
      <w:divBdr>
        <w:top w:val="none" w:sz="0" w:space="0" w:color="auto"/>
        <w:left w:val="none" w:sz="0" w:space="0" w:color="auto"/>
        <w:bottom w:val="none" w:sz="0" w:space="0" w:color="auto"/>
        <w:right w:val="none" w:sz="0" w:space="0" w:color="auto"/>
      </w:divBdr>
    </w:div>
    <w:div w:id="30570690">
      <w:bodyDiv w:val="1"/>
      <w:marLeft w:val="0"/>
      <w:marRight w:val="0"/>
      <w:marTop w:val="0"/>
      <w:marBottom w:val="0"/>
      <w:divBdr>
        <w:top w:val="none" w:sz="0" w:space="0" w:color="auto"/>
        <w:left w:val="none" w:sz="0" w:space="0" w:color="auto"/>
        <w:bottom w:val="none" w:sz="0" w:space="0" w:color="auto"/>
        <w:right w:val="none" w:sz="0" w:space="0" w:color="auto"/>
      </w:divBdr>
    </w:div>
    <w:div w:id="117535018">
      <w:bodyDiv w:val="1"/>
      <w:marLeft w:val="0"/>
      <w:marRight w:val="0"/>
      <w:marTop w:val="0"/>
      <w:marBottom w:val="0"/>
      <w:divBdr>
        <w:top w:val="none" w:sz="0" w:space="0" w:color="auto"/>
        <w:left w:val="none" w:sz="0" w:space="0" w:color="auto"/>
        <w:bottom w:val="none" w:sz="0" w:space="0" w:color="auto"/>
        <w:right w:val="none" w:sz="0" w:space="0" w:color="auto"/>
      </w:divBdr>
    </w:div>
    <w:div w:id="118382387">
      <w:bodyDiv w:val="1"/>
      <w:marLeft w:val="0"/>
      <w:marRight w:val="0"/>
      <w:marTop w:val="0"/>
      <w:marBottom w:val="0"/>
      <w:divBdr>
        <w:top w:val="none" w:sz="0" w:space="0" w:color="auto"/>
        <w:left w:val="none" w:sz="0" w:space="0" w:color="auto"/>
        <w:bottom w:val="none" w:sz="0" w:space="0" w:color="auto"/>
        <w:right w:val="none" w:sz="0" w:space="0" w:color="auto"/>
      </w:divBdr>
    </w:div>
    <w:div w:id="153498891">
      <w:bodyDiv w:val="1"/>
      <w:marLeft w:val="0"/>
      <w:marRight w:val="0"/>
      <w:marTop w:val="0"/>
      <w:marBottom w:val="0"/>
      <w:divBdr>
        <w:top w:val="none" w:sz="0" w:space="0" w:color="auto"/>
        <w:left w:val="none" w:sz="0" w:space="0" w:color="auto"/>
        <w:bottom w:val="none" w:sz="0" w:space="0" w:color="auto"/>
        <w:right w:val="none" w:sz="0" w:space="0" w:color="auto"/>
      </w:divBdr>
    </w:div>
    <w:div w:id="167141228">
      <w:bodyDiv w:val="1"/>
      <w:marLeft w:val="0"/>
      <w:marRight w:val="0"/>
      <w:marTop w:val="0"/>
      <w:marBottom w:val="0"/>
      <w:divBdr>
        <w:top w:val="none" w:sz="0" w:space="0" w:color="auto"/>
        <w:left w:val="none" w:sz="0" w:space="0" w:color="auto"/>
        <w:bottom w:val="none" w:sz="0" w:space="0" w:color="auto"/>
        <w:right w:val="none" w:sz="0" w:space="0" w:color="auto"/>
      </w:divBdr>
    </w:div>
    <w:div w:id="198512101">
      <w:bodyDiv w:val="1"/>
      <w:marLeft w:val="0"/>
      <w:marRight w:val="0"/>
      <w:marTop w:val="0"/>
      <w:marBottom w:val="0"/>
      <w:divBdr>
        <w:top w:val="none" w:sz="0" w:space="0" w:color="auto"/>
        <w:left w:val="none" w:sz="0" w:space="0" w:color="auto"/>
        <w:bottom w:val="none" w:sz="0" w:space="0" w:color="auto"/>
        <w:right w:val="none" w:sz="0" w:space="0" w:color="auto"/>
      </w:divBdr>
    </w:div>
    <w:div w:id="220870829">
      <w:bodyDiv w:val="1"/>
      <w:marLeft w:val="0"/>
      <w:marRight w:val="0"/>
      <w:marTop w:val="0"/>
      <w:marBottom w:val="0"/>
      <w:divBdr>
        <w:top w:val="none" w:sz="0" w:space="0" w:color="auto"/>
        <w:left w:val="none" w:sz="0" w:space="0" w:color="auto"/>
        <w:bottom w:val="none" w:sz="0" w:space="0" w:color="auto"/>
        <w:right w:val="none" w:sz="0" w:space="0" w:color="auto"/>
      </w:divBdr>
    </w:div>
    <w:div w:id="245458172">
      <w:bodyDiv w:val="1"/>
      <w:marLeft w:val="0"/>
      <w:marRight w:val="0"/>
      <w:marTop w:val="0"/>
      <w:marBottom w:val="0"/>
      <w:divBdr>
        <w:top w:val="none" w:sz="0" w:space="0" w:color="auto"/>
        <w:left w:val="none" w:sz="0" w:space="0" w:color="auto"/>
        <w:bottom w:val="none" w:sz="0" w:space="0" w:color="auto"/>
        <w:right w:val="none" w:sz="0" w:space="0" w:color="auto"/>
      </w:divBdr>
    </w:div>
    <w:div w:id="281032321">
      <w:bodyDiv w:val="1"/>
      <w:marLeft w:val="0"/>
      <w:marRight w:val="0"/>
      <w:marTop w:val="0"/>
      <w:marBottom w:val="0"/>
      <w:divBdr>
        <w:top w:val="none" w:sz="0" w:space="0" w:color="auto"/>
        <w:left w:val="none" w:sz="0" w:space="0" w:color="auto"/>
        <w:bottom w:val="none" w:sz="0" w:space="0" w:color="auto"/>
        <w:right w:val="none" w:sz="0" w:space="0" w:color="auto"/>
      </w:divBdr>
    </w:div>
    <w:div w:id="288438235">
      <w:bodyDiv w:val="1"/>
      <w:marLeft w:val="0"/>
      <w:marRight w:val="0"/>
      <w:marTop w:val="0"/>
      <w:marBottom w:val="0"/>
      <w:divBdr>
        <w:top w:val="none" w:sz="0" w:space="0" w:color="auto"/>
        <w:left w:val="none" w:sz="0" w:space="0" w:color="auto"/>
        <w:bottom w:val="none" w:sz="0" w:space="0" w:color="auto"/>
        <w:right w:val="none" w:sz="0" w:space="0" w:color="auto"/>
      </w:divBdr>
    </w:div>
    <w:div w:id="300620904">
      <w:bodyDiv w:val="1"/>
      <w:marLeft w:val="0"/>
      <w:marRight w:val="0"/>
      <w:marTop w:val="0"/>
      <w:marBottom w:val="0"/>
      <w:divBdr>
        <w:top w:val="none" w:sz="0" w:space="0" w:color="auto"/>
        <w:left w:val="none" w:sz="0" w:space="0" w:color="auto"/>
        <w:bottom w:val="none" w:sz="0" w:space="0" w:color="auto"/>
        <w:right w:val="none" w:sz="0" w:space="0" w:color="auto"/>
      </w:divBdr>
    </w:div>
    <w:div w:id="356855253">
      <w:bodyDiv w:val="1"/>
      <w:marLeft w:val="0"/>
      <w:marRight w:val="0"/>
      <w:marTop w:val="0"/>
      <w:marBottom w:val="0"/>
      <w:divBdr>
        <w:top w:val="none" w:sz="0" w:space="0" w:color="auto"/>
        <w:left w:val="none" w:sz="0" w:space="0" w:color="auto"/>
        <w:bottom w:val="none" w:sz="0" w:space="0" w:color="auto"/>
        <w:right w:val="none" w:sz="0" w:space="0" w:color="auto"/>
      </w:divBdr>
    </w:div>
    <w:div w:id="376395822">
      <w:bodyDiv w:val="1"/>
      <w:marLeft w:val="0"/>
      <w:marRight w:val="0"/>
      <w:marTop w:val="0"/>
      <w:marBottom w:val="0"/>
      <w:divBdr>
        <w:top w:val="none" w:sz="0" w:space="0" w:color="auto"/>
        <w:left w:val="none" w:sz="0" w:space="0" w:color="auto"/>
        <w:bottom w:val="none" w:sz="0" w:space="0" w:color="auto"/>
        <w:right w:val="none" w:sz="0" w:space="0" w:color="auto"/>
      </w:divBdr>
    </w:div>
    <w:div w:id="433481019">
      <w:bodyDiv w:val="1"/>
      <w:marLeft w:val="0"/>
      <w:marRight w:val="0"/>
      <w:marTop w:val="0"/>
      <w:marBottom w:val="0"/>
      <w:divBdr>
        <w:top w:val="none" w:sz="0" w:space="0" w:color="auto"/>
        <w:left w:val="none" w:sz="0" w:space="0" w:color="auto"/>
        <w:bottom w:val="none" w:sz="0" w:space="0" w:color="auto"/>
        <w:right w:val="none" w:sz="0" w:space="0" w:color="auto"/>
      </w:divBdr>
    </w:div>
    <w:div w:id="471943185">
      <w:bodyDiv w:val="1"/>
      <w:marLeft w:val="0"/>
      <w:marRight w:val="0"/>
      <w:marTop w:val="0"/>
      <w:marBottom w:val="0"/>
      <w:divBdr>
        <w:top w:val="none" w:sz="0" w:space="0" w:color="auto"/>
        <w:left w:val="none" w:sz="0" w:space="0" w:color="auto"/>
        <w:bottom w:val="none" w:sz="0" w:space="0" w:color="auto"/>
        <w:right w:val="none" w:sz="0" w:space="0" w:color="auto"/>
      </w:divBdr>
    </w:div>
    <w:div w:id="500388376">
      <w:bodyDiv w:val="1"/>
      <w:marLeft w:val="0"/>
      <w:marRight w:val="0"/>
      <w:marTop w:val="0"/>
      <w:marBottom w:val="0"/>
      <w:divBdr>
        <w:top w:val="none" w:sz="0" w:space="0" w:color="auto"/>
        <w:left w:val="none" w:sz="0" w:space="0" w:color="auto"/>
        <w:bottom w:val="none" w:sz="0" w:space="0" w:color="auto"/>
        <w:right w:val="none" w:sz="0" w:space="0" w:color="auto"/>
      </w:divBdr>
    </w:div>
    <w:div w:id="532420926">
      <w:bodyDiv w:val="1"/>
      <w:marLeft w:val="0"/>
      <w:marRight w:val="0"/>
      <w:marTop w:val="0"/>
      <w:marBottom w:val="0"/>
      <w:divBdr>
        <w:top w:val="none" w:sz="0" w:space="0" w:color="auto"/>
        <w:left w:val="none" w:sz="0" w:space="0" w:color="auto"/>
        <w:bottom w:val="none" w:sz="0" w:space="0" w:color="auto"/>
        <w:right w:val="none" w:sz="0" w:space="0" w:color="auto"/>
      </w:divBdr>
    </w:div>
    <w:div w:id="558442249">
      <w:bodyDiv w:val="1"/>
      <w:marLeft w:val="0"/>
      <w:marRight w:val="0"/>
      <w:marTop w:val="0"/>
      <w:marBottom w:val="0"/>
      <w:divBdr>
        <w:top w:val="none" w:sz="0" w:space="0" w:color="auto"/>
        <w:left w:val="none" w:sz="0" w:space="0" w:color="auto"/>
        <w:bottom w:val="none" w:sz="0" w:space="0" w:color="auto"/>
        <w:right w:val="none" w:sz="0" w:space="0" w:color="auto"/>
      </w:divBdr>
    </w:div>
    <w:div w:id="563563455">
      <w:bodyDiv w:val="1"/>
      <w:marLeft w:val="0"/>
      <w:marRight w:val="0"/>
      <w:marTop w:val="0"/>
      <w:marBottom w:val="0"/>
      <w:divBdr>
        <w:top w:val="none" w:sz="0" w:space="0" w:color="auto"/>
        <w:left w:val="none" w:sz="0" w:space="0" w:color="auto"/>
        <w:bottom w:val="none" w:sz="0" w:space="0" w:color="auto"/>
        <w:right w:val="none" w:sz="0" w:space="0" w:color="auto"/>
      </w:divBdr>
    </w:div>
    <w:div w:id="569735864">
      <w:bodyDiv w:val="1"/>
      <w:marLeft w:val="0"/>
      <w:marRight w:val="0"/>
      <w:marTop w:val="0"/>
      <w:marBottom w:val="0"/>
      <w:divBdr>
        <w:top w:val="none" w:sz="0" w:space="0" w:color="auto"/>
        <w:left w:val="none" w:sz="0" w:space="0" w:color="auto"/>
        <w:bottom w:val="none" w:sz="0" w:space="0" w:color="auto"/>
        <w:right w:val="none" w:sz="0" w:space="0" w:color="auto"/>
      </w:divBdr>
    </w:div>
    <w:div w:id="646320625">
      <w:bodyDiv w:val="1"/>
      <w:marLeft w:val="0"/>
      <w:marRight w:val="0"/>
      <w:marTop w:val="0"/>
      <w:marBottom w:val="0"/>
      <w:divBdr>
        <w:top w:val="none" w:sz="0" w:space="0" w:color="auto"/>
        <w:left w:val="none" w:sz="0" w:space="0" w:color="auto"/>
        <w:bottom w:val="none" w:sz="0" w:space="0" w:color="auto"/>
        <w:right w:val="none" w:sz="0" w:space="0" w:color="auto"/>
      </w:divBdr>
    </w:div>
    <w:div w:id="650983024">
      <w:bodyDiv w:val="1"/>
      <w:marLeft w:val="0"/>
      <w:marRight w:val="0"/>
      <w:marTop w:val="0"/>
      <w:marBottom w:val="0"/>
      <w:divBdr>
        <w:top w:val="none" w:sz="0" w:space="0" w:color="auto"/>
        <w:left w:val="none" w:sz="0" w:space="0" w:color="auto"/>
        <w:bottom w:val="none" w:sz="0" w:space="0" w:color="auto"/>
        <w:right w:val="none" w:sz="0" w:space="0" w:color="auto"/>
      </w:divBdr>
    </w:div>
    <w:div w:id="677734056">
      <w:bodyDiv w:val="1"/>
      <w:marLeft w:val="0"/>
      <w:marRight w:val="0"/>
      <w:marTop w:val="0"/>
      <w:marBottom w:val="0"/>
      <w:divBdr>
        <w:top w:val="none" w:sz="0" w:space="0" w:color="auto"/>
        <w:left w:val="none" w:sz="0" w:space="0" w:color="auto"/>
        <w:bottom w:val="none" w:sz="0" w:space="0" w:color="auto"/>
        <w:right w:val="none" w:sz="0" w:space="0" w:color="auto"/>
      </w:divBdr>
    </w:div>
    <w:div w:id="686642478">
      <w:bodyDiv w:val="1"/>
      <w:marLeft w:val="0"/>
      <w:marRight w:val="0"/>
      <w:marTop w:val="0"/>
      <w:marBottom w:val="0"/>
      <w:divBdr>
        <w:top w:val="none" w:sz="0" w:space="0" w:color="auto"/>
        <w:left w:val="none" w:sz="0" w:space="0" w:color="auto"/>
        <w:bottom w:val="none" w:sz="0" w:space="0" w:color="auto"/>
        <w:right w:val="none" w:sz="0" w:space="0" w:color="auto"/>
      </w:divBdr>
    </w:div>
    <w:div w:id="692419417">
      <w:bodyDiv w:val="1"/>
      <w:marLeft w:val="0"/>
      <w:marRight w:val="0"/>
      <w:marTop w:val="0"/>
      <w:marBottom w:val="0"/>
      <w:divBdr>
        <w:top w:val="none" w:sz="0" w:space="0" w:color="auto"/>
        <w:left w:val="none" w:sz="0" w:space="0" w:color="auto"/>
        <w:bottom w:val="none" w:sz="0" w:space="0" w:color="auto"/>
        <w:right w:val="none" w:sz="0" w:space="0" w:color="auto"/>
      </w:divBdr>
    </w:div>
    <w:div w:id="695471865">
      <w:bodyDiv w:val="1"/>
      <w:marLeft w:val="0"/>
      <w:marRight w:val="0"/>
      <w:marTop w:val="0"/>
      <w:marBottom w:val="0"/>
      <w:divBdr>
        <w:top w:val="none" w:sz="0" w:space="0" w:color="auto"/>
        <w:left w:val="none" w:sz="0" w:space="0" w:color="auto"/>
        <w:bottom w:val="none" w:sz="0" w:space="0" w:color="auto"/>
        <w:right w:val="none" w:sz="0" w:space="0" w:color="auto"/>
      </w:divBdr>
    </w:div>
    <w:div w:id="704674652">
      <w:bodyDiv w:val="1"/>
      <w:marLeft w:val="0"/>
      <w:marRight w:val="0"/>
      <w:marTop w:val="0"/>
      <w:marBottom w:val="0"/>
      <w:divBdr>
        <w:top w:val="none" w:sz="0" w:space="0" w:color="auto"/>
        <w:left w:val="none" w:sz="0" w:space="0" w:color="auto"/>
        <w:bottom w:val="none" w:sz="0" w:space="0" w:color="auto"/>
        <w:right w:val="none" w:sz="0" w:space="0" w:color="auto"/>
      </w:divBdr>
    </w:div>
    <w:div w:id="706761276">
      <w:bodyDiv w:val="1"/>
      <w:marLeft w:val="0"/>
      <w:marRight w:val="0"/>
      <w:marTop w:val="0"/>
      <w:marBottom w:val="0"/>
      <w:divBdr>
        <w:top w:val="none" w:sz="0" w:space="0" w:color="auto"/>
        <w:left w:val="none" w:sz="0" w:space="0" w:color="auto"/>
        <w:bottom w:val="none" w:sz="0" w:space="0" w:color="auto"/>
        <w:right w:val="none" w:sz="0" w:space="0" w:color="auto"/>
      </w:divBdr>
    </w:div>
    <w:div w:id="776363629">
      <w:bodyDiv w:val="1"/>
      <w:marLeft w:val="0"/>
      <w:marRight w:val="0"/>
      <w:marTop w:val="0"/>
      <w:marBottom w:val="0"/>
      <w:divBdr>
        <w:top w:val="none" w:sz="0" w:space="0" w:color="auto"/>
        <w:left w:val="none" w:sz="0" w:space="0" w:color="auto"/>
        <w:bottom w:val="none" w:sz="0" w:space="0" w:color="auto"/>
        <w:right w:val="none" w:sz="0" w:space="0" w:color="auto"/>
      </w:divBdr>
    </w:div>
    <w:div w:id="801267555">
      <w:bodyDiv w:val="1"/>
      <w:marLeft w:val="0"/>
      <w:marRight w:val="0"/>
      <w:marTop w:val="0"/>
      <w:marBottom w:val="0"/>
      <w:divBdr>
        <w:top w:val="none" w:sz="0" w:space="0" w:color="auto"/>
        <w:left w:val="none" w:sz="0" w:space="0" w:color="auto"/>
        <w:bottom w:val="none" w:sz="0" w:space="0" w:color="auto"/>
        <w:right w:val="none" w:sz="0" w:space="0" w:color="auto"/>
      </w:divBdr>
    </w:div>
    <w:div w:id="829759938">
      <w:bodyDiv w:val="1"/>
      <w:marLeft w:val="0"/>
      <w:marRight w:val="0"/>
      <w:marTop w:val="0"/>
      <w:marBottom w:val="0"/>
      <w:divBdr>
        <w:top w:val="none" w:sz="0" w:space="0" w:color="auto"/>
        <w:left w:val="none" w:sz="0" w:space="0" w:color="auto"/>
        <w:bottom w:val="none" w:sz="0" w:space="0" w:color="auto"/>
        <w:right w:val="none" w:sz="0" w:space="0" w:color="auto"/>
      </w:divBdr>
    </w:div>
    <w:div w:id="914781172">
      <w:bodyDiv w:val="1"/>
      <w:marLeft w:val="0"/>
      <w:marRight w:val="0"/>
      <w:marTop w:val="0"/>
      <w:marBottom w:val="0"/>
      <w:divBdr>
        <w:top w:val="none" w:sz="0" w:space="0" w:color="auto"/>
        <w:left w:val="none" w:sz="0" w:space="0" w:color="auto"/>
        <w:bottom w:val="none" w:sz="0" w:space="0" w:color="auto"/>
        <w:right w:val="none" w:sz="0" w:space="0" w:color="auto"/>
      </w:divBdr>
    </w:div>
    <w:div w:id="922833706">
      <w:bodyDiv w:val="1"/>
      <w:marLeft w:val="0"/>
      <w:marRight w:val="0"/>
      <w:marTop w:val="0"/>
      <w:marBottom w:val="0"/>
      <w:divBdr>
        <w:top w:val="none" w:sz="0" w:space="0" w:color="auto"/>
        <w:left w:val="none" w:sz="0" w:space="0" w:color="auto"/>
        <w:bottom w:val="none" w:sz="0" w:space="0" w:color="auto"/>
        <w:right w:val="none" w:sz="0" w:space="0" w:color="auto"/>
      </w:divBdr>
    </w:div>
    <w:div w:id="930239077">
      <w:bodyDiv w:val="1"/>
      <w:marLeft w:val="0"/>
      <w:marRight w:val="0"/>
      <w:marTop w:val="0"/>
      <w:marBottom w:val="0"/>
      <w:divBdr>
        <w:top w:val="none" w:sz="0" w:space="0" w:color="auto"/>
        <w:left w:val="none" w:sz="0" w:space="0" w:color="auto"/>
        <w:bottom w:val="none" w:sz="0" w:space="0" w:color="auto"/>
        <w:right w:val="none" w:sz="0" w:space="0" w:color="auto"/>
      </w:divBdr>
    </w:div>
    <w:div w:id="1042706541">
      <w:bodyDiv w:val="1"/>
      <w:marLeft w:val="0"/>
      <w:marRight w:val="0"/>
      <w:marTop w:val="0"/>
      <w:marBottom w:val="0"/>
      <w:divBdr>
        <w:top w:val="none" w:sz="0" w:space="0" w:color="auto"/>
        <w:left w:val="none" w:sz="0" w:space="0" w:color="auto"/>
        <w:bottom w:val="none" w:sz="0" w:space="0" w:color="auto"/>
        <w:right w:val="none" w:sz="0" w:space="0" w:color="auto"/>
      </w:divBdr>
    </w:div>
    <w:div w:id="1082487404">
      <w:bodyDiv w:val="1"/>
      <w:marLeft w:val="0"/>
      <w:marRight w:val="0"/>
      <w:marTop w:val="0"/>
      <w:marBottom w:val="0"/>
      <w:divBdr>
        <w:top w:val="none" w:sz="0" w:space="0" w:color="auto"/>
        <w:left w:val="none" w:sz="0" w:space="0" w:color="auto"/>
        <w:bottom w:val="none" w:sz="0" w:space="0" w:color="auto"/>
        <w:right w:val="none" w:sz="0" w:space="0" w:color="auto"/>
      </w:divBdr>
    </w:div>
    <w:div w:id="1095906195">
      <w:bodyDiv w:val="1"/>
      <w:marLeft w:val="0"/>
      <w:marRight w:val="0"/>
      <w:marTop w:val="0"/>
      <w:marBottom w:val="0"/>
      <w:divBdr>
        <w:top w:val="none" w:sz="0" w:space="0" w:color="auto"/>
        <w:left w:val="none" w:sz="0" w:space="0" w:color="auto"/>
        <w:bottom w:val="none" w:sz="0" w:space="0" w:color="auto"/>
        <w:right w:val="none" w:sz="0" w:space="0" w:color="auto"/>
      </w:divBdr>
    </w:div>
    <w:div w:id="1118183494">
      <w:bodyDiv w:val="1"/>
      <w:marLeft w:val="0"/>
      <w:marRight w:val="0"/>
      <w:marTop w:val="0"/>
      <w:marBottom w:val="0"/>
      <w:divBdr>
        <w:top w:val="none" w:sz="0" w:space="0" w:color="auto"/>
        <w:left w:val="none" w:sz="0" w:space="0" w:color="auto"/>
        <w:bottom w:val="none" w:sz="0" w:space="0" w:color="auto"/>
        <w:right w:val="none" w:sz="0" w:space="0" w:color="auto"/>
      </w:divBdr>
      <w:divsChild>
        <w:div w:id="412313769">
          <w:marLeft w:val="0"/>
          <w:marRight w:val="0"/>
          <w:marTop w:val="0"/>
          <w:marBottom w:val="0"/>
          <w:divBdr>
            <w:top w:val="none" w:sz="0" w:space="0" w:color="auto"/>
            <w:left w:val="none" w:sz="0" w:space="0" w:color="auto"/>
            <w:bottom w:val="none" w:sz="0" w:space="0" w:color="auto"/>
            <w:right w:val="none" w:sz="0" w:space="0" w:color="auto"/>
          </w:divBdr>
          <w:divsChild>
            <w:div w:id="1770617165">
              <w:marLeft w:val="0"/>
              <w:marRight w:val="0"/>
              <w:marTop w:val="0"/>
              <w:marBottom w:val="0"/>
              <w:divBdr>
                <w:top w:val="none" w:sz="0" w:space="0" w:color="auto"/>
                <w:left w:val="none" w:sz="0" w:space="0" w:color="auto"/>
                <w:bottom w:val="none" w:sz="0" w:space="0" w:color="auto"/>
                <w:right w:val="none" w:sz="0" w:space="0" w:color="auto"/>
              </w:divBdr>
              <w:divsChild>
                <w:div w:id="18405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76572">
      <w:bodyDiv w:val="1"/>
      <w:marLeft w:val="0"/>
      <w:marRight w:val="0"/>
      <w:marTop w:val="0"/>
      <w:marBottom w:val="0"/>
      <w:divBdr>
        <w:top w:val="none" w:sz="0" w:space="0" w:color="auto"/>
        <w:left w:val="none" w:sz="0" w:space="0" w:color="auto"/>
        <w:bottom w:val="none" w:sz="0" w:space="0" w:color="auto"/>
        <w:right w:val="none" w:sz="0" w:space="0" w:color="auto"/>
      </w:divBdr>
    </w:div>
    <w:div w:id="1140224278">
      <w:bodyDiv w:val="1"/>
      <w:marLeft w:val="0"/>
      <w:marRight w:val="0"/>
      <w:marTop w:val="0"/>
      <w:marBottom w:val="0"/>
      <w:divBdr>
        <w:top w:val="none" w:sz="0" w:space="0" w:color="auto"/>
        <w:left w:val="none" w:sz="0" w:space="0" w:color="auto"/>
        <w:bottom w:val="none" w:sz="0" w:space="0" w:color="auto"/>
        <w:right w:val="none" w:sz="0" w:space="0" w:color="auto"/>
      </w:divBdr>
      <w:divsChild>
        <w:div w:id="626812450">
          <w:marLeft w:val="0"/>
          <w:marRight w:val="0"/>
          <w:marTop w:val="0"/>
          <w:marBottom w:val="0"/>
          <w:divBdr>
            <w:top w:val="none" w:sz="0" w:space="0" w:color="auto"/>
            <w:left w:val="none" w:sz="0" w:space="0" w:color="auto"/>
            <w:bottom w:val="none" w:sz="0" w:space="0" w:color="auto"/>
            <w:right w:val="none" w:sz="0" w:space="0" w:color="auto"/>
          </w:divBdr>
          <w:divsChild>
            <w:div w:id="733359725">
              <w:marLeft w:val="0"/>
              <w:marRight w:val="0"/>
              <w:marTop w:val="0"/>
              <w:marBottom w:val="0"/>
              <w:divBdr>
                <w:top w:val="none" w:sz="0" w:space="0" w:color="auto"/>
                <w:left w:val="none" w:sz="0" w:space="0" w:color="auto"/>
                <w:bottom w:val="none" w:sz="0" w:space="0" w:color="auto"/>
                <w:right w:val="none" w:sz="0" w:space="0" w:color="auto"/>
              </w:divBdr>
              <w:divsChild>
                <w:div w:id="11261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383614">
      <w:bodyDiv w:val="1"/>
      <w:marLeft w:val="0"/>
      <w:marRight w:val="0"/>
      <w:marTop w:val="0"/>
      <w:marBottom w:val="0"/>
      <w:divBdr>
        <w:top w:val="none" w:sz="0" w:space="0" w:color="auto"/>
        <w:left w:val="none" w:sz="0" w:space="0" w:color="auto"/>
        <w:bottom w:val="none" w:sz="0" w:space="0" w:color="auto"/>
        <w:right w:val="none" w:sz="0" w:space="0" w:color="auto"/>
      </w:divBdr>
    </w:div>
    <w:div w:id="1162816821">
      <w:bodyDiv w:val="1"/>
      <w:marLeft w:val="0"/>
      <w:marRight w:val="0"/>
      <w:marTop w:val="0"/>
      <w:marBottom w:val="0"/>
      <w:divBdr>
        <w:top w:val="none" w:sz="0" w:space="0" w:color="auto"/>
        <w:left w:val="none" w:sz="0" w:space="0" w:color="auto"/>
        <w:bottom w:val="none" w:sz="0" w:space="0" w:color="auto"/>
        <w:right w:val="none" w:sz="0" w:space="0" w:color="auto"/>
      </w:divBdr>
    </w:div>
    <w:div w:id="1183937969">
      <w:bodyDiv w:val="1"/>
      <w:marLeft w:val="0"/>
      <w:marRight w:val="0"/>
      <w:marTop w:val="0"/>
      <w:marBottom w:val="0"/>
      <w:divBdr>
        <w:top w:val="none" w:sz="0" w:space="0" w:color="auto"/>
        <w:left w:val="none" w:sz="0" w:space="0" w:color="auto"/>
        <w:bottom w:val="none" w:sz="0" w:space="0" w:color="auto"/>
        <w:right w:val="none" w:sz="0" w:space="0" w:color="auto"/>
      </w:divBdr>
    </w:div>
    <w:div w:id="1191333885">
      <w:bodyDiv w:val="1"/>
      <w:marLeft w:val="0"/>
      <w:marRight w:val="0"/>
      <w:marTop w:val="0"/>
      <w:marBottom w:val="0"/>
      <w:divBdr>
        <w:top w:val="none" w:sz="0" w:space="0" w:color="auto"/>
        <w:left w:val="none" w:sz="0" w:space="0" w:color="auto"/>
        <w:bottom w:val="none" w:sz="0" w:space="0" w:color="auto"/>
        <w:right w:val="none" w:sz="0" w:space="0" w:color="auto"/>
      </w:divBdr>
    </w:div>
    <w:div w:id="1294025062">
      <w:bodyDiv w:val="1"/>
      <w:marLeft w:val="0"/>
      <w:marRight w:val="0"/>
      <w:marTop w:val="0"/>
      <w:marBottom w:val="0"/>
      <w:divBdr>
        <w:top w:val="none" w:sz="0" w:space="0" w:color="auto"/>
        <w:left w:val="none" w:sz="0" w:space="0" w:color="auto"/>
        <w:bottom w:val="none" w:sz="0" w:space="0" w:color="auto"/>
        <w:right w:val="none" w:sz="0" w:space="0" w:color="auto"/>
      </w:divBdr>
      <w:divsChild>
        <w:div w:id="785780912">
          <w:marLeft w:val="0"/>
          <w:marRight w:val="0"/>
          <w:marTop w:val="0"/>
          <w:marBottom w:val="0"/>
          <w:divBdr>
            <w:top w:val="none" w:sz="0" w:space="0" w:color="auto"/>
            <w:left w:val="none" w:sz="0" w:space="0" w:color="auto"/>
            <w:bottom w:val="none" w:sz="0" w:space="0" w:color="auto"/>
            <w:right w:val="none" w:sz="0" w:space="0" w:color="auto"/>
          </w:divBdr>
          <w:divsChild>
            <w:div w:id="953293080">
              <w:marLeft w:val="0"/>
              <w:marRight w:val="0"/>
              <w:marTop w:val="0"/>
              <w:marBottom w:val="0"/>
              <w:divBdr>
                <w:top w:val="none" w:sz="0" w:space="0" w:color="auto"/>
                <w:left w:val="none" w:sz="0" w:space="0" w:color="auto"/>
                <w:bottom w:val="none" w:sz="0" w:space="0" w:color="auto"/>
                <w:right w:val="none" w:sz="0" w:space="0" w:color="auto"/>
              </w:divBdr>
              <w:divsChild>
                <w:div w:id="765228185">
                  <w:marLeft w:val="0"/>
                  <w:marRight w:val="0"/>
                  <w:marTop w:val="0"/>
                  <w:marBottom w:val="0"/>
                  <w:divBdr>
                    <w:top w:val="none" w:sz="0" w:space="0" w:color="auto"/>
                    <w:left w:val="none" w:sz="0" w:space="0" w:color="auto"/>
                    <w:bottom w:val="none" w:sz="0" w:space="0" w:color="auto"/>
                    <w:right w:val="none" w:sz="0" w:space="0" w:color="auto"/>
                  </w:divBdr>
                  <w:divsChild>
                    <w:div w:id="116693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762858">
      <w:bodyDiv w:val="1"/>
      <w:marLeft w:val="0"/>
      <w:marRight w:val="0"/>
      <w:marTop w:val="0"/>
      <w:marBottom w:val="0"/>
      <w:divBdr>
        <w:top w:val="none" w:sz="0" w:space="0" w:color="auto"/>
        <w:left w:val="none" w:sz="0" w:space="0" w:color="auto"/>
        <w:bottom w:val="none" w:sz="0" w:space="0" w:color="auto"/>
        <w:right w:val="none" w:sz="0" w:space="0" w:color="auto"/>
      </w:divBdr>
    </w:div>
    <w:div w:id="1317687168">
      <w:bodyDiv w:val="1"/>
      <w:marLeft w:val="0"/>
      <w:marRight w:val="0"/>
      <w:marTop w:val="0"/>
      <w:marBottom w:val="0"/>
      <w:divBdr>
        <w:top w:val="none" w:sz="0" w:space="0" w:color="auto"/>
        <w:left w:val="none" w:sz="0" w:space="0" w:color="auto"/>
        <w:bottom w:val="none" w:sz="0" w:space="0" w:color="auto"/>
        <w:right w:val="none" w:sz="0" w:space="0" w:color="auto"/>
      </w:divBdr>
    </w:div>
    <w:div w:id="1353726608">
      <w:bodyDiv w:val="1"/>
      <w:marLeft w:val="0"/>
      <w:marRight w:val="0"/>
      <w:marTop w:val="0"/>
      <w:marBottom w:val="0"/>
      <w:divBdr>
        <w:top w:val="none" w:sz="0" w:space="0" w:color="auto"/>
        <w:left w:val="none" w:sz="0" w:space="0" w:color="auto"/>
        <w:bottom w:val="none" w:sz="0" w:space="0" w:color="auto"/>
        <w:right w:val="none" w:sz="0" w:space="0" w:color="auto"/>
      </w:divBdr>
    </w:div>
    <w:div w:id="1357848230">
      <w:bodyDiv w:val="1"/>
      <w:marLeft w:val="0"/>
      <w:marRight w:val="0"/>
      <w:marTop w:val="0"/>
      <w:marBottom w:val="0"/>
      <w:divBdr>
        <w:top w:val="none" w:sz="0" w:space="0" w:color="auto"/>
        <w:left w:val="none" w:sz="0" w:space="0" w:color="auto"/>
        <w:bottom w:val="none" w:sz="0" w:space="0" w:color="auto"/>
        <w:right w:val="none" w:sz="0" w:space="0" w:color="auto"/>
      </w:divBdr>
    </w:div>
    <w:div w:id="1389039463">
      <w:bodyDiv w:val="1"/>
      <w:marLeft w:val="0"/>
      <w:marRight w:val="0"/>
      <w:marTop w:val="0"/>
      <w:marBottom w:val="0"/>
      <w:divBdr>
        <w:top w:val="none" w:sz="0" w:space="0" w:color="auto"/>
        <w:left w:val="none" w:sz="0" w:space="0" w:color="auto"/>
        <w:bottom w:val="none" w:sz="0" w:space="0" w:color="auto"/>
        <w:right w:val="none" w:sz="0" w:space="0" w:color="auto"/>
      </w:divBdr>
    </w:div>
    <w:div w:id="1418408469">
      <w:bodyDiv w:val="1"/>
      <w:marLeft w:val="0"/>
      <w:marRight w:val="0"/>
      <w:marTop w:val="0"/>
      <w:marBottom w:val="0"/>
      <w:divBdr>
        <w:top w:val="none" w:sz="0" w:space="0" w:color="auto"/>
        <w:left w:val="none" w:sz="0" w:space="0" w:color="auto"/>
        <w:bottom w:val="none" w:sz="0" w:space="0" w:color="auto"/>
        <w:right w:val="none" w:sz="0" w:space="0" w:color="auto"/>
      </w:divBdr>
    </w:div>
    <w:div w:id="1432553686">
      <w:bodyDiv w:val="1"/>
      <w:marLeft w:val="0"/>
      <w:marRight w:val="0"/>
      <w:marTop w:val="0"/>
      <w:marBottom w:val="0"/>
      <w:divBdr>
        <w:top w:val="none" w:sz="0" w:space="0" w:color="auto"/>
        <w:left w:val="none" w:sz="0" w:space="0" w:color="auto"/>
        <w:bottom w:val="none" w:sz="0" w:space="0" w:color="auto"/>
        <w:right w:val="none" w:sz="0" w:space="0" w:color="auto"/>
      </w:divBdr>
    </w:div>
    <w:div w:id="1497308108">
      <w:bodyDiv w:val="1"/>
      <w:marLeft w:val="0"/>
      <w:marRight w:val="0"/>
      <w:marTop w:val="0"/>
      <w:marBottom w:val="0"/>
      <w:divBdr>
        <w:top w:val="none" w:sz="0" w:space="0" w:color="auto"/>
        <w:left w:val="none" w:sz="0" w:space="0" w:color="auto"/>
        <w:bottom w:val="none" w:sz="0" w:space="0" w:color="auto"/>
        <w:right w:val="none" w:sz="0" w:space="0" w:color="auto"/>
      </w:divBdr>
    </w:div>
    <w:div w:id="1501391979">
      <w:bodyDiv w:val="1"/>
      <w:marLeft w:val="0"/>
      <w:marRight w:val="0"/>
      <w:marTop w:val="0"/>
      <w:marBottom w:val="0"/>
      <w:divBdr>
        <w:top w:val="none" w:sz="0" w:space="0" w:color="auto"/>
        <w:left w:val="none" w:sz="0" w:space="0" w:color="auto"/>
        <w:bottom w:val="none" w:sz="0" w:space="0" w:color="auto"/>
        <w:right w:val="none" w:sz="0" w:space="0" w:color="auto"/>
      </w:divBdr>
    </w:div>
    <w:div w:id="1506434208">
      <w:bodyDiv w:val="1"/>
      <w:marLeft w:val="0"/>
      <w:marRight w:val="0"/>
      <w:marTop w:val="0"/>
      <w:marBottom w:val="0"/>
      <w:divBdr>
        <w:top w:val="none" w:sz="0" w:space="0" w:color="auto"/>
        <w:left w:val="none" w:sz="0" w:space="0" w:color="auto"/>
        <w:bottom w:val="none" w:sz="0" w:space="0" w:color="auto"/>
        <w:right w:val="none" w:sz="0" w:space="0" w:color="auto"/>
      </w:divBdr>
    </w:div>
    <w:div w:id="1508983263">
      <w:bodyDiv w:val="1"/>
      <w:marLeft w:val="0"/>
      <w:marRight w:val="0"/>
      <w:marTop w:val="0"/>
      <w:marBottom w:val="0"/>
      <w:divBdr>
        <w:top w:val="none" w:sz="0" w:space="0" w:color="auto"/>
        <w:left w:val="none" w:sz="0" w:space="0" w:color="auto"/>
        <w:bottom w:val="none" w:sz="0" w:space="0" w:color="auto"/>
        <w:right w:val="none" w:sz="0" w:space="0" w:color="auto"/>
      </w:divBdr>
    </w:div>
    <w:div w:id="1554729273">
      <w:bodyDiv w:val="1"/>
      <w:marLeft w:val="0"/>
      <w:marRight w:val="0"/>
      <w:marTop w:val="0"/>
      <w:marBottom w:val="0"/>
      <w:divBdr>
        <w:top w:val="none" w:sz="0" w:space="0" w:color="auto"/>
        <w:left w:val="none" w:sz="0" w:space="0" w:color="auto"/>
        <w:bottom w:val="none" w:sz="0" w:space="0" w:color="auto"/>
        <w:right w:val="none" w:sz="0" w:space="0" w:color="auto"/>
      </w:divBdr>
    </w:div>
    <w:div w:id="1564102627">
      <w:bodyDiv w:val="1"/>
      <w:marLeft w:val="0"/>
      <w:marRight w:val="0"/>
      <w:marTop w:val="0"/>
      <w:marBottom w:val="0"/>
      <w:divBdr>
        <w:top w:val="none" w:sz="0" w:space="0" w:color="auto"/>
        <w:left w:val="none" w:sz="0" w:space="0" w:color="auto"/>
        <w:bottom w:val="none" w:sz="0" w:space="0" w:color="auto"/>
        <w:right w:val="none" w:sz="0" w:space="0" w:color="auto"/>
      </w:divBdr>
    </w:div>
    <w:div w:id="1580822977">
      <w:bodyDiv w:val="1"/>
      <w:marLeft w:val="0"/>
      <w:marRight w:val="0"/>
      <w:marTop w:val="0"/>
      <w:marBottom w:val="0"/>
      <w:divBdr>
        <w:top w:val="none" w:sz="0" w:space="0" w:color="auto"/>
        <w:left w:val="none" w:sz="0" w:space="0" w:color="auto"/>
        <w:bottom w:val="none" w:sz="0" w:space="0" w:color="auto"/>
        <w:right w:val="none" w:sz="0" w:space="0" w:color="auto"/>
      </w:divBdr>
      <w:divsChild>
        <w:div w:id="494803772">
          <w:marLeft w:val="0"/>
          <w:marRight w:val="0"/>
          <w:marTop w:val="0"/>
          <w:marBottom w:val="0"/>
          <w:divBdr>
            <w:top w:val="none" w:sz="0" w:space="0" w:color="auto"/>
            <w:left w:val="none" w:sz="0" w:space="0" w:color="auto"/>
            <w:bottom w:val="none" w:sz="0" w:space="0" w:color="auto"/>
            <w:right w:val="none" w:sz="0" w:space="0" w:color="auto"/>
          </w:divBdr>
          <w:divsChild>
            <w:div w:id="1710954201">
              <w:marLeft w:val="0"/>
              <w:marRight w:val="0"/>
              <w:marTop w:val="0"/>
              <w:marBottom w:val="0"/>
              <w:divBdr>
                <w:top w:val="none" w:sz="0" w:space="0" w:color="auto"/>
                <w:left w:val="none" w:sz="0" w:space="0" w:color="auto"/>
                <w:bottom w:val="none" w:sz="0" w:space="0" w:color="auto"/>
                <w:right w:val="none" w:sz="0" w:space="0" w:color="auto"/>
              </w:divBdr>
              <w:divsChild>
                <w:div w:id="6636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1898">
      <w:bodyDiv w:val="1"/>
      <w:marLeft w:val="0"/>
      <w:marRight w:val="0"/>
      <w:marTop w:val="0"/>
      <w:marBottom w:val="0"/>
      <w:divBdr>
        <w:top w:val="none" w:sz="0" w:space="0" w:color="auto"/>
        <w:left w:val="none" w:sz="0" w:space="0" w:color="auto"/>
        <w:bottom w:val="none" w:sz="0" w:space="0" w:color="auto"/>
        <w:right w:val="none" w:sz="0" w:space="0" w:color="auto"/>
      </w:divBdr>
    </w:div>
    <w:div w:id="1606422252">
      <w:bodyDiv w:val="1"/>
      <w:marLeft w:val="0"/>
      <w:marRight w:val="0"/>
      <w:marTop w:val="0"/>
      <w:marBottom w:val="0"/>
      <w:divBdr>
        <w:top w:val="none" w:sz="0" w:space="0" w:color="auto"/>
        <w:left w:val="none" w:sz="0" w:space="0" w:color="auto"/>
        <w:bottom w:val="none" w:sz="0" w:space="0" w:color="auto"/>
        <w:right w:val="none" w:sz="0" w:space="0" w:color="auto"/>
      </w:divBdr>
    </w:div>
    <w:div w:id="1629775017">
      <w:bodyDiv w:val="1"/>
      <w:marLeft w:val="0"/>
      <w:marRight w:val="0"/>
      <w:marTop w:val="0"/>
      <w:marBottom w:val="0"/>
      <w:divBdr>
        <w:top w:val="none" w:sz="0" w:space="0" w:color="auto"/>
        <w:left w:val="none" w:sz="0" w:space="0" w:color="auto"/>
        <w:bottom w:val="none" w:sz="0" w:space="0" w:color="auto"/>
        <w:right w:val="none" w:sz="0" w:space="0" w:color="auto"/>
      </w:divBdr>
    </w:div>
    <w:div w:id="1645238910">
      <w:bodyDiv w:val="1"/>
      <w:marLeft w:val="0"/>
      <w:marRight w:val="0"/>
      <w:marTop w:val="0"/>
      <w:marBottom w:val="0"/>
      <w:divBdr>
        <w:top w:val="none" w:sz="0" w:space="0" w:color="auto"/>
        <w:left w:val="none" w:sz="0" w:space="0" w:color="auto"/>
        <w:bottom w:val="none" w:sz="0" w:space="0" w:color="auto"/>
        <w:right w:val="none" w:sz="0" w:space="0" w:color="auto"/>
      </w:divBdr>
    </w:div>
    <w:div w:id="1679841552">
      <w:bodyDiv w:val="1"/>
      <w:marLeft w:val="0"/>
      <w:marRight w:val="0"/>
      <w:marTop w:val="0"/>
      <w:marBottom w:val="0"/>
      <w:divBdr>
        <w:top w:val="none" w:sz="0" w:space="0" w:color="auto"/>
        <w:left w:val="none" w:sz="0" w:space="0" w:color="auto"/>
        <w:bottom w:val="none" w:sz="0" w:space="0" w:color="auto"/>
        <w:right w:val="none" w:sz="0" w:space="0" w:color="auto"/>
      </w:divBdr>
    </w:div>
    <w:div w:id="1701009124">
      <w:bodyDiv w:val="1"/>
      <w:marLeft w:val="0"/>
      <w:marRight w:val="0"/>
      <w:marTop w:val="0"/>
      <w:marBottom w:val="0"/>
      <w:divBdr>
        <w:top w:val="none" w:sz="0" w:space="0" w:color="auto"/>
        <w:left w:val="none" w:sz="0" w:space="0" w:color="auto"/>
        <w:bottom w:val="none" w:sz="0" w:space="0" w:color="auto"/>
        <w:right w:val="none" w:sz="0" w:space="0" w:color="auto"/>
      </w:divBdr>
    </w:div>
    <w:div w:id="1720859220">
      <w:bodyDiv w:val="1"/>
      <w:marLeft w:val="0"/>
      <w:marRight w:val="0"/>
      <w:marTop w:val="0"/>
      <w:marBottom w:val="0"/>
      <w:divBdr>
        <w:top w:val="none" w:sz="0" w:space="0" w:color="auto"/>
        <w:left w:val="none" w:sz="0" w:space="0" w:color="auto"/>
        <w:bottom w:val="none" w:sz="0" w:space="0" w:color="auto"/>
        <w:right w:val="none" w:sz="0" w:space="0" w:color="auto"/>
      </w:divBdr>
    </w:div>
    <w:div w:id="1726375189">
      <w:bodyDiv w:val="1"/>
      <w:marLeft w:val="0"/>
      <w:marRight w:val="0"/>
      <w:marTop w:val="0"/>
      <w:marBottom w:val="0"/>
      <w:divBdr>
        <w:top w:val="none" w:sz="0" w:space="0" w:color="auto"/>
        <w:left w:val="none" w:sz="0" w:space="0" w:color="auto"/>
        <w:bottom w:val="none" w:sz="0" w:space="0" w:color="auto"/>
        <w:right w:val="none" w:sz="0" w:space="0" w:color="auto"/>
      </w:divBdr>
    </w:div>
    <w:div w:id="1749113792">
      <w:bodyDiv w:val="1"/>
      <w:marLeft w:val="0"/>
      <w:marRight w:val="0"/>
      <w:marTop w:val="0"/>
      <w:marBottom w:val="0"/>
      <w:divBdr>
        <w:top w:val="none" w:sz="0" w:space="0" w:color="auto"/>
        <w:left w:val="none" w:sz="0" w:space="0" w:color="auto"/>
        <w:bottom w:val="none" w:sz="0" w:space="0" w:color="auto"/>
        <w:right w:val="none" w:sz="0" w:space="0" w:color="auto"/>
      </w:divBdr>
    </w:div>
    <w:div w:id="1812676216">
      <w:bodyDiv w:val="1"/>
      <w:marLeft w:val="0"/>
      <w:marRight w:val="0"/>
      <w:marTop w:val="0"/>
      <w:marBottom w:val="0"/>
      <w:divBdr>
        <w:top w:val="none" w:sz="0" w:space="0" w:color="auto"/>
        <w:left w:val="none" w:sz="0" w:space="0" w:color="auto"/>
        <w:bottom w:val="none" w:sz="0" w:space="0" w:color="auto"/>
        <w:right w:val="none" w:sz="0" w:space="0" w:color="auto"/>
      </w:divBdr>
    </w:div>
    <w:div w:id="1813863110">
      <w:bodyDiv w:val="1"/>
      <w:marLeft w:val="0"/>
      <w:marRight w:val="0"/>
      <w:marTop w:val="0"/>
      <w:marBottom w:val="0"/>
      <w:divBdr>
        <w:top w:val="none" w:sz="0" w:space="0" w:color="auto"/>
        <w:left w:val="none" w:sz="0" w:space="0" w:color="auto"/>
        <w:bottom w:val="none" w:sz="0" w:space="0" w:color="auto"/>
        <w:right w:val="none" w:sz="0" w:space="0" w:color="auto"/>
      </w:divBdr>
    </w:div>
    <w:div w:id="1851946555">
      <w:bodyDiv w:val="1"/>
      <w:marLeft w:val="0"/>
      <w:marRight w:val="0"/>
      <w:marTop w:val="0"/>
      <w:marBottom w:val="0"/>
      <w:divBdr>
        <w:top w:val="none" w:sz="0" w:space="0" w:color="auto"/>
        <w:left w:val="none" w:sz="0" w:space="0" w:color="auto"/>
        <w:bottom w:val="none" w:sz="0" w:space="0" w:color="auto"/>
        <w:right w:val="none" w:sz="0" w:space="0" w:color="auto"/>
      </w:divBdr>
    </w:div>
    <w:div w:id="1881934653">
      <w:bodyDiv w:val="1"/>
      <w:marLeft w:val="0"/>
      <w:marRight w:val="0"/>
      <w:marTop w:val="0"/>
      <w:marBottom w:val="0"/>
      <w:divBdr>
        <w:top w:val="none" w:sz="0" w:space="0" w:color="auto"/>
        <w:left w:val="none" w:sz="0" w:space="0" w:color="auto"/>
        <w:bottom w:val="none" w:sz="0" w:space="0" w:color="auto"/>
        <w:right w:val="none" w:sz="0" w:space="0" w:color="auto"/>
      </w:divBdr>
    </w:div>
    <w:div w:id="1882131061">
      <w:bodyDiv w:val="1"/>
      <w:marLeft w:val="0"/>
      <w:marRight w:val="0"/>
      <w:marTop w:val="0"/>
      <w:marBottom w:val="0"/>
      <w:divBdr>
        <w:top w:val="none" w:sz="0" w:space="0" w:color="auto"/>
        <w:left w:val="none" w:sz="0" w:space="0" w:color="auto"/>
        <w:bottom w:val="none" w:sz="0" w:space="0" w:color="auto"/>
        <w:right w:val="none" w:sz="0" w:space="0" w:color="auto"/>
      </w:divBdr>
    </w:div>
    <w:div w:id="1911648402">
      <w:bodyDiv w:val="1"/>
      <w:marLeft w:val="0"/>
      <w:marRight w:val="0"/>
      <w:marTop w:val="0"/>
      <w:marBottom w:val="0"/>
      <w:divBdr>
        <w:top w:val="none" w:sz="0" w:space="0" w:color="auto"/>
        <w:left w:val="none" w:sz="0" w:space="0" w:color="auto"/>
        <w:bottom w:val="none" w:sz="0" w:space="0" w:color="auto"/>
        <w:right w:val="none" w:sz="0" w:space="0" w:color="auto"/>
      </w:divBdr>
      <w:divsChild>
        <w:div w:id="1221400047">
          <w:marLeft w:val="0"/>
          <w:marRight w:val="0"/>
          <w:marTop w:val="0"/>
          <w:marBottom w:val="0"/>
          <w:divBdr>
            <w:top w:val="none" w:sz="0" w:space="0" w:color="auto"/>
            <w:left w:val="none" w:sz="0" w:space="0" w:color="auto"/>
            <w:bottom w:val="none" w:sz="0" w:space="0" w:color="auto"/>
            <w:right w:val="none" w:sz="0" w:space="0" w:color="auto"/>
          </w:divBdr>
          <w:divsChild>
            <w:div w:id="333533592">
              <w:marLeft w:val="0"/>
              <w:marRight w:val="0"/>
              <w:marTop w:val="0"/>
              <w:marBottom w:val="0"/>
              <w:divBdr>
                <w:top w:val="none" w:sz="0" w:space="0" w:color="auto"/>
                <w:left w:val="none" w:sz="0" w:space="0" w:color="auto"/>
                <w:bottom w:val="none" w:sz="0" w:space="0" w:color="auto"/>
                <w:right w:val="none" w:sz="0" w:space="0" w:color="auto"/>
              </w:divBdr>
              <w:divsChild>
                <w:div w:id="17872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49698">
      <w:bodyDiv w:val="1"/>
      <w:marLeft w:val="0"/>
      <w:marRight w:val="0"/>
      <w:marTop w:val="0"/>
      <w:marBottom w:val="0"/>
      <w:divBdr>
        <w:top w:val="none" w:sz="0" w:space="0" w:color="auto"/>
        <w:left w:val="none" w:sz="0" w:space="0" w:color="auto"/>
        <w:bottom w:val="none" w:sz="0" w:space="0" w:color="auto"/>
        <w:right w:val="none" w:sz="0" w:space="0" w:color="auto"/>
      </w:divBdr>
    </w:div>
    <w:div w:id="1960994183">
      <w:bodyDiv w:val="1"/>
      <w:marLeft w:val="0"/>
      <w:marRight w:val="0"/>
      <w:marTop w:val="0"/>
      <w:marBottom w:val="0"/>
      <w:divBdr>
        <w:top w:val="none" w:sz="0" w:space="0" w:color="auto"/>
        <w:left w:val="none" w:sz="0" w:space="0" w:color="auto"/>
        <w:bottom w:val="none" w:sz="0" w:space="0" w:color="auto"/>
        <w:right w:val="none" w:sz="0" w:space="0" w:color="auto"/>
      </w:divBdr>
    </w:div>
    <w:div w:id="1962298856">
      <w:bodyDiv w:val="1"/>
      <w:marLeft w:val="0"/>
      <w:marRight w:val="0"/>
      <w:marTop w:val="0"/>
      <w:marBottom w:val="0"/>
      <w:divBdr>
        <w:top w:val="none" w:sz="0" w:space="0" w:color="auto"/>
        <w:left w:val="none" w:sz="0" w:space="0" w:color="auto"/>
        <w:bottom w:val="none" w:sz="0" w:space="0" w:color="auto"/>
        <w:right w:val="none" w:sz="0" w:space="0" w:color="auto"/>
      </w:divBdr>
    </w:div>
    <w:div w:id="2013293236">
      <w:bodyDiv w:val="1"/>
      <w:marLeft w:val="0"/>
      <w:marRight w:val="0"/>
      <w:marTop w:val="0"/>
      <w:marBottom w:val="0"/>
      <w:divBdr>
        <w:top w:val="none" w:sz="0" w:space="0" w:color="auto"/>
        <w:left w:val="none" w:sz="0" w:space="0" w:color="auto"/>
        <w:bottom w:val="none" w:sz="0" w:space="0" w:color="auto"/>
        <w:right w:val="none" w:sz="0" w:space="0" w:color="auto"/>
      </w:divBdr>
    </w:div>
    <w:div w:id="2082218719">
      <w:bodyDiv w:val="1"/>
      <w:marLeft w:val="0"/>
      <w:marRight w:val="0"/>
      <w:marTop w:val="0"/>
      <w:marBottom w:val="0"/>
      <w:divBdr>
        <w:top w:val="none" w:sz="0" w:space="0" w:color="auto"/>
        <w:left w:val="none" w:sz="0" w:space="0" w:color="auto"/>
        <w:bottom w:val="none" w:sz="0" w:space="0" w:color="auto"/>
        <w:right w:val="none" w:sz="0" w:space="0" w:color="auto"/>
      </w:divBdr>
    </w:div>
    <w:div w:id="2083209974">
      <w:bodyDiv w:val="1"/>
      <w:marLeft w:val="0"/>
      <w:marRight w:val="0"/>
      <w:marTop w:val="0"/>
      <w:marBottom w:val="0"/>
      <w:divBdr>
        <w:top w:val="none" w:sz="0" w:space="0" w:color="auto"/>
        <w:left w:val="none" w:sz="0" w:space="0" w:color="auto"/>
        <w:bottom w:val="none" w:sz="0" w:space="0" w:color="auto"/>
        <w:right w:val="none" w:sz="0" w:space="0" w:color="auto"/>
      </w:divBdr>
    </w:div>
    <w:div w:id="2090537311">
      <w:bodyDiv w:val="1"/>
      <w:marLeft w:val="0"/>
      <w:marRight w:val="0"/>
      <w:marTop w:val="0"/>
      <w:marBottom w:val="0"/>
      <w:divBdr>
        <w:top w:val="none" w:sz="0" w:space="0" w:color="auto"/>
        <w:left w:val="none" w:sz="0" w:space="0" w:color="auto"/>
        <w:bottom w:val="none" w:sz="0" w:space="0" w:color="auto"/>
        <w:right w:val="none" w:sz="0" w:space="0" w:color="auto"/>
      </w:divBdr>
    </w:div>
    <w:div w:id="2102331551">
      <w:bodyDiv w:val="1"/>
      <w:marLeft w:val="0"/>
      <w:marRight w:val="0"/>
      <w:marTop w:val="0"/>
      <w:marBottom w:val="0"/>
      <w:divBdr>
        <w:top w:val="none" w:sz="0" w:space="0" w:color="auto"/>
        <w:left w:val="none" w:sz="0" w:space="0" w:color="auto"/>
        <w:bottom w:val="none" w:sz="0" w:space="0" w:color="auto"/>
        <w:right w:val="none" w:sz="0" w:space="0" w:color="auto"/>
      </w:divBdr>
    </w:div>
    <w:div w:id="214488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nathanjair.cuevaslopez@toulouse-inp.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Iva20</b:Tag>
    <b:SourceType>JournalArticle</b:SourceType>
    <b:Guid>{003A9364-9041-4230-B7E8-529DC33BD0FB}</b:Guid>
    <b:Author>
      <b:Author>
        <b:NameList>
          <b:Person>
            <b:Last>Ivanov</b:Last>
            <b:First>Dmitry</b:First>
          </b:Person>
          <b:Person>
            <b:Last>Dolgui</b:Last>
            <b:First>Alexandre</b:First>
          </b:Person>
        </b:NameList>
      </b:Author>
    </b:Author>
    <b:Title>Viability of intertwined supply networks: extending the supply chain resilience angles towards survivability. A position paper motivated by COVID-19 outbreak</b:Title>
    <b:Year>2020</b:Year>
    <b:Publisher>International journal of production research</b:Publisher>
    <b:JournalName>International journal of production research</b:JournalName>
    <b:Pages>2904--2915</b:Pages>
    <b:RefOrder>15</b:RefOrder>
  </b:Source>
  <b:Source>
    <b:Tag>Pap09</b:Tag>
    <b:SourceType>JournalArticle</b:SourceType>
    <b:Guid>{19FB90E0-3CB9-4F4A-BE35-FC9F2CD5A349}</b:Guid>
    <b:Author>
      <b:Author>
        <b:NameList>
          <b:Person>
            <b:Last>Papageorgiou</b:Last>
            <b:First>Lazaros</b:First>
            <b:Middle>G</b:Middle>
          </b:Person>
        </b:NameList>
      </b:Author>
    </b:Author>
    <b:Title>Supply chain optimisation for the process industries: Advances and opportunities</b:Title>
    <b:JournalName>Elsevier</b:JournalName>
    <b:Year>2009</b:Year>
    <b:Pages>1931--1938</b:Pages>
    <b:RefOrder>2</b:RefOrder>
  </b:Source>
  <b:Source>
    <b:Tag>Lai12</b:Tag>
    <b:SourceType>JournalArticle</b:SourceType>
    <b:Guid>{76E04743-2616-455B-8D81-A8009DFE3D02}</b:Guid>
    <b:Author>
      <b:Author>
        <b:NameList>
          <b:Person>
            <b:Last>Lainez</b:Last>
            <b:First>Jose</b:First>
          </b:Person>
        </b:NameList>
      </b:Author>
    </b:Author>
    <b:Title>Prospective and perspective review in integrated supply chain modelling for the chemical process industry</b:Title>
    <b:JournalName>Current Opinion in Chemical Engineering</b:JournalName>
    <b:Year>2012</b:Year>
    <b:Pages>430--445</b:Pages>
    <b:RefOrder>16</b:RefOrder>
  </b:Source>
  <b:Source>
    <b:Tag>Ibr21</b:Tag>
    <b:SourceType>JournalArticle</b:SourceType>
    <b:Guid>{8C649861-C151-4AE6-BA97-D17D7EF38564}</b:Guid>
    <b:Author>
      <b:Author>
        <b:NameList>
          <b:Person>
            <b:Last>Ibrahim</b:Last>
            <b:First>Dauda</b:First>
          </b:Person>
        </b:NameList>
      </b:Author>
    </b:Author>
    <b:Title>Model-based planning and delivery of mass vaccination campaigns against infectious disease: Application to the COVID-19 pandemic in the UK</b:Title>
    <b:JournalName>Vaccines</b:JournalName>
    <b:Year>2021</b:Year>
    <b:Pages>430--445</b:Pages>
    <b:RefOrder>7</b:RefOrder>
  </b:Source>
  <b:Source>
    <b:Tag>Zah18</b:Tag>
    <b:SourceType>JournalArticle</b:SourceType>
    <b:Guid>{237192C7-0298-4F87-99FF-7B9887BC3243}</b:Guid>
    <b:Author>
      <b:Author>
        <b:NameList>
          <b:Person>
            <b:Last>Zahiri</b:Last>
            <b:First>Behzad</b:First>
          </b:Person>
        </b:NameList>
      </b:Author>
    </b:Author>
    <b:Title>Design of a pharmaceutical supply chain network under uncertainty considering perishability and substitutability of products</b:Title>
    <b:JournalName>Information sciences</b:JournalName>
    <b:Year>2018</b:Year>
    <b:Pages>257--283</b:Pages>
    <b:RefOrder>17</b:RefOrder>
  </b:Source>
  <b:Source>
    <b:Tag>Aln13</b:Tag>
    <b:SourceType>JournalArticle</b:SourceType>
    <b:Guid>{6332432E-A472-4475-825A-1C49A4D338FC}</b:Guid>
    <b:Author>
      <b:Author>
        <b:NameList>
          <b:Person>
            <b:Last>Alnaji</b:Last>
            <b:First>Loay</b:First>
          </b:Person>
        </b:NameList>
      </b:Author>
    </b:Author>
    <b:Title>The role of Supply Chain Applications in Jordanian Pharmacies: A case study on Pharmacies in the capital city Amman</b:Title>
    <b:JournalName>Industrial Engineering Letters</b:JournalName>
    <b:Year>2013</b:Year>
    <b:Pages>65--71</b:Pages>
    <b:RefOrder>3</b:RefOrder>
  </b:Source>
  <b:Source>
    <b:Tag>Mav09</b:Tag>
    <b:SourceType>JournalArticle</b:SourceType>
    <b:Guid>{65DC39D3-0F5D-46EB-9162-F20FC4F09E47}</b:Guid>
    <b:Author>
      <b:Author>
        <b:NameList>
          <b:Person>
            <b:Last>Mavrotas</b:Last>
            <b:First>George</b:First>
          </b:Person>
        </b:NameList>
      </b:Author>
    </b:Author>
    <b:Title>Effective implementation of the $\varepsilon$-constraint method in multi-objective mathematical programming problems},</b:Title>
    <b:JournalName>Applied mathematics and computation</b:JournalName>
    <b:Year>2009</b:Year>
    <b:Pages>455--465</b:Pages>
    <b:RefOrder>6</b:RefOrder>
  </b:Source>
  <b:Source>
    <b:Tag>Gri21</b:Tag>
    <b:SourceType>JournalArticle</b:SourceType>
    <b:Guid>{0D8814B4-7CE7-4446-A20D-BBECB8DC867A}</b:Guid>
    <b:Author>
      <b:Author>
        <b:NameList>
          <b:Person>
            <b:Last>Griffiths</b:Last>
            <b:First>Ulla</b:First>
          </b:Person>
        </b:NameList>
      </b:Author>
    </b:Author>
    <b:Title>Costs of delivering COVID-19 vaccine in 92 AMC countries</b:Title>
    <b:JournalName>World Health Organization</b:JournalName>
    <b:Year>2021</b:Year>
    <b:RefOrder>12</b:RefOrder>
  </b:Source>
  <b:Source>
    <b:Tag>Saz21</b:Tag>
    <b:SourceType>JournalArticle</b:SourceType>
    <b:Guid>{CDBCD586-0678-4341-A718-383D461AC5CE}</b:Guid>
    <b:Author>
      <b:Author>
        <b:NameList>
          <b:Person>
            <b:Last>Sazvar</b:Last>
            <b:First>Zeinab</b:First>
          </b:Person>
        </b:NameList>
      </b:Author>
    </b:Author>
    <b:Title>Designing a sustainable closed-loop pharmaceutical supply chain in a competitive market considering demand uncertainty, manufacturer’s brand and waste management</b:Title>
    <b:JournalName>Annals of Operations Research</b:JournalName>
    <b:Year>2021</b:Year>
    <b:Pages>1--32</b:Pages>
    <b:RefOrder>4</b:RefOrder>
  </b:Source>
  <b:Source>
    <b:Tag>Sad19</b:Tag>
    <b:SourceType>JournalArticle</b:SourceType>
    <b:Guid>{7023FABC-0C48-43BE-8E0F-FDB508534324}</b:Guid>
    <b:Author>
      <b:Author>
        <b:NameList>
          <b:Person>
            <b:Last>Sadjadi</b:Last>
            <b:First>Seyed</b:First>
          </b:Person>
        </b:NameList>
      </b:Author>
    </b:Author>
    <b:Title>The design of the vaccine supply network under uncertain condition: A robust mathematical programming approach</b:Title>
    <b:JournalName>Journal of Modelling in Management</b:JournalName>
    <b:Year>2019</b:Year>
    <b:Pages>841--871</b:Pages>
    <b:RefOrder>18</b:RefOrder>
  </b:Source>
  <b:Source>
    <b:Tag>Ros11</b:Tag>
    <b:SourceType>JournalArticle</b:SourceType>
    <b:Guid>{984E7861-F461-4BF2-9F5E-3262AE371C9C}</b:Guid>
    <b:Author>
      <b:Author>
        <b:NameList>
          <b:Person>
            <b:Last>Rossetti</b:Last>
            <b:First>Christian</b:First>
          </b:Person>
        </b:NameList>
      </b:Author>
    </b:Author>
    <b:Title>Forces, trends, and decisions in pharmaceutical supply chain management</b:Title>
    <b:JournalName>International journal of physical distribution \&amp; logistics management</b:JournalName>
    <b:Year>2011</b:Year>
    <b:Pages>601--622</b:Pages>
    <b:RefOrder>5</b:RefOrder>
  </b:Source>
  <b:Source>
    <b:Tag>Mar21</b:Tag>
    <b:SourceType>JournalArticle</b:SourceType>
    <b:Guid>{D2FC57DF-5EAE-4C61-B52B-1B6C2C99F2C1}</b:Guid>
    <b:Author>
      <b:Author>
        <b:NameList>
          <b:Person>
            <b:Last>Martonosi</b:Last>
            <b:First>Susan</b:First>
          </b:Person>
        </b:NameList>
      </b:Author>
    </b:Author>
    <b:Title>Pricing the COVID-19 vaccine: A mathematical approach</b:Title>
    <b:JournalName>Omega</b:JournalName>
    <b:Year>2021</b:Year>
    <b:Pages>102451</b:Pages>
    <b:RefOrder>8</b:RefOrder>
  </b:Source>
  <b:Source>
    <b:Tag>Lig21</b:Tag>
    <b:SourceType>JournalArticle</b:SourceType>
    <b:Guid>{7D5B9DAB-8931-4D17-980A-E55C551A8396}</b:Guid>
    <b:Author>
      <b:Author>
        <b:NameList>
          <b:Person>
            <b:Last>Light</b:Last>
            <b:First>Donald</b:First>
          </b:Person>
        </b:NameList>
      </b:Author>
    </b:Author>
    <b:Title>The costs of coronavirus vaccines and their pricing</b:Title>
    <b:JournalName>Journal of the Royal Society of Medicine</b:JournalName>
    <b:Year>2021</b:Year>
    <b:Pages>502--504</b:Pages>
    <b:RefOrder>9</b:RefOrder>
  </b:Source>
  <b:Source>
    <b:Tag>Hol21</b:Tag>
    <b:SourceType>JournalArticle</b:SourceType>
    <b:Guid>{F80E97BE-5BF2-41C4-AA75-98BEEC438579}</b:Guid>
    <b:Author>
      <b:Author>
        <b:NameList>
          <b:Person>
            <b:Last>Holm</b:Last>
            <b:First>Michelle</b:First>
          </b:Person>
        </b:NameList>
      </b:Author>
    </b:Author>
    <b:Title>Critical aspects of packaging, storage, preparation, and administration of mRNA and adenovirus-vectored COVID-19 vaccines for optimal efficacy</b:Title>
    <b:JournalName>Vaccine</b:JournalName>
    <b:Year>2021</b:Year>
    <b:Pages>457</b:Pages>
    <b:RefOrder>10</b:RefOrder>
  </b:Source>
  <b:Source>
    <b:Tag>Org22</b:Tag>
    <b:SourceType>JournalArticle</b:SourceType>
    <b:Guid>{3CB4C895-6761-4F21-902F-BB2EF944AD5F}</b:Guid>
    <b:Author>
      <b:Author>
        <b:NameList>
          <b:Person>
            <b:Last>Organization</b:Last>
            <b:First>World</b:First>
            <b:Middle>Health</b:Middle>
          </b:Person>
        </b:NameList>
      </b:Author>
    </b:Author>
    <b:Title>Operational guidance on establishing an ultra-cold chain system in support of the Pfizer-BioNTech COVID-19 vaccine rollout, 1 February 2022</b:Title>
    <b:Year>2022</b:Year>
    <b:RefOrder>11</b:RefOrder>
  </b:Source>
  <b:Source>
    <b:Tag>Kur21</b:Tag>
    <b:SourceType>JournalArticle</b:SourceType>
    <b:Guid>{B3F12444-CD22-46C9-99D6-45564BF4E8E3}</b:Guid>
    <b:Author>
      <b:Author>
        <b:NameList>
          <b:Person>
            <b:Last>Kurzweil</b:Last>
            <b:First>Peter</b:First>
          </b:Person>
        </b:NameList>
      </b:Author>
    </b:Author>
    <b:Title>The ecological footprint of COVID-19 mRNA vaccines: estimating greenhouse gas emissions in Germany</b:Title>
    <b:JournalName>International Journal of Environmental Research and Public Health</b:JournalName>
    <b:Year>2021</b:Year>
    <b:Pages>7425</b:Pages>
    <b:RefOrder>13</b:RefOrder>
  </b:Source>
  <b:Source>
    <b:Tag>Pat22</b:Tag>
    <b:SourceType>JournalArticle</b:SourceType>
    <b:Guid>{B5837A12-7C3F-4C65-8553-10D60665974B}</b:Guid>
    <b:Author>
      <b:Author>
        <b:NameList>
          <b:Person>
            <b:Last>Patenaude</b:Last>
            <b:First>Bryan</b:First>
          </b:Person>
        </b:NameList>
      </b:Author>
    </b:Author>
    <b:Title>Estimating \&amp; comparing greenhouse gas emissions for existing intramuscular COVID-19 vaccines and a novel thermostable oral vaccine</b:Title>
    <b:JournalName>The Journal of Climate Change and Health</b:JournalName>
    <b:Year>2022</b:Year>
    <b:Pages>100127</b:Pages>
    <b:RefOrder>14</b:RefOrder>
  </b:Source>
  <b:Source>
    <b:Tag>Uth13</b:Tag>
    <b:SourceType>JournalArticle</b:SourceType>
    <b:Guid>{E62C0E0A-A2D5-4E65-9C4F-A9570F54B7E1}</b:Guid>
    <b:Author>
      <b:Author>
        <b:NameList>
          <b:Person>
            <b:Last>Uthayakumar</b:Last>
            <b:First>R</b:First>
          </b:Person>
        </b:NameList>
      </b:Author>
    </b:Author>
    <b:Title>Pharmaceutical supply chain and inventory management strategies: Optimization for a pharmaceutical company and a hospital</b:Title>
    <b:JournalName>Operations Research for Health Care</b:JournalName>
    <b:Year>2013</b:Year>
    <b:Pages>52--64</b:Pages>
    <b:RefOrder>1</b:RefOrder>
  </b:Source>
</b:Sources>
</file>

<file path=customXml/itemProps1.xml><?xml version="1.0" encoding="utf-8"?>
<ds:datastoreItem xmlns:ds="http://schemas.openxmlformats.org/officeDocument/2006/customXml" ds:itemID="{620ABB0D-7AC4-4B04-BBCF-6462F306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TotalTime>
  <Pages>6</Pages>
  <Words>2498</Words>
  <Characters>14239</Characters>
  <Application>Microsoft Office Word</Application>
  <DocSecurity>0</DocSecurity>
  <Lines>118</Lines>
  <Paragraphs>33</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Jonathan jair Cuevas lopez</cp:lastModifiedBy>
  <cp:revision>3</cp:revision>
  <cp:lastPrinted>2004-12-17T09:20:00Z</cp:lastPrinted>
  <dcterms:created xsi:type="dcterms:W3CDTF">2023-12-22T20:44:00Z</dcterms:created>
  <dcterms:modified xsi:type="dcterms:W3CDTF">2023-12-26T16:31:00Z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