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43D64FE" w:rsidR="00DD3D9E" w:rsidRPr="00B4388F" w:rsidRDefault="009C362A">
      <w:pPr>
        <w:pStyle w:val="Els-Title"/>
        <w:rPr>
          <w:color w:val="000000" w:themeColor="text1"/>
        </w:rPr>
      </w:pPr>
      <w:r>
        <w:rPr>
          <w:color w:val="000000" w:themeColor="text1"/>
        </w:rPr>
        <w:t xml:space="preserve">Modeling of </w:t>
      </w:r>
      <w:r w:rsidR="002728CE">
        <w:rPr>
          <w:color w:val="000000" w:themeColor="text1"/>
        </w:rPr>
        <w:t>C</w:t>
      </w:r>
      <w:r>
        <w:rPr>
          <w:color w:val="000000" w:themeColor="text1"/>
        </w:rPr>
        <w:t xml:space="preserve">arbon </w:t>
      </w:r>
      <w:r w:rsidR="002728CE">
        <w:rPr>
          <w:color w:val="000000" w:themeColor="text1"/>
        </w:rPr>
        <w:t>O</w:t>
      </w:r>
      <w:r>
        <w:rPr>
          <w:color w:val="000000" w:themeColor="text1"/>
        </w:rPr>
        <w:t xml:space="preserve">ffsetting </w:t>
      </w:r>
      <w:r w:rsidR="002728CE">
        <w:rPr>
          <w:color w:val="000000" w:themeColor="text1"/>
        </w:rPr>
        <w:t>I</w:t>
      </w:r>
      <w:r>
        <w:rPr>
          <w:color w:val="000000" w:themeColor="text1"/>
        </w:rPr>
        <w:t xml:space="preserve">ndustries for </w:t>
      </w:r>
      <w:r w:rsidR="002728CE">
        <w:rPr>
          <w:color w:val="000000" w:themeColor="text1"/>
        </w:rPr>
        <w:t>P</w:t>
      </w:r>
      <w:r>
        <w:rPr>
          <w:color w:val="000000" w:themeColor="text1"/>
        </w:rPr>
        <w:t xml:space="preserve">erformance </w:t>
      </w:r>
      <w:r w:rsidR="002728CE">
        <w:rPr>
          <w:color w:val="000000" w:themeColor="text1"/>
        </w:rPr>
        <w:t>P</w:t>
      </w:r>
      <w:r>
        <w:rPr>
          <w:color w:val="000000" w:themeColor="text1"/>
        </w:rPr>
        <w:t xml:space="preserve">rediction of </w:t>
      </w:r>
      <w:r w:rsidR="002728CE">
        <w:rPr>
          <w:color w:val="000000" w:themeColor="text1"/>
        </w:rPr>
        <w:t>E</w:t>
      </w:r>
      <w:r>
        <w:rPr>
          <w:color w:val="000000" w:themeColor="text1"/>
        </w:rPr>
        <w:t xml:space="preserve">missions </w:t>
      </w:r>
      <w:r w:rsidR="002728CE">
        <w:rPr>
          <w:color w:val="000000" w:themeColor="text1"/>
        </w:rPr>
        <w:t>T</w:t>
      </w:r>
      <w:r>
        <w:rPr>
          <w:color w:val="000000" w:themeColor="text1"/>
        </w:rPr>
        <w:t xml:space="preserve">rading </w:t>
      </w:r>
      <w:r w:rsidR="002728CE">
        <w:rPr>
          <w:color w:val="000000" w:themeColor="text1"/>
        </w:rPr>
        <w:t>S</w:t>
      </w:r>
      <w:r>
        <w:rPr>
          <w:color w:val="000000" w:themeColor="text1"/>
        </w:rPr>
        <w:t>ystems</w:t>
      </w:r>
    </w:p>
    <w:p w14:paraId="144DE680" w14:textId="1F5E63CA" w:rsidR="00DD3D9E" w:rsidRDefault="009C362A">
      <w:pPr>
        <w:pStyle w:val="Els-Author"/>
      </w:pPr>
      <w:r>
        <w:t>Soo Hyoung Choi</w:t>
      </w:r>
    </w:p>
    <w:p w14:paraId="144DE682" w14:textId="4425D51C" w:rsidR="00DD3D9E" w:rsidRDefault="009C362A">
      <w:pPr>
        <w:pStyle w:val="Els-Affiliation"/>
      </w:pPr>
      <w:r>
        <w:t>Division of Chemical Engineering, Clean Energy Research Center, Jeonbuk National University, 567 Baekje-daero Deokjin-gu, Jeonju, 54896, S. Korea</w:t>
      </w:r>
    </w:p>
    <w:p w14:paraId="144DE683" w14:textId="3A7999A0" w:rsidR="008D2649" w:rsidRPr="00A94774" w:rsidRDefault="009C362A" w:rsidP="008D2649">
      <w:pPr>
        <w:pStyle w:val="Els-Affiliation"/>
        <w:spacing w:after="120"/>
      </w:pPr>
      <w:r>
        <w:t>soochoi</w:t>
      </w:r>
      <w:r w:rsidR="008D2649" w:rsidRPr="00D22E38">
        <w:t>@</w:t>
      </w:r>
      <w:r>
        <w:t>jbnu.ac.kr</w:t>
      </w:r>
    </w:p>
    <w:p w14:paraId="144DE684" w14:textId="77777777" w:rsidR="008D2649" w:rsidRDefault="008D2649" w:rsidP="008D2649">
      <w:pPr>
        <w:pStyle w:val="Els-Abstract"/>
      </w:pPr>
      <w:r>
        <w:t>Abstract</w:t>
      </w:r>
    </w:p>
    <w:p w14:paraId="144DE686" w14:textId="331750BD" w:rsidR="008D2649" w:rsidRDefault="002728CE" w:rsidP="008D2649">
      <w:pPr>
        <w:pStyle w:val="Els-body-text"/>
        <w:spacing w:after="120"/>
        <w:rPr>
          <w:lang w:val="en-GB"/>
        </w:rPr>
      </w:pPr>
      <w:r w:rsidRPr="002728CE">
        <w:rPr>
          <w:lang w:val="en-GB"/>
        </w:rPr>
        <w:t xml:space="preserve">A mathematical programming approach is </w:t>
      </w:r>
      <w:r w:rsidR="00650A99">
        <w:rPr>
          <w:lang w:val="en-GB"/>
        </w:rPr>
        <w:t>suggest</w:t>
      </w:r>
      <w:r w:rsidRPr="002728CE">
        <w:rPr>
          <w:lang w:val="en-GB"/>
        </w:rPr>
        <w:t>ed to predict the e</w:t>
      </w:r>
      <w:r w:rsidR="00072DC4">
        <w:rPr>
          <w:lang w:val="en-GB"/>
        </w:rPr>
        <w:t>nvironmental impact</w:t>
      </w:r>
      <w:r w:rsidRPr="002728CE">
        <w:rPr>
          <w:lang w:val="en-GB"/>
        </w:rPr>
        <w:t xml:space="preserve"> of carbon offsetting by emissions trading systems under various circumstances. </w:t>
      </w:r>
      <w:r w:rsidR="00315BAB">
        <w:rPr>
          <w:lang w:val="en-GB"/>
        </w:rPr>
        <w:t xml:space="preserve">The </w:t>
      </w:r>
      <w:r w:rsidR="00650A99">
        <w:rPr>
          <w:lang w:val="en-GB"/>
        </w:rPr>
        <w:t>propos</w:t>
      </w:r>
      <w:r w:rsidR="004F6B28">
        <w:rPr>
          <w:lang w:val="en-GB"/>
        </w:rPr>
        <w:t>ed</w:t>
      </w:r>
      <w:r w:rsidR="00BE3738">
        <w:rPr>
          <w:lang w:val="en-GB"/>
        </w:rPr>
        <w:t xml:space="preserve"> m</w:t>
      </w:r>
      <w:r w:rsidR="00072DC4">
        <w:rPr>
          <w:lang w:val="en-GB"/>
        </w:rPr>
        <w:t>ethod is to</w:t>
      </w:r>
      <w:r w:rsidR="00BE3738">
        <w:rPr>
          <w:lang w:val="en-GB"/>
        </w:rPr>
        <w:t xml:space="preserve"> </w:t>
      </w:r>
      <w:r w:rsidR="00EA24DD">
        <w:rPr>
          <w:lang w:val="en-GB"/>
        </w:rPr>
        <w:t>simulate</w:t>
      </w:r>
      <w:r w:rsidR="00072DC4">
        <w:rPr>
          <w:lang w:val="en-GB"/>
        </w:rPr>
        <w:t xml:space="preserve"> </w:t>
      </w:r>
      <w:r w:rsidR="00EA24DD">
        <w:rPr>
          <w:lang w:val="en-GB"/>
        </w:rPr>
        <w:t xml:space="preserve">industries that </w:t>
      </w:r>
      <w:r w:rsidR="00152AA2">
        <w:rPr>
          <w:lang w:val="en-GB"/>
        </w:rPr>
        <w:t xml:space="preserve">seek to </w:t>
      </w:r>
      <w:r w:rsidR="00315BAB">
        <w:rPr>
          <w:lang w:val="en-GB"/>
        </w:rPr>
        <w:t>minimiz</w:t>
      </w:r>
      <w:r w:rsidR="00EA24DD">
        <w:rPr>
          <w:lang w:val="en-GB"/>
        </w:rPr>
        <w:t>e</w:t>
      </w:r>
      <w:r w:rsidR="00315BAB">
        <w:rPr>
          <w:lang w:val="en-GB"/>
        </w:rPr>
        <w:t xml:space="preserve"> the cost of reduction and/or offset</w:t>
      </w:r>
      <w:r w:rsidR="00AB0D8C">
        <w:rPr>
          <w:lang w:val="en-GB"/>
        </w:rPr>
        <w:t>ting</w:t>
      </w:r>
      <w:r w:rsidR="00315BAB">
        <w:rPr>
          <w:lang w:val="en-GB"/>
        </w:rPr>
        <w:t xml:space="preserve"> of </w:t>
      </w:r>
      <w:r w:rsidR="005A692B">
        <w:rPr>
          <w:lang w:val="en-GB"/>
        </w:rPr>
        <w:t xml:space="preserve">carbon </w:t>
      </w:r>
      <w:r w:rsidR="00315BAB">
        <w:rPr>
          <w:lang w:val="en-GB"/>
        </w:rPr>
        <w:t xml:space="preserve">emissions minus the </w:t>
      </w:r>
      <w:r w:rsidR="00FB3C43">
        <w:rPr>
          <w:lang w:val="en-GB"/>
        </w:rPr>
        <w:t>value of re</w:t>
      </w:r>
      <w:r w:rsidR="00BE3738">
        <w:rPr>
          <w:lang w:val="en-GB"/>
        </w:rPr>
        <w:t xml:space="preserve">tained </w:t>
      </w:r>
      <w:r w:rsidR="00315BAB">
        <w:rPr>
          <w:lang w:val="en-GB"/>
        </w:rPr>
        <w:t xml:space="preserve">carbon credits. </w:t>
      </w:r>
      <w:r w:rsidRPr="002728CE">
        <w:rPr>
          <w:lang w:val="en-GB"/>
        </w:rPr>
        <w:t xml:space="preserve">Case study indicates that reduction of net emissions can be </w:t>
      </w:r>
      <w:r w:rsidR="000A4615">
        <w:rPr>
          <w:lang w:val="en-GB"/>
        </w:rPr>
        <w:t>promoted by emissions trading systems if rightly operated</w:t>
      </w:r>
      <w:r w:rsidRPr="002728CE">
        <w:rPr>
          <w:lang w:val="en-GB"/>
        </w:rPr>
        <w:t xml:space="preserve">. The necessary conditions are industrial abilities to reduce emissions </w:t>
      </w:r>
      <w:r w:rsidR="004B42B7">
        <w:rPr>
          <w:lang w:val="en-GB"/>
        </w:rPr>
        <w:t>and/</w:t>
      </w:r>
      <w:r w:rsidRPr="002728CE">
        <w:rPr>
          <w:lang w:val="en-GB"/>
        </w:rPr>
        <w:t>or capacities for extension of sequestration, correct issuance of carbon credits, proper policies on allowances, and rational rules on carryovers.</w:t>
      </w:r>
    </w:p>
    <w:p w14:paraId="144DE687" w14:textId="4DD86274" w:rsidR="008D2649" w:rsidRDefault="008D2649" w:rsidP="008D2649">
      <w:pPr>
        <w:pStyle w:val="Els-body-text"/>
        <w:spacing w:after="120"/>
        <w:rPr>
          <w:lang w:val="en-GB"/>
        </w:rPr>
      </w:pPr>
      <w:r>
        <w:rPr>
          <w:b/>
          <w:bCs/>
          <w:lang w:val="en-GB"/>
        </w:rPr>
        <w:t>Keywords</w:t>
      </w:r>
      <w:r>
        <w:rPr>
          <w:lang w:val="en-GB"/>
        </w:rPr>
        <w:t xml:space="preserve">: </w:t>
      </w:r>
      <w:r w:rsidR="00F0045C">
        <w:rPr>
          <w:lang w:val="en-GB"/>
        </w:rPr>
        <w:t xml:space="preserve">carbon </w:t>
      </w:r>
      <w:r w:rsidR="0046438D">
        <w:rPr>
          <w:lang w:val="en-GB"/>
        </w:rPr>
        <w:t>offset</w:t>
      </w:r>
      <w:r w:rsidR="00F0045C">
        <w:rPr>
          <w:lang w:val="en-GB"/>
        </w:rPr>
        <w:t xml:space="preserve">, carbon </w:t>
      </w:r>
      <w:r w:rsidR="0046438D">
        <w:rPr>
          <w:lang w:val="en-GB"/>
        </w:rPr>
        <w:t>credi</w:t>
      </w:r>
      <w:r w:rsidR="00F0045C">
        <w:rPr>
          <w:lang w:val="en-GB"/>
        </w:rPr>
        <w:t>t, emissions trading system</w:t>
      </w:r>
    </w:p>
    <w:p w14:paraId="144DE689" w14:textId="01EB13B3" w:rsidR="008D2649" w:rsidRDefault="002728CE" w:rsidP="008D2649">
      <w:pPr>
        <w:pStyle w:val="Els-1storder-head"/>
      </w:pPr>
      <w:r>
        <w:t>Introduction</w:t>
      </w:r>
    </w:p>
    <w:p w14:paraId="7965F189" w14:textId="7F6D3109" w:rsidR="003D4FC7" w:rsidRDefault="003D4FC7" w:rsidP="002A69F1">
      <w:pPr>
        <w:pStyle w:val="Els-body-text"/>
        <w:spacing w:after="120"/>
      </w:pPr>
      <w:r>
        <w:t>Carbon offsetting means to compensate for carbon emissions by earning or purchasing carbon credits, which are issued by governmental organizations as reward for carrying out or investing in projects that contribute to reducing atmospheric carbon dioxide</w:t>
      </w:r>
      <w:r w:rsidR="00582890">
        <w:t xml:space="preserve"> (</w:t>
      </w:r>
      <w:r w:rsidR="00420859">
        <w:t>Wikipedia, 2023a</w:t>
      </w:r>
      <w:r w:rsidR="00582890">
        <w:t>)</w:t>
      </w:r>
      <w:r>
        <w:t>. Typical carbon offset projects include forestry, renewable energy, energy conservation, and conversion of waste to energy</w:t>
      </w:r>
      <w:r w:rsidR="00582890">
        <w:t xml:space="preserve"> (</w:t>
      </w:r>
      <w:r w:rsidR="009F2291">
        <w:t>Jennifer L, 2023</w:t>
      </w:r>
      <w:r w:rsidR="00582890">
        <w:t>)</w:t>
      </w:r>
      <w:r>
        <w:t>. If carbon credits are correctly evaluated for these projects, and the total amount of carbon credits is limited to the total capacity of carbon sequestration, net zero emissions can be attained. However, carbon neutrality defined as such only guarantees a steady state of carbon cycle, at which the concentration of atmospheric carbon dioxide can still be high, if emissions and sequestration are equally large. Therefore, rigorous carbon cycle impact assessment is necessary in order to correctly evaluate carbon credits for various carbon offset projects</w:t>
      </w:r>
      <w:r w:rsidR="00582890">
        <w:t xml:space="preserve"> (</w:t>
      </w:r>
      <w:r w:rsidR="009F2291">
        <w:t>Choi, 202</w:t>
      </w:r>
      <w:r>
        <w:t>3</w:t>
      </w:r>
      <w:r w:rsidR="00582890">
        <w:t>)</w:t>
      </w:r>
      <w:r>
        <w:t>. Carbon credits basically represent allowances for emissions, and can be sold and bought in carbon markets</w:t>
      </w:r>
      <w:r w:rsidR="00582890">
        <w:t xml:space="preserve"> (</w:t>
      </w:r>
      <w:r w:rsidR="009C0F3C">
        <w:t>Wikipedia, 2023b</w:t>
      </w:r>
      <w:r w:rsidR="00582890">
        <w:t>)</w:t>
      </w:r>
      <w:r>
        <w:t>. Speculation is that, as the government reduces allowances, their price increase</w:t>
      </w:r>
      <w:r w:rsidR="004B372E">
        <w:t>s</w:t>
      </w:r>
      <w:r>
        <w:t xml:space="preserve">, until the industry is forced to reduce emissions rather than to offset them. </w:t>
      </w:r>
      <w:r w:rsidR="00626D5B">
        <w:t xml:space="preserve">However, carbon markets are geared towards offsetting (Frank, 2023). </w:t>
      </w:r>
      <w:r>
        <w:t xml:space="preserve">In this work, the effectiveness of </w:t>
      </w:r>
      <w:r w:rsidR="00626D5B">
        <w:t>carbon markets</w:t>
      </w:r>
      <w:r>
        <w:t xml:space="preserve"> is investigated in terms of carbon cycle dynamics</w:t>
      </w:r>
      <w:r w:rsidR="00582890">
        <w:t xml:space="preserve"> (</w:t>
      </w:r>
      <w:r w:rsidR="00211467">
        <w:t xml:space="preserve">Choi and </w:t>
      </w:r>
      <w:proofErr w:type="spellStart"/>
      <w:r w:rsidR="00211467">
        <w:t>Manousiouthakis</w:t>
      </w:r>
      <w:proofErr w:type="spellEnd"/>
      <w:r w:rsidR="00211467">
        <w:t>, 2022</w:t>
      </w:r>
      <w:r w:rsidR="00582890">
        <w:t>)</w:t>
      </w:r>
      <w:r>
        <w:t>.</w:t>
      </w:r>
    </w:p>
    <w:p w14:paraId="56F01F76" w14:textId="4EA5F3D5" w:rsidR="003D4FC7" w:rsidRDefault="003D4FC7" w:rsidP="002A69F1">
      <w:pPr>
        <w:pStyle w:val="Els-body-text"/>
        <w:spacing w:after="120"/>
      </w:pPr>
      <w:r>
        <w:t xml:space="preserve">The emissions trading system (ETS) facilitates the process industry’s achievement of carbon neutrality. </w:t>
      </w:r>
      <w:r w:rsidR="00786FB7">
        <w:t xml:space="preserve">The </w:t>
      </w:r>
      <w:r w:rsidR="008D1FBA">
        <w:t xml:space="preserve">root </w:t>
      </w:r>
      <w:r w:rsidR="00786FB7">
        <w:t>reason is that</w:t>
      </w:r>
      <w:r>
        <w:t xml:space="preserve"> companies can offset their emissions by purchasing carbon credits even if they emit more than the allowances allocated by the government. The only obstacle </w:t>
      </w:r>
      <w:r w:rsidR="008D1FBA">
        <w:t>seems to be</w:t>
      </w:r>
      <w:r>
        <w:t xml:space="preserve"> the future price of carbon credit, if available, which is expected in general to increase as carbon neutrality is approached</w:t>
      </w:r>
      <w:r w:rsidR="00582890">
        <w:t xml:space="preserve"> (</w:t>
      </w:r>
      <w:proofErr w:type="spellStart"/>
      <w:r w:rsidR="0076400F">
        <w:t>Tiseo</w:t>
      </w:r>
      <w:proofErr w:type="spellEnd"/>
      <w:r w:rsidR="0076400F">
        <w:t>, 2023</w:t>
      </w:r>
      <w:r w:rsidR="00582890">
        <w:t>)</w:t>
      </w:r>
      <w:r>
        <w:t xml:space="preserve">. </w:t>
      </w:r>
      <w:r w:rsidR="00503132">
        <w:t xml:space="preserve">This prediction is </w:t>
      </w:r>
      <w:r w:rsidR="007D6ADF">
        <w:t>reasonable</w:t>
      </w:r>
      <w:r w:rsidR="00931CE3">
        <w:t xml:space="preserve"> because</w:t>
      </w:r>
      <w:r>
        <w:t xml:space="preserve">, after carbon neutrality is achieved, the government </w:t>
      </w:r>
      <w:r>
        <w:lastRenderedPageBreak/>
        <w:t>can no longer allow offsets more than the capacity of sequestration attained up to that time. Th</w:t>
      </w:r>
      <w:r w:rsidR="00813A82">
        <w:t>e ETS</w:t>
      </w:r>
      <w:r>
        <w:t xml:space="preserve"> differs from country to country, but generally, the total allowances are reduced every year, and a fixed amount of allowance is additionally placed on the market if the price of carbon credit increases over a certain preset value. If the price of carbon credit is significantly higher than the cost of carbon capture, companies will prefer reduction to offset. Besides, surplus credits, if any, can be sold for profits. However, most companies prefer carryover to the next year in order to prepare for an uncertain future. Carryover rules also differ from country to country. If not allowed, excessive supplies will lower the price, weakening the driving force for reduction. If unlimited, accumulated allowances will lead to insecure carbon neutrality. The effects of carryover rules are also evaluated in this work.</w:t>
      </w:r>
    </w:p>
    <w:p w14:paraId="144DE698" w14:textId="3331A7F0" w:rsidR="008D2649" w:rsidRPr="002D193D" w:rsidRDefault="003D4FC7" w:rsidP="003D4FC7">
      <w:pPr>
        <w:pStyle w:val="Els-body-text"/>
      </w:pPr>
      <w:r>
        <w:t>In order to get ETS to properly work, carbon credits should be evaluated to represent actual decrease in net emissions. Evaluation of direct reduction is straightforward, but assessment of indirect reduction is apt to cause duplicate credits.</w:t>
      </w:r>
      <w:r w:rsidR="00630C5D">
        <w:t xml:space="preserve"> </w:t>
      </w:r>
      <w:r w:rsidR="00B353DC">
        <w:t>Actually, o</w:t>
      </w:r>
      <w:r w:rsidR="00630C5D">
        <w:t>ver-crediting</w:t>
      </w:r>
      <w:r w:rsidR="00256B2D">
        <w:t xml:space="preserve"> is </w:t>
      </w:r>
      <w:r w:rsidR="00172259">
        <w:t xml:space="preserve">known to be </w:t>
      </w:r>
      <w:r w:rsidR="00256B2D">
        <w:t>happening</w:t>
      </w:r>
      <w:r w:rsidR="00630C5D">
        <w:t xml:space="preserve"> (</w:t>
      </w:r>
      <w:proofErr w:type="spellStart"/>
      <w:r w:rsidR="00630C5D">
        <w:t>Gurgel</w:t>
      </w:r>
      <w:proofErr w:type="spellEnd"/>
      <w:r w:rsidR="00630C5D">
        <w:t>, 2022).</w:t>
      </w:r>
      <w:r>
        <w:t xml:space="preserve"> Credits should be correctly issued for increase in sequestration also. Forestry is essential because fundamental sequestration is being performed by forests</w:t>
      </w:r>
      <w:r w:rsidR="00582890">
        <w:t xml:space="preserve"> (</w:t>
      </w:r>
      <w:r w:rsidR="00705950">
        <w:t>Norman, 2023</w:t>
      </w:r>
      <w:r w:rsidR="00582890">
        <w:t>)</w:t>
      </w:r>
      <w:r>
        <w:t>. However, the problem is that credits are issued not only for afforestation, but also for stopping deforestation</w:t>
      </w:r>
      <w:r w:rsidR="00582890">
        <w:t xml:space="preserve"> (</w:t>
      </w:r>
      <w:r w:rsidR="007F6BD6">
        <w:t>Greenfield, 2023</w:t>
      </w:r>
      <w:r w:rsidR="00582890">
        <w:t>)</w:t>
      </w:r>
      <w:r>
        <w:t>. As an alternative to forestry, direct air capture (DAC) is in business</w:t>
      </w:r>
      <w:r w:rsidR="00582890">
        <w:t xml:space="preserve"> (</w:t>
      </w:r>
      <w:proofErr w:type="spellStart"/>
      <w:r w:rsidR="00E62DCB">
        <w:t>Twidale</w:t>
      </w:r>
      <w:proofErr w:type="spellEnd"/>
      <w:r w:rsidR="00E62DCB">
        <w:t xml:space="preserve"> et al., 2023</w:t>
      </w:r>
      <w:r w:rsidR="00582890">
        <w:t>)</w:t>
      </w:r>
      <w:r>
        <w:t xml:space="preserve">. However, </w:t>
      </w:r>
      <w:r w:rsidR="00582890">
        <w:t xml:space="preserve">from </w:t>
      </w:r>
      <w:r w:rsidR="00FA2196">
        <w:t>a technic</w:t>
      </w:r>
      <w:r w:rsidR="00582890">
        <w:t xml:space="preserve">al point of view, </w:t>
      </w:r>
      <w:r>
        <w:t>unlike its name, it indirectly captures carbon after released into the air. Therefore, DAC should confront low efficiency, hence strong skepticism</w:t>
      </w:r>
      <w:r w:rsidR="00582890">
        <w:t xml:space="preserve"> (</w:t>
      </w:r>
      <w:r w:rsidR="00EF1D6F" w:rsidRPr="00EF1D6F">
        <w:t xml:space="preserve">Shelton-Thomas and </w:t>
      </w:r>
      <w:proofErr w:type="spellStart"/>
      <w:r w:rsidR="00EF1D6F" w:rsidRPr="00EF1D6F">
        <w:t>DiFelice</w:t>
      </w:r>
      <w:proofErr w:type="spellEnd"/>
      <w:r w:rsidR="00EF1D6F">
        <w:t>, 2023</w:t>
      </w:r>
      <w:r w:rsidR="00582890">
        <w:t>)</w:t>
      </w:r>
      <w:r>
        <w:t xml:space="preserve">. </w:t>
      </w:r>
      <w:r w:rsidR="003B74CA">
        <w:t>Nonetheless, in this work, it is assumed</w:t>
      </w:r>
      <w:r w:rsidR="002A69F1">
        <w:t xml:space="preserve"> that </w:t>
      </w:r>
      <w:r>
        <w:t>carbon credit is equivalent to decrease in net emissions.</w:t>
      </w:r>
    </w:p>
    <w:p w14:paraId="144DE699" w14:textId="6E300CE3" w:rsidR="008D2649" w:rsidRDefault="003D4FC7" w:rsidP="008D2649">
      <w:pPr>
        <w:pStyle w:val="Els-1storder-head"/>
      </w:pPr>
      <w:r>
        <w:t>Proposed Method</w:t>
      </w:r>
    </w:p>
    <w:p w14:paraId="144DE6A6" w14:textId="3F9CC914" w:rsidR="008D2649" w:rsidRDefault="00371440" w:rsidP="008D2649">
      <w:pPr>
        <w:pStyle w:val="Els-body-text"/>
        <w:spacing w:after="120"/>
      </w:pPr>
      <w:r w:rsidRPr="00371440">
        <w:t>A model is proposed in order to simulate emissions trading that affects carbon cycle as shown in Fig. 1. The emitter represents the entire group of carbon positive industries, and the absorber represents the entire group of carbon negative industries. Therefore, the emitter should reduce emissions and/or buy credits from the absorber in order to satisfy the requirements from the government. For more simplicity, it is assumed that the government buys all surplus credits at market price</w:t>
      </w:r>
      <w:r w:rsidR="006A7708">
        <w:t xml:space="preserve">, i.e., </w:t>
      </w:r>
      <m:oMath>
        <m:r>
          <w:rPr>
            <w:rFonts w:ascii="Cambria Math" w:eastAsia="Cambria Math" w:hAnsi="Cambria Math"/>
          </w:rPr>
          <m:t>d=u+w+z-y</m:t>
        </m:r>
      </m:oMath>
      <w:r w:rsidRPr="00371440">
        <w:t>. Then, the emitter’s behavior for a given period can be modeled as a mathematical program, which minimizes the total expenses minus the final value of retained carbon credit. The proposed formulation is as follows</w:t>
      </w:r>
      <w:r>
        <w:t>:</w:t>
      </w:r>
    </w:p>
    <w:p w14:paraId="45975200" w14:textId="77777777" w:rsidR="003472C3" w:rsidRDefault="003472C3" w:rsidP="008D2649">
      <w:pPr>
        <w:pStyle w:val="Els-body-text"/>
        <w:spacing w:after="120"/>
      </w:pPr>
    </w:p>
    <w:p w14:paraId="3677E4C0" w14:textId="40CEBA00" w:rsidR="003472C3" w:rsidRDefault="00DE4669" w:rsidP="003472C3">
      <w:pPr>
        <w:pStyle w:val="Els-body-text"/>
        <w:keepNext/>
        <w:spacing w:after="120"/>
      </w:pPr>
      <w:r>
        <w:rPr>
          <w:noProof/>
        </w:rPr>
        <w:drawing>
          <wp:inline distT="0" distB="0" distL="0" distR="0" wp14:anchorId="55C263AC" wp14:editId="19233266">
            <wp:extent cx="3549600" cy="16020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9600" cy="1602000"/>
                    </a:xfrm>
                    <a:prstGeom prst="rect">
                      <a:avLst/>
                    </a:prstGeom>
                  </pic:spPr>
                </pic:pic>
              </a:graphicData>
            </a:graphic>
          </wp:inline>
        </w:drawing>
      </w:r>
    </w:p>
    <w:p w14:paraId="522BDFBC" w14:textId="10A15594" w:rsidR="00397B2A" w:rsidRPr="003472C3" w:rsidRDefault="003472C3" w:rsidP="003472C3">
      <w:pPr>
        <w:pStyle w:val="a3"/>
        <w:jc w:val="both"/>
        <w:rPr>
          <w:sz w:val="20"/>
          <w:lang w:val="en-GB"/>
        </w:rPr>
      </w:pPr>
      <w:r w:rsidRPr="003472C3">
        <w:rPr>
          <w:sz w:val="20"/>
        </w:rPr>
        <w:t xml:space="preserve">Figure </w:t>
      </w:r>
      <w:r w:rsidRPr="003472C3">
        <w:rPr>
          <w:sz w:val="20"/>
        </w:rPr>
        <w:fldChar w:fldCharType="begin"/>
      </w:r>
      <w:r w:rsidRPr="003472C3">
        <w:rPr>
          <w:sz w:val="20"/>
        </w:rPr>
        <w:instrText xml:space="preserve"> SEQ Figure \* ARABIC </w:instrText>
      </w:r>
      <w:r w:rsidRPr="003472C3">
        <w:rPr>
          <w:sz w:val="20"/>
        </w:rPr>
        <w:fldChar w:fldCharType="separate"/>
      </w:r>
      <w:r w:rsidR="000F3AC7">
        <w:rPr>
          <w:noProof/>
          <w:sz w:val="20"/>
        </w:rPr>
        <w:t>1</w:t>
      </w:r>
      <w:r w:rsidRPr="003472C3">
        <w:rPr>
          <w:sz w:val="20"/>
        </w:rPr>
        <w:fldChar w:fldCharType="end"/>
      </w:r>
      <w:r w:rsidRPr="003472C3">
        <w:rPr>
          <w:sz w:val="20"/>
        </w:rPr>
        <w:t>. Carbon (solid) and</w:t>
      </w:r>
      <w:r>
        <w:rPr>
          <w:sz w:val="20"/>
        </w:rPr>
        <w:t xml:space="preserve"> credit (dashed) flow</w:t>
      </w:r>
      <w:r w:rsidRPr="003472C3">
        <w:rPr>
          <w:sz w:val="20"/>
        </w:rPr>
        <w:t xml:space="preserve"> model.</w:t>
      </w:r>
    </w:p>
    <w:tbl>
      <w:tblPr>
        <w:tblW w:w="7087" w:type="dxa"/>
        <w:tblLook w:val="04A0" w:firstRow="1" w:lastRow="0" w:firstColumn="1" w:lastColumn="0" w:noHBand="0" w:noVBand="1"/>
      </w:tblPr>
      <w:tblGrid>
        <w:gridCol w:w="6123"/>
        <w:gridCol w:w="964"/>
      </w:tblGrid>
      <w:tr w:rsidR="008D2649" w:rsidRPr="00A94774" w14:paraId="144DE6A9" w14:textId="77777777" w:rsidTr="001D1BAE">
        <w:tc>
          <w:tcPr>
            <w:tcW w:w="6123" w:type="dxa"/>
            <w:shd w:val="clear" w:color="auto" w:fill="auto"/>
            <w:vAlign w:val="center"/>
          </w:tcPr>
          <w:p w14:paraId="144DE6A7" w14:textId="39D23FD0" w:rsidR="008D2649" w:rsidRPr="00817412" w:rsidRDefault="00001878" w:rsidP="007421BA">
            <w:pPr>
              <w:pStyle w:val="Els-body-text"/>
              <w:spacing w:after="60"/>
              <w:rPr>
                <w:lang w:val="en-GB"/>
              </w:rPr>
            </w:pPr>
            <m:oMathPara>
              <m:oMathParaPr>
                <m:jc m:val="left"/>
              </m:oMathParaPr>
              <m:oMath>
                <m:func>
                  <m:funcPr>
                    <m:ctrlPr>
                      <w:rPr>
                        <w:rStyle w:val="af0"/>
                        <w:rFonts w:ascii="Cambria Math" w:hAnsi="Cambria Math"/>
                        <w:i/>
                        <w:color w:val="auto"/>
                      </w:rPr>
                    </m:ctrlPr>
                  </m:funcPr>
                  <m:fName>
                    <m:r>
                      <m:rPr>
                        <m:sty m:val="p"/>
                      </m:rPr>
                      <w:rPr>
                        <w:rStyle w:val="af0"/>
                        <w:rFonts w:ascii="Cambria Math" w:hAnsi="Cambria Math"/>
                        <w:color w:val="auto"/>
                      </w:rPr>
                      <m:t>min</m:t>
                    </m:r>
                  </m:fName>
                  <m:e>
                    <m:nary>
                      <m:naryPr>
                        <m:chr m:val="∑"/>
                        <m:limLoc m:val="undOvr"/>
                        <m:ctrlPr>
                          <w:rPr>
                            <w:rStyle w:val="af0"/>
                            <w:rFonts w:ascii="Cambria Math" w:hAnsi="Cambria Math"/>
                            <w:i/>
                            <w:color w:val="auto"/>
                          </w:rPr>
                        </m:ctrlPr>
                      </m:naryPr>
                      <m:sub>
                        <m:r>
                          <w:rPr>
                            <w:rStyle w:val="af0"/>
                            <w:rFonts w:ascii="Cambria Math" w:hAnsi="Cambria Math"/>
                            <w:color w:val="auto"/>
                          </w:rPr>
                          <m:t>i=1</m:t>
                        </m:r>
                      </m:sub>
                      <m:sup>
                        <m:r>
                          <w:rPr>
                            <w:rStyle w:val="af0"/>
                            <w:rFonts w:ascii="Cambria Math" w:hAnsi="Cambria Math"/>
                            <w:color w:val="auto"/>
                          </w:rPr>
                          <m:t>n</m:t>
                        </m:r>
                      </m:sup>
                      <m:e>
                        <m:d>
                          <m:dPr>
                            <m:begChr m:val="["/>
                            <m:endChr m:val="]"/>
                            <m:ctrlPr>
                              <w:rPr>
                                <w:rStyle w:val="af0"/>
                                <w:rFonts w:ascii="Cambria Math" w:hAnsi="Cambria Math"/>
                                <w:i/>
                                <w:color w:val="auto"/>
                              </w:rPr>
                            </m:ctrlPr>
                          </m:dPr>
                          <m:e>
                            <m:sSub>
                              <m:sSubPr>
                                <m:ctrlPr>
                                  <w:rPr>
                                    <w:rStyle w:val="af0"/>
                                    <w:rFonts w:ascii="Cambria Math" w:hAnsi="Cambria Math"/>
                                    <w:i/>
                                    <w:color w:val="auto"/>
                                  </w:rPr>
                                </m:ctrlPr>
                              </m:sSubPr>
                              <m:e>
                                <m:r>
                                  <w:rPr>
                                    <w:rStyle w:val="af0"/>
                                    <w:rFonts w:ascii="Cambria Math" w:hAnsi="Cambria Math"/>
                                    <w:color w:val="auto"/>
                                  </w:rPr>
                                  <m:t>c</m:t>
                                </m:r>
                              </m:e>
                              <m:sub>
                                <m:r>
                                  <w:rPr>
                                    <w:rStyle w:val="af0"/>
                                    <w:rFonts w:ascii="Cambria Math" w:hAnsi="Cambria Math"/>
                                    <w:color w:val="auto"/>
                                  </w:rPr>
                                  <m:t>i</m:t>
                                </m:r>
                              </m:sub>
                            </m:sSub>
                            <m:d>
                              <m:dPr>
                                <m:ctrlPr>
                                  <w:rPr>
                                    <w:rStyle w:val="af0"/>
                                    <w:rFonts w:ascii="Cambria Math" w:hAnsi="Cambria Math"/>
                                    <w:i/>
                                    <w:color w:val="auto"/>
                                  </w:rPr>
                                </m:ctrlPr>
                              </m:dPr>
                              <m:e>
                                <m:sSub>
                                  <m:sSubPr>
                                    <m:ctrlPr>
                                      <w:rPr>
                                        <w:rStyle w:val="af0"/>
                                        <w:rFonts w:ascii="Cambria Math" w:hAnsi="Cambria Math"/>
                                        <w:i/>
                                        <w:color w:val="auto"/>
                                      </w:rPr>
                                    </m:ctrlPr>
                                  </m:sSubPr>
                                  <m:e>
                                    <m:r>
                                      <w:rPr>
                                        <w:rStyle w:val="af0"/>
                                        <w:rFonts w:ascii="Cambria Math" w:hAnsi="Cambria Math"/>
                                        <w:color w:val="auto"/>
                                      </w:rPr>
                                      <m:t>q</m:t>
                                    </m:r>
                                  </m:e>
                                  <m:sub>
                                    <m:r>
                                      <w:rPr>
                                        <w:rStyle w:val="af0"/>
                                        <w:rFonts w:ascii="Cambria Math" w:hAnsi="Cambria Math"/>
                                        <w:color w:val="auto"/>
                                      </w:rPr>
                                      <m:t>0</m:t>
                                    </m:r>
                                  </m:sub>
                                </m:sSub>
                                <m:r>
                                  <w:rPr>
                                    <w:rStyle w:val="af0"/>
                                    <w:rFonts w:ascii="Cambria Math" w:hAnsi="Cambria Math"/>
                                    <w:color w:val="auto"/>
                                  </w:rPr>
                                  <m:t>-</m:t>
                                </m:r>
                                <m:sSub>
                                  <m:sSubPr>
                                    <m:ctrlPr>
                                      <w:rPr>
                                        <w:rStyle w:val="af0"/>
                                        <w:rFonts w:ascii="Cambria Math" w:hAnsi="Cambria Math"/>
                                        <w:i/>
                                        <w:color w:val="auto"/>
                                      </w:rPr>
                                    </m:ctrlPr>
                                  </m:sSubPr>
                                  <m:e>
                                    <m:r>
                                      <w:rPr>
                                        <w:rStyle w:val="af0"/>
                                        <w:rFonts w:ascii="Cambria Math" w:hAnsi="Cambria Math"/>
                                        <w:color w:val="auto"/>
                                      </w:rPr>
                                      <m:t>q</m:t>
                                    </m:r>
                                  </m:e>
                                  <m:sub>
                                    <m:r>
                                      <w:rPr>
                                        <w:rStyle w:val="af0"/>
                                        <w:rFonts w:ascii="Cambria Math" w:hAnsi="Cambria Math"/>
                                        <w:color w:val="auto"/>
                                      </w:rPr>
                                      <m:t>i</m:t>
                                    </m:r>
                                  </m:sub>
                                </m:sSub>
                              </m:e>
                            </m:d>
                            <m:r>
                              <w:rPr>
                                <w:rStyle w:val="af0"/>
                                <w:rFonts w:ascii="Cambria Math" w:hAnsi="Cambria Math"/>
                                <w:color w:val="auto"/>
                              </w:rPr>
                              <m:t>+</m:t>
                            </m:r>
                            <m:sSub>
                              <m:sSubPr>
                                <m:ctrlPr>
                                  <w:rPr>
                                    <w:rStyle w:val="af0"/>
                                    <w:rFonts w:ascii="Cambria Math" w:hAnsi="Cambria Math"/>
                                    <w:i/>
                                    <w:color w:val="auto"/>
                                  </w:rPr>
                                </m:ctrlPr>
                              </m:sSubPr>
                              <m:e>
                                <m:r>
                                  <w:rPr>
                                    <w:rStyle w:val="af0"/>
                                    <w:rFonts w:ascii="Cambria Math" w:hAnsi="Cambria Math"/>
                                    <w:color w:val="auto"/>
                                  </w:rPr>
                                  <m:t>p</m:t>
                                </m:r>
                              </m:e>
                              <m:sub>
                                <m:r>
                                  <w:rPr>
                                    <w:rStyle w:val="af0"/>
                                    <w:rFonts w:ascii="Cambria Math" w:hAnsi="Cambria Math"/>
                                    <w:color w:val="auto"/>
                                  </w:rPr>
                                  <m:t>i</m:t>
                                </m:r>
                              </m:sub>
                            </m:sSub>
                            <m:d>
                              <m:dPr>
                                <m:ctrlPr>
                                  <w:rPr>
                                    <w:rStyle w:val="af0"/>
                                    <w:rFonts w:ascii="Cambria Math" w:hAnsi="Cambria Math"/>
                                    <w:i/>
                                    <w:color w:val="auto"/>
                                  </w:rPr>
                                </m:ctrlPr>
                              </m:dPr>
                              <m:e>
                                <m:sSub>
                                  <m:sSubPr>
                                    <m:ctrlPr>
                                      <w:rPr>
                                        <w:rStyle w:val="af0"/>
                                        <w:rFonts w:ascii="Cambria Math" w:hAnsi="Cambria Math"/>
                                        <w:i/>
                                        <w:color w:val="auto"/>
                                      </w:rPr>
                                    </m:ctrlPr>
                                  </m:sSubPr>
                                  <m:e>
                                    <m:r>
                                      <w:rPr>
                                        <w:rStyle w:val="af0"/>
                                        <w:rFonts w:ascii="Cambria Math" w:hAnsi="Cambria Math"/>
                                        <w:color w:val="auto"/>
                                      </w:rPr>
                                      <m:t>y</m:t>
                                    </m:r>
                                  </m:e>
                                  <m:sub>
                                    <m:r>
                                      <w:rPr>
                                        <w:rStyle w:val="af0"/>
                                        <w:rFonts w:ascii="Cambria Math" w:hAnsi="Cambria Math"/>
                                        <w:color w:val="auto"/>
                                      </w:rPr>
                                      <m:t>i</m:t>
                                    </m:r>
                                  </m:sub>
                                </m:sSub>
                                <m:r>
                                  <w:rPr>
                                    <w:rStyle w:val="af0"/>
                                    <w:rFonts w:ascii="Cambria Math" w:hAnsi="Cambria Math"/>
                                    <w:color w:val="auto"/>
                                  </w:rPr>
                                  <m:t>-</m:t>
                                </m:r>
                                <m:sSub>
                                  <m:sSubPr>
                                    <m:ctrlPr>
                                      <w:rPr>
                                        <w:rStyle w:val="af0"/>
                                        <w:rFonts w:ascii="Cambria Math" w:hAnsi="Cambria Math"/>
                                        <w:i/>
                                        <w:color w:val="auto"/>
                                      </w:rPr>
                                    </m:ctrlPr>
                                  </m:sSubPr>
                                  <m:e>
                                    <m:r>
                                      <w:rPr>
                                        <w:rStyle w:val="af0"/>
                                        <w:rFonts w:ascii="Cambria Math" w:hAnsi="Cambria Math"/>
                                        <w:color w:val="auto"/>
                                      </w:rPr>
                                      <m:t>z</m:t>
                                    </m:r>
                                  </m:e>
                                  <m:sub>
                                    <m:r>
                                      <w:rPr>
                                        <w:rStyle w:val="af0"/>
                                        <w:rFonts w:ascii="Cambria Math" w:hAnsi="Cambria Math"/>
                                        <w:color w:val="auto"/>
                                      </w:rPr>
                                      <m:t>i</m:t>
                                    </m:r>
                                  </m:sub>
                                </m:sSub>
                              </m:e>
                            </m:d>
                          </m:e>
                        </m:d>
                        <m:r>
                          <w:rPr>
                            <w:rStyle w:val="af0"/>
                            <w:rFonts w:ascii="Cambria Math" w:hAnsi="Cambria Math"/>
                            <w:color w:val="auto"/>
                          </w:rPr>
                          <m:t>-</m:t>
                        </m:r>
                        <m:sSub>
                          <m:sSubPr>
                            <m:ctrlPr>
                              <w:rPr>
                                <w:rStyle w:val="af0"/>
                                <w:rFonts w:ascii="Cambria Math" w:hAnsi="Cambria Math"/>
                                <w:i/>
                                <w:color w:val="auto"/>
                              </w:rPr>
                            </m:ctrlPr>
                          </m:sSubPr>
                          <m:e>
                            <m:r>
                              <w:rPr>
                                <w:rStyle w:val="af0"/>
                                <w:rFonts w:ascii="Cambria Math" w:hAnsi="Cambria Math"/>
                                <w:color w:val="auto"/>
                              </w:rPr>
                              <m:t>p</m:t>
                            </m:r>
                          </m:e>
                          <m:sub>
                            <m:r>
                              <w:rPr>
                                <w:rStyle w:val="af0"/>
                                <w:rFonts w:ascii="Cambria Math" w:hAnsi="Cambria Math"/>
                                <w:color w:val="auto"/>
                              </w:rPr>
                              <m:t>n</m:t>
                            </m:r>
                          </m:sub>
                        </m:sSub>
                        <m:sSub>
                          <m:sSubPr>
                            <m:ctrlPr>
                              <w:rPr>
                                <w:rStyle w:val="af0"/>
                                <w:rFonts w:ascii="Cambria Math" w:hAnsi="Cambria Math"/>
                                <w:i/>
                                <w:color w:val="auto"/>
                              </w:rPr>
                            </m:ctrlPr>
                          </m:sSubPr>
                          <m:e>
                            <m:r>
                              <w:rPr>
                                <w:rStyle w:val="af0"/>
                                <w:rFonts w:ascii="Cambria Math" w:hAnsi="Cambria Math"/>
                                <w:color w:val="auto"/>
                              </w:rPr>
                              <m:t>h</m:t>
                            </m:r>
                          </m:e>
                          <m:sub>
                            <m:r>
                              <w:rPr>
                                <w:rStyle w:val="af0"/>
                                <w:rFonts w:ascii="Cambria Math" w:hAnsi="Cambria Math"/>
                                <w:color w:val="auto"/>
                              </w:rPr>
                              <m:t>n</m:t>
                            </m:r>
                          </m:sub>
                        </m:sSub>
                      </m:e>
                    </m:nary>
                  </m:e>
                </m:func>
              </m:oMath>
            </m:oMathPara>
          </w:p>
        </w:tc>
        <w:tc>
          <w:tcPr>
            <w:tcW w:w="964" w:type="dxa"/>
            <w:shd w:val="clear" w:color="auto" w:fill="auto"/>
            <w:vAlign w:val="center"/>
          </w:tcPr>
          <w:p w14:paraId="144DE6A8" w14:textId="77777777" w:rsidR="008D2649" w:rsidRPr="00A94774" w:rsidRDefault="008D2649" w:rsidP="00220518">
            <w:pPr>
              <w:pStyle w:val="Els-body-text"/>
              <w:spacing w:before="120" w:after="120"/>
              <w:jc w:val="right"/>
              <w:rPr>
                <w:lang w:val="en-GB"/>
              </w:rPr>
            </w:pPr>
            <w:r w:rsidRPr="00A94774">
              <w:rPr>
                <w:lang w:val="en-GB"/>
              </w:rPr>
              <w:t>(1)</w:t>
            </w:r>
          </w:p>
        </w:tc>
      </w:tr>
    </w:tbl>
    <w:p w14:paraId="122211F3" w14:textId="1AB708ED" w:rsidR="00A767C1" w:rsidRDefault="00334F60" w:rsidP="007421BA">
      <w:pPr>
        <w:pStyle w:val="Els-body-text"/>
        <w:spacing w:before="120" w:after="120"/>
        <w:rPr>
          <w:lang w:eastAsia="ko-KR"/>
        </w:rPr>
      </w:pPr>
      <w:r>
        <w:rPr>
          <w:lang w:eastAsia="ko-KR"/>
        </w:rPr>
        <w:t>subject to</w:t>
      </w:r>
    </w:p>
    <w:tbl>
      <w:tblPr>
        <w:tblW w:w="7087" w:type="dxa"/>
        <w:tblLook w:val="04A0" w:firstRow="1" w:lastRow="0" w:firstColumn="1" w:lastColumn="0" w:noHBand="0" w:noVBand="1"/>
      </w:tblPr>
      <w:tblGrid>
        <w:gridCol w:w="6123"/>
        <w:gridCol w:w="964"/>
      </w:tblGrid>
      <w:tr w:rsidR="00A767C1" w:rsidRPr="00A94774" w14:paraId="2A086765" w14:textId="77777777" w:rsidTr="00112BE4">
        <w:tc>
          <w:tcPr>
            <w:tcW w:w="6123" w:type="dxa"/>
            <w:shd w:val="clear" w:color="auto" w:fill="auto"/>
            <w:vAlign w:val="center"/>
          </w:tcPr>
          <w:p w14:paraId="3BBD9923" w14:textId="166BEC90" w:rsidR="00A767C1" w:rsidRPr="00817412" w:rsidRDefault="00001878" w:rsidP="00220518">
            <w:pPr>
              <w:pStyle w:val="Els-body-text"/>
              <w:rPr>
                <w:lang w:val="en-GB" w:eastAsia="ko-KR"/>
              </w:rPr>
            </w:pPr>
            <m:oMath>
              <m:sSub>
                <m:sSubPr>
                  <m:ctrlPr>
                    <w:rPr>
                      <w:rFonts w:ascii="Cambria Math" w:eastAsia="Cambria Math" w:hAnsi="Cambria Math"/>
                      <w:i/>
                      <w:lang w:val="en-GB"/>
                    </w:rPr>
                  </m:ctrlPr>
                </m:sSubPr>
                <m:e>
                  <m:r>
                    <w:rPr>
                      <w:rFonts w:ascii="Cambria Math" w:eastAsia="Cambria Math" w:hAnsi="Cambria Math"/>
                      <w:lang w:val="en-GB"/>
                    </w:rPr>
                    <m:t>x</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r</m:t>
                  </m:r>
                </m:e>
                <m:sub>
                  <m:r>
                    <w:rPr>
                      <w:rFonts w:ascii="Cambria Math" w:eastAsia="Cambria Math" w:hAnsi="Cambria Math"/>
                      <w:lang w:val="en-GB"/>
                    </w:rPr>
                    <m:t>x</m:t>
                  </m:r>
                </m:sub>
              </m:sSub>
              <m:r>
                <w:rPr>
                  <w:rFonts w:ascii="Cambria Math" w:eastAsia="Cambria Math" w:hAnsi="Cambria Math"/>
                  <w:lang w:val="en-GB"/>
                </w:rPr>
                <m:t xml:space="preserve"> </m:t>
              </m:r>
              <m:sSub>
                <m:sSubPr>
                  <m:ctrlPr>
                    <w:rPr>
                      <w:rFonts w:ascii="Cambria Math" w:eastAsia="Cambria Math" w:hAnsi="Cambria Math"/>
                      <w:i/>
                      <w:lang w:val="en-GB"/>
                    </w:rPr>
                  </m:ctrlPr>
                </m:sSubPr>
                <m:e>
                  <m:r>
                    <w:rPr>
                      <w:rFonts w:ascii="Cambria Math" w:eastAsia="Cambria Math" w:hAnsi="Cambria Math"/>
                      <w:lang w:val="en-GB"/>
                    </w:rPr>
                    <m:t>x</m:t>
                  </m:r>
                </m:e>
                <m:sub>
                  <m:r>
                    <w:rPr>
                      <w:rFonts w:ascii="Cambria Math" w:eastAsia="Cambria Math" w:hAnsi="Cambria Math"/>
                      <w:lang w:val="en-GB"/>
                    </w:rPr>
                    <m:t>i-1</m:t>
                  </m:r>
                </m:sub>
              </m:sSub>
            </m:oMath>
            <w:r w:rsidR="00A767C1">
              <w:rPr>
                <w:rFonts w:hint="eastAsia"/>
                <w:lang w:val="en-GB" w:eastAsia="ko-KR"/>
              </w:rPr>
              <w:t>,</w:t>
            </w:r>
            <w:r w:rsidR="00A767C1">
              <w:rPr>
                <w:lang w:val="en-GB" w:eastAsia="ko-KR"/>
              </w:rPr>
              <w:t xml:space="preserve"> </w:t>
            </w:r>
            <m:oMath>
              <m:sSub>
                <m:sSubPr>
                  <m:ctrlPr>
                    <w:rPr>
                      <w:rFonts w:ascii="Cambria Math" w:eastAsia="Cambria Math" w:hAnsi="Cambria Math"/>
                      <w:i/>
                      <w:lang w:val="en-GB"/>
                    </w:rPr>
                  </m:ctrlPr>
                </m:sSubPr>
                <m:e>
                  <m:r>
                    <w:rPr>
                      <w:rFonts w:ascii="Cambria Math" w:eastAsia="Cambria Math" w:hAnsi="Cambria Math"/>
                      <w:lang w:val="en-GB"/>
                    </w:rPr>
                    <m:t>x</m:t>
                  </m:r>
                </m:e>
                <m:sub>
                  <m:r>
                    <w:rPr>
                      <w:rFonts w:ascii="Cambria Math" w:eastAsia="Cambria Math" w:hAnsi="Cambria Math"/>
                      <w:lang w:val="en-GB"/>
                    </w:rPr>
                    <m:t>0</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q</m:t>
                  </m:r>
                </m:e>
                <m:sub>
                  <m:r>
                    <w:rPr>
                      <w:rFonts w:ascii="Cambria Math" w:eastAsia="Cambria Math" w:hAnsi="Cambria Math"/>
                      <w:lang w:val="en-GB"/>
                    </w:rPr>
                    <m:t>0</m:t>
                  </m:r>
                </m:sub>
              </m:sSub>
            </m:oMath>
          </w:p>
        </w:tc>
        <w:tc>
          <w:tcPr>
            <w:tcW w:w="964" w:type="dxa"/>
            <w:shd w:val="clear" w:color="auto" w:fill="auto"/>
            <w:vAlign w:val="center"/>
          </w:tcPr>
          <w:p w14:paraId="73A8B3D8" w14:textId="63D98F69" w:rsidR="00A767C1" w:rsidRPr="00A94774" w:rsidRDefault="00A767C1" w:rsidP="001E060A">
            <w:pPr>
              <w:pStyle w:val="Els-body-text"/>
              <w:spacing w:before="60" w:after="60"/>
              <w:jc w:val="right"/>
              <w:rPr>
                <w:lang w:val="en-GB"/>
              </w:rPr>
            </w:pPr>
            <w:r w:rsidRPr="00A94774">
              <w:rPr>
                <w:lang w:val="en-GB"/>
              </w:rPr>
              <w:t>(</w:t>
            </w:r>
            <w:r>
              <w:rPr>
                <w:lang w:val="en-GB"/>
              </w:rPr>
              <w:t>2</w:t>
            </w:r>
            <w:r w:rsidRPr="00A94774">
              <w:rPr>
                <w:lang w:val="en-GB"/>
              </w:rPr>
              <w:t>)</w:t>
            </w:r>
          </w:p>
        </w:tc>
      </w:tr>
      <w:tr w:rsidR="00A767C1" w:rsidRPr="00A94774" w14:paraId="46CD16FE" w14:textId="77777777" w:rsidTr="00A767C1">
        <w:tc>
          <w:tcPr>
            <w:tcW w:w="6123" w:type="dxa"/>
            <w:shd w:val="clear" w:color="auto" w:fill="auto"/>
            <w:vAlign w:val="center"/>
          </w:tcPr>
          <w:p w14:paraId="4266069C" w14:textId="5238F3FF" w:rsidR="00A767C1" w:rsidRPr="00A767C1" w:rsidRDefault="00001878" w:rsidP="00220518">
            <w:pPr>
              <w:pStyle w:val="Els-body-text"/>
              <w:rPr>
                <w:rFonts w:ascii="Cambria Math" w:eastAsia="Cambria Math" w:hAnsi="Cambria Math"/>
                <w:lang w:val="en-GB" w:eastAsia="ko-KR"/>
                <w:oMath/>
              </w:rPr>
            </w:pPr>
            <m:oMath>
              <m:sSub>
                <m:sSubPr>
                  <m:ctrlPr>
                    <w:rPr>
                      <w:rFonts w:ascii="Cambria Math" w:eastAsia="Cambria Math" w:hAnsi="Cambria Math"/>
                      <w:i/>
                      <w:lang w:val="en-GB"/>
                    </w:rPr>
                  </m:ctrlPr>
                </m:sSubPr>
                <m:e>
                  <m:r>
                    <w:rPr>
                      <w:rFonts w:ascii="Cambria Math" w:eastAsia="Cambria Math" w:hAnsi="Cambria Math"/>
                      <w:lang w:val="en-GB"/>
                    </w:rPr>
                    <m:t>h</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h</m:t>
                  </m:r>
                </m:e>
                <m:sub>
                  <m:r>
                    <w:rPr>
                      <w:rFonts w:ascii="Cambria Math" w:eastAsia="Cambria Math" w:hAnsi="Cambria Math"/>
                      <w:lang w:val="en-GB"/>
                    </w:rPr>
                    <m:t>i-1</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x</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y</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z</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q</m:t>
                  </m:r>
                </m:e>
                <m:sub>
                  <m:r>
                    <w:rPr>
                      <w:rFonts w:ascii="Cambria Math" w:eastAsia="Cambria Math" w:hAnsi="Cambria Math"/>
                      <w:lang w:val="en-GB"/>
                    </w:rPr>
                    <m:t>i</m:t>
                  </m:r>
                </m:sub>
              </m:sSub>
            </m:oMath>
            <w:r w:rsidR="00A767C1">
              <w:rPr>
                <w:rFonts w:hint="eastAsia"/>
                <w:lang w:val="en-GB" w:eastAsia="ko-KR"/>
              </w:rPr>
              <w:t>,</w:t>
            </w:r>
            <w:r w:rsidR="00A767C1">
              <w:rPr>
                <w:lang w:val="en-GB" w:eastAsia="ko-KR"/>
              </w:rPr>
              <w:t xml:space="preserve"> </w:t>
            </w:r>
            <m:oMath>
              <m:sSub>
                <m:sSubPr>
                  <m:ctrlPr>
                    <w:rPr>
                      <w:rFonts w:ascii="Cambria Math" w:eastAsia="Cambria Math" w:hAnsi="Cambria Math"/>
                      <w:i/>
                      <w:lang w:val="en-GB"/>
                    </w:rPr>
                  </m:ctrlPr>
                </m:sSubPr>
                <m:e>
                  <m:r>
                    <w:rPr>
                      <w:rFonts w:ascii="Cambria Math" w:eastAsia="Cambria Math" w:hAnsi="Cambria Math"/>
                      <w:lang w:val="en-GB"/>
                    </w:rPr>
                    <m:t>h</m:t>
                  </m:r>
                </m:e>
                <m:sub>
                  <m:r>
                    <w:rPr>
                      <w:rFonts w:ascii="Cambria Math" w:eastAsia="Cambria Math" w:hAnsi="Cambria Math"/>
                      <w:lang w:val="en-GB"/>
                    </w:rPr>
                    <m:t>0</m:t>
                  </m:r>
                </m:sub>
              </m:sSub>
              <m:r>
                <w:rPr>
                  <w:rFonts w:ascii="Cambria Math" w:eastAsia="Cambria Math" w:hAnsi="Cambria Math"/>
                  <w:lang w:val="en-GB"/>
                </w:rPr>
                <m:t>=</m:t>
              </m:r>
              <m:r>
                <w:rPr>
                  <w:rFonts w:ascii="Cambria Math" w:hAnsi="Cambria Math"/>
                  <w:lang w:val="en-GB"/>
                </w:rPr>
                <m:t>0</m:t>
              </m:r>
            </m:oMath>
          </w:p>
        </w:tc>
        <w:tc>
          <w:tcPr>
            <w:tcW w:w="964" w:type="dxa"/>
            <w:shd w:val="clear" w:color="auto" w:fill="auto"/>
            <w:vAlign w:val="center"/>
          </w:tcPr>
          <w:p w14:paraId="5F186AFB" w14:textId="7B5FD000" w:rsidR="00A767C1" w:rsidRPr="00A94774" w:rsidRDefault="00A767C1" w:rsidP="001E060A">
            <w:pPr>
              <w:pStyle w:val="Els-body-text"/>
              <w:spacing w:before="60" w:after="60"/>
              <w:jc w:val="right"/>
              <w:rPr>
                <w:lang w:val="en-GB"/>
              </w:rPr>
            </w:pPr>
            <w:r w:rsidRPr="00A94774">
              <w:rPr>
                <w:lang w:val="en-GB"/>
              </w:rPr>
              <w:t>(</w:t>
            </w:r>
            <w:r>
              <w:rPr>
                <w:lang w:val="en-GB"/>
              </w:rPr>
              <w:t>3</w:t>
            </w:r>
            <w:r w:rsidRPr="00A94774">
              <w:rPr>
                <w:lang w:val="en-GB"/>
              </w:rPr>
              <w:t>)</w:t>
            </w:r>
          </w:p>
        </w:tc>
      </w:tr>
      <w:tr w:rsidR="006D3DAD" w:rsidRPr="00A94774" w14:paraId="12AF8973" w14:textId="77777777" w:rsidTr="00A767C1">
        <w:tc>
          <w:tcPr>
            <w:tcW w:w="6123" w:type="dxa"/>
            <w:shd w:val="clear" w:color="auto" w:fill="auto"/>
            <w:vAlign w:val="center"/>
          </w:tcPr>
          <w:p w14:paraId="4C55744A" w14:textId="5E119AFF" w:rsidR="006D3DAD" w:rsidRDefault="00001878" w:rsidP="00220518">
            <w:pPr>
              <w:pStyle w:val="Els-body-text"/>
              <w:rPr>
                <w:rFonts w:eastAsia="맑은 고딕"/>
                <w:lang w:val="en-GB" w:eastAsia="ko-KR"/>
              </w:rPr>
            </w:pPr>
            <m:oMath>
              <m:sSub>
                <m:sSubPr>
                  <m:ctrlPr>
                    <w:rPr>
                      <w:rFonts w:ascii="Cambria Math" w:eastAsia="Cambria Math" w:hAnsi="Cambria Math"/>
                      <w:i/>
                      <w:lang w:val="en-GB"/>
                    </w:rPr>
                  </m:ctrlPr>
                </m:sSubPr>
                <m:e>
                  <m:r>
                    <w:rPr>
                      <w:rFonts w:ascii="Cambria Math" w:eastAsia="Cambria Math" w:hAnsi="Cambria Math"/>
                      <w:lang w:val="en-GB"/>
                    </w:rPr>
                    <m:t>g</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g</m:t>
                  </m:r>
                </m:e>
                <m:sub>
                  <m:r>
                    <w:rPr>
                      <w:rFonts w:ascii="Cambria Math" w:eastAsia="Cambria Math" w:hAnsi="Cambria Math"/>
                      <w:lang w:val="en-GB"/>
                    </w:rPr>
                    <m:t>i-1</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s</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w</m:t>
                  </m:r>
                </m:e>
                <m:sub>
                  <m:r>
                    <w:rPr>
                      <w:rFonts w:ascii="Cambria Math" w:eastAsia="Cambria Math" w:hAnsi="Cambria Math"/>
                      <w:lang w:val="en-GB"/>
                    </w:rPr>
                    <m:t>i</m:t>
                  </m:r>
                </m:sub>
              </m:sSub>
            </m:oMath>
            <w:r w:rsidR="006D3DAD">
              <w:rPr>
                <w:rFonts w:eastAsia="맑은 고딕" w:hint="eastAsia"/>
                <w:lang w:val="en-GB" w:eastAsia="ko-KR"/>
              </w:rPr>
              <w:t>,</w:t>
            </w:r>
            <w:r w:rsidR="006D3DAD">
              <w:rPr>
                <w:rFonts w:eastAsia="맑은 고딕"/>
                <w:lang w:val="en-GB" w:eastAsia="ko-KR"/>
              </w:rPr>
              <w:t xml:space="preserve"> </w:t>
            </w:r>
            <m:oMath>
              <m:sSub>
                <m:sSubPr>
                  <m:ctrlPr>
                    <w:rPr>
                      <w:rFonts w:ascii="Cambria Math" w:eastAsia="Cambria Math" w:hAnsi="Cambria Math"/>
                      <w:i/>
                      <w:lang w:val="en-GB"/>
                    </w:rPr>
                  </m:ctrlPr>
                </m:sSubPr>
                <m:e>
                  <m:r>
                    <w:rPr>
                      <w:rFonts w:ascii="Cambria Math" w:eastAsia="Cambria Math" w:hAnsi="Cambria Math"/>
                      <w:lang w:val="en-GB"/>
                    </w:rPr>
                    <m:t>g</m:t>
                  </m:r>
                </m:e>
                <m:sub>
                  <m:r>
                    <w:rPr>
                      <w:rFonts w:ascii="Cambria Math" w:eastAsia="Cambria Math" w:hAnsi="Cambria Math"/>
                      <w:lang w:val="en-GB"/>
                    </w:rPr>
                    <m:t>0</m:t>
                  </m:r>
                </m:sub>
              </m:sSub>
              <m:r>
                <w:rPr>
                  <w:rFonts w:ascii="Cambria Math" w:eastAsia="Cambria Math" w:hAnsi="Cambria Math"/>
                  <w:lang w:val="en-GB"/>
                </w:rPr>
                <m:t>=</m:t>
              </m:r>
              <m:r>
                <w:rPr>
                  <w:rFonts w:ascii="Cambria Math" w:hAnsi="Cambria Math"/>
                  <w:lang w:val="en-GB"/>
                </w:rPr>
                <m:t>0</m:t>
              </m:r>
            </m:oMath>
          </w:p>
        </w:tc>
        <w:tc>
          <w:tcPr>
            <w:tcW w:w="964" w:type="dxa"/>
            <w:shd w:val="clear" w:color="auto" w:fill="auto"/>
            <w:vAlign w:val="center"/>
          </w:tcPr>
          <w:p w14:paraId="055B17DF" w14:textId="4CEA54E9" w:rsidR="006D3DAD" w:rsidRPr="00A94774" w:rsidRDefault="006D3DAD" w:rsidP="001E060A">
            <w:pPr>
              <w:pStyle w:val="Els-body-text"/>
              <w:spacing w:before="60" w:after="60"/>
              <w:jc w:val="right"/>
              <w:rPr>
                <w:lang w:val="en-GB" w:eastAsia="ko-KR"/>
              </w:rPr>
            </w:pPr>
            <w:r>
              <w:rPr>
                <w:rFonts w:hint="eastAsia"/>
                <w:lang w:val="en-GB" w:eastAsia="ko-KR"/>
              </w:rPr>
              <w:t>(</w:t>
            </w:r>
            <w:r>
              <w:rPr>
                <w:lang w:val="en-GB" w:eastAsia="ko-KR"/>
              </w:rPr>
              <w:t>4)</w:t>
            </w:r>
          </w:p>
        </w:tc>
      </w:tr>
      <w:tr w:rsidR="006D3DAD" w:rsidRPr="00A94774" w14:paraId="0709FE62" w14:textId="77777777" w:rsidTr="00A767C1">
        <w:tc>
          <w:tcPr>
            <w:tcW w:w="6123" w:type="dxa"/>
            <w:shd w:val="clear" w:color="auto" w:fill="auto"/>
            <w:vAlign w:val="center"/>
          </w:tcPr>
          <w:p w14:paraId="7338C688" w14:textId="73371A05" w:rsidR="006D3DAD" w:rsidRPr="00220518" w:rsidRDefault="00001878" w:rsidP="00220518">
            <w:pPr>
              <w:pStyle w:val="Els-body-text"/>
              <w:rPr>
                <w:rFonts w:eastAsia="맑은 고딕"/>
                <w:lang w:val="en-GB"/>
              </w:rPr>
            </w:pPr>
            <m:oMathPara>
              <m:oMathParaPr>
                <m:jc m:val="left"/>
              </m:oMathParaPr>
              <m:oMath>
                <m:sSub>
                  <m:sSubPr>
                    <m:ctrlPr>
                      <w:rPr>
                        <w:rFonts w:ascii="Cambria Math" w:eastAsia="Cambria Math" w:hAnsi="Cambria Math"/>
                        <w:i/>
                        <w:lang w:val="en-GB"/>
                      </w:rPr>
                    </m:ctrlPr>
                  </m:sSubPr>
                  <m:e>
                    <m:r>
                      <w:rPr>
                        <w:rFonts w:ascii="Cambria Math" w:eastAsia="Cambria Math" w:hAnsi="Cambria Math"/>
                        <w:lang w:val="en-GB"/>
                      </w:rPr>
                      <m:t>p</m:t>
                    </m:r>
                  </m:e>
                  <m:sub>
                    <m:r>
                      <w:rPr>
                        <w:rFonts w:ascii="Cambria Math" w:eastAsia="Cambria Math" w:hAnsi="Cambria Math"/>
                        <w:lang w:val="en-GB"/>
                      </w:rPr>
                      <m:t>i</m:t>
                    </m:r>
                  </m:sub>
                </m:sSub>
                <m:d>
                  <m:dPr>
                    <m:ctrlPr>
                      <w:rPr>
                        <w:rFonts w:ascii="Cambria Math" w:eastAsia="Cambria Math" w:hAnsi="Cambria Math"/>
                        <w:i/>
                        <w:lang w:val="en-GB"/>
                      </w:rPr>
                    </m:ctrlPr>
                  </m:dPr>
                  <m:e>
                    <m:sSub>
                      <m:sSubPr>
                        <m:ctrlPr>
                          <w:rPr>
                            <w:rFonts w:ascii="Cambria Math" w:eastAsia="Cambria Math" w:hAnsi="Cambria Math"/>
                            <w:i/>
                            <w:lang w:val="en-GB"/>
                          </w:rPr>
                        </m:ctrlPr>
                      </m:sSubPr>
                      <m:e>
                        <m:r>
                          <w:rPr>
                            <w:rFonts w:ascii="Cambria Math" w:eastAsia="Cambria Math" w:hAnsi="Cambria Math"/>
                            <w:lang w:val="en-GB"/>
                          </w:rPr>
                          <m:t>x</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u</m:t>
                        </m:r>
                      </m:e>
                      <m:sub>
                        <m:r>
                          <w:rPr>
                            <w:rFonts w:ascii="Cambria Math" w:eastAsia="Cambria Math" w:hAnsi="Cambria Math"/>
                            <w:lang w:val="en-GB"/>
                          </w:rPr>
                          <m:t>i</m:t>
                        </m:r>
                      </m:sub>
                    </m:sSub>
                  </m:e>
                </m:d>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c</m:t>
                    </m:r>
                  </m:e>
                  <m:sub>
                    <m:r>
                      <w:rPr>
                        <w:rFonts w:ascii="Cambria Math" w:eastAsia="Cambria Math" w:hAnsi="Cambria Math"/>
                        <w:lang w:val="en-GB"/>
                      </w:rPr>
                      <m:t>i</m:t>
                    </m:r>
                  </m:sub>
                </m:sSub>
                <m:r>
                  <w:rPr>
                    <w:rFonts w:ascii="Cambria Math" w:eastAsia="Cambria Math" w:hAnsi="Cambria Math"/>
                    <w:lang w:val="en-GB"/>
                  </w:rPr>
                  <m:t xml:space="preserve"> </m:t>
                </m:r>
                <m:sSub>
                  <m:sSubPr>
                    <m:ctrlPr>
                      <w:rPr>
                        <w:rFonts w:ascii="Cambria Math" w:eastAsia="Cambria Math" w:hAnsi="Cambria Math"/>
                        <w:i/>
                        <w:lang w:val="en-GB"/>
                      </w:rPr>
                    </m:ctrlPr>
                  </m:sSubPr>
                  <m:e>
                    <m:r>
                      <w:rPr>
                        <w:rFonts w:ascii="Cambria Math" w:eastAsia="Cambria Math" w:hAnsi="Cambria Math"/>
                        <w:lang w:val="en-GB"/>
                      </w:rPr>
                      <m:t>q</m:t>
                    </m:r>
                  </m:e>
                  <m:sub>
                    <m:r>
                      <w:rPr>
                        <w:rFonts w:ascii="Cambria Math" w:eastAsia="Cambria Math" w:hAnsi="Cambria Math"/>
                        <w:lang w:val="en-GB"/>
                      </w:rPr>
                      <m:t>i</m:t>
                    </m:r>
                  </m:sub>
                </m:sSub>
              </m:oMath>
            </m:oMathPara>
          </w:p>
        </w:tc>
        <w:tc>
          <w:tcPr>
            <w:tcW w:w="964" w:type="dxa"/>
            <w:shd w:val="clear" w:color="auto" w:fill="auto"/>
            <w:vAlign w:val="center"/>
          </w:tcPr>
          <w:p w14:paraId="642553BA" w14:textId="581E63D3" w:rsidR="006D3DAD" w:rsidRPr="00A94774" w:rsidRDefault="00220518" w:rsidP="001E060A">
            <w:pPr>
              <w:pStyle w:val="Els-body-text"/>
              <w:spacing w:before="60" w:after="60"/>
              <w:jc w:val="right"/>
              <w:rPr>
                <w:lang w:val="en-GB" w:eastAsia="ko-KR"/>
              </w:rPr>
            </w:pPr>
            <w:r>
              <w:rPr>
                <w:rFonts w:hint="eastAsia"/>
                <w:lang w:val="en-GB" w:eastAsia="ko-KR"/>
              </w:rPr>
              <w:t>(</w:t>
            </w:r>
            <w:r>
              <w:rPr>
                <w:lang w:val="en-GB" w:eastAsia="ko-KR"/>
              </w:rPr>
              <w:t>5)</w:t>
            </w:r>
          </w:p>
        </w:tc>
      </w:tr>
      <w:tr w:rsidR="003A4B1D" w:rsidRPr="00A94774" w14:paraId="1A093CEF" w14:textId="77777777" w:rsidTr="00A767C1">
        <w:tc>
          <w:tcPr>
            <w:tcW w:w="6123" w:type="dxa"/>
            <w:shd w:val="clear" w:color="auto" w:fill="auto"/>
            <w:vAlign w:val="center"/>
          </w:tcPr>
          <w:p w14:paraId="2190DDE2" w14:textId="092E5241" w:rsidR="003A4B1D" w:rsidRPr="003A4B1D" w:rsidRDefault="00001878" w:rsidP="00220518">
            <w:pPr>
              <w:pStyle w:val="Els-body-text"/>
              <w:rPr>
                <w:rFonts w:eastAsia="맑은 고딕"/>
                <w:lang w:val="en-GB"/>
              </w:rPr>
            </w:pPr>
            <m:oMathPara>
              <m:oMathParaPr>
                <m:jc m:val="left"/>
              </m:oMathParaPr>
              <m:oMath>
                <m:sSub>
                  <m:sSubPr>
                    <m:ctrlPr>
                      <w:rPr>
                        <w:rFonts w:ascii="Cambria Math" w:eastAsia="Cambria Math" w:hAnsi="Cambria Math"/>
                        <w:i/>
                        <w:lang w:val="en-GB"/>
                      </w:rPr>
                    </m:ctrlPr>
                  </m:sSubPr>
                  <m:e>
                    <m:r>
                      <w:rPr>
                        <w:rFonts w:ascii="Cambria Math" w:eastAsia="Cambria Math" w:hAnsi="Cambria Math"/>
                        <w:lang w:val="en-GB"/>
                      </w:rPr>
                      <m:t>q</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r</m:t>
                    </m:r>
                  </m:e>
                  <m:sub>
                    <m:r>
                      <w:rPr>
                        <w:rFonts w:ascii="Cambria Math" w:eastAsia="Cambria Math" w:hAnsi="Cambria Math"/>
                        <w:lang w:val="en-GB"/>
                      </w:rPr>
                      <m:t>q</m:t>
                    </m:r>
                  </m:sub>
                </m:sSub>
                <m:r>
                  <w:rPr>
                    <w:rFonts w:ascii="Cambria Math" w:eastAsia="Cambria Math" w:hAnsi="Cambria Math"/>
                    <w:lang w:val="en-GB"/>
                  </w:rPr>
                  <m:t xml:space="preserve"> </m:t>
                </m:r>
                <m:sSub>
                  <m:sSubPr>
                    <m:ctrlPr>
                      <w:rPr>
                        <w:rFonts w:ascii="Cambria Math" w:eastAsia="Cambria Math" w:hAnsi="Cambria Math"/>
                        <w:i/>
                        <w:lang w:val="en-GB"/>
                      </w:rPr>
                    </m:ctrlPr>
                  </m:sSubPr>
                  <m:e>
                    <m:r>
                      <w:rPr>
                        <w:rFonts w:ascii="Cambria Math" w:eastAsia="Cambria Math" w:hAnsi="Cambria Math"/>
                        <w:lang w:val="en-GB"/>
                      </w:rPr>
                      <m:t>q</m:t>
                    </m:r>
                  </m:e>
                  <m:sub>
                    <m:r>
                      <w:rPr>
                        <w:rFonts w:ascii="Cambria Math" w:eastAsia="Cambria Math" w:hAnsi="Cambria Math"/>
                        <w:lang w:val="en-GB"/>
                      </w:rPr>
                      <m:t>i-1</m:t>
                    </m:r>
                  </m:sub>
                </m:sSub>
              </m:oMath>
            </m:oMathPara>
          </w:p>
        </w:tc>
        <w:tc>
          <w:tcPr>
            <w:tcW w:w="964" w:type="dxa"/>
            <w:shd w:val="clear" w:color="auto" w:fill="auto"/>
            <w:vAlign w:val="center"/>
          </w:tcPr>
          <w:p w14:paraId="4D9CF8FF" w14:textId="52BEB4BB" w:rsidR="003A4B1D" w:rsidRDefault="003A4B1D" w:rsidP="001E060A">
            <w:pPr>
              <w:pStyle w:val="Els-body-text"/>
              <w:spacing w:before="60" w:after="60"/>
              <w:jc w:val="right"/>
              <w:rPr>
                <w:lang w:val="en-GB" w:eastAsia="ko-KR"/>
              </w:rPr>
            </w:pPr>
            <w:r>
              <w:rPr>
                <w:rFonts w:hint="eastAsia"/>
                <w:lang w:val="en-GB" w:eastAsia="ko-KR"/>
              </w:rPr>
              <w:t>(</w:t>
            </w:r>
            <w:r>
              <w:rPr>
                <w:lang w:val="en-GB" w:eastAsia="ko-KR"/>
              </w:rPr>
              <w:t>6)</w:t>
            </w:r>
          </w:p>
        </w:tc>
      </w:tr>
      <w:tr w:rsidR="003A4B1D" w:rsidRPr="00A94774" w14:paraId="41CBED55" w14:textId="77777777" w:rsidTr="00A767C1">
        <w:tc>
          <w:tcPr>
            <w:tcW w:w="6123" w:type="dxa"/>
            <w:shd w:val="clear" w:color="auto" w:fill="auto"/>
            <w:vAlign w:val="center"/>
          </w:tcPr>
          <w:p w14:paraId="18D61F63" w14:textId="25EB41BF" w:rsidR="003A4B1D" w:rsidRDefault="00001878" w:rsidP="00220518">
            <w:pPr>
              <w:pStyle w:val="Els-body-text"/>
              <w:rPr>
                <w:rFonts w:eastAsia="맑은 고딕"/>
                <w:lang w:val="en-GB" w:eastAsia="ko-KR"/>
              </w:rPr>
            </w:pPr>
            <m:oMath>
              <m:sSub>
                <m:sSubPr>
                  <m:ctrlPr>
                    <w:rPr>
                      <w:rFonts w:ascii="Cambria Math" w:eastAsia="Cambria Math" w:hAnsi="Cambria Math"/>
                      <w:i/>
                      <w:lang w:val="en-GB"/>
                    </w:rPr>
                  </m:ctrlPr>
                </m:sSubPr>
                <m:e>
                  <m:r>
                    <w:rPr>
                      <w:rFonts w:ascii="Cambria Math" w:eastAsia="Cambria Math" w:hAnsi="Cambria Math"/>
                      <w:lang w:val="en-GB"/>
                    </w:rPr>
                    <m:t>s</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s</m:t>
                  </m:r>
                </m:e>
                <m:sub>
                  <m:r>
                    <w:rPr>
                      <w:rFonts w:ascii="Cambria Math" w:eastAsia="Cambria Math" w:hAnsi="Cambria Math"/>
                      <w:lang w:val="en-GB"/>
                    </w:rPr>
                    <m:t>i-1</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b</m:t>
                  </m:r>
                </m:e>
                <m:sub>
                  <m:r>
                    <w:rPr>
                      <w:rFonts w:ascii="Cambria Math" w:eastAsia="Cambria Math" w:hAnsi="Cambria Math"/>
                      <w:lang w:val="en-GB"/>
                    </w:rPr>
                    <m:t>s</m:t>
                  </m:r>
                </m:sub>
              </m:sSub>
            </m:oMath>
            <w:r w:rsidR="00C9183F">
              <w:rPr>
                <w:rFonts w:eastAsia="맑은 고딕" w:hint="eastAsia"/>
                <w:lang w:val="en-GB" w:eastAsia="ko-KR"/>
              </w:rPr>
              <w:t>,</w:t>
            </w:r>
            <w:r w:rsidR="00C9183F">
              <w:rPr>
                <w:rFonts w:eastAsia="맑은 고딕"/>
                <w:lang w:val="en-GB" w:eastAsia="ko-KR"/>
              </w:rPr>
              <w:t xml:space="preserve"> </w:t>
            </w:r>
            <m:oMath>
              <m:sSub>
                <m:sSubPr>
                  <m:ctrlPr>
                    <w:rPr>
                      <w:rFonts w:ascii="Cambria Math" w:eastAsia="Cambria Math" w:hAnsi="Cambria Math"/>
                      <w:i/>
                      <w:lang w:val="en-GB"/>
                    </w:rPr>
                  </m:ctrlPr>
                </m:sSubPr>
                <m:e>
                  <m:r>
                    <w:rPr>
                      <w:rFonts w:ascii="Cambria Math" w:eastAsia="Cambria Math" w:hAnsi="Cambria Math"/>
                      <w:lang w:val="en-GB"/>
                    </w:rPr>
                    <m:t>s</m:t>
                  </m:r>
                </m:e>
                <m:sub>
                  <m:r>
                    <w:rPr>
                      <w:rFonts w:ascii="Cambria Math" w:eastAsia="Cambria Math" w:hAnsi="Cambria Math"/>
                      <w:lang w:val="en-GB"/>
                    </w:rPr>
                    <m:t>0</m:t>
                  </m:r>
                </m:sub>
              </m:sSub>
              <m:r>
                <w:rPr>
                  <w:rFonts w:ascii="Cambria Math" w:eastAsia="Cambria Math" w:hAnsi="Cambria Math"/>
                  <w:lang w:val="en-GB"/>
                </w:rPr>
                <m:t>=</m:t>
              </m:r>
              <m:r>
                <w:rPr>
                  <w:rFonts w:ascii="Cambria Math" w:hAnsi="Cambria Math"/>
                  <w:lang w:val="en-GB"/>
                </w:rPr>
                <m:t>0</m:t>
              </m:r>
            </m:oMath>
          </w:p>
        </w:tc>
        <w:tc>
          <w:tcPr>
            <w:tcW w:w="964" w:type="dxa"/>
            <w:shd w:val="clear" w:color="auto" w:fill="auto"/>
            <w:vAlign w:val="center"/>
          </w:tcPr>
          <w:p w14:paraId="697ED55B" w14:textId="27BD9731" w:rsidR="003A4B1D" w:rsidRDefault="00C9183F" w:rsidP="001E060A">
            <w:pPr>
              <w:pStyle w:val="Els-body-text"/>
              <w:spacing w:before="60" w:after="60"/>
              <w:jc w:val="right"/>
              <w:rPr>
                <w:lang w:val="en-GB" w:eastAsia="ko-KR"/>
              </w:rPr>
            </w:pPr>
            <w:r>
              <w:rPr>
                <w:rFonts w:hint="eastAsia"/>
                <w:lang w:val="en-GB" w:eastAsia="ko-KR"/>
              </w:rPr>
              <w:t>(</w:t>
            </w:r>
            <w:r>
              <w:rPr>
                <w:lang w:val="en-GB" w:eastAsia="ko-KR"/>
              </w:rPr>
              <w:t>7)</w:t>
            </w:r>
          </w:p>
        </w:tc>
      </w:tr>
      <w:tr w:rsidR="00397B2A" w:rsidRPr="00A94774" w14:paraId="57B3C868" w14:textId="77777777" w:rsidTr="00A767C1">
        <w:tc>
          <w:tcPr>
            <w:tcW w:w="6123" w:type="dxa"/>
            <w:shd w:val="clear" w:color="auto" w:fill="auto"/>
            <w:vAlign w:val="center"/>
          </w:tcPr>
          <w:p w14:paraId="43C17E57" w14:textId="126D7407" w:rsidR="00397B2A" w:rsidRPr="00397B2A" w:rsidRDefault="00001878" w:rsidP="00220518">
            <w:pPr>
              <w:pStyle w:val="Els-body-text"/>
              <w:rPr>
                <w:rFonts w:eastAsia="맑은 고딕"/>
                <w:lang w:val="en-GB"/>
              </w:rPr>
            </w:pPr>
            <m:oMathPara>
              <m:oMathParaPr>
                <m:jc m:val="left"/>
              </m:oMathParaPr>
              <m:oMath>
                <m:sSub>
                  <m:sSubPr>
                    <m:ctrlPr>
                      <w:rPr>
                        <w:rFonts w:ascii="Cambria Math" w:eastAsia="Cambria Math" w:hAnsi="Cambria Math"/>
                        <w:i/>
                        <w:lang w:val="en-GB"/>
                      </w:rPr>
                    </m:ctrlPr>
                  </m:sSubPr>
                  <m:e>
                    <m:r>
                      <w:rPr>
                        <w:rFonts w:ascii="Cambria Math" w:eastAsia="Cambria Math" w:hAnsi="Cambria Math"/>
                        <w:lang w:val="en-GB"/>
                      </w:rPr>
                      <m:t>h</m:t>
                    </m:r>
                  </m:e>
                  <m:sub>
                    <m:r>
                      <w:rPr>
                        <w:rFonts w:ascii="Cambria Math" w:eastAsia="Cambria Math" w:hAnsi="Cambria Math"/>
                        <w:lang w:val="en-GB"/>
                      </w:rPr>
                      <m:t>i</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h</m:t>
                    </m:r>
                  </m:e>
                  <m:sub>
                    <m:r>
                      <w:rPr>
                        <w:rFonts w:ascii="Cambria Math" w:eastAsia="Cambria Math" w:hAnsi="Cambria Math"/>
                        <w:lang w:val="en-GB"/>
                      </w:rPr>
                      <m:t>i-1</m:t>
                    </m:r>
                  </m:sub>
                </m:sSub>
                <m:r>
                  <w:rPr>
                    <w:rFonts w:ascii="Cambria Math" w:eastAsia="Cambria Math" w:hAnsi="Cambria Math"/>
                    <w:lang w:val="en-GB"/>
                  </w:rPr>
                  <m:t>≤</m:t>
                </m:r>
                <m:sSub>
                  <m:sSubPr>
                    <m:ctrlPr>
                      <w:rPr>
                        <w:rFonts w:ascii="Cambria Math" w:eastAsia="Cambria Math" w:hAnsi="Cambria Math"/>
                        <w:i/>
                        <w:lang w:val="en-GB"/>
                      </w:rPr>
                    </m:ctrlPr>
                  </m:sSubPr>
                  <m:e>
                    <m:r>
                      <w:rPr>
                        <w:rFonts w:ascii="Cambria Math" w:eastAsia="Cambria Math" w:hAnsi="Cambria Math"/>
                        <w:lang w:val="en-GB"/>
                      </w:rPr>
                      <m:t>b</m:t>
                    </m:r>
                  </m:e>
                  <m:sub>
                    <m:r>
                      <w:rPr>
                        <w:rFonts w:ascii="Cambria Math" w:eastAsia="Cambria Math" w:hAnsi="Cambria Math"/>
                        <w:lang w:val="en-GB"/>
                      </w:rPr>
                      <m:t>h</m:t>
                    </m:r>
                  </m:sub>
                </m:sSub>
              </m:oMath>
            </m:oMathPara>
          </w:p>
        </w:tc>
        <w:tc>
          <w:tcPr>
            <w:tcW w:w="964" w:type="dxa"/>
            <w:shd w:val="clear" w:color="auto" w:fill="auto"/>
            <w:vAlign w:val="center"/>
          </w:tcPr>
          <w:p w14:paraId="71189908" w14:textId="0BB1252F" w:rsidR="00397B2A" w:rsidRDefault="00397B2A" w:rsidP="001E060A">
            <w:pPr>
              <w:pStyle w:val="Els-body-text"/>
              <w:spacing w:before="60" w:after="60"/>
              <w:jc w:val="right"/>
              <w:rPr>
                <w:lang w:val="en-GB" w:eastAsia="ko-KR"/>
              </w:rPr>
            </w:pPr>
            <w:r>
              <w:rPr>
                <w:rFonts w:hint="eastAsia"/>
                <w:lang w:val="en-GB" w:eastAsia="ko-KR"/>
              </w:rPr>
              <w:t>(</w:t>
            </w:r>
            <w:r>
              <w:rPr>
                <w:lang w:val="en-GB" w:eastAsia="ko-KR"/>
              </w:rPr>
              <w:t>8)</w:t>
            </w:r>
          </w:p>
        </w:tc>
      </w:tr>
    </w:tbl>
    <w:p w14:paraId="7AA4D8F0" w14:textId="77777777" w:rsidR="00B561A9" w:rsidRPr="00B561A9" w:rsidRDefault="00B561A9" w:rsidP="00B561A9">
      <w:pPr>
        <w:pStyle w:val="Els-body-text"/>
        <w:spacing w:before="120" w:after="120"/>
      </w:pPr>
      <w:proofErr w:type="gramStart"/>
      <w:r w:rsidRPr="00B561A9">
        <w:rPr>
          <w:rFonts w:hint="eastAsia"/>
        </w:rPr>
        <w:t>w</w:t>
      </w:r>
      <w:r w:rsidRPr="00B561A9">
        <w:t>here</w:t>
      </w:r>
      <w:proofErr w:type="gramEnd"/>
    </w:p>
    <w:p w14:paraId="21237A08" w14:textId="5267F0D9" w:rsidR="00B561A9"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oMath>
      <w:r w:rsidR="00B561A9" w:rsidRPr="00B561A9">
        <w:rPr>
          <w:rFonts w:hint="eastAsia"/>
        </w:rPr>
        <w:t xml:space="preserve"> </w:t>
      </w:r>
      <w:r w:rsidR="00B561A9" w:rsidRPr="00B561A9">
        <w:t xml:space="preserve">average cost for reduction of emissions in the </w:t>
      </w:r>
      <m:oMath>
        <m:r>
          <w:rPr>
            <w:rFonts w:ascii="Cambria Math" w:hAnsi="Cambria Math"/>
          </w:rPr>
          <m:t>i</m:t>
        </m:r>
      </m:oMath>
      <w:r w:rsidR="00B561A9" w:rsidRPr="00B561A9">
        <w:t>-th year</w:t>
      </w:r>
    </w:p>
    <w:p w14:paraId="690D4EB5" w14:textId="337C2A82" w:rsidR="00B561A9"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oMath>
      <w:r w:rsidR="00B561A9" w:rsidRPr="00B561A9">
        <w:rPr>
          <w:rFonts w:hint="eastAsia"/>
        </w:rPr>
        <w:t xml:space="preserve"> </w:t>
      </w:r>
      <w:r w:rsidR="00B561A9" w:rsidRPr="00B561A9">
        <w:t xml:space="preserve">average price of carbon credit in the </w:t>
      </w:r>
      <m:oMath>
        <m:r>
          <w:rPr>
            <w:rFonts w:ascii="Cambria Math" w:hAnsi="Cambria Math"/>
          </w:rPr>
          <m:t>i</m:t>
        </m:r>
      </m:oMath>
      <w:r w:rsidR="00B561A9" w:rsidRPr="00B561A9">
        <w:t>-th year</w:t>
      </w:r>
    </w:p>
    <w:p w14:paraId="3E9172BC" w14:textId="7BA093CD" w:rsidR="00B561A9"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oMath>
      <w:r w:rsidR="00B561A9" w:rsidRPr="00B561A9">
        <w:rPr>
          <w:rFonts w:hint="eastAsia"/>
        </w:rPr>
        <w:t xml:space="preserve"> </w:t>
      </w:r>
      <w:r w:rsidR="00B561A9" w:rsidRPr="00B561A9">
        <w:t xml:space="preserve">amount of emission in the </w:t>
      </w:r>
      <m:oMath>
        <m:r>
          <w:rPr>
            <w:rFonts w:ascii="Cambria Math" w:hAnsi="Cambria Math"/>
          </w:rPr>
          <m:t>i</m:t>
        </m:r>
      </m:oMath>
      <w:r w:rsidR="00B561A9" w:rsidRPr="00B561A9">
        <w:t>-th year</w:t>
      </w:r>
    </w:p>
    <w:p w14:paraId="6CEB6F3C" w14:textId="1F70F3A5" w:rsidR="00B561A9"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oMath>
      <w:r w:rsidR="00B561A9" w:rsidRPr="00B561A9">
        <w:rPr>
          <w:rFonts w:hint="eastAsia"/>
        </w:rPr>
        <w:t xml:space="preserve"> </w:t>
      </w:r>
      <w:r w:rsidR="00B561A9" w:rsidRPr="00B561A9">
        <w:t xml:space="preserve">amount of absorption in the </w:t>
      </w:r>
      <m:oMath>
        <m:r>
          <w:rPr>
            <w:rFonts w:ascii="Cambria Math" w:hAnsi="Cambria Math"/>
          </w:rPr>
          <m:t>i</m:t>
        </m:r>
      </m:oMath>
      <w:r w:rsidR="00B561A9" w:rsidRPr="00B561A9">
        <w:t>-th year</w:t>
      </w:r>
    </w:p>
    <w:p w14:paraId="5A939D87" w14:textId="1E14C33D" w:rsidR="00905A7A"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oMath>
      <w:r w:rsidR="00905A7A" w:rsidRPr="00B561A9">
        <w:rPr>
          <w:rFonts w:hint="eastAsia"/>
        </w:rPr>
        <w:t xml:space="preserve"> </w:t>
      </w:r>
      <w:r w:rsidR="00905A7A" w:rsidRPr="00B561A9">
        <w:t>carbon credit s</w:t>
      </w:r>
      <w:r w:rsidR="00A6225F">
        <w:t>upplied by the government</w:t>
      </w:r>
      <w:r w:rsidR="00905A7A" w:rsidRPr="00B561A9">
        <w:t xml:space="preserve"> </w:t>
      </w:r>
      <w:r w:rsidR="00F14312">
        <w:t>in</w:t>
      </w:r>
      <w:r w:rsidR="00905A7A" w:rsidRPr="00B561A9">
        <w:t xml:space="preserve"> the </w:t>
      </w:r>
      <m:oMath>
        <m:r>
          <w:rPr>
            <w:rFonts w:ascii="Cambria Math" w:hAnsi="Cambria Math"/>
          </w:rPr>
          <m:t>i</m:t>
        </m:r>
      </m:oMath>
      <w:r w:rsidR="00905A7A" w:rsidRPr="00B561A9">
        <w:t>-th year</w:t>
      </w:r>
    </w:p>
    <w:p w14:paraId="438416D2" w14:textId="16F5D8BC" w:rsidR="00C45603"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w:r w:rsidR="00C45603" w:rsidRPr="00B561A9">
        <w:rPr>
          <w:rFonts w:hint="eastAsia"/>
        </w:rPr>
        <w:t xml:space="preserve"> </w:t>
      </w:r>
      <w:r w:rsidR="00C45603" w:rsidRPr="00B561A9">
        <w:t xml:space="preserve">carbon credit sold by the absorber </w:t>
      </w:r>
      <w:r w:rsidR="00F14312">
        <w:t>in</w:t>
      </w:r>
      <w:r w:rsidR="00C45603" w:rsidRPr="00B561A9">
        <w:t xml:space="preserve"> the </w:t>
      </w:r>
      <m:oMath>
        <m:r>
          <w:rPr>
            <w:rFonts w:ascii="Cambria Math" w:hAnsi="Cambria Math"/>
          </w:rPr>
          <m:t>i</m:t>
        </m:r>
      </m:oMath>
      <w:r w:rsidR="00C45603" w:rsidRPr="00B561A9">
        <w:t>-th year</w:t>
      </w:r>
    </w:p>
    <w:p w14:paraId="5A4978D1" w14:textId="6682B0E2" w:rsidR="00B561A9"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oMath>
      <w:r w:rsidR="00B561A9" w:rsidRPr="00B561A9">
        <w:rPr>
          <w:rFonts w:hint="eastAsia"/>
        </w:rPr>
        <w:t xml:space="preserve"> </w:t>
      </w:r>
      <w:r w:rsidR="00B561A9" w:rsidRPr="00B561A9">
        <w:t xml:space="preserve">carbon credit allotted to the emitter for the </w:t>
      </w:r>
      <m:oMath>
        <m:r>
          <w:rPr>
            <w:rFonts w:ascii="Cambria Math" w:hAnsi="Cambria Math"/>
          </w:rPr>
          <m:t>i</m:t>
        </m:r>
      </m:oMath>
      <w:r w:rsidR="00B561A9" w:rsidRPr="00B561A9">
        <w:t>-th year</w:t>
      </w:r>
    </w:p>
    <w:p w14:paraId="4FACC197" w14:textId="6EA9D8B7" w:rsidR="00B561A9" w:rsidRPr="00B561A9" w:rsidRDefault="00001878" w:rsidP="007421BA">
      <w:pPr>
        <w:pStyle w:val="Els-body-text"/>
        <w:spacing w:after="20"/>
        <w:ind w:firstLineChars="50" w:firstLine="100"/>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sidR="00B561A9" w:rsidRPr="00B561A9">
        <w:rPr>
          <w:rFonts w:hint="eastAsia"/>
        </w:rPr>
        <w:t xml:space="preserve"> </w:t>
      </w:r>
      <w:r w:rsidR="00B561A9" w:rsidRPr="00B561A9">
        <w:t xml:space="preserve">carbon credit bought by the emitter in the </w:t>
      </w:r>
      <m:oMath>
        <m:r>
          <w:rPr>
            <w:rFonts w:ascii="Cambria Math" w:hAnsi="Cambria Math"/>
          </w:rPr>
          <m:t>i</m:t>
        </m:r>
      </m:oMath>
      <w:r w:rsidR="00B561A9" w:rsidRPr="00B561A9">
        <w:t>-th year</w:t>
      </w:r>
    </w:p>
    <w:p w14:paraId="0FDEA633" w14:textId="3E9D2DE1" w:rsidR="00B561A9" w:rsidRDefault="00001878" w:rsidP="0067673C">
      <w:pPr>
        <w:pStyle w:val="Els-body-text"/>
        <w:spacing w:after="180"/>
        <w:ind w:firstLineChars="50" w:firstLine="100"/>
      </w:pP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m:t>
            </m:r>
          </m:sub>
        </m:sSub>
        <m:r>
          <w:rPr>
            <w:rFonts w:ascii="Cambria Math" w:hAnsi="Cambria Math"/>
            <w:lang w:val="en-GB"/>
          </w:rPr>
          <m:t>=</m:t>
        </m:r>
      </m:oMath>
      <w:r w:rsidR="00B561A9" w:rsidRPr="00B561A9">
        <w:rPr>
          <w:rFonts w:hint="eastAsia"/>
          <w:lang w:val="en-GB"/>
        </w:rPr>
        <w:t xml:space="preserve"> </w:t>
      </w:r>
      <w:r w:rsidR="00B561A9" w:rsidRPr="00B561A9">
        <w:rPr>
          <w:lang w:val="en-GB"/>
        </w:rPr>
        <w:t xml:space="preserve">carbon credit sold by the emitter in the </w:t>
      </w:r>
      <m:oMath>
        <m:r>
          <w:rPr>
            <w:rFonts w:ascii="Cambria Math" w:hAnsi="Cambria Math"/>
            <w:lang w:val="en-GB"/>
          </w:rPr>
          <m:t>i</m:t>
        </m:r>
      </m:oMath>
      <w:r w:rsidR="00B561A9" w:rsidRPr="00B561A9">
        <w:rPr>
          <w:lang w:val="en-GB"/>
        </w:rPr>
        <w:t>-th year</w:t>
      </w:r>
    </w:p>
    <w:p w14:paraId="144DE6B4" w14:textId="4C37F239" w:rsidR="008D2649" w:rsidRPr="00A94774" w:rsidRDefault="001D1BAE" w:rsidP="008D2649">
      <w:pPr>
        <w:pStyle w:val="Els-body-text"/>
        <w:spacing w:after="120"/>
        <w:rPr>
          <w:lang w:val="en-GB"/>
        </w:rPr>
      </w:pPr>
      <w:r>
        <w:t xml:space="preserve">The proposed optimization problem </w:t>
      </w:r>
      <w:r w:rsidR="009A3F2F">
        <w:rPr>
          <w:rFonts w:hint="eastAsia"/>
          <w:lang w:eastAsia="ko-KR"/>
        </w:rPr>
        <w:t>i</w:t>
      </w:r>
      <w:r>
        <w:t xml:space="preserve">s a </w:t>
      </w:r>
      <w:r w:rsidR="009A3F2F">
        <w:t>nonconvex non</w:t>
      </w:r>
      <w:r>
        <w:t xml:space="preserve">linear program, </w:t>
      </w:r>
      <w:r w:rsidR="009A3F2F">
        <w:t xml:space="preserve">because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i</m:t>
            </m:r>
          </m:sub>
        </m:sSub>
      </m:oMath>
      <w:r w:rsidR="009A3F2F">
        <w:rPr>
          <w:lang w:eastAsia="ko-KR"/>
        </w:rPr>
        <w:t>’s</w:t>
      </w:r>
      <w:r w:rsidR="009A3F2F">
        <w:rPr>
          <w:lang w:eastAsia="ko-KR"/>
        </w:rPr>
        <w:t xml:space="preserve"> are unknown</w:t>
      </w:r>
      <w:r w:rsidR="00583852">
        <w:rPr>
          <w:lang w:eastAsia="ko-KR"/>
        </w:rPr>
        <w:t>s</w:t>
      </w:r>
      <w:r w:rsidR="009A3F2F">
        <w:rPr>
          <w:lang w:eastAsia="ko-KR"/>
        </w:rPr>
        <w:t>, while</w:t>
      </w:r>
      <w: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lang w:eastAsia="ko-KR"/>
        </w:rPr>
        <w:t xml:space="preserve">’s, </w:t>
      </w:r>
      <m:oMath>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x</m:t>
            </m:r>
          </m:sub>
        </m:sSub>
      </m:oMath>
      <w:r>
        <w:rPr>
          <w:rFonts w:hint="eastAsia"/>
          <w:lang w:eastAsia="ko-KR"/>
        </w:rPr>
        <w:t>,</w:t>
      </w:r>
      <w:r>
        <w:rPr>
          <w:lang w:eastAsia="ko-KR"/>
        </w:rPr>
        <w:t xml:space="preserve"> and </w:t>
      </w:r>
      <m:oMath>
        <m:sSub>
          <m:sSubPr>
            <m:ctrlPr>
              <w:rPr>
                <w:rFonts w:ascii="Cambria Math" w:hAnsi="Cambria Math"/>
                <w:i/>
                <w:lang w:eastAsia="ko-KR"/>
              </w:rPr>
            </m:ctrlPr>
          </m:sSubPr>
          <m:e>
            <m:r>
              <w:rPr>
                <w:rFonts w:ascii="Cambria Math" w:hAnsi="Cambria Math"/>
                <w:lang w:eastAsia="ko-KR"/>
              </w:rPr>
              <m:t>r</m:t>
            </m:r>
          </m:e>
          <m:sub>
            <m:r>
              <w:rPr>
                <w:rFonts w:ascii="Cambria Math" w:hAnsi="Cambria Math"/>
                <w:lang w:eastAsia="ko-KR"/>
              </w:rPr>
              <m:t>q</m:t>
            </m:r>
          </m:sub>
        </m:sSub>
      </m:oMath>
      <w:r>
        <w:rPr>
          <w:lang w:eastAsia="ko-KR"/>
        </w:rPr>
        <w:t xml:space="preserve"> </w:t>
      </w:r>
      <w:r w:rsidR="009A3F2F">
        <w:rPr>
          <w:lang w:eastAsia="ko-KR"/>
        </w:rPr>
        <w:t>are</w:t>
      </w:r>
      <w:r>
        <w:rPr>
          <w:lang w:eastAsia="ko-KR"/>
        </w:rPr>
        <w:t xml:space="preserve"> constants. </w:t>
      </w:r>
      <w:r>
        <w:t xml:space="preserve">All variables and parameters are nonnegative, and can be normalized so that </w:t>
      </w:r>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=1</m:t>
        </m:r>
      </m:oMath>
      <w:r>
        <w:rPr>
          <w:rFonts w:hint="eastAsia"/>
          <w:lang w:eastAsia="ko-KR"/>
        </w:rPr>
        <w:t xml:space="preserve"> </w:t>
      </w:r>
      <w:r>
        <w:rPr>
          <w:lang w:eastAsia="ko-KR"/>
        </w:rPr>
        <w:t>can be used</w:t>
      </w:r>
      <w:r>
        <w:t xml:space="preserve">. For maximum simplicity, it is assumed in this work that the emitter buys the absorber’s credit, and the government buys the emitter’s credit, i.e., </w:t>
      </w: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oMath>
      <w:r>
        <w:rPr>
          <w:rFonts w:hint="eastAsia"/>
          <w:lang w:eastAsia="ko-KR"/>
        </w:rPr>
        <w:t xml:space="preserve"> </w:t>
      </w:r>
      <w:r>
        <w:rPr>
          <w:lang w:eastAsia="ko-KR"/>
        </w:rPr>
        <w:t xml:space="preserve">in (4). </w:t>
      </w:r>
      <w:r>
        <w:t xml:space="preserve">Equation (5) represents a carbon price model which is obtained from the assumption that the reference price is equivalent to the cost of reduction, and the change factor is proportional to </w:t>
      </w:r>
      <w:r w:rsidR="00A43021">
        <w:t xml:space="preserve">the </w:t>
      </w:r>
      <w:r w:rsidR="009A3F2F">
        <w:t>industr</w:t>
      </w:r>
      <w:r w:rsidR="000610D2">
        <w:t xml:space="preserve">ial </w:t>
      </w:r>
      <w:r>
        <w:t xml:space="preserve">demand, </w:t>
      </w:r>
      <w:bookmarkStart w:id="0" w:name="_Hlk144270311"/>
      <m:oMath>
        <m:sSub>
          <m:sSubPr>
            <m:ctrlPr>
              <w:rPr>
                <w:rFonts w:ascii="Cambria Math" w:hAnsi="Cambria Math"/>
                <w:i/>
              </w:rPr>
            </m:ctrlPr>
          </m:sSubPr>
          <m:e>
            <m:r>
              <w:rPr>
                <w:rFonts w:ascii="Cambria Math" w:hAnsi="Cambria Math"/>
              </w:rPr>
              <m:t>q</m:t>
            </m:r>
          </m:e>
          <m:sub>
            <m:r>
              <w:rPr>
                <w:rFonts w:ascii="Cambria Math" w:hAnsi="Cambria Math"/>
              </w:rPr>
              <m:t>i</m:t>
            </m:r>
          </m:sub>
        </m:sSub>
      </m:oMath>
      <w:bookmarkEnd w:id="0"/>
      <w:r>
        <w:rPr>
          <w:rFonts w:hint="eastAsia"/>
          <w:lang w:eastAsia="ko-KR"/>
        </w:rPr>
        <w:t>,</w:t>
      </w:r>
      <w:r>
        <w:rPr>
          <w:lang w:eastAsia="ko-KR"/>
        </w:rPr>
        <w:t xml:space="preserve"> and inversely proportional to </w:t>
      </w:r>
      <w:r w:rsidR="00A43021">
        <w:rPr>
          <w:lang w:eastAsia="ko-KR"/>
        </w:rPr>
        <w:t xml:space="preserve">the </w:t>
      </w:r>
      <w:r w:rsidR="009A3F2F">
        <w:rPr>
          <w:lang w:eastAsia="ko-KR"/>
        </w:rPr>
        <w:t>government</w:t>
      </w:r>
      <w:r w:rsidR="00334222">
        <w:rPr>
          <w:lang w:eastAsia="ko-KR"/>
        </w:rPr>
        <w:t xml:space="preserve">al </w:t>
      </w:r>
      <w:r>
        <w:rPr>
          <w:lang w:eastAsia="ko-KR"/>
        </w:rPr>
        <w:t xml:space="preserve">supply, </w:t>
      </w:r>
      <m:oMath>
        <m:sSub>
          <m:sSubPr>
            <m:ctrlPr>
              <w:rPr>
                <w:rFonts w:ascii="Cambria Math" w:hAnsi="Cambria Math"/>
                <w:i/>
                <w:lang w:eastAsia="ko-KR"/>
              </w:rPr>
            </m:ctrlPr>
          </m:sSubPr>
          <m:e>
            <m:r>
              <w:rPr>
                <w:rFonts w:ascii="Cambria Math" w:hAnsi="Cambria Math"/>
                <w:lang w:eastAsia="ko-KR"/>
              </w:rPr>
              <m:t>x</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u</m:t>
            </m:r>
          </m:e>
          <m:sub>
            <m:r>
              <w:rPr>
                <w:rFonts w:ascii="Cambria Math" w:hAnsi="Cambria Math"/>
                <w:lang w:eastAsia="ko-KR"/>
              </w:rPr>
              <m:t>i</m:t>
            </m:r>
          </m:sub>
        </m:sSub>
      </m:oMath>
      <w:r>
        <w:rPr>
          <w:rFonts w:hint="eastAsia"/>
          <w:lang w:eastAsia="ko-KR"/>
        </w:rPr>
        <w:t>,</w:t>
      </w:r>
      <w:r>
        <w:rPr>
          <w:lang w:eastAsia="ko-KR"/>
        </w:rPr>
        <w:t xml:space="preserve"> i.e., </w:t>
      </w:r>
      <w:bookmarkStart w:id="1" w:name="_Hlk144265668"/>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i</m:t>
            </m:r>
          </m:sub>
        </m:sSub>
        <w:bookmarkEnd w:id="1"/>
        <m:r>
          <w:rPr>
            <w:rFonts w:ascii="Cambria Math" w:hAnsi="Cambria Math"/>
            <w:lang w:eastAsia="ko-KR"/>
          </w:rPr>
          <m:t>≈</m:t>
        </m:r>
        <w:bookmarkStart w:id="2" w:name="_Hlk144265648"/>
        <m:sSub>
          <m:sSubPr>
            <m:ctrlPr>
              <w:rPr>
                <w:rFonts w:ascii="Cambria Math" w:hAnsi="Cambria Math"/>
                <w:i/>
              </w:rPr>
            </m:ctrlPr>
          </m:sSubPr>
          <m:e>
            <m:r>
              <w:rPr>
                <w:rFonts w:ascii="Cambria Math" w:hAnsi="Cambria Math"/>
              </w:rPr>
              <m:t>c</m:t>
            </m:r>
          </m:e>
          <m:sub>
            <m:r>
              <w:rPr>
                <w:rFonts w:ascii="Cambria Math" w:hAnsi="Cambria Math"/>
              </w:rPr>
              <m:t>i</m:t>
            </m:r>
          </m:sub>
        </m:sSub>
        <w:bookmarkEnd w:id="2"/>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i</m:t>
            </m:r>
          </m:sub>
        </m:sSub>
        <m:r>
          <m:rPr>
            <m:nor/>
          </m:rP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e>
        </m:d>
      </m:oMath>
      <w:r w:rsidR="000610D2">
        <w:rPr>
          <w:rFonts w:hint="eastAsia"/>
          <w:lang w:eastAsia="ko-KR"/>
        </w:rPr>
        <w:t>,</w:t>
      </w:r>
      <w:r w:rsidR="000610D2">
        <w:rPr>
          <w:lang w:eastAsia="ko-KR"/>
        </w:rPr>
        <w:t xml:space="preserve"> where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sidR="00046349">
        <w:rPr>
          <w:rFonts w:hint="eastAsia"/>
          <w:lang w:eastAsia="ko-KR"/>
        </w:rPr>
        <w:t xml:space="preserve"> </w:t>
      </w:r>
      <w:r w:rsidR="00A6225F">
        <w:rPr>
          <w:lang w:eastAsia="ko-KR"/>
        </w:rPr>
        <w:t>is</w:t>
      </w:r>
      <w:r w:rsidR="00AF5048">
        <w:rPr>
          <w:lang w:eastAsia="ko-KR"/>
        </w:rPr>
        <w:t xml:space="preserve"> a </w:t>
      </w:r>
      <w:r w:rsidR="00A6225F">
        <w:rPr>
          <w:lang w:eastAsia="ko-KR"/>
        </w:rPr>
        <w:t>manipulated</w:t>
      </w:r>
      <w:r w:rsidR="00046349">
        <w:rPr>
          <w:lang w:eastAsia="ko-KR"/>
        </w:rPr>
        <w:t xml:space="preserve"> </w:t>
      </w:r>
      <w:r w:rsidR="00AF5048">
        <w:rPr>
          <w:lang w:eastAsia="ko-KR"/>
        </w:rPr>
        <w:t>variable for</w:t>
      </w:r>
      <w:r w:rsidR="00046349">
        <w:rPr>
          <w:lang w:eastAsia="ko-KR"/>
        </w:rPr>
        <w:t xml:space="preserve"> the government to control </w:t>
      </w:r>
      <w:r w:rsidR="001E060A">
        <w:rPr>
          <w:lang w:eastAsia="ko-KR"/>
        </w:rPr>
        <w:t xml:space="preserve">the market </w:t>
      </w:r>
      <w:r w:rsidR="00046349">
        <w:rPr>
          <w:lang w:eastAsia="ko-KR"/>
        </w:rPr>
        <w:t xml:space="preserve">price, which is omitted in this work, i.e., </w:t>
      </w:r>
      <m:oMath>
        <m:sSub>
          <m:sSubPr>
            <m:ctrlPr>
              <w:rPr>
                <w:rFonts w:ascii="Cambria Math" w:hAnsi="Cambria Math"/>
                <w:i/>
                <w:lang w:eastAsia="ko-KR"/>
              </w:rPr>
            </m:ctrlPr>
          </m:sSubPr>
          <m:e>
            <m:r>
              <w:rPr>
                <w:rFonts w:ascii="Cambria Math" w:hAnsi="Cambria Math"/>
                <w:lang w:eastAsia="ko-KR"/>
              </w:rPr>
              <m:t>u</m:t>
            </m:r>
          </m:e>
          <m:sub>
            <m:r>
              <w:rPr>
                <w:rFonts w:ascii="Cambria Math" w:hAnsi="Cambria Math"/>
                <w:lang w:eastAsia="ko-KR"/>
              </w:rPr>
              <m:t>i</m:t>
            </m:r>
          </m:sub>
        </m:sSub>
        <m:r>
          <w:rPr>
            <w:rFonts w:ascii="Cambria Math" w:hAnsi="Cambria Math"/>
            <w:lang w:eastAsia="ko-KR"/>
          </w:rPr>
          <m:t>=0</m:t>
        </m:r>
      </m:oMath>
      <w:r>
        <w:rPr>
          <w:rFonts w:hint="eastAsia"/>
          <w:lang w:eastAsia="ko-KR"/>
        </w:rPr>
        <w:t>.</w:t>
      </w:r>
      <w:r>
        <w:rPr>
          <w:lang w:eastAsia="ko-KR"/>
        </w:rPr>
        <w:t xml:space="preserve"> Net emissions can be calculated by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oMath>
      <w:r w:rsidR="008D2649" w:rsidRPr="00A94774">
        <w:rPr>
          <w:lang w:val="en-GB"/>
        </w:rPr>
        <w:t>.</w:t>
      </w:r>
    </w:p>
    <w:p w14:paraId="144DE6B5" w14:textId="6642C52A" w:rsidR="008D2649" w:rsidRPr="00A94774" w:rsidRDefault="00334222" w:rsidP="008D2649">
      <w:pPr>
        <w:pStyle w:val="Els-1storder-head"/>
        <w:spacing w:after="120"/>
        <w:rPr>
          <w:lang w:val="en-GB"/>
        </w:rPr>
      </w:pPr>
      <w:r>
        <w:rPr>
          <w:lang w:val="en-GB"/>
        </w:rPr>
        <w:t>Case Study</w:t>
      </w:r>
    </w:p>
    <w:p w14:paraId="144DE6B8" w14:textId="33C62B4A" w:rsidR="008D2649" w:rsidRPr="00A94774" w:rsidRDefault="00B13D7A" w:rsidP="008D2649">
      <w:pPr>
        <w:pStyle w:val="Els-body-text"/>
        <w:spacing w:after="120"/>
        <w:rPr>
          <w:lang w:val="en-GB"/>
        </w:rPr>
      </w:pPr>
      <w:r>
        <w:t xml:space="preserve">Consider a governmental plan for reduction of emissions by 30% in 5 years. The allowances are to be reduced by 7% every year. The cost of carbon capture is assumed to be constant so that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=1</m:t>
        </m:r>
      </m:oMath>
      <w:r>
        <w:rPr>
          <w:rFonts w:hint="eastAsia"/>
          <w:lang w:eastAsia="ko-KR"/>
        </w:rPr>
        <w:t xml:space="preserve"> </w:t>
      </w:r>
      <w:r>
        <w:rPr>
          <w:lang w:eastAsia="ko-KR"/>
        </w:rPr>
        <w:t xml:space="preserve">can be used. </w:t>
      </w:r>
      <w:r>
        <w:t>The suggested parameter values are listed in Table 1. Case 1 is designed to use reduction only, and case 2 to use offset only. Case 3 uses both. In cases 1</w:t>
      </w:r>
      <w:r w:rsidRPr="00614259">
        <w:t>–</w:t>
      </w:r>
      <w:r>
        <w:t xml:space="preserve">3, carryover is unlimited. In case 4, it is assumed that carryover is limited to the same amount as sales. In case 5, carryover is not allowed. The proposed mathematical program is solved by MATLAB’s </w:t>
      </w:r>
      <w:proofErr w:type="spellStart"/>
      <w:r>
        <w:t>fmincon</w:t>
      </w:r>
      <w:proofErr w:type="spellEnd"/>
      <w:r>
        <w:t>. For numerical stability, 10</w:t>
      </w:r>
      <w:r w:rsidRPr="00B705B3">
        <w:rPr>
          <w:rFonts w:ascii="Arial" w:hAnsi="Arial" w:cs="Arial"/>
          <w:vertAlign w:val="superscript"/>
        </w:rPr>
        <w:t>−</w:t>
      </w:r>
      <w:r w:rsidRPr="00B705B3">
        <w:rPr>
          <w:vertAlign w:val="superscript"/>
        </w:rPr>
        <w:t>8</w:t>
      </w:r>
      <w:r>
        <w:t xml:space="preserve"> is used for 0, and 10</w:t>
      </w:r>
      <w:r w:rsidRPr="00B705B3">
        <w:rPr>
          <w:vertAlign w:val="superscript"/>
        </w:rPr>
        <w:t>8</w:t>
      </w:r>
      <w:r>
        <w:t xml:space="preserve"> for </w:t>
      </w:r>
      <w:r w:rsidRPr="00CE622E">
        <w:t>∞</w:t>
      </w:r>
      <w:r>
        <w:t xml:space="preserve"> as parameter values in Table 1.</w:t>
      </w:r>
    </w:p>
    <w:p w14:paraId="00D24C9A" w14:textId="14E4D6CC" w:rsidR="00B13D7A" w:rsidRPr="00B13D7A" w:rsidRDefault="00B13D7A" w:rsidP="00B13D7A">
      <w:pPr>
        <w:pStyle w:val="a3"/>
        <w:keepNext/>
        <w:rPr>
          <w:sz w:val="20"/>
        </w:rPr>
      </w:pPr>
      <w:r w:rsidRPr="00B13D7A">
        <w:rPr>
          <w:sz w:val="20"/>
        </w:rPr>
        <w:lastRenderedPageBreak/>
        <w:t xml:space="preserve">Table </w:t>
      </w:r>
      <w:r w:rsidRPr="00B13D7A">
        <w:rPr>
          <w:sz w:val="20"/>
        </w:rPr>
        <w:fldChar w:fldCharType="begin"/>
      </w:r>
      <w:r w:rsidRPr="00B13D7A">
        <w:rPr>
          <w:sz w:val="20"/>
        </w:rPr>
        <w:instrText xml:space="preserve"> SEQ Table \* ARABIC </w:instrText>
      </w:r>
      <w:r w:rsidRPr="00B13D7A">
        <w:rPr>
          <w:sz w:val="20"/>
        </w:rPr>
        <w:fldChar w:fldCharType="separate"/>
      </w:r>
      <w:r w:rsidRPr="00B13D7A">
        <w:rPr>
          <w:noProof/>
          <w:sz w:val="20"/>
        </w:rPr>
        <w:t>1</w:t>
      </w:r>
      <w:r w:rsidRPr="00B13D7A">
        <w:rPr>
          <w:sz w:val="20"/>
        </w:rPr>
        <w:fldChar w:fldCharType="end"/>
      </w:r>
      <w:r w:rsidRPr="00B13D7A">
        <w:rPr>
          <w:sz w:val="20"/>
        </w:rPr>
        <w:t>. Parameters</w:t>
      </w:r>
      <w:r>
        <w:rPr>
          <w:sz w:val="20"/>
        </w:rPr>
        <w:t xml:space="preserve"> for case study</w:t>
      </w:r>
    </w:p>
    <w:tbl>
      <w:tblPr>
        <w:tblW w:w="3969" w:type="dxa"/>
        <w:tblLayout w:type="fixed"/>
        <w:tblLook w:val="0000" w:firstRow="0" w:lastRow="0" w:firstColumn="0" w:lastColumn="0" w:noHBand="0" w:noVBand="0"/>
      </w:tblPr>
      <w:tblGrid>
        <w:gridCol w:w="793"/>
        <w:gridCol w:w="794"/>
        <w:gridCol w:w="794"/>
        <w:gridCol w:w="794"/>
        <w:gridCol w:w="794"/>
      </w:tblGrid>
      <w:tr w:rsidR="00B13D7A" w:rsidRPr="00B13D7A" w14:paraId="43B717EA" w14:textId="77777777" w:rsidTr="00B13D7A">
        <w:trPr>
          <w:cantSplit/>
          <w:trHeight w:val="258"/>
        </w:trPr>
        <w:tc>
          <w:tcPr>
            <w:tcW w:w="793" w:type="dxa"/>
            <w:tcBorders>
              <w:top w:val="single" w:sz="4" w:space="0" w:color="auto"/>
            </w:tcBorders>
          </w:tcPr>
          <w:p w14:paraId="72A40944" w14:textId="77777777" w:rsidR="00B13D7A" w:rsidRPr="00B13D7A" w:rsidRDefault="00B13D7A" w:rsidP="00B13D7A">
            <w:pPr>
              <w:pStyle w:val="Table-Leftmostcolumnheader"/>
              <w:jc w:val="center"/>
              <w:rPr>
                <w:sz w:val="20"/>
                <w:szCs w:val="20"/>
              </w:rPr>
            </w:pPr>
            <w:r w:rsidRPr="00B13D7A">
              <w:rPr>
                <w:sz w:val="20"/>
                <w:szCs w:val="20"/>
              </w:rPr>
              <w:t>Case</w:t>
            </w:r>
          </w:p>
        </w:tc>
        <w:tc>
          <w:tcPr>
            <w:tcW w:w="794" w:type="dxa"/>
            <w:tcBorders>
              <w:top w:val="single" w:sz="4" w:space="0" w:color="auto"/>
            </w:tcBorders>
          </w:tcPr>
          <w:p w14:paraId="1A0464F9" w14:textId="77777777" w:rsidR="00B13D7A" w:rsidRPr="00B13D7A" w:rsidRDefault="00001878" w:rsidP="00B13D7A">
            <w:pPr>
              <w:pStyle w:val="Table-Columnheader"/>
              <w:rPr>
                <w:sz w:val="20"/>
                <w:szCs w:val="20"/>
              </w:rPr>
            </w:pPr>
            <m:oMathPara>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x</m:t>
                    </m:r>
                  </m:sub>
                </m:sSub>
              </m:oMath>
            </m:oMathPara>
          </w:p>
        </w:tc>
        <w:tc>
          <w:tcPr>
            <w:tcW w:w="794" w:type="dxa"/>
            <w:tcBorders>
              <w:top w:val="single" w:sz="4" w:space="0" w:color="auto"/>
            </w:tcBorders>
          </w:tcPr>
          <w:p w14:paraId="35A27442" w14:textId="77777777" w:rsidR="00B13D7A" w:rsidRPr="00B13D7A" w:rsidRDefault="00001878" w:rsidP="00B13D7A">
            <w:pPr>
              <w:pStyle w:val="Table-Columnheader"/>
              <w:rPr>
                <w:rFonts w:eastAsiaTheme="minorEastAsia"/>
                <w:sz w:val="20"/>
                <w:szCs w:val="20"/>
                <w:lang w:eastAsia="ko-KR"/>
              </w:rPr>
            </w:pPr>
            <m:oMathPara>
              <m:oMath>
                <m:sSub>
                  <m:sSubPr>
                    <m:ctrlPr>
                      <w:rPr>
                        <w:rFonts w:ascii="Cambria Math" w:eastAsiaTheme="minorEastAsia" w:hAnsi="Cambria Math"/>
                        <w:i/>
                        <w:sz w:val="20"/>
                        <w:szCs w:val="20"/>
                        <w:lang w:eastAsia="ko-KR"/>
                      </w:rPr>
                    </m:ctrlPr>
                  </m:sSubPr>
                  <m:e>
                    <m:r>
                      <w:rPr>
                        <w:rFonts w:ascii="Cambria Math" w:eastAsiaTheme="minorEastAsia" w:hAnsi="Cambria Math"/>
                        <w:sz w:val="20"/>
                        <w:szCs w:val="20"/>
                        <w:lang w:eastAsia="ko-KR"/>
                      </w:rPr>
                      <m:t>r</m:t>
                    </m:r>
                  </m:e>
                  <m:sub>
                    <m:r>
                      <w:rPr>
                        <w:rFonts w:ascii="Cambria Math" w:eastAsiaTheme="minorEastAsia" w:hAnsi="Cambria Math"/>
                        <w:sz w:val="20"/>
                        <w:szCs w:val="20"/>
                        <w:lang w:eastAsia="ko-KR"/>
                      </w:rPr>
                      <m:t>q</m:t>
                    </m:r>
                  </m:sub>
                </m:sSub>
              </m:oMath>
            </m:oMathPara>
          </w:p>
        </w:tc>
        <w:tc>
          <w:tcPr>
            <w:tcW w:w="794" w:type="dxa"/>
            <w:tcBorders>
              <w:top w:val="single" w:sz="4" w:space="0" w:color="auto"/>
            </w:tcBorders>
          </w:tcPr>
          <w:p w14:paraId="3452CC9D" w14:textId="77777777" w:rsidR="00B13D7A" w:rsidRPr="00B13D7A" w:rsidRDefault="00001878" w:rsidP="00B13D7A">
            <w:pPr>
              <w:pStyle w:val="Table-Columnheader"/>
              <w:rPr>
                <w:sz w:val="20"/>
                <w:szCs w:val="20"/>
              </w:rPr>
            </w:pPr>
            <m:oMathPara>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s</m:t>
                    </m:r>
                  </m:sub>
                </m:sSub>
              </m:oMath>
            </m:oMathPara>
          </w:p>
        </w:tc>
        <w:tc>
          <w:tcPr>
            <w:tcW w:w="794" w:type="dxa"/>
            <w:tcBorders>
              <w:top w:val="single" w:sz="4" w:space="0" w:color="auto"/>
            </w:tcBorders>
          </w:tcPr>
          <w:p w14:paraId="67806532" w14:textId="4D3902FB" w:rsidR="00B13D7A" w:rsidRPr="00B13D7A" w:rsidRDefault="00001878" w:rsidP="00B13D7A">
            <w:pPr>
              <w:pStyle w:val="Table-Columnheader"/>
              <w:rPr>
                <w:rFonts w:eastAsia="Yu Mincho"/>
                <w:sz w:val="20"/>
                <w:szCs w:val="20"/>
              </w:rPr>
            </w:pPr>
            <m:oMathPara>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h</m:t>
                    </m:r>
                  </m:sub>
                </m:sSub>
              </m:oMath>
            </m:oMathPara>
          </w:p>
        </w:tc>
      </w:tr>
      <w:tr w:rsidR="00B13D7A" w:rsidRPr="00B13D7A" w14:paraId="26AA1828" w14:textId="77777777" w:rsidTr="00B13D7A">
        <w:trPr>
          <w:cantSplit/>
          <w:trHeight w:val="258"/>
        </w:trPr>
        <w:tc>
          <w:tcPr>
            <w:tcW w:w="793" w:type="dxa"/>
            <w:tcBorders>
              <w:top w:val="single" w:sz="4" w:space="0" w:color="auto"/>
            </w:tcBorders>
          </w:tcPr>
          <w:p w14:paraId="621D434C" w14:textId="77777777" w:rsidR="00B13D7A" w:rsidRPr="00B13D7A" w:rsidRDefault="00B13D7A" w:rsidP="00B13D7A">
            <w:pPr>
              <w:pStyle w:val="Table-Leftmostcontent"/>
              <w:jc w:val="center"/>
              <w:rPr>
                <w:sz w:val="20"/>
                <w:lang w:eastAsia="ko-KR"/>
              </w:rPr>
            </w:pPr>
            <w:r w:rsidRPr="00B13D7A">
              <w:rPr>
                <w:sz w:val="20"/>
              </w:rPr>
              <w:t>1</w:t>
            </w:r>
          </w:p>
        </w:tc>
        <w:tc>
          <w:tcPr>
            <w:tcW w:w="794" w:type="dxa"/>
            <w:tcBorders>
              <w:top w:val="single" w:sz="4" w:space="0" w:color="auto"/>
            </w:tcBorders>
          </w:tcPr>
          <w:p w14:paraId="17ABABE7" w14:textId="77777777" w:rsidR="00B13D7A" w:rsidRPr="00B13D7A" w:rsidRDefault="00B13D7A" w:rsidP="00B13D7A">
            <w:pPr>
              <w:pStyle w:val="Table-Content"/>
              <w:rPr>
                <w:sz w:val="20"/>
                <w:szCs w:val="20"/>
              </w:rPr>
            </w:pPr>
            <w:r w:rsidRPr="00B13D7A">
              <w:rPr>
                <w:sz w:val="20"/>
                <w:szCs w:val="20"/>
                <w:lang w:eastAsia="zh-TW"/>
              </w:rPr>
              <w:t>0.93</w:t>
            </w:r>
          </w:p>
        </w:tc>
        <w:tc>
          <w:tcPr>
            <w:tcW w:w="794" w:type="dxa"/>
            <w:tcBorders>
              <w:top w:val="single" w:sz="4" w:space="0" w:color="auto"/>
            </w:tcBorders>
          </w:tcPr>
          <w:p w14:paraId="2FEE88F9"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.90</w:t>
            </w:r>
          </w:p>
        </w:tc>
        <w:tc>
          <w:tcPr>
            <w:tcW w:w="794" w:type="dxa"/>
            <w:tcBorders>
              <w:top w:val="single" w:sz="4" w:space="0" w:color="auto"/>
            </w:tcBorders>
          </w:tcPr>
          <w:p w14:paraId="6D0979F1"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p>
        </w:tc>
        <w:tc>
          <w:tcPr>
            <w:tcW w:w="794" w:type="dxa"/>
            <w:tcBorders>
              <w:top w:val="single" w:sz="4" w:space="0" w:color="auto"/>
            </w:tcBorders>
          </w:tcPr>
          <w:p w14:paraId="1F980950" w14:textId="77777777" w:rsidR="00B13D7A" w:rsidRPr="00B13D7A" w:rsidRDefault="00B13D7A" w:rsidP="00B13D7A">
            <w:pPr>
              <w:pStyle w:val="Table-Content"/>
              <w:rPr>
                <w:sz w:val="20"/>
                <w:szCs w:val="20"/>
              </w:rPr>
            </w:pPr>
            <w:r w:rsidRPr="00B13D7A">
              <w:rPr>
                <w:sz w:val="20"/>
                <w:szCs w:val="20"/>
              </w:rPr>
              <w:t>∞</w:t>
            </w:r>
          </w:p>
        </w:tc>
      </w:tr>
      <w:tr w:rsidR="00B13D7A" w:rsidRPr="00B13D7A" w14:paraId="3210EA15" w14:textId="77777777" w:rsidTr="00B13D7A">
        <w:trPr>
          <w:cantSplit/>
          <w:trHeight w:val="258"/>
        </w:trPr>
        <w:tc>
          <w:tcPr>
            <w:tcW w:w="793" w:type="dxa"/>
          </w:tcPr>
          <w:p w14:paraId="666D850E" w14:textId="77777777" w:rsidR="00B13D7A" w:rsidRPr="00B13D7A" w:rsidRDefault="00B13D7A" w:rsidP="00B13D7A">
            <w:pPr>
              <w:pStyle w:val="Table-Leftmostcontent"/>
              <w:jc w:val="center"/>
              <w:rPr>
                <w:sz w:val="20"/>
                <w:lang w:eastAsia="zh-TW"/>
              </w:rPr>
            </w:pPr>
            <w:r w:rsidRPr="00B13D7A">
              <w:rPr>
                <w:sz w:val="20"/>
              </w:rPr>
              <w:t>2</w:t>
            </w:r>
          </w:p>
        </w:tc>
        <w:tc>
          <w:tcPr>
            <w:tcW w:w="794" w:type="dxa"/>
          </w:tcPr>
          <w:p w14:paraId="129651B7" w14:textId="77777777" w:rsidR="00B13D7A" w:rsidRPr="00B13D7A" w:rsidRDefault="00B13D7A" w:rsidP="00B13D7A">
            <w:pPr>
              <w:pStyle w:val="Table-Content"/>
              <w:rPr>
                <w:sz w:val="20"/>
                <w:szCs w:val="20"/>
                <w:lang w:eastAsia="zh-TW"/>
              </w:rPr>
            </w:pPr>
            <w:r w:rsidRPr="00B13D7A">
              <w:rPr>
                <w:sz w:val="20"/>
                <w:szCs w:val="20"/>
              </w:rPr>
              <w:t>0.93</w:t>
            </w:r>
          </w:p>
        </w:tc>
        <w:tc>
          <w:tcPr>
            <w:tcW w:w="794" w:type="dxa"/>
          </w:tcPr>
          <w:p w14:paraId="2BC994FA" w14:textId="77777777" w:rsidR="00B13D7A" w:rsidRPr="00B13D7A" w:rsidRDefault="00B13D7A" w:rsidP="00B13D7A">
            <w:pPr>
              <w:pStyle w:val="Table-Content"/>
              <w:rPr>
                <w:rFonts w:eastAsiaTheme="minorEastAsia"/>
                <w:sz w:val="20"/>
                <w:szCs w:val="20"/>
                <w:lang w:eastAsia="ko-KR"/>
              </w:rPr>
            </w:pPr>
            <w:r w:rsidRPr="00B13D7A">
              <w:rPr>
                <w:rFonts w:eastAsiaTheme="minorEastAsia"/>
                <w:sz w:val="20"/>
                <w:szCs w:val="20"/>
                <w:lang w:eastAsia="ko-KR"/>
              </w:rPr>
              <w:t>1</w:t>
            </w:r>
          </w:p>
        </w:tc>
        <w:tc>
          <w:tcPr>
            <w:tcW w:w="794" w:type="dxa"/>
          </w:tcPr>
          <w:p w14:paraId="6F64F6D6"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.10</w:t>
            </w:r>
          </w:p>
        </w:tc>
        <w:tc>
          <w:tcPr>
            <w:tcW w:w="794" w:type="dxa"/>
          </w:tcPr>
          <w:p w14:paraId="0F5E5C8B" w14:textId="77777777" w:rsidR="00B13D7A" w:rsidRPr="00B13D7A" w:rsidRDefault="00B13D7A" w:rsidP="00B13D7A">
            <w:pPr>
              <w:pStyle w:val="Table-Content"/>
              <w:rPr>
                <w:sz w:val="20"/>
                <w:szCs w:val="20"/>
              </w:rPr>
            </w:pPr>
            <w:r w:rsidRPr="00B13D7A">
              <w:rPr>
                <w:sz w:val="20"/>
                <w:szCs w:val="20"/>
              </w:rPr>
              <w:t>∞</w:t>
            </w:r>
          </w:p>
        </w:tc>
      </w:tr>
      <w:tr w:rsidR="00B13D7A" w:rsidRPr="00B13D7A" w14:paraId="0B5F172D" w14:textId="77777777" w:rsidTr="00B13D7A">
        <w:trPr>
          <w:cantSplit/>
          <w:trHeight w:val="258"/>
        </w:trPr>
        <w:tc>
          <w:tcPr>
            <w:tcW w:w="793" w:type="dxa"/>
          </w:tcPr>
          <w:p w14:paraId="4DF0FA33" w14:textId="77777777" w:rsidR="00B13D7A" w:rsidRPr="00B13D7A" w:rsidRDefault="00B13D7A" w:rsidP="00B13D7A">
            <w:pPr>
              <w:pStyle w:val="Table-Leftmostcontent"/>
              <w:jc w:val="center"/>
              <w:rPr>
                <w:rFonts w:eastAsiaTheme="minorEastAsia"/>
                <w:sz w:val="20"/>
                <w:lang w:eastAsia="ko-KR"/>
              </w:rPr>
            </w:pPr>
            <w:r w:rsidRPr="00B13D7A">
              <w:rPr>
                <w:rFonts w:eastAsiaTheme="minorEastAsia" w:hint="eastAsia"/>
                <w:sz w:val="20"/>
                <w:lang w:eastAsia="ko-KR"/>
              </w:rPr>
              <w:t>3</w:t>
            </w:r>
          </w:p>
        </w:tc>
        <w:tc>
          <w:tcPr>
            <w:tcW w:w="794" w:type="dxa"/>
          </w:tcPr>
          <w:p w14:paraId="30BB56D0"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.93</w:t>
            </w:r>
          </w:p>
        </w:tc>
        <w:tc>
          <w:tcPr>
            <w:tcW w:w="794" w:type="dxa"/>
          </w:tcPr>
          <w:p w14:paraId="1DFE2CB3"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.95</w:t>
            </w:r>
          </w:p>
        </w:tc>
        <w:tc>
          <w:tcPr>
            <w:tcW w:w="794" w:type="dxa"/>
          </w:tcPr>
          <w:p w14:paraId="3B059F47"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.05</w:t>
            </w:r>
          </w:p>
        </w:tc>
        <w:tc>
          <w:tcPr>
            <w:tcW w:w="794" w:type="dxa"/>
          </w:tcPr>
          <w:p w14:paraId="61BC2EDF" w14:textId="77777777" w:rsidR="00B13D7A" w:rsidRPr="00B13D7A" w:rsidRDefault="00B13D7A" w:rsidP="00B13D7A">
            <w:pPr>
              <w:pStyle w:val="Table-Content"/>
              <w:rPr>
                <w:rFonts w:eastAsia="맑은 고딕"/>
                <w:sz w:val="20"/>
                <w:szCs w:val="20"/>
              </w:rPr>
            </w:pPr>
            <w:r w:rsidRPr="00B13D7A">
              <w:rPr>
                <w:sz w:val="20"/>
                <w:szCs w:val="20"/>
              </w:rPr>
              <w:t>∞</w:t>
            </w:r>
          </w:p>
        </w:tc>
      </w:tr>
      <w:tr w:rsidR="00B13D7A" w:rsidRPr="00B13D7A" w14:paraId="3BD061EC" w14:textId="77777777" w:rsidTr="00B13D7A">
        <w:trPr>
          <w:cantSplit/>
          <w:trHeight w:val="258"/>
        </w:trPr>
        <w:tc>
          <w:tcPr>
            <w:tcW w:w="793" w:type="dxa"/>
          </w:tcPr>
          <w:p w14:paraId="5A08DDFB" w14:textId="77777777" w:rsidR="00B13D7A" w:rsidRPr="00B13D7A" w:rsidRDefault="00B13D7A" w:rsidP="00B13D7A">
            <w:pPr>
              <w:pStyle w:val="Table-Leftmostcontent"/>
              <w:jc w:val="center"/>
              <w:rPr>
                <w:rFonts w:eastAsiaTheme="minorEastAsia"/>
                <w:sz w:val="20"/>
                <w:lang w:eastAsia="ko-KR"/>
              </w:rPr>
            </w:pPr>
            <w:r w:rsidRPr="00B13D7A">
              <w:rPr>
                <w:rFonts w:eastAsiaTheme="minorEastAsia" w:hint="eastAsia"/>
                <w:sz w:val="20"/>
                <w:lang w:eastAsia="ko-KR"/>
              </w:rPr>
              <w:t>4</w:t>
            </w:r>
          </w:p>
        </w:tc>
        <w:tc>
          <w:tcPr>
            <w:tcW w:w="794" w:type="dxa"/>
          </w:tcPr>
          <w:p w14:paraId="2138CEB6"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.93</w:t>
            </w:r>
          </w:p>
        </w:tc>
        <w:tc>
          <w:tcPr>
            <w:tcW w:w="794" w:type="dxa"/>
          </w:tcPr>
          <w:p w14:paraId="1B5EDE82"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.95</w:t>
            </w:r>
          </w:p>
        </w:tc>
        <w:tc>
          <w:tcPr>
            <w:tcW w:w="794" w:type="dxa"/>
          </w:tcPr>
          <w:p w14:paraId="218AD228"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.05</w:t>
            </w:r>
          </w:p>
        </w:tc>
        <w:tc>
          <w:tcPr>
            <w:tcW w:w="794" w:type="dxa"/>
          </w:tcPr>
          <w:p w14:paraId="65AD1375" w14:textId="77777777" w:rsidR="00B13D7A" w:rsidRPr="00B13D7A" w:rsidRDefault="00001878" w:rsidP="00B13D7A">
            <w:pPr>
              <w:pStyle w:val="Table-Content"/>
              <w:rPr>
                <w:rFonts w:eastAsia="맑은 고딕"/>
                <w:sz w:val="20"/>
                <w:szCs w:val="20"/>
              </w:rPr>
            </w:pPr>
            <m:oMathPara>
              <m:oMath>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i</m:t>
                    </m:r>
                  </m:sub>
                </m:sSub>
              </m:oMath>
            </m:oMathPara>
          </w:p>
        </w:tc>
      </w:tr>
      <w:tr w:rsidR="00B13D7A" w:rsidRPr="00B13D7A" w14:paraId="2C0FE481" w14:textId="77777777" w:rsidTr="00B13D7A">
        <w:trPr>
          <w:cantSplit/>
          <w:trHeight w:val="258"/>
        </w:trPr>
        <w:tc>
          <w:tcPr>
            <w:tcW w:w="793" w:type="dxa"/>
            <w:tcBorders>
              <w:bottom w:val="single" w:sz="4" w:space="0" w:color="auto"/>
            </w:tcBorders>
          </w:tcPr>
          <w:p w14:paraId="44495C39" w14:textId="77777777" w:rsidR="00B13D7A" w:rsidRPr="00B13D7A" w:rsidRDefault="00B13D7A" w:rsidP="00B13D7A">
            <w:pPr>
              <w:pStyle w:val="Table-Leftmostcontent"/>
              <w:jc w:val="center"/>
              <w:rPr>
                <w:sz w:val="20"/>
                <w:lang w:eastAsia="ko-KR"/>
              </w:rPr>
            </w:pPr>
            <w:r w:rsidRPr="00B13D7A">
              <w:rPr>
                <w:sz w:val="20"/>
              </w:rPr>
              <w:t>5</w:t>
            </w:r>
          </w:p>
        </w:tc>
        <w:tc>
          <w:tcPr>
            <w:tcW w:w="794" w:type="dxa"/>
            <w:tcBorders>
              <w:bottom w:val="single" w:sz="4" w:space="0" w:color="auto"/>
            </w:tcBorders>
          </w:tcPr>
          <w:p w14:paraId="4D63C71B"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.93</w:t>
            </w:r>
          </w:p>
        </w:tc>
        <w:tc>
          <w:tcPr>
            <w:tcW w:w="794" w:type="dxa"/>
            <w:tcBorders>
              <w:bottom w:val="single" w:sz="4" w:space="0" w:color="auto"/>
            </w:tcBorders>
          </w:tcPr>
          <w:p w14:paraId="07DA2CD4"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r w:rsidRPr="00B13D7A">
              <w:rPr>
                <w:rFonts w:eastAsiaTheme="minorEastAsia"/>
                <w:sz w:val="20"/>
                <w:szCs w:val="20"/>
                <w:lang w:eastAsia="ko-KR"/>
              </w:rPr>
              <w:t>.95</w:t>
            </w:r>
          </w:p>
        </w:tc>
        <w:tc>
          <w:tcPr>
            <w:tcW w:w="794" w:type="dxa"/>
            <w:tcBorders>
              <w:bottom w:val="single" w:sz="4" w:space="0" w:color="auto"/>
            </w:tcBorders>
          </w:tcPr>
          <w:p w14:paraId="57F68892" w14:textId="77777777" w:rsidR="00B13D7A" w:rsidRPr="00B13D7A" w:rsidRDefault="00B13D7A" w:rsidP="00B13D7A">
            <w:pPr>
              <w:pStyle w:val="Table-Content"/>
              <w:rPr>
                <w:rFonts w:eastAsiaTheme="minorEastAsia"/>
                <w:sz w:val="20"/>
                <w:szCs w:val="20"/>
                <w:lang w:eastAsia="ko-KR"/>
              </w:rPr>
            </w:pPr>
            <w:r w:rsidRPr="00B13D7A">
              <w:rPr>
                <w:rFonts w:eastAsiaTheme="minorEastAsia"/>
                <w:sz w:val="20"/>
                <w:szCs w:val="20"/>
                <w:lang w:eastAsia="ko-KR"/>
              </w:rPr>
              <w:t>0.05</w:t>
            </w:r>
          </w:p>
        </w:tc>
        <w:tc>
          <w:tcPr>
            <w:tcW w:w="794" w:type="dxa"/>
            <w:tcBorders>
              <w:bottom w:val="single" w:sz="4" w:space="0" w:color="auto"/>
            </w:tcBorders>
          </w:tcPr>
          <w:p w14:paraId="27E234CA" w14:textId="77777777" w:rsidR="00B13D7A" w:rsidRPr="00B13D7A" w:rsidRDefault="00B13D7A" w:rsidP="00B13D7A">
            <w:pPr>
              <w:pStyle w:val="Table-Content"/>
              <w:rPr>
                <w:rFonts w:eastAsiaTheme="minorEastAsia"/>
                <w:sz w:val="20"/>
                <w:szCs w:val="20"/>
                <w:lang w:eastAsia="ko-KR"/>
              </w:rPr>
            </w:pPr>
            <w:r w:rsidRPr="00B13D7A">
              <w:rPr>
                <w:rFonts w:eastAsiaTheme="minorEastAsia" w:hint="eastAsia"/>
                <w:sz w:val="20"/>
                <w:szCs w:val="20"/>
                <w:lang w:eastAsia="ko-KR"/>
              </w:rPr>
              <w:t>0</w:t>
            </w:r>
          </w:p>
        </w:tc>
      </w:tr>
    </w:tbl>
    <w:p w14:paraId="7F2BA288" w14:textId="77777777" w:rsidR="00B13D7A" w:rsidRDefault="00B13D7A" w:rsidP="007C0CD8">
      <w:pPr>
        <w:pStyle w:val="Els-body-text"/>
        <w:rPr>
          <w:lang w:val="en-GB"/>
        </w:rPr>
      </w:pPr>
    </w:p>
    <w:p w14:paraId="144DE6B9" w14:textId="1FA66BCB" w:rsidR="008D2649" w:rsidRDefault="00B13D7A" w:rsidP="008D2649">
      <w:pPr>
        <w:pStyle w:val="Els-body-text"/>
        <w:spacing w:after="120"/>
        <w:rPr>
          <w:lang w:val="en-GB"/>
        </w:rPr>
      </w:pPr>
      <w:r>
        <w:t>The results of simulation are shown in Fig</w:t>
      </w:r>
      <w:r w:rsidR="00C45603">
        <w:t>s</w:t>
      </w:r>
      <w:r>
        <w:t>. 2</w:t>
      </w:r>
      <w:r w:rsidR="00C45603">
        <w:t xml:space="preserve"> and 3</w:t>
      </w:r>
      <w:r>
        <w:t xml:space="preserve">. Case 1 indicates that excessive allowance causes decrease in the </w:t>
      </w:r>
      <w:r w:rsidR="000A1EDE">
        <w:t xml:space="preserve">carbon </w:t>
      </w:r>
      <w:r>
        <w:t>price</w:t>
      </w:r>
      <w:r w:rsidR="004C0405">
        <w:t>, and ends up failing to achieve target reduction of emissions</w:t>
      </w:r>
      <w:r>
        <w:t xml:space="preserve">. Case 2 indicates that deficient reduction causes rapid increase in the </w:t>
      </w:r>
      <w:r w:rsidR="000A1EDE">
        <w:t xml:space="preserve">carbon </w:t>
      </w:r>
      <w:r>
        <w:t xml:space="preserve">price. Cases 1–3 indicate that if carryover is unlimited, net emissions </w:t>
      </w:r>
      <w:r w:rsidR="000A1EDE">
        <w:t>may</w:t>
      </w:r>
      <w:r>
        <w:t xml:space="preserve"> suddenly increase at last. Case 4 shows the best performance, which suggests that it is necessary to properly limit carryover</w:t>
      </w:r>
      <w:r w:rsidR="007421BA">
        <w:t>s</w:t>
      </w:r>
      <w:r>
        <w:t xml:space="preserve"> in order to ultimately minimize net emissions</w:t>
      </w:r>
      <w:r>
        <w:rPr>
          <w:rFonts w:hint="eastAsia"/>
        </w:rPr>
        <w:t>.</w:t>
      </w:r>
      <w:r>
        <w:t xml:space="preserve"> Case 5 indicates that it is not desirable to completely prohibit carryover</w:t>
      </w:r>
      <w:r w:rsidR="007C0CD8">
        <w:t>s</w:t>
      </w:r>
      <w:r>
        <w:t>.</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E" w14:textId="2298B0BE" w:rsidR="008D2649" w:rsidRDefault="00B13D7A" w:rsidP="007C0CD8">
      <w:pPr>
        <w:pStyle w:val="Els-body-text"/>
        <w:rPr>
          <w:lang w:val="en-GB"/>
        </w:rPr>
      </w:pPr>
      <w:r>
        <w:t>Case study indicates that the effectiveness of ETS depends on governmental policies and industrial capabilities</w:t>
      </w:r>
      <w:r>
        <w:rPr>
          <w:rFonts w:hint="eastAsia"/>
        </w:rPr>
        <w:t>.</w:t>
      </w:r>
      <w:r>
        <w:t xml:space="preserve"> Excessive allowances would worsen the carbon cycle, and deficient allowances would threaten the industrial economy. Unlimited carryovers would endanger carbon neutrality, and extreme limitation might delay its achievement. These issues also need optimization, and extension of the proposed method is suggested as future work</w:t>
      </w:r>
      <w:r w:rsidR="008D2649">
        <w:rPr>
          <w:lang w:val="en-GB"/>
        </w:rPr>
        <w:t>.</w:t>
      </w:r>
    </w:p>
    <w:p w14:paraId="28BD77C0" w14:textId="77777777" w:rsidR="00053DFF" w:rsidRDefault="00053DFF" w:rsidP="00053DFF">
      <w:pPr>
        <w:pStyle w:val="Els-body-text"/>
        <w:keepNext/>
        <w:spacing w:after="120"/>
      </w:pPr>
      <w:r>
        <w:rPr>
          <w:noProof/>
        </w:rPr>
        <w:drawing>
          <wp:inline distT="0" distB="0" distL="0" distR="0" wp14:anchorId="4B23BF6D" wp14:editId="35739F2D">
            <wp:extent cx="4499610" cy="337439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3374390"/>
                    </a:xfrm>
                    <a:prstGeom prst="rect">
                      <a:avLst/>
                    </a:prstGeom>
                  </pic:spPr>
                </pic:pic>
              </a:graphicData>
            </a:graphic>
          </wp:inline>
        </w:drawing>
      </w:r>
    </w:p>
    <w:p w14:paraId="07A7CB02" w14:textId="4ED022EB" w:rsidR="00053DFF" w:rsidRPr="00596B1B" w:rsidRDefault="00053DFF" w:rsidP="00053DFF">
      <w:pPr>
        <w:pStyle w:val="a3"/>
        <w:jc w:val="both"/>
        <w:rPr>
          <w:sz w:val="20"/>
          <w:lang w:val="en-GB"/>
        </w:rPr>
      </w:pPr>
      <w:r w:rsidRPr="00596B1B">
        <w:rPr>
          <w:sz w:val="20"/>
        </w:rPr>
        <w:t xml:space="preserve">Figure </w:t>
      </w:r>
      <w:r w:rsidRPr="00596B1B">
        <w:rPr>
          <w:sz w:val="20"/>
        </w:rPr>
        <w:fldChar w:fldCharType="begin"/>
      </w:r>
      <w:r w:rsidRPr="00596B1B">
        <w:rPr>
          <w:sz w:val="20"/>
        </w:rPr>
        <w:instrText xml:space="preserve"> SEQ Figure \* ARABIC </w:instrText>
      </w:r>
      <w:r w:rsidRPr="00596B1B">
        <w:rPr>
          <w:sz w:val="20"/>
        </w:rPr>
        <w:fldChar w:fldCharType="separate"/>
      </w:r>
      <w:r w:rsidR="000F3AC7">
        <w:rPr>
          <w:noProof/>
          <w:sz w:val="20"/>
        </w:rPr>
        <w:t>2</w:t>
      </w:r>
      <w:r w:rsidRPr="00596B1B">
        <w:rPr>
          <w:sz w:val="20"/>
        </w:rPr>
        <w:fldChar w:fldCharType="end"/>
      </w:r>
      <w:r w:rsidRPr="00596B1B">
        <w:rPr>
          <w:sz w:val="20"/>
        </w:rPr>
        <w:t xml:space="preserve">. </w:t>
      </w:r>
      <w:r>
        <w:rPr>
          <w:sz w:val="20"/>
        </w:rPr>
        <w:t xml:space="preserve">Predicted </w:t>
      </w:r>
      <w:r w:rsidR="000F3AC7">
        <w:rPr>
          <w:sz w:val="20"/>
        </w:rPr>
        <w:t xml:space="preserve">carbon price and net emissions for reduction </w:t>
      </w:r>
      <w:r w:rsidR="00C45603">
        <w:rPr>
          <w:sz w:val="20"/>
        </w:rPr>
        <w:t>and/or</w:t>
      </w:r>
      <w:r w:rsidR="000F3AC7">
        <w:rPr>
          <w:sz w:val="20"/>
        </w:rPr>
        <w:t xml:space="preserve"> offset</w:t>
      </w:r>
      <w:r w:rsidR="00C45603">
        <w:rPr>
          <w:sz w:val="20"/>
        </w:rPr>
        <w:t xml:space="preserve"> cases</w:t>
      </w:r>
      <w:r>
        <w:rPr>
          <w:sz w:val="20"/>
        </w:rPr>
        <w:t>.</w:t>
      </w:r>
    </w:p>
    <w:p w14:paraId="2CD2B508" w14:textId="77777777" w:rsidR="000F3AC7" w:rsidRDefault="000F3AC7" w:rsidP="000F3AC7">
      <w:pPr>
        <w:pStyle w:val="Els-body-text"/>
        <w:keepNext/>
        <w:spacing w:after="120"/>
      </w:pPr>
      <w:r>
        <w:rPr>
          <w:noProof/>
          <w:lang w:val="en-GB"/>
        </w:rPr>
        <w:lastRenderedPageBreak/>
        <w:drawing>
          <wp:inline distT="0" distB="0" distL="0" distR="0" wp14:anchorId="1E5BD29E" wp14:editId="3E9C7D13">
            <wp:extent cx="4499610" cy="33743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9610" cy="3374390"/>
                    </a:xfrm>
                    <a:prstGeom prst="rect">
                      <a:avLst/>
                    </a:prstGeom>
                  </pic:spPr>
                </pic:pic>
              </a:graphicData>
            </a:graphic>
          </wp:inline>
        </w:drawing>
      </w:r>
    </w:p>
    <w:p w14:paraId="56C13A65" w14:textId="1A29A343" w:rsidR="00053DFF" w:rsidRPr="000F3AC7" w:rsidRDefault="000F3AC7" w:rsidP="000F3AC7">
      <w:pPr>
        <w:pStyle w:val="a3"/>
        <w:jc w:val="both"/>
        <w:rPr>
          <w:sz w:val="20"/>
          <w:lang w:val="en-GB"/>
        </w:rPr>
      </w:pPr>
      <w:r w:rsidRPr="000F3AC7">
        <w:rPr>
          <w:sz w:val="20"/>
        </w:rPr>
        <w:t xml:space="preserve">Figure </w:t>
      </w:r>
      <w:r w:rsidRPr="000F3AC7">
        <w:rPr>
          <w:sz w:val="20"/>
        </w:rPr>
        <w:fldChar w:fldCharType="begin"/>
      </w:r>
      <w:r w:rsidRPr="000F3AC7">
        <w:rPr>
          <w:sz w:val="20"/>
        </w:rPr>
        <w:instrText xml:space="preserve"> SEQ Figure \* ARABIC </w:instrText>
      </w:r>
      <w:r w:rsidRPr="000F3AC7">
        <w:rPr>
          <w:sz w:val="20"/>
        </w:rPr>
        <w:fldChar w:fldCharType="separate"/>
      </w:r>
      <w:r w:rsidRPr="000F3AC7">
        <w:rPr>
          <w:noProof/>
          <w:sz w:val="20"/>
        </w:rPr>
        <w:t>3</w:t>
      </w:r>
      <w:r w:rsidRPr="000F3AC7">
        <w:rPr>
          <w:sz w:val="20"/>
        </w:rPr>
        <w:fldChar w:fldCharType="end"/>
      </w:r>
      <w:r w:rsidRPr="000F3AC7">
        <w:rPr>
          <w:sz w:val="20"/>
        </w:rPr>
        <w:t>. Predicted carbon price and net emissions</w:t>
      </w:r>
      <w:r w:rsidR="00C45603">
        <w:rPr>
          <w:sz w:val="20"/>
        </w:rPr>
        <w:t xml:space="preserve"> for different carryover rules</w:t>
      </w:r>
      <w:r w:rsidRPr="000F3AC7">
        <w:rPr>
          <w:sz w:val="20"/>
        </w:rPr>
        <w:t>.</w:t>
      </w:r>
    </w:p>
    <w:p w14:paraId="7E5A96E6" w14:textId="412AFA30" w:rsidR="00E63872" w:rsidRPr="00A94774" w:rsidRDefault="00E63872" w:rsidP="00E63872">
      <w:pPr>
        <w:pStyle w:val="Els-1storder-head"/>
        <w:numPr>
          <w:ilvl w:val="0"/>
          <w:numId w:val="0"/>
        </w:numPr>
        <w:spacing w:after="120"/>
        <w:rPr>
          <w:lang w:val="en-GB"/>
        </w:rPr>
      </w:pPr>
      <w:r>
        <w:rPr>
          <w:lang w:val="en-GB"/>
        </w:rPr>
        <w:t>Acknowledgement</w:t>
      </w:r>
    </w:p>
    <w:p w14:paraId="6021738B" w14:textId="5D86FB65" w:rsidR="00E63872" w:rsidRPr="00A94774" w:rsidRDefault="00E63872" w:rsidP="00E63872">
      <w:pPr>
        <w:pStyle w:val="Els-body-text"/>
        <w:spacing w:after="120"/>
        <w:rPr>
          <w:lang w:val="en-GB"/>
        </w:rPr>
      </w:pPr>
      <w:r w:rsidRPr="00E63872">
        <w:t>This work was supported by National Research Foundation of Korea (NRF) funded by Ministry of Science and ICT (MSIT) (Grant No. 2022R1F1A1062901)</w:t>
      </w:r>
      <w:r>
        <w:t>.</w:t>
      </w:r>
    </w:p>
    <w:p w14:paraId="144DE6BF" w14:textId="608D0AD6" w:rsidR="008D2649" w:rsidRDefault="008D2649" w:rsidP="008D2649">
      <w:pPr>
        <w:pStyle w:val="Els-reference-head"/>
      </w:pPr>
      <w:r>
        <w:t>References</w:t>
      </w:r>
    </w:p>
    <w:p w14:paraId="656F3AE4" w14:textId="0A9A2B48" w:rsidR="009F2291" w:rsidRDefault="009F2291" w:rsidP="008D2649">
      <w:pPr>
        <w:pStyle w:val="Els-referenceno-number"/>
        <w:rPr>
          <w:lang w:val="en-US"/>
        </w:rPr>
      </w:pPr>
      <w:r>
        <w:rPr>
          <w:lang w:val="en-US"/>
        </w:rPr>
        <w:t xml:space="preserve">S. H. </w:t>
      </w:r>
      <w:r w:rsidRPr="009F2291">
        <w:rPr>
          <w:lang w:val="en-US"/>
        </w:rPr>
        <w:t xml:space="preserve">Choi, </w:t>
      </w:r>
      <w:r>
        <w:rPr>
          <w:lang w:val="en-US"/>
        </w:rPr>
        <w:t xml:space="preserve">2023, </w:t>
      </w:r>
      <w:r w:rsidRPr="009F2291">
        <w:rPr>
          <w:lang w:val="en-US"/>
        </w:rPr>
        <w:t>Modeling of carbon offset networks for process systems to achieve net zero emissions</w:t>
      </w:r>
      <w:r w:rsidR="00C94D10">
        <w:rPr>
          <w:lang w:val="en-US"/>
        </w:rPr>
        <w:t>,</w:t>
      </w:r>
      <w:r w:rsidRPr="009F2291">
        <w:rPr>
          <w:lang w:val="en-US"/>
        </w:rPr>
        <w:t xml:space="preserve"> Computer Aided Chemical Engineering, 52</w:t>
      </w:r>
      <w:r>
        <w:rPr>
          <w:lang w:val="en-US"/>
        </w:rPr>
        <w:t xml:space="preserve">, </w:t>
      </w:r>
      <w:r w:rsidRPr="009F2291">
        <w:rPr>
          <w:lang w:val="en-US"/>
        </w:rPr>
        <w:t xml:space="preserve">1083-1088, </w:t>
      </w:r>
      <w:hyperlink r:id="rId11" w:history="1">
        <w:r w:rsidRPr="00AA4908">
          <w:rPr>
            <w:rStyle w:val="a9"/>
            <w:lang w:val="en-US"/>
          </w:rPr>
          <w:t>https://doi.org/10.1016/B978-0-443-15274-0.50173-6</w:t>
        </w:r>
      </w:hyperlink>
      <w:r>
        <w:rPr>
          <w:lang w:val="en-US"/>
        </w:rPr>
        <w:t xml:space="preserve"> </w:t>
      </w:r>
    </w:p>
    <w:p w14:paraId="12442B6E" w14:textId="2C2B2050" w:rsidR="00A81CFC" w:rsidRDefault="00A81CFC" w:rsidP="008D2649">
      <w:pPr>
        <w:pStyle w:val="Els-referenceno-number"/>
        <w:rPr>
          <w:lang w:val="en-US"/>
        </w:rPr>
      </w:pPr>
      <w:r>
        <w:rPr>
          <w:lang w:val="en-US"/>
        </w:rPr>
        <w:t xml:space="preserve">S. H. </w:t>
      </w:r>
      <w:r w:rsidRPr="00A81CFC">
        <w:rPr>
          <w:lang w:val="en-US"/>
        </w:rPr>
        <w:t>Choi</w:t>
      </w:r>
      <w:r w:rsidR="00211467">
        <w:rPr>
          <w:lang w:val="en-US"/>
        </w:rPr>
        <w:t xml:space="preserve"> and</w:t>
      </w:r>
      <w:r w:rsidRPr="00A81CFC">
        <w:rPr>
          <w:lang w:val="en-US"/>
        </w:rPr>
        <w:t xml:space="preserve"> </w:t>
      </w:r>
      <w:r>
        <w:rPr>
          <w:lang w:val="en-US"/>
        </w:rPr>
        <w:t xml:space="preserve">V. I. </w:t>
      </w:r>
      <w:r w:rsidRPr="00A81CFC">
        <w:rPr>
          <w:lang w:val="en-US"/>
        </w:rPr>
        <w:t xml:space="preserve">Manousiouthakis, </w:t>
      </w:r>
      <w:r>
        <w:rPr>
          <w:lang w:val="en-US"/>
        </w:rPr>
        <w:t xml:space="preserve">2022, </w:t>
      </w:r>
      <w:r w:rsidRPr="00A81CFC">
        <w:rPr>
          <w:lang w:val="en-US"/>
        </w:rPr>
        <w:t>Modeling the Carbon Cycle Dynamics and the Greenhouse Effect</w:t>
      </w:r>
      <w:r w:rsidR="00C94D10">
        <w:rPr>
          <w:lang w:val="en-US"/>
        </w:rPr>
        <w:t>,</w:t>
      </w:r>
      <w:r w:rsidRPr="00A81CFC">
        <w:rPr>
          <w:lang w:val="en-US"/>
        </w:rPr>
        <w:t xml:space="preserve"> IFAC-PapersOnLine, 55-7</w:t>
      </w:r>
      <w:r>
        <w:rPr>
          <w:lang w:val="en-US"/>
        </w:rPr>
        <w:t xml:space="preserve">, </w:t>
      </w:r>
      <w:r w:rsidRPr="00A81CFC">
        <w:rPr>
          <w:lang w:val="en-US"/>
        </w:rPr>
        <w:t xml:space="preserve">424-428, </w:t>
      </w:r>
      <w:hyperlink r:id="rId12" w:history="1">
        <w:r w:rsidRPr="00B66C6D">
          <w:rPr>
            <w:rStyle w:val="a9"/>
            <w:lang w:val="en-US"/>
          </w:rPr>
          <w:t>https://doi.org/10.1016/j.ifacol.2022.07.480</w:t>
        </w:r>
      </w:hyperlink>
      <w:r>
        <w:rPr>
          <w:lang w:val="en-US"/>
        </w:rPr>
        <w:t xml:space="preserve"> </w:t>
      </w:r>
    </w:p>
    <w:p w14:paraId="7295F183" w14:textId="524BF020" w:rsidR="00F0045C" w:rsidRDefault="00F0045C" w:rsidP="008D2649">
      <w:pPr>
        <w:pStyle w:val="Els-referenceno-number"/>
        <w:rPr>
          <w:lang w:val="en-US"/>
        </w:rPr>
      </w:pPr>
      <w:r w:rsidRPr="00F0045C">
        <w:rPr>
          <w:lang w:val="en-US"/>
        </w:rPr>
        <w:t>Jennifer L</w:t>
      </w:r>
      <w:r w:rsidR="007F2AF7">
        <w:rPr>
          <w:lang w:val="en-US"/>
        </w:rPr>
        <w:t>, 2023,</w:t>
      </w:r>
      <w:r w:rsidRPr="00F0045C">
        <w:rPr>
          <w:lang w:val="en-US"/>
        </w:rPr>
        <w:t xml:space="preserve"> How Do Carbon Offsetting Projects Work? CarbonCredits.Com, </w:t>
      </w:r>
      <w:hyperlink r:id="rId13" w:history="1">
        <w:r w:rsidR="009F2291" w:rsidRPr="00AA4908">
          <w:rPr>
            <w:rStyle w:val="a9"/>
            <w:lang w:val="en-US"/>
          </w:rPr>
          <w:t>https://carboncredits.com/how-do-carbon-offsetting-projects-work/</w:t>
        </w:r>
      </w:hyperlink>
      <w:r w:rsidR="009F2291">
        <w:rPr>
          <w:lang w:val="en-US"/>
        </w:rPr>
        <w:t xml:space="preserve"> </w:t>
      </w:r>
    </w:p>
    <w:p w14:paraId="4647D17E" w14:textId="69C808AB" w:rsidR="00024D65" w:rsidRDefault="00024D65" w:rsidP="008D2649">
      <w:pPr>
        <w:pStyle w:val="Els-referenceno-number"/>
        <w:rPr>
          <w:lang w:val="en-US"/>
        </w:rPr>
      </w:pPr>
      <w:r>
        <w:rPr>
          <w:lang w:val="en-US"/>
        </w:rPr>
        <w:t>P</w:t>
      </w:r>
      <w:r w:rsidRPr="00024D65">
        <w:rPr>
          <w:lang w:val="en-US"/>
        </w:rPr>
        <w:t>.</w:t>
      </w:r>
      <w:r>
        <w:rPr>
          <w:lang w:val="en-US"/>
        </w:rPr>
        <w:t xml:space="preserve"> </w:t>
      </w:r>
      <w:r w:rsidRPr="00024D65">
        <w:rPr>
          <w:lang w:val="en-US"/>
        </w:rPr>
        <w:t xml:space="preserve">Greenfield, </w:t>
      </w:r>
      <w:r>
        <w:rPr>
          <w:lang w:val="en-US"/>
        </w:rPr>
        <w:t>2023,</w:t>
      </w:r>
      <w:r w:rsidRPr="00024D65">
        <w:rPr>
          <w:lang w:val="en-US"/>
        </w:rPr>
        <w:t xml:space="preserve"> Revealed: more than 90% of rainforest carbon offsets by biggest certifier are worthless, analysis shows</w:t>
      </w:r>
      <w:r w:rsidR="00C94D10">
        <w:rPr>
          <w:lang w:val="en-US"/>
        </w:rPr>
        <w:t>,</w:t>
      </w:r>
      <w:r w:rsidRPr="00024D65">
        <w:rPr>
          <w:lang w:val="en-US"/>
        </w:rPr>
        <w:t xml:space="preserve"> The Guardian, </w:t>
      </w:r>
      <w:hyperlink r:id="rId14" w:history="1">
        <w:r w:rsidR="004016B8" w:rsidRPr="00EA5BAD">
          <w:rPr>
            <w:rStyle w:val="a9"/>
            <w:lang w:val="en-US"/>
          </w:rPr>
          <w:t>https://www.theguardian.com/environment/2023/jan/18/revealed-forest-carbon-offsets-biggest-provider-worthless-verra-aoe</w:t>
        </w:r>
      </w:hyperlink>
      <w:r w:rsidR="004016B8">
        <w:rPr>
          <w:lang w:val="en-US"/>
        </w:rPr>
        <w:t xml:space="preserve"> </w:t>
      </w:r>
    </w:p>
    <w:p w14:paraId="3A0177FD" w14:textId="0C0BAC3F" w:rsidR="006D2FEA" w:rsidRDefault="006D2FEA" w:rsidP="008D2649">
      <w:pPr>
        <w:pStyle w:val="Els-referenceno-number"/>
        <w:rPr>
          <w:lang w:val="en-US"/>
        </w:rPr>
      </w:pPr>
      <w:r>
        <w:rPr>
          <w:lang w:val="en-US"/>
        </w:rPr>
        <w:t xml:space="preserve">S. Frank, 2023, </w:t>
      </w:r>
      <w:r w:rsidRPr="006D2FEA">
        <w:rPr>
          <w:lang w:val="en-US"/>
        </w:rPr>
        <w:t>Does carbon offsetting do more harm than good?</w:t>
      </w:r>
      <w:r>
        <w:rPr>
          <w:lang w:val="en-US"/>
        </w:rPr>
        <w:t xml:space="preserve"> Carbon Market Watch, </w:t>
      </w:r>
      <w:hyperlink r:id="rId15" w:history="1">
        <w:r w:rsidRPr="00EA537D">
          <w:rPr>
            <w:rStyle w:val="a9"/>
            <w:lang w:val="en-US"/>
          </w:rPr>
          <w:t>https://carbonmarketwatch.org/2023/07/06/does-carbon-offsetting-do-more-harm-than-good/</w:t>
        </w:r>
      </w:hyperlink>
      <w:r>
        <w:rPr>
          <w:lang w:val="en-US"/>
        </w:rPr>
        <w:t xml:space="preserve"> </w:t>
      </w:r>
    </w:p>
    <w:p w14:paraId="1DE3BCD7" w14:textId="51014848" w:rsidR="00420859" w:rsidRDefault="00420859" w:rsidP="008D2649">
      <w:pPr>
        <w:pStyle w:val="Els-referenceno-number"/>
        <w:rPr>
          <w:lang w:val="en-US" w:eastAsia="ko-KR"/>
        </w:rPr>
      </w:pPr>
      <w:r>
        <w:rPr>
          <w:rFonts w:hint="eastAsia"/>
          <w:lang w:val="en-US" w:eastAsia="ko-KR"/>
        </w:rPr>
        <w:t>A</w:t>
      </w:r>
      <w:r>
        <w:rPr>
          <w:lang w:val="en-US" w:eastAsia="ko-KR"/>
        </w:rPr>
        <w:t>.</w:t>
      </w:r>
      <w:r w:rsidR="00BD717E">
        <w:rPr>
          <w:lang w:val="en-US" w:eastAsia="ko-KR"/>
        </w:rPr>
        <w:t xml:space="preserve"> </w:t>
      </w:r>
      <w:r>
        <w:rPr>
          <w:lang w:val="en-US" w:eastAsia="ko-KR"/>
        </w:rPr>
        <w:t xml:space="preserve">Gurgel, 2022, Carbon Offsets, MIT Climate Portal, </w:t>
      </w:r>
      <w:hyperlink r:id="rId16" w:history="1">
        <w:r w:rsidRPr="00DB05D7">
          <w:rPr>
            <w:rStyle w:val="a9"/>
            <w:lang w:val="en-US" w:eastAsia="ko-KR"/>
          </w:rPr>
          <w:t>https://climate.mit.edu/explainers/carbon-offsets</w:t>
        </w:r>
      </w:hyperlink>
      <w:r>
        <w:rPr>
          <w:lang w:val="en-US" w:eastAsia="ko-KR"/>
        </w:rPr>
        <w:t xml:space="preserve"> </w:t>
      </w:r>
    </w:p>
    <w:p w14:paraId="400B8580" w14:textId="0B519CCA" w:rsidR="00517C99" w:rsidRDefault="00517C99" w:rsidP="008D2649">
      <w:pPr>
        <w:pStyle w:val="Els-referenceno-number"/>
        <w:rPr>
          <w:lang w:val="en-US" w:eastAsia="ko-KR"/>
        </w:rPr>
      </w:pPr>
      <w:r>
        <w:rPr>
          <w:lang w:val="en-US" w:eastAsia="ko-KR"/>
        </w:rPr>
        <w:t xml:space="preserve">C. </w:t>
      </w:r>
      <w:r w:rsidRPr="00517C99">
        <w:rPr>
          <w:lang w:val="en-US" w:eastAsia="ko-KR"/>
        </w:rPr>
        <w:t xml:space="preserve">Norman, </w:t>
      </w:r>
      <w:r>
        <w:rPr>
          <w:lang w:val="en-US" w:eastAsia="ko-KR"/>
        </w:rPr>
        <w:t>2023</w:t>
      </w:r>
      <w:r w:rsidRPr="00517C99">
        <w:rPr>
          <w:lang w:val="en-US" w:eastAsia="ko-KR"/>
        </w:rPr>
        <w:t>, Kreye, M. How Forests Store Carbon</w:t>
      </w:r>
      <w:r w:rsidR="00C94D10">
        <w:rPr>
          <w:lang w:val="en-US" w:eastAsia="ko-KR"/>
        </w:rPr>
        <w:t>,</w:t>
      </w:r>
      <w:r w:rsidRPr="00517C99">
        <w:rPr>
          <w:lang w:val="en-US" w:eastAsia="ko-KR"/>
        </w:rPr>
        <w:t xml:space="preserve"> Penn State Extension, </w:t>
      </w:r>
      <w:hyperlink r:id="rId17" w:history="1">
        <w:r w:rsidRPr="00EA5BAD">
          <w:rPr>
            <w:rStyle w:val="a9"/>
            <w:lang w:val="en-US" w:eastAsia="ko-KR"/>
          </w:rPr>
          <w:t>https://extension.psu.edu/how-forests-store-carbon</w:t>
        </w:r>
      </w:hyperlink>
      <w:r>
        <w:rPr>
          <w:lang w:val="en-US" w:eastAsia="ko-KR"/>
        </w:rPr>
        <w:t xml:space="preserve"> </w:t>
      </w:r>
    </w:p>
    <w:p w14:paraId="12929729" w14:textId="6104A72A" w:rsidR="00FE55CD" w:rsidRPr="00517C99" w:rsidRDefault="00FE55CD" w:rsidP="008D2649">
      <w:pPr>
        <w:pStyle w:val="Els-referenceno-number"/>
        <w:rPr>
          <w:lang w:val="en-US" w:eastAsia="ko-KR"/>
        </w:rPr>
      </w:pPr>
      <w:r>
        <w:rPr>
          <w:lang w:val="en-US" w:eastAsia="ko-KR"/>
        </w:rPr>
        <w:lastRenderedPageBreak/>
        <w:t xml:space="preserve">O. </w:t>
      </w:r>
      <w:bookmarkStart w:id="3" w:name="_Hlk152162733"/>
      <w:r w:rsidRPr="00FE55CD">
        <w:rPr>
          <w:lang w:val="en-US" w:eastAsia="ko-KR"/>
        </w:rPr>
        <w:t>Shelton-Thomas</w:t>
      </w:r>
      <w:r>
        <w:rPr>
          <w:lang w:val="en-US" w:eastAsia="ko-KR"/>
        </w:rPr>
        <w:t xml:space="preserve"> and M.</w:t>
      </w:r>
      <w:r w:rsidRPr="00FE55CD">
        <w:rPr>
          <w:lang w:val="en-US" w:eastAsia="ko-KR"/>
        </w:rPr>
        <w:t xml:space="preserve"> DiFelice</w:t>
      </w:r>
      <w:bookmarkEnd w:id="3"/>
      <w:r w:rsidRPr="00FE55CD">
        <w:rPr>
          <w:lang w:val="en-US" w:eastAsia="ko-KR"/>
        </w:rPr>
        <w:t xml:space="preserve">, </w:t>
      </w:r>
      <w:r>
        <w:rPr>
          <w:lang w:val="en-US" w:eastAsia="ko-KR"/>
        </w:rPr>
        <w:t>2023,</w:t>
      </w:r>
      <w:r w:rsidRPr="00FE55CD">
        <w:rPr>
          <w:lang w:val="en-US" w:eastAsia="ko-KR"/>
        </w:rPr>
        <w:t xml:space="preserve"> Direct Air Capture: 5 Things You Need to Know About This Climate Scam</w:t>
      </w:r>
      <w:r w:rsidR="00C94D10">
        <w:rPr>
          <w:lang w:val="en-US" w:eastAsia="ko-KR"/>
        </w:rPr>
        <w:t>,</w:t>
      </w:r>
      <w:r w:rsidRPr="00FE55CD">
        <w:rPr>
          <w:lang w:val="en-US" w:eastAsia="ko-KR"/>
        </w:rPr>
        <w:t xml:space="preserve"> Food &amp; Water Watch, </w:t>
      </w:r>
      <w:hyperlink r:id="rId18" w:history="1">
        <w:r w:rsidRPr="00EA5BAD">
          <w:rPr>
            <w:rStyle w:val="a9"/>
            <w:lang w:val="en-US" w:eastAsia="ko-KR"/>
          </w:rPr>
          <w:t>https://www.foodandwaterwatch.org/2023/01/19/direct-air-capture-climate-scam/</w:t>
        </w:r>
      </w:hyperlink>
      <w:r>
        <w:rPr>
          <w:lang w:val="en-US" w:eastAsia="ko-KR"/>
        </w:rPr>
        <w:t xml:space="preserve"> </w:t>
      </w:r>
    </w:p>
    <w:p w14:paraId="12F12454" w14:textId="7D1924E4" w:rsidR="000C555A" w:rsidRDefault="000C555A" w:rsidP="008D2649">
      <w:pPr>
        <w:pStyle w:val="Els-referenceno-number"/>
        <w:rPr>
          <w:lang w:val="en-US" w:eastAsia="ko-KR"/>
        </w:rPr>
      </w:pPr>
      <w:r>
        <w:rPr>
          <w:lang w:val="en-US" w:eastAsia="ko-KR"/>
        </w:rPr>
        <w:t>I.</w:t>
      </w:r>
      <w:r w:rsidR="00024D65">
        <w:rPr>
          <w:lang w:val="en-US" w:eastAsia="ko-KR"/>
        </w:rPr>
        <w:t xml:space="preserve"> </w:t>
      </w:r>
      <w:r w:rsidRPr="000C555A">
        <w:rPr>
          <w:lang w:val="en-US" w:eastAsia="ko-KR"/>
        </w:rPr>
        <w:t xml:space="preserve">Tiseo, </w:t>
      </w:r>
      <w:r>
        <w:rPr>
          <w:lang w:val="en-US" w:eastAsia="ko-KR"/>
        </w:rPr>
        <w:t>2023,</w:t>
      </w:r>
      <w:r w:rsidRPr="000C555A">
        <w:rPr>
          <w:lang w:val="en-US" w:eastAsia="ko-KR"/>
        </w:rPr>
        <w:t xml:space="preserve"> Forecast carbon offset prices 2030-2050, by scenario</w:t>
      </w:r>
      <w:r w:rsidR="00C94D10">
        <w:rPr>
          <w:lang w:val="en-US" w:eastAsia="ko-KR"/>
        </w:rPr>
        <w:t>,</w:t>
      </w:r>
      <w:r w:rsidRPr="000C555A">
        <w:rPr>
          <w:lang w:val="en-US" w:eastAsia="ko-KR"/>
        </w:rPr>
        <w:t xml:space="preserve"> Statista, </w:t>
      </w:r>
      <w:hyperlink r:id="rId19" w:history="1">
        <w:r w:rsidRPr="00EA5BAD">
          <w:rPr>
            <w:rStyle w:val="a9"/>
            <w:lang w:val="en-US" w:eastAsia="ko-KR"/>
          </w:rPr>
          <w:t>https://www.statista.com/statistics/1284060/forecast-carbon-offset-prices-by-scenario/</w:t>
        </w:r>
      </w:hyperlink>
      <w:r>
        <w:rPr>
          <w:lang w:val="en-US" w:eastAsia="ko-KR"/>
        </w:rPr>
        <w:t xml:space="preserve"> </w:t>
      </w:r>
    </w:p>
    <w:p w14:paraId="00B13F5F" w14:textId="1C96CDAD" w:rsidR="00BD717E" w:rsidRPr="000C555A" w:rsidRDefault="00BD717E" w:rsidP="008D2649">
      <w:pPr>
        <w:pStyle w:val="Els-referenceno-number"/>
        <w:rPr>
          <w:lang w:val="en-US" w:eastAsia="ko-KR"/>
        </w:rPr>
      </w:pPr>
      <w:r>
        <w:rPr>
          <w:lang w:val="en-US" w:eastAsia="ko-KR"/>
        </w:rPr>
        <w:t xml:space="preserve">S. </w:t>
      </w:r>
      <w:r w:rsidRPr="00BD717E">
        <w:rPr>
          <w:lang w:val="en-US" w:eastAsia="ko-KR"/>
        </w:rPr>
        <w:t xml:space="preserve">Twidale, </w:t>
      </w:r>
      <w:r w:rsidR="00C621C9">
        <w:rPr>
          <w:lang w:val="en-US" w:eastAsia="ko-KR"/>
        </w:rPr>
        <w:t xml:space="preserve">V. </w:t>
      </w:r>
      <w:r w:rsidRPr="00BD717E">
        <w:rPr>
          <w:lang w:val="en-US" w:eastAsia="ko-KR"/>
        </w:rPr>
        <w:t xml:space="preserve">Volcovici, </w:t>
      </w:r>
      <w:r w:rsidR="00C621C9">
        <w:rPr>
          <w:lang w:val="en-US" w:eastAsia="ko-KR"/>
        </w:rPr>
        <w:t>S</w:t>
      </w:r>
      <w:r w:rsidRPr="00BD717E">
        <w:rPr>
          <w:lang w:val="en-US" w:eastAsia="ko-KR"/>
        </w:rPr>
        <w:t xml:space="preserve">. Jessop, </w:t>
      </w:r>
      <w:r w:rsidR="00C621C9">
        <w:rPr>
          <w:lang w:val="en-US" w:eastAsia="ko-KR"/>
        </w:rPr>
        <w:t>and P</w:t>
      </w:r>
      <w:r w:rsidRPr="00BD717E">
        <w:rPr>
          <w:lang w:val="en-US" w:eastAsia="ko-KR"/>
        </w:rPr>
        <w:t>. Henderson,</w:t>
      </w:r>
      <w:r w:rsidR="00C8051B">
        <w:rPr>
          <w:lang w:val="en-US" w:eastAsia="ko-KR"/>
        </w:rPr>
        <w:t xml:space="preserve"> 2023,</w:t>
      </w:r>
      <w:r w:rsidRPr="00BD717E">
        <w:rPr>
          <w:lang w:val="en-US" w:eastAsia="ko-KR"/>
        </w:rPr>
        <w:t xml:space="preserve"> Insight: Facing brutal climate math, US bets billions on direct air capture</w:t>
      </w:r>
      <w:r w:rsidR="00C94D10">
        <w:rPr>
          <w:lang w:val="en-US" w:eastAsia="ko-KR"/>
        </w:rPr>
        <w:t>,</w:t>
      </w:r>
      <w:r w:rsidRPr="00BD717E">
        <w:rPr>
          <w:lang w:val="en-US" w:eastAsia="ko-KR"/>
        </w:rPr>
        <w:t xml:space="preserve"> Reuters, </w:t>
      </w:r>
      <w:hyperlink r:id="rId20" w:history="1">
        <w:r w:rsidR="00C8051B" w:rsidRPr="00EA5BAD">
          <w:rPr>
            <w:rStyle w:val="a9"/>
            <w:lang w:val="en-US" w:eastAsia="ko-KR"/>
          </w:rPr>
          <w:t>https://www.reuters.com/world/us/facing-brutal-climate-math-us-bets-billions-direct-air-capture-2023-04-18/</w:t>
        </w:r>
      </w:hyperlink>
      <w:r w:rsidR="00C8051B">
        <w:rPr>
          <w:lang w:val="en-US" w:eastAsia="ko-KR"/>
        </w:rPr>
        <w:t xml:space="preserve"> </w:t>
      </w:r>
    </w:p>
    <w:p w14:paraId="7F4C10D0" w14:textId="3C205E84" w:rsidR="00420859" w:rsidRDefault="00420859" w:rsidP="008D2649">
      <w:pPr>
        <w:pStyle w:val="Els-referenceno-number"/>
        <w:rPr>
          <w:lang w:val="en-US" w:eastAsia="ko-KR"/>
        </w:rPr>
      </w:pPr>
      <w:r w:rsidRPr="00420859">
        <w:rPr>
          <w:lang w:val="en-US" w:eastAsia="ko-KR"/>
        </w:rPr>
        <w:t>Wikipedia</w:t>
      </w:r>
      <w:r>
        <w:rPr>
          <w:lang w:val="en-US" w:eastAsia="ko-KR"/>
        </w:rPr>
        <w:t>, 2023a,</w:t>
      </w:r>
      <w:r w:rsidRPr="00420859">
        <w:rPr>
          <w:lang w:val="en-US" w:eastAsia="ko-KR"/>
        </w:rPr>
        <w:t xml:space="preserve"> Carbon offsets and credits</w:t>
      </w:r>
      <w:r>
        <w:rPr>
          <w:lang w:val="en-US" w:eastAsia="ko-KR"/>
        </w:rPr>
        <w:t>,</w:t>
      </w:r>
      <w:r w:rsidRPr="00420859">
        <w:rPr>
          <w:lang w:val="en-US" w:eastAsia="ko-KR"/>
        </w:rPr>
        <w:t xml:space="preserve"> </w:t>
      </w:r>
      <w:hyperlink r:id="rId21" w:history="1">
        <w:r w:rsidRPr="00B66C6D">
          <w:rPr>
            <w:rStyle w:val="a9"/>
            <w:lang w:val="en-US" w:eastAsia="ko-KR"/>
          </w:rPr>
          <w:t>https://en.wikipedia.org/wiki/Carbon_offsets_and_credits</w:t>
        </w:r>
      </w:hyperlink>
      <w:r>
        <w:rPr>
          <w:lang w:val="en-US" w:eastAsia="ko-KR"/>
        </w:rPr>
        <w:t xml:space="preserve"> </w:t>
      </w:r>
    </w:p>
    <w:p w14:paraId="40D6D14F" w14:textId="04F1BE0B" w:rsidR="00420859" w:rsidRPr="00420859" w:rsidRDefault="00420859" w:rsidP="008D2649">
      <w:pPr>
        <w:pStyle w:val="Els-referenceno-number"/>
        <w:rPr>
          <w:lang w:val="en-US" w:eastAsia="ko-KR"/>
        </w:rPr>
      </w:pPr>
      <w:r w:rsidRPr="00420859">
        <w:rPr>
          <w:lang w:val="en-US" w:eastAsia="ko-KR"/>
        </w:rPr>
        <w:t>Wikipedia</w:t>
      </w:r>
      <w:r>
        <w:rPr>
          <w:lang w:val="en-US" w:eastAsia="ko-KR"/>
        </w:rPr>
        <w:t>, 2023b,</w:t>
      </w:r>
      <w:r w:rsidRPr="00420859">
        <w:rPr>
          <w:lang w:val="en-US" w:eastAsia="ko-KR"/>
        </w:rPr>
        <w:t xml:space="preserve"> Carbon emission trading</w:t>
      </w:r>
      <w:r>
        <w:rPr>
          <w:lang w:val="en-US" w:eastAsia="ko-KR"/>
        </w:rPr>
        <w:t>,</w:t>
      </w:r>
      <w:r w:rsidRPr="00420859">
        <w:rPr>
          <w:lang w:val="en-US" w:eastAsia="ko-KR"/>
        </w:rPr>
        <w:t xml:space="preserve"> </w:t>
      </w:r>
      <w:hyperlink r:id="rId22" w:history="1">
        <w:r w:rsidRPr="00B66C6D">
          <w:rPr>
            <w:rStyle w:val="a9"/>
            <w:lang w:val="en-US" w:eastAsia="ko-KR"/>
          </w:rPr>
          <w:t>https://en.wikipedia.org/wiki/Carbon_emission_trading</w:t>
        </w:r>
      </w:hyperlink>
      <w:r>
        <w:rPr>
          <w:lang w:val="en-US" w:eastAsia="ko-KR"/>
        </w:rPr>
        <w:t xml:space="preserve"> </w:t>
      </w:r>
    </w:p>
    <w:sectPr w:rsidR="00420859" w:rsidRPr="00420859" w:rsidSect="008B0184">
      <w:headerReference w:type="even" r:id="rId23"/>
      <w:headerReference w:type="default" r:id="rId24"/>
      <w:headerReference w:type="first" r:id="rId2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8E76" w14:textId="77777777" w:rsidR="00001878" w:rsidRDefault="00001878">
      <w:r>
        <w:separator/>
      </w:r>
    </w:p>
  </w:endnote>
  <w:endnote w:type="continuationSeparator" w:id="0">
    <w:p w14:paraId="5AA8FBCE" w14:textId="77777777" w:rsidR="00001878" w:rsidRDefault="0000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A742" w14:textId="77777777" w:rsidR="00001878" w:rsidRDefault="00001878">
      <w:r>
        <w:separator/>
      </w:r>
    </w:p>
  </w:footnote>
  <w:footnote w:type="continuationSeparator" w:id="0">
    <w:p w14:paraId="20D67DD2" w14:textId="77777777" w:rsidR="00001878" w:rsidRDefault="0000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629BE13" w:rsidR="00DD3D9E" w:rsidRDefault="00DD3D9E">
    <w:pPr>
      <w:pStyle w:val="a5"/>
      <w:tabs>
        <w:tab w:val="clear" w:pos="7200"/>
        <w:tab w:val="right" w:pos="7088"/>
      </w:tabs>
    </w:pPr>
    <w:r>
      <w:rPr>
        <w:rStyle w:val="aa"/>
      </w:rPr>
      <w:tab/>
    </w:r>
    <w:r>
      <w:rPr>
        <w:rStyle w:val="aa"/>
        <w:i/>
      </w:rPr>
      <w:tab/>
    </w:r>
    <w:r w:rsidR="004D460B">
      <w:rPr>
        <w:i/>
      </w:rPr>
      <w:t>S. H. Choi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F89C821" w:rsidR="00DD3D9E" w:rsidRDefault="00816968">
    <w:pPr>
      <w:pStyle w:val="a5"/>
      <w:tabs>
        <w:tab w:val="clear" w:pos="7200"/>
        <w:tab w:val="right" w:pos="7088"/>
      </w:tabs>
      <w:jc w:val="right"/>
      <w:rPr>
        <w:sz w:val="24"/>
      </w:rPr>
    </w:pPr>
    <w:r>
      <w:rPr>
        <w:i/>
      </w:rPr>
      <w:t>Modeling of Carbon Offsetting Industries</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18E3896"/>
    <w:multiLevelType w:val="multilevel"/>
    <w:tmpl w:val="0409001D"/>
    <w:lvl w:ilvl="0">
      <w:start w:val="1"/>
      <w:numFmt w:val="decimal"/>
      <w:lvlText w:val="%1"/>
      <w:lvlJc w:val="left"/>
      <w:pPr>
        <w:tabs>
          <w:tab w:val="num" w:pos="785"/>
        </w:tabs>
        <w:ind w:left="785" w:hanging="425"/>
      </w:pPr>
      <w:rPr>
        <w:rFonts w:eastAsia="MS Mincho"/>
        <w:sz w:val="24"/>
      </w:rPr>
    </w:lvl>
    <w:lvl w:ilvl="1">
      <w:start w:val="1"/>
      <w:numFmt w:val="decimal"/>
      <w:lvlText w:val="%1.%2"/>
      <w:lvlJc w:val="left"/>
      <w:pPr>
        <w:tabs>
          <w:tab w:val="num" w:pos="1352"/>
        </w:tabs>
        <w:ind w:left="1352" w:hanging="567"/>
      </w:pPr>
      <w:rPr>
        <w:rFonts w:hint="default"/>
      </w:rPr>
    </w:lvl>
    <w:lvl w:ilvl="2">
      <w:start w:val="1"/>
      <w:numFmt w:val="decimal"/>
      <w:lvlText w:val="%1.%2.%3"/>
      <w:lvlJc w:val="left"/>
      <w:pPr>
        <w:tabs>
          <w:tab w:val="num" w:pos="1778"/>
        </w:tabs>
        <w:ind w:left="1778" w:hanging="567"/>
      </w:pPr>
    </w:lvl>
    <w:lvl w:ilvl="3">
      <w:start w:val="1"/>
      <w:numFmt w:val="decimal"/>
      <w:lvlText w:val="%1.%2.%3.%4"/>
      <w:lvlJc w:val="left"/>
      <w:pPr>
        <w:tabs>
          <w:tab w:val="num" w:pos="2344"/>
        </w:tabs>
        <w:ind w:left="2344" w:hanging="708"/>
      </w:pPr>
    </w:lvl>
    <w:lvl w:ilvl="4">
      <w:start w:val="1"/>
      <w:numFmt w:val="decimal"/>
      <w:lvlText w:val="%1.%2.%3.%4.%5"/>
      <w:lvlJc w:val="left"/>
      <w:pPr>
        <w:tabs>
          <w:tab w:val="num" w:pos="2911"/>
        </w:tabs>
        <w:ind w:left="2911" w:hanging="850"/>
      </w:pPr>
    </w:lvl>
    <w:lvl w:ilvl="5">
      <w:start w:val="1"/>
      <w:numFmt w:val="decimal"/>
      <w:lvlText w:val="%1.%2.%3.%4.%5.%6"/>
      <w:lvlJc w:val="left"/>
      <w:pPr>
        <w:tabs>
          <w:tab w:val="num" w:pos="3620"/>
        </w:tabs>
        <w:ind w:left="3620" w:hanging="1134"/>
      </w:pPr>
    </w:lvl>
    <w:lvl w:ilvl="6">
      <w:start w:val="1"/>
      <w:numFmt w:val="decimal"/>
      <w:lvlText w:val="%1.%2.%3.%4.%5.%6.%7"/>
      <w:lvlJc w:val="left"/>
      <w:pPr>
        <w:tabs>
          <w:tab w:val="num" w:pos="4187"/>
        </w:tabs>
        <w:ind w:left="4187" w:hanging="1276"/>
      </w:pPr>
    </w:lvl>
    <w:lvl w:ilvl="7">
      <w:start w:val="1"/>
      <w:numFmt w:val="decimal"/>
      <w:lvlText w:val="%1.%2.%3.%4.%5.%6.%7.%8"/>
      <w:lvlJc w:val="left"/>
      <w:pPr>
        <w:tabs>
          <w:tab w:val="num" w:pos="4754"/>
        </w:tabs>
        <w:ind w:left="4754" w:hanging="1418"/>
      </w:pPr>
    </w:lvl>
    <w:lvl w:ilvl="8">
      <w:start w:val="1"/>
      <w:numFmt w:val="decimal"/>
      <w:lvlText w:val="%1.%2.%3.%4.%5.%6.%7.%8.%9"/>
      <w:lvlJc w:val="left"/>
      <w:pPr>
        <w:tabs>
          <w:tab w:val="num" w:pos="5462"/>
        </w:tabs>
        <w:ind w:left="5462" w:hanging="170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5"/>
  </w:num>
  <w:num w:numId="11">
    <w:abstractNumId w:val="14"/>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878"/>
    <w:rsid w:val="00024D65"/>
    <w:rsid w:val="00046349"/>
    <w:rsid w:val="00053DFF"/>
    <w:rsid w:val="000610D2"/>
    <w:rsid w:val="00072DC4"/>
    <w:rsid w:val="0009261D"/>
    <w:rsid w:val="000A1EDE"/>
    <w:rsid w:val="000A4615"/>
    <w:rsid w:val="000C555A"/>
    <w:rsid w:val="000D3D9B"/>
    <w:rsid w:val="000F3AC7"/>
    <w:rsid w:val="000F5E44"/>
    <w:rsid w:val="00103AA1"/>
    <w:rsid w:val="00122ABC"/>
    <w:rsid w:val="00152AA2"/>
    <w:rsid w:val="0016032F"/>
    <w:rsid w:val="00172259"/>
    <w:rsid w:val="001879F6"/>
    <w:rsid w:val="001C0148"/>
    <w:rsid w:val="001C757E"/>
    <w:rsid w:val="001D1BAE"/>
    <w:rsid w:val="001E060A"/>
    <w:rsid w:val="0020390F"/>
    <w:rsid w:val="00205BD2"/>
    <w:rsid w:val="00211467"/>
    <w:rsid w:val="00220518"/>
    <w:rsid w:val="00256B2D"/>
    <w:rsid w:val="00264926"/>
    <w:rsid w:val="002728CE"/>
    <w:rsid w:val="002929E8"/>
    <w:rsid w:val="002A69F1"/>
    <w:rsid w:val="002D7E9A"/>
    <w:rsid w:val="002E1D96"/>
    <w:rsid w:val="002F54C7"/>
    <w:rsid w:val="003103A3"/>
    <w:rsid w:val="00315BAB"/>
    <w:rsid w:val="00334222"/>
    <w:rsid w:val="00334F60"/>
    <w:rsid w:val="003472C3"/>
    <w:rsid w:val="003530B2"/>
    <w:rsid w:val="00371440"/>
    <w:rsid w:val="003953FD"/>
    <w:rsid w:val="00397B2A"/>
    <w:rsid w:val="003A4B1D"/>
    <w:rsid w:val="003B74CA"/>
    <w:rsid w:val="003D1582"/>
    <w:rsid w:val="003D4FC7"/>
    <w:rsid w:val="003D7E4C"/>
    <w:rsid w:val="003E41C2"/>
    <w:rsid w:val="004016B8"/>
    <w:rsid w:val="00420859"/>
    <w:rsid w:val="0046438D"/>
    <w:rsid w:val="0049772C"/>
    <w:rsid w:val="004B372E"/>
    <w:rsid w:val="004B42B7"/>
    <w:rsid w:val="004C0405"/>
    <w:rsid w:val="004D460B"/>
    <w:rsid w:val="004F1F9E"/>
    <w:rsid w:val="004F6B28"/>
    <w:rsid w:val="00503132"/>
    <w:rsid w:val="00517C99"/>
    <w:rsid w:val="00552EEB"/>
    <w:rsid w:val="00582890"/>
    <w:rsid w:val="00583852"/>
    <w:rsid w:val="00596B1B"/>
    <w:rsid w:val="005A692B"/>
    <w:rsid w:val="00604FC7"/>
    <w:rsid w:val="00626D5B"/>
    <w:rsid w:val="00630C5D"/>
    <w:rsid w:val="00650A99"/>
    <w:rsid w:val="00660E4D"/>
    <w:rsid w:val="0067673C"/>
    <w:rsid w:val="006A69BF"/>
    <w:rsid w:val="006A7708"/>
    <w:rsid w:val="006D2FEA"/>
    <w:rsid w:val="006D3DAD"/>
    <w:rsid w:val="00705950"/>
    <w:rsid w:val="00711DF4"/>
    <w:rsid w:val="0072267E"/>
    <w:rsid w:val="007421BA"/>
    <w:rsid w:val="0076400F"/>
    <w:rsid w:val="00786FB7"/>
    <w:rsid w:val="00792922"/>
    <w:rsid w:val="007C0CD8"/>
    <w:rsid w:val="007D6ADF"/>
    <w:rsid w:val="007D70A1"/>
    <w:rsid w:val="007F2AF7"/>
    <w:rsid w:val="007F6BD6"/>
    <w:rsid w:val="008132E8"/>
    <w:rsid w:val="00813A82"/>
    <w:rsid w:val="00816968"/>
    <w:rsid w:val="00817412"/>
    <w:rsid w:val="00823407"/>
    <w:rsid w:val="00832B22"/>
    <w:rsid w:val="008721E5"/>
    <w:rsid w:val="008B0184"/>
    <w:rsid w:val="008C5D02"/>
    <w:rsid w:val="008D1FBA"/>
    <w:rsid w:val="008D2649"/>
    <w:rsid w:val="0090568D"/>
    <w:rsid w:val="00905A7A"/>
    <w:rsid w:val="009125C9"/>
    <w:rsid w:val="00913879"/>
    <w:rsid w:val="00917661"/>
    <w:rsid w:val="00931CE3"/>
    <w:rsid w:val="00970E5D"/>
    <w:rsid w:val="0097701C"/>
    <w:rsid w:val="00980A65"/>
    <w:rsid w:val="009A3F2F"/>
    <w:rsid w:val="009B20BD"/>
    <w:rsid w:val="009C0F3C"/>
    <w:rsid w:val="009C362A"/>
    <w:rsid w:val="009E0017"/>
    <w:rsid w:val="009F2291"/>
    <w:rsid w:val="00A25E70"/>
    <w:rsid w:val="00A27B5A"/>
    <w:rsid w:val="00A33765"/>
    <w:rsid w:val="00A43021"/>
    <w:rsid w:val="00A43F7D"/>
    <w:rsid w:val="00A6225F"/>
    <w:rsid w:val="00A623C1"/>
    <w:rsid w:val="00A63269"/>
    <w:rsid w:val="00A767C1"/>
    <w:rsid w:val="00A81CFC"/>
    <w:rsid w:val="00A92377"/>
    <w:rsid w:val="00AB0D8C"/>
    <w:rsid w:val="00AB29ED"/>
    <w:rsid w:val="00AE4BD8"/>
    <w:rsid w:val="00AF5048"/>
    <w:rsid w:val="00B0147B"/>
    <w:rsid w:val="00B060D5"/>
    <w:rsid w:val="00B13D7A"/>
    <w:rsid w:val="00B353DC"/>
    <w:rsid w:val="00B36648"/>
    <w:rsid w:val="00B4388F"/>
    <w:rsid w:val="00B43DBB"/>
    <w:rsid w:val="00B561A9"/>
    <w:rsid w:val="00B63237"/>
    <w:rsid w:val="00B85E8A"/>
    <w:rsid w:val="00BD717E"/>
    <w:rsid w:val="00BE3738"/>
    <w:rsid w:val="00C0239D"/>
    <w:rsid w:val="00C45603"/>
    <w:rsid w:val="00C621C9"/>
    <w:rsid w:val="00C8051B"/>
    <w:rsid w:val="00C9183F"/>
    <w:rsid w:val="00C94D10"/>
    <w:rsid w:val="00C960DC"/>
    <w:rsid w:val="00D02C75"/>
    <w:rsid w:val="00D03831"/>
    <w:rsid w:val="00D10E22"/>
    <w:rsid w:val="00D13D2C"/>
    <w:rsid w:val="00D154FB"/>
    <w:rsid w:val="00DC2F94"/>
    <w:rsid w:val="00DD111C"/>
    <w:rsid w:val="00DD3D9E"/>
    <w:rsid w:val="00DD6CF2"/>
    <w:rsid w:val="00DD7908"/>
    <w:rsid w:val="00DE4669"/>
    <w:rsid w:val="00E13885"/>
    <w:rsid w:val="00E62DCB"/>
    <w:rsid w:val="00E63872"/>
    <w:rsid w:val="00E82297"/>
    <w:rsid w:val="00EA24DD"/>
    <w:rsid w:val="00EF1D6F"/>
    <w:rsid w:val="00EF39FD"/>
    <w:rsid w:val="00F0045C"/>
    <w:rsid w:val="00F03968"/>
    <w:rsid w:val="00F06842"/>
    <w:rsid w:val="00F107FD"/>
    <w:rsid w:val="00F14312"/>
    <w:rsid w:val="00FA2196"/>
    <w:rsid w:val="00FA6EB2"/>
    <w:rsid w:val="00FB0C10"/>
    <w:rsid w:val="00FB3C43"/>
    <w:rsid w:val="00FB64A8"/>
    <w:rsid w:val="00FC6E9C"/>
    <w:rsid w:val="00FE55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9F2291"/>
    <w:rPr>
      <w:color w:val="605E5C"/>
      <w:shd w:val="clear" w:color="auto" w:fill="E1DFDD"/>
    </w:rPr>
  </w:style>
  <w:style w:type="character" w:styleId="af0">
    <w:name w:val="Placeholder Text"/>
    <w:basedOn w:val="a0"/>
    <w:uiPriority w:val="99"/>
    <w:semiHidden/>
    <w:rsid w:val="00371440"/>
    <w:rPr>
      <w:color w:val="808080"/>
    </w:rPr>
  </w:style>
  <w:style w:type="paragraph" w:customStyle="1" w:styleId="Table-Columnheader">
    <w:name w:val="Table - Column header"/>
    <w:basedOn w:val="a"/>
    <w:rsid w:val="00B13D7A"/>
    <w:pPr>
      <w:jc w:val="center"/>
    </w:pPr>
    <w:rPr>
      <w:rFonts w:eastAsia="Arial Unicode MS"/>
      <w:sz w:val="21"/>
      <w:szCs w:val="24"/>
      <w:lang w:val="en-US" w:eastAsia="ja-JP"/>
    </w:rPr>
  </w:style>
  <w:style w:type="paragraph" w:customStyle="1" w:styleId="Table-Leftmostcontent">
    <w:name w:val="Table - Leftmost content"/>
    <w:basedOn w:val="Table-Content"/>
    <w:rsid w:val="00B13D7A"/>
    <w:pPr>
      <w:jc w:val="left"/>
    </w:pPr>
    <w:rPr>
      <w:rFonts w:cs="MS Mincho"/>
      <w:szCs w:val="20"/>
    </w:rPr>
  </w:style>
  <w:style w:type="paragraph" w:customStyle="1" w:styleId="Table-Content">
    <w:name w:val="Table - Content"/>
    <w:basedOn w:val="a"/>
    <w:rsid w:val="00B13D7A"/>
    <w:pPr>
      <w:snapToGrid w:val="0"/>
      <w:jc w:val="center"/>
    </w:pPr>
    <w:rPr>
      <w:rFonts w:eastAsia="Arial Unicode MS"/>
      <w:sz w:val="21"/>
      <w:szCs w:val="24"/>
      <w:lang w:val="en-US" w:eastAsia="ja-JP"/>
    </w:rPr>
  </w:style>
  <w:style w:type="paragraph" w:customStyle="1" w:styleId="Table-Leftmostcolumnheader">
    <w:name w:val="Table - Leftmost column header"/>
    <w:basedOn w:val="Table-Columnheader"/>
    <w:rsid w:val="00B13D7A"/>
    <w:pPr>
      <w:jc w:val="lef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boncredits.com/how-do-carbon-offsetting-projects-work/" TargetMode="External"/><Relationship Id="rId18" Type="http://schemas.openxmlformats.org/officeDocument/2006/relationships/hyperlink" Target="https://www.foodandwaterwatch.org/2023/01/19/direct-air-capture-climate-sc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Carbon_offsets_and_credits" TargetMode="External"/><Relationship Id="rId7" Type="http://schemas.openxmlformats.org/officeDocument/2006/relationships/endnotes" Target="endnotes.xml"/><Relationship Id="rId12" Type="http://schemas.openxmlformats.org/officeDocument/2006/relationships/hyperlink" Target="https://doi.org/10.1016/j.ifacol.2022.07.480" TargetMode="External"/><Relationship Id="rId17" Type="http://schemas.openxmlformats.org/officeDocument/2006/relationships/hyperlink" Target="https://extension.psu.edu/how-forests-store-carb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limate.mit.edu/explainers/carbon-offsets" TargetMode="External"/><Relationship Id="rId20" Type="http://schemas.openxmlformats.org/officeDocument/2006/relationships/hyperlink" Target="https://www.reuters.com/world/us/facing-brutal-climate-math-us-bets-billions-direct-air-capture-2023-0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B978-0-443-15274-0.50173-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arbonmarketwatch.org/2023/07/06/does-carbon-offsetting-do-more-harm-than-good/"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statista.com/statistics/1284060/forecast-carbon-offset-prices-by-scenari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guardian.com/environment/2023/jan/18/revealed-forest-carbon-offsets-biggest-provider-worthless-verra-aoe" TargetMode="External"/><Relationship Id="rId22" Type="http://schemas.openxmlformats.org/officeDocument/2006/relationships/hyperlink" Target="https://en.wikipedia.org/wiki/Carbon_emission_tradin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855</TotalTime>
  <Pages>6</Pages>
  <Words>1960</Words>
  <Characters>11174</Characters>
  <Application>Microsoft Office Word</Application>
  <DocSecurity>0</DocSecurity>
  <Lines>93</Lines>
  <Paragraphs>26</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su</cp:lastModifiedBy>
  <cp:revision>91</cp:revision>
  <cp:lastPrinted>2004-12-17T09:20:00Z</cp:lastPrinted>
  <dcterms:created xsi:type="dcterms:W3CDTF">2023-10-02T07:50:00Z</dcterms:created>
  <dcterms:modified xsi:type="dcterms:W3CDTF">2024-01-05T09:53:00Z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