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6678236" w:rsidR="00DD3D9E" w:rsidRPr="00182CC6" w:rsidRDefault="00051979">
      <w:pPr>
        <w:pStyle w:val="Els-Title"/>
        <w:rPr>
          <w:color w:val="000000" w:themeColor="text1"/>
          <w:lang w:val="en-GB"/>
        </w:rPr>
      </w:pPr>
      <w:bookmarkStart w:id="0" w:name="_Hlk149898132"/>
      <w:r w:rsidRPr="00182CC6">
        <w:rPr>
          <w:color w:val="000000" w:themeColor="text1"/>
          <w:lang w:val="en-GB"/>
        </w:rPr>
        <w:t>Inventory Strategies for Optimizing Resilien</w:t>
      </w:r>
      <w:r w:rsidR="00B23D0A" w:rsidRPr="00182CC6">
        <w:rPr>
          <w:color w:val="000000" w:themeColor="text1"/>
          <w:lang w:val="en-GB"/>
        </w:rPr>
        <w:t>c</w:t>
      </w:r>
      <w:r w:rsidRPr="00182CC6">
        <w:rPr>
          <w:color w:val="000000" w:themeColor="text1"/>
          <w:lang w:val="en-GB"/>
        </w:rPr>
        <w:t>y and</w:t>
      </w:r>
      <w:r w:rsidR="00B23D0A" w:rsidRPr="00182CC6">
        <w:rPr>
          <w:color w:val="000000" w:themeColor="text1"/>
          <w:lang w:val="en-GB"/>
        </w:rPr>
        <w:t xml:space="preserve"> Sustainability in Pharmaceutical Supply Chains – </w:t>
      </w:r>
      <w:r w:rsidR="00E34310" w:rsidRPr="00182CC6">
        <w:rPr>
          <w:color w:val="000000" w:themeColor="text1"/>
          <w:lang w:val="en-GB"/>
        </w:rPr>
        <w:t>A</w:t>
      </w:r>
      <w:r w:rsidR="00B23D0A" w:rsidRPr="00182CC6">
        <w:rPr>
          <w:color w:val="000000" w:themeColor="text1"/>
          <w:lang w:val="en-GB"/>
        </w:rPr>
        <w:t xml:space="preserve"> </w:t>
      </w:r>
      <w:r w:rsidR="00E34310" w:rsidRPr="00182CC6">
        <w:rPr>
          <w:color w:val="000000" w:themeColor="text1"/>
          <w:lang w:val="en-GB"/>
        </w:rPr>
        <w:t>S</w:t>
      </w:r>
      <w:r w:rsidR="00B23D0A" w:rsidRPr="00182CC6">
        <w:rPr>
          <w:color w:val="000000" w:themeColor="text1"/>
          <w:lang w:val="en-GB"/>
        </w:rPr>
        <w:t xml:space="preserve">imulation-Optimization </w:t>
      </w:r>
      <w:r w:rsidR="00E34310" w:rsidRPr="00182CC6">
        <w:rPr>
          <w:color w:val="000000" w:themeColor="text1"/>
          <w:lang w:val="en-GB"/>
        </w:rPr>
        <w:t>A</w:t>
      </w:r>
      <w:r w:rsidR="00B23D0A" w:rsidRPr="00182CC6">
        <w:rPr>
          <w:color w:val="000000" w:themeColor="text1"/>
          <w:lang w:val="en-GB"/>
        </w:rPr>
        <w:t>pproach</w:t>
      </w:r>
    </w:p>
    <w:bookmarkEnd w:id="0"/>
    <w:p w14:paraId="144DE680" w14:textId="53D6BBDB" w:rsidR="00DD3D9E" w:rsidRPr="00182CC6" w:rsidRDefault="00B23D0A">
      <w:pPr>
        <w:pStyle w:val="Els-Author"/>
        <w:rPr>
          <w:vertAlign w:val="superscript"/>
        </w:rPr>
      </w:pPr>
      <w:r w:rsidRPr="00182CC6">
        <w:t>Catarina M. Marques</w:t>
      </w:r>
      <w:r w:rsidR="00D13D54" w:rsidRPr="00182CC6">
        <w:rPr>
          <w:vertAlign w:val="superscript"/>
        </w:rPr>
        <w:t>a</w:t>
      </w:r>
      <w:r w:rsidR="00C62A9C" w:rsidRPr="00182CC6">
        <w:rPr>
          <w:vertAlign w:val="superscript"/>
        </w:rPr>
        <w:t>*</w:t>
      </w:r>
      <w:r w:rsidRPr="00182CC6">
        <w:t xml:space="preserve">, </w:t>
      </w:r>
      <w:r w:rsidR="00D13D54" w:rsidRPr="00182CC6">
        <w:t>Ana Carolina Silva</w:t>
      </w:r>
      <w:r w:rsidR="00D13D54" w:rsidRPr="00182CC6">
        <w:rPr>
          <w:vertAlign w:val="superscript"/>
        </w:rPr>
        <w:t>a</w:t>
      </w:r>
      <w:r w:rsidR="00D13D54" w:rsidRPr="00182CC6">
        <w:t>, Jorge Pinho de Sousa</w:t>
      </w:r>
      <w:r w:rsidR="00D13D54" w:rsidRPr="00182CC6">
        <w:rPr>
          <w:vertAlign w:val="superscript"/>
        </w:rPr>
        <w:t>a,b</w:t>
      </w:r>
    </w:p>
    <w:p w14:paraId="144DE681" w14:textId="73C646DC" w:rsidR="00DD3D9E" w:rsidRPr="00182CC6" w:rsidRDefault="00205D0D">
      <w:pPr>
        <w:pStyle w:val="Els-Affiliation"/>
      </w:pPr>
      <w:r w:rsidRPr="00182CC6">
        <w:rPr>
          <w:vertAlign w:val="superscript"/>
        </w:rPr>
        <w:t>a</w:t>
      </w:r>
      <w:r w:rsidR="00FE1B9F" w:rsidRPr="00182CC6">
        <w:t>INESC TEC, Rua Dr. Roberto Frias, Portugal</w:t>
      </w:r>
    </w:p>
    <w:p w14:paraId="144DE682" w14:textId="6D98FEB1" w:rsidR="00DD3D9E" w:rsidRPr="00182CC6" w:rsidRDefault="006B3C9E">
      <w:pPr>
        <w:pStyle w:val="Els-Affiliation"/>
      </w:pPr>
      <w:r w:rsidRPr="00182CC6">
        <w:rPr>
          <w:vertAlign w:val="superscript"/>
        </w:rPr>
        <w:t>b</w:t>
      </w:r>
      <w:r w:rsidR="00205D0D" w:rsidRPr="00182CC6">
        <w:t>Faculdade de Engenharia da Universidade do Porto, Rua Dr. Rober</w:t>
      </w:r>
      <w:r w:rsidRPr="00182CC6">
        <w:t>to Frias, Porto, Portugal</w:t>
      </w:r>
    </w:p>
    <w:p w14:paraId="144DE683" w14:textId="3BD2C10C" w:rsidR="008D2649" w:rsidRPr="00182CC6" w:rsidRDefault="006B3C9E" w:rsidP="008D2649">
      <w:pPr>
        <w:pStyle w:val="Els-Affiliation"/>
        <w:spacing w:after="120"/>
      </w:pPr>
      <w:r w:rsidRPr="00182CC6">
        <w:t>catarina.m.marques@inesctec.pt</w:t>
      </w:r>
    </w:p>
    <w:p w14:paraId="144DE684" w14:textId="77777777" w:rsidR="008D2649" w:rsidRPr="00182CC6" w:rsidRDefault="008D2649" w:rsidP="00FA35E4">
      <w:pPr>
        <w:pStyle w:val="Els-Abstract"/>
        <w:rPr>
          <w:lang w:val="en-GB"/>
        </w:rPr>
      </w:pPr>
      <w:r w:rsidRPr="00182CC6">
        <w:rPr>
          <w:lang w:val="en-GB"/>
        </w:rPr>
        <w:t>Abstract</w:t>
      </w:r>
    </w:p>
    <w:p w14:paraId="5D5A8EC3" w14:textId="4BEB4A5B" w:rsidR="006A5ED8" w:rsidRPr="00182CC6" w:rsidRDefault="00866A3B" w:rsidP="00646778">
      <w:pPr>
        <w:pStyle w:val="Els-body-text"/>
        <w:spacing w:after="120"/>
        <w:rPr>
          <w:lang w:val="en-GB"/>
        </w:rPr>
      </w:pPr>
      <w:r w:rsidRPr="00182CC6">
        <w:rPr>
          <w:lang w:val="en-GB"/>
        </w:rPr>
        <w:t xml:space="preserve">In this work a hybrid simulation-optimization approach is </w:t>
      </w:r>
      <w:r w:rsidR="00C078EE" w:rsidRPr="00182CC6">
        <w:rPr>
          <w:lang w:val="en-GB"/>
        </w:rPr>
        <w:t>presented to</w:t>
      </w:r>
      <w:r w:rsidR="00143121" w:rsidRPr="00182CC6">
        <w:rPr>
          <w:lang w:val="en-GB"/>
        </w:rPr>
        <w:t xml:space="preserve"> support decision-making </w:t>
      </w:r>
      <w:r w:rsidR="00593C92" w:rsidRPr="00182CC6">
        <w:rPr>
          <w:lang w:val="en-GB"/>
        </w:rPr>
        <w:t>towards</w:t>
      </w:r>
      <w:r w:rsidR="00143121" w:rsidRPr="00182CC6">
        <w:rPr>
          <w:lang w:val="en-GB"/>
        </w:rPr>
        <w:t xml:space="preserve"> </w:t>
      </w:r>
      <w:r w:rsidR="00593C92" w:rsidRPr="00182CC6">
        <w:rPr>
          <w:lang w:val="en-GB"/>
        </w:rPr>
        <w:t>improved</w:t>
      </w:r>
      <w:r w:rsidR="00120E1A" w:rsidRPr="00182CC6">
        <w:rPr>
          <w:lang w:val="en-GB"/>
        </w:rPr>
        <w:t xml:space="preserve"> </w:t>
      </w:r>
      <w:r w:rsidR="00C078EE" w:rsidRPr="00182CC6">
        <w:rPr>
          <w:lang w:val="en-GB"/>
        </w:rPr>
        <w:t>resiliency and sustainability</w:t>
      </w:r>
      <w:r w:rsidR="00120E1A" w:rsidRPr="00182CC6">
        <w:rPr>
          <w:lang w:val="en-GB"/>
        </w:rPr>
        <w:t xml:space="preserve"> in </w:t>
      </w:r>
      <w:r w:rsidR="00593C92" w:rsidRPr="00182CC6">
        <w:rPr>
          <w:lang w:val="en-GB"/>
        </w:rPr>
        <w:t xml:space="preserve">pharmaceutical </w:t>
      </w:r>
      <w:r w:rsidR="00120E1A" w:rsidRPr="00182CC6">
        <w:rPr>
          <w:lang w:val="en-GB"/>
        </w:rPr>
        <w:t>supply chain</w:t>
      </w:r>
      <w:r w:rsidR="00593C92" w:rsidRPr="00182CC6">
        <w:rPr>
          <w:lang w:val="en-GB"/>
        </w:rPr>
        <w:t xml:space="preserve"> (</w:t>
      </w:r>
      <w:r w:rsidR="0026795D" w:rsidRPr="00182CC6">
        <w:rPr>
          <w:lang w:val="en-GB"/>
        </w:rPr>
        <w:t>P</w:t>
      </w:r>
      <w:r w:rsidR="00593C92" w:rsidRPr="00182CC6">
        <w:rPr>
          <w:lang w:val="en-GB"/>
        </w:rPr>
        <w:t>SC)</w:t>
      </w:r>
      <w:r w:rsidR="00120E1A" w:rsidRPr="00182CC6">
        <w:rPr>
          <w:lang w:val="en-GB"/>
        </w:rPr>
        <w:t xml:space="preserve"> operations</w:t>
      </w:r>
      <w:r w:rsidR="002D2109" w:rsidRPr="00182CC6">
        <w:rPr>
          <w:lang w:val="en-GB"/>
        </w:rPr>
        <w:t>.</w:t>
      </w:r>
      <w:r w:rsidR="00C078EE" w:rsidRPr="00182CC6">
        <w:rPr>
          <w:lang w:val="en-GB"/>
        </w:rPr>
        <w:t xml:space="preserve"> </w:t>
      </w:r>
      <w:r w:rsidR="0026795D" w:rsidRPr="00182CC6">
        <w:rPr>
          <w:lang w:val="en-GB"/>
        </w:rPr>
        <w:t xml:space="preserve">In a first </w:t>
      </w:r>
      <w:r w:rsidR="004B7092" w:rsidRPr="00182CC6">
        <w:rPr>
          <w:lang w:val="en-GB"/>
        </w:rPr>
        <w:t>step</w:t>
      </w:r>
      <w:r w:rsidR="00EF73BA" w:rsidRPr="00182CC6">
        <w:rPr>
          <w:lang w:val="en-GB"/>
        </w:rPr>
        <w:t xml:space="preserve">, </w:t>
      </w:r>
      <w:r w:rsidR="008340A0" w:rsidRPr="00182CC6">
        <w:rPr>
          <w:lang w:val="en-GB"/>
        </w:rPr>
        <w:t xml:space="preserve">a </w:t>
      </w:r>
      <w:r w:rsidR="00C43B6F" w:rsidRPr="00182CC6">
        <w:rPr>
          <w:lang w:val="en-GB"/>
        </w:rPr>
        <w:t>simulation</w:t>
      </w:r>
      <w:r w:rsidR="008340A0" w:rsidRPr="00182CC6">
        <w:rPr>
          <w:lang w:val="en-GB"/>
        </w:rPr>
        <w:t xml:space="preserve"> model</w:t>
      </w:r>
      <w:r w:rsidR="000637C3" w:rsidRPr="00182CC6">
        <w:rPr>
          <w:lang w:val="en-GB"/>
        </w:rPr>
        <w:t xml:space="preserve"> is used </w:t>
      </w:r>
      <w:r w:rsidR="004B7092" w:rsidRPr="00182CC6">
        <w:rPr>
          <w:lang w:val="en-GB"/>
        </w:rPr>
        <w:t>to</w:t>
      </w:r>
      <w:r w:rsidR="00C43B6F" w:rsidRPr="00182CC6">
        <w:rPr>
          <w:lang w:val="en-GB"/>
        </w:rPr>
        <w:t xml:space="preserve"> </w:t>
      </w:r>
      <w:r w:rsidR="00741ABD" w:rsidRPr="00182CC6">
        <w:rPr>
          <w:lang w:val="en-GB"/>
        </w:rPr>
        <w:t xml:space="preserve">assess the </w:t>
      </w:r>
      <w:r w:rsidR="004B7092" w:rsidRPr="00182CC6">
        <w:rPr>
          <w:lang w:val="en-GB"/>
        </w:rPr>
        <w:t>P</w:t>
      </w:r>
      <w:r w:rsidR="00593C92" w:rsidRPr="00182CC6">
        <w:rPr>
          <w:lang w:val="en-GB"/>
        </w:rPr>
        <w:t xml:space="preserve">SC </w:t>
      </w:r>
      <w:r w:rsidR="00741ABD" w:rsidRPr="00182CC6">
        <w:rPr>
          <w:lang w:val="en-GB"/>
        </w:rPr>
        <w:t>performance</w:t>
      </w:r>
      <w:r w:rsidR="00593C92" w:rsidRPr="00182CC6">
        <w:rPr>
          <w:lang w:val="en-GB"/>
        </w:rPr>
        <w:t xml:space="preserve"> </w:t>
      </w:r>
      <w:r w:rsidR="002C05A6" w:rsidRPr="00182CC6">
        <w:rPr>
          <w:lang w:val="en-GB"/>
        </w:rPr>
        <w:t>under</w:t>
      </w:r>
      <w:r w:rsidR="00593C92" w:rsidRPr="00182CC6">
        <w:rPr>
          <w:lang w:val="en-GB"/>
        </w:rPr>
        <w:t xml:space="preserve"> a set of disruptive scenarios</w:t>
      </w:r>
      <w:r w:rsidR="00CD687A" w:rsidRPr="00182CC6">
        <w:rPr>
          <w:lang w:val="en-GB"/>
        </w:rPr>
        <w:t xml:space="preserve"> </w:t>
      </w:r>
      <w:r w:rsidR="0026795D" w:rsidRPr="00182CC6">
        <w:rPr>
          <w:lang w:val="en-GB"/>
        </w:rPr>
        <w:t>to select the best</w:t>
      </w:r>
      <w:r w:rsidR="00593C92" w:rsidRPr="00182CC6">
        <w:rPr>
          <w:lang w:val="en-GB"/>
        </w:rPr>
        <w:t xml:space="preserve"> inventory-based strateg</w:t>
      </w:r>
      <w:r w:rsidR="0026795D" w:rsidRPr="00182CC6">
        <w:rPr>
          <w:lang w:val="en-GB"/>
        </w:rPr>
        <w:t>y</w:t>
      </w:r>
      <w:r w:rsidR="004B7092" w:rsidRPr="00182CC6">
        <w:rPr>
          <w:lang w:val="en-GB"/>
        </w:rPr>
        <w:t xml:space="preserve"> </w:t>
      </w:r>
      <w:r w:rsidR="00E752D4" w:rsidRPr="00182CC6">
        <w:rPr>
          <w:lang w:val="en-GB"/>
        </w:rPr>
        <w:t>for enhanced</w:t>
      </w:r>
      <w:r w:rsidR="004B7092" w:rsidRPr="00182CC6">
        <w:rPr>
          <w:lang w:val="en-GB"/>
        </w:rPr>
        <w:t xml:space="preserve"> resiliency</w:t>
      </w:r>
      <w:r w:rsidR="00EF73BA" w:rsidRPr="00182CC6">
        <w:rPr>
          <w:lang w:val="en-GB"/>
        </w:rPr>
        <w:t xml:space="preserve">. </w:t>
      </w:r>
      <w:r w:rsidR="00D212B5" w:rsidRPr="00182CC6">
        <w:rPr>
          <w:lang w:val="en-GB"/>
        </w:rPr>
        <w:t>Disruptions</w:t>
      </w:r>
      <w:r w:rsidR="009247AB" w:rsidRPr="00182CC6">
        <w:rPr>
          <w:lang w:val="en-GB"/>
        </w:rPr>
        <w:t xml:space="preserve"> addressed </w:t>
      </w:r>
      <w:r w:rsidR="009B2EE1" w:rsidRPr="00182CC6">
        <w:rPr>
          <w:lang w:val="en-GB"/>
        </w:rPr>
        <w:t xml:space="preserve">in this work </w:t>
      </w:r>
      <w:r w:rsidR="00D53CEE" w:rsidRPr="00182CC6">
        <w:rPr>
          <w:lang w:val="en-GB"/>
        </w:rPr>
        <w:t xml:space="preserve">are </w:t>
      </w:r>
      <w:proofErr w:type="gramStart"/>
      <w:r w:rsidR="00D212B5" w:rsidRPr="00182CC6">
        <w:rPr>
          <w:lang w:val="en-GB"/>
        </w:rPr>
        <w:t>mainly</w:t>
      </w:r>
      <w:r w:rsidR="00D53CEE" w:rsidRPr="00182CC6">
        <w:rPr>
          <w:lang w:val="en-GB"/>
        </w:rPr>
        <w:t xml:space="preserve"> related</w:t>
      </w:r>
      <w:proofErr w:type="gramEnd"/>
      <w:r w:rsidR="00D53CEE" w:rsidRPr="00182CC6">
        <w:rPr>
          <w:lang w:val="en-GB"/>
        </w:rPr>
        <w:t xml:space="preserve"> </w:t>
      </w:r>
      <w:r w:rsidR="00D212B5" w:rsidRPr="00182CC6">
        <w:rPr>
          <w:lang w:val="en-GB"/>
        </w:rPr>
        <w:t>to</w:t>
      </w:r>
      <w:r w:rsidR="00D53CEE" w:rsidRPr="00182CC6">
        <w:rPr>
          <w:lang w:val="en-GB"/>
        </w:rPr>
        <w:t xml:space="preserve"> </w:t>
      </w:r>
      <w:r w:rsidR="009356B9" w:rsidRPr="00182CC6">
        <w:rPr>
          <w:lang w:val="en-GB"/>
        </w:rPr>
        <w:t xml:space="preserve">unpredicted </w:t>
      </w:r>
      <w:r w:rsidR="006A51B4" w:rsidRPr="00182CC6">
        <w:rPr>
          <w:lang w:val="en-GB"/>
        </w:rPr>
        <w:t>medium</w:t>
      </w:r>
      <w:r w:rsidR="00287F96" w:rsidRPr="00182CC6">
        <w:rPr>
          <w:lang w:val="en-GB"/>
        </w:rPr>
        <w:t xml:space="preserve">-term </w:t>
      </w:r>
      <w:r w:rsidR="009356B9" w:rsidRPr="00182CC6">
        <w:rPr>
          <w:lang w:val="en-GB"/>
        </w:rPr>
        <w:t>production</w:t>
      </w:r>
      <w:r w:rsidR="00265847" w:rsidRPr="00182CC6">
        <w:rPr>
          <w:lang w:val="en-GB"/>
        </w:rPr>
        <w:t xml:space="preserve"> stoppage</w:t>
      </w:r>
      <w:r w:rsidR="009356B9" w:rsidRPr="00182CC6">
        <w:rPr>
          <w:lang w:val="en-GB"/>
        </w:rPr>
        <w:t>s</w:t>
      </w:r>
      <w:r w:rsidR="00265847" w:rsidRPr="00182CC6">
        <w:rPr>
          <w:lang w:val="en-GB"/>
        </w:rPr>
        <w:t xml:space="preserve"> </w:t>
      </w:r>
      <w:r w:rsidR="00BF0333" w:rsidRPr="00182CC6">
        <w:rPr>
          <w:lang w:val="en-GB"/>
        </w:rPr>
        <w:t xml:space="preserve">due </w:t>
      </w:r>
      <w:r w:rsidR="00737D26" w:rsidRPr="00182CC6">
        <w:rPr>
          <w:lang w:val="en-GB"/>
        </w:rPr>
        <w:t>to</w:t>
      </w:r>
      <w:r w:rsidR="009356B9" w:rsidRPr="00182CC6">
        <w:rPr>
          <w:lang w:val="en-GB"/>
        </w:rPr>
        <w:t xml:space="preserve"> </w:t>
      </w:r>
      <w:r w:rsidR="00D212B5" w:rsidRPr="00182CC6">
        <w:rPr>
          <w:lang w:val="en-GB"/>
        </w:rPr>
        <w:t xml:space="preserve">unexpected </w:t>
      </w:r>
      <w:r w:rsidR="009356B9" w:rsidRPr="00182CC6">
        <w:rPr>
          <w:lang w:val="en-GB"/>
        </w:rPr>
        <w:t xml:space="preserve">high-impact </w:t>
      </w:r>
      <w:r w:rsidR="00881C6C" w:rsidRPr="00182CC6">
        <w:rPr>
          <w:lang w:val="en-GB"/>
        </w:rPr>
        <w:t>events such as accidents</w:t>
      </w:r>
      <w:r w:rsidR="00D212B5" w:rsidRPr="00182CC6">
        <w:rPr>
          <w:lang w:val="en-GB"/>
        </w:rPr>
        <w:t xml:space="preserve"> in production and transportation,</w:t>
      </w:r>
      <w:r w:rsidR="00881C6C" w:rsidRPr="00182CC6">
        <w:rPr>
          <w:lang w:val="en-GB"/>
        </w:rPr>
        <w:t xml:space="preserve"> or natural disasters. </w:t>
      </w:r>
      <w:r w:rsidR="0026795D" w:rsidRPr="00182CC6">
        <w:rPr>
          <w:lang w:val="en-GB"/>
        </w:rPr>
        <w:t xml:space="preserve">In a second </w:t>
      </w:r>
      <w:r w:rsidR="004B7092" w:rsidRPr="00182CC6">
        <w:rPr>
          <w:lang w:val="en-GB"/>
        </w:rPr>
        <w:t>step</w:t>
      </w:r>
      <w:r w:rsidR="00A45568" w:rsidRPr="00182CC6">
        <w:rPr>
          <w:lang w:val="en-GB"/>
        </w:rPr>
        <w:t xml:space="preserve">, </w:t>
      </w:r>
      <w:r w:rsidR="00436434" w:rsidRPr="00182CC6">
        <w:rPr>
          <w:lang w:val="en-GB"/>
        </w:rPr>
        <w:t xml:space="preserve">a </w:t>
      </w:r>
      <w:r w:rsidR="00197ED4" w:rsidRPr="00182CC6">
        <w:rPr>
          <w:lang w:val="en-GB"/>
        </w:rPr>
        <w:t>m</w:t>
      </w:r>
      <w:r w:rsidR="00C705C8" w:rsidRPr="00182CC6">
        <w:rPr>
          <w:lang w:val="en-GB"/>
        </w:rPr>
        <w:t>ulti-objective mixed integer linear programming (MO-MILP)</w:t>
      </w:r>
      <w:r w:rsidR="00197ED4" w:rsidRPr="00182CC6">
        <w:rPr>
          <w:lang w:val="en-GB"/>
        </w:rPr>
        <w:t xml:space="preserve"> model is developed </w:t>
      </w:r>
      <w:r w:rsidR="00762DA2" w:rsidRPr="00182CC6">
        <w:rPr>
          <w:lang w:val="en-GB"/>
        </w:rPr>
        <w:t xml:space="preserve">to optimize the </w:t>
      </w:r>
      <w:r w:rsidR="00A64513" w:rsidRPr="00182CC6">
        <w:rPr>
          <w:lang w:val="en-GB"/>
        </w:rPr>
        <w:t>selected inventory-based strateg</w:t>
      </w:r>
      <w:r w:rsidR="0026795D" w:rsidRPr="00182CC6">
        <w:rPr>
          <w:lang w:val="en-GB"/>
        </w:rPr>
        <w:t>y</w:t>
      </w:r>
      <w:r w:rsidR="00762DA2" w:rsidRPr="00182CC6">
        <w:rPr>
          <w:lang w:val="en-GB"/>
        </w:rPr>
        <w:t xml:space="preserve"> </w:t>
      </w:r>
      <w:r w:rsidR="00794E80" w:rsidRPr="00182CC6">
        <w:rPr>
          <w:lang w:val="en-GB"/>
        </w:rPr>
        <w:t xml:space="preserve">regarding the </w:t>
      </w:r>
      <w:r w:rsidR="0009527C" w:rsidRPr="00182CC6">
        <w:rPr>
          <w:lang w:val="en-GB"/>
        </w:rPr>
        <w:t>economic</w:t>
      </w:r>
      <w:r w:rsidR="008738D0" w:rsidRPr="00182CC6">
        <w:rPr>
          <w:lang w:val="en-GB"/>
        </w:rPr>
        <w:t xml:space="preserve">, </w:t>
      </w:r>
      <w:r w:rsidR="0009527C" w:rsidRPr="00182CC6">
        <w:rPr>
          <w:lang w:val="en-GB"/>
        </w:rPr>
        <w:t>social,</w:t>
      </w:r>
      <w:r w:rsidR="008738D0" w:rsidRPr="00182CC6">
        <w:rPr>
          <w:lang w:val="en-GB"/>
        </w:rPr>
        <w:t xml:space="preserve"> and environmental </w:t>
      </w:r>
      <w:r w:rsidR="00D111E9" w:rsidRPr="00182CC6">
        <w:rPr>
          <w:lang w:val="en-GB"/>
        </w:rPr>
        <w:t>dimensions</w:t>
      </w:r>
      <w:r w:rsidR="008738D0" w:rsidRPr="00182CC6">
        <w:rPr>
          <w:lang w:val="en-GB"/>
        </w:rPr>
        <w:t xml:space="preserve">. </w:t>
      </w:r>
      <w:r w:rsidR="00B666E2" w:rsidRPr="00182CC6">
        <w:rPr>
          <w:lang w:val="en-GB"/>
        </w:rPr>
        <w:t>In particular, t</w:t>
      </w:r>
      <w:r w:rsidR="00D111E9" w:rsidRPr="00182CC6">
        <w:rPr>
          <w:lang w:val="en-GB"/>
        </w:rPr>
        <w:t xml:space="preserve">he social </w:t>
      </w:r>
      <w:r w:rsidR="00DB59BF" w:rsidRPr="00182CC6">
        <w:rPr>
          <w:lang w:val="en-GB"/>
        </w:rPr>
        <w:t xml:space="preserve">and environmental aspects are </w:t>
      </w:r>
      <w:r w:rsidR="003B29F8" w:rsidRPr="00182CC6">
        <w:rPr>
          <w:lang w:val="en-GB"/>
        </w:rPr>
        <w:t>introduced</w:t>
      </w:r>
      <w:r w:rsidR="00645A32" w:rsidRPr="00182CC6">
        <w:rPr>
          <w:lang w:val="en-GB"/>
        </w:rPr>
        <w:t xml:space="preserve"> by </w:t>
      </w:r>
      <w:r w:rsidR="00866D31" w:rsidRPr="00182CC6">
        <w:rPr>
          <w:lang w:val="en-GB"/>
        </w:rPr>
        <w:t xml:space="preserve">anticipating </w:t>
      </w:r>
      <w:r w:rsidR="004F42E4" w:rsidRPr="00182CC6">
        <w:rPr>
          <w:lang w:val="en-GB"/>
        </w:rPr>
        <w:t xml:space="preserve">the expected waste generation </w:t>
      </w:r>
      <w:r w:rsidR="005B05AD" w:rsidRPr="00182CC6">
        <w:rPr>
          <w:lang w:val="en-GB"/>
        </w:rPr>
        <w:t>of close to expire medicines</w:t>
      </w:r>
      <w:r w:rsidR="005B041A" w:rsidRPr="00182CC6">
        <w:rPr>
          <w:lang w:val="en-GB"/>
        </w:rPr>
        <w:t xml:space="preserve">, </w:t>
      </w:r>
      <w:r w:rsidR="005B05AD" w:rsidRPr="00182CC6">
        <w:rPr>
          <w:lang w:val="en-GB"/>
        </w:rPr>
        <w:t xml:space="preserve">redirecting </w:t>
      </w:r>
      <w:r w:rsidR="00656934" w:rsidRPr="00182CC6">
        <w:rPr>
          <w:lang w:val="en-GB"/>
        </w:rPr>
        <w:t>them</w:t>
      </w:r>
      <w:r w:rsidR="005B05AD" w:rsidRPr="00182CC6">
        <w:rPr>
          <w:lang w:val="en-GB"/>
        </w:rPr>
        <w:t xml:space="preserve"> into a donation scheme. </w:t>
      </w:r>
      <w:r w:rsidR="006A5ED8" w:rsidRPr="00182CC6">
        <w:rPr>
          <w:lang w:val="en-GB"/>
        </w:rPr>
        <w:t>The proposed approach is applied to a representative PSC</w:t>
      </w:r>
      <w:r w:rsidR="003D6F22" w:rsidRPr="00182CC6">
        <w:rPr>
          <w:lang w:val="en-GB"/>
        </w:rPr>
        <w:t xml:space="preserve">, </w:t>
      </w:r>
      <w:r w:rsidR="00D212B5" w:rsidRPr="00182CC6">
        <w:rPr>
          <w:lang w:val="en-GB"/>
        </w:rPr>
        <w:t xml:space="preserve">with </w:t>
      </w:r>
      <w:r w:rsidR="003D6F22" w:rsidRPr="00182CC6">
        <w:rPr>
          <w:lang w:val="en-GB"/>
        </w:rPr>
        <w:t xml:space="preserve">preliminary results </w:t>
      </w:r>
      <w:r w:rsidR="003B2CAE" w:rsidRPr="00182CC6">
        <w:rPr>
          <w:lang w:val="en-GB"/>
        </w:rPr>
        <w:t>show</w:t>
      </w:r>
      <w:r w:rsidR="00D212B5" w:rsidRPr="00182CC6">
        <w:rPr>
          <w:lang w:val="en-GB"/>
        </w:rPr>
        <w:t>ing</w:t>
      </w:r>
      <w:r w:rsidR="003D6F22" w:rsidRPr="00182CC6">
        <w:rPr>
          <w:lang w:val="en-GB"/>
        </w:rPr>
        <w:t xml:space="preserve"> the </w:t>
      </w:r>
      <w:r w:rsidR="00FF167D" w:rsidRPr="00182CC6">
        <w:rPr>
          <w:lang w:val="en-GB"/>
        </w:rPr>
        <w:t>relevance of this</w:t>
      </w:r>
      <w:r w:rsidR="00F253AD" w:rsidRPr="00182CC6">
        <w:rPr>
          <w:lang w:val="en-GB"/>
        </w:rPr>
        <w:t xml:space="preserve"> tool for decision-makers to assess the </w:t>
      </w:r>
      <w:r w:rsidR="00E92658" w:rsidRPr="00182CC6">
        <w:rPr>
          <w:lang w:val="en-GB"/>
        </w:rPr>
        <w:t>trade-offs</w:t>
      </w:r>
      <w:r w:rsidR="0041061E" w:rsidRPr="00182CC6">
        <w:rPr>
          <w:lang w:val="en-GB"/>
        </w:rPr>
        <w:t xml:space="preserve"> associated to the economic and social dimensions</w:t>
      </w:r>
      <w:r w:rsidR="00D212B5" w:rsidRPr="00182CC6">
        <w:rPr>
          <w:lang w:val="en-GB"/>
        </w:rPr>
        <w:t>,</w:t>
      </w:r>
      <w:r w:rsidR="0041061E" w:rsidRPr="00182CC6">
        <w:rPr>
          <w:lang w:val="en-GB"/>
        </w:rPr>
        <w:t xml:space="preserve"> as well as their impacts on waste generation.</w:t>
      </w:r>
    </w:p>
    <w:p w14:paraId="144DE687" w14:textId="69D220AB" w:rsidR="008D2649" w:rsidRPr="00182CC6" w:rsidRDefault="008D2649" w:rsidP="008D2649">
      <w:pPr>
        <w:pStyle w:val="Els-body-text"/>
        <w:spacing w:after="120"/>
        <w:rPr>
          <w:lang w:val="en-GB"/>
        </w:rPr>
      </w:pPr>
      <w:r w:rsidRPr="00182CC6">
        <w:rPr>
          <w:b/>
          <w:bCs/>
          <w:lang w:val="en-GB"/>
        </w:rPr>
        <w:t>Keywords</w:t>
      </w:r>
      <w:r w:rsidRPr="00182CC6">
        <w:rPr>
          <w:lang w:val="en-GB"/>
        </w:rPr>
        <w:t>:</w:t>
      </w:r>
      <w:r w:rsidR="00076775" w:rsidRPr="00182CC6">
        <w:rPr>
          <w:lang w:val="en-GB"/>
        </w:rPr>
        <w:t xml:space="preserve"> closed-loop</w:t>
      </w:r>
      <w:r w:rsidRPr="00182CC6">
        <w:rPr>
          <w:lang w:val="en-GB"/>
        </w:rPr>
        <w:t xml:space="preserve"> </w:t>
      </w:r>
      <w:r w:rsidR="00076775" w:rsidRPr="00182CC6">
        <w:rPr>
          <w:lang w:val="en-GB"/>
        </w:rPr>
        <w:t>supply chain</w:t>
      </w:r>
      <w:r w:rsidRPr="00182CC6">
        <w:rPr>
          <w:lang w:val="en-GB"/>
        </w:rPr>
        <w:t xml:space="preserve">, </w:t>
      </w:r>
      <w:r w:rsidR="00076775" w:rsidRPr="00182CC6">
        <w:rPr>
          <w:lang w:val="en-GB"/>
        </w:rPr>
        <w:t xml:space="preserve">optimization, simulation, </w:t>
      </w:r>
      <w:r w:rsidR="001A3A6B" w:rsidRPr="00182CC6">
        <w:rPr>
          <w:lang w:val="en-GB"/>
        </w:rPr>
        <w:t>resiliency, sustainability</w:t>
      </w:r>
      <w:r w:rsidRPr="00182CC6">
        <w:rPr>
          <w:lang w:val="en-GB"/>
        </w:rPr>
        <w:t>.</w:t>
      </w:r>
    </w:p>
    <w:p w14:paraId="144DE689" w14:textId="47B738EF" w:rsidR="008D2649" w:rsidRPr="00182CC6" w:rsidRDefault="00E34310" w:rsidP="008D2649">
      <w:pPr>
        <w:pStyle w:val="Els-1storder-head"/>
        <w:rPr>
          <w:lang w:val="en-GB"/>
        </w:rPr>
      </w:pPr>
      <w:r w:rsidRPr="00182CC6">
        <w:rPr>
          <w:lang w:val="en-GB"/>
        </w:rPr>
        <w:t>Introduction</w:t>
      </w:r>
    </w:p>
    <w:p w14:paraId="62DD9817" w14:textId="6A8CCD94" w:rsidR="00344B41" w:rsidRPr="00182CC6" w:rsidRDefault="004452FA" w:rsidP="00697DA2">
      <w:pPr>
        <w:pStyle w:val="Els-body-text"/>
        <w:rPr>
          <w:lang w:val="en-GB"/>
        </w:rPr>
      </w:pPr>
      <w:r w:rsidRPr="00182CC6">
        <w:rPr>
          <w:lang w:val="en-GB"/>
        </w:rPr>
        <w:t>The pharm</w:t>
      </w:r>
      <w:r w:rsidR="009B64AE" w:rsidRPr="00182CC6">
        <w:rPr>
          <w:lang w:val="en-GB"/>
        </w:rPr>
        <w:t>a</w:t>
      </w:r>
      <w:r w:rsidRPr="00182CC6">
        <w:rPr>
          <w:lang w:val="en-GB"/>
        </w:rPr>
        <w:t>ceutica</w:t>
      </w:r>
      <w:r w:rsidR="009B64AE" w:rsidRPr="00182CC6">
        <w:rPr>
          <w:lang w:val="en-GB"/>
        </w:rPr>
        <w:t>l</w:t>
      </w:r>
      <w:r w:rsidRPr="00182CC6">
        <w:rPr>
          <w:lang w:val="en-GB"/>
        </w:rPr>
        <w:t xml:space="preserve"> </w:t>
      </w:r>
      <w:r w:rsidR="009B64AE" w:rsidRPr="00182CC6">
        <w:rPr>
          <w:lang w:val="en-GB"/>
        </w:rPr>
        <w:t xml:space="preserve">sector </w:t>
      </w:r>
      <w:r w:rsidR="00844547" w:rsidRPr="00182CC6">
        <w:rPr>
          <w:lang w:val="en-GB"/>
        </w:rPr>
        <w:t>comprises</w:t>
      </w:r>
      <w:r w:rsidR="00871154" w:rsidRPr="00182CC6">
        <w:rPr>
          <w:lang w:val="en-GB"/>
        </w:rPr>
        <w:t xml:space="preserve"> a</w:t>
      </w:r>
      <w:r w:rsidRPr="00182CC6">
        <w:rPr>
          <w:lang w:val="en-GB"/>
        </w:rPr>
        <w:t xml:space="preserve"> global</w:t>
      </w:r>
      <w:r w:rsidR="009B64AE" w:rsidRPr="00182CC6">
        <w:rPr>
          <w:lang w:val="en-GB"/>
        </w:rPr>
        <w:t xml:space="preserve"> </w:t>
      </w:r>
      <w:r w:rsidR="00871154" w:rsidRPr="00182CC6">
        <w:rPr>
          <w:lang w:val="en-GB"/>
        </w:rPr>
        <w:t xml:space="preserve">industry responsible for the development, </w:t>
      </w:r>
      <w:r w:rsidR="008A2164" w:rsidRPr="00182CC6">
        <w:rPr>
          <w:lang w:val="en-GB"/>
        </w:rPr>
        <w:t>manufactur</w:t>
      </w:r>
      <w:r w:rsidR="0026795D" w:rsidRPr="00182CC6">
        <w:rPr>
          <w:lang w:val="en-GB"/>
        </w:rPr>
        <w:t>ing</w:t>
      </w:r>
      <w:r w:rsidR="008A2164" w:rsidRPr="00182CC6">
        <w:rPr>
          <w:lang w:val="en-GB"/>
        </w:rPr>
        <w:t>,</w:t>
      </w:r>
      <w:r w:rsidR="00871154" w:rsidRPr="00182CC6">
        <w:rPr>
          <w:lang w:val="en-GB"/>
        </w:rPr>
        <w:t xml:space="preserve"> and distribution of medicines worldwide.</w:t>
      </w:r>
      <w:r w:rsidR="00844547" w:rsidRPr="00182CC6">
        <w:rPr>
          <w:lang w:val="en-GB"/>
        </w:rPr>
        <w:t xml:space="preserve"> Similar</w:t>
      </w:r>
      <w:r w:rsidR="00400327" w:rsidRPr="00182CC6">
        <w:rPr>
          <w:lang w:val="en-GB"/>
        </w:rPr>
        <w:t>ly</w:t>
      </w:r>
      <w:r w:rsidR="00844547" w:rsidRPr="00182CC6">
        <w:rPr>
          <w:lang w:val="en-GB"/>
        </w:rPr>
        <w:t xml:space="preserve"> to any other sector, the pressures to become cost-eff</w:t>
      </w:r>
      <w:r w:rsidR="00D56349" w:rsidRPr="00182CC6">
        <w:rPr>
          <w:lang w:val="en-GB"/>
        </w:rPr>
        <w:t>icient</w:t>
      </w:r>
      <w:r w:rsidR="00844547" w:rsidRPr="00182CC6">
        <w:rPr>
          <w:lang w:val="en-GB"/>
        </w:rPr>
        <w:t xml:space="preserve"> ha</w:t>
      </w:r>
      <w:r w:rsidR="0026795D" w:rsidRPr="00182CC6">
        <w:rPr>
          <w:lang w:val="en-GB"/>
        </w:rPr>
        <w:t>d</w:t>
      </w:r>
      <w:r w:rsidR="00844547" w:rsidRPr="00182CC6">
        <w:rPr>
          <w:lang w:val="en-GB"/>
        </w:rPr>
        <w:t xml:space="preserve"> le</w:t>
      </w:r>
      <w:r w:rsidR="00400327" w:rsidRPr="00182CC6">
        <w:rPr>
          <w:lang w:val="en-GB"/>
        </w:rPr>
        <w:t>d</w:t>
      </w:r>
      <w:r w:rsidR="00844547" w:rsidRPr="00182CC6">
        <w:rPr>
          <w:lang w:val="en-GB"/>
        </w:rPr>
        <w:t xml:space="preserve"> to </w:t>
      </w:r>
      <w:r w:rsidR="00B06AD1" w:rsidRPr="00182CC6">
        <w:rPr>
          <w:lang w:val="en-GB"/>
        </w:rPr>
        <w:t>distribution</w:t>
      </w:r>
      <w:r w:rsidR="00844547" w:rsidRPr="00182CC6">
        <w:rPr>
          <w:lang w:val="en-GB"/>
        </w:rPr>
        <w:t xml:space="preserve"> networks </w:t>
      </w:r>
      <w:r w:rsidR="00D04EAB" w:rsidRPr="00182CC6">
        <w:rPr>
          <w:lang w:val="en-GB"/>
        </w:rPr>
        <w:t xml:space="preserve">highly globalized </w:t>
      </w:r>
      <w:r w:rsidR="00F379D6" w:rsidRPr="00182CC6">
        <w:rPr>
          <w:lang w:val="en-GB"/>
        </w:rPr>
        <w:t xml:space="preserve">and </w:t>
      </w:r>
      <w:r w:rsidR="00CC1FE9" w:rsidRPr="00182CC6">
        <w:rPr>
          <w:lang w:val="en-GB"/>
        </w:rPr>
        <w:t>complex</w:t>
      </w:r>
      <w:r w:rsidR="00A22F09" w:rsidRPr="00182CC6">
        <w:rPr>
          <w:lang w:val="en-GB"/>
        </w:rPr>
        <w:t>,</w:t>
      </w:r>
      <w:r w:rsidR="00CA7547" w:rsidRPr="00182CC6">
        <w:rPr>
          <w:lang w:val="en-GB"/>
        </w:rPr>
        <w:t xml:space="preserve"> </w:t>
      </w:r>
      <w:r w:rsidR="005B44F1" w:rsidRPr="00182CC6">
        <w:rPr>
          <w:lang w:val="en-GB"/>
        </w:rPr>
        <w:t xml:space="preserve">imposing significant </w:t>
      </w:r>
      <w:r w:rsidR="007E79C6" w:rsidRPr="00182CC6">
        <w:rPr>
          <w:lang w:val="en-GB"/>
        </w:rPr>
        <w:t xml:space="preserve">managerial </w:t>
      </w:r>
      <w:r w:rsidR="005B44F1" w:rsidRPr="00182CC6">
        <w:rPr>
          <w:lang w:val="en-GB"/>
        </w:rPr>
        <w:t xml:space="preserve">challenges, </w:t>
      </w:r>
      <w:r w:rsidR="007E79C6" w:rsidRPr="00182CC6">
        <w:rPr>
          <w:lang w:val="en-GB"/>
        </w:rPr>
        <w:t>particularly</w:t>
      </w:r>
      <w:r w:rsidR="005B44F1" w:rsidRPr="00182CC6">
        <w:rPr>
          <w:lang w:val="en-GB"/>
        </w:rPr>
        <w:t xml:space="preserve"> in dealing with uncertainty.</w:t>
      </w:r>
      <w:r w:rsidR="00D259D6" w:rsidRPr="00182CC6">
        <w:rPr>
          <w:lang w:val="en-GB"/>
        </w:rPr>
        <w:t xml:space="preserve"> </w:t>
      </w:r>
    </w:p>
    <w:p w14:paraId="3865DD5D" w14:textId="7D953899" w:rsidR="004F3021" w:rsidRPr="00182CC6" w:rsidRDefault="007845C3" w:rsidP="00D9604A">
      <w:pPr>
        <w:pStyle w:val="Els-body-text"/>
        <w:rPr>
          <w:rFonts w:eastAsia="SourceSansPro-Regular"/>
          <w:lang w:val="en-GB"/>
          <w14:ligatures w14:val="standardContextual"/>
        </w:rPr>
      </w:pPr>
      <w:r w:rsidRPr="00182CC6">
        <w:rPr>
          <w:lang w:val="en-GB"/>
        </w:rPr>
        <w:t>With disruptive events becoming ever more frequent and severe, key vulnerabilities also become more significant</w:t>
      </w:r>
      <w:r w:rsidR="00932B70" w:rsidRPr="00182CC6">
        <w:rPr>
          <w:lang w:val="en-GB"/>
        </w:rPr>
        <w:t>,</w:t>
      </w:r>
      <w:r w:rsidRPr="00182CC6">
        <w:rPr>
          <w:lang w:val="en-GB"/>
        </w:rPr>
        <w:t xml:space="preserve"> with any unpredicted changes result</w:t>
      </w:r>
      <w:r w:rsidR="00BA0391" w:rsidRPr="00182CC6">
        <w:rPr>
          <w:lang w:val="en-GB"/>
        </w:rPr>
        <w:t>ing</w:t>
      </w:r>
      <w:r w:rsidRPr="00182CC6">
        <w:rPr>
          <w:lang w:val="en-GB"/>
        </w:rPr>
        <w:t xml:space="preserve"> in substantial</w:t>
      </w:r>
      <w:r w:rsidR="001834AC" w:rsidRPr="00182CC6">
        <w:rPr>
          <w:lang w:val="en-GB"/>
        </w:rPr>
        <w:t xml:space="preserve"> economic and social</w:t>
      </w:r>
      <w:r w:rsidRPr="00182CC6">
        <w:rPr>
          <w:lang w:val="en-GB"/>
        </w:rPr>
        <w:t xml:space="preserve"> losses.</w:t>
      </w:r>
      <w:r w:rsidR="004149BA" w:rsidRPr="00182CC6">
        <w:rPr>
          <w:lang w:val="en-GB"/>
        </w:rPr>
        <w:t xml:space="preserve"> E</w:t>
      </w:r>
      <w:r w:rsidR="0086777E" w:rsidRPr="00182CC6">
        <w:rPr>
          <w:lang w:val="en-GB"/>
        </w:rPr>
        <w:t xml:space="preserve">nsuring resilient operations </w:t>
      </w:r>
      <w:r w:rsidR="00BC0EE1" w:rsidRPr="00182CC6">
        <w:rPr>
          <w:lang w:val="en-GB"/>
        </w:rPr>
        <w:t xml:space="preserve">across the entire pharmaceutical value chain </w:t>
      </w:r>
      <w:r w:rsidR="00F72BDA" w:rsidRPr="00182CC6">
        <w:rPr>
          <w:lang w:val="en-GB"/>
        </w:rPr>
        <w:t>is</w:t>
      </w:r>
      <w:r w:rsidR="004149BA" w:rsidRPr="00182CC6">
        <w:rPr>
          <w:lang w:val="en-GB"/>
        </w:rPr>
        <w:t>, therefore,</w:t>
      </w:r>
      <w:r w:rsidR="00F87ED4" w:rsidRPr="00182CC6">
        <w:rPr>
          <w:lang w:val="en-GB"/>
        </w:rPr>
        <w:t xml:space="preserve"> not only a critical</w:t>
      </w:r>
      <w:r w:rsidR="00F72BDA" w:rsidRPr="00182CC6">
        <w:rPr>
          <w:lang w:val="en-GB"/>
        </w:rPr>
        <w:t xml:space="preserve"> management concern</w:t>
      </w:r>
      <w:r w:rsidR="009950C9" w:rsidRPr="00182CC6">
        <w:rPr>
          <w:rFonts w:eastAsia="SourceSansPro-Regular"/>
          <w:lang w:val="en-GB"/>
          <w14:ligatures w14:val="standardContextual"/>
        </w:rPr>
        <w:t>, but</w:t>
      </w:r>
      <w:r w:rsidR="006459AD" w:rsidRPr="00182CC6">
        <w:rPr>
          <w:rFonts w:eastAsia="SourceSansPro-Regular"/>
          <w:lang w:val="en-GB"/>
          <w14:ligatures w14:val="standardContextual"/>
        </w:rPr>
        <w:t xml:space="preserve"> also a</w:t>
      </w:r>
      <w:r w:rsidR="009950C9" w:rsidRPr="00182CC6">
        <w:rPr>
          <w:rFonts w:eastAsia="SourceSansPro-Regular"/>
          <w:lang w:val="en-GB"/>
          <w14:ligatures w14:val="standardContextual"/>
        </w:rPr>
        <w:t xml:space="preserve"> core social </w:t>
      </w:r>
      <w:r w:rsidR="00CA73BF" w:rsidRPr="00182CC6">
        <w:rPr>
          <w:rFonts w:eastAsia="SourceSansPro-Regular"/>
          <w:lang w:val="en-GB"/>
          <w14:ligatures w14:val="standardContextual"/>
        </w:rPr>
        <w:t xml:space="preserve">responsibility </w:t>
      </w:r>
      <w:r w:rsidR="00202424" w:rsidRPr="00182CC6">
        <w:rPr>
          <w:rFonts w:eastAsia="SourceSansPro-Regular"/>
          <w:lang w:val="en-GB"/>
          <w14:ligatures w14:val="standardContextual"/>
        </w:rPr>
        <w:fldChar w:fldCharType="begin"/>
      </w:r>
      <w:r w:rsidR="00BF2209" w:rsidRPr="00182CC6">
        <w:rPr>
          <w:rFonts w:eastAsia="SourceSansPro-Regular"/>
          <w:lang w:val="en-GB"/>
          <w14:ligatures w14:val="standardContextual"/>
        </w:rPr>
        <w:instrText xml:space="preserve"> ADDIN EN.CITE &lt;EndNote&gt;&lt;Cite&gt;&lt;Author&gt;Tat&lt;/Author&gt;&lt;Year&gt;2021&lt;/Year&gt;&lt;RecNum&gt;21&lt;/RecNum&gt;&lt;DisplayText&gt;(Tat &amp;amp; Heydari, 2021)&lt;/DisplayText&gt;&lt;record&gt;&lt;rec-number&gt;21&lt;/rec-number&gt;&lt;foreign-keys&gt;&lt;key app="EN" db-id="rpz9ear9bz90s7eavznvfae5rwe59rfsxa2s" timestamp="1698947487"&gt;21&lt;/key&gt;&lt;/foreign-keys&gt;&lt;ref-type name="Journal Article"&gt;17&lt;/ref-type&gt;&lt;contributors&gt;&lt;authors&gt;&lt;author&gt;Tat, Roya&lt;/author&gt;&lt;author&gt;Heydari, Jafar %J Journal of Cleaner Production&lt;/author&gt;&lt;/authors&gt;&lt;/contributors&gt;&lt;titles&gt;&lt;title&gt;Avoiding medicine wastes: Introducing a sustainable approach in the pharmaceutical supply chain&lt;/title&gt;&lt;/titles&gt;&lt;pages&gt;128698&lt;/pages&gt;&lt;volume&gt;320&lt;/volume&gt;&lt;dates&gt;&lt;year&gt;2021&lt;/year&gt;&lt;/dates&gt;&lt;isbn&gt;0959-6526&lt;/isbn&gt;&lt;urls&gt;&lt;/urls&gt;&lt;/record&gt;&lt;/Cite&gt;&lt;/EndNote&gt;</w:instrText>
      </w:r>
      <w:r w:rsidR="00202424" w:rsidRPr="00182CC6">
        <w:rPr>
          <w:rFonts w:eastAsia="SourceSansPro-Regular"/>
          <w:lang w:val="en-GB"/>
          <w14:ligatures w14:val="standardContextual"/>
        </w:rPr>
        <w:fldChar w:fldCharType="separate"/>
      </w:r>
      <w:r w:rsidR="00BF2209" w:rsidRPr="00182CC6">
        <w:rPr>
          <w:rFonts w:eastAsia="SourceSansPro-Regular"/>
          <w:noProof/>
          <w:lang w:val="en-GB"/>
          <w14:ligatures w14:val="standardContextual"/>
        </w:rPr>
        <w:t>(Tat &amp; Heydari, 2021)</w:t>
      </w:r>
      <w:r w:rsidR="00202424" w:rsidRPr="00182CC6">
        <w:rPr>
          <w:rFonts w:eastAsia="SourceSansPro-Regular"/>
          <w:lang w:val="en-GB"/>
          <w14:ligatures w14:val="standardContextual"/>
        </w:rPr>
        <w:fldChar w:fldCharType="end"/>
      </w:r>
      <w:r w:rsidR="00CA73BF" w:rsidRPr="00182CC6">
        <w:rPr>
          <w:rFonts w:eastAsia="SourceSansPro-Regular"/>
          <w:lang w:val="en-GB"/>
          <w14:ligatures w14:val="standardContextual"/>
        </w:rPr>
        <w:t xml:space="preserve">. </w:t>
      </w:r>
      <w:r w:rsidR="000A02D4" w:rsidRPr="00182CC6">
        <w:rPr>
          <w:rFonts w:eastAsia="SourceSansPro-Regular"/>
          <w:lang w:val="en-GB"/>
          <w14:ligatures w14:val="standardContextual"/>
        </w:rPr>
        <w:t>Resilience, defined by</w:t>
      </w:r>
      <w:r w:rsidR="00FE516D" w:rsidRPr="00182CC6">
        <w:rPr>
          <w:rFonts w:eastAsia="SourceSansPro-Regular"/>
          <w:lang w:val="en-GB"/>
          <w14:ligatures w14:val="standardContextual"/>
        </w:rPr>
        <w:t xml:space="preserve"> </w:t>
      </w:r>
      <w:r w:rsidR="001269EF" w:rsidRPr="00182CC6">
        <w:rPr>
          <w:rFonts w:eastAsia="SourceSansPro-Regular"/>
          <w:lang w:val="en-GB"/>
          <w14:ligatures w14:val="standardContextual"/>
        </w:rPr>
        <w:fldChar w:fldCharType="begin"/>
      </w:r>
      <w:r w:rsidR="00BF2209" w:rsidRPr="00182CC6">
        <w:rPr>
          <w:rFonts w:eastAsia="SourceSansPro-Regular"/>
          <w:lang w:val="en-GB"/>
          <w14:ligatures w14:val="standardContextual"/>
        </w:rPr>
        <w:instrText xml:space="preserve"> ADDIN EN.CITE &lt;EndNote&gt;&lt;Cite AuthorYear="1"&gt;&lt;Author&gt;Fahimnia&lt;/Author&gt;&lt;Year&gt;2016&lt;/Year&gt;&lt;RecNum&gt;17&lt;/RecNum&gt;&lt;DisplayText&gt;Fahimnia and Jabbarzadeh (2016)&lt;/DisplayText&gt;&lt;record&gt;&lt;rec-number&gt;17&lt;/rec-number&gt;&lt;foreign-keys&gt;&lt;key app="EN" db-id="rpz9ear9bz90s7eavznvfae5rwe59rfsxa2s" timestamp="1698767388"&gt;17&lt;/key&gt;&lt;/foreign-keys&gt;&lt;ref-type name="Journal Article"&gt;17&lt;/ref-type&gt;&lt;contributors&gt;&lt;authors&gt;&lt;author&gt;Fahimnia, Behnam&lt;/author&gt;&lt;author&gt;Jabbarzadeh, Armin&lt;/author&gt;&lt;/authors&gt;&lt;/contributors&gt;&lt;titles&gt;&lt;title&gt;Marrying supply chain sustainability and resilience: A match made in heaven&lt;/title&gt;&lt;secondary-title&gt;Transportation Research Part E: Logistics Transportation Review&lt;/secondary-title&gt;&lt;/titles&gt;&lt;periodical&gt;&lt;full-title&gt;Transportation research part e: logistics transportation review&lt;/full-title&gt;&lt;/periodical&gt;&lt;pages&gt;306-324&lt;/pages&gt;&lt;volume&gt;91&lt;/volume&gt;&lt;dates&gt;&lt;year&gt;2016&lt;/year&gt;&lt;/dates&gt;&lt;isbn&gt;1366-5545&lt;/isbn&gt;&lt;urls&gt;&lt;/urls&gt;&lt;electronic-resource-num&gt;doi.org/10.1016/j.tre.2016.02.007&lt;/electronic-resource-num&gt;&lt;/record&gt;&lt;/Cite&gt;&lt;/EndNote&gt;</w:instrText>
      </w:r>
      <w:r w:rsidR="001269EF" w:rsidRPr="00182CC6">
        <w:rPr>
          <w:rFonts w:eastAsia="SourceSansPro-Regular"/>
          <w:lang w:val="en-GB"/>
          <w14:ligatures w14:val="standardContextual"/>
        </w:rPr>
        <w:fldChar w:fldCharType="separate"/>
      </w:r>
      <w:r w:rsidR="00BF2209" w:rsidRPr="00182CC6">
        <w:rPr>
          <w:rFonts w:eastAsia="SourceSansPro-Regular"/>
          <w:noProof/>
          <w:lang w:val="en-GB"/>
          <w14:ligatures w14:val="standardContextual"/>
        </w:rPr>
        <w:t>Fahimnia and Jabbarzadeh (2016)</w:t>
      </w:r>
      <w:r w:rsidR="001269EF" w:rsidRPr="00182CC6">
        <w:rPr>
          <w:rFonts w:eastAsia="SourceSansPro-Regular"/>
          <w:lang w:val="en-GB"/>
          <w14:ligatures w14:val="standardContextual"/>
        </w:rPr>
        <w:fldChar w:fldCharType="end"/>
      </w:r>
      <w:r w:rsidR="00A73A7C" w:rsidRPr="00182CC6">
        <w:rPr>
          <w:lang w:val="en-GB"/>
        </w:rPr>
        <w:t xml:space="preserve"> </w:t>
      </w:r>
      <w:r w:rsidR="000A02D4" w:rsidRPr="00182CC6">
        <w:rPr>
          <w:rFonts w:eastAsia="SourceSansPro-Regular"/>
          <w:lang w:val="en-GB"/>
          <w14:ligatures w14:val="standardContextual"/>
        </w:rPr>
        <w:t xml:space="preserve">as the ability to withstand and recover from disturbances, </w:t>
      </w:r>
      <w:r w:rsidR="00A73A7C" w:rsidRPr="00182CC6">
        <w:rPr>
          <w:rFonts w:eastAsia="SourceSansPro-Regular"/>
          <w:lang w:val="en-GB"/>
          <w14:ligatures w14:val="standardContextual"/>
        </w:rPr>
        <w:t xml:space="preserve">still </w:t>
      </w:r>
      <w:r w:rsidR="000A02D4" w:rsidRPr="00182CC6">
        <w:rPr>
          <w:rFonts w:eastAsia="SourceSansPro-Regular"/>
          <w:lang w:val="en-GB"/>
          <w14:ligatures w14:val="standardContextual"/>
        </w:rPr>
        <w:t xml:space="preserve">remains elusive despite ongoing efforts to improve supply chain networks. </w:t>
      </w:r>
      <w:r w:rsidR="00EF2023" w:rsidRPr="00182CC6">
        <w:rPr>
          <w:rFonts w:eastAsia="SourceSansPro-Regular"/>
          <w:lang w:val="en-GB"/>
          <w14:ligatures w14:val="standardContextual"/>
        </w:rPr>
        <w:t>Organizations, striving to react more effectively to uncertainties, often resort to strategies involving operational redundancies, such as holding extra inventory</w:t>
      </w:r>
      <w:r w:rsidR="003555E3" w:rsidRPr="00182CC6">
        <w:rPr>
          <w:rFonts w:eastAsia="SourceSansPro-Regular"/>
          <w:lang w:val="en-GB"/>
          <w14:ligatures w14:val="standardContextual"/>
        </w:rPr>
        <w:t xml:space="preserve"> or dual</w:t>
      </w:r>
      <w:r w:rsidR="00D9604A" w:rsidRPr="00182CC6">
        <w:rPr>
          <w:rFonts w:eastAsia="SourceSansPro-Regular"/>
          <w:lang w:val="en-GB"/>
          <w14:ligatures w14:val="standardContextual"/>
        </w:rPr>
        <w:t xml:space="preserve"> sourcing</w:t>
      </w:r>
      <w:r w:rsidR="00187729" w:rsidRPr="00182CC6">
        <w:rPr>
          <w:rFonts w:eastAsia="SourceSansPro-Regular"/>
          <w:lang w:val="en-GB"/>
          <w14:ligatures w14:val="standardContextual"/>
        </w:rPr>
        <w:t xml:space="preserve"> </w:t>
      </w:r>
      <w:r w:rsidR="00963BD6" w:rsidRPr="00182CC6">
        <w:rPr>
          <w:rFonts w:eastAsia="SourceSansPro-Regular"/>
          <w:lang w:val="en-GB"/>
          <w14:ligatures w14:val="standardContextual"/>
        </w:rPr>
        <w:fldChar w:fldCharType="begin"/>
      </w:r>
      <w:r w:rsidR="00A23363" w:rsidRPr="00182CC6">
        <w:rPr>
          <w:rFonts w:eastAsia="SourceSansPro-Regular"/>
          <w:lang w:val="en-GB"/>
          <w14:ligatures w14:val="standardContextual"/>
        </w:rPr>
        <w:instrText xml:space="preserve"> ADDIN EN.CITE &lt;EndNote&gt;&lt;Cite&gt;&lt;Author&gt;Pavlov&lt;/Author&gt;&lt;Year&gt;2019&lt;/Year&gt;&lt;RecNum&gt;6&lt;/RecNum&gt;&lt;DisplayText&gt;(Pavlov et al., 2019)&lt;/DisplayText&gt;&lt;record&gt;&lt;rec-number&gt;6&lt;/rec-number&gt;&lt;foreign-keys&gt;&lt;key app="EN" db-id="rpz9ear9bz90s7eavznvfae5rwe59rfsxa2s" timestamp="1693993649"&gt;6&lt;/key&gt;&lt;/foreign-keys&gt;&lt;ref-type name="Journal Article"&gt;17&lt;/ref-type&gt;&lt;contributors&gt;&lt;authors&gt;&lt;author&gt;Pavlov, Alexander&lt;/author&gt;&lt;author&gt;Ivanov, Dmitry&lt;/author&gt;&lt;author&gt;Pavlov, Dmitry&lt;/author&gt;&lt;author&gt;Slinko, Alexey&lt;/author&gt;&lt;/authors&gt;&lt;/contributors&gt;&lt;titles&gt;&lt;title&gt;Optimization of network redundancy and contingency planning in sustainable and resilient supply chain resource management under conditions of structural dynamics&lt;/title&gt;&lt;secondary-title&gt;Annals of Operations Research&lt;/secondary-title&gt;&lt;/titles&gt;&lt;periodical&gt;&lt;full-title&gt;Annals of Operations Research&lt;/full-title&gt;&lt;/periodical&gt;&lt;pages&gt;1-30&lt;/pages&gt;&lt;dates&gt;&lt;year&gt;2019&lt;/year&gt;&lt;/dates&gt;&lt;isbn&gt;0254-5330&lt;/isbn&gt;&lt;urls&gt;&lt;/urls&gt;&lt;electronic-resource-num&gt;doi.org/10.1007/s10479-019-03182-6&lt;/electronic-resource-num&gt;&lt;/record&gt;&lt;/Cite&gt;&lt;/EndNote&gt;</w:instrText>
      </w:r>
      <w:r w:rsidR="00963BD6" w:rsidRPr="00182CC6">
        <w:rPr>
          <w:rFonts w:eastAsia="SourceSansPro-Regular"/>
          <w:lang w:val="en-GB"/>
          <w14:ligatures w14:val="standardContextual"/>
        </w:rPr>
        <w:fldChar w:fldCharType="separate"/>
      </w:r>
      <w:r w:rsidR="00A23363" w:rsidRPr="00182CC6">
        <w:rPr>
          <w:rFonts w:eastAsia="SourceSansPro-Regular"/>
          <w:noProof/>
          <w:lang w:val="en-GB"/>
          <w14:ligatures w14:val="standardContextual"/>
        </w:rPr>
        <w:t>(Pavlov et al., 2019)</w:t>
      </w:r>
      <w:r w:rsidR="00963BD6" w:rsidRPr="00182CC6">
        <w:rPr>
          <w:rFonts w:eastAsia="SourceSansPro-Regular"/>
          <w:lang w:val="en-GB"/>
          <w14:ligatures w14:val="standardContextual"/>
        </w:rPr>
        <w:fldChar w:fldCharType="end"/>
      </w:r>
      <w:r w:rsidR="007A5CC0" w:rsidRPr="00182CC6">
        <w:rPr>
          <w:rFonts w:eastAsia="SourceSansPro-Regular"/>
          <w:lang w:val="en-GB"/>
          <w14:ligatures w14:val="standardContextual"/>
        </w:rPr>
        <w:t>.</w:t>
      </w:r>
      <w:r w:rsidR="00EE2778" w:rsidRPr="00182CC6">
        <w:rPr>
          <w:rFonts w:eastAsia="SourceSansPro-Regular"/>
          <w:lang w:val="en-GB"/>
          <w14:ligatures w14:val="standardContextual"/>
        </w:rPr>
        <w:t xml:space="preserve"> </w:t>
      </w:r>
      <w:r w:rsidR="00F45CED" w:rsidRPr="00182CC6">
        <w:rPr>
          <w:rFonts w:eastAsia="SourceSansPro-Regular"/>
          <w:lang w:val="en-GB"/>
          <w14:ligatures w14:val="standardContextual"/>
        </w:rPr>
        <w:t>Inventory</w:t>
      </w:r>
      <w:r w:rsidR="00376F52" w:rsidRPr="00182CC6">
        <w:rPr>
          <w:rFonts w:eastAsia="SourceSansPro-Regular"/>
          <w:lang w:val="en-GB"/>
          <w14:ligatures w14:val="standardContextual"/>
        </w:rPr>
        <w:t>-based strategies are among</w:t>
      </w:r>
      <w:r w:rsidR="00C240CC" w:rsidRPr="00182CC6">
        <w:rPr>
          <w:rFonts w:eastAsia="SourceSansPro-Regular"/>
          <w:lang w:val="en-GB"/>
          <w14:ligatures w14:val="standardContextual"/>
        </w:rPr>
        <w:t xml:space="preserve"> the most common a</w:t>
      </w:r>
      <w:r w:rsidR="005E7B47" w:rsidRPr="00182CC6">
        <w:rPr>
          <w:rFonts w:eastAsia="SourceSansPro-Regular"/>
          <w:lang w:val="en-GB"/>
          <w14:ligatures w14:val="standardContextual"/>
        </w:rPr>
        <w:t>pproaches used in practice</w:t>
      </w:r>
      <w:r w:rsidR="00376F52" w:rsidRPr="00182CC6">
        <w:rPr>
          <w:rFonts w:eastAsia="SourceSansPro-Regular"/>
          <w:lang w:val="en-GB"/>
          <w14:ligatures w14:val="standardContextual"/>
        </w:rPr>
        <w:t xml:space="preserve">, and </w:t>
      </w:r>
      <w:r w:rsidR="00487AF1" w:rsidRPr="00182CC6">
        <w:rPr>
          <w:rFonts w:eastAsia="SourceSansPro-Regular"/>
          <w:lang w:val="en-GB"/>
          <w14:ligatures w14:val="standardContextual"/>
        </w:rPr>
        <w:t>are particularly</w:t>
      </w:r>
      <w:r w:rsidR="00CD7AAF" w:rsidRPr="00182CC6">
        <w:rPr>
          <w:rFonts w:eastAsia="SourceSansPro-Regular"/>
          <w:lang w:val="en-GB"/>
          <w14:ligatures w14:val="standardContextual"/>
        </w:rPr>
        <w:t xml:space="preserve"> interesting </w:t>
      </w:r>
      <w:r w:rsidR="0091036C" w:rsidRPr="00182CC6">
        <w:rPr>
          <w:rFonts w:eastAsia="SourceSansPro-Regular"/>
          <w:lang w:val="en-GB"/>
          <w14:ligatures w14:val="standardContextual"/>
        </w:rPr>
        <w:t xml:space="preserve">in </w:t>
      </w:r>
      <w:r w:rsidR="00322FCF" w:rsidRPr="00182CC6">
        <w:rPr>
          <w:rFonts w:eastAsia="SourceSansPro-Regular"/>
          <w:lang w:val="en-GB"/>
          <w14:ligatures w14:val="standardContextual"/>
        </w:rPr>
        <w:t xml:space="preserve">pharmaceutical </w:t>
      </w:r>
      <w:r w:rsidR="0091036C" w:rsidRPr="00182CC6">
        <w:rPr>
          <w:rFonts w:eastAsia="SourceSansPro-Regular"/>
          <w:lang w:val="en-GB"/>
          <w14:ligatures w14:val="standardContextual"/>
        </w:rPr>
        <w:t xml:space="preserve">contexts </w:t>
      </w:r>
      <w:r w:rsidR="00322FCF" w:rsidRPr="00182CC6">
        <w:rPr>
          <w:rFonts w:eastAsia="SourceSansPro-Regular"/>
          <w:lang w:val="en-GB"/>
          <w14:ligatures w14:val="standardContextual"/>
        </w:rPr>
        <w:t>as</w:t>
      </w:r>
      <w:r w:rsidR="0091036C" w:rsidRPr="00182CC6">
        <w:rPr>
          <w:rFonts w:eastAsia="SourceSansPro-Regular"/>
          <w:lang w:val="en-GB"/>
          <w14:ligatures w14:val="standardContextual"/>
        </w:rPr>
        <w:t xml:space="preserve"> </w:t>
      </w:r>
      <w:r w:rsidR="00340AE0" w:rsidRPr="00182CC6">
        <w:rPr>
          <w:rFonts w:eastAsia="SourceSansPro-Regular"/>
          <w:lang w:val="en-GB"/>
          <w14:ligatures w14:val="standardContextual"/>
        </w:rPr>
        <w:t xml:space="preserve">the continuous supply of </w:t>
      </w:r>
      <w:r w:rsidR="00340AE0" w:rsidRPr="00182CC6">
        <w:rPr>
          <w:rFonts w:eastAsia="SourceSansPro-Regular"/>
          <w:lang w:val="en-GB"/>
          <w14:ligatures w14:val="standardContextual"/>
        </w:rPr>
        <w:lastRenderedPageBreak/>
        <w:t xml:space="preserve">products </w:t>
      </w:r>
      <w:r w:rsidR="00932B70" w:rsidRPr="00182CC6">
        <w:rPr>
          <w:rFonts w:eastAsia="SourceSansPro-Regular"/>
          <w:lang w:val="en-GB"/>
          <w14:ligatures w14:val="standardContextual"/>
        </w:rPr>
        <w:t xml:space="preserve">needs </w:t>
      </w:r>
      <w:r w:rsidR="00340AE0" w:rsidRPr="00182CC6">
        <w:rPr>
          <w:rFonts w:eastAsia="SourceSansPro-Regular"/>
          <w:lang w:val="en-GB"/>
          <w14:ligatures w14:val="standardContextual"/>
        </w:rPr>
        <w:t xml:space="preserve">to be </w:t>
      </w:r>
      <w:r w:rsidR="005F6004" w:rsidRPr="00182CC6">
        <w:rPr>
          <w:rFonts w:eastAsia="SourceSansPro-Regular"/>
          <w:lang w:val="en-GB"/>
          <w14:ligatures w14:val="standardContextual"/>
        </w:rPr>
        <w:t>guaranteed</w:t>
      </w:r>
      <w:r w:rsidR="00B610FA" w:rsidRPr="00182CC6">
        <w:rPr>
          <w:rFonts w:eastAsia="SourceSansPro-Regular"/>
          <w:lang w:val="en-GB"/>
          <w14:ligatures w14:val="standardContextual"/>
        </w:rPr>
        <w:t xml:space="preserve"> in a long-run perspective</w:t>
      </w:r>
      <w:r w:rsidR="00D460B5" w:rsidRPr="00182CC6">
        <w:rPr>
          <w:rFonts w:eastAsia="SourceSansPro-Regular"/>
          <w:lang w:val="en-GB"/>
          <w14:ligatures w14:val="standardContextual"/>
        </w:rPr>
        <w:t xml:space="preserve"> </w:t>
      </w:r>
      <w:r w:rsidR="00D10913" w:rsidRPr="00182CC6">
        <w:rPr>
          <w:rFonts w:eastAsia="SourceSansPro-Regular"/>
          <w:lang w:val="en-GB"/>
          <w14:ligatures w14:val="standardContextual"/>
        </w:rPr>
        <w:fldChar w:fldCharType="begin"/>
      </w:r>
      <w:r w:rsidR="00A23363" w:rsidRPr="00182CC6">
        <w:rPr>
          <w:rFonts w:eastAsia="SourceSansPro-Regular"/>
          <w:lang w:val="en-GB"/>
          <w14:ligatures w14:val="standardContextual"/>
        </w:rPr>
        <w:instrText xml:space="preserve"> ADDIN EN.CITE &lt;EndNote&gt;&lt;Cite&gt;&lt;Author&gt;Lücker&lt;/Author&gt;&lt;Year&gt;2019&lt;/Year&gt;&lt;RecNum&gt;2&lt;/RecNum&gt;&lt;DisplayText&gt;(Lücker et al., 2019)&lt;/DisplayText&gt;&lt;record&gt;&lt;rec-number&gt;2&lt;/rec-number&gt;&lt;foreign-keys&gt;&lt;key app="EN" db-id="rpz9ear9bz90s7eavznvfae5rwe59rfsxa2s" timestamp="1693930017"&gt;2&lt;/key&gt;&lt;/foreign-keys&gt;&lt;ref-type name="Journal Article"&gt;17&lt;/ref-type&gt;&lt;contributors&gt;&lt;authors&gt;&lt;author&gt;Lücker, Florian&lt;/author&gt;&lt;author&gt;Seifert, Ralf&lt;/author&gt;&lt;author&gt;Biçer, Işık&lt;/author&gt;&lt;/authors&gt;&lt;/contributors&gt;&lt;titles&gt;&lt;title&gt;Roles of inventory and reserve capacity in mitigating supply chain disruption risk&lt;/title&gt;&lt;secondary-title&gt;International Journal of Production Research&amp;#xD;&lt;/secondary-title&gt;&lt;/titles&gt;&lt;pages&gt;1238-1249&lt;/pages&gt;&lt;volume&gt;57&lt;/volume&gt;&lt;number&gt;4&lt;/number&gt;&lt;dates&gt;&lt;year&gt;2019&lt;/year&gt;&lt;/dates&gt;&lt;isbn&gt;0020-7543&lt;/isbn&gt;&lt;urls&gt;&lt;/urls&gt;&lt;electronic-resource-num&gt;doi.org/10.1080/00207543.2018.1504173&lt;/electronic-resource-num&gt;&lt;/record&gt;&lt;/Cite&gt;&lt;/EndNote&gt;</w:instrText>
      </w:r>
      <w:r w:rsidR="00D10913" w:rsidRPr="00182CC6">
        <w:rPr>
          <w:rFonts w:eastAsia="SourceSansPro-Regular"/>
          <w:lang w:val="en-GB"/>
          <w14:ligatures w14:val="standardContextual"/>
        </w:rPr>
        <w:fldChar w:fldCharType="separate"/>
      </w:r>
      <w:r w:rsidR="00A23363" w:rsidRPr="00182CC6">
        <w:rPr>
          <w:rFonts w:eastAsia="SourceSansPro-Regular"/>
          <w:noProof/>
          <w:lang w:val="en-GB"/>
          <w14:ligatures w14:val="standardContextual"/>
        </w:rPr>
        <w:t>(Lücker et al., 2019)</w:t>
      </w:r>
      <w:r w:rsidR="00D10913" w:rsidRPr="00182CC6">
        <w:rPr>
          <w:rFonts w:eastAsia="SourceSansPro-Regular"/>
          <w:lang w:val="en-GB"/>
          <w14:ligatures w14:val="standardContextual"/>
        </w:rPr>
        <w:fldChar w:fldCharType="end"/>
      </w:r>
      <w:r w:rsidR="00340AE0" w:rsidRPr="00182CC6">
        <w:rPr>
          <w:rFonts w:eastAsia="SourceSansPro-Regular"/>
          <w:lang w:val="en-GB"/>
          <w14:ligatures w14:val="standardContextual"/>
        </w:rPr>
        <w:t>.</w:t>
      </w:r>
      <w:r w:rsidR="00B70E7D" w:rsidRPr="00182CC6">
        <w:rPr>
          <w:rFonts w:eastAsia="SourceSansPro-Regular"/>
          <w:lang w:val="en-GB"/>
          <w14:ligatures w14:val="standardContextual"/>
        </w:rPr>
        <w:t xml:space="preserve"> </w:t>
      </w:r>
      <w:r w:rsidR="006B76C4" w:rsidRPr="00182CC6">
        <w:rPr>
          <w:rFonts w:eastAsia="SourceSansPro-Regular"/>
          <w:lang w:val="en-GB"/>
          <w14:ligatures w14:val="standardContextual"/>
        </w:rPr>
        <w:t>Th</w:t>
      </w:r>
      <w:r w:rsidR="00AF1C85" w:rsidRPr="00182CC6">
        <w:rPr>
          <w:rFonts w:eastAsia="SourceSansPro-Regular"/>
          <w:lang w:val="en-GB"/>
          <w14:ligatures w14:val="standardContextual"/>
        </w:rPr>
        <w:t>ese</w:t>
      </w:r>
      <w:r w:rsidR="006B76C4" w:rsidRPr="00182CC6">
        <w:rPr>
          <w:rFonts w:eastAsia="SourceSansPro-Regular"/>
          <w:lang w:val="en-GB"/>
          <w14:ligatures w14:val="standardContextual"/>
        </w:rPr>
        <w:t xml:space="preserve"> initiatives, however, come</w:t>
      </w:r>
      <w:r w:rsidR="00172771" w:rsidRPr="00182CC6">
        <w:rPr>
          <w:rFonts w:eastAsia="SourceSansPro-Regular"/>
          <w:lang w:val="en-GB"/>
          <w14:ligatures w14:val="standardContextual"/>
        </w:rPr>
        <w:t xml:space="preserve"> along</w:t>
      </w:r>
      <w:r w:rsidR="006B76C4" w:rsidRPr="00182CC6">
        <w:rPr>
          <w:rFonts w:eastAsia="SourceSansPro-Regular"/>
          <w:lang w:val="en-GB"/>
          <w14:ligatures w14:val="standardContextual"/>
        </w:rPr>
        <w:t xml:space="preserve"> with </w:t>
      </w:r>
      <w:r w:rsidR="00011F98" w:rsidRPr="00182CC6">
        <w:rPr>
          <w:rFonts w:eastAsia="SourceSansPro-Regular"/>
          <w:lang w:val="en-GB"/>
          <w14:ligatures w14:val="standardContextual"/>
        </w:rPr>
        <w:t>key</w:t>
      </w:r>
      <w:r w:rsidR="00172771" w:rsidRPr="00182CC6">
        <w:rPr>
          <w:rFonts w:eastAsia="SourceSansPro-Regular"/>
          <w:lang w:val="en-GB"/>
          <w14:ligatures w14:val="standardContextual"/>
        </w:rPr>
        <w:t xml:space="preserve"> </w:t>
      </w:r>
      <w:r w:rsidR="00E92658" w:rsidRPr="00182CC6">
        <w:rPr>
          <w:rFonts w:eastAsia="SourceSansPro-Regular"/>
          <w:lang w:val="en-GB"/>
          <w14:ligatures w14:val="standardContextual"/>
        </w:rPr>
        <w:t>trade-offs</w:t>
      </w:r>
      <w:r w:rsidR="00172771" w:rsidRPr="00182CC6">
        <w:rPr>
          <w:rFonts w:eastAsia="SourceSansPro-Regular"/>
          <w:lang w:val="en-GB"/>
          <w14:ligatures w14:val="standardContextual"/>
        </w:rPr>
        <w:t xml:space="preserve"> regarding </w:t>
      </w:r>
      <w:r w:rsidR="001F3E69" w:rsidRPr="00182CC6">
        <w:rPr>
          <w:rFonts w:eastAsia="SourceSansPro-Regular"/>
          <w:lang w:val="en-GB"/>
          <w14:ligatures w14:val="standardContextual"/>
        </w:rPr>
        <w:t xml:space="preserve">the impact on the </w:t>
      </w:r>
      <w:r w:rsidR="00172771" w:rsidRPr="00182CC6">
        <w:rPr>
          <w:rFonts w:eastAsia="SourceSansPro-Regular"/>
          <w:lang w:val="en-GB"/>
          <w14:ligatures w14:val="standardContextual"/>
        </w:rPr>
        <w:t>supply chain sustainability</w:t>
      </w:r>
      <w:r w:rsidR="001F3E69" w:rsidRPr="00182CC6">
        <w:rPr>
          <w:rFonts w:eastAsia="SourceSansPro-Regular"/>
          <w:lang w:val="en-GB"/>
          <w14:ligatures w14:val="standardContextual"/>
        </w:rPr>
        <w:t xml:space="preserve"> </w:t>
      </w:r>
      <w:r w:rsidR="00683B26" w:rsidRPr="00182CC6">
        <w:rPr>
          <w:rFonts w:eastAsia="SourceSansPro-Regular"/>
          <w:lang w:val="en-GB"/>
          <w14:ligatures w14:val="standardContextual"/>
        </w:rPr>
        <w:t xml:space="preserve">performance. </w:t>
      </w:r>
      <w:r w:rsidR="0005066D" w:rsidRPr="00182CC6">
        <w:rPr>
          <w:rFonts w:eastAsia="SourceSansPro-Regular"/>
          <w:lang w:val="en-GB"/>
          <w14:ligatures w14:val="standardContextual"/>
        </w:rPr>
        <w:t xml:space="preserve">Building up extra inventory is not only costly, but also </w:t>
      </w:r>
      <w:r w:rsidR="00DB6660" w:rsidRPr="00182CC6">
        <w:rPr>
          <w:rFonts w:eastAsia="SourceSansPro-Regular"/>
          <w:lang w:val="en-GB"/>
          <w14:ligatures w14:val="standardContextual"/>
        </w:rPr>
        <w:t xml:space="preserve">environmental impactful </w:t>
      </w:r>
      <w:r w:rsidR="003610FB" w:rsidRPr="00182CC6">
        <w:rPr>
          <w:rFonts w:eastAsia="SourceSansPro-Regular"/>
          <w:lang w:val="en-GB"/>
          <w14:ligatures w14:val="standardContextual"/>
        </w:rPr>
        <w:t>through extra resource consumption and higher waste generation</w:t>
      </w:r>
      <w:r w:rsidR="004E5C7A" w:rsidRPr="00182CC6">
        <w:rPr>
          <w:rFonts w:eastAsia="SourceSansPro-Regular"/>
          <w:lang w:val="en-GB"/>
          <w14:ligatures w14:val="standardContextual"/>
        </w:rPr>
        <w:t xml:space="preserve"> </w:t>
      </w:r>
      <w:r w:rsidR="004315A9" w:rsidRPr="00182CC6">
        <w:rPr>
          <w:rFonts w:eastAsia="SourceSansPro-Regular"/>
          <w:lang w:val="en-GB"/>
          <w14:ligatures w14:val="standardContextual"/>
        </w:rPr>
        <w:fldChar w:fldCharType="begin"/>
      </w:r>
      <w:r w:rsidR="00BF2209" w:rsidRPr="00182CC6">
        <w:rPr>
          <w:rFonts w:eastAsia="SourceSansPro-Regular"/>
          <w:lang w:val="en-GB"/>
          <w14:ligatures w14:val="standardContextual"/>
        </w:rPr>
        <w:instrText xml:space="preserve"> ADDIN EN.CITE &lt;EndNote&gt;&lt;Cite&gt;&lt;Author&gt;Pavlov&lt;/Author&gt;&lt;Year&gt;2019&lt;/Year&gt;&lt;RecNum&gt;6&lt;/RecNum&gt;&lt;DisplayText&gt;(Pavlov et al., 2019)&lt;/DisplayText&gt;&lt;record&gt;&lt;rec-number&gt;6&lt;/rec-number&gt;&lt;foreign-keys&gt;&lt;key app="EN" db-id="rpz9ear9bz90s7eavznvfae5rwe59rfsxa2s" timestamp="1693993649"&gt;6&lt;/key&gt;&lt;/foreign-keys&gt;&lt;ref-type name="Journal Article"&gt;17&lt;/ref-type&gt;&lt;contributors&gt;&lt;authors&gt;&lt;author&gt;Pavlov, Alexander&lt;/author&gt;&lt;author&gt;Ivanov, Dmitry&lt;/author&gt;&lt;author&gt;Pavlov, Dmitry&lt;/author&gt;&lt;author&gt;Slinko, Alexey&lt;/author&gt;&lt;/authors&gt;&lt;/contributors&gt;&lt;titles&gt;&lt;title&gt;Optimization of network redundancy and contingency planning in sustainable and resilient supply chain resource management under conditions of structural dynamics&lt;/title&gt;&lt;secondary-title&gt;Annals of Operations Research&lt;/secondary-title&gt;&lt;/titles&gt;&lt;periodical&gt;&lt;full-title&gt;Annals of Operations Research&lt;/full-title&gt;&lt;/periodical&gt;&lt;pages&gt;1-30&lt;/pages&gt;&lt;dates&gt;&lt;year&gt;2019&lt;/year&gt;&lt;/dates&gt;&lt;isbn&gt;0254-5330&lt;/isbn&gt;&lt;urls&gt;&lt;/urls&gt;&lt;electronic-resource-num&gt;doi.org/10.1007/s10479-019-03182-6&lt;/electronic-resource-num&gt;&lt;/record&gt;&lt;/Cite&gt;&lt;/EndNote&gt;</w:instrText>
      </w:r>
      <w:r w:rsidR="004315A9" w:rsidRPr="00182CC6">
        <w:rPr>
          <w:rFonts w:eastAsia="SourceSansPro-Regular"/>
          <w:lang w:val="en-GB"/>
          <w14:ligatures w14:val="standardContextual"/>
        </w:rPr>
        <w:fldChar w:fldCharType="separate"/>
      </w:r>
      <w:r w:rsidR="00BF2209" w:rsidRPr="00182CC6">
        <w:rPr>
          <w:rFonts w:eastAsia="SourceSansPro-Regular"/>
          <w:noProof/>
          <w:lang w:val="en-GB"/>
          <w14:ligatures w14:val="standardContextual"/>
        </w:rPr>
        <w:t>(Pavlov et al., 2019)</w:t>
      </w:r>
      <w:r w:rsidR="004315A9" w:rsidRPr="00182CC6">
        <w:rPr>
          <w:rFonts w:eastAsia="SourceSansPro-Regular"/>
          <w:lang w:val="en-GB"/>
          <w14:ligatures w14:val="standardContextual"/>
        </w:rPr>
        <w:fldChar w:fldCharType="end"/>
      </w:r>
      <w:r w:rsidR="003610FB" w:rsidRPr="00182CC6">
        <w:rPr>
          <w:rFonts w:eastAsia="SourceSansPro-Regular"/>
          <w:lang w:val="en-GB"/>
          <w14:ligatures w14:val="standardContextual"/>
        </w:rPr>
        <w:t>.</w:t>
      </w:r>
      <w:r w:rsidR="000F553E" w:rsidRPr="00182CC6">
        <w:rPr>
          <w:rFonts w:eastAsia="SourceSansPro-Regular"/>
          <w:lang w:val="en-GB"/>
          <w14:ligatures w14:val="standardContextual"/>
        </w:rPr>
        <w:t xml:space="preserve"> </w:t>
      </w:r>
      <w:r w:rsidR="00BC458E" w:rsidRPr="00182CC6">
        <w:rPr>
          <w:rFonts w:eastAsia="SourceSansPro-Regular"/>
          <w:lang w:val="en-GB"/>
          <w14:ligatures w14:val="standardContextual"/>
        </w:rPr>
        <w:t>Un</w:t>
      </w:r>
      <w:r w:rsidR="00ED2BD3" w:rsidRPr="00182CC6">
        <w:rPr>
          <w:rFonts w:eastAsia="SourceSansPro-Regular"/>
          <w:lang w:val="en-GB"/>
          <w14:ligatures w14:val="standardContextual"/>
        </w:rPr>
        <w:t>d</w:t>
      </w:r>
      <w:r w:rsidR="00BC458E" w:rsidRPr="00182CC6">
        <w:rPr>
          <w:rFonts w:eastAsia="SourceSansPro-Regular"/>
          <w:lang w:val="en-GB"/>
          <w14:ligatures w14:val="standardContextual"/>
        </w:rPr>
        <w:t>erstand</w:t>
      </w:r>
      <w:r w:rsidR="00322FCF" w:rsidRPr="00182CC6">
        <w:rPr>
          <w:rFonts w:eastAsia="SourceSansPro-Regular"/>
          <w:lang w:val="en-GB"/>
          <w14:ligatures w14:val="standardContextual"/>
        </w:rPr>
        <w:t>ing</w:t>
      </w:r>
      <w:r w:rsidR="00BC458E" w:rsidRPr="00182CC6">
        <w:rPr>
          <w:rFonts w:eastAsia="SourceSansPro-Regular"/>
          <w:lang w:val="en-GB"/>
          <w14:ligatures w14:val="standardContextual"/>
        </w:rPr>
        <w:t xml:space="preserve"> and quantify</w:t>
      </w:r>
      <w:r w:rsidR="00322FCF" w:rsidRPr="00182CC6">
        <w:rPr>
          <w:rFonts w:eastAsia="SourceSansPro-Regular"/>
          <w:lang w:val="en-GB"/>
          <w14:ligatures w14:val="standardContextual"/>
        </w:rPr>
        <w:t>ing</w:t>
      </w:r>
      <w:r w:rsidR="00BC458E" w:rsidRPr="00182CC6">
        <w:rPr>
          <w:rFonts w:eastAsia="SourceSansPro-Regular"/>
          <w:lang w:val="en-GB"/>
          <w14:ligatures w14:val="standardContextual"/>
        </w:rPr>
        <w:t xml:space="preserve"> these </w:t>
      </w:r>
      <w:r w:rsidR="00E92658" w:rsidRPr="00182CC6">
        <w:rPr>
          <w:rFonts w:eastAsia="SourceSansPro-Regular"/>
          <w:lang w:val="en-GB"/>
          <w14:ligatures w14:val="standardContextual"/>
        </w:rPr>
        <w:t>trade-offs</w:t>
      </w:r>
      <w:r w:rsidR="00BC458E" w:rsidRPr="00182CC6">
        <w:rPr>
          <w:rFonts w:eastAsia="SourceSansPro-Regular"/>
          <w:lang w:val="en-GB"/>
          <w14:ligatures w14:val="standardContextual"/>
        </w:rPr>
        <w:t xml:space="preserve"> are </w:t>
      </w:r>
      <w:r w:rsidR="003651BC" w:rsidRPr="00182CC6">
        <w:rPr>
          <w:rFonts w:eastAsia="SourceSansPro-Regular"/>
          <w:lang w:val="en-GB"/>
          <w14:ligatures w14:val="standardContextual"/>
        </w:rPr>
        <w:t>crucial</w:t>
      </w:r>
      <w:r w:rsidR="00BC458E" w:rsidRPr="00182CC6">
        <w:rPr>
          <w:rFonts w:eastAsia="SourceSansPro-Regular"/>
          <w:lang w:val="en-GB"/>
          <w14:ligatures w14:val="standardContextual"/>
        </w:rPr>
        <w:t xml:space="preserve"> to </w:t>
      </w:r>
      <w:r w:rsidR="00E86E66" w:rsidRPr="00182CC6">
        <w:rPr>
          <w:rFonts w:eastAsia="SourceSansPro-Regular"/>
          <w:lang w:val="en-GB"/>
          <w14:ligatures w14:val="standardContextual"/>
        </w:rPr>
        <w:t>define</w:t>
      </w:r>
      <w:r w:rsidR="00BC458E" w:rsidRPr="00182CC6">
        <w:rPr>
          <w:rFonts w:eastAsia="SourceSansPro-Regular"/>
          <w:lang w:val="en-GB"/>
          <w14:ligatures w14:val="standardContextual"/>
        </w:rPr>
        <w:t xml:space="preserve"> </w:t>
      </w:r>
      <w:r w:rsidR="00E86E66" w:rsidRPr="00182CC6">
        <w:rPr>
          <w:rFonts w:eastAsia="SourceSansPro-Regular"/>
          <w:lang w:val="en-GB"/>
          <w14:ligatures w14:val="standardContextual"/>
        </w:rPr>
        <w:t xml:space="preserve">effective strategies </w:t>
      </w:r>
      <w:r w:rsidR="00ED2BD3" w:rsidRPr="00182CC6">
        <w:rPr>
          <w:rFonts w:eastAsia="SourceSansPro-Regular"/>
          <w:lang w:val="en-GB"/>
          <w14:ligatures w14:val="standardContextual"/>
        </w:rPr>
        <w:t>that are both resilient and sustainable</w:t>
      </w:r>
      <w:r w:rsidR="00C15A45" w:rsidRPr="00182CC6">
        <w:rPr>
          <w:rFonts w:eastAsia="SourceSansPro-Regular"/>
          <w:lang w:val="en-GB"/>
          <w14:ligatures w14:val="standardContextual"/>
        </w:rPr>
        <w:t xml:space="preserve"> </w:t>
      </w:r>
      <w:r w:rsidR="00C54D36" w:rsidRPr="00182CC6">
        <w:rPr>
          <w:rFonts w:eastAsia="SourceSansPro-Regular"/>
          <w:lang w:val="en-GB"/>
          <w14:ligatures w14:val="standardContextual"/>
        </w:rPr>
        <w:fldChar w:fldCharType="begin"/>
      </w:r>
      <w:r w:rsidR="00C54D36" w:rsidRPr="00182CC6">
        <w:rPr>
          <w:rFonts w:eastAsia="SourceSansPro-Regular"/>
          <w:lang w:val="en-GB"/>
          <w14:ligatures w14:val="standardContextual"/>
        </w:rPr>
        <w:instrText xml:space="preserve"> ADDIN EN.CITE &lt;EndNote&gt;&lt;Cite&gt;&lt;Author&gt;Roostaie&lt;/Author&gt;&lt;Year&gt;2019&lt;/Year&gt;&lt;RecNum&gt;15&lt;/RecNum&gt;&lt;DisplayText&gt;(Roostaie et al., 2019)&lt;/DisplayText&gt;&lt;record&gt;&lt;rec-number&gt;15&lt;/rec-number&gt;&lt;foreign-keys&gt;&lt;key app="EN" db-id="rpz9ear9bz90s7eavznvfae5rwe59rfsxa2s" timestamp="1698751560"&gt;15&lt;/key&gt;&lt;/foreign-keys&gt;&lt;ref-type name="Journal Article"&gt;17&lt;/ref-type&gt;&lt;contributors&gt;&lt;authors&gt;&lt;author&gt;Roostaie, S&lt;/author&gt;&lt;author&gt;Nawari, N&lt;/author&gt;&lt;author&gt;Kibert, CJ&lt;/author&gt;&lt;/authors&gt;&lt;/contributors&gt;&lt;titles&gt;&lt;title&gt;Integrated sustainability and resilience assessment framework: From theory to practice&lt;/title&gt;&lt;secondary-title&gt;Journal of Cleaner Production&lt;/secondary-title&gt;&lt;/titles&gt;&lt;periodical&gt;&lt;full-title&gt;Journal of Cleaner Production&lt;/full-title&gt;&lt;/periodical&gt;&lt;pages&gt;1158-1166&lt;/pages&gt;&lt;volume&gt;232&lt;/volume&gt;&lt;dates&gt;&lt;year&gt;2019&lt;/year&gt;&lt;/dates&gt;&lt;isbn&gt;0959-6526&lt;/isbn&gt;&lt;urls&gt;&lt;/urls&gt;&lt;/record&gt;&lt;/Cite&gt;&lt;/EndNote&gt;</w:instrText>
      </w:r>
      <w:r w:rsidR="00C54D36" w:rsidRPr="00182CC6">
        <w:rPr>
          <w:rFonts w:eastAsia="SourceSansPro-Regular"/>
          <w:lang w:val="en-GB"/>
          <w14:ligatures w14:val="standardContextual"/>
        </w:rPr>
        <w:fldChar w:fldCharType="separate"/>
      </w:r>
      <w:r w:rsidR="00C54D36" w:rsidRPr="00182CC6">
        <w:rPr>
          <w:rFonts w:eastAsia="SourceSansPro-Regular"/>
          <w:noProof/>
          <w:lang w:val="en-GB"/>
          <w14:ligatures w14:val="standardContextual"/>
        </w:rPr>
        <w:t>(Roostaie et al., 2019)</w:t>
      </w:r>
      <w:r w:rsidR="00C54D36" w:rsidRPr="00182CC6">
        <w:rPr>
          <w:rFonts w:eastAsia="SourceSansPro-Regular"/>
          <w:lang w:val="en-GB"/>
          <w14:ligatures w14:val="standardContextual"/>
        </w:rPr>
        <w:fldChar w:fldCharType="end"/>
      </w:r>
      <w:r w:rsidR="00ED2BD3" w:rsidRPr="00182CC6">
        <w:rPr>
          <w:rFonts w:eastAsia="SourceSansPro-Regular"/>
          <w:lang w:val="en-GB"/>
          <w14:ligatures w14:val="standardContextual"/>
        </w:rPr>
        <w:t>.</w:t>
      </w:r>
      <w:r w:rsidR="00B76459" w:rsidRPr="00182CC6">
        <w:rPr>
          <w:rFonts w:eastAsia="SourceSansPro-Regular"/>
          <w:lang w:val="en-GB"/>
          <w14:ligatures w14:val="standardContextual"/>
        </w:rPr>
        <w:t xml:space="preserve"> </w:t>
      </w:r>
    </w:p>
    <w:p w14:paraId="21D3A114" w14:textId="3FFC9BF4" w:rsidR="00CD66E7" w:rsidRPr="00182CC6" w:rsidRDefault="00140A6A" w:rsidP="00CD66E7">
      <w:pPr>
        <w:jc w:val="both"/>
      </w:pPr>
      <w:r w:rsidRPr="00182CC6">
        <w:rPr>
          <w:rFonts w:eastAsia="SourceSansPro-Regular"/>
          <w14:ligatures w14:val="standardContextual"/>
        </w:rPr>
        <w:t>Despite</w:t>
      </w:r>
      <w:r w:rsidR="00CD66E7" w:rsidRPr="00182CC6">
        <w:rPr>
          <w:rFonts w:eastAsia="SourceSansPro-Regular"/>
          <w14:ligatures w14:val="standardContextual"/>
        </w:rPr>
        <w:t xml:space="preserve"> some recent</w:t>
      </w:r>
      <w:r w:rsidRPr="00182CC6">
        <w:rPr>
          <w:rFonts w:eastAsia="SourceSansPro-Regular"/>
          <w14:ligatures w14:val="standardContextual"/>
        </w:rPr>
        <w:t xml:space="preserve"> notable works</w:t>
      </w:r>
      <w:r w:rsidR="00552B53" w:rsidRPr="00182CC6">
        <w:rPr>
          <w:rFonts w:eastAsia="SourceSansPro-Regular"/>
          <w14:ligatures w14:val="standardContextual"/>
        </w:rPr>
        <w:t xml:space="preserve"> </w:t>
      </w:r>
      <w:r w:rsidR="009632BA" w:rsidRPr="00182CC6">
        <w:rPr>
          <w:rFonts w:eastAsia="SourceSansPro-Regular"/>
          <w14:ligatures w14:val="standardContextual"/>
        </w:rPr>
        <w:fldChar w:fldCharType="begin"/>
      </w:r>
      <w:r w:rsidR="00A23363" w:rsidRPr="00182CC6">
        <w:rPr>
          <w:rFonts w:eastAsia="SourceSansPro-Regular"/>
          <w14:ligatures w14:val="standardContextual"/>
        </w:rPr>
        <w:instrText xml:space="preserve"> ADDIN EN.CITE &lt;EndNote&gt;&lt;Cite&gt;&lt;Author&gt;Zahiri&lt;/Author&gt;&lt;Year&gt;2017&lt;/Year&gt;&lt;RecNum&gt;9&lt;/RecNum&gt;&lt;DisplayText&gt;(Ivanov, 2018; Zahiri et al., 2017)&lt;/DisplayText&gt;&lt;record&gt;&lt;rec-number&gt;9&lt;/rec-number&gt;&lt;foreign-keys&gt;&lt;key app="EN" db-id="rpz9ear9bz90s7eavznvfae5rwe59rfsxa2s" timestamp="1698668263"&gt;9&lt;/key&gt;&lt;/foreign-keys&gt;&lt;ref-type name="Journal Article"&gt;17&lt;/ref-type&gt;&lt;contributors&gt;&lt;authors&gt;&lt;author&gt;Zahiri, Behzad&lt;/author&gt;&lt;author&gt;Zhuang, Jun&lt;/author&gt;&lt;author&gt;Mohammadi, Mehrdad&lt;/author&gt;&lt;/authors&gt;&lt;/contributors&gt;&lt;titles&gt;&lt;title&gt;Toward an integrated sustainable-resilient supply chain: A pharmaceutical case study&lt;/title&gt;&lt;secondary-title&gt;Transportation research part e: logistics transportation review&lt;/secondary-title&gt;&lt;/titles&gt;&lt;periodical&gt;&lt;full-title&gt;Transportation research part e: logistics transportation review&lt;/full-title&gt;&lt;/periodical&gt;&lt;pages&gt;109-142&lt;/pages&gt;&lt;volume&gt;103&lt;/volume&gt;&lt;dates&gt;&lt;year&gt;2017&lt;/year&gt;&lt;/dates&gt;&lt;isbn&gt;1366-5545&lt;/isbn&gt;&lt;urls&gt;&lt;/urls&gt;&lt;/record&gt;&lt;/Cite&gt;&lt;Cite&gt;&lt;Author&gt;Ivanov&lt;/Author&gt;&lt;Year&gt;2018&lt;/Year&gt;&lt;RecNum&gt;18&lt;/RecNum&gt;&lt;record&gt;&lt;rec-number&gt;18&lt;/rec-number&gt;&lt;foreign-keys&gt;&lt;key app="EN" db-id="rpz9ear9bz90s7eavznvfae5rwe59rfsxa2s" timestamp="1698767717"&gt;18&lt;/key&gt;&lt;/foreign-keys&gt;&lt;ref-type name="Journal Article"&gt;17&lt;/ref-type&gt;&lt;contributors&gt;&lt;authors&gt;&lt;author&gt;Ivanov, Dmitry &lt;/author&gt;&lt;/authors&gt;&lt;/contributors&gt;&lt;titles&gt;&lt;title&gt;Revealing interfaces of supply chain resilience and sustainability: a simulation study&lt;/title&gt;&lt;secondary-title&gt;International Journal of Production Research&lt;/secondary-title&gt;&lt;/titles&gt;&lt;periodical&gt;&lt;full-title&gt;International Journal of Production Research&lt;/full-title&gt;&lt;/periodical&gt;&lt;pages&gt;3507-3523&lt;/pages&gt;&lt;volume&gt;56&lt;/volume&gt;&lt;number&gt;10&lt;/number&gt;&lt;dates&gt;&lt;year&gt;2018&lt;/year&gt;&lt;/dates&gt;&lt;isbn&gt;0020-7543&lt;/isbn&gt;&lt;urls&gt;&lt;/urls&gt;&lt;electronic-resource-num&gt;doi.org/10.1080/00207543.2017.1343507&lt;/electronic-resource-num&gt;&lt;/record&gt;&lt;/Cite&gt;&lt;/EndNote&gt;</w:instrText>
      </w:r>
      <w:r w:rsidR="009632BA" w:rsidRPr="00182CC6">
        <w:rPr>
          <w:rFonts w:eastAsia="SourceSansPro-Regular"/>
          <w14:ligatures w14:val="standardContextual"/>
        </w:rPr>
        <w:fldChar w:fldCharType="separate"/>
      </w:r>
      <w:r w:rsidR="00A23363" w:rsidRPr="00182CC6">
        <w:rPr>
          <w:rFonts w:eastAsia="SourceSansPro-Regular"/>
          <w:noProof/>
          <w14:ligatures w14:val="standardContextual"/>
        </w:rPr>
        <w:t>(Ivanov, 2018; Zahiri et al., 2017)</w:t>
      </w:r>
      <w:r w:rsidR="009632BA" w:rsidRPr="00182CC6">
        <w:rPr>
          <w:rFonts w:eastAsia="SourceSansPro-Regular"/>
          <w14:ligatures w14:val="standardContextual"/>
        </w:rPr>
        <w:fldChar w:fldCharType="end"/>
      </w:r>
      <w:r w:rsidR="00CD66E7" w:rsidRPr="00182CC6">
        <w:rPr>
          <w:rFonts w:eastAsia="SourceSansPro-Regular"/>
          <w14:ligatures w14:val="standardContextual"/>
        </w:rPr>
        <w:t>, the join consideration of these two aspects, although critical</w:t>
      </w:r>
      <w:r w:rsidR="00932B70" w:rsidRPr="00182CC6">
        <w:rPr>
          <w:rFonts w:eastAsia="SourceSansPro-Regular"/>
          <w14:ligatures w14:val="standardContextual"/>
        </w:rPr>
        <w:t>,</w:t>
      </w:r>
      <w:r w:rsidR="00CD66E7" w:rsidRPr="00182CC6">
        <w:rPr>
          <w:rFonts w:eastAsia="SourceSansPro-Regular"/>
          <w14:ligatures w14:val="standardContextual"/>
        </w:rPr>
        <w:t xml:space="preserve"> is still a key research challenge, particularly in the pharmaceutical industry. </w:t>
      </w:r>
    </w:p>
    <w:p w14:paraId="20DA8896" w14:textId="3B9F2F3B" w:rsidR="00E6005A" w:rsidRPr="00182CC6" w:rsidRDefault="00932B70" w:rsidP="00725EC0">
      <w:pPr>
        <w:jc w:val="both"/>
        <w:rPr>
          <w:rFonts w:eastAsia="SourceSansPro-Regular"/>
          <w14:ligatures w14:val="standardContextual"/>
        </w:rPr>
      </w:pPr>
      <w:r w:rsidRPr="00182CC6">
        <w:rPr>
          <w:rFonts w:eastAsia="SourceSansPro-Regular"/>
          <w14:ligatures w14:val="standardContextual"/>
        </w:rPr>
        <w:t>The</w:t>
      </w:r>
      <w:r w:rsidR="0029215A" w:rsidRPr="00182CC6">
        <w:rPr>
          <w:rFonts w:eastAsia="SourceSansPro-Regular"/>
          <w14:ligatures w14:val="standardContextual"/>
        </w:rPr>
        <w:t xml:space="preserve"> </w:t>
      </w:r>
      <w:r w:rsidR="00A651D2" w:rsidRPr="00182CC6">
        <w:rPr>
          <w:rFonts w:eastAsia="SourceSansPro-Regular"/>
          <w14:ligatures w14:val="standardContextual"/>
        </w:rPr>
        <w:t>focus of this work</w:t>
      </w:r>
      <w:r w:rsidR="004F1681" w:rsidRPr="00182CC6">
        <w:rPr>
          <w:rFonts w:eastAsia="SourceSansPro-Regular"/>
          <w14:ligatures w14:val="standardContextual"/>
        </w:rPr>
        <w:t xml:space="preserve"> lies</w:t>
      </w:r>
      <w:r w:rsidRPr="00182CC6">
        <w:rPr>
          <w:rFonts w:eastAsia="SourceSansPro-Regular"/>
          <w14:ligatures w14:val="standardContextual"/>
        </w:rPr>
        <w:t>, therefore,</w:t>
      </w:r>
      <w:r w:rsidR="004F1681" w:rsidRPr="00182CC6">
        <w:rPr>
          <w:rFonts w:eastAsia="SourceSansPro-Regular"/>
          <w14:ligatures w14:val="standardContextual"/>
        </w:rPr>
        <w:t xml:space="preserve"> on the interface between resiliency and sustai</w:t>
      </w:r>
      <w:r w:rsidR="00421BC3" w:rsidRPr="00182CC6">
        <w:rPr>
          <w:rFonts w:eastAsia="SourceSansPro-Regular"/>
          <w14:ligatures w14:val="standardContextual"/>
        </w:rPr>
        <w:t xml:space="preserve">nability by exploring the right </w:t>
      </w:r>
      <w:r w:rsidR="00A651D2" w:rsidRPr="00182CC6">
        <w:rPr>
          <w:rFonts w:eastAsia="SourceSansPro-Regular"/>
          <w14:ligatures w14:val="standardContextual"/>
        </w:rPr>
        <w:t xml:space="preserve">balance </w:t>
      </w:r>
      <w:r w:rsidR="00421BC3" w:rsidRPr="00182CC6">
        <w:rPr>
          <w:rFonts w:eastAsia="SourceSansPro-Regular"/>
          <w14:ligatures w14:val="standardContextual"/>
        </w:rPr>
        <w:t xml:space="preserve">between </w:t>
      </w:r>
      <w:r w:rsidR="00FA4C5F" w:rsidRPr="00182CC6">
        <w:rPr>
          <w:rFonts w:eastAsia="SourceSansPro-Regular"/>
          <w14:ligatures w14:val="standardContextual"/>
        </w:rPr>
        <w:t xml:space="preserve">risk mitigating inventory strategies and </w:t>
      </w:r>
      <w:r w:rsidR="003D154A" w:rsidRPr="00182CC6">
        <w:rPr>
          <w:rFonts w:eastAsia="SourceSansPro-Regular"/>
          <w14:ligatures w14:val="standardContextual"/>
        </w:rPr>
        <w:t>the</w:t>
      </w:r>
      <w:r w:rsidR="0035050A" w:rsidRPr="00182CC6">
        <w:rPr>
          <w:rFonts w:eastAsia="SourceSansPro-Regular"/>
          <w14:ligatures w14:val="standardContextual"/>
        </w:rPr>
        <w:t xml:space="preserve"> </w:t>
      </w:r>
      <w:r w:rsidR="00C50E95" w:rsidRPr="00182CC6">
        <w:rPr>
          <w:rFonts w:eastAsia="SourceSansPro-Regular"/>
          <w14:ligatures w14:val="standardContextual"/>
        </w:rPr>
        <w:t>P</w:t>
      </w:r>
      <w:r w:rsidR="0035050A" w:rsidRPr="00182CC6">
        <w:rPr>
          <w:rFonts w:eastAsia="SourceSansPro-Regular"/>
          <w14:ligatures w14:val="standardContextual"/>
        </w:rPr>
        <w:t>SC</w:t>
      </w:r>
      <w:r w:rsidR="003D154A" w:rsidRPr="00182CC6">
        <w:rPr>
          <w:rFonts w:eastAsia="SourceSansPro-Regular"/>
          <w14:ligatures w14:val="standardContextual"/>
        </w:rPr>
        <w:t xml:space="preserve"> environmental and social performance</w:t>
      </w:r>
      <w:r w:rsidR="00062E99" w:rsidRPr="00182CC6">
        <w:rPr>
          <w:rFonts w:eastAsia="SourceSansPro-Regular"/>
          <w14:ligatures w14:val="standardContextual"/>
        </w:rPr>
        <w:t>s</w:t>
      </w:r>
      <w:r w:rsidR="003D154A" w:rsidRPr="00182CC6">
        <w:rPr>
          <w:rFonts w:eastAsia="SourceSansPro-Regular"/>
          <w14:ligatures w14:val="standardContextual"/>
        </w:rPr>
        <w:t>.</w:t>
      </w:r>
      <w:r w:rsidR="00AC05C5" w:rsidRPr="00182CC6">
        <w:rPr>
          <w:rFonts w:eastAsia="SourceSansPro-Regular"/>
          <w14:ligatures w14:val="standardContextual"/>
        </w:rPr>
        <w:t xml:space="preserve"> </w:t>
      </w:r>
    </w:p>
    <w:p w14:paraId="2AFF845B" w14:textId="58C8EF72" w:rsidR="0035050A" w:rsidRPr="00182CC6" w:rsidRDefault="0035050A" w:rsidP="0035050A">
      <w:pPr>
        <w:jc w:val="both"/>
      </w:pPr>
      <w:r w:rsidRPr="00182CC6">
        <w:rPr>
          <w:rFonts w:eastAsia="SourceSansPro-Regular"/>
          <w14:ligatures w14:val="standardContextual"/>
        </w:rPr>
        <w:t xml:space="preserve">A decision-support tool is </w:t>
      </w:r>
      <w:r w:rsidR="008E34E5" w:rsidRPr="00182CC6">
        <w:rPr>
          <w:rFonts w:eastAsia="SourceSansPro-Regular"/>
          <w14:ligatures w14:val="standardContextual"/>
        </w:rPr>
        <w:t>proposed</w:t>
      </w:r>
      <w:r w:rsidRPr="00182CC6">
        <w:rPr>
          <w:rFonts w:eastAsia="SourceSansPro-Regular"/>
          <w14:ligatures w14:val="standardContextual"/>
        </w:rPr>
        <w:t xml:space="preserve"> integrating</w:t>
      </w:r>
      <w:r w:rsidRPr="00182CC6">
        <w:t xml:space="preserve"> </w:t>
      </w:r>
      <w:r w:rsidR="00871F6B" w:rsidRPr="00182CC6">
        <w:t xml:space="preserve">a </w:t>
      </w:r>
      <w:r w:rsidRPr="00182CC6">
        <w:t>simulation</w:t>
      </w:r>
      <w:r w:rsidR="00553E6B" w:rsidRPr="00182CC6">
        <w:t xml:space="preserve"> model</w:t>
      </w:r>
      <w:r w:rsidR="008E34E5" w:rsidRPr="00182CC6">
        <w:t xml:space="preserve"> developed in </w:t>
      </w:r>
      <w:r w:rsidR="00932B70" w:rsidRPr="00182CC6">
        <w:t xml:space="preserve">an </w:t>
      </w:r>
      <w:r w:rsidR="00E20E52" w:rsidRPr="00182CC6">
        <w:t>author’s</w:t>
      </w:r>
      <w:r w:rsidR="008E34E5" w:rsidRPr="00182CC6">
        <w:t xml:space="preserve"> previous work</w:t>
      </w:r>
      <w:r w:rsidR="00C50E95" w:rsidRPr="00182CC6">
        <w:t xml:space="preserve"> </w:t>
      </w:r>
      <w:r w:rsidR="00A02D1A" w:rsidRPr="00182CC6">
        <w:fldChar w:fldCharType="begin"/>
      </w:r>
      <w:r w:rsidR="00A23363" w:rsidRPr="00182CC6">
        <w:instrText xml:space="preserve"> ADDIN EN.CITE &lt;EndNote&gt;&lt;Cite&gt;&lt;Author&gt;Silva&lt;/Author&gt;&lt;Year&gt;2022&lt;/Year&gt;&lt;RecNum&gt;22&lt;/RecNum&gt;&lt;DisplayText&gt;(Silva et al., 2022)&lt;/DisplayText&gt;&lt;record&gt;&lt;rec-number&gt;22&lt;/rec-number&gt;&lt;foreign-keys&gt;&lt;key app="EN" db-id="rpz9ear9bz90s7eavznvfae5rwe59rfsxa2s" timestamp="1699027942"&gt;22&lt;/key&gt;&lt;/foreign-keys&gt;&lt;ref-type name="Conference Paper"&gt;47&lt;/ref-type&gt;&lt;contributors&gt;&lt;authors&gt;&lt;author&gt;Silva, A.&lt;/author&gt;&lt;author&gt;Sousa, J.&lt;/author&gt;&lt;author&gt;Marques, CM&lt;/author&gt;&lt;/authors&gt;&lt;/contributors&gt;&lt;titles&gt;&lt;title&gt;Supply Chain Resiliency in the Pharmaceutical Industry–a Simulation-Based Approach&lt;/title&gt;&lt;secondary-title&gt;5th European International Conference on Industrial Engineering and Operations Management&lt;/secondary-title&gt;&lt;/titles&gt;&lt;dates&gt;&lt;year&gt;2022&lt;/year&gt;&lt;/dates&gt;&lt;urls&gt;&lt;/urls&gt;&lt;electronic-resource-num&gt;https://doi.org/10.46254/EU05.20220378&lt;/electronic-resource-num&gt;&lt;/record&gt;&lt;/Cite&gt;&lt;/EndNote&gt;</w:instrText>
      </w:r>
      <w:r w:rsidR="00A02D1A" w:rsidRPr="00182CC6">
        <w:fldChar w:fldCharType="separate"/>
      </w:r>
      <w:r w:rsidR="00A23363" w:rsidRPr="00182CC6">
        <w:rPr>
          <w:noProof/>
        </w:rPr>
        <w:t>(Silva et al., 2022)</w:t>
      </w:r>
      <w:r w:rsidR="00A02D1A" w:rsidRPr="00182CC6">
        <w:fldChar w:fldCharType="end"/>
      </w:r>
      <w:r w:rsidR="00553E6B" w:rsidRPr="00182CC6">
        <w:t xml:space="preserve"> </w:t>
      </w:r>
      <w:r w:rsidRPr="00182CC6">
        <w:t xml:space="preserve">and </w:t>
      </w:r>
      <w:r w:rsidR="00F072E2" w:rsidRPr="00182CC6">
        <w:t>a</w:t>
      </w:r>
      <w:r w:rsidR="00C20803" w:rsidRPr="00182CC6">
        <w:t xml:space="preserve"> new</w:t>
      </w:r>
      <w:r w:rsidR="00F072E2" w:rsidRPr="00182CC6">
        <w:t xml:space="preserve"> </w:t>
      </w:r>
      <w:r w:rsidR="00871F6B" w:rsidRPr="00182CC6">
        <w:t xml:space="preserve">Multi-Objective Mixed Integer Linear Programming (MO-MILP) model </w:t>
      </w:r>
      <w:r w:rsidRPr="00182CC6">
        <w:t>to achieve optimal supply chain management for enhanced resiliency and sustainability operations.</w:t>
      </w:r>
    </w:p>
    <w:p w14:paraId="1CEF4BEB" w14:textId="57D85682" w:rsidR="000268D1" w:rsidRPr="00182CC6" w:rsidRDefault="000268D1" w:rsidP="00CC0C14">
      <w:pPr>
        <w:pStyle w:val="Els-1storder-head"/>
        <w:rPr>
          <w:lang w:val="en-GB"/>
        </w:rPr>
      </w:pPr>
      <w:r w:rsidRPr="00182CC6">
        <w:rPr>
          <w:lang w:val="en-GB"/>
        </w:rPr>
        <w:t xml:space="preserve">The </w:t>
      </w:r>
      <w:r w:rsidR="0048599B" w:rsidRPr="00182CC6">
        <w:rPr>
          <w:lang w:val="en-GB"/>
        </w:rPr>
        <w:t xml:space="preserve">Problem </w:t>
      </w:r>
    </w:p>
    <w:p w14:paraId="3885A4C0" w14:textId="0289E011" w:rsidR="000268D1" w:rsidRPr="00182CC6" w:rsidRDefault="000268D1" w:rsidP="000268D1">
      <w:pPr>
        <w:pStyle w:val="Els-body-text"/>
        <w:rPr>
          <w:lang w:val="en-GB"/>
        </w:rPr>
      </w:pPr>
      <w:r w:rsidRPr="00182CC6">
        <w:rPr>
          <w:lang w:val="en-GB"/>
        </w:rPr>
        <w:t xml:space="preserve">A generic 3-echelon supply chain is considered in this work, as depicted in </w:t>
      </w:r>
      <w:r w:rsidRPr="00182CC6">
        <w:rPr>
          <w:lang w:val="en-GB"/>
        </w:rPr>
        <w:fldChar w:fldCharType="begin"/>
      </w:r>
      <w:r w:rsidRPr="00182CC6">
        <w:rPr>
          <w:lang w:val="en-GB"/>
        </w:rPr>
        <w:instrText xml:space="preserve"> REF _Ref150340404 \h  \* MERGEFORMAT </w:instrText>
      </w:r>
      <w:r w:rsidRPr="00182CC6">
        <w:rPr>
          <w:lang w:val="en-GB"/>
        </w:rPr>
      </w:r>
      <w:r w:rsidRPr="00182CC6">
        <w:rPr>
          <w:lang w:val="en-GB"/>
        </w:rPr>
        <w:fldChar w:fldCharType="separate"/>
      </w:r>
      <w:r w:rsidR="00370300" w:rsidRPr="00182CC6">
        <w:rPr>
          <w:lang w:val="en-GB"/>
        </w:rPr>
        <w:t xml:space="preserve">Figure </w:t>
      </w:r>
      <w:r w:rsidR="00370300" w:rsidRPr="00182CC6">
        <w:rPr>
          <w:noProof/>
          <w:lang w:val="en-GB"/>
        </w:rPr>
        <w:t>1</w:t>
      </w:r>
      <w:r w:rsidRPr="00182CC6">
        <w:rPr>
          <w:lang w:val="en-GB"/>
        </w:rPr>
        <w:fldChar w:fldCharType="end"/>
      </w:r>
      <w:r w:rsidRPr="00182CC6">
        <w:rPr>
          <w:lang w:val="en-GB"/>
        </w:rPr>
        <w:t xml:space="preserve">. The network structure is composed by primary and secondary manufacturers, donation </w:t>
      </w:r>
      <w:r w:rsidR="007C0935" w:rsidRPr="00182CC6">
        <w:rPr>
          <w:lang w:val="en-GB"/>
        </w:rPr>
        <w:t>centres</w:t>
      </w:r>
      <w:r w:rsidRPr="00182CC6">
        <w:rPr>
          <w:lang w:val="en-GB"/>
        </w:rPr>
        <w:t xml:space="preserve"> and markets.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6"/>
      </w:tblGrid>
      <w:tr w:rsidR="000268D1" w:rsidRPr="00182CC6" w14:paraId="0CB306FB" w14:textId="77777777" w:rsidTr="007F4E9F">
        <w:tc>
          <w:tcPr>
            <w:tcW w:w="7076" w:type="dxa"/>
          </w:tcPr>
          <w:p w14:paraId="7A0E2BCB" w14:textId="188C5CCD" w:rsidR="000268D1" w:rsidRPr="00182CC6" w:rsidRDefault="00460FE3" w:rsidP="007F4E9F">
            <w:pPr>
              <w:pStyle w:val="Els-body-text"/>
              <w:keepNext/>
              <w:jc w:val="center"/>
              <w:rPr>
                <w:lang w:val="en-GB"/>
              </w:rPr>
            </w:pPr>
            <w:r w:rsidRPr="00182CC6">
              <w:rPr>
                <w:noProof/>
                <w:lang w:val="en-GB"/>
              </w:rPr>
              <w:drawing>
                <wp:inline distT="0" distB="0" distL="0" distR="0" wp14:anchorId="5AB1EF26" wp14:editId="03B6EBB2">
                  <wp:extent cx="3246854" cy="1269890"/>
                  <wp:effectExtent l="0" t="0" r="0" b="0"/>
                  <wp:docPr id="8687796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5544" cy="1292844"/>
                          </a:xfrm>
                          <a:prstGeom prst="rect">
                            <a:avLst/>
                          </a:prstGeom>
                          <a:noFill/>
                        </pic:spPr>
                      </pic:pic>
                    </a:graphicData>
                  </a:graphic>
                </wp:inline>
              </w:drawing>
            </w:r>
          </w:p>
        </w:tc>
      </w:tr>
    </w:tbl>
    <w:p w14:paraId="4B1F84F4" w14:textId="0989E1BC" w:rsidR="000268D1" w:rsidRPr="00182CC6" w:rsidRDefault="000268D1" w:rsidP="000268D1">
      <w:pPr>
        <w:pStyle w:val="Caption"/>
        <w:jc w:val="center"/>
        <w:rPr>
          <w:lang w:val="en-GB"/>
        </w:rPr>
      </w:pPr>
      <w:bookmarkStart w:id="1" w:name="_Ref150340404"/>
      <w:r w:rsidRPr="00182CC6">
        <w:rPr>
          <w:lang w:val="en-GB"/>
        </w:rPr>
        <w:t xml:space="preserve">Figure </w:t>
      </w:r>
      <w:r w:rsidRPr="00182CC6">
        <w:rPr>
          <w:lang w:val="en-GB"/>
        </w:rPr>
        <w:fldChar w:fldCharType="begin"/>
      </w:r>
      <w:r w:rsidRPr="00182CC6">
        <w:rPr>
          <w:lang w:val="en-GB"/>
        </w:rPr>
        <w:instrText xml:space="preserve"> SEQ Figure \* ARABIC </w:instrText>
      </w:r>
      <w:r w:rsidRPr="00182CC6">
        <w:rPr>
          <w:lang w:val="en-GB"/>
        </w:rPr>
        <w:fldChar w:fldCharType="separate"/>
      </w:r>
      <w:r w:rsidR="00370300" w:rsidRPr="00182CC6">
        <w:rPr>
          <w:noProof/>
          <w:lang w:val="en-GB"/>
        </w:rPr>
        <w:t>1</w:t>
      </w:r>
      <w:r w:rsidRPr="00182CC6">
        <w:rPr>
          <w:lang w:val="en-GB"/>
        </w:rPr>
        <w:fldChar w:fldCharType="end"/>
      </w:r>
      <w:bookmarkEnd w:id="1"/>
      <w:r w:rsidRPr="00182CC6">
        <w:rPr>
          <w:lang w:val="en-GB"/>
        </w:rPr>
        <w:t xml:space="preserve"> – Supply Chain network structure</w:t>
      </w:r>
    </w:p>
    <w:p w14:paraId="133C6035" w14:textId="77777777" w:rsidR="000268D1" w:rsidRPr="00182CC6" w:rsidRDefault="000268D1" w:rsidP="000268D1">
      <w:pPr>
        <w:pStyle w:val="Els-body-text"/>
        <w:rPr>
          <w:lang w:val="en-GB"/>
        </w:rPr>
      </w:pPr>
    </w:p>
    <w:p w14:paraId="4F140DEF" w14:textId="44D2C1DF" w:rsidR="000268D1" w:rsidRDefault="00F14619" w:rsidP="000268D1">
      <w:pPr>
        <w:pStyle w:val="Els-body-text"/>
        <w:rPr>
          <w:lang w:val="en-GB"/>
        </w:rPr>
      </w:pPr>
      <w:r w:rsidRPr="00182CC6">
        <w:rPr>
          <w:lang w:val="en-GB"/>
        </w:rPr>
        <w:t xml:space="preserve">Material flows from the Primary Manufacturers (PM) that are responsible for the production of the Active Pharmaceutical Ingredient (API) to the Secondary Manufacturers (SM), where the API product will be converted </w:t>
      </w:r>
      <w:r w:rsidR="00767229" w:rsidRPr="00182CC6">
        <w:rPr>
          <w:lang w:val="en-GB"/>
        </w:rPr>
        <w:t xml:space="preserve">into </w:t>
      </w:r>
      <w:r w:rsidRPr="00182CC6">
        <w:rPr>
          <w:lang w:val="en-GB"/>
        </w:rPr>
        <w:t xml:space="preserve">the final drug product (FP) to be distributed to final markets through health providers such as hospitals and pharmacies, and finally, Donation </w:t>
      </w:r>
      <w:r w:rsidR="007C0935" w:rsidRPr="00182CC6">
        <w:rPr>
          <w:lang w:val="en-GB"/>
        </w:rPr>
        <w:t>Centres</w:t>
      </w:r>
      <w:r w:rsidRPr="00182CC6">
        <w:rPr>
          <w:lang w:val="en-GB"/>
        </w:rPr>
        <w:t xml:space="preserve"> (DC) responsible </w:t>
      </w:r>
      <w:r w:rsidR="00DB530F" w:rsidRPr="00182CC6">
        <w:rPr>
          <w:lang w:val="en-GB"/>
        </w:rPr>
        <w:t>f</w:t>
      </w:r>
      <w:r w:rsidRPr="00182CC6">
        <w:rPr>
          <w:lang w:val="en-GB"/>
        </w:rPr>
        <w:t>o</w:t>
      </w:r>
      <w:r w:rsidR="00DB530F" w:rsidRPr="00182CC6">
        <w:rPr>
          <w:lang w:val="en-GB"/>
        </w:rPr>
        <w:t>r</w:t>
      </w:r>
      <w:r w:rsidRPr="00182CC6">
        <w:rPr>
          <w:lang w:val="en-GB"/>
        </w:rPr>
        <w:t xml:space="preserve"> supply</w:t>
      </w:r>
      <w:r w:rsidR="00DB530F" w:rsidRPr="00182CC6">
        <w:rPr>
          <w:lang w:val="en-GB"/>
        </w:rPr>
        <w:t>ing</w:t>
      </w:r>
      <w:r w:rsidRPr="00182CC6">
        <w:rPr>
          <w:lang w:val="en-GB"/>
        </w:rPr>
        <w:t xml:space="preserve"> low-income markets with donated material. It </w:t>
      </w:r>
      <w:proofErr w:type="gramStart"/>
      <w:r w:rsidRPr="00182CC6">
        <w:rPr>
          <w:lang w:val="en-GB"/>
        </w:rPr>
        <w:t>is assumed</w:t>
      </w:r>
      <w:proofErr w:type="gramEnd"/>
      <w:r w:rsidRPr="00182CC6">
        <w:rPr>
          <w:lang w:val="en-GB"/>
        </w:rPr>
        <w:t xml:space="preserve"> that the company adopts a donation policy and carries out social responsibility initiatives, redirecting unused risk mitigating inventory to these initiatives.</w:t>
      </w:r>
    </w:p>
    <w:p w14:paraId="62FFA056" w14:textId="77777777" w:rsidR="00EE0B3D" w:rsidRPr="00182CC6" w:rsidRDefault="00EE0B3D" w:rsidP="000268D1">
      <w:pPr>
        <w:pStyle w:val="Els-body-text"/>
        <w:rPr>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4"/>
      </w:tblGrid>
      <w:tr w:rsidR="000268D1" w:rsidRPr="00182CC6" w14:paraId="4BF4479A" w14:textId="77777777" w:rsidTr="007F4E9F">
        <w:trPr>
          <w:jc w:val="center"/>
        </w:trPr>
        <w:tc>
          <w:tcPr>
            <w:tcW w:w="5572" w:type="dxa"/>
            <w:vAlign w:val="center"/>
          </w:tcPr>
          <w:p w14:paraId="4F6760AA" w14:textId="5FC88F15" w:rsidR="000268D1" w:rsidRPr="00182CC6" w:rsidRDefault="004775F8" w:rsidP="007F4E9F">
            <w:pPr>
              <w:pStyle w:val="Els-body-text"/>
              <w:keepNext/>
              <w:spacing w:before="100" w:beforeAutospacing="1" w:after="100" w:afterAutospacing="1"/>
              <w:jc w:val="center"/>
              <w:rPr>
                <w:lang w:val="en-GB"/>
              </w:rPr>
            </w:pPr>
            <w:r w:rsidRPr="00182CC6">
              <w:rPr>
                <w:noProof/>
                <w:lang w:val="en-GB"/>
              </w:rPr>
              <w:drawing>
                <wp:inline distT="0" distB="0" distL="0" distR="0" wp14:anchorId="150DB518" wp14:editId="28CBA023">
                  <wp:extent cx="3606092" cy="885825"/>
                  <wp:effectExtent l="0" t="0" r="0" b="0"/>
                  <wp:docPr id="6519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63877" cy="900020"/>
                          </a:xfrm>
                          <a:prstGeom prst="rect">
                            <a:avLst/>
                          </a:prstGeom>
                          <a:noFill/>
                        </pic:spPr>
                      </pic:pic>
                    </a:graphicData>
                  </a:graphic>
                </wp:inline>
              </w:drawing>
            </w:r>
          </w:p>
        </w:tc>
      </w:tr>
    </w:tbl>
    <w:p w14:paraId="756BC3B9" w14:textId="54D2DCA6" w:rsidR="000268D1" w:rsidRPr="00182CC6" w:rsidRDefault="000268D1" w:rsidP="000268D1">
      <w:pPr>
        <w:pStyle w:val="Caption"/>
        <w:jc w:val="center"/>
        <w:rPr>
          <w:lang w:val="en-GB"/>
        </w:rPr>
      </w:pPr>
      <w:bookmarkStart w:id="2" w:name="_Ref150778945"/>
      <w:r w:rsidRPr="00182CC6">
        <w:rPr>
          <w:lang w:val="en-GB"/>
        </w:rPr>
        <w:t xml:space="preserve">Figure </w:t>
      </w:r>
      <w:r w:rsidRPr="00182CC6">
        <w:rPr>
          <w:lang w:val="en-GB"/>
        </w:rPr>
        <w:fldChar w:fldCharType="begin"/>
      </w:r>
      <w:r w:rsidRPr="00182CC6">
        <w:rPr>
          <w:lang w:val="en-GB"/>
        </w:rPr>
        <w:instrText xml:space="preserve"> SEQ Figure \* ARABIC </w:instrText>
      </w:r>
      <w:r w:rsidRPr="00182CC6">
        <w:rPr>
          <w:lang w:val="en-GB"/>
        </w:rPr>
        <w:fldChar w:fldCharType="separate"/>
      </w:r>
      <w:r w:rsidR="00370300" w:rsidRPr="00182CC6">
        <w:rPr>
          <w:noProof/>
          <w:lang w:val="en-GB"/>
        </w:rPr>
        <w:t>2</w:t>
      </w:r>
      <w:r w:rsidRPr="00182CC6">
        <w:rPr>
          <w:lang w:val="en-GB"/>
        </w:rPr>
        <w:fldChar w:fldCharType="end"/>
      </w:r>
      <w:bookmarkEnd w:id="2"/>
      <w:r w:rsidRPr="00182CC6">
        <w:rPr>
          <w:lang w:val="en-GB"/>
        </w:rPr>
        <w:t xml:space="preserve"> – Material flows to donations </w:t>
      </w:r>
      <w:r w:rsidR="007C0935" w:rsidRPr="00182CC6">
        <w:rPr>
          <w:lang w:val="en-GB"/>
        </w:rPr>
        <w:t>centres</w:t>
      </w:r>
      <w:r w:rsidRPr="00182CC6">
        <w:rPr>
          <w:lang w:val="en-GB"/>
        </w:rPr>
        <w:t xml:space="preserve"> and low-income markets.</w:t>
      </w:r>
    </w:p>
    <w:p w14:paraId="6CF8BA5D" w14:textId="459C692F" w:rsidR="000E6992" w:rsidRPr="00182CC6" w:rsidRDefault="000E6992" w:rsidP="000E6992">
      <w:pPr>
        <w:pStyle w:val="Els-body-text"/>
        <w:rPr>
          <w:lang w:val="en-GB"/>
        </w:rPr>
      </w:pPr>
      <w:r w:rsidRPr="00182CC6">
        <w:rPr>
          <w:lang w:val="en-GB"/>
        </w:rPr>
        <w:lastRenderedPageBreak/>
        <w:t>Therefore, donation</w:t>
      </w:r>
      <w:r w:rsidR="00767229" w:rsidRPr="00182CC6">
        <w:rPr>
          <w:lang w:val="en-GB"/>
        </w:rPr>
        <w:t xml:space="preserve">s </w:t>
      </w:r>
      <w:r w:rsidRPr="00182CC6">
        <w:rPr>
          <w:lang w:val="en-GB"/>
        </w:rPr>
        <w:t>have two distinct sources</w:t>
      </w:r>
      <w:r w:rsidR="001E5C41" w:rsidRPr="00182CC6">
        <w:rPr>
          <w:lang w:val="en-GB"/>
        </w:rPr>
        <w:t>,</w:t>
      </w:r>
      <w:r w:rsidRPr="00182CC6">
        <w:rPr>
          <w:lang w:val="en-GB"/>
        </w:rPr>
        <w:t xml:space="preserve"> as depicted in </w:t>
      </w:r>
      <w:r w:rsidRPr="00182CC6">
        <w:rPr>
          <w:lang w:val="en-GB"/>
        </w:rPr>
        <w:fldChar w:fldCharType="begin"/>
      </w:r>
      <w:r w:rsidRPr="00182CC6">
        <w:rPr>
          <w:lang w:val="en-GB"/>
        </w:rPr>
        <w:instrText xml:space="preserve"> REF _Ref150778945 \h </w:instrText>
      </w:r>
      <w:r w:rsidRPr="00182CC6">
        <w:rPr>
          <w:lang w:val="en-GB"/>
        </w:rPr>
      </w:r>
      <w:r w:rsidRPr="00182CC6">
        <w:rPr>
          <w:lang w:val="en-GB"/>
        </w:rPr>
        <w:fldChar w:fldCharType="separate"/>
      </w:r>
      <w:r w:rsidR="00370300" w:rsidRPr="00182CC6">
        <w:rPr>
          <w:lang w:val="en-GB"/>
        </w:rPr>
        <w:t xml:space="preserve">Figure </w:t>
      </w:r>
      <w:r w:rsidR="00370300" w:rsidRPr="00182CC6">
        <w:rPr>
          <w:noProof/>
          <w:lang w:val="en-GB"/>
        </w:rPr>
        <w:t>2</w:t>
      </w:r>
      <w:r w:rsidRPr="00182CC6">
        <w:rPr>
          <w:lang w:val="en-GB"/>
        </w:rPr>
        <w:fldChar w:fldCharType="end"/>
      </w:r>
      <w:r w:rsidR="00767229" w:rsidRPr="00182CC6">
        <w:rPr>
          <w:lang w:val="en-GB"/>
        </w:rPr>
        <w:t>: o</w:t>
      </w:r>
      <w:r w:rsidRPr="00182CC6">
        <w:rPr>
          <w:lang w:val="en-GB"/>
        </w:rPr>
        <w:t xml:space="preserve">ne related to the inventory product at </w:t>
      </w:r>
      <w:r w:rsidR="001E73EA" w:rsidRPr="00182CC6">
        <w:rPr>
          <w:lang w:val="en-GB"/>
        </w:rPr>
        <w:t xml:space="preserve">the </w:t>
      </w:r>
      <w:r w:rsidRPr="00182CC6">
        <w:rPr>
          <w:lang w:val="en-GB"/>
        </w:rPr>
        <w:t>SM</w:t>
      </w:r>
      <w:r w:rsidR="001E73EA" w:rsidRPr="00182CC6">
        <w:rPr>
          <w:lang w:val="en-GB"/>
        </w:rPr>
        <w:t>,</w:t>
      </w:r>
      <w:r w:rsidRPr="00182CC6">
        <w:rPr>
          <w:lang w:val="en-GB"/>
        </w:rPr>
        <w:t xml:space="preserve"> approaching its end-of-life date</w:t>
      </w:r>
      <w:r w:rsidR="001E73EA" w:rsidRPr="00182CC6">
        <w:rPr>
          <w:lang w:val="en-GB"/>
        </w:rPr>
        <w:t xml:space="preserve">; </w:t>
      </w:r>
      <w:r w:rsidRPr="00182CC6">
        <w:rPr>
          <w:lang w:val="en-GB"/>
        </w:rPr>
        <w:t xml:space="preserve">and the other one related to the </w:t>
      </w:r>
      <w:r w:rsidR="00B93BCF" w:rsidRPr="00182CC6">
        <w:rPr>
          <w:lang w:val="en-GB"/>
        </w:rPr>
        <w:t xml:space="preserve">product </w:t>
      </w:r>
      <w:r w:rsidRPr="00182CC6">
        <w:rPr>
          <w:lang w:val="en-GB"/>
        </w:rPr>
        <w:t>amounts recovered from the market</w:t>
      </w:r>
      <w:r w:rsidR="001E73EA" w:rsidRPr="00182CC6">
        <w:rPr>
          <w:lang w:val="en-GB"/>
        </w:rPr>
        <w:t>,</w:t>
      </w:r>
      <w:r w:rsidRPr="00182CC6">
        <w:rPr>
          <w:lang w:val="en-GB"/>
        </w:rPr>
        <w:t xml:space="preserve"> that are expected to be wasted in the upcoming time periods. In both cases, a threshold value is defined as the </w:t>
      </w:r>
      <w:proofErr w:type="gramStart"/>
      <w:r w:rsidRPr="00182CC6">
        <w:rPr>
          <w:lang w:val="en-GB"/>
        </w:rPr>
        <w:t>period of time</w:t>
      </w:r>
      <w:proofErr w:type="gramEnd"/>
      <w:r w:rsidRPr="00182CC6">
        <w:rPr>
          <w:lang w:val="en-GB"/>
        </w:rPr>
        <w:t xml:space="preserve"> in which no longer will </w:t>
      </w:r>
      <w:r w:rsidR="00B93BCF" w:rsidRPr="00182CC6">
        <w:rPr>
          <w:lang w:val="en-GB"/>
        </w:rPr>
        <w:t xml:space="preserve">it </w:t>
      </w:r>
      <w:r w:rsidRPr="00182CC6">
        <w:rPr>
          <w:lang w:val="en-GB"/>
        </w:rPr>
        <w:t>be possible to deliver the product to the market within its expiration date. Moreover, in the case of material from the reverse flows, it is also considered that a defined percentage of products reaching the market close to the threshold value, are expected to be wasted in the following periods. Therefore, in both situations, the expected waste generation is anticipated and avoided by redirecting it to markets in need.</w:t>
      </w:r>
    </w:p>
    <w:p w14:paraId="3DF46BBA" w14:textId="3715E143" w:rsidR="000268D1" w:rsidRPr="00182CC6" w:rsidRDefault="000268D1" w:rsidP="000268D1">
      <w:pPr>
        <w:autoSpaceDE w:val="0"/>
        <w:autoSpaceDN w:val="0"/>
        <w:adjustRightInd w:val="0"/>
        <w:jc w:val="both"/>
      </w:pPr>
      <w:r w:rsidRPr="00182CC6">
        <w:rPr>
          <w:rFonts w:ascii="TimesNewRomanPSMT" w:hAnsi="TimesNewRomanPSMT" w:cs="TimesNewRomanPSMT"/>
          <w:color w:val="000000" w:themeColor="text1"/>
          <w:lang w:eastAsia="en-GB"/>
        </w:rPr>
        <w:t xml:space="preserve">The main goal </w:t>
      </w:r>
      <w:r w:rsidR="005D2C8D" w:rsidRPr="00182CC6">
        <w:rPr>
          <w:rFonts w:ascii="TimesNewRomanPSMT" w:hAnsi="TimesNewRomanPSMT" w:cs="TimesNewRomanPSMT"/>
          <w:color w:val="000000" w:themeColor="text1"/>
          <w:lang w:eastAsia="en-GB"/>
        </w:rPr>
        <w:t xml:space="preserve">of the proposed approach </w:t>
      </w:r>
      <w:r w:rsidRPr="00182CC6">
        <w:rPr>
          <w:rFonts w:ascii="TimesNewRomanPSMT" w:hAnsi="TimesNewRomanPSMT" w:cs="TimesNewRomanPSMT"/>
          <w:color w:val="000000" w:themeColor="text1"/>
          <w:lang w:eastAsia="en-GB"/>
        </w:rPr>
        <w:t>is</w:t>
      </w:r>
      <w:r w:rsidR="005D2C8D" w:rsidRPr="00182CC6">
        <w:rPr>
          <w:rFonts w:ascii="TimesNewRomanPSMT" w:hAnsi="TimesNewRomanPSMT" w:cs="TimesNewRomanPSMT"/>
          <w:color w:val="000000" w:themeColor="text1"/>
          <w:lang w:eastAsia="en-GB"/>
        </w:rPr>
        <w:t>, therefore,</w:t>
      </w:r>
      <w:r w:rsidRPr="00182CC6">
        <w:rPr>
          <w:rFonts w:ascii="TimesNewRomanPSMT" w:hAnsi="TimesNewRomanPSMT" w:cs="TimesNewRomanPSMT"/>
          <w:color w:val="000000" w:themeColor="text1"/>
          <w:lang w:eastAsia="en-GB"/>
        </w:rPr>
        <w:t xml:space="preserve"> to </w:t>
      </w:r>
      <w:r w:rsidR="00552D2C" w:rsidRPr="00182CC6">
        <w:rPr>
          <w:rFonts w:ascii="TimesNewRomanPSMT" w:hAnsi="TimesNewRomanPSMT" w:cs="TimesNewRomanPSMT"/>
          <w:color w:val="000000" w:themeColor="text1"/>
          <w:lang w:eastAsia="en-GB"/>
        </w:rPr>
        <w:t>optimize</w:t>
      </w:r>
      <w:r w:rsidRPr="00182CC6">
        <w:rPr>
          <w:rFonts w:ascii="TimesNewRomanPSMT" w:hAnsi="TimesNewRomanPSMT" w:cs="TimesNewRomanPSMT"/>
          <w:color w:val="000000" w:themeColor="text1"/>
          <w:lang w:eastAsia="en-GB"/>
        </w:rPr>
        <w:t xml:space="preserve"> capacity and distribution planning</w:t>
      </w:r>
      <w:r w:rsidR="00552D2C" w:rsidRPr="00182CC6">
        <w:rPr>
          <w:rFonts w:ascii="TimesNewRomanPSMT" w:hAnsi="TimesNewRomanPSMT" w:cs="TimesNewRomanPSMT"/>
          <w:color w:val="000000" w:themeColor="text1"/>
          <w:lang w:eastAsia="en-GB"/>
        </w:rPr>
        <w:t xml:space="preserve"> decisions</w:t>
      </w:r>
      <w:r w:rsidRPr="00182CC6">
        <w:rPr>
          <w:rFonts w:ascii="TimesNewRomanPSMT" w:hAnsi="TimesNewRomanPSMT" w:cs="TimesNewRomanPSMT"/>
          <w:color w:val="000000" w:themeColor="text1"/>
          <w:lang w:eastAsia="en-GB"/>
        </w:rPr>
        <w:t>, including product recovery and donation flows</w:t>
      </w:r>
      <w:r w:rsidR="00552D2C" w:rsidRPr="00182CC6">
        <w:rPr>
          <w:rFonts w:ascii="TimesNewRomanPSMT" w:hAnsi="TimesNewRomanPSMT" w:cs="TimesNewRomanPSMT"/>
          <w:color w:val="000000" w:themeColor="text1"/>
          <w:lang w:eastAsia="en-GB"/>
        </w:rPr>
        <w:t>,</w:t>
      </w:r>
      <w:r w:rsidRPr="00182CC6">
        <w:rPr>
          <w:rFonts w:ascii="TimesNewRomanPSMT" w:hAnsi="TimesNewRomanPSMT" w:cs="TimesNewRomanPSMT"/>
          <w:color w:val="000000" w:themeColor="text1"/>
          <w:lang w:eastAsia="en-GB"/>
        </w:rPr>
        <w:t xml:space="preserve"> that minimize costs and waste, and maximize the social benefit, considering inventory-based resilient strategies. </w:t>
      </w:r>
    </w:p>
    <w:p w14:paraId="144DE699" w14:textId="1541EB5F" w:rsidR="008D2649" w:rsidRPr="00182CC6" w:rsidRDefault="00B77707" w:rsidP="00CC0C14">
      <w:pPr>
        <w:pStyle w:val="Els-1storder-head"/>
        <w:rPr>
          <w:lang w:val="en-GB"/>
        </w:rPr>
      </w:pPr>
      <w:r w:rsidRPr="00182CC6">
        <w:rPr>
          <w:lang w:val="en-GB"/>
        </w:rPr>
        <w:t>Proposed Methodology</w:t>
      </w:r>
    </w:p>
    <w:p w14:paraId="144DE69B" w14:textId="7458CBD2" w:rsidR="008D2649" w:rsidRPr="00182CC6" w:rsidRDefault="00A7287D" w:rsidP="009D14CB">
      <w:pPr>
        <w:pStyle w:val="Els-2ndorder-head"/>
        <w:rPr>
          <w:lang w:val="en-GB"/>
        </w:rPr>
      </w:pPr>
      <w:r w:rsidRPr="00182CC6">
        <w:rPr>
          <w:lang w:val="en-GB"/>
        </w:rPr>
        <w:t>Solution Approach</w:t>
      </w:r>
    </w:p>
    <w:p w14:paraId="7D11D7B4" w14:textId="0860A741" w:rsidR="00C54D36" w:rsidRPr="00182CC6" w:rsidRDefault="002D3125" w:rsidP="009D14CB">
      <w:pPr>
        <w:pStyle w:val="Els-body-text"/>
        <w:rPr>
          <w:lang w:val="en-GB"/>
        </w:rPr>
      </w:pPr>
      <w:r w:rsidRPr="00182CC6">
        <w:rPr>
          <w:lang w:val="en-GB"/>
        </w:rPr>
        <w:t>The aim of this work is to build a</w:t>
      </w:r>
      <w:r w:rsidR="00174A64" w:rsidRPr="00182CC6">
        <w:rPr>
          <w:lang w:val="en-GB"/>
        </w:rPr>
        <w:t xml:space="preserve"> hybrid simulation-optimization </w:t>
      </w:r>
      <w:r w:rsidRPr="00182CC6">
        <w:rPr>
          <w:lang w:val="en-GB"/>
        </w:rPr>
        <w:t xml:space="preserve">decision-support tool </w:t>
      </w:r>
      <w:r w:rsidR="00174A64" w:rsidRPr="00182CC6">
        <w:rPr>
          <w:lang w:val="en-GB"/>
        </w:rPr>
        <w:t xml:space="preserve">to </w:t>
      </w:r>
      <w:r w:rsidR="0084102E" w:rsidRPr="00182CC6">
        <w:rPr>
          <w:lang w:val="en-GB"/>
        </w:rPr>
        <w:t xml:space="preserve">both </w:t>
      </w:r>
      <w:r w:rsidR="00B93BCF" w:rsidRPr="00182CC6">
        <w:rPr>
          <w:lang w:val="en-GB"/>
        </w:rPr>
        <w:t xml:space="preserve">enhance </w:t>
      </w:r>
      <w:r w:rsidR="0084102E" w:rsidRPr="00182CC6">
        <w:rPr>
          <w:lang w:val="en-GB"/>
        </w:rPr>
        <w:t>resiliency and sustainability of global pharmaceutical supply chains.</w:t>
      </w:r>
      <w:r w:rsidR="008C19A5" w:rsidRPr="00182CC6">
        <w:rPr>
          <w:lang w:val="en-GB"/>
        </w:rPr>
        <w:t xml:space="preserve"> </w:t>
      </w:r>
      <w:r w:rsidR="00B95530" w:rsidRPr="00182CC6">
        <w:rPr>
          <w:lang w:val="en-GB"/>
        </w:rPr>
        <w:t>T</w:t>
      </w:r>
      <w:r w:rsidR="0025560E" w:rsidRPr="00182CC6">
        <w:rPr>
          <w:lang w:val="en-GB"/>
        </w:rPr>
        <w:t>he proposed methodology extends the authors previous work</w:t>
      </w:r>
      <w:r w:rsidR="006F1214" w:rsidRPr="00182CC6">
        <w:rPr>
          <w:lang w:val="en-GB"/>
        </w:rPr>
        <w:t xml:space="preserve"> </w:t>
      </w:r>
      <w:r w:rsidR="00DC6BE1" w:rsidRPr="00182CC6">
        <w:rPr>
          <w:lang w:val="en-GB"/>
        </w:rPr>
        <w:fldChar w:fldCharType="begin"/>
      </w:r>
      <w:r w:rsidR="00BF2209" w:rsidRPr="00182CC6">
        <w:rPr>
          <w:lang w:val="en-GB"/>
        </w:rPr>
        <w:instrText xml:space="preserve"> ADDIN EN.CITE &lt;EndNote&gt;&lt;Cite&gt;&lt;Author&gt;Silva&lt;/Author&gt;&lt;Year&gt;2022&lt;/Year&gt;&lt;RecNum&gt;22&lt;/RecNum&gt;&lt;DisplayText&gt;(Silva et al., 2022)&lt;/DisplayText&gt;&lt;record&gt;&lt;rec-number&gt;22&lt;/rec-number&gt;&lt;foreign-keys&gt;&lt;key app="EN" db-id="rpz9ear9bz90s7eavznvfae5rwe59rfsxa2s" timestamp="1699027942"&gt;22&lt;/key&gt;&lt;/foreign-keys&gt;&lt;ref-type name="Conference Paper"&gt;47&lt;/ref-type&gt;&lt;contributors&gt;&lt;authors&gt;&lt;author&gt;Silva, A.&lt;/author&gt;&lt;author&gt;Sousa, J.&lt;/author&gt;&lt;author&gt;Marques, CM&lt;/author&gt;&lt;/authors&gt;&lt;/contributors&gt;&lt;titles&gt;&lt;title&gt;Supply Chain Resiliency in the Pharmaceutical Industry–a Simulation-Based Approach&lt;/title&gt;&lt;secondary-title&gt;5th European International Conference on Industrial Engineering and Operations Management&lt;/secondary-title&gt;&lt;/titles&gt;&lt;dates&gt;&lt;year&gt;2022&lt;/year&gt;&lt;/dates&gt;&lt;urls&gt;&lt;/urls&gt;&lt;electronic-resource-num&gt;https://doi.org/10.46254/EU05.20220378&lt;/electronic-resource-num&gt;&lt;/record&gt;&lt;/Cite&gt;&lt;/EndNote&gt;</w:instrText>
      </w:r>
      <w:r w:rsidR="00DC6BE1" w:rsidRPr="00182CC6">
        <w:rPr>
          <w:lang w:val="en-GB"/>
        </w:rPr>
        <w:fldChar w:fldCharType="separate"/>
      </w:r>
      <w:r w:rsidR="00BF2209" w:rsidRPr="00182CC6">
        <w:rPr>
          <w:noProof/>
          <w:lang w:val="en-GB"/>
        </w:rPr>
        <w:t>(Silva et al., 2022)</w:t>
      </w:r>
      <w:r w:rsidR="00DC6BE1" w:rsidRPr="00182CC6">
        <w:rPr>
          <w:lang w:val="en-GB"/>
        </w:rPr>
        <w:fldChar w:fldCharType="end"/>
      </w:r>
      <w:r w:rsidR="0025560E" w:rsidRPr="00182CC6">
        <w:rPr>
          <w:lang w:val="en-GB"/>
        </w:rPr>
        <w:t>, in which a simulation model</w:t>
      </w:r>
      <w:r w:rsidR="00A15262" w:rsidRPr="00182CC6">
        <w:rPr>
          <w:lang w:val="en-GB"/>
        </w:rPr>
        <w:t xml:space="preserve"> was developed to</w:t>
      </w:r>
      <w:r w:rsidR="00566B54" w:rsidRPr="00182CC6">
        <w:rPr>
          <w:lang w:val="en-GB"/>
        </w:rPr>
        <w:t xml:space="preserve"> assess the </w:t>
      </w:r>
      <w:r w:rsidR="00157125" w:rsidRPr="00182CC6">
        <w:rPr>
          <w:lang w:val="en-GB"/>
        </w:rPr>
        <w:t>P</w:t>
      </w:r>
      <w:r w:rsidR="00D547BD" w:rsidRPr="00182CC6">
        <w:rPr>
          <w:lang w:val="en-GB"/>
        </w:rPr>
        <w:t xml:space="preserve">SC </w:t>
      </w:r>
      <w:r w:rsidR="00541BEC" w:rsidRPr="00182CC6">
        <w:rPr>
          <w:lang w:val="en-GB"/>
        </w:rPr>
        <w:t>performance</w:t>
      </w:r>
      <w:r w:rsidR="002E3371" w:rsidRPr="00182CC6">
        <w:rPr>
          <w:lang w:val="en-GB"/>
        </w:rPr>
        <w:t xml:space="preserve"> under </w:t>
      </w:r>
      <w:r w:rsidR="008E3E9E" w:rsidRPr="00182CC6">
        <w:rPr>
          <w:lang w:val="en-GB"/>
        </w:rPr>
        <w:t>a set of</w:t>
      </w:r>
      <w:r w:rsidR="002E3371" w:rsidRPr="00182CC6">
        <w:rPr>
          <w:lang w:val="en-GB"/>
        </w:rPr>
        <w:t xml:space="preserve"> disruptive scenarios</w:t>
      </w:r>
      <w:r w:rsidR="008E3E9E" w:rsidRPr="00182CC6">
        <w:rPr>
          <w:lang w:val="en-GB"/>
        </w:rPr>
        <w:t xml:space="preserve"> and</w:t>
      </w:r>
      <w:r w:rsidR="002E3371" w:rsidRPr="00182CC6">
        <w:rPr>
          <w:lang w:val="en-GB"/>
        </w:rPr>
        <w:t xml:space="preserve"> considering</w:t>
      </w:r>
      <w:r w:rsidR="00541BEC" w:rsidRPr="00182CC6">
        <w:rPr>
          <w:lang w:val="en-GB"/>
        </w:rPr>
        <w:t xml:space="preserve"> different inventory-based strategies, </w:t>
      </w:r>
      <w:r w:rsidR="00A14E7E" w:rsidRPr="00182CC6">
        <w:rPr>
          <w:lang w:val="en-GB"/>
        </w:rPr>
        <w:t>to</w:t>
      </w:r>
      <w:r w:rsidR="00541BEC" w:rsidRPr="00182CC6">
        <w:rPr>
          <w:lang w:val="en-GB"/>
        </w:rPr>
        <w:t xml:space="preserve"> </w:t>
      </w:r>
      <w:r w:rsidR="00A14E7E" w:rsidRPr="00182CC6">
        <w:rPr>
          <w:lang w:val="en-GB"/>
        </w:rPr>
        <w:t>improve</w:t>
      </w:r>
      <w:r w:rsidR="00541BEC" w:rsidRPr="00182CC6">
        <w:rPr>
          <w:lang w:val="en-GB"/>
        </w:rPr>
        <w:t xml:space="preserve"> resiliency and flexibility.</w:t>
      </w:r>
      <w:r w:rsidR="00913904" w:rsidRPr="00182CC6">
        <w:rPr>
          <w:lang w:val="en-GB"/>
        </w:rPr>
        <w:t xml:space="preserve"> </w:t>
      </w:r>
      <w:proofErr w:type="gramStart"/>
      <w:r w:rsidR="00A42C24" w:rsidRPr="00182CC6">
        <w:rPr>
          <w:lang w:val="en-GB"/>
        </w:rPr>
        <w:t>In order to</w:t>
      </w:r>
      <w:proofErr w:type="gramEnd"/>
      <w:r w:rsidR="00A42C24" w:rsidRPr="00182CC6">
        <w:rPr>
          <w:lang w:val="en-GB"/>
        </w:rPr>
        <w:t xml:space="preserve"> full</w:t>
      </w:r>
      <w:r w:rsidR="00F00E6C" w:rsidRPr="00182CC6">
        <w:rPr>
          <w:lang w:val="en-GB"/>
        </w:rPr>
        <w:t>y</w:t>
      </w:r>
      <w:r w:rsidR="00A42C24" w:rsidRPr="00182CC6">
        <w:rPr>
          <w:lang w:val="en-GB"/>
        </w:rPr>
        <w:t xml:space="preserve"> capture the complexity of the PSC</w:t>
      </w:r>
      <w:r w:rsidR="00F00E6C" w:rsidRPr="00182CC6">
        <w:rPr>
          <w:lang w:val="en-GB"/>
        </w:rPr>
        <w:t>, the</w:t>
      </w:r>
      <w:r w:rsidR="00913904" w:rsidRPr="00182CC6">
        <w:rPr>
          <w:lang w:val="en-GB"/>
        </w:rPr>
        <w:t xml:space="preserve"> simulation model was developed </w:t>
      </w:r>
      <w:r w:rsidR="00AD7DF4" w:rsidRPr="00182CC6">
        <w:rPr>
          <w:lang w:val="en-GB"/>
        </w:rPr>
        <w:t>integrating</w:t>
      </w:r>
      <w:r w:rsidR="0073473A" w:rsidRPr="00182CC6">
        <w:rPr>
          <w:lang w:val="en-GB"/>
        </w:rPr>
        <w:t xml:space="preserve"> </w:t>
      </w:r>
      <w:r w:rsidR="004F20C3" w:rsidRPr="00182CC6">
        <w:rPr>
          <w:lang w:val="en-GB"/>
        </w:rPr>
        <w:t xml:space="preserve">three simulation paradigms. </w:t>
      </w:r>
    </w:p>
    <w:p w14:paraId="13A7CD4D" w14:textId="4BDDA8BB" w:rsidR="00DC5FD0" w:rsidRPr="00182CC6" w:rsidRDefault="004F20C3" w:rsidP="009D14CB">
      <w:pPr>
        <w:pStyle w:val="Els-body-text"/>
        <w:rPr>
          <w:lang w:val="en-GB"/>
        </w:rPr>
      </w:pPr>
      <w:r w:rsidRPr="00182CC6">
        <w:rPr>
          <w:lang w:val="en-GB"/>
        </w:rPr>
        <w:t>While S</w:t>
      </w:r>
      <w:r w:rsidR="00AD7DF4" w:rsidRPr="00182CC6">
        <w:rPr>
          <w:lang w:val="en-GB"/>
        </w:rPr>
        <w:t xml:space="preserve">ystem </w:t>
      </w:r>
      <w:r w:rsidRPr="00182CC6">
        <w:rPr>
          <w:lang w:val="en-GB"/>
        </w:rPr>
        <w:t>D</w:t>
      </w:r>
      <w:r w:rsidR="00AD7DF4" w:rsidRPr="00182CC6">
        <w:rPr>
          <w:lang w:val="en-GB"/>
        </w:rPr>
        <w:t>ynamics</w:t>
      </w:r>
      <w:r w:rsidRPr="00182CC6">
        <w:rPr>
          <w:lang w:val="en-GB"/>
        </w:rPr>
        <w:t xml:space="preserve"> was used </w:t>
      </w:r>
      <w:r w:rsidR="006615C3" w:rsidRPr="00182CC6">
        <w:rPr>
          <w:lang w:val="en-GB"/>
        </w:rPr>
        <w:t xml:space="preserve">to model the </w:t>
      </w:r>
      <w:r w:rsidR="00D83045" w:rsidRPr="00182CC6">
        <w:rPr>
          <w:lang w:val="en-GB"/>
        </w:rPr>
        <w:t>high-level</w:t>
      </w:r>
      <w:r w:rsidR="006615C3" w:rsidRPr="00182CC6">
        <w:rPr>
          <w:lang w:val="en-GB"/>
        </w:rPr>
        <w:t xml:space="preserve"> </w:t>
      </w:r>
      <w:r w:rsidR="007C0935" w:rsidRPr="00182CC6">
        <w:rPr>
          <w:lang w:val="en-GB"/>
        </w:rPr>
        <w:t>behaviour</w:t>
      </w:r>
      <w:r w:rsidR="00D83045" w:rsidRPr="00182CC6">
        <w:rPr>
          <w:lang w:val="en-GB"/>
        </w:rPr>
        <w:t xml:space="preserve"> of the PSC, </w:t>
      </w:r>
      <w:r w:rsidRPr="00182CC6">
        <w:rPr>
          <w:lang w:val="en-GB"/>
        </w:rPr>
        <w:t>A</w:t>
      </w:r>
      <w:r w:rsidR="00AD7DF4" w:rsidRPr="00182CC6">
        <w:rPr>
          <w:lang w:val="en-GB"/>
        </w:rPr>
        <w:t>gent</w:t>
      </w:r>
      <w:r w:rsidR="00287761" w:rsidRPr="00182CC6">
        <w:rPr>
          <w:lang w:val="en-GB"/>
        </w:rPr>
        <w:t>-</w:t>
      </w:r>
      <w:r w:rsidR="00746234" w:rsidRPr="00182CC6">
        <w:rPr>
          <w:lang w:val="en-GB"/>
        </w:rPr>
        <w:t>B</w:t>
      </w:r>
      <w:r w:rsidR="00287761" w:rsidRPr="00182CC6">
        <w:rPr>
          <w:lang w:val="en-GB"/>
        </w:rPr>
        <w:t xml:space="preserve">ased </w:t>
      </w:r>
      <w:r w:rsidR="00746234" w:rsidRPr="00182CC6">
        <w:rPr>
          <w:lang w:val="en-GB"/>
        </w:rPr>
        <w:t xml:space="preserve">Simulation </w:t>
      </w:r>
      <w:r w:rsidR="00287761" w:rsidRPr="00182CC6">
        <w:rPr>
          <w:lang w:val="en-GB"/>
        </w:rPr>
        <w:t xml:space="preserve">and </w:t>
      </w:r>
      <w:r w:rsidR="00746234" w:rsidRPr="00182CC6">
        <w:rPr>
          <w:lang w:val="en-GB"/>
        </w:rPr>
        <w:t>D</w:t>
      </w:r>
      <w:r w:rsidR="00287761" w:rsidRPr="00182CC6">
        <w:rPr>
          <w:lang w:val="en-GB"/>
        </w:rPr>
        <w:t xml:space="preserve">iscrete </w:t>
      </w:r>
      <w:r w:rsidR="00746234" w:rsidRPr="00182CC6">
        <w:rPr>
          <w:lang w:val="en-GB"/>
        </w:rPr>
        <w:t>E</w:t>
      </w:r>
      <w:r w:rsidR="00287761" w:rsidRPr="00182CC6">
        <w:rPr>
          <w:lang w:val="en-GB"/>
        </w:rPr>
        <w:t xml:space="preserve">vent </w:t>
      </w:r>
      <w:r w:rsidR="00746234" w:rsidRPr="00182CC6">
        <w:rPr>
          <w:lang w:val="en-GB"/>
        </w:rPr>
        <w:t>S</w:t>
      </w:r>
      <w:r w:rsidR="00287761" w:rsidRPr="00182CC6">
        <w:rPr>
          <w:lang w:val="en-GB"/>
        </w:rPr>
        <w:t>imulation</w:t>
      </w:r>
      <w:r w:rsidR="00C27388" w:rsidRPr="00182CC6">
        <w:rPr>
          <w:lang w:val="en-GB"/>
        </w:rPr>
        <w:t xml:space="preserve"> were used</w:t>
      </w:r>
      <w:r w:rsidR="00287761" w:rsidRPr="00182CC6">
        <w:rPr>
          <w:lang w:val="en-GB"/>
        </w:rPr>
        <w:t xml:space="preserve"> </w:t>
      </w:r>
      <w:r w:rsidR="00A036AB" w:rsidRPr="00182CC6">
        <w:rPr>
          <w:lang w:val="en-GB"/>
        </w:rPr>
        <w:t>to model the individual performance of each entity</w:t>
      </w:r>
      <w:r w:rsidR="00EB6D86" w:rsidRPr="00182CC6">
        <w:rPr>
          <w:lang w:val="en-GB"/>
        </w:rPr>
        <w:t xml:space="preserve"> and</w:t>
      </w:r>
      <w:r w:rsidR="00C27388" w:rsidRPr="00182CC6">
        <w:rPr>
          <w:lang w:val="en-GB"/>
        </w:rPr>
        <w:t xml:space="preserve"> the </w:t>
      </w:r>
      <w:r w:rsidR="00B93BCF" w:rsidRPr="00182CC6">
        <w:rPr>
          <w:lang w:val="en-GB"/>
        </w:rPr>
        <w:t xml:space="preserve">associated </w:t>
      </w:r>
      <w:r w:rsidR="00C27388" w:rsidRPr="00182CC6">
        <w:rPr>
          <w:lang w:val="en-GB"/>
        </w:rPr>
        <w:t xml:space="preserve">production </w:t>
      </w:r>
      <w:r w:rsidR="00EB6D86" w:rsidRPr="00182CC6">
        <w:rPr>
          <w:lang w:val="en-GB"/>
        </w:rPr>
        <w:t>process</w:t>
      </w:r>
      <w:r w:rsidR="00C27388" w:rsidRPr="00182CC6">
        <w:rPr>
          <w:lang w:val="en-GB"/>
        </w:rPr>
        <w:t>es</w:t>
      </w:r>
      <w:r w:rsidR="00EB6D86" w:rsidRPr="00182CC6">
        <w:rPr>
          <w:lang w:val="en-GB"/>
        </w:rPr>
        <w:t xml:space="preserve"> </w:t>
      </w:r>
      <w:r w:rsidR="00191CA8" w:rsidRPr="00182CC6">
        <w:rPr>
          <w:lang w:val="en-GB"/>
        </w:rPr>
        <w:fldChar w:fldCharType="begin"/>
      </w:r>
      <w:r w:rsidR="00BF2209" w:rsidRPr="00182CC6">
        <w:rPr>
          <w:lang w:val="en-GB"/>
        </w:rPr>
        <w:instrText xml:space="preserve"> ADDIN EN.CITE &lt;EndNote&gt;&lt;Cite&gt;&lt;Author&gt;Silva&lt;/Author&gt;&lt;Year&gt;2022&lt;/Year&gt;&lt;RecNum&gt;22&lt;/RecNum&gt;&lt;DisplayText&gt;(Silva et al., 2022)&lt;/DisplayText&gt;&lt;record&gt;&lt;rec-number&gt;22&lt;/rec-number&gt;&lt;foreign-keys&gt;&lt;key app="EN" db-id="rpz9ear9bz90s7eavznvfae5rwe59rfsxa2s" timestamp="1699027942"&gt;22&lt;/key&gt;&lt;/foreign-keys&gt;&lt;ref-type name="Conference Paper"&gt;47&lt;/ref-type&gt;&lt;contributors&gt;&lt;authors&gt;&lt;author&gt;Silva, A.&lt;/author&gt;&lt;author&gt;Sousa, J.&lt;/author&gt;&lt;author&gt;Marques, CM&lt;/author&gt;&lt;/authors&gt;&lt;/contributors&gt;&lt;titles&gt;&lt;title&gt;Supply Chain Resiliency in the Pharmaceutical Industry–a Simulation-Based Approach&lt;/title&gt;&lt;secondary-title&gt;5th European International Conference on Industrial Engineering and Operations Management&lt;/secondary-title&gt;&lt;/titles&gt;&lt;dates&gt;&lt;year&gt;2022&lt;/year&gt;&lt;/dates&gt;&lt;urls&gt;&lt;/urls&gt;&lt;electronic-resource-num&gt;https://doi.org/10.46254/EU05.20220378&lt;/electronic-resource-num&gt;&lt;/record&gt;&lt;/Cite&gt;&lt;/EndNote&gt;</w:instrText>
      </w:r>
      <w:r w:rsidR="00191CA8" w:rsidRPr="00182CC6">
        <w:rPr>
          <w:lang w:val="en-GB"/>
        </w:rPr>
        <w:fldChar w:fldCharType="separate"/>
      </w:r>
      <w:r w:rsidR="00BF2209" w:rsidRPr="00182CC6">
        <w:rPr>
          <w:noProof/>
          <w:lang w:val="en-GB"/>
        </w:rPr>
        <w:t>(Silva et al., 2022)</w:t>
      </w:r>
      <w:r w:rsidR="00191CA8" w:rsidRPr="00182CC6">
        <w:rPr>
          <w:lang w:val="en-GB"/>
        </w:rPr>
        <w:fldChar w:fldCharType="end"/>
      </w:r>
      <w:r w:rsidR="00191CA8" w:rsidRPr="00182CC6">
        <w:rPr>
          <w:lang w:val="en-GB"/>
        </w:rPr>
        <w:t>.</w:t>
      </w:r>
    </w:p>
    <w:p w14:paraId="69A18A2D" w14:textId="0D9D8621" w:rsidR="00D818C7" w:rsidRPr="00182CC6" w:rsidRDefault="00705C14" w:rsidP="009D14CB">
      <w:pPr>
        <w:pStyle w:val="Els-body-text"/>
        <w:rPr>
          <w:lang w:val="en-GB"/>
        </w:rPr>
      </w:pPr>
      <w:r w:rsidRPr="00182CC6">
        <w:rPr>
          <w:lang w:val="en-GB"/>
        </w:rPr>
        <w:t xml:space="preserve">In this work, an optimization model is developed to be integrated with </w:t>
      </w:r>
      <w:r w:rsidRPr="00182CC6">
        <w:rPr>
          <w:lang w:val="en-GB"/>
        </w:rPr>
        <w:t xml:space="preserve">the </w:t>
      </w:r>
      <w:r w:rsidRPr="00182CC6">
        <w:rPr>
          <w:lang w:val="en-GB"/>
        </w:rPr>
        <w:t>simulation approach (</w:t>
      </w:r>
      <w:r w:rsidRPr="00182CC6">
        <w:rPr>
          <w:lang w:val="en-GB"/>
        </w:rPr>
        <w:fldChar w:fldCharType="begin"/>
      </w:r>
      <w:r w:rsidRPr="00182CC6">
        <w:rPr>
          <w:lang w:val="en-GB"/>
        </w:rPr>
        <w:instrText xml:space="preserve"> REF _Ref150356825 \h </w:instrText>
      </w:r>
      <w:r w:rsidRPr="00182CC6">
        <w:rPr>
          <w:lang w:val="en-GB"/>
        </w:rPr>
      </w:r>
      <w:r w:rsidRPr="00182CC6">
        <w:rPr>
          <w:lang w:val="en-GB"/>
        </w:rPr>
        <w:fldChar w:fldCharType="separate"/>
      </w:r>
      <w:r w:rsidRPr="00182CC6">
        <w:rPr>
          <w:lang w:val="en-GB"/>
        </w:rPr>
        <w:t xml:space="preserve">Figure </w:t>
      </w:r>
      <w:r w:rsidRPr="00182CC6">
        <w:rPr>
          <w:noProof/>
          <w:lang w:val="en-GB"/>
        </w:rPr>
        <w:t>3</w:t>
      </w:r>
      <w:r w:rsidRPr="00182CC6">
        <w:rPr>
          <w:lang w:val="en-GB"/>
        </w:rPr>
        <w:fldChar w:fldCharType="end"/>
      </w:r>
      <w:r w:rsidRPr="00182CC6">
        <w:rPr>
          <w:lang w:val="en-GB"/>
        </w:rPr>
        <w:t xml:space="preserve">), </w:t>
      </w:r>
      <w:r w:rsidR="00B93BCF" w:rsidRPr="00182CC6">
        <w:rPr>
          <w:lang w:val="en-GB"/>
        </w:rPr>
        <w:t xml:space="preserve">aiming </w:t>
      </w:r>
      <w:r w:rsidRPr="00182CC6">
        <w:rPr>
          <w:lang w:val="en-GB"/>
        </w:rPr>
        <w:t>to optimize the previously selected inventory-based strategy towards enhanced sustainability regarding the economic, environmental</w:t>
      </w:r>
      <w:r w:rsidR="00246BA9" w:rsidRPr="00182CC6">
        <w:rPr>
          <w:lang w:val="en-GB"/>
        </w:rPr>
        <w:t>,</w:t>
      </w:r>
      <w:r w:rsidRPr="00182CC6">
        <w:rPr>
          <w:lang w:val="en-GB"/>
        </w:rPr>
        <w:t xml:space="preserve"> and social dimensions.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6"/>
      </w:tblGrid>
      <w:tr w:rsidR="00D818C7" w:rsidRPr="00182CC6" w14:paraId="04980ED6" w14:textId="77777777" w:rsidTr="007F4E9F">
        <w:tc>
          <w:tcPr>
            <w:tcW w:w="7076" w:type="dxa"/>
          </w:tcPr>
          <w:p w14:paraId="41E83723" w14:textId="77777777" w:rsidR="00D818C7" w:rsidRPr="00182CC6" w:rsidRDefault="00D818C7" w:rsidP="007F4E9F">
            <w:pPr>
              <w:pStyle w:val="Els-body-text"/>
              <w:keepNext/>
              <w:jc w:val="center"/>
              <w:rPr>
                <w:lang w:val="en-GB"/>
              </w:rPr>
            </w:pPr>
            <w:r w:rsidRPr="00182CC6">
              <w:rPr>
                <w:noProof/>
                <w:lang w:val="en-GB"/>
              </w:rPr>
              <w:drawing>
                <wp:inline distT="0" distB="0" distL="0" distR="0" wp14:anchorId="7149AE40" wp14:editId="1FE79AD8">
                  <wp:extent cx="2468763" cy="1362075"/>
                  <wp:effectExtent l="0" t="0" r="0" b="0"/>
                  <wp:docPr id="970576367"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576367" name="Picture 1" descr="A diagram of a 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1679" cy="1380235"/>
                          </a:xfrm>
                          <a:prstGeom prst="rect">
                            <a:avLst/>
                          </a:prstGeom>
                          <a:noFill/>
                        </pic:spPr>
                      </pic:pic>
                    </a:graphicData>
                  </a:graphic>
                </wp:inline>
              </w:drawing>
            </w:r>
          </w:p>
        </w:tc>
      </w:tr>
    </w:tbl>
    <w:p w14:paraId="587DE867" w14:textId="5D3581D5" w:rsidR="00D818C7" w:rsidRPr="00182CC6" w:rsidRDefault="00D818C7" w:rsidP="00D818C7">
      <w:pPr>
        <w:pStyle w:val="Caption"/>
        <w:jc w:val="center"/>
        <w:rPr>
          <w:lang w:val="en-GB"/>
        </w:rPr>
      </w:pPr>
      <w:bookmarkStart w:id="3" w:name="_Ref150356825"/>
      <w:r w:rsidRPr="00182CC6">
        <w:rPr>
          <w:lang w:val="en-GB"/>
        </w:rPr>
        <w:t xml:space="preserve">Figure </w:t>
      </w:r>
      <w:r w:rsidRPr="00182CC6">
        <w:rPr>
          <w:lang w:val="en-GB"/>
        </w:rPr>
        <w:fldChar w:fldCharType="begin"/>
      </w:r>
      <w:r w:rsidRPr="00182CC6">
        <w:rPr>
          <w:lang w:val="en-GB"/>
        </w:rPr>
        <w:instrText xml:space="preserve"> SEQ Figure \* ARABIC </w:instrText>
      </w:r>
      <w:r w:rsidRPr="00182CC6">
        <w:rPr>
          <w:lang w:val="en-GB"/>
        </w:rPr>
        <w:fldChar w:fldCharType="separate"/>
      </w:r>
      <w:r w:rsidRPr="00182CC6">
        <w:rPr>
          <w:noProof/>
          <w:lang w:val="en-GB"/>
        </w:rPr>
        <w:t>3</w:t>
      </w:r>
      <w:r w:rsidRPr="00182CC6">
        <w:rPr>
          <w:lang w:val="en-GB"/>
        </w:rPr>
        <w:fldChar w:fldCharType="end"/>
      </w:r>
      <w:bookmarkEnd w:id="3"/>
      <w:r w:rsidRPr="00182CC6">
        <w:rPr>
          <w:lang w:val="en-GB"/>
        </w:rPr>
        <w:t xml:space="preserve"> - Proposed hybrid </w:t>
      </w:r>
      <w:r w:rsidR="00B93BCF" w:rsidRPr="00182CC6">
        <w:rPr>
          <w:lang w:val="en-GB"/>
        </w:rPr>
        <w:t>s</w:t>
      </w:r>
      <w:r w:rsidRPr="00182CC6">
        <w:rPr>
          <w:lang w:val="en-GB"/>
        </w:rPr>
        <w:t>imulation-optimization approach.</w:t>
      </w:r>
    </w:p>
    <w:p w14:paraId="5DAD9405" w14:textId="34C02DA6" w:rsidR="00D91ACA" w:rsidRPr="00182CC6" w:rsidRDefault="00B93BCF" w:rsidP="009D14CB">
      <w:pPr>
        <w:pStyle w:val="Els-body-text"/>
        <w:rPr>
          <w:lang w:val="en-GB"/>
        </w:rPr>
      </w:pPr>
      <w:r w:rsidRPr="00182CC6">
        <w:rPr>
          <w:lang w:val="en-GB"/>
        </w:rPr>
        <w:t>As shown in</w:t>
      </w:r>
      <w:r w:rsidR="00D91ACA" w:rsidRPr="00182CC6">
        <w:rPr>
          <w:lang w:val="en-GB"/>
        </w:rPr>
        <w:t xml:space="preserve"> </w:t>
      </w:r>
      <w:r w:rsidR="00D91ACA" w:rsidRPr="00182CC6">
        <w:rPr>
          <w:lang w:val="en-GB"/>
        </w:rPr>
        <w:fldChar w:fldCharType="begin"/>
      </w:r>
      <w:r w:rsidR="00D91ACA" w:rsidRPr="00182CC6">
        <w:rPr>
          <w:lang w:val="en-GB"/>
        </w:rPr>
        <w:instrText xml:space="preserve"> REF _Ref150356825 \h </w:instrText>
      </w:r>
      <w:r w:rsidR="00D91ACA" w:rsidRPr="00182CC6">
        <w:rPr>
          <w:lang w:val="en-GB"/>
        </w:rPr>
      </w:r>
      <w:r w:rsidR="00D91ACA" w:rsidRPr="00182CC6">
        <w:rPr>
          <w:lang w:val="en-GB"/>
        </w:rPr>
        <w:fldChar w:fldCharType="separate"/>
      </w:r>
      <w:r w:rsidR="00370300" w:rsidRPr="00182CC6">
        <w:rPr>
          <w:lang w:val="en-GB"/>
        </w:rPr>
        <w:t xml:space="preserve">Figure </w:t>
      </w:r>
      <w:r w:rsidR="00370300" w:rsidRPr="00182CC6">
        <w:rPr>
          <w:noProof/>
          <w:lang w:val="en-GB"/>
        </w:rPr>
        <w:t>3</w:t>
      </w:r>
      <w:r w:rsidR="00D91ACA" w:rsidRPr="00182CC6">
        <w:rPr>
          <w:lang w:val="en-GB"/>
        </w:rPr>
        <w:fldChar w:fldCharType="end"/>
      </w:r>
      <w:r w:rsidRPr="00182CC6">
        <w:rPr>
          <w:lang w:val="en-GB"/>
        </w:rPr>
        <w:t>,</w:t>
      </w:r>
      <w:r w:rsidR="00D91ACA" w:rsidRPr="00182CC6">
        <w:rPr>
          <w:lang w:val="en-GB"/>
        </w:rPr>
        <w:t xml:space="preserve"> the simulation model is used to </w:t>
      </w:r>
      <w:r w:rsidR="00673C03" w:rsidRPr="00182CC6">
        <w:rPr>
          <w:lang w:val="en-GB"/>
        </w:rPr>
        <w:t>simulate</w:t>
      </w:r>
      <w:r w:rsidR="00D91ACA" w:rsidRPr="00182CC6">
        <w:rPr>
          <w:lang w:val="en-GB"/>
        </w:rPr>
        <w:t xml:space="preserve"> several disruption scenarios, identify </w:t>
      </w:r>
      <w:r w:rsidR="0077377E" w:rsidRPr="00182CC6">
        <w:rPr>
          <w:lang w:val="en-GB"/>
        </w:rPr>
        <w:t>vulnerabilities</w:t>
      </w:r>
      <w:r w:rsidR="00D91ACA" w:rsidRPr="00182CC6">
        <w:rPr>
          <w:lang w:val="en-GB"/>
        </w:rPr>
        <w:t xml:space="preserve"> in the </w:t>
      </w:r>
      <w:r w:rsidR="005D1571" w:rsidRPr="00182CC6">
        <w:rPr>
          <w:lang w:val="en-GB"/>
        </w:rPr>
        <w:t>P</w:t>
      </w:r>
      <w:r w:rsidR="00D91ACA" w:rsidRPr="00182CC6">
        <w:rPr>
          <w:lang w:val="en-GB"/>
        </w:rPr>
        <w:t xml:space="preserve">SC and proactively define target-specific strategies based on extra inventory to ensure a defined “acceptable” level of resiliency in terms of service level. The inventory level that best performs in terms of resiliency will be selected as an input parameter to the optimization model. </w:t>
      </w:r>
      <w:r w:rsidR="008637B2" w:rsidRPr="00182CC6">
        <w:rPr>
          <w:lang w:val="en-GB"/>
        </w:rPr>
        <w:t xml:space="preserve">As </w:t>
      </w:r>
      <w:r w:rsidR="00D91ACA" w:rsidRPr="00182CC6">
        <w:rPr>
          <w:lang w:val="en-GB"/>
        </w:rPr>
        <w:t>these strategies are both economically and environmentally costly</w:t>
      </w:r>
      <w:r w:rsidR="001E5C41" w:rsidRPr="00182CC6">
        <w:rPr>
          <w:lang w:val="en-GB"/>
        </w:rPr>
        <w:t>,</w:t>
      </w:r>
      <w:r w:rsidR="00D91ACA" w:rsidRPr="00182CC6">
        <w:rPr>
          <w:lang w:val="en-GB"/>
        </w:rPr>
        <w:t xml:space="preserve"> the optimization model will be instrumental in achieving the best </w:t>
      </w:r>
      <w:r w:rsidR="007C0935" w:rsidRPr="00182CC6">
        <w:rPr>
          <w:lang w:val="en-GB"/>
        </w:rPr>
        <w:t>trade-offs</w:t>
      </w:r>
      <w:r w:rsidR="00D91ACA" w:rsidRPr="00182CC6">
        <w:rPr>
          <w:lang w:val="en-GB"/>
        </w:rPr>
        <w:t xml:space="preserve"> between the excess inventory, required to perform </w:t>
      </w:r>
      <w:r w:rsidR="00D91ACA" w:rsidRPr="00182CC6">
        <w:rPr>
          <w:lang w:val="en-GB"/>
        </w:rPr>
        <w:lastRenderedPageBreak/>
        <w:t>resiliently, and the optimal capacity</w:t>
      </w:r>
      <w:r w:rsidR="003546D7" w:rsidRPr="00182CC6">
        <w:rPr>
          <w:lang w:val="en-GB"/>
        </w:rPr>
        <w:t>, inventory</w:t>
      </w:r>
      <w:r w:rsidR="00B15C20" w:rsidRPr="00182CC6">
        <w:rPr>
          <w:lang w:val="en-GB"/>
        </w:rPr>
        <w:t>,</w:t>
      </w:r>
      <w:r w:rsidR="00D91ACA" w:rsidRPr="00182CC6">
        <w:rPr>
          <w:lang w:val="en-GB"/>
        </w:rPr>
        <w:t xml:space="preserve"> and production planning decisions, required to perform sustainably. </w:t>
      </w:r>
    </w:p>
    <w:p w14:paraId="144DE69D" w14:textId="7807380A" w:rsidR="008D2649" w:rsidRPr="00182CC6" w:rsidRDefault="00B91C0F" w:rsidP="009D14CB">
      <w:pPr>
        <w:pStyle w:val="Els-2ndorder-head"/>
        <w:rPr>
          <w:lang w:val="en-GB"/>
        </w:rPr>
      </w:pPr>
      <w:r w:rsidRPr="00182CC6">
        <w:rPr>
          <w:lang w:val="en-GB"/>
        </w:rPr>
        <w:t>Mathematical Model</w:t>
      </w:r>
    </w:p>
    <w:p w14:paraId="6B2157B2" w14:textId="610164C4" w:rsidR="009B52BA" w:rsidRPr="00182CC6" w:rsidRDefault="0010023C" w:rsidP="009D14CB">
      <w:pPr>
        <w:pStyle w:val="Els-body-text"/>
        <w:rPr>
          <w:lang w:val="en-GB"/>
        </w:rPr>
      </w:pPr>
      <w:r w:rsidRPr="00182CC6">
        <w:rPr>
          <w:lang w:val="en-GB"/>
        </w:rPr>
        <w:t>A</w:t>
      </w:r>
      <w:r w:rsidR="00365060" w:rsidRPr="00182CC6">
        <w:rPr>
          <w:lang w:val="en-GB"/>
        </w:rPr>
        <w:t xml:space="preserve"> bi-objective </w:t>
      </w:r>
      <w:r w:rsidR="00A00928" w:rsidRPr="00182CC6">
        <w:rPr>
          <w:lang w:val="en-GB"/>
        </w:rPr>
        <w:t>Mixed Integer Linear Programming (MILP) model</w:t>
      </w:r>
      <w:r w:rsidR="009B777D" w:rsidRPr="00182CC6">
        <w:rPr>
          <w:lang w:val="en-GB"/>
        </w:rPr>
        <w:t xml:space="preserve"> </w:t>
      </w:r>
      <w:r w:rsidRPr="00182CC6">
        <w:rPr>
          <w:lang w:val="en-GB"/>
        </w:rPr>
        <w:t xml:space="preserve">is proposed in this work, </w:t>
      </w:r>
      <w:r w:rsidR="009B777D" w:rsidRPr="00182CC6">
        <w:rPr>
          <w:lang w:val="en-GB"/>
        </w:rPr>
        <w:t xml:space="preserve">encompassing </w:t>
      </w:r>
      <w:r w:rsidR="00193113" w:rsidRPr="00182CC6">
        <w:rPr>
          <w:lang w:val="en-GB"/>
        </w:rPr>
        <w:t>strategic-tactical decisions</w:t>
      </w:r>
      <w:r w:rsidR="009B777D" w:rsidRPr="00182CC6">
        <w:rPr>
          <w:lang w:val="en-GB"/>
        </w:rPr>
        <w:t xml:space="preserve"> related with capacity management, </w:t>
      </w:r>
      <w:r w:rsidR="00350DCB" w:rsidRPr="00182CC6">
        <w:rPr>
          <w:lang w:val="en-GB"/>
        </w:rPr>
        <w:t xml:space="preserve">and </w:t>
      </w:r>
      <w:r w:rsidR="009B777D" w:rsidRPr="00182CC6">
        <w:rPr>
          <w:lang w:val="en-GB"/>
        </w:rPr>
        <w:t>production</w:t>
      </w:r>
      <w:r w:rsidR="00EA57DC" w:rsidRPr="00182CC6">
        <w:rPr>
          <w:lang w:val="en-GB"/>
        </w:rPr>
        <w:t xml:space="preserve"> and inventory</w:t>
      </w:r>
      <w:r w:rsidR="00193113" w:rsidRPr="00182CC6">
        <w:rPr>
          <w:lang w:val="en-GB"/>
        </w:rPr>
        <w:t xml:space="preserve"> </w:t>
      </w:r>
      <w:r w:rsidR="00DC23F5" w:rsidRPr="00182CC6">
        <w:rPr>
          <w:lang w:val="en-GB"/>
        </w:rPr>
        <w:t>planning</w:t>
      </w:r>
      <w:r w:rsidR="00163749" w:rsidRPr="00182CC6">
        <w:rPr>
          <w:lang w:val="en-GB"/>
        </w:rPr>
        <w:t>.</w:t>
      </w:r>
      <w:r w:rsidR="009B52BA" w:rsidRPr="00182CC6">
        <w:rPr>
          <w:lang w:val="en-GB"/>
        </w:rPr>
        <w:t xml:space="preserve"> </w:t>
      </w:r>
      <w:r w:rsidR="002345BE" w:rsidRPr="00182CC6">
        <w:rPr>
          <w:lang w:val="en-GB"/>
        </w:rPr>
        <w:t>T</w:t>
      </w:r>
      <w:r w:rsidR="009B52BA" w:rsidRPr="00182CC6">
        <w:rPr>
          <w:lang w:val="en-GB"/>
        </w:rPr>
        <w:t xml:space="preserve">he main decision variables </w:t>
      </w:r>
      <w:r w:rsidR="00C364DC" w:rsidRPr="00182CC6">
        <w:rPr>
          <w:lang w:val="en-GB"/>
        </w:rPr>
        <w:t>include</w:t>
      </w:r>
      <w:r w:rsidR="009B52BA" w:rsidRPr="00182CC6">
        <w:rPr>
          <w:lang w:val="en-GB"/>
        </w:rPr>
        <w:t xml:space="preserve">: </w:t>
      </w:r>
      <w:r w:rsidR="0009641E" w:rsidRPr="00182CC6">
        <w:rPr>
          <w:lang w:val="en-GB"/>
        </w:rPr>
        <w:t>(</w:t>
      </w:r>
      <w:r w:rsidR="0009641E" w:rsidRPr="00182CC6">
        <w:rPr>
          <w:i/>
          <w:iCs/>
          <w:lang w:val="en-GB"/>
        </w:rPr>
        <w:t>i</w:t>
      </w:r>
      <w:r w:rsidR="0009641E" w:rsidRPr="00182CC6">
        <w:rPr>
          <w:lang w:val="en-GB"/>
        </w:rPr>
        <w:t xml:space="preserve">) </w:t>
      </w:r>
      <w:r w:rsidR="008637B2" w:rsidRPr="00182CC6">
        <w:rPr>
          <w:lang w:val="en-GB"/>
        </w:rPr>
        <w:t>p</w:t>
      </w:r>
      <w:r w:rsidR="0001752B" w:rsidRPr="00182CC6">
        <w:rPr>
          <w:lang w:val="en-GB"/>
        </w:rPr>
        <w:t xml:space="preserve">roduct allocation to </w:t>
      </w:r>
      <w:r w:rsidR="003B0FC4" w:rsidRPr="00182CC6">
        <w:rPr>
          <w:lang w:val="en-GB"/>
        </w:rPr>
        <w:t>facilities</w:t>
      </w:r>
      <w:r w:rsidR="00AC635B" w:rsidRPr="00182CC6">
        <w:rPr>
          <w:lang w:val="en-GB"/>
        </w:rPr>
        <w:t xml:space="preserve"> </w:t>
      </w:r>
      <m:oMath>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pi</m:t>
            </m:r>
          </m:sub>
        </m:sSub>
      </m:oMath>
      <w:r w:rsidR="00772DB0" w:rsidRPr="00182CC6">
        <w:rPr>
          <w:lang w:val="en-GB"/>
        </w:rPr>
        <w:t xml:space="preserve"> </w:t>
      </w:r>
      <w:r w:rsidR="009B52BA" w:rsidRPr="00182CC6">
        <w:rPr>
          <w:lang w:val="en-GB"/>
        </w:rPr>
        <w:t>(</w:t>
      </w:r>
      <m:oMath>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pi</m:t>
            </m:r>
          </m:sub>
        </m:sSub>
        <m:r>
          <m:rPr>
            <m:sty m:val="p"/>
          </m:rPr>
          <w:rPr>
            <w:rFonts w:ascii="Cambria Math" w:hAnsi="Cambria Math"/>
            <w:lang w:val="en-GB"/>
          </w:rPr>
          <m:t>=1</m:t>
        </m:r>
      </m:oMath>
      <w:r w:rsidR="00772DB0" w:rsidRPr="00182CC6">
        <w:rPr>
          <w:lang w:val="en-GB"/>
        </w:rPr>
        <w:t xml:space="preserve"> </w:t>
      </w:r>
      <w:r w:rsidR="009B52BA" w:rsidRPr="00182CC6">
        <w:rPr>
          <w:lang w:val="en-GB"/>
        </w:rPr>
        <w:t xml:space="preserve">if product </w:t>
      </w:r>
      <m:oMath>
        <m:r>
          <w:rPr>
            <w:rFonts w:ascii="Cambria Math" w:hAnsi="Cambria Math"/>
            <w:lang w:val="en-GB"/>
          </w:rPr>
          <m:t>p</m:t>
        </m:r>
      </m:oMath>
      <w:r w:rsidR="009B52BA" w:rsidRPr="00182CC6">
        <w:rPr>
          <w:lang w:val="en-GB"/>
        </w:rPr>
        <w:t xml:space="preserve"> is assigned to </w:t>
      </w:r>
      <w:r w:rsidR="00772DB0" w:rsidRPr="00182CC6">
        <w:rPr>
          <w:lang w:val="en-GB"/>
        </w:rPr>
        <w:t>facility</w:t>
      </w:r>
      <w:r w:rsidR="00D61E13" w:rsidRPr="00182CC6">
        <w:rPr>
          <w:lang w:val="en-GB"/>
        </w:rPr>
        <w:t xml:space="preserve"> </w:t>
      </w:r>
      <w:r w:rsidR="00106919" w:rsidRPr="00182CC6">
        <w:rPr>
          <w:i/>
          <w:iCs/>
          <w:lang w:val="en-GB"/>
        </w:rPr>
        <w:t>i</w:t>
      </w:r>
      <w:r w:rsidR="00106919" w:rsidRPr="00182CC6">
        <w:rPr>
          <w:lang w:val="en-GB"/>
        </w:rPr>
        <w:t>;  = 0, otherwise</w:t>
      </w:r>
      <w:r w:rsidR="00EA57DC" w:rsidRPr="00182CC6">
        <w:rPr>
          <w:lang w:val="en-GB"/>
        </w:rPr>
        <w:t>)</w:t>
      </w:r>
      <w:r w:rsidR="009B52BA" w:rsidRPr="00182CC6">
        <w:rPr>
          <w:lang w:val="en-GB"/>
        </w:rPr>
        <w:t xml:space="preserve">; </w:t>
      </w:r>
      <w:r w:rsidR="0009641E" w:rsidRPr="00182CC6">
        <w:rPr>
          <w:lang w:val="en-GB"/>
        </w:rPr>
        <w:t>(</w:t>
      </w:r>
      <w:r w:rsidR="0009641E" w:rsidRPr="00182CC6">
        <w:rPr>
          <w:i/>
          <w:lang w:val="en-GB"/>
        </w:rPr>
        <w:t>i</w:t>
      </w:r>
      <w:r w:rsidR="006A134A" w:rsidRPr="00182CC6">
        <w:rPr>
          <w:i/>
          <w:lang w:val="en-GB"/>
        </w:rPr>
        <w:t>i</w:t>
      </w:r>
      <w:r w:rsidR="0009641E" w:rsidRPr="00182CC6">
        <w:rPr>
          <w:lang w:val="en-GB"/>
        </w:rPr>
        <w:t xml:space="preserve">) </w:t>
      </w:r>
      <w:r w:rsidR="00DC0ED2" w:rsidRPr="00182CC6">
        <w:rPr>
          <w:lang w:val="en-GB"/>
        </w:rPr>
        <w:t xml:space="preserve">production quantities </w:t>
      </w:r>
      <w:r w:rsidR="001D5E00" w:rsidRPr="00182CC6">
        <w:rPr>
          <w:lang w:val="en-GB"/>
        </w:rPr>
        <w:t xml:space="preserve">of each product </w:t>
      </w:r>
      <w:r w:rsidR="001D5E00" w:rsidRPr="00182CC6">
        <w:rPr>
          <w:i/>
          <w:iCs/>
          <w:lang w:val="en-GB"/>
        </w:rPr>
        <w:t>p</w:t>
      </w:r>
      <w:r w:rsidR="00106919" w:rsidRPr="00182CC6">
        <w:rPr>
          <w:lang w:val="en-GB"/>
        </w:rPr>
        <w:t xml:space="preserve">, with age </w:t>
      </w:r>
      <w:r w:rsidR="00106919" w:rsidRPr="00182CC6">
        <w:rPr>
          <w:i/>
          <w:iCs/>
          <w:lang w:val="en-GB"/>
        </w:rPr>
        <w:t>a</w:t>
      </w:r>
      <w:r w:rsidR="00106919" w:rsidRPr="00182CC6">
        <w:rPr>
          <w:lang w:val="en-GB"/>
        </w:rPr>
        <w:t xml:space="preserve">, </w:t>
      </w:r>
      <w:r w:rsidR="002345BE" w:rsidRPr="00182CC6">
        <w:rPr>
          <w:lang w:val="en-GB"/>
        </w:rPr>
        <w:t xml:space="preserve">in each </w:t>
      </w:r>
      <w:r w:rsidR="008609FD" w:rsidRPr="00182CC6">
        <w:rPr>
          <w:lang w:val="en-GB"/>
        </w:rPr>
        <w:t xml:space="preserve">factory </w:t>
      </w:r>
      <w:r w:rsidR="00582686" w:rsidRPr="00182CC6">
        <w:rPr>
          <w:i/>
          <w:iCs/>
          <w:lang w:val="en-GB"/>
        </w:rPr>
        <w:t>i</w:t>
      </w:r>
      <w:r w:rsidR="001D5E00" w:rsidRPr="00182CC6">
        <w:rPr>
          <w:lang w:val="en-GB"/>
        </w:rPr>
        <w:t xml:space="preserve"> and time period </w:t>
      </w:r>
      <w:r w:rsidR="001D5E00" w:rsidRPr="00182CC6">
        <w:rPr>
          <w:i/>
          <w:iCs/>
          <w:lang w:val="en-GB"/>
        </w:rPr>
        <w:t>t</w:t>
      </w:r>
      <w:r w:rsidR="008609FD" w:rsidRPr="00182CC6">
        <w:rPr>
          <w:i/>
          <w:iCs/>
          <w:lang w:val="en-GB"/>
        </w:rPr>
        <w:t xml:space="preserve"> </w:t>
      </w:r>
      <w:r w:rsidR="00625AA5" w:rsidRPr="00182CC6">
        <w:rPr>
          <w:lang w:val="en-GB"/>
        </w:rPr>
        <w:t>(</w:t>
      </w:r>
      <m:oMath>
        <m:sSubSup>
          <m:sSubSupPr>
            <m:ctrlPr>
              <w:rPr>
                <w:rFonts w:ascii="Cambria Math" w:hAnsi="Cambria Math"/>
                <w:i/>
                <w:lang w:val="en-GB"/>
              </w:rPr>
            </m:ctrlPr>
          </m:sSubSupPr>
          <m:e>
            <m:r>
              <w:rPr>
                <w:rFonts w:ascii="Cambria Math" w:hAnsi="Cambria Math"/>
                <w:lang w:val="en-GB"/>
              </w:rPr>
              <m:t>Q</m:t>
            </m:r>
          </m:e>
          <m:sub>
            <m:r>
              <w:rPr>
                <w:rFonts w:ascii="Cambria Math" w:hAnsi="Cambria Math"/>
                <w:lang w:val="en-GB"/>
              </w:rPr>
              <m:t>pit</m:t>
            </m:r>
          </m:sub>
          <m:sup>
            <m:r>
              <w:rPr>
                <w:rFonts w:ascii="Cambria Math" w:hAnsi="Cambria Math"/>
                <w:lang w:val="en-GB"/>
              </w:rPr>
              <m:t>API</m:t>
            </m:r>
          </m:sup>
        </m:sSubSup>
      </m:oMath>
      <w:r w:rsidR="00FB5F39" w:rsidRPr="00182CC6">
        <w:rPr>
          <w:lang w:val="en-GB"/>
        </w:rPr>
        <w:t xml:space="preserve">, </w:t>
      </w:r>
      <m:oMath>
        <m:sSubSup>
          <m:sSubSupPr>
            <m:ctrlPr>
              <w:rPr>
                <w:rFonts w:ascii="Cambria Math" w:hAnsi="Cambria Math"/>
                <w:i/>
                <w:lang w:val="en-GB"/>
              </w:rPr>
            </m:ctrlPr>
          </m:sSubSupPr>
          <m:e>
            <m:r>
              <w:rPr>
                <w:rFonts w:ascii="Cambria Math" w:hAnsi="Cambria Math"/>
                <w:lang w:val="en-GB"/>
              </w:rPr>
              <m:t>Q</m:t>
            </m:r>
          </m:e>
          <m:sub>
            <m:r>
              <w:rPr>
                <w:rFonts w:ascii="Cambria Math" w:hAnsi="Cambria Math"/>
                <w:lang w:val="en-GB"/>
              </w:rPr>
              <m:t>piat</m:t>
            </m:r>
          </m:sub>
          <m:sup>
            <m:r>
              <w:rPr>
                <w:rFonts w:ascii="Cambria Math" w:hAnsi="Cambria Math"/>
                <w:lang w:val="en-GB"/>
              </w:rPr>
              <m:t>FP</m:t>
            </m:r>
          </m:sup>
        </m:sSubSup>
      </m:oMath>
      <w:r w:rsidR="001B2301" w:rsidRPr="00182CC6">
        <w:rPr>
          <w:rFonts w:ascii="Cambria Math" w:hAnsi="Cambria Math"/>
          <w:iCs/>
          <w:lang w:val="en-GB"/>
        </w:rPr>
        <w:t>)</w:t>
      </w:r>
      <w:r w:rsidR="009B52BA" w:rsidRPr="00182CC6">
        <w:rPr>
          <w:lang w:val="en-GB"/>
        </w:rPr>
        <w:t>;</w:t>
      </w:r>
      <w:r w:rsidR="008609FD" w:rsidRPr="00182CC6">
        <w:rPr>
          <w:lang w:val="en-GB"/>
        </w:rPr>
        <w:t xml:space="preserve"> </w:t>
      </w:r>
      <w:r w:rsidR="006A134A" w:rsidRPr="00182CC6">
        <w:rPr>
          <w:lang w:val="en-GB"/>
        </w:rPr>
        <w:t>(</w:t>
      </w:r>
      <w:r w:rsidR="006A134A" w:rsidRPr="00182CC6">
        <w:rPr>
          <w:i/>
          <w:lang w:val="en-GB"/>
        </w:rPr>
        <w:t>iii</w:t>
      </w:r>
      <w:r w:rsidR="006A134A" w:rsidRPr="00182CC6">
        <w:rPr>
          <w:lang w:val="en-GB"/>
        </w:rPr>
        <w:t xml:space="preserve">) </w:t>
      </w:r>
      <w:r w:rsidR="008609FD" w:rsidRPr="00182CC6">
        <w:rPr>
          <w:lang w:val="en-GB"/>
        </w:rPr>
        <w:t xml:space="preserve">inventory levels </w:t>
      </w:r>
      <w:r w:rsidR="00412D7D" w:rsidRPr="00182CC6">
        <w:rPr>
          <w:lang w:val="en-GB"/>
        </w:rPr>
        <w:t>of both types of products</w:t>
      </w:r>
      <w:r w:rsidR="007D58D8" w:rsidRPr="00182CC6">
        <w:rPr>
          <w:lang w:val="en-GB"/>
        </w:rPr>
        <w:t>, explicitly</w:t>
      </w:r>
      <w:r w:rsidR="001B37DF" w:rsidRPr="00182CC6">
        <w:rPr>
          <w:lang w:val="en-GB"/>
        </w:rPr>
        <w:t xml:space="preserve"> considerin</w:t>
      </w:r>
      <w:r w:rsidR="005C5CDB" w:rsidRPr="00182CC6">
        <w:rPr>
          <w:lang w:val="en-GB"/>
        </w:rPr>
        <w:t>g the product age</w:t>
      </w:r>
      <w:r w:rsidR="00EC74AB" w:rsidRPr="00182CC6">
        <w:rPr>
          <w:lang w:val="en-GB"/>
        </w:rPr>
        <w:t xml:space="preserve"> </w:t>
      </w:r>
      <w:r w:rsidR="00EC74AB" w:rsidRPr="00182CC6">
        <w:rPr>
          <w:i/>
          <w:iCs/>
          <w:lang w:val="en-GB"/>
        </w:rPr>
        <w:t>a</w:t>
      </w:r>
      <w:r w:rsidR="005C5CDB" w:rsidRPr="00182CC6">
        <w:rPr>
          <w:lang w:val="en-GB"/>
        </w:rPr>
        <w:t xml:space="preserve"> for the </w:t>
      </w:r>
      <w:r w:rsidR="00AC1BD8" w:rsidRPr="00182CC6">
        <w:rPr>
          <w:lang w:val="en-GB"/>
        </w:rPr>
        <w:t xml:space="preserve">FP </w:t>
      </w:r>
      <w:r w:rsidR="00412D7D" w:rsidRPr="00182CC6">
        <w:rPr>
          <w:lang w:val="en-GB"/>
        </w:rPr>
        <w:t>(</w:t>
      </w:r>
      <m:oMath>
        <m:sSubSup>
          <m:sSubSupPr>
            <m:ctrlPr>
              <w:rPr>
                <w:rFonts w:ascii="Cambria Math" w:eastAsia="Calibri" w:hAnsi="Cambria Math"/>
                <w:i/>
                <w:lang w:val="en-GB"/>
              </w:rPr>
            </m:ctrlPr>
          </m:sSubSupPr>
          <m:e>
            <m:r>
              <w:rPr>
                <w:rFonts w:ascii="Cambria Math" w:hAnsi="Cambria Math"/>
                <w:lang w:val="en-GB"/>
              </w:rPr>
              <m:t>S</m:t>
            </m:r>
          </m:e>
          <m:sub>
            <m:r>
              <w:rPr>
                <w:rFonts w:ascii="Cambria Math" w:hAnsi="Cambria Math"/>
                <w:lang w:val="en-GB"/>
              </w:rPr>
              <m:t>pit</m:t>
            </m:r>
          </m:sub>
          <m:sup>
            <m:r>
              <w:rPr>
                <w:rFonts w:ascii="Cambria Math" w:hAnsi="Cambria Math"/>
                <w:lang w:val="en-GB"/>
              </w:rPr>
              <m:t>API</m:t>
            </m:r>
          </m:sup>
        </m:sSubSup>
      </m:oMath>
      <w:r w:rsidR="00412D7D" w:rsidRPr="00182CC6">
        <w:rPr>
          <w:lang w:val="en-GB"/>
        </w:rPr>
        <w:t xml:space="preserve">, </w:t>
      </w:r>
      <m:oMath>
        <m:sSubSup>
          <m:sSubSupPr>
            <m:ctrlPr>
              <w:rPr>
                <w:rFonts w:ascii="Cambria Math" w:hAnsi="Cambria Math"/>
                <w:i/>
                <w:lang w:val="en-GB"/>
              </w:rPr>
            </m:ctrlPr>
          </m:sSubSupPr>
          <m:e>
            <m:r>
              <w:rPr>
                <w:rFonts w:ascii="Cambria Math" w:hAnsi="Cambria Math"/>
                <w:lang w:val="en-GB"/>
              </w:rPr>
              <m:t>S</m:t>
            </m:r>
          </m:e>
          <m:sub>
            <m:r>
              <w:rPr>
                <w:rFonts w:ascii="Cambria Math" w:hAnsi="Cambria Math"/>
                <w:lang w:val="en-GB"/>
              </w:rPr>
              <m:t>piat</m:t>
            </m:r>
          </m:sub>
          <m:sup>
            <m:r>
              <w:rPr>
                <w:rFonts w:ascii="Cambria Math" w:hAnsi="Cambria Math"/>
                <w:lang w:val="en-GB"/>
              </w:rPr>
              <m:t>FP</m:t>
            </m:r>
          </m:sup>
        </m:sSubSup>
      </m:oMath>
      <w:r w:rsidR="00412D7D" w:rsidRPr="00182CC6">
        <w:rPr>
          <w:lang w:val="en-GB"/>
        </w:rPr>
        <w:t>)</w:t>
      </w:r>
      <w:r w:rsidR="0055675B" w:rsidRPr="00182CC6">
        <w:rPr>
          <w:lang w:val="en-GB"/>
        </w:rPr>
        <w:t xml:space="preserve">; </w:t>
      </w:r>
      <w:r w:rsidR="006A134A" w:rsidRPr="00182CC6">
        <w:rPr>
          <w:lang w:val="en-GB"/>
        </w:rPr>
        <w:t>(</w:t>
      </w:r>
      <w:r w:rsidR="006A134A" w:rsidRPr="00182CC6">
        <w:rPr>
          <w:i/>
          <w:lang w:val="en-GB"/>
        </w:rPr>
        <w:t>iv</w:t>
      </w:r>
      <w:r w:rsidR="006A134A" w:rsidRPr="00182CC6">
        <w:rPr>
          <w:lang w:val="en-GB"/>
        </w:rPr>
        <w:t xml:space="preserve">) </w:t>
      </w:r>
      <w:r w:rsidR="00EC74AB" w:rsidRPr="00182CC6">
        <w:rPr>
          <w:lang w:val="en-GB"/>
        </w:rPr>
        <w:t>p</w:t>
      </w:r>
      <w:r w:rsidR="0055675B" w:rsidRPr="00182CC6">
        <w:rPr>
          <w:lang w:val="en-GB"/>
        </w:rPr>
        <w:t xml:space="preserve">roduct </w:t>
      </w:r>
      <w:r w:rsidR="00AA4727" w:rsidRPr="00182CC6">
        <w:rPr>
          <w:lang w:val="en-GB"/>
        </w:rPr>
        <w:t xml:space="preserve">direct and reverse </w:t>
      </w:r>
      <w:r w:rsidR="0055675B" w:rsidRPr="00182CC6">
        <w:rPr>
          <w:lang w:val="en-GB"/>
        </w:rPr>
        <w:t>flows</w:t>
      </w:r>
      <w:r w:rsidR="00AA4727" w:rsidRPr="00182CC6">
        <w:rPr>
          <w:lang w:val="en-GB"/>
        </w:rPr>
        <w:t xml:space="preserve"> between</w:t>
      </w:r>
      <w:r w:rsidR="007F05BD" w:rsidRPr="00182CC6">
        <w:rPr>
          <w:lang w:val="en-GB"/>
        </w:rPr>
        <w:t xml:space="preserve"> the allowable</w:t>
      </w:r>
      <w:r w:rsidR="00AA4727" w:rsidRPr="00182CC6">
        <w:rPr>
          <w:lang w:val="en-GB"/>
        </w:rPr>
        <w:t xml:space="preserve"> entities (</w:t>
      </w:r>
      <m:oMath>
        <m:sSubSup>
          <m:sSubSupPr>
            <m:ctrlPr>
              <w:rPr>
                <w:rFonts w:ascii="Cambria Math" w:eastAsia="Calibri" w:hAnsi="Cambria Math"/>
                <w:i/>
                <w:lang w:val="en-GB"/>
              </w:rPr>
            </m:ctrlPr>
          </m:sSubSupPr>
          <m:e>
            <m:r>
              <w:rPr>
                <w:rFonts w:ascii="Cambria Math" w:hAnsi="Cambria Math"/>
                <w:lang w:val="en-GB"/>
              </w:rPr>
              <m:t>F</m:t>
            </m:r>
          </m:e>
          <m:sub>
            <m:r>
              <w:rPr>
                <w:rFonts w:ascii="Cambria Math" w:hAnsi="Cambria Math"/>
                <w:lang w:val="en-GB"/>
              </w:rPr>
              <m:t>p</m:t>
            </m:r>
            <m:d>
              <m:dPr>
                <m:ctrlPr>
                  <w:rPr>
                    <w:rFonts w:ascii="Cambria Math" w:hAnsi="Cambria Math"/>
                    <w:i/>
                    <w:lang w:val="en-GB"/>
                  </w:rPr>
                </m:ctrlPr>
              </m:dPr>
              <m:e>
                <m:r>
                  <w:rPr>
                    <w:rFonts w:ascii="Cambria Math" w:hAnsi="Cambria Math"/>
                    <w:lang w:val="en-GB"/>
                  </w:rPr>
                  <m:t>i,</m:t>
                </m:r>
                <m:sSup>
                  <m:sSupPr>
                    <m:ctrlPr>
                      <w:rPr>
                        <w:rFonts w:ascii="Cambria Math" w:hAnsi="Cambria Math"/>
                        <w:i/>
                        <w:lang w:val="en-GB"/>
                      </w:rPr>
                    </m:ctrlPr>
                  </m:sSupPr>
                  <m:e>
                    <m:r>
                      <w:rPr>
                        <w:rFonts w:ascii="Cambria Math" w:hAnsi="Cambria Math"/>
                        <w:lang w:val="en-GB"/>
                      </w:rPr>
                      <m:t>i</m:t>
                    </m:r>
                  </m:e>
                  <m:sup>
                    <m:r>
                      <w:rPr>
                        <w:rFonts w:ascii="Cambria Math" w:hAnsi="Cambria Math"/>
                        <w:lang w:val="en-GB"/>
                      </w:rPr>
                      <m:t>'</m:t>
                    </m:r>
                  </m:sup>
                </m:sSup>
              </m:e>
            </m:d>
            <m:r>
              <w:rPr>
                <w:rFonts w:ascii="Cambria Math" w:hAnsi="Cambria Math"/>
                <w:lang w:val="en-GB"/>
              </w:rPr>
              <m:t>t</m:t>
            </m:r>
          </m:sub>
          <m:sup>
            <m:r>
              <w:rPr>
                <w:rFonts w:ascii="Cambria Math" w:hAnsi="Cambria Math"/>
                <w:lang w:val="en-GB"/>
              </w:rPr>
              <m:t>API</m:t>
            </m:r>
          </m:sup>
        </m:sSubSup>
      </m:oMath>
      <w:r w:rsidR="00AA4727" w:rsidRPr="00182CC6">
        <w:rPr>
          <w:lang w:val="en-GB"/>
        </w:rPr>
        <w:t xml:space="preserve">, </w:t>
      </w:r>
      <m:oMath>
        <m:sSubSup>
          <m:sSubSupPr>
            <m:ctrlPr>
              <w:rPr>
                <w:rFonts w:ascii="Cambria Math" w:eastAsia="Calibri" w:hAnsi="Cambria Math"/>
                <w:i/>
                <w:lang w:val="en-GB"/>
              </w:rPr>
            </m:ctrlPr>
          </m:sSubSupPr>
          <m:e>
            <m:r>
              <w:rPr>
                <w:rFonts w:ascii="Cambria Math" w:hAnsi="Cambria Math"/>
                <w:lang w:val="en-GB"/>
              </w:rPr>
              <m:t>F</m:t>
            </m:r>
          </m:e>
          <m:sub>
            <m:r>
              <w:rPr>
                <w:rFonts w:ascii="Cambria Math" w:hAnsi="Cambria Math"/>
                <w:lang w:val="en-GB"/>
              </w:rPr>
              <m:t>p</m:t>
            </m:r>
            <m:d>
              <m:dPr>
                <m:ctrlPr>
                  <w:rPr>
                    <w:rFonts w:ascii="Cambria Math" w:hAnsi="Cambria Math"/>
                    <w:i/>
                    <w:lang w:val="en-GB"/>
                  </w:rPr>
                </m:ctrlPr>
              </m:dPr>
              <m:e>
                <m:r>
                  <w:rPr>
                    <w:rFonts w:ascii="Cambria Math" w:hAnsi="Cambria Math"/>
                    <w:lang w:val="en-GB"/>
                  </w:rPr>
                  <m:t>i,</m:t>
                </m:r>
                <m:sSup>
                  <m:sSupPr>
                    <m:ctrlPr>
                      <w:rPr>
                        <w:rFonts w:ascii="Cambria Math" w:hAnsi="Cambria Math"/>
                        <w:i/>
                        <w:lang w:val="en-GB"/>
                      </w:rPr>
                    </m:ctrlPr>
                  </m:sSupPr>
                  <m:e>
                    <m:r>
                      <w:rPr>
                        <w:rFonts w:ascii="Cambria Math" w:hAnsi="Cambria Math"/>
                        <w:lang w:val="en-GB"/>
                      </w:rPr>
                      <m:t>i</m:t>
                    </m:r>
                  </m:e>
                  <m:sup>
                    <m:r>
                      <w:rPr>
                        <w:rFonts w:ascii="Cambria Math" w:hAnsi="Cambria Math"/>
                        <w:lang w:val="en-GB"/>
                      </w:rPr>
                      <m:t>'</m:t>
                    </m:r>
                  </m:sup>
                </m:sSup>
              </m:e>
            </m:d>
            <m:r>
              <w:rPr>
                <w:rFonts w:ascii="Cambria Math" w:hAnsi="Cambria Math"/>
                <w:lang w:val="en-GB"/>
              </w:rPr>
              <m:t>at</m:t>
            </m:r>
          </m:sub>
          <m:sup>
            <m:r>
              <w:rPr>
                <w:rFonts w:ascii="Cambria Math" w:hAnsi="Cambria Math"/>
                <w:lang w:val="en-GB"/>
              </w:rPr>
              <m:t>FP</m:t>
            </m:r>
          </m:sup>
        </m:sSubSup>
      </m:oMath>
      <w:r w:rsidR="00AA4727" w:rsidRPr="00182CC6">
        <w:rPr>
          <w:lang w:val="en-GB"/>
        </w:rPr>
        <w:t xml:space="preserve">, </w:t>
      </w:r>
      <m:oMath>
        <m:r>
          <w:rPr>
            <w:rFonts w:ascii="Cambria Math" w:hAnsi="Cambria Math"/>
            <w:lang w:val="en-GB"/>
          </w:rPr>
          <m:t>R</m:t>
        </m:r>
        <m:sSubSup>
          <m:sSubSupPr>
            <m:ctrlPr>
              <w:rPr>
                <w:rFonts w:ascii="Cambria Math" w:eastAsia="Calibri" w:hAnsi="Cambria Math"/>
                <w:i/>
                <w:lang w:val="en-GB"/>
              </w:rPr>
            </m:ctrlPr>
          </m:sSubSupPr>
          <m:e>
            <m:r>
              <w:rPr>
                <w:rFonts w:ascii="Cambria Math" w:hAnsi="Cambria Math"/>
                <w:lang w:val="en-GB"/>
              </w:rPr>
              <m:t>F</m:t>
            </m:r>
          </m:e>
          <m:sub>
            <m:r>
              <w:rPr>
                <w:rFonts w:ascii="Cambria Math" w:hAnsi="Cambria Math"/>
                <w:lang w:val="en-GB"/>
              </w:rPr>
              <m:t>p</m:t>
            </m:r>
            <m:d>
              <m:dPr>
                <m:ctrlPr>
                  <w:rPr>
                    <w:rFonts w:ascii="Cambria Math" w:hAnsi="Cambria Math"/>
                    <w:i/>
                    <w:lang w:val="en-GB"/>
                  </w:rPr>
                </m:ctrlPr>
              </m:dPr>
              <m:e>
                <m:r>
                  <w:rPr>
                    <w:rFonts w:ascii="Cambria Math" w:hAnsi="Cambria Math"/>
                    <w:lang w:val="en-GB"/>
                  </w:rPr>
                  <m:t>i,</m:t>
                </m:r>
                <m:sSup>
                  <m:sSupPr>
                    <m:ctrlPr>
                      <w:rPr>
                        <w:rFonts w:ascii="Cambria Math" w:hAnsi="Cambria Math"/>
                        <w:i/>
                        <w:lang w:val="en-GB"/>
                      </w:rPr>
                    </m:ctrlPr>
                  </m:sSupPr>
                  <m:e>
                    <m:r>
                      <w:rPr>
                        <w:rFonts w:ascii="Cambria Math" w:hAnsi="Cambria Math"/>
                        <w:lang w:val="en-GB"/>
                      </w:rPr>
                      <m:t>i</m:t>
                    </m:r>
                  </m:e>
                  <m:sup>
                    <m:r>
                      <w:rPr>
                        <w:rFonts w:ascii="Cambria Math" w:hAnsi="Cambria Math"/>
                        <w:lang w:val="en-GB"/>
                      </w:rPr>
                      <m:t>'</m:t>
                    </m:r>
                  </m:sup>
                </m:sSup>
              </m:e>
            </m:d>
            <m:r>
              <w:rPr>
                <w:rFonts w:ascii="Cambria Math" w:hAnsi="Cambria Math"/>
                <w:lang w:val="en-GB"/>
              </w:rPr>
              <m:t>at</m:t>
            </m:r>
          </m:sub>
          <m:sup>
            <m:r>
              <w:rPr>
                <w:rFonts w:ascii="Cambria Math" w:hAnsi="Cambria Math"/>
                <w:lang w:val="en-GB"/>
              </w:rPr>
              <m:t>FP</m:t>
            </m:r>
          </m:sup>
        </m:sSubSup>
      </m:oMath>
      <w:r w:rsidR="00AA4727" w:rsidRPr="00182CC6">
        <w:rPr>
          <w:lang w:val="en-GB"/>
        </w:rPr>
        <w:t xml:space="preserve">); </w:t>
      </w:r>
      <w:r w:rsidR="001D5E00" w:rsidRPr="00182CC6">
        <w:rPr>
          <w:lang w:val="en-GB"/>
        </w:rPr>
        <w:t>(</w:t>
      </w:r>
      <w:r w:rsidR="006A134A" w:rsidRPr="00182CC6">
        <w:rPr>
          <w:i/>
          <w:lang w:val="en-GB"/>
        </w:rPr>
        <w:t>v</w:t>
      </w:r>
      <w:r w:rsidR="001D5E00" w:rsidRPr="00182CC6">
        <w:rPr>
          <w:lang w:val="en-GB"/>
        </w:rPr>
        <w:t xml:space="preserve">) </w:t>
      </w:r>
      <w:r w:rsidR="00363F73" w:rsidRPr="00182CC6">
        <w:rPr>
          <w:lang w:val="en-GB"/>
        </w:rPr>
        <w:t>donation amounts</w:t>
      </w:r>
      <w:r w:rsidR="0002682F" w:rsidRPr="00182CC6">
        <w:rPr>
          <w:lang w:val="en-GB"/>
        </w:rPr>
        <w:t xml:space="preserve"> (</w:t>
      </w:r>
      <m:oMath>
        <m:sSubSup>
          <m:sSubSupPr>
            <m:ctrlPr>
              <w:rPr>
                <w:rFonts w:ascii="Cambria Math" w:eastAsia="Calibri" w:hAnsi="Cambria Math"/>
                <w:i/>
                <w:lang w:val="en-GB"/>
              </w:rPr>
            </m:ctrlPr>
          </m:sSubSupPr>
          <m:e>
            <m:r>
              <w:rPr>
                <w:rFonts w:ascii="Cambria Math" w:hAnsi="Cambria Math"/>
                <w:lang w:val="en-GB"/>
              </w:rPr>
              <m:t>D</m:t>
            </m:r>
          </m:e>
          <m:sub>
            <m:r>
              <w:rPr>
                <w:rFonts w:ascii="Cambria Math" w:hAnsi="Cambria Math"/>
                <w:lang w:val="en-GB"/>
              </w:rPr>
              <m:t>p</m:t>
            </m:r>
            <m:d>
              <m:dPr>
                <m:ctrlPr>
                  <w:rPr>
                    <w:rFonts w:ascii="Cambria Math" w:hAnsi="Cambria Math"/>
                    <w:i/>
                    <w:lang w:val="en-GB"/>
                  </w:rPr>
                </m:ctrlPr>
              </m:dPr>
              <m:e>
                <m:r>
                  <w:rPr>
                    <w:rFonts w:ascii="Cambria Math" w:hAnsi="Cambria Math"/>
                    <w:lang w:val="en-GB"/>
                  </w:rPr>
                  <m:t>i,</m:t>
                </m:r>
                <m:sSup>
                  <m:sSupPr>
                    <m:ctrlPr>
                      <w:rPr>
                        <w:rFonts w:ascii="Cambria Math" w:hAnsi="Cambria Math"/>
                        <w:i/>
                        <w:lang w:val="en-GB"/>
                      </w:rPr>
                    </m:ctrlPr>
                  </m:sSupPr>
                  <m:e>
                    <m:r>
                      <w:rPr>
                        <w:rFonts w:ascii="Cambria Math" w:hAnsi="Cambria Math"/>
                        <w:lang w:val="en-GB"/>
                      </w:rPr>
                      <m:t>i</m:t>
                    </m:r>
                  </m:e>
                  <m:sup>
                    <m:r>
                      <w:rPr>
                        <w:rFonts w:ascii="Cambria Math" w:hAnsi="Cambria Math"/>
                        <w:lang w:val="en-GB"/>
                      </w:rPr>
                      <m:t>'</m:t>
                    </m:r>
                  </m:sup>
                </m:sSup>
              </m:e>
            </m:d>
            <m:r>
              <w:rPr>
                <w:rFonts w:ascii="Cambria Math" w:hAnsi="Cambria Math"/>
                <w:lang w:val="en-GB"/>
              </w:rPr>
              <m:t>at</m:t>
            </m:r>
          </m:sub>
          <m:sup>
            <m:r>
              <w:rPr>
                <w:rFonts w:ascii="Cambria Math" w:hAnsi="Cambria Math"/>
                <w:lang w:val="en-GB"/>
              </w:rPr>
              <m:t>FP</m:t>
            </m:r>
          </m:sup>
        </m:sSubSup>
      </m:oMath>
      <w:r w:rsidR="0002682F" w:rsidRPr="00182CC6">
        <w:rPr>
          <w:lang w:val="en-GB"/>
        </w:rPr>
        <w:t xml:space="preserve">); </w:t>
      </w:r>
      <w:r w:rsidR="001D5E00" w:rsidRPr="00182CC6">
        <w:rPr>
          <w:lang w:val="en-GB"/>
        </w:rPr>
        <w:t>(</w:t>
      </w:r>
      <w:r w:rsidR="006A134A" w:rsidRPr="00182CC6">
        <w:rPr>
          <w:i/>
          <w:lang w:val="en-GB"/>
        </w:rPr>
        <w:t>vi</w:t>
      </w:r>
      <w:r w:rsidR="001D5E00" w:rsidRPr="00182CC6">
        <w:rPr>
          <w:lang w:val="en-GB"/>
        </w:rPr>
        <w:t xml:space="preserve">) </w:t>
      </w:r>
      <w:r w:rsidR="003A0117" w:rsidRPr="00182CC6">
        <w:rPr>
          <w:lang w:val="en-GB"/>
        </w:rPr>
        <w:t>amount of waste generated</w:t>
      </w:r>
      <w:r w:rsidR="00DE62D1" w:rsidRPr="00182CC6">
        <w:rPr>
          <w:lang w:val="en-GB"/>
        </w:rPr>
        <w:t xml:space="preserve"> at secondary manufacturers and </w:t>
      </w:r>
      <w:r w:rsidR="001D5E00" w:rsidRPr="00182CC6">
        <w:rPr>
          <w:lang w:val="en-GB"/>
        </w:rPr>
        <w:t xml:space="preserve">final </w:t>
      </w:r>
      <w:r w:rsidR="00DE62D1" w:rsidRPr="00182CC6">
        <w:rPr>
          <w:lang w:val="en-GB"/>
        </w:rPr>
        <w:t>market</w:t>
      </w:r>
      <w:r w:rsidR="001D5E00" w:rsidRPr="00182CC6">
        <w:rPr>
          <w:lang w:val="en-GB"/>
        </w:rPr>
        <w:t>s</w:t>
      </w:r>
      <w:r w:rsidR="003A0117" w:rsidRPr="00182CC6">
        <w:rPr>
          <w:lang w:val="en-GB"/>
        </w:rPr>
        <w:t xml:space="preserve"> due to product expiration (</w:t>
      </w:r>
      <m:oMath>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piat</m:t>
            </m:r>
          </m:sub>
          <m:sup>
            <m:r>
              <w:rPr>
                <w:rFonts w:ascii="Cambria Math" w:hAnsi="Cambria Math"/>
                <w:lang w:val="en-GB"/>
              </w:rPr>
              <m:t>SM</m:t>
            </m:r>
          </m:sup>
        </m:sSubSup>
      </m:oMath>
      <w:r w:rsidR="00A9584D" w:rsidRPr="00182CC6">
        <w:rPr>
          <w:lang w:val="en-GB"/>
        </w:rPr>
        <w:t xml:space="preserve">, </w:t>
      </w:r>
      <m:oMath>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piat</m:t>
            </m:r>
          </m:sub>
          <m:sup>
            <m:r>
              <w:rPr>
                <w:rFonts w:ascii="Cambria Math" w:hAnsi="Cambria Math"/>
                <w:lang w:val="en-GB"/>
              </w:rPr>
              <m:t>M</m:t>
            </m:r>
          </m:sup>
        </m:sSubSup>
      </m:oMath>
      <w:r w:rsidR="003A0117" w:rsidRPr="00182CC6">
        <w:rPr>
          <w:lang w:val="en-GB"/>
        </w:rPr>
        <w:t>)</w:t>
      </w:r>
      <w:r w:rsidR="00DD0DDE" w:rsidRPr="00182CC6">
        <w:rPr>
          <w:lang w:val="en-GB"/>
        </w:rPr>
        <w:t xml:space="preserve">; </w:t>
      </w:r>
      <w:r w:rsidR="001D5E00" w:rsidRPr="00182CC6">
        <w:rPr>
          <w:lang w:val="en-GB"/>
        </w:rPr>
        <w:t>(</w:t>
      </w:r>
      <w:r w:rsidR="006A134A" w:rsidRPr="00182CC6">
        <w:rPr>
          <w:i/>
          <w:lang w:val="en-GB"/>
        </w:rPr>
        <w:t>vii</w:t>
      </w:r>
      <w:r w:rsidR="001D5E00" w:rsidRPr="00182CC6">
        <w:rPr>
          <w:lang w:val="en-GB"/>
        </w:rPr>
        <w:t xml:space="preserve">) </w:t>
      </w:r>
      <w:r w:rsidR="00DD0DDE" w:rsidRPr="00182CC6">
        <w:rPr>
          <w:lang w:val="en-GB"/>
        </w:rPr>
        <w:t>amount of lost sales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pit</m:t>
            </m:r>
          </m:sub>
        </m:sSub>
      </m:oMath>
      <w:r w:rsidR="00DD0DDE" w:rsidRPr="00182CC6">
        <w:rPr>
          <w:lang w:val="en-GB"/>
        </w:rPr>
        <w:t>)</w:t>
      </w:r>
      <w:r w:rsidR="001D5E00" w:rsidRPr="00182CC6">
        <w:rPr>
          <w:lang w:val="en-GB"/>
        </w:rPr>
        <w:t>; and (</w:t>
      </w:r>
      <w:r w:rsidR="006A134A" w:rsidRPr="00182CC6">
        <w:rPr>
          <w:i/>
          <w:lang w:val="en-GB"/>
        </w:rPr>
        <w:t>viii</w:t>
      </w:r>
      <w:r w:rsidR="001D5E00" w:rsidRPr="00182CC6">
        <w:rPr>
          <w:lang w:val="en-GB"/>
        </w:rPr>
        <w:t xml:space="preserve">) </w:t>
      </w:r>
      <w:r w:rsidR="001329AE" w:rsidRPr="00182CC6">
        <w:rPr>
          <w:lang w:val="en-GB"/>
        </w:rPr>
        <w:t xml:space="preserve">number of new production lines installed in </w:t>
      </w:r>
      <w:r w:rsidR="0094270F" w:rsidRPr="00182CC6">
        <w:rPr>
          <w:lang w:val="en-GB"/>
        </w:rPr>
        <w:t xml:space="preserve">factory </w:t>
      </w:r>
      <w:r w:rsidR="0094270F" w:rsidRPr="00182CC6">
        <w:rPr>
          <w:i/>
          <w:iCs/>
          <w:lang w:val="en-GB"/>
        </w:rPr>
        <w:t>i</w:t>
      </w:r>
      <w:r w:rsidR="0094270F" w:rsidRPr="00182CC6">
        <w:rPr>
          <w:lang w:val="en-GB"/>
        </w:rPr>
        <w:t xml:space="preserve"> and </w:t>
      </w:r>
      <w:r w:rsidR="00FE2D88" w:rsidRPr="00182CC6">
        <w:rPr>
          <w:lang w:val="en-GB"/>
        </w:rPr>
        <w:t xml:space="preserve">time </w:t>
      </w:r>
      <w:r w:rsidR="0094270F" w:rsidRPr="00182CC6">
        <w:rPr>
          <w:lang w:val="en-GB"/>
        </w:rPr>
        <w:t>period</w:t>
      </w:r>
      <w:r w:rsidR="005246DA" w:rsidRPr="00182CC6">
        <w:rPr>
          <w:lang w:val="en-GB"/>
        </w:rPr>
        <w:t xml:space="preserve"> </w:t>
      </w:r>
      <w:r w:rsidR="005246DA" w:rsidRPr="00182CC6">
        <w:rPr>
          <w:i/>
          <w:iCs/>
          <w:lang w:val="en-GB"/>
        </w:rPr>
        <w:t>t</w:t>
      </w:r>
      <w:r w:rsidR="0094270F" w:rsidRPr="00182CC6">
        <w:rPr>
          <w:lang w:val="en-GB"/>
        </w:rPr>
        <w:t xml:space="preserve"> (</w:t>
      </w:r>
      <m:oMath>
        <m:sSub>
          <m:sSubPr>
            <m:ctrlPr>
              <w:rPr>
                <w:rFonts w:ascii="Cambria Math" w:hAnsi="Cambria Math"/>
                <w:i/>
                <w:lang w:val="en-GB"/>
              </w:rPr>
            </m:ctrlPr>
          </m:sSubPr>
          <m:e>
            <m:r>
              <w:rPr>
                <w:rFonts w:ascii="Cambria Math" w:hAnsi="Cambria Math"/>
                <w:lang w:val="en-GB"/>
              </w:rPr>
              <m:t>PL</m:t>
            </m:r>
          </m:e>
          <m:sub>
            <m:r>
              <w:rPr>
                <w:rFonts w:ascii="Cambria Math" w:hAnsi="Cambria Math"/>
                <w:lang w:val="en-GB"/>
              </w:rPr>
              <m:t>it</m:t>
            </m:r>
          </m:sub>
        </m:sSub>
      </m:oMath>
      <w:r w:rsidR="0094270F" w:rsidRPr="00182CC6">
        <w:rPr>
          <w:lang w:val="en-GB"/>
        </w:rPr>
        <w:t>).</w:t>
      </w:r>
      <w:r w:rsidR="001329AE" w:rsidRPr="00182CC6">
        <w:rPr>
          <w:lang w:val="en-GB"/>
        </w:rPr>
        <w:t xml:space="preserve"> </w:t>
      </w:r>
      <w:r w:rsidR="00DE1BD6" w:rsidRPr="00182CC6">
        <w:rPr>
          <w:lang w:val="en-GB"/>
        </w:rPr>
        <w:t>It is worth to notice that the age-based inventory</w:t>
      </w:r>
      <w:r w:rsidR="004D497E" w:rsidRPr="00182CC6">
        <w:rPr>
          <w:lang w:val="en-GB"/>
        </w:rPr>
        <w:t xml:space="preserve">, </w:t>
      </w:r>
      <w:r w:rsidR="00DE1BD6" w:rsidRPr="00182CC6">
        <w:rPr>
          <w:lang w:val="en-GB"/>
        </w:rPr>
        <w:t>production</w:t>
      </w:r>
      <w:r w:rsidR="004D497E" w:rsidRPr="00182CC6">
        <w:rPr>
          <w:lang w:val="en-GB"/>
        </w:rPr>
        <w:t>, and distribution</w:t>
      </w:r>
      <w:r w:rsidR="00DE1BD6" w:rsidRPr="00182CC6">
        <w:rPr>
          <w:lang w:val="en-GB"/>
        </w:rPr>
        <w:t xml:space="preserve"> management is only accounted for the final products</w:t>
      </w:r>
      <w:r w:rsidR="00876EFF" w:rsidRPr="00182CC6">
        <w:rPr>
          <w:lang w:val="en-GB"/>
        </w:rPr>
        <w:t xml:space="preserve"> (FP).</w:t>
      </w:r>
    </w:p>
    <w:p w14:paraId="46F327D1" w14:textId="67C09DCC" w:rsidR="00252B09" w:rsidRPr="00182CC6" w:rsidRDefault="00437909" w:rsidP="009D14CB">
      <w:pPr>
        <w:autoSpaceDE w:val="0"/>
        <w:autoSpaceDN w:val="0"/>
        <w:adjustRightInd w:val="0"/>
        <w:jc w:val="both"/>
      </w:pPr>
      <w:r w:rsidRPr="00182CC6">
        <w:t>Two objective</w:t>
      </w:r>
      <w:r w:rsidR="00106919" w:rsidRPr="00182CC6">
        <w:t xml:space="preserve"> functions</w:t>
      </w:r>
      <w:r w:rsidRPr="00182CC6">
        <w:t xml:space="preserve"> </w:t>
      </w:r>
      <w:r w:rsidR="00106919" w:rsidRPr="00182CC6">
        <w:t>are considered:</w:t>
      </w:r>
      <w:r w:rsidRPr="00182CC6">
        <w:t xml:space="preserve"> the</w:t>
      </w:r>
      <w:r w:rsidR="00AB28CB" w:rsidRPr="00182CC6">
        <w:t xml:space="preserve"> </w:t>
      </w:r>
      <w:r w:rsidR="00CA659B" w:rsidRPr="00182CC6">
        <w:rPr>
          <w:i/>
          <w:iCs/>
        </w:rPr>
        <w:t>P</w:t>
      </w:r>
      <w:r w:rsidR="00AB28CB" w:rsidRPr="00182CC6">
        <w:rPr>
          <w:i/>
          <w:iCs/>
        </w:rPr>
        <w:t>rofit</w:t>
      </w:r>
      <w:r w:rsidR="00106919" w:rsidRPr="00182CC6">
        <w:t>;</w:t>
      </w:r>
      <w:r w:rsidR="00CA659B" w:rsidRPr="00182CC6">
        <w:t xml:space="preserve"> </w:t>
      </w:r>
      <w:r w:rsidRPr="00182CC6">
        <w:t>and</w:t>
      </w:r>
      <w:r w:rsidR="00CA659B" w:rsidRPr="00182CC6">
        <w:t xml:space="preserve"> a social metric denoted here as </w:t>
      </w:r>
      <w:r w:rsidR="00CA659B" w:rsidRPr="00182CC6">
        <w:rPr>
          <w:i/>
          <w:iCs/>
        </w:rPr>
        <w:t>Social</w:t>
      </w:r>
      <w:r w:rsidR="00641304" w:rsidRPr="00182CC6">
        <w:rPr>
          <w:i/>
          <w:iCs/>
        </w:rPr>
        <w:t xml:space="preserve"> </w:t>
      </w:r>
      <w:r w:rsidR="00CA659B" w:rsidRPr="00182CC6">
        <w:rPr>
          <w:i/>
          <w:iCs/>
        </w:rPr>
        <w:t>Benefit</w:t>
      </w:r>
      <w:r w:rsidR="00CA659B" w:rsidRPr="00182CC6">
        <w:t xml:space="preserve">, based on donation </w:t>
      </w:r>
      <w:r w:rsidR="00641304" w:rsidRPr="00182CC6">
        <w:t xml:space="preserve">initiatives. The </w:t>
      </w:r>
      <w:r w:rsidR="00641304" w:rsidRPr="00182CC6">
        <w:rPr>
          <w:i/>
          <w:iCs/>
        </w:rPr>
        <w:t>Profit</w:t>
      </w:r>
      <w:r w:rsidR="00641304" w:rsidRPr="00182CC6">
        <w:t xml:space="preserve"> is </w:t>
      </w:r>
      <w:r w:rsidR="008063AF" w:rsidRPr="00182CC6">
        <w:t>given by</w:t>
      </w:r>
      <w:r w:rsidR="00FE5623" w:rsidRPr="00182CC6">
        <w:t xml:space="preserve"> </w:t>
      </w:r>
      <w:r w:rsidR="008063AF" w:rsidRPr="00182CC6">
        <w:t xml:space="preserve">the difference between the incomes from product sales and </w:t>
      </w:r>
      <w:r w:rsidR="000C4754" w:rsidRPr="00182CC6">
        <w:t xml:space="preserve">the </w:t>
      </w:r>
      <w:r w:rsidR="008D4E4B" w:rsidRPr="00182CC6">
        <w:t xml:space="preserve">overall </w:t>
      </w:r>
      <w:r w:rsidR="000C4754" w:rsidRPr="00182CC6">
        <w:t xml:space="preserve">costs </w:t>
      </w:r>
      <w:r w:rsidR="008D4E4B" w:rsidRPr="00182CC6">
        <w:t>related to production, storage, distribution</w:t>
      </w:r>
      <w:r w:rsidR="00F6656B" w:rsidRPr="00182CC6">
        <w:t>, donation, waste generated</w:t>
      </w:r>
      <w:r w:rsidR="00FE5623" w:rsidRPr="00182CC6">
        <w:t>, lost sales, and investment in new production capacity</w:t>
      </w:r>
      <w:r w:rsidR="002E2CE5" w:rsidRPr="00182CC6">
        <w:t>.</w:t>
      </w:r>
      <w:r w:rsidR="0020001C" w:rsidRPr="00182CC6">
        <w:t xml:space="preserve"> </w:t>
      </w:r>
      <w:r w:rsidR="00252B09" w:rsidRPr="00182CC6">
        <w:t>The second objective function (</w:t>
      </w:r>
      <w:r w:rsidR="009C0969" w:rsidRPr="00182CC6">
        <w:t xml:space="preserve">Eq. </w:t>
      </w:r>
      <w:r w:rsidR="006671C8" w:rsidRPr="00182CC6">
        <w:fldChar w:fldCharType="begin"/>
      </w:r>
      <w:r w:rsidR="006671C8" w:rsidRPr="00182CC6">
        <w:instrText xml:space="preserve"> REF _Ref152071126 \h </w:instrText>
      </w:r>
      <w:r w:rsidR="006671C8" w:rsidRPr="00182CC6">
        <w:fldChar w:fldCharType="separate"/>
      </w:r>
      <w:r w:rsidR="00370300" w:rsidRPr="00182CC6">
        <w:rPr>
          <w:sz w:val="18"/>
          <w:szCs w:val="18"/>
        </w:rPr>
        <w:t>(</w:t>
      </w:r>
      <w:r w:rsidR="00370300" w:rsidRPr="00182CC6">
        <w:rPr>
          <w:noProof/>
          <w:sz w:val="18"/>
          <w:szCs w:val="18"/>
        </w:rPr>
        <w:t>1</w:t>
      </w:r>
      <w:r w:rsidR="00370300" w:rsidRPr="00182CC6">
        <w:rPr>
          <w:sz w:val="18"/>
          <w:szCs w:val="18"/>
        </w:rPr>
        <w:t>)</w:t>
      </w:r>
      <w:r w:rsidR="006671C8" w:rsidRPr="00182CC6">
        <w:fldChar w:fldCharType="end"/>
      </w:r>
      <w:r w:rsidR="00252B09" w:rsidRPr="00182CC6">
        <w:t xml:space="preserve">) – </w:t>
      </w:r>
      <w:r w:rsidR="00252B09" w:rsidRPr="00182CC6">
        <w:rPr>
          <w:i/>
          <w:iCs/>
        </w:rPr>
        <w:t>Social Benefit</w:t>
      </w:r>
      <w:r w:rsidR="00252B09" w:rsidRPr="00182CC6">
        <w:t xml:space="preserve"> – is given by the amount of product that is donated, considering two key social aspects: i) the affordability index of each market (</w:t>
      </w:r>
      <m:oMath>
        <m:sSub>
          <m:sSubPr>
            <m:ctrlPr>
              <w:rPr>
                <w:rFonts w:ascii="Cambria Math" w:hAnsi="Cambria Math"/>
                <w:i/>
              </w:rPr>
            </m:ctrlPr>
          </m:sSubPr>
          <m:e>
            <m:r>
              <w:rPr>
                <w:rFonts w:ascii="Cambria Math" w:hAnsi="Cambria Math"/>
              </w:rPr>
              <m:t>ω</m:t>
            </m:r>
          </m:e>
          <m:sub>
            <m:r>
              <w:rPr>
                <w:rFonts w:ascii="Cambria Math" w:hAnsi="Cambria Math"/>
              </w:rPr>
              <m:t>pi</m:t>
            </m:r>
          </m:sub>
        </m:sSub>
      </m:oMath>
      <w:r w:rsidR="00252B09" w:rsidRPr="00182CC6">
        <w:t>)</w:t>
      </w:r>
      <w:r w:rsidR="005866B7" w:rsidRPr="00182CC6">
        <w:t>,</w:t>
      </w:r>
      <w:r w:rsidR="00252B09" w:rsidRPr="00182CC6">
        <w:t xml:space="preserve"> and</w:t>
      </w:r>
      <w:r w:rsidR="00B45A1A" w:rsidRPr="00182CC6">
        <w:t xml:space="preserve"> </w:t>
      </w:r>
      <w:r w:rsidR="005866B7" w:rsidRPr="00182CC6">
        <w:t>ii</w:t>
      </w:r>
      <w:r w:rsidR="00B45A1A" w:rsidRPr="00182CC6">
        <w:t>)</w:t>
      </w:r>
      <w:r w:rsidR="00252B09" w:rsidRPr="00182CC6">
        <w:t xml:space="preserve"> the essential medicines index for each product and market (</w:t>
      </w:r>
      <m:oMath>
        <m:sSub>
          <m:sSubPr>
            <m:ctrlPr>
              <w:rPr>
                <w:rFonts w:ascii="Cambria Math" w:hAnsi="Cambria Math"/>
                <w:i/>
              </w:rPr>
            </m:ctrlPr>
          </m:sSubPr>
          <m:e>
            <m:r>
              <w:rPr>
                <w:rFonts w:ascii="Cambria Math" w:hAnsi="Cambria Math"/>
                <w:i/>
              </w:rPr>
              <w:sym w:font="Symbol" w:char="F078"/>
            </m:r>
          </m:e>
          <m:sub>
            <m:r>
              <w:rPr>
                <w:rFonts w:ascii="Cambria Math" w:hAnsi="Cambria Math"/>
              </w:rPr>
              <m:t>pi</m:t>
            </m:r>
          </m:sub>
        </m:sSub>
      </m:oMath>
      <w:r w:rsidR="00252B09" w:rsidRPr="00182CC6">
        <w:t>). The former is related to the economic ability of a specific region to purchase medicines, and the latter to the products importance to each market</w:t>
      </w:r>
      <w:r w:rsidR="00255E5C" w:rsidRPr="00182CC6">
        <w:t xml:space="preserve"> based on i</w:t>
      </w:r>
      <w:r w:rsidR="00255E5C" w:rsidRPr="00182CC6">
        <w:t xml:space="preserve">ncidence of </w:t>
      </w:r>
      <w:r w:rsidR="00255E5C" w:rsidRPr="00182CC6">
        <w:t>specific</w:t>
      </w:r>
      <w:r w:rsidR="00255E5C" w:rsidRPr="00182CC6">
        <w:t xml:space="preserve"> disease</w:t>
      </w:r>
      <w:r w:rsidR="00255E5C" w:rsidRPr="00182CC6">
        <w:t>s</w:t>
      </w:r>
      <w:r w:rsidR="00252B09" w:rsidRPr="00182CC6">
        <w:t xml:space="preserve">. In this way, the social benefit is expected to be greater, by directing donations to the neediest regions and most critical products. </w:t>
      </w:r>
    </w:p>
    <w:p w14:paraId="07A5FA16" w14:textId="77777777" w:rsidR="00252B09" w:rsidRPr="00182CC6" w:rsidRDefault="00252B09" w:rsidP="00FA0B6B">
      <w:pPr>
        <w:autoSpaceDE w:val="0"/>
        <w:autoSpaceDN w:val="0"/>
        <w:adjustRightInd w:val="0"/>
        <w:jc w:val="both"/>
        <w:rPr>
          <w:rFonts w:ascii="TimesNewRomanPSMT" w:hAnsi="TimesNewRomanPSMT" w:cs="TimesNewRomanPSMT"/>
          <w:lang w:eastAsia="en-GB"/>
        </w:rPr>
      </w:pPr>
    </w:p>
    <w:tbl>
      <w:tblPr>
        <w:tblW w:w="7088" w:type="dxa"/>
        <w:tblLook w:val="04A0" w:firstRow="1" w:lastRow="0" w:firstColumn="1" w:lastColumn="0" w:noHBand="0" w:noVBand="1"/>
      </w:tblPr>
      <w:tblGrid>
        <w:gridCol w:w="6379"/>
        <w:gridCol w:w="709"/>
      </w:tblGrid>
      <w:tr w:rsidR="00252B09" w:rsidRPr="00182CC6" w14:paraId="14C0FA62" w14:textId="77777777" w:rsidTr="007F4E9F">
        <w:tc>
          <w:tcPr>
            <w:tcW w:w="6379" w:type="dxa"/>
            <w:shd w:val="clear" w:color="auto" w:fill="auto"/>
            <w:vAlign w:val="center"/>
          </w:tcPr>
          <w:p w14:paraId="163D21F7" w14:textId="77777777" w:rsidR="00252B09" w:rsidRPr="00182CC6" w:rsidRDefault="0035572C" w:rsidP="007F4E9F">
            <w:pPr>
              <w:pStyle w:val="Els-body-text"/>
              <w:spacing w:before="120" w:after="120" w:line="264" w:lineRule="auto"/>
              <w:rPr>
                <w:color w:val="FF0000"/>
                <w:sz w:val="18"/>
                <w:szCs w:val="18"/>
                <w:lang w:val="en-GB"/>
              </w:rPr>
            </w:pPr>
            <m:oMathPara>
              <m:oMathParaPr>
                <m:jc m:val="left"/>
              </m:oMathParaPr>
              <m:oMath>
                <m:func>
                  <m:funcPr>
                    <m:ctrlPr>
                      <w:rPr>
                        <w:rFonts w:ascii="Cambria Math" w:hAnsi="Cambria Math"/>
                        <w:i/>
                        <w:sz w:val="18"/>
                        <w:szCs w:val="18"/>
                        <w:lang w:val="en-GB"/>
                      </w:rPr>
                    </m:ctrlPr>
                  </m:funcPr>
                  <m:fName>
                    <m:r>
                      <m:rPr>
                        <m:sty m:val="p"/>
                      </m:rPr>
                      <w:rPr>
                        <w:rFonts w:ascii="Cambria Math" w:hAnsi="Cambria Math"/>
                        <w:sz w:val="18"/>
                        <w:szCs w:val="18"/>
                        <w:lang w:val="en-GB"/>
                      </w:rPr>
                      <m:t>max</m:t>
                    </m:r>
                  </m:fName>
                  <m:e>
                    <m:r>
                      <w:rPr>
                        <w:rFonts w:ascii="Cambria Math" w:hAnsi="Cambria Math"/>
                        <w:sz w:val="18"/>
                        <w:szCs w:val="18"/>
                        <w:lang w:val="en-GB"/>
                      </w:rPr>
                      <m:t>SocialBenefit</m:t>
                    </m:r>
                    <m:r>
                      <w:rPr>
                        <w:rFonts w:ascii="Cambria Math" w:hAnsi="Cambria Math"/>
                        <w:sz w:val="18"/>
                        <w:szCs w:val="18"/>
                        <w:lang w:val="en-GB"/>
                      </w:rPr>
                      <m:t xml:space="preserve">= </m:t>
                    </m:r>
                    <m:nary>
                      <m:naryPr>
                        <m:chr m:val="∑"/>
                        <m:limLoc m:val="undOvr"/>
                        <m:supHide m:val="1"/>
                        <m:ctrlPr>
                          <w:rPr>
                            <w:rFonts w:ascii="Cambria Math" w:hAnsi="Cambria Math"/>
                            <w:i/>
                            <w:sz w:val="18"/>
                            <w:szCs w:val="18"/>
                            <w:lang w:val="en-GB"/>
                          </w:rPr>
                        </m:ctrlPr>
                      </m:naryPr>
                      <m:sub>
                        <m:r>
                          <w:rPr>
                            <w:rFonts w:ascii="Cambria Math" w:hAnsi="Cambria Math"/>
                            <w:sz w:val="18"/>
                            <w:szCs w:val="18"/>
                            <w:lang w:val="en-GB"/>
                          </w:rPr>
                          <m:t>p</m:t>
                        </m:r>
                        <m:r>
                          <w:rPr>
                            <w:rFonts w:ascii="Cambria Math" w:hAnsi="Cambria Math"/>
                            <w:sz w:val="18"/>
                            <w:szCs w:val="18"/>
                            <w:lang w:val="en-GB"/>
                          </w:rPr>
                          <m:t>∈</m:t>
                        </m:r>
                        <m:r>
                          <m:rPr>
                            <m:sty m:val="b"/>
                          </m:rPr>
                          <w:rPr>
                            <w:rFonts w:ascii="Cambria Math" w:hAnsi="Cambria Math"/>
                            <w:sz w:val="18"/>
                            <w:szCs w:val="18"/>
                            <w:lang w:val="en-GB"/>
                          </w:rPr>
                          <m:t>P</m:t>
                        </m:r>
                      </m:sub>
                      <m:sup/>
                      <m:e>
                        <m:nary>
                          <m:naryPr>
                            <m:chr m:val="∑"/>
                            <m:limLoc m:val="undOvr"/>
                            <m:supHide m:val="1"/>
                            <m:ctrlPr>
                              <w:rPr>
                                <w:rFonts w:ascii="Cambria Math" w:hAnsi="Cambria Math"/>
                                <w:i/>
                                <w:sz w:val="18"/>
                                <w:szCs w:val="18"/>
                                <w:lang w:val="en-GB"/>
                              </w:rPr>
                            </m:ctrlPr>
                          </m:naryPr>
                          <m:sub>
                            <m:sSup>
                              <m:sSupPr>
                                <m:ctrlPr>
                                  <w:rPr>
                                    <w:rFonts w:ascii="Cambria Math" w:hAnsi="Cambria Math"/>
                                    <w:i/>
                                    <w:sz w:val="18"/>
                                    <w:szCs w:val="18"/>
                                    <w:lang w:val="en-GB"/>
                                  </w:rPr>
                                </m:ctrlPr>
                              </m:sSupPr>
                              <m:e>
                                <m:r>
                                  <w:rPr>
                                    <w:rFonts w:ascii="Cambria Math" w:hAnsi="Cambria Math"/>
                                    <w:sz w:val="18"/>
                                    <w:szCs w:val="18"/>
                                    <w:lang w:val="en-GB"/>
                                  </w:rPr>
                                  <m:t>i</m:t>
                                </m:r>
                              </m:e>
                              <m:sup>
                                <m:r>
                                  <w:rPr>
                                    <w:rFonts w:ascii="Cambria Math" w:hAnsi="Cambria Math"/>
                                    <w:sz w:val="18"/>
                                    <w:szCs w:val="18"/>
                                    <w:lang w:val="en-GB"/>
                                  </w:rPr>
                                  <m:t>'</m:t>
                                </m:r>
                              </m:sup>
                            </m:sSup>
                            <m:r>
                              <w:rPr>
                                <w:rFonts w:ascii="Cambria Math" w:hAnsi="Cambria Math"/>
                                <w:sz w:val="18"/>
                                <w:szCs w:val="18"/>
                                <w:lang w:val="en-GB"/>
                              </w:rPr>
                              <m:t>∈</m:t>
                            </m:r>
                            <m:sSup>
                              <m:sSupPr>
                                <m:ctrlPr>
                                  <w:rPr>
                                    <w:rFonts w:ascii="Cambria Math" w:hAnsi="Cambria Math"/>
                                    <w:b/>
                                    <w:sz w:val="18"/>
                                    <w:szCs w:val="18"/>
                                    <w:lang w:val="en-GB"/>
                                  </w:rPr>
                                </m:ctrlPr>
                              </m:sSupPr>
                              <m:e>
                                <m:r>
                                  <m:rPr>
                                    <m:sty m:val="bi"/>
                                  </m:rPr>
                                  <w:rPr>
                                    <w:rFonts w:ascii="Cambria Math" w:hAnsi="Cambria Math"/>
                                    <w:sz w:val="18"/>
                                    <w:szCs w:val="18"/>
                                    <w:lang w:val="en-GB"/>
                                  </w:rPr>
                                  <m:t>Z</m:t>
                                </m:r>
                              </m:e>
                              <m:sup>
                                <m:r>
                                  <m:rPr>
                                    <m:sty m:val="bi"/>
                                  </m:rPr>
                                  <w:rPr>
                                    <w:rFonts w:ascii="Cambria Math" w:hAnsi="Cambria Math"/>
                                    <w:sz w:val="18"/>
                                    <w:szCs w:val="18"/>
                                    <w:lang w:val="en-GB"/>
                                  </w:rPr>
                                  <m:t>DM</m:t>
                                </m:r>
                              </m:sup>
                            </m:sSup>
                          </m:sub>
                          <m:sup/>
                          <m:e>
                            <m:nary>
                              <m:naryPr>
                                <m:chr m:val="∑"/>
                                <m:limLoc m:val="undOvr"/>
                                <m:supHide m:val="1"/>
                                <m:ctrlPr>
                                  <w:rPr>
                                    <w:rFonts w:ascii="Cambria Math" w:hAnsi="Cambria Math"/>
                                    <w:i/>
                                    <w:sz w:val="18"/>
                                    <w:szCs w:val="18"/>
                                    <w:lang w:val="en-GB"/>
                                  </w:rPr>
                                </m:ctrlPr>
                              </m:naryPr>
                              <m:sub>
                                <m:r>
                                  <w:rPr>
                                    <w:rFonts w:ascii="Cambria Math" w:hAnsi="Cambria Math"/>
                                    <w:sz w:val="18"/>
                                    <w:szCs w:val="18"/>
                                    <w:lang w:val="en-GB"/>
                                  </w:rPr>
                                  <m:t>i</m:t>
                                </m:r>
                                <m:r>
                                  <w:rPr>
                                    <w:rFonts w:ascii="Cambria Math" w:hAnsi="Cambria Math"/>
                                    <w:sz w:val="18"/>
                                    <w:szCs w:val="18"/>
                                    <w:lang w:val="en-GB"/>
                                  </w:rPr>
                                  <m:t>∈</m:t>
                                </m:r>
                                <m:sSup>
                                  <m:sSupPr>
                                    <m:ctrlPr>
                                      <w:rPr>
                                        <w:rFonts w:ascii="Cambria Math" w:hAnsi="Cambria Math"/>
                                        <w:b/>
                                        <w:sz w:val="18"/>
                                        <w:szCs w:val="18"/>
                                        <w:lang w:val="en-GB"/>
                                      </w:rPr>
                                    </m:ctrlPr>
                                  </m:sSupPr>
                                  <m:e>
                                    <m:r>
                                      <m:rPr>
                                        <m:sty m:val="bi"/>
                                      </m:rPr>
                                      <w:rPr>
                                        <w:rFonts w:ascii="Cambria Math" w:hAnsi="Cambria Math"/>
                                        <w:sz w:val="18"/>
                                        <w:szCs w:val="18"/>
                                        <w:lang w:val="en-GB"/>
                                      </w:rPr>
                                      <m:t>I</m:t>
                                    </m:r>
                                  </m:e>
                                  <m:sup>
                                    <m:r>
                                      <m:rPr>
                                        <m:sty m:val="bi"/>
                                      </m:rPr>
                                      <w:rPr>
                                        <w:rFonts w:ascii="Cambria Math" w:hAnsi="Cambria Math"/>
                                        <w:sz w:val="18"/>
                                        <w:szCs w:val="18"/>
                                        <w:lang w:val="en-GB"/>
                                      </w:rPr>
                                      <m:t>M</m:t>
                                    </m:r>
                                  </m:sup>
                                </m:sSup>
                              </m:sub>
                              <m:sup/>
                              <m:e>
                                <m:nary>
                                  <m:naryPr>
                                    <m:chr m:val="∑"/>
                                    <m:limLoc m:val="undOvr"/>
                                    <m:supHide m:val="1"/>
                                    <m:ctrlPr>
                                      <w:rPr>
                                        <w:rFonts w:ascii="Cambria Math" w:hAnsi="Cambria Math"/>
                                        <w:i/>
                                        <w:sz w:val="18"/>
                                        <w:szCs w:val="18"/>
                                        <w:lang w:val="en-GB"/>
                                      </w:rPr>
                                    </m:ctrlPr>
                                  </m:naryPr>
                                  <m:sub>
                                    <m:r>
                                      <w:rPr>
                                        <w:rFonts w:ascii="Cambria Math" w:hAnsi="Cambria Math"/>
                                        <w:sz w:val="18"/>
                                        <w:szCs w:val="18"/>
                                        <w:lang w:val="en-GB"/>
                                      </w:rPr>
                                      <m:t>a</m:t>
                                    </m:r>
                                    <m:r>
                                      <w:rPr>
                                        <w:rFonts w:ascii="Cambria Math" w:hAnsi="Cambria Math"/>
                                        <w:sz w:val="18"/>
                                        <w:szCs w:val="18"/>
                                        <w:lang w:val="en-GB"/>
                                      </w:rPr>
                                      <m:t>∈</m:t>
                                    </m:r>
                                    <m:r>
                                      <m:rPr>
                                        <m:sty m:val="b"/>
                                      </m:rPr>
                                      <w:rPr>
                                        <w:rFonts w:ascii="Cambria Math" w:hAnsi="Cambria Math"/>
                                        <w:sz w:val="18"/>
                                        <w:szCs w:val="18"/>
                                        <w:lang w:val="en-GB"/>
                                      </w:rPr>
                                      <m:t>A</m:t>
                                    </m:r>
                                  </m:sub>
                                  <m:sup/>
                                  <m:e>
                                    <m:nary>
                                      <m:naryPr>
                                        <m:chr m:val="∑"/>
                                        <m:limLoc m:val="undOvr"/>
                                        <m:supHide m:val="1"/>
                                        <m:ctrlPr>
                                          <w:rPr>
                                            <w:rFonts w:ascii="Cambria Math" w:hAnsi="Cambria Math"/>
                                            <w:i/>
                                            <w:sz w:val="18"/>
                                            <w:szCs w:val="18"/>
                                            <w:lang w:val="en-GB"/>
                                          </w:rPr>
                                        </m:ctrlPr>
                                      </m:naryPr>
                                      <m:sub>
                                        <m:r>
                                          <w:rPr>
                                            <w:rFonts w:ascii="Cambria Math" w:hAnsi="Cambria Math"/>
                                            <w:sz w:val="18"/>
                                            <w:szCs w:val="18"/>
                                            <w:lang w:val="en-GB"/>
                                          </w:rPr>
                                          <m:t>t</m:t>
                                        </m:r>
                                        <m:r>
                                          <w:rPr>
                                            <w:rFonts w:ascii="Cambria Math" w:hAnsi="Cambria Math"/>
                                            <w:sz w:val="18"/>
                                            <w:szCs w:val="18"/>
                                            <w:lang w:val="en-GB"/>
                                          </w:rPr>
                                          <m:t>∈</m:t>
                                        </m:r>
                                        <m:r>
                                          <m:rPr>
                                            <m:sty m:val="b"/>
                                          </m:rPr>
                                          <w:rPr>
                                            <w:rFonts w:ascii="Cambria Math" w:hAnsi="Cambria Math"/>
                                            <w:sz w:val="18"/>
                                            <w:szCs w:val="18"/>
                                            <w:lang w:val="en-GB"/>
                                          </w:rPr>
                                          <m:t>T</m:t>
                                        </m:r>
                                      </m:sub>
                                      <m:sup/>
                                      <m:e>
                                        <m:sSub>
                                          <m:sSubPr>
                                            <m:ctrlPr>
                                              <w:rPr>
                                                <w:rFonts w:ascii="Cambria Math" w:hAnsi="Cambria Math"/>
                                                <w:i/>
                                                <w:sz w:val="18"/>
                                                <w:szCs w:val="18"/>
                                                <w:lang w:val="en-GB"/>
                                              </w:rPr>
                                            </m:ctrlPr>
                                          </m:sSubPr>
                                          <m:e>
                                            <m:r>
                                              <w:rPr>
                                                <w:rFonts w:ascii="Cambria Math" w:hAnsi="Cambria Math"/>
                                                <w:sz w:val="18"/>
                                                <w:szCs w:val="18"/>
                                                <w:lang w:val="en-GB"/>
                                              </w:rPr>
                                              <m:t>D</m:t>
                                            </m:r>
                                          </m:e>
                                          <m:sub>
                                            <m:r>
                                              <w:rPr>
                                                <w:rFonts w:ascii="Cambria Math" w:hAnsi="Cambria Math"/>
                                                <w:sz w:val="18"/>
                                                <w:szCs w:val="18"/>
                                                <w:lang w:val="en-GB"/>
                                              </w:rPr>
                                              <m:t>p</m:t>
                                            </m:r>
                                            <m:sSup>
                                              <m:sSupPr>
                                                <m:ctrlPr>
                                                  <w:rPr>
                                                    <w:rFonts w:ascii="Cambria Math" w:hAnsi="Cambria Math"/>
                                                    <w:i/>
                                                    <w:sz w:val="18"/>
                                                    <w:szCs w:val="18"/>
                                                    <w:lang w:val="en-GB"/>
                                                  </w:rPr>
                                                </m:ctrlPr>
                                              </m:sSupPr>
                                              <m:e>
                                                <m:r>
                                                  <w:rPr>
                                                    <w:rFonts w:ascii="Cambria Math" w:hAnsi="Cambria Math"/>
                                                    <w:sz w:val="18"/>
                                                    <w:szCs w:val="18"/>
                                                    <w:lang w:val="en-GB"/>
                                                  </w:rPr>
                                                  <m:t>(</m:t>
                                                </m:r>
                                                <m:r>
                                                  <w:rPr>
                                                    <w:rFonts w:ascii="Cambria Math" w:hAnsi="Cambria Math"/>
                                                    <w:sz w:val="18"/>
                                                    <w:szCs w:val="18"/>
                                                    <w:lang w:val="en-GB"/>
                                                  </w:rPr>
                                                  <m:t>i</m:t>
                                                </m:r>
                                              </m:e>
                                              <m:sup>
                                                <m:r>
                                                  <w:rPr>
                                                    <w:rFonts w:ascii="Cambria Math" w:hAnsi="Cambria Math"/>
                                                    <w:sz w:val="18"/>
                                                    <w:szCs w:val="18"/>
                                                    <w:lang w:val="en-GB"/>
                                                  </w:rPr>
                                                  <m:t>'</m:t>
                                                </m:r>
                                              </m:sup>
                                            </m:sSup>
                                            <m:r>
                                              <w:rPr>
                                                <w:rFonts w:ascii="Cambria Math" w:hAnsi="Cambria Math"/>
                                                <w:sz w:val="18"/>
                                                <w:szCs w:val="18"/>
                                                <w:lang w:val="en-GB"/>
                                              </w:rPr>
                                              <m:t>,</m:t>
                                            </m:r>
                                            <m:r>
                                              <w:rPr>
                                                <w:rFonts w:ascii="Cambria Math" w:hAnsi="Cambria Math"/>
                                                <w:sz w:val="18"/>
                                                <w:szCs w:val="18"/>
                                                <w:lang w:val="en-GB"/>
                                              </w:rPr>
                                              <m:t>i</m:t>
                                            </m:r>
                                            <m:r>
                                              <w:rPr>
                                                <w:rFonts w:ascii="Cambria Math" w:hAnsi="Cambria Math"/>
                                                <w:sz w:val="18"/>
                                                <w:szCs w:val="18"/>
                                                <w:lang w:val="en-GB"/>
                                              </w:rPr>
                                              <m:t>)</m:t>
                                            </m:r>
                                            <m:r>
                                              <w:rPr>
                                                <w:rFonts w:ascii="Cambria Math" w:hAnsi="Cambria Math"/>
                                                <w:sz w:val="18"/>
                                                <w:szCs w:val="18"/>
                                                <w:lang w:val="en-GB"/>
                                              </w:rPr>
                                              <m:t>at</m:t>
                                            </m:r>
                                          </m:sub>
                                        </m:sSub>
                                      </m:e>
                                    </m:nary>
                                  </m:e>
                                </m:nary>
                              </m:e>
                            </m:nary>
                          </m:e>
                        </m:nary>
                      </m:e>
                    </m:nary>
                    <m:r>
                      <w:rPr>
                        <w:rFonts w:ascii="Cambria Math" w:hAnsi="Cambria Math"/>
                        <w:sz w:val="18"/>
                        <w:szCs w:val="18"/>
                        <w:lang w:val="en-GB"/>
                      </w:rPr>
                      <m:t>×</m:t>
                    </m:r>
                    <m:d>
                      <m:dPr>
                        <m:ctrlPr>
                          <w:rPr>
                            <w:rFonts w:ascii="Cambria Math" w:hAnsi="Cambria Math"/>
                            <w:i/>
                            <w:sz w:val="18"/>
                            <w:szCs w:val="18"/>
                            <w:lang w:val="en-GB"/>
                          </w:rPr>
                        </m:ctrlPr>
                      </m:dPr>
                      <m:e>
                        <m:r>
                          <w:rPr>
                            <w:rFonts w:ascii="Cambria Math" w:hAnsi="Cambria Math"/>
                            <w:sz w:val="18"/>
                            <w:szCs w:val="18"/>
                            <w:lang w:val="en-GB"/>
                          </w:rPr>
                          <m:t>1-</m:t>
                        </m:r>
                        <m:sSub>
                          <m:sSubPr>
                            <m:ctrlPr>
                              <w:rPr>
                                <w:rFonts w:ascii="Cambria Math" w:hAnsi="Cambria Math"/>
                                <w:i/>
                                <w:sz w:val="18"/>
                                <w:szCs w:val="18"/>
                                <w:lang w:val="en-GB"/>
                              </w:rPr>
                            </m:ctrlPr>
                          </m:sSubPr>
                          <m:e>
                            <m:r>
                              <w:rPr>
                                <w:rFonts w:ascii="Cambria Math" w:hAnsi="Cambria Math"/>
                                <w:sz w:val="18"/>
                                <w:szCs w:val="18"/>
                                <w:lang w:val="en-GB"/>
                              </w:rPr>
                              <m:t>ω</m:t>
                            </m:r>
                          </m:e>
                          <m:sub>
                            <m:r>
                              <w:rPr>
                                <w:rFonts w:ascii="Cambria Math" w:hAnsi="Cambria Math"/>
                                <w:sz w:val="18"/>
                                <w:szCs w:val="18"/>
                                <w:lang w:val="en-GB"/>
                              </w:rPr>
                              <m:t>pi</m:t>
                            </m:r>
                          </m:sub>
                        </m:sSub>
                      </m:e>
                    </m:d>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i/>
                            <w:sz w:val="18"/>
                            <w:szCs w:val="18"/>
                            <w:lang w:val="en-GB"/>
                          </w:rPr>
                          <w:sym w:font="Symbol" w:char="F078"/>
                        </m:r>
                      </m:e>
                      <m:sub>
                        <m:r>
                          <w:rPr>
                            <w:rFonts w:ascii="Cambria Math" w:hAnsi="Cambria Math"/>
                            <w:sz w:val="18"/>
                            <w:szCs w:val="18"/>
                            <w:lang w:val="en-GB"/>
                          </w:rPr>
                          <m:t>pi</m:t>
                        </m:r>
                      </m:sub>
                    </m:sSub>
                  </m:e>
                </m:func>
              </m:oMath>
            </m:oMathPara>
          </w:p>
        </w:tc>
        <w:tc>
          <w:tcPr>
            <w:tcW w:w="709" w:type="dxa"/>
            <w:shd w:val="clear" w:color="auto" w:fill="auto"/>
            <w:vAlign w:val="center"/>
          </w:tcPr>
          <w:p w14:paraId="424CBB79" w14:textId="5987D6DA" w:rsidR="00252B09" w:rsidRPr="00182CC6" w:rsidRDefault="00252B09" w:rsidP="009C0969">
            <w:pPr>
              <w:pStyle w:val="Els-body-text"/>
              <w:spacing w:before="120" w:after="120" w:line="264" w:lineRule="auto"/>
              <w:jc w:val="center"/>
              <w:rPr>
                <w:color w:val="FF0000"/>
                <w:sz w:val="18"/>
                <w:szCs w:val="18"/>
                <w:lang w:val="en-GB"/>
              </w:rPr>
            </w:pPr>
            <w:bookmarkStart w:id="4" w:name="_Ref152071126"/>
            <w:r w:rsidRPr="00182CC6">
              <w:rPr>
                <w:sz w:val="18"/>
                <w:szCs w:val="18"/>
                <w:lang w:val="en-GB"/>
              </w:rPr>
              <w:t>(</w:t>
            </w:r>
            <w:r w:rsidRPr="00182CC6">
              <w:rPr>
                <w:sz w:val="18"/>
                <w:szCs w:val="18"/>
                <w:lang w:val="en-GB"/>
              </w:rPr>
              <w:fldChar w:fldCharType="begin"/>
            </w:r>
            <w:r w:rsidRPr="00182CC6">
              <w:rPr>
                <w:sz w:val="18"/>
                <w:szCs w:val="18"/>
                <w:lang w:val="en-GB"/>
              </w:rPr>
              <w:instrText xml:space="preserve"> SEQ Equation \* ARABIC </w:instrText>
            </w:r>
            <w:r w:rsidRPr="00182CC6">
              <w:rPr>
                <w:sz w:val="18"/>
                <w:szCs w:val="18"/>
                <w:lang w:val="en-GB"/>
              </w:rPr>
              <w:fldChar w:fldCharType="separate"/>
            </w:r>
            <w:r w:rsidR="00370300" w:rsidRPr="00182CC6">
              <w:rPr>
                <w:noProof/>
                <w:sz w:val="18"/>
                <w:szCs w:val="18"/>
                <w:lang w:val="en-GB"/>
              </w:rPr>
              <w:t>1</w:t>
            </w:r>
            <w:r w:rsidRPr="00182CC6">
              <w:rPr>
                <w:sz w:val="18"/>
                <w:szCs w:val="18"/>
                <w:lang w:val="en-GB"/>
              </w:rPr>
              <w:fldChar w:fldCharType="end"/>
            </w:r>
            <w:r w:rsidRPr="00182CC6">
              <w:rPr>
                <w:sz w:val="18"/>
                <w:szCs w:val="18"/>
                <w:lang w:val="en-GB"/>
              </w:rPr>
              <w:t>)</w:t>
            </w:r>
            <w:bookmarkEnd w:id="4"/>
          </w:p>
        </w:tc>
      </w:tr>
    </w:tbl>
    <w:p w14:paraId="258447BC" w14:textId="77777777" w:rsidR="005A7AFA" w:rsidRPr="00182CC6" w:rsidRDefault="005A7AFA" w:rsidP="00FA0B6B">
      <w:pPr>
        <w:autoSpaceDE w:val="0"/>
        <w:autoSpaceDN w:val="0"/>
        <w:adjustRightInd w:val="0"/>
        <w:jc w:val="both"/>
        <w:rPr>
          <w:rFonts w:ascii="TimesNewRomanPSMT" w:hAnsi="TimesNewRomanPSMT" w:cs="TimesNewRomanPSMT"/>
          <w:lang w:eastAsia="en-GB"/>
        </w:rPr>
      </w:pPr>
    </w:p>
    <w:p w14:paraId="5CA8346E" w14:textId="19918FA4" w:rsidR="00FA0B6B" w:rsidRPr="00182CC6" w:rsidRDefault="00FA0B6B" w:rsidP="00FA0B6B">
      <w:pPr>
        <w:autoSpaceDE w:val="0"/>
        <w:autoSpaceDN w:val="0"/>
        <w:adjustRightInd w:val="0"/>
        <w:jc w:val="both"/>
        <w:rPr>
          <w:rFonts w:ascii="TimesNewRomanPSMT" w:hAnsi="TimesNewRomanPSMT" w:cs="TimesNewRomanPSMT"/>
          <w:lang w:eastAsia="en-GB"/>
        </w:rPr>
      </w:pPr>
      <w:r w:rsidRPr="00182CC6">
        <w:rPr>
          <w:rFonts w:ascii="TimesNewRomanPSMT" w:hAnsi="TimesNewRomanPSMT" w:cs="TimesNewRomanPSMT"/>
          <w:lang w:eastAsia="en-GB"/>
        </w:rPr>
        <w:t>The main constraints of the model account for</w:t>
      </w:r>
      <w:r w:rsidR="00604401" w:rsidRPr="00182CC6">
        <w:rPr>
          <w:rFonts w:ascii="TimesNewRomanPSMT" w:hAnsi="TimesNewRomanPSMT" w:cs="TimesNewRomanPSMT"/>
          <w:lang w:eastAsia="en-GB"/>
        </w:rPr>
        <w:t>:</w:t>
      </w:r>
      <w:r w:rsidRPr="00182CC6">
        <w:rPr>
          <w:rFonts w:ascii="TimesNewRomanPSMT" w:hAnsi="TimesNewRomanPSMT" w:cs="TimesNewRomanPSMT"/>
          <w:lang w:eastAsia="en-GB"/>
        </w:rPr>
        <w:t xml:space="preserve"> </w:t>
      </w:r>
      <w:r w:rsidRPr="00182CC6">
        <w:t>(</w:t>
      </w:r>
      <w:r w:rsidRPr="00182CC6">
        <w:rPr>
          <w:i/>
        </w:rPr>
        <w:t>i</w:t>
      </w:r>
      <w:r w:rsidRPr="00182CC6">
        <w:t>) production allocation; (</w:t>
      </w:r>
      <w:r w:rsidRPr="00182CC6">
        <w:rPr>
          <w:i/>
        </w:rPr>
        <w:t>ii</w:t>
      </w:r>
      <w:r w:rsidRPr="00182CC6">
        <w:t xml:space="preserve">) </w:t>
      </w:r>
      <w:r w:rsidR="001F4D45" w:rsidRPr="00182CC6">
        <w:t xml:space="preserve">resource and </w:t>
      </w:r>
      <w:r w:rsidRPr="00182CC6">
        <w:rPr>
          <w:rFonts w:ascii="TimesNewRomanPSMT" w:hAnsi="TimesNewRomanPSMT" w:cs="TimesNewRomanPSMT"/>
          <w:lang w:eastAsia="en-GB"/>
        </w:rPr>
        <w:t>material balances at primary and secondary manufacturers, and donation centers</w:t>
      </w:r>
      <w:r w:rsidR="00604401" w:rsidRPr="00182CC6">
        <w:rPr>
          <w:rFonts w:ascii="TimesNewRomanPSMT" w:hAnsi="TimesNewRomanPSMT" w:cs="TimesNewRomanPSMT"/>
          <w:lang w:eastAsia="en-GB"/>
        </w:rPr>
        <w:t>;</w:t>
      </w:r>
      <w:r w:rsidRPr="00182CC6">
        <w:rPr>
          <w:rFonts w:ascii="TimesNewRomanPSMT" w:hAnsi="TimesNewRomanPSMT" w:cs="TimesNewRomanPSMT"/>
          <w:lang w:eastAsia="en-GB"/>
        </w:rPr>
        <w:t xml:space="preserve"> </w:t>
      </w:r>
      <w:r w:rsidRPr="00182CC6">
        <w:t>(</w:t>
      </w:r>
      <w:r w:rsidRPr="00182CC6">
        <w:rPr>
          <w:i/>
        </w:rPr>
        <w:t>iii</w:t>
      </w:r>
      <w:r w:rsidRPr="00182CC6">
        <w:t xml:space="preserve">) </w:t>
      </w:r>
      <w:r w:rsidRPr="00182CC6">
        <w:rPr>
          <w:rFonts w:ascii="TimesNewRomanPSMT" w:hAnsi="TimesNewRomanPSMT" w:cs="TimesNewRomanPSMT"/>
          <w:lang w:eastAsia="en-GB"/>
        </w:rPr>
        <w:t>production and storage capacities</w:t>
      </w:r>
      <w:r w:rsidR="00604401" w:rsidRPr="00182CC6">
        <w:rPr>
          <w:rFonts w:ascii="TimesNewRomanPSMT" w:hAnsi="TimesNewRomanPSMT" w:cs="TimesNewRomanPSMT"/>
          <w:lang w:eastAsia="en-GB"/>
        </w:rPr>
        <w:t>;</w:t>
      </w:r>
      <w:r w:rsidRPr="00182CC6">
        <w:rPr>
          <w:rFonts w:ascii="TimesNewRomanPSMT" w:hAnsi="TimesNewRomanPSMT" w:cs="TimesNewRomanPSMT"/>
          <w:lang w:eastAsia="en-GB"/>
        </w:rPr>
        <w:t xml:space="preserve"> </w:t>
      </w:r>
      <w:r w:rsidRPr="00182CC6">
        <w:t>(</w:t>
      </w:r>
      <w:r w:rsidRPr="00182CC6">
        <w:rPr>
          <w:i/>
        </w:rPr>
        <w:t>iv</w:t>
      </w:r>
      <w:r w:rsidRPr="00182CC6">
        <w:t xml:space="preserve">) </w:t>
      </w:r>
      <w:r w:rsidRPr="00182CC6">
        <w:rPr>
          <w:rFonts w:ascii="TimesNewRomanPSMT" w:hAnsi="TimesNewRomanPSMT" w:cs="TimesNewRomanPSMT"/>
          <w:lang w:eastAsia="en-GB"/>
        </w:rPr>
        <w:t>flows of products between all entities, according to the allowed connections</w:t>
      </w:r>
      <w:r w:rsidR="00604401" w:rsidRPr="00182CC6">
        <w:rPr>
          <w:rFonts w:ascii="TimesNewRomanPSMT" w:hAnsi="TimesNewRomanPSMT" w:cs="TimesNewRomanPSMT"/>
          <w:lang w:eastAsia="en-GB"/>
        </w:rPr>
        <w:t>;</w:t>
      </w:r>
      <w:r w:rsidRPr="00182CC6">
        <w:rPr>
          <w:rFonts w:ascii="TimesNewRomanPSMT" w:hAnsi="TimesNewRomanPSMT" w:cs="TimesNewRomanPSMT"/>
          <w:lang w:eastAsia="en-GB"/>
        </w:rPr>
        <w:t xml:space="preserve"> </w:t>
      </w:r>
      <w:r w:rsidRPr="00182CC6">
        <w:t>(</w:t>
      </w:r>
      <w:r w:rsidRPr="00182CC6">
        <w:rPr>
          <w:i/>
        </w:rPr>
        <w:t>v</w:t>
      </w:r>
      <w:r w:rsidRPr="00182CC6">
        <w:t xml:space="preserve">) </w:t>
      </w:r>
      <w:r w:rsidRPr="00182CC6">
        <w:rPr>
          <w:rFonts w:ascii="TimesNewRomanPSMT" w:hAnsi="TimesNewRomanPSMT" w:cs="TimesNewRomanPSMT"/>
          <w:lang w:eastAsia="en-GB"/>
        </w:rPr>
        <w:t>age-based inventory levels</w:t>
      </w:r>
      <w:r w:rsidR="00604401" w:rsidRPr="00182CC6">
        <w:rPr>
          <w:rFonts w:ascii="TimesNewRomanPSMT" w:hAnsi="TimesNewRomanPSMT" w:cs="TimesNewRomanPSMT"/>
          <w:lang w:eastAsia="en-GB"/>
        </w:rPr>
        <w:t>;</w:t>
      </w:r>
      <w:r w:rsidRPr="00182CC6">
        <w:rPr>
          <w:rFonts w:ascii="TimesNewRomanPSMT" w:hAnsi="TimesNewRomanPSMT" w:cs="TimesNewRomanPSMT"/>
          <w:lang w:eastAsia="en-GB"/>
        </w:rPr>
        <w:t xml:space="preserve"> </w:t>
      </w:r>
      <w:r w:rsidRPr="00182CC6">
        <w:t>(</w:t>
      </w:r>
      <w:r w:rsidRPr="00182CC6">
        <w:rPr>
          <w:i/>
        </w:rPr>
        <w:t>vi</w:t>
      </w:r>
      <w:r w:rsidRPr="00182CC6">
        <w:t xml:space="preserve">) </w:t>
      </w:r>
      <w:r w:rsidRPr="00182CC6">
        <w:rPr>
          <w:rFonts w:ascii="TimesNewRomanPSMT" w:hAnsi="TimesNewRomanPSMT" w:cs="TimesNewRomanPSMT"/>
          <w:lang w:eastAsia="en-GB"/>
        </w:rPr>
        <w:t>production quantities</w:t>
      </w:r>
      <w:r w:rsidR="00153802" w:rsidRPr="00182CC6">
        <w:rPr>
          <w:rFonts w:ascii="TimesNewRomanPSMT" w:hAnsi="TimesNewRomanPSMT" w:cs="TimesNewRomanPSMT"/>
          <w:lang w:eastAsia="en-GB"/>
        </w:rPr>
        <w:t xml:space="preserve"> </w:t>
      </w:r>
      <w:r w:rsidR="00153802" w:rsidRPr="00182CC6">
        <w:rPr>
          <w:rFonts w:ascii="TimesNewRomanPSMT" w:hAnsi="TimesNewRomanPSMT" w:cs="TimesNewRomanPSMT"/>
          <w:lang w:eastAsia="en-GB"/>
        </w:rPr>
        <w:t>at primary and secondary manufacturers</w:t>
      </w:r>
      <w:r w:rsidRPr="00182CC6">
        <w:rPr>
          <w:rFonts w:ascii="TimesNewRomanPSMT" w:hAnsi="TimesNewRomanPSMT" w:cs="TimesNewRomanPSMT"/>
          <w:lang w:eastAsia="en-GB"/>
        </w:rPr>
        <w:t xml:space="preserve">; </w:t>
      </w:r>
      <w:r w:rsidRPr="00182CC6">
        <w:t>(</w:t>
      </w:r>
      <w:r w:rsidRPr="00182CC6">
        <w:rPr>
          <w:i/>
        </w:rPr>
        <w:t>vii</w:t>
      </w:r>
      <w:r w:rsidRPr="00182CC6">
        <w:t>) possible production capacity expansions</w:t>
      </w:r>
      <w:r w:rsidR="00604401" w:rsidRPr="00182CC6">
        <w:t>;</w:t>
      </w:r>
      <w:r w:rsidRPr="00182CC6">
        <w:t xml:space="preserve"> </w:t>
      </w:r>
      <w:r w:rsidR="00F92175" w:rsidRPr="00182CC6">
        <w:t>and</w:t>
      </w:r>
      <w:r w:rsidRPr="00182CC6">
        <w:rPr>
          <w:rFonts w:ascii="TimesNewRomanPSMT" w:hAnsi="TimesNewRomanPSMT" w:cs="TimesNewRomanPSMT"/>
          <w:lang w:eastAsia="en-GB"/>
        </w:rPr>
        <w:t xml:space="preserve">, finally, </w:t>
      </w:r>
      <w:r w:rsidRPr="00182CC6">
        <w:t>(</w:t>
      </w:r>
      <w:r w:rsidRPr="00182CC6">
        <w:rPr>
          <w:i/>
        </w:rPr>
        <w:t>viii</w:t>
      </w:r>
      <w:r w:rsidRPr="00182CC6">
        <w:t xml:space="preserve">) </w:t>
      </w:r>
      <w:r w:rsidRPr="00182CC6">
        <w:rPr>
          <w:rFonts w:ascii="TimesNewRomanPSMT" w:hAnsi="TimesNewRomanPSMT" w:cs="TimesNewRomanPSMT"/>
          <w:lang w:eastAsia="en-GB"/>
        </w:rPr>
        <w:t>demand constraints defining the production and donation requirements.</w:t>
      </w:r>
    </w:p>
    <w:p w14:paraId="144DE6A1" w14:textId="6810DA60" w:rsidR="008D2649" w:rsidRPr="00182CC6" w:rsidRDefault="00333DF8" w:rsidP="00CC0C14">
      <w:pPr>
        <w:pStyle w:val="Els-1storder-head"/>
        <w:rPr>
          <w:lang w:val="en-GB"/>
        </w:rPr>
      </w:pPr>
      <w:r w:rsidRPr="00182CC6">
        <w:rPr>
          <w:lang w:val="en-GB"/>
        </w:rPr>
        <w:t>Case study and preliminary</w:t>
      </w:r>
      <w:r w:rsidR="00A7287D" w:rsidRPr="00182CC6">
        <w:rPr>
          <w:lang w:val="en-GB"/>
        </w:rPr>
        <w:t xml:space="preserve"> </w:t>
      </w:r>
      <w:r w:rsidRPr="00182CC6">
        <w:rPr>
          <w:lang w:val="en-GB"/>
        </w:rPr>
        <w:t>r</w:t>
      </w:r>
      <w:r w:rsidR="00A7287D" w:rsidRPr="00182CC6">
        <w:rPr>
          <w:lang w:val="en-GB"/>
        </w:rPr>
        <w:t>esults</w:t>
      </w:r>
    </w:p>
    <w:p w14:paraId="621DCBA1" w14:textId="0085DEC2" w:rsidR="001D4E4C" w:rsidRPr="00182CC6" w:rsidRDefault="001D4E4C" w:rsidP="00711C40">
      <w:pPr>
        <w:pStyle w:val="Els-2ndorder-head"/>
        <w:rPr>
          <w:lang w:val="en-GB"/>
        </w:rPr>
      </w:pPr>
      <w:r w:rsidRPr="00182CC6">
        <w:rPr>
          <w:lang w:val="en-GB"/>
        </w:rPr>
        <w:t xml:space="preserve">Case study </w:t>
      </w:r>
    </w:p>
    <w:p w14:paraId="0F9D8484" w14:textId="293DC86F" w:rsidR="00835ED8" w:rsidRPr="00182CC6" w:rsidRDefault="00B15484" w:rsidP="00711C40">
      <w:pPr>
        <w:pStyle w:val="Els-body-text"/>
        <w:rPr>
          <w:lang w:val="en-GB"/>
        </w:rPr>
      </w:pPr>
      <w:r w:rsidRPr="00182CC6">
        <w:rPr>
          <w:lang w:val="en-GB"/>
        </w:rPr>
        <w:t>To</w:t>
      </w:r>
      <w:r w:rsidR="00B14C76" w:rsidRPr="00182CC6">
        <w:rPr>
          <w:lang w:val="en-GB"/>
        </w:rPr>
        <w:t xml:space="preserve"> demonstrate the applicability of the proposed approach</w:t>
      </w:r>
      <w:r w:rsidR="00604401" w:rsidRPr="00182CC6">
        <w:rPr>
          <w:lang w:val="en-GB"/>
        </w:rPr>
        <w:t>,</w:t>
      </w:r>
      <w:r w:rsidR="00B14C76" w:rsidRPr="00182CC6">
        <w:rPr>
          <w:lang w:val="en-GB"/>
        </w:rPr>
        <w:t xml:space="preserve"> a</w:t>
      </w:r>
      <w:r w:rsidR="001B1D00" w:rsidRPr="00182CC6">
        <w:rPr>
          <w:lang w:val="en-GB"/>
        </w:rPr>
        <w:t xml:space="preserve"> small instance of a</w:t>
      </w:r>
      <w:r w:rsidR="00B14C76" w:rsidRPr="00182CC6">
        <w:rPr>
          <w:lang w:val="en-GB"/>
        </w:rPr>
        <w:t xml:space="preserve"> </w:t>
      </w:r>
      <w:r w:rsidR="008F791B" w:rsidRPr="00182CC6">
        <w:rPr>
          <w:lang w:val="en-GB"/>
        </w:rPr>
        <w:t xml:space="preserve">global </w:t>
      </w:r>
      <w:r w:rsidR="00F92175" w:rsidRPr="00182CC6">
        <w:rPr>
          <w:lang w:val="en-GB"/>
        </w:rPr>
        <w:t>PSC</w:t>
      </w:r>
      <w:r w:rsidR="008F791B" w:rsidRPr="00182CC6">
        <w:rPr>
          <w:lang w:val="en-GB"/>
        </w:rPr>
        <w:t xml:space="preserve"> was considered, including: </w:t>
      </w:r>
      <w:r w:rsidR="00AC463E" w:rsidRPr="00182CC6">
        <w:rPr>
          <w:lang w:val="en-GB"/>
        </w:rPr>
        <w:t>2 primary manufacturers</w:t>
      </w:r>
      <w:r w:rsidR="008F791B" w:rsidRPr="00182CC6">
        <w:rPr>
          <w:lang w:val="en-GB"/>
        </w:rPr>
        <w:t xml:space="preserve"> (</w:t>
      </w:r>
      <w:r w:rsidR="00BB2CDE" w:rsidRPr="00182CC6">
        <w:rPr>
          <w:lang w:val="en-GB"/>
        </w:rPr>
        <w:t>N</w:t>
      </w:r>
      <w:r w:rsidR="00052999" w:rsidRPr="00182CC6">
        <w:rPr>
          <w:lang w:val="en-GB"/>
        </w:rPr>
        <w:t xml:space="preserve">orth </w:t>
      </w:r>
      <w:r w:rsidR="00BB2CDE" w:rsidRPr="00182CC6">
        <w:rPr>
          <w:lang w:val="en-GB"/>
        </w:rPr>
        <w:t>America and Asia)</w:t>
      </w:r>
      <w:r w:rsidR="00604401" w:rsidRPr="00182CC6">
        <w:rPr>
          <w:lang w:val="en-GB"/>
        </w:rPr>
        <w:t>;</w:t>
      </w:r>
      <w:r w:rsidR="00AC463E" w:rsidRPr="00182CC6">
        <w:rPr>
          <w:lang w:val="en-GB"/>
        </w:rPr>
        <w:t xml:space="preserve"> </w:t>
      </w:r>
      <w:r w:rsidR="00C7026A" w:rsidRPr="00182CC6">
        <w:rPr>
          <w:lang w:val="en-GB"/>
        </w:rPr>
        <w:t>5</w:t>
      </w:r>
      <w:r w:rsidR="001174CA" w:rsidRPr="00182CC6">
        <w:rPr>
          <w:lang w:val="en-GB"/>
        </w:rPr>
        <w:t xml:space="preserve"> secondary manufacturers (</w:t>
      </w:r>
      <w:r w:rsidR="00052999" w:rsidRPr="00182CC6">
        <w:rPr>
          <w:lang w:val="en-GB"/>
        </w:rPr>
        <w:t xml:space="preserve">North America, South America, </w:t>
      </w:r>
      <w:r w:rsidR="00C7026A" w:rsidRPr="00182CC6">
        <w:rPr>
          <w:lang w:val="en-GB"/>
        </w:rPr>
        <w:t>Europe, Asia, and Africa)</w:t>
      </w:r>
      <w:r w:rsidR="00604401" w:rsidRPr="00182CC6">
        <w:rPr>
          <w:lang w:val="en-GB"/>
        </w:rPr>
        <w:t>;</w:t>
      </w:r>
      <w:r w:rsidR="00C7026A" w:rsidRPr="00182CC6">
        <w:rPr>
          <w:lang w:val="en-GB"/>
        </w:rPr>
        <w:t xml:space="preserve"> </w:t>
      </w:r>
      <w:r w:rsidR="00446343" w:rsidRPr="00182CC6">
        <w:rPr>
          <w:lang w:val="en-GB"/>
        </w:rPr>
        <w:t>5 global markets (North America, South America, Europe, Asia, and Africa)</w:t>
      </w:r>
      <w:r w:rsidR="00604401" w:rsidRPr="00182CC6">
        <w:rPr>
          <w:lang w:val="en-GB"/>
        </w:rPr>
        <w:t>;</w:t>
      </w:r>
      <w:r w:rsidR="00437683" w:rsidRPr="00182CC6">
        <w:rPr>
          <w:lang w:val="en-GB"/>
        </w:rPr>
        <w:t xml:space="preserve"> and 9 </w:t>
      </w:r>
      <w:r w:rsidR="00437683" w:rsidRPr="0087479A">
        <w:rPr>
          <w:lang w:val="en-GB"/>
        </w:rPr>
        <w:t xml:space="preserve">donation </w:t>
      </w:r>
      <w:r w:rsidR="00835ED8" w:rsidRPr="0087479A">
        <w:rPr>
          <w:lang w:val="en-GB"/>
        </w:rPr>
        <w:t>centres</w:t>
      </w:r>
      <w:r w:rsidR="00437683" w:rsidRPr="00182CC6">
        <w:rPr>
          <w:lang w:val="en-GB"/>
        </w:rPr>
        <w:t xml:space="preserve"> (</w:t>
      </w:r>
      <w:r w:rsidR="009D6E4F" w:rsidRPr="00182CC6">
        <w:rPr>
          <w:lang w:val="en-GB"/>
        </w:rPr>
        <w:t xml:space="preserve">distributed </w:t>
      </w:r>
      <w:r w:rsidR="00753C5C" w:rsidRPr="00182CC6">
        <w:rPr>
          <w:lang w:val="en-GB"/>
        </w:rPr>
        <w:t>across</w:t>
      </w:r>
      <w:r w:rsidR="00437683" w:rsidRPr="00182CC6">
        <w:rPr>
          <w:lang w:val="en-GB"/>
        </w:rPr>
        <w:t xml:space="preserve"> Africa, </w:t>
      </w:r>
      <w:r w:rsidR="00DB3DCE" w:rsidRPr="00182CC6">
        <w:rPr>
          <w:lang w:val="en-GB"/>
        </w:rPr>
        <w:t xml:space="preserve">Asia, </w:t>
      </w:r>
      <w:r w:rsidR="00753C5C" w:rsidRPr="00182CC6">
        <w:rPr>
          <w:lang w:val="en-GB"/>
        </w:rPr>
        <w:t>and</w:t>
      </w:r>
      <w:r w:rsidR="00DB3DCE" w:rsidRPr="00182CC6">
        <w:rPr>
          <w:lang w:val="en-GB"/>
        </w:rPr>
        <w:t xml:space="preserve"> south America)</w:t>
      </w:r>
      <w:r w:rsidR="00835ED8" w:rsidRPr="00182CC6">
        <w:rPr>
          <w:lang w:val="en-GB"/>
        </w:rPr>
        <w:t>.</w:t>
      </w:r>
      <w:r w:rsidR="003A2729" w:rsidRPr="00182CC6">
        <w:rPr>
          <w:lang w:val="en-GB"/>
        </w:rPr>
        <w:t xml:space="preserve"> Two final products </w:t>
      </w:r>
      <w:proofErr w:type="gramStart"/>
      <w:r w:rsidR="003A2729" w:rsidRPr="0087479A">
        <w:rPr>
          <w:lang w:val="en-GB"/>
        </w:rPr>
        <w:t>are modelled</w:t>
      </w:r>
      <w:proofErr w:type="gramEnd"/>
      <w:r w:rsidR="003A2729" w:rsidRPr="00182CC6">
        <w:rPr>
          <w:lang w:val="en-GB"/>
        </w:rPr>
        <w:t xml:space="preserve">, requiring each a specific API produced in the primary manufacturing </w:t>
      </w:r>
      <w:r w:rsidR="003A2729" w:rsidRPr="00182CC6">
        <w:rPr>
          <w:lang w:val="en-GB"/>
        </w:rPr>
        <w:lastRenderedPageBreak/>
        <w:t>facilities.</w:t>
      </w:r>
      <w:r w:rsidR="00E83274" w:rsidRPr="00182CC6">
        <w:rPr>
          <w:lang w:val="en-GB"/>
        </w:rPr>
        <w:t xml:space="preserve"> Product recoveries from the market </w:t>
      </w:r>
      <w:r w:rsidR="008541B4" w:rsidRPr="00182CC6">
        <w:rPr>
          <w:lang w:val="en-GB"/>
        </w:rPr>
        <w:t xml:space="preserve">are based on the “age” </w:t>
      </w:r>
      <w:proofErr w:type="gramStart"/>
      <w:r w:rsidR="008541B4" w:rsidRPr="00182CC6">
        <w:rPr>
          <w:lang w:val="en-GB"/>
        </w:rPr>
        <w:t>at the moment</w:t>
      </w:r>
      <w:proofErr w:type="gramEnd"/>
      <w:r w:rsidR="008541B4" w:rsidRPr="00182CC6">
        <w:rPr>
          <w:lang w:val="en-GB"/>
        </w:rPr>
        <w:t xml:space="preserve"> of deliver</w:t>
      </w:r>
      <w:r w:rsidR="005C3F9C" w:rsidRPr="00182CC6">
        <w:rPr>
          <w:lang w:val="en-GB"/>
        </w:rPr>
        <w:t>y</w:t>
      </w:r>
      <w:r w:rsidR="008541B4" w:rsidRPr="00182CC6">
        <w:rPr>
          <w:lang w:val="en-GB"/>
        </w:rPr>
        <w:t xml:space="preserve"> to the market</w:t>
      </w:r>
      <w:r w:rsidR="00604401" w:rsidRPr="00182CC6">
        <w:rPr>
          <w:lang w:val="en-GB"/>
        </w:rPr>
        <w:t>,</w:t>
      </w:r>
      <w:r w:rsidR="00A47A15" w:rsidRPr="00182CC6">
        <w:rPr>
          <w:lang w:val="en-GB"/>
        </w:rPr>
        <w:t xml:space="preserve"> considering that </w:t>
      </w:r>
      <w:r w:rsidR="008B5980" w:rsidRPr="00182CC6">
        <w:rPr>
          <w:lang w:val="en-GB"/>
        </w:rPr>
        <w:t>the older the product, the more likely it is to be wasted.</w:t>
      </w:r>
      <w:r w:rsidR="00DE3EF3" w:rsidRPr="00182CC6">
        <w:rPr>
          <w:lang w:val="en-GB"/>
        </w:rPr>
        <w:t xml:space="preserve"> </w:t>
      </w:r>
    </w:p>
    <w:p w14:paraId="4E06334B" w14:textId="1F716402" w:rsidR="001D4E4C" w:rsidRPr="00182CC6" w:rsidRDefault="008B24D4" w:rsidP="00920BFC">
      <w:pPr>
        <w:pStyle w:val="Els-2ndorder-head"/>
        <w:rPr>
          <w:lang w:val="en-GB"/>
        </w:rPr>
      </w:pPr>
      <w:r w:rsidRPr="00182CC6">
        <w:rPr>
          <w:lang w:val="en-GB"/>
        </w:rPr>
        <w:t>Results</w:t>
      </w:r>
      <w:r w:rsidR="001D4E4C" w:rsidRPr="00182CC6">
        <w:rPr>
          <w:lang w:val="en-GB"/>
        </w:rPr>
        <w:t xml:space="preserve"> </w:t>
      </w:r>
    </w:p>
    <w:p w14:paraId="78E9A159" w14:textId="46053C37" w:rsidR="00DB3256" w:rsidRPr="00182CC6" w:rsidRDefault="000B15A5" w:rsidP="00A67EC3">
      <w:pPr>
        <w:pStyle w:val="Els-body-text"/>
        <w:rPr>
          <w:lang w:val="en-GB"/>
        </w:rPr>
      </w:pPr>
      <w:r w:rsidRPr="00182CC6">
        <w:rPr>
          <w:lang w:val="en-GB"/>
        </w:rPr>
        <w:t xml:space="preserve">Following the integrated approach depicted in </w:t>
      </w:r>
      <w:r w:rsidRPr="00182CC6">
        <w:rPr>
          <w:lang w:val="en-GB"/>
        </w:rPr>
        <w:fldChar w:fldCharType="begin"/>
      </w:r>
      <w:r w:rsidRPr="00182CC6">
        <w:rPr>
          <w:lang w:val="en-GB"/>
        </w:rPr>
        <w:instrText xml:space="preserve"> REF _Ref150356825 \h </w:instrText>
      </w:r>
      <w:r w:rsidRPr="00182CC6">
        <w:rPr>
          <w:lang w:val="en-GB"/>
        </w:rPr>
      </w:r>
      <w:r w:rsidRPr="00182CC6">
        <w:rPr>
          <w:lang w:val="en-GB"/>
        </w:rPr>
        <w:fldChar w:fldCharType="separate"/>
      </w:r>
      <w:r w:rsidR="00370300" w:rsidRPr="00182CC6">
        <w:rPr>
          <w:lang w:val="en-GB"/>
        </w:rPr>
        <w:t xml:space="preserve">Figure </w:t>
      </w:r>
      <w:r w:rsidR="00370300" w:rsidRPr="00182CC6">
        <w:rPr>
          <w:noProof/>
          <w:lang w:val="en-GB"/>
        </w:rPr>
        <w:t>3</w:t>
      </w:r>
      <w:r w:rsidRPr="00182CC6">
        <w:rPr>
          <w:lang w:val="en-GB"/>
        </w:rPr>
        <w:fldChar w:fldCharType="end"/>
      </w:r>
      <w:r w:rsidRPr="00182CC6">
        <w:rPr>
          <w:lang w:val="en-GB"/>
        </w:rPr>
        <w:t>, the</w:t>
      </w:r>
      <w:r w:rsidR="00931D9E" w:rsidRPr="00182CC6">
        <w:rPr>
          <w:lang w:val="en-GB"/>
        </w:rPr>
        <w:t xml:space="preserve"> first step is to determine the risk mitigating inventory level for enhanced SC resiliency</w:t>
      </w:r>
      <w:r w:rsidR="00103149" w:rsidRPr="00182CC6">
        <w:rPr>
          <w:lang w:val="en-GB"/>
        </w:rPr>
        <w:t xml:space="preserve"> through the simulation model previously developed </w:t>
      </w:r>
      <w:r w:rsidR="00103149" w:rsidRPr="00182CC6">
        <w:rPr>
          <w:lang w:val="en-GB"/>
        </w:rPr>
        <w:fldChar w:fldCharType="begin"/>
      </w:r>
      <w:r w:rsidR="00BF2209" w:rsidRPr="00182CC6">
        <w:rPr>
          <w:lang w:val="en-GB"/>
        </w:rPr>
        <w:instrText xml:space="preserve"> ADDIN EN.CITE &lt;EndNote&gt;&lt;Cite&gt;&lt;Author&gt;Silva&lt;/Author&gt;&lt;Year&gt;2022&lt;/Year&gt;&lt;RecNum&gt;22&lt;/RecNum&gt;&lt;DisplayText&gt;(Silva et al., 2022)&lt;/DisplayText&gt;&lt;record&gt;&lt;rec-number&gt;22&lt;/rec-number&gt;&lt;foreign-keys&gt;&lt;key app="EN" db-id="rpz9ear9bz90s7eavznvfae5rwe59rfsxa2s" timestamp="1699027942"&gt;22&lt;/key&gt;&lt;/foreign-keys&gt;&lt;ref-type name="Conference Paper"&gt;47&lt;/ref-type&gt;&lt;contributors&gt;&lt;authors&gt;&lt;author&gt;Silva, A.&lt;/author&gt;&lt;author&gt;Sousa, J.&lt;/author&gt;&lt;author&gt;Marques, CM&lt;/author&gt;&lt;/authors&gt;&lt;/contributors&gt;&lt;titles&gt;&lt;title&gt;Supply Chain Resiliency in the Pharmaceutical Industry–a Simulation-Based Approach&lt;/title&gt;&lt;secondary-title&gt;5th European International Conference on Industrial Engineering and Operations Management&lt;/secondary-title&gt;&lt;/titles&gt;&lt;dates&gt;&lt;year&gt;2022&lt;/year&gt;&lt;/dates&gt;&lt;urls&gt;&lt;/urls&gt;&lt;electronic-resource-num&gt;https://doi.org/10.46254/EU05.20220378&lt;/electronic-resource-num&gt;&lt;/record&gt;&lt;/Cite&gt;&lt;/EndNote&gt;</w:instrText>
      </w:r>
      <w:r w:rsidR="00103149" w:rsidRPr="00182CC6">
        <w:rPr>
          <w:lang w:val="en-GB"/>
        </w:rPr>
        <w:fldChar w:fldCharType="separate"/>
      </w:r>
      <w:r w:rsidR="00BF2209" w:rsidRPr="00182CC6">
        <w:rPr>
          <w:noProof/>
          <w:lang w:val="en-GB"/>
        </w:rPr>
        <w:t>(Silva et al., 2022)</w:t>
      </w:r>
      <w:r w:rsidR="00103149" w:rsidRPr="00182CC6">
        <w:rPr>
          <w:lang w:val="en-GB"/>
        </w:rPr>
        <w:fldChar w:fldCharType="end"/>
      </w:r>
      <w:r w:rsidR="00103149" w:rsidRPr="00182CC6">
        <w:rPr>
          <w:lang w:val="en-GB"/>
        </w:rPr>
        <w:t xml:space="preserve">. </w:t>
      </w:r>
      <w:r w:rsidR="00037FD2" w:rsidRPr="00182CC6">
        <w:rPr>
          <w:lang w:val="en-GB"/>
        </w:rPr>
        <w:t>Based on these results</w:t>
      </w:r>
      <w:r w:rsidR="003439DF" w:rsidRPr="00182CC6">
        <w:rPr>
          <w:lang w:val="en-GB"/>
        </w:rPr>
        <w:t xml:space="preserve">, the extra inventory level was defined as being </w:t>
      </w:r>
      <w:r w:rsidRPr="00182CC6">
        <w:rPr>
          <w:lang w:val="en-GB"/>
        </w:rPr>
        <w:t>40% of</w:t>
      </w:r>
      <w:r w:rsidR="008C7046" w:rsidRPr="00182CC6">
        <w:rPr>
          <w:lang w:val="en-GB"/>
        </w:rPr>
        <w:t xml:space="preserve"> market</w:t>
      </w:r>
      <w:r w:rsidRPr="00182CC6">
        <w:rPr>
          <w:lang w:val="en-GB"/>
        </w:rPr>
        <w:t xml:space="preserve"> deliveries. </w:t>
      </w:r>
      <w:r w:rsidR="008C7046" w:rsidRPr="00182CC6">
        <w:rPr>
          <w:lang w:val="en-GB"/>
        </w:rPr>
        <w:t>For this value</w:t>
      </w:r>
      <w:r w:rsidR="00C23518" w:rsidRPr="00182CC6">
        <w:rPr>
          <w:lang w:val="en-GB"/>
        </w:rPr>
        <w:t>,</w:t>
      </w:r>
      <w:r w:rsidRPr="00182CC6">
        <w:rPr>
          <w:lang w:val="en-GB"/>
        </w:rPr>
        <w:t xml:space="preserve"> a </w:t>
      </w:r>
      <w:r w:rsidRPr="0087479A">
        <w:rPr>
          <w:lang w:val="en-GB"/>
        </w:rPr>
        <w:t xml:space="preserve">service loss of 9% </w:t>
      </w:r>
      <w:proofErr w:type="gramStart"/>
      <w:r w:rsidRPr="0087479A">
        <w:rPr>
          <w:lang w:val="en-GB"/>
        </w:rPr>
        <w:t>was obtained</w:t>
      </w:r>
      <w:proofErr w:type="gramEnd"/>
      <w:r w:rsidRPr="0087479A">
        <w:rPr>
          <w:lang w:val="en-GB"/>
        </w:rPr>
        <w:t xml:space="preserve"> immediately after </w:t>
      </w:r>
      <w:r w:rsidR="00C23518" w:rsidRPr="0087479A">
        <w:rPr>
          <w:lang w:val="en-GB"/>
        </w:rPr>
        <w:t xml:space="preserve">a </w:t>
      </w:r>
      <w:r w:rsidRPr="0087479A">
        <w:rPr>
          <w:lang w:val="en-GB"/>
        </w:rPr>
        <w:t>disruption, reaching the value of only 4% after recovering</w:t>
      </w:r>
      <w:r w:rsidRPr="00182CC6">
        <w:rPr>
          <w:lang w:val="en-GB"/>
        </w:rPr>
        <w:t>.</w:t>
      </w:r>
      <w:r w:rsidR="003F132B" w:rsidRPr="00182CC6">
        <w:rPr>
          <w:lang w:val="en-GB"/>
        </w:rPr>
        <w:t xml:space="preserve"> </w:t>
      </w:r>
    </w:p>
    <w:p w14:paraId="5D24AAFE" w14:textId="77777777" w:rsidR="00370300" w:rsidRPr="00182CC6" w:rsidRDefault="00370300" w:rsidP="00A67EC3">
      <w:pPr>
        <w:pStyle w:val="Els-body-text"/>
        <w:rPr>
          <w:lang w:val="en-GB"/>
        </w:rPr>
      </w:pPr>
    </w:p>
    <w:tbl>
      <w:tblPr>
        <w:tblStyle w:val="TableGrid"/>
        <w:tblW w:w="7087" w:type="dxa"/>
        <w:jc w:val="center"/>
        <w:tblLook w:val="04A0" w:firstRow="1" w:lastRow="0" w:firstColumn="1" w:lastColumn="0" w:noHBand="0" w:noVBand="1"/>
      </w:tblPr>
      <w:tblGrid>
        <w:gridCol w:w="3598"/>
        <w:gridCol w:w="3489"/>
      </w:tblGrid>
      <w:tr w:rsidR="00FC6F49" w:rsidRPr="00182CC6" w14:paraId="28648CC2" w14:textId="3C309FA0" w:rsidTr="00B57BC8">
        <w:trPr>
          <w:jc w:val="center"/>
        </w:trPr>
        <w:tc>
          <w:tcPr>
            <w:tcW w:w="7087" w:type="dxa"/>
            <w:gridSpan w:val="2"/>
            <w:tcBorders>
              <w:top w:val="nil"/>
              <w:left w:val="nil"/>
              <w:bottom w:val="nil"/>
              <w:right w:val="nil"/>
            </w:tcBorders>
          </w:tcPr>
          <w:p w14:paraId="7DB68481" w14:textId="6149CC70" w:rsidR="00FC6F49" w:rsidRPr="00182CC6" w:rsidRDefault="000E78D1" w:rsidP="00D91ACA">
            <w:pPr>
              <w:pStyle w:val="Els-body-text"/>
              <w:keepNext/>
              <w:spacing w:line="264" w:lineRule="auto"/>
              <w:jc w:val="center"/>
              <w:rPr>
                <w:sz w:val="18"/>
                <w:szCs w:val="18"/>
                <w:lang w:val="en-GB"/>
              </w:rPr>
            </w:pPr>
            <w:r w:rsidRPr="00182CC6">
              <w:rPr>
                <w:noProof/>
                <w:sz w:val="18"/>
                <w:szCs w:val="18"/>
                <w:lang w:val="en-GB"/>
              </w:rPr>
              <w:drawing>
                <wp:inline distT="0" distB="0" distL="0" distR="0" wp14:anchorId="395ACDC9" wp14:editId="52C30D71">
                  <wp:extent cx="2343150" cy="1195813"/>
                  <wp:effectExtent l="0" t="0" r="0" b="4445"/>
                  <wp:docPr id="7506993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3370" cy="1231649"/>
                          </a:xfrm>
                          <a:prstGeom prst="rect">
                            <a:avLst/>
                          </a:prstGeom>
                          <a:noFill/>
                        </pic:spPr>
                      </pic:pic>
                    </a:graphicData>
                  </a:graphic>
                </wp:inline>
              </w:drawing>
            </w:r>
          </w:p>
          <w:p w14:paraId="77E2B5E4" w14:textId="77777777" w:rsidR="00FC6F49" w:rsidRPr="00182CC6" w:rsidRDefault="00FC6F49" w:rsidP="00D91ACA">
            <w:pPr>
              <w:pStyle w:val="Els-body-text"/>
              <w:keepNext/>
              <w:spacing w:line="264" w:lineRule="auto"/>
              <w:jc w:val="center"/>
              <w:rPr>
                <w:sz w:val="18"/>
                <w:szCs w:val="18"/>
                <w:lang w:val="en-GB"/>
              </w:rPr>
            </w:pPr>
            <w:r w:rsidRPr="00182CC6">
              <w:rPr>
                <w:sz w:val="18"/>
                <w:szCs w:val="18"/>
                <w:lang w:val="en-GB"/>
              </w:rPr>
              <w:t>(a)</w:t>
            </w:r>
          </w:p>
          <w:p w14:paraId="30688EA6" w14:textId="310EEAB1" w:rsidR="00B31B0C" w:rsidRPr="00182CC6" w:rsidRDefault="00B31B0C" w:rsidP="00D91ACA">
            <w:pPr>
              <w:pStyle w:val="Els-body-text"/>
              <w:keepNext/>
              <w:spacing w:line="264" w:lineRule="auto"/>
              <w:jc w:val="center"/>
              <w:rPr>
                <w:noProof/>
                <w:sz w:val="18"/>
                <w:szCs w:val="18"/>
                <w:lang w:val="en-GB"/>
              </w:rPr>
            </w:pPr>
          </w:p>
        </w:tc>
      </w:tr>
      <w:tr w:rsidR="003D27F7" w:rsidRPr="00182CC6" w14:paraId="74099328" w14:textId="77777777" w:rsidTr="00D91ACA">
        <w:trPr>
          <w:trHeight w:val="1736"/>
          <w:jc w:val="center"/>
        </w:trPr>
        <w:tc>
          <w:tcPr>
            <w:tcW w:w="3505" w:type="dxa"/>
            <w:tcBorders>
              <w:top w:val="nil"/>
              <w:left w:val="nil"/>
              <w:bottom w:val="nil"/>
              <w:right w:val="nil"/>
            </w:tcBorders>
          </w:tcPr>
          <w:p w14:paraId="2C7FAED3" w14:textId="55ADFBD6" w:rsidR="00665B31" w:rsidRPr="00182CC6" w:rsidRDefault="003D27F7" w:rsidP="00D91ACA">
            <w:pPr>
              <w:pStyle w:val="Els-body-text"/>
              <w:keepNext/>
              <w:spacing w:line="264" w:lineRule="auto"/>
              <w:jc w:val="center"/>
              <w:rPr>
                <w:noProof/>
                <w:sz w:val="18"/>
                <w:szCs w:val="18"/>
                <w:lang w:val="en-GB"/>
              </w:rPr>
            </w:pPr>
            <w:r w:rsidRPr="00182CC6">
              <w:rPr>
                <w:noProof/>
                <w:sz w:val="18"/>
                <w:szCs w:val="18"/>
                <w:lang w:val="en-GB"/>
              </w:rPr>
              <w:drawing>
                <wp:inline distT="0" distB="0" distL="0" distR="0" wp14:anchorId="58655F02" wp14:editId="1AAF50FF">
                  <wp:extent cx="2187064" cy="1116353"/>
                  <wp:effectExtent l="0" t="0" r="3810" b="7620"/>
                  <wp:docPr id="9847388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7289" cy="1152198"/>
                          </a:xfrm>
                          <a:prstGeom prst="rect">
                            <a:avLst/>
                          </a:prstGeom>
                          <a:noFill/>
                        </pic:spPr>
                      </pic:pic>
                    </a:graphicData>
                  </a:graphic>
                </wp:inline>
              </w:drawing>
            </w:r>
          </w:p>
          <w:p w14:paraId="3D369A52" w14:textId="3CDE91BC" w:rsidR="00AC7556" w:rsidRPr="00182CC6" w:rsidRDefault="00AC7556" w:rsidP="00D91ACA">
            <w:pPr>
              <w:pStyle w:val="Els-body-text"/>
              <w:keepNext/>
              <w:spacing w:line="264" w:lineRule="auto"/>
              <w:jc w:val="center"/>
              <w:rPr>
                <w:noProof/>
                <w:sz w:val="18"/>
                <w:szCs w:val="18"/>
                <w:lang w:val="en-GB"/>
              </w:rPr>
            </w:pPr>
            <w:r w:rsidRPr="00182CC6">
              <w:rPr>
                <w:noProof/>
                <w:sz w:val="18"/>
                <w:szCs w:val="18"/>
                <w:lang w:val="en-GB"/>
              </w:rPr>
              <w:t>(b)</w:t>
            </w:r>
          </w:p>
        </w:tc>
        <w:tc>
          <w:tcPr>
            <w:tcW w:w="3582" w:type="dxa"/>
            <w:tcBorders>
              <w:top w:val="nil"/>
              <w:left w:val="nil"/>
              <w:bottom w:val="nil"/>
              <w:right w:val="nil"/>
            </w:tcBorders>
          </w:tcPr>
          <w:p w14:paraId="48D50EBC" w14:textId="0D2946BB" w:rsidR="00665B31" w:rsidRPr="00182CC6" w:rsidRDefault="00467873" w:rsidP="00D91ACA">
            <w:pPr>
              <w:pStyle w:val="Els-body-text"/>
              <w:keepNext/>
              <w:spacing w:line="264" w:lineRule="auto"/>
              <w:jc w:val="center"/>
              <w:rPr>
                <w:noProof/>
                <w:sz w:val="18"/>
                <w:szCs w:val="18"/>
                <w:lang w:val="en-GB"/>
              </w:rPr>
            </w:pPr>
            <w:r w:rsidRPr="00182CC6">
              <w:rPr>
                <w:noProof/>
                <w:sz w:val="18"/>
                <w:szCs w:val="18"/>
                <w:lang w:val="en-GB"/>
              </w:rPr>
              <w:drawing>
                <wp:inline distT="0" distB="0" distL="0" distR="0" wp14:anchorId="67503E88" wp14:editId="2EC019EC">
                  <wp:extent cx="2120411" cy="1110743"/>
                  <wp:effectExtent l="0" t="0" r="0" b="0"/>
                  <wp:docPr id="2122614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71815" cy="1137670"/>
                          </a:xfrm>
                          <a:prstGeom prst="rect">
                            <a:avLst/>
                          </a:prstGeom>
                          <a:noFill/>
                        </pic:spPr>
                      </pic:pic>
                    </a:graphicData>
                  </a:graphic>
                </wp:inline>
              </w:drawing>
            </w:r>
          </w:p>
          <w:p w14:paraId="72CB15A0" w14:textId="5C1168FF" w:rsidR="00FC6F49" w:rsidRPr="00182CC6" w:rsidRDefault="00FC6F49" w:rsidP="00D91ACA">
            <w:pPr>
              <w:pStyle w:val="Els-body-text"/>
              <w:keepNext/>
              <w:spacing w:line="264" w:lineRule="auto"/>
              <w:jc w:val="center"/>
              <w:rPr>
                <w:noProof/>
                <w:sz w:val="18"/>
                <w:szCs w:val="18"/>
                <w:lang w:val="en-GB"/>
              </w:rPr>
            </w:pPr>
            <w:r w:rsidRPr="00182CC6">
              <w:rPr>
                <w:noProof/>
                <w:sz w:val="18"/>
                <w:szCs w:val="18"/>
                <w:lang w:val="en-GB"/>
              </w:rPr>
              <w:t>(c)</w:t>
            </w:r>
          </w:p>
        </w:tc>
      </w:tr>
    </w:tbl>
    <w:p w14:paraId="613DE8E7" w14:textId="288B84A4" w:rsidR="005B487D" w:rsidRPr="00182CC6" w:rsidRDefault="00F7662F" w:rsidP="002E4158">
      <w:pPr>
        <w:pStyle w:val="Caption"/>
        <w:rPr>
          <w:lang w:val="en-GB"/>
        </w:rPr>
      </w:pPr>
      <w:bookmarkStart w:id="5" w:name="_Ref151019930"/>
      <w:r w:rsidRPr="00182CC6">
        <w:rPr>
          <w:lang w:val="en-GB"/>
        </w:rPr>
        <w:t xml:space="preserve">Figure </w:t>
      </w:r>
      <w:r w:rsidRPr="00182CC6">
        <w:rPr>
          <w:lang w:val="en-GB"/>
        </w:rPr>
        <w:fldChar w:fldCharType="begin"/>
      </w:r>
      <w:r w:rsidRPr="00182CC6">
        <w:rPr>
          <w:lang w:val="en-GB"/>
        </w:rPr>
        <w:instrText xml:space="preserve"> SEQ Figure \* ARABIC </w:instrText>
      </w:r>
      <w:r w:rsidRPr="00182CC6">
        <w:rPr>
          <w:lang w:val="en-GB"/>
        </w:rPr>
        <w:fldChar w:fldCharType="separate"/>
      </w:r>
      <w:r w:rsidR="00370300" w:rsidRPr="00182CC6">
        <w:rPr>
          <w:noProof/>
          <w:lang w:val="en-GB"/>
        </w:rPr>
        <w:t>4</w:t>
      </w:r>
      <w:r w:rsidRPr="00182CC6">
        <w:rPr>
          <w:lang w:val="en-GB"/>
        </w:rPr>
        <w:fldChar w:fldCharType="end"/>
      </w:r>
      <w:bookmarkEnd w:id="5"/>
      <w:r w:rsidRPr="00182CC6">
        <w:rPr>
          <w:lang w:val="en-GB"/>
        </w:rPr>
        <w:t xml:space="preserve"> – </w:t>
      </w:r>
      <w:r w:rsidR="008C0D16" w:rsidRPr="00182CC6">
        <w:rPr>
          <w:lang w:val="en-GB"/>
        </w:rPr>
        <w:t xml:space="preserve">(a) </w:t>
      </w:r>
      <w:r w:rsidR="003776E8" w:rsidRPr="00182CC6">
        <w:rPr>
          <w:lang w:val="en-GB"/>
        </w:rPr>
        <w:t>Approximate</w:t>
      </w:r>
      <w:r w:rsidRPr="00182CC6">
        <w:rPr>
          <w:lang w:val="en-GB"/>
        </w:rPr>
        <w:t xml:space="preserve"> pareto</w:t>
      </w:r>
      <w:r w:rsidR="008C0D16" w:rsidRPr="00182CC6">
        <w:rPr>
          <w:lang w:val="en-GB"/>
        </w:rPr>
        <w:t xml:space="preserve"> efficient</w:t>
      </w:r>
      <w:r w:rsidRPr="00182CC6">
        <w:rPr>
          <w:lang w:val="en-GB"/>
        </w:rPr>
        <w:t xml:space="preserve"> front</w:t>
      </w:r>
      <w:r w:rsidR="008C0D16" w:rsidRPr="00182CC6">
        <w:rPr>
          <w:lang w:val="en-GB"/>
        </w:rPr>
        <w:t>ier, (b) total donation quantity</w:t>
      </w:r>
      <w:r w:rsidR="00604401" w:rsidRPr="00182CC6">
        <w:rPr>
          <w:lang w:val="en-GB"/>
        </w:rPr>
        <w:t>,</w:t>
      </w:r>
      <w:r w:rsidR="0008400E" w:rsidRPr="00182CC6">
        <w:rPr>
          <w:lang w:val="en-GB"/>
        </w:rPr>
        <w:t xml:space="preserve"> and</w:t>
      </w:r>
      <w:r w:rsidR="00B53484" w:rsidRPr="00182CC6">
        <w:rPr>
          <w:lang w:val="en-GB"/>
        </w:rPr>
        <w:t xml:space="preserve"> (c) total waste generated</w:t>
      </w:r>
      <w:r w:rsidR="008C0D16" w:rsidRPr="00182CC6">
        <w:rPr>
          <w:lang w:val="en-GB"/>
        </w:rPr>
        <w:t xml:space="preserve"> for each </w:t>
      </w:r>
      <w:r w:rsidR="00B53484" w:rsidRPr="00182CC6">
        <w:rPr>
          <w:lang w:val="en-GB"/>
        </w:rPr>
        <w:t>pareto optimal solution</w:t>
      </w:r>
      <w:proofErr w:type="gramStart"/>
      <w:r w:rsidR="008C0D16" w:rsidRPr="00182CC6">
        <w:rPr>
          <w:lang w:val="en-GB"/>
        </w:rPr>
        <w:t xml:space="preserve">. </w:t>
      </w:r>
      <w:r w:rsidR="000F13E7" w:rsidRPr="00182CC6">
        <w:rPr>
          <w:lang w:val="en-GB"/>
        </w:rPr>
        <w:t xml:space="preserve"> </w:t>
      </w:r>
      <w:proofErr w:type="gramEnd"/>
    </w:p>
    <w:p w14:paraId="4BF86282" w14:textId="3F5BC85C" w:rsidR="001F0484" w:rsidRPr="00182CC6" w:rsidRDefault="001F0484" w:rsidP="001F0484">
      <w:pPr>
        <w:pStyle w:val="Els-body-text"/>
        <w:spacing w:after="120"/>
        <w:rPr>
          <w:lang w:val="en-GB"/>
        </w:rPr>
      </w:pPr>
      <w:r w:rsidRPr="00182CC6">
        <w:rPr>
          <w:lang w:val="en-GB"/>
        </w:rPr>
        <w:t xml:space="preserve">Considering this inventory level, the bi-objective MILP model </w:t>
      </w:r>
      <w:proofErr w:type="gramStart"/>
      <w:r w:rsidRPr="00182CC6">
        <w:rPr>
          <w:lang w:val="en-GB"/>
        </w:rPr>
        <w:t>was solved</w:t>
      </w:r>
      <w:proofErr w:type="gramEnd"/>
      <w:r w:rsidRPr="00182CC6">
        <w:rPr>
          <w:lang w:val="en-GB"/>
        </w:rPr>
        <w:t xml:space="preserve"> by the </w:t>
      </w:r>
      <w:r w:rsidRPr="00182CC6">
        <w:rPr>
          <w:lang w:val="en-GB"/>
        </w:rPr>
        <w:sym w:font="Symbol" w:char="F065"/>
      </w:r>
      <w:r w:rsidRPr="00182CC6">
        <w:rPr>
          <w:lang w:val="en-GB"/>
        </w:rPr>
        <w:t xml:space="preserve">-constraint method with the </w:t>
      </w:r>
      <w:r w:rsidRPr="00182CC6">
        <w:rPr>
          <w:i/>
          <w:iCs/>
          <w:lang w:val="en-GB"/>
        </w:rPr>
        <w:t>Profit</w:t>
      </w:r>
      <w:r w:rsidRPr="00182CC6">
        <w:rPr>
          <w:lang w:val="en-GB"/>
        </w:rPr>
        <w:t xml:space="preserve"> as the primary objective function. </w:t>
      </w:r>
      <w:r w:rsidR="00B95412" w:rsidRPr="00182CC6">
        <w:rPr>
          <w:lang w:val="en-GB"/>
        </w:rPr>
        <w:fldChar w:fldCharType="begin"/>
      </w:r>
      <w:r w:rsidR="00B95412" w:rsidRPr="00182CC6">
        <w:rPr>
          <w:lang w:val="en-GB"/>
        </w:rPr>
        <w:instrText xml:space="preserve"> REF _Ref151019930 \h  \* MERGEFORMAT </w:instrText>
      </w:r>
      <w:r w:rsidR="00B95412" w:rsidRPr="00182CC6">
        <w:rPr>
          <w:lang w:val="en-GB"/>
        </w:rPr>
      </w:r>
      <w:r w:rsidR="00B95412" w:rsidRPr="00182CC6">
        <w:rPr>
          <w:lang w:val="en-GB"/>
        </w:rPr>
        <w:fldChar w:fldCharType="separate"/>
      </w:r>
      <w:r w:rsidR="00B95412" w:rsidRPr="00182CC6">
        <w:rPr>
          <w:lang w:val="en-GB"/>
        </w:rPr>
        <w:t>Figure 4</w:t>
      </w:r>
      <w:r w:rsidR="00B95412" w:rsidRPr="00182CC6">
        <w:rPr>
          <w:lang w:val="en-GB"/>
        </w:rPr>
        <w:fldChar w:fldCharType="end"/>
      </w:r>
      <w:r w:rsidR="00B95412" w:rsidRPr="00182CC6">
        <w:rPr>
          <w:lang w:val="en-GB"/>
        </w:rPr>
        <w:t>(a)</w:t>
      </w:r>
      <w:r w:rsidR="00B93E97" w:rsidRPr="00182CC6">
        <w:rPr>
          <w:lang w:val="en-GB"/>
        </w:rPr>
        <w:t xml:space="preserve"> </w:t>
      </w:r>
      <w:r w:rsidR="00B95412" w:rsidRPr="00182CC6">
        <w:rPr>
          <w:lang w:val="en-GB"/>
        </w:rPr>
        <w:t xml:space="preserve">represents </w:t>
      </w:r>
      <w:r w:rsidRPr="00182CC6">
        <w:rPr>
          <w:lang w:val="en-GB"/>
        </w:rPr>
        <w:t>the pareto efficient frontier</w:t>
      </w:r>
      <w:r w:rsidR="00B95412" w:rsidRPr="00182CC6">
        <w:rPr>
          <w:lang w:val="en-GB"/>
        </w:rPr>
        <w:t>; and</w:t>
      </w:r>
      <w:r w:rsidRPr="00182CC6">
        <w:rPr>
          <w:lang w:val="en-GB"/>
        </w:rPr>
        <w:t xml:space="preserve"> </w:t>
      </w:r>
      <w:r w:rsidR="00B95412" w:rsidRPr="00182CC6">
        <w:rPr>
          <w:lang w:val="en-GB"/>
        </w:rPr>
        <w:fldChar w:fldCharType="begin"/>
      </w:r>
      <w:r w:rsidR="00B95412" w:rsidRPr="00182CC6">
        <w:rPr>
          <w:lang w:val="en-GB"/>
        </w:rPr>
        <w:instrText xml:space="preserve"> REF _Ref151019930 \h  \* MERGEFORMAT </w:instrText>
      </w:r>
      <w:r w:rsidR="00B95412" w:rsidRPr="00182CC6">
        <w:rPr>
          <w:lang w:val="en-GB"/>
        </w:rPr>
      </w:r>
      <w:r w:rsidR="00B95412" w:rsidRPr="00182CC6">
        <w:rPr>
          <w:lang w:val="en-GB"/>
        </w:rPr>
        <w:fldChar w:fldCharType="separate"/>
      </w:r>
      <w:r w:rsidR="00B95412" w:rsidRPr="00182CC6">
        <w:rPr>
          <w:lang w:val="en-GB"/>
        </w:rPr>
        <w:t>Figure 4</w:t>
      </w:r>
      <w:r w:rsidR="00B95412" w:rsidRPr="00182CC6">
        <w:rPr>
          <w:lang w:val="en-GB"/>
        </w:rPr>
        <w:fldChar w:fldCharType="end"/>
      </w:r>
      <w:r w:rsidR="00B95412" w:rsidRPr="00182CC6">
        <w:rPr>
          <w:lang w:val="en-GB"/>
        </w:rPr>
        <w:t xml:space="preserve">(b) and </w:t>
      </w:r>
      <w:r w:rsidR="00B95412" w:rsidRPr="00182CC6">
        <w:rPr>
          <w:lang w:val="en-GB"/>
        </w:rPr>
        <w:fldChar w:fldCharType="begin"/>
      </w:r>
      <w:r w:rsidR="00B95412" w:rsidRPr="00182CC6">
        <w:rPr>
          <w:lang w:val="en-GB"/>
        </w:rPr>
        <w:instrText xml:space="preserve"> REF _Ref151019930 \h  \* MERGEFORMAT </w:instrText>
      </w:r>
      <w:r w:rsidR="00B95412" w:rsidRPr="00182CC6">
        <w:rPr>
          <w:lang w:val="en-GB"/>
        </w:rPr>
      </w:r>
      <w:r w:rsidR="00B95412" w:rsidRPr="00182CC6">
        <w:rPr>
          <w:lang w:val="en-GB"/>
        </w:rPr>
        <w:fldChar w:fldCharType="separate"/>
      </w:r>
      <w:r w:rsidR="00B95412" w:rsidRPr="00182CC6">
        <w:rPr>
          <w:lang w:val="en-GB"/>
        </w:rPr>
        <w:t xml:space="preserve">Figure </w:t>
      </w:r>
      <w:r w:rsidR="00B95412" w:rsidRPr="00182CC6">
        <w:rPr>
          <w:noProof/>
          <w:lang w:val="en-GB"/>
        </w:rPr>
        <w:t>4</w:t>
      </w:r>
      <w:r w:rsidR="00B95412" w:rsidRPr="00182CC6">
        <w:rPr>
          <w:lang w:val="en-GB"/>
        </w:rPr>
        <w:fldChar w:fldCharType="end"/>
      </w:r>
      <w:r w:rsidR="00B95412" w:rsidRPr="00182CC6">
        <w:rPr>
          <w:lang w:val="en-GB"/>
        </w:rPr>
        <w:t xml:space="preserve"> (c) show</w:t>
      </w:r>
      <w:r w:rsidRPr="00182CC6">
        <w:rPr>
          <w:lang w:val="en-GB"/>
        </w:rPr>
        <w:t xml:space="preserve"> the main results regarding total donation amounts and waste generation</w:t>
      </w:r>
      <w:r w:rsidR="00B95412" w:rsidRPr="00182CC6">
        <w:rPr>
          <w:lang w:val="en-GB"/>
        </w:rPr>
        <w:t xml:space="preserve"> respectively,</w:t>
      </w:r>
      <w:r w:rsidRPr="00182CC6">
        <w:rPr>
          <w:lang w:val="en-GB"/>
        </w:rPr>
        <w:t xml:space="preserve"> for the different pareto optimal solutions. The preliminary results show that when profit is prioritized, as expected, some waste is generated, </w:t>
      </w:r>
      <w:proofErr w:type="gramStart"/>
      <w:r w:rsidRPr="00182CC6">
        <w:rPr>
          <w:lang w:val="en-GB"/>
        </w:rPr>
        <w:t>almost entirely</w:t>
      </w:r>
      <w:proofErr w:type="gramEnd"/>
      <w:r w:rsidRPr="00182CC6">
        <w:rPr>
          <w:lang w:val="en-GB"/>
        </w:rPr>
        <w:t xml:space="preserve"> due to market deliveries close to expiration. In this case, the model seems to follow a First Expired, First Out (FEFO) approach to manage the age-based inventory at the </w:t>
      </w:r>
      <w:r w:rsidR="00B53484" w:rsidRPr="00182CC6">
        <w:rPr>
          <w:lang w:val="en-GB"/>
        </w:rPr>
        <w:t>secondary manufacturers</w:t>
      </w:r>
      <w:r w:rsidRPr="00182CC6">
        <w:rPr>
          <w:lang w:val="en-GB"/>
        </w:rPr>
        <w:t>. On the other hand, when the social benefit objective is prioritized, the waste generated becomes zero</w:t>
      </w:r>
      <w:r w:rsidR="00E31220" w:rsidRPr="00182CC6">
        <w:rPr>
          <w:lang w:val="en-GB"/>
        </w:rPr>
        <w:t xml:space="preserve"> at a certain point</w:t>
      </w:r>
      <w:r w:rsidRPr="00182CC6">
        <w:rPr>
          <w:lang w:val="en-GB"/>
        </w:rPr>
        <w:t xml:space="preserve"> and the product donations increase. It is interesting to note that</w:t>
      </w:r>
      <w:r w:rsidR="00B95412" w:rsidRPr="00182CC6">
        <w:rPr>
          <w:lang w:val="en-GB"/>
        </w:rPr>
        <w:t xml:space="preserve"> when</w:t>
      </w:r>
      <w:r w:rsidRPr="00182CC6">
        <w:rPr>
          <w:lang w:val="en-GB"/>
        </w:rPr>
        <w:t xml:space="preserve"> increasing the importance of social benefit, the inventory management changes from FEFO to a strategy </w:t>
      </w:r>
      <w:r w:rsidRPr="0087479A">
        <w:rPr>
          <w:lang w:val="en-GB"/>
        </w:rPr>
        <w:t xml:space="preserve">more </w:t>
      </w:r>
      <w:proofErr w:type="gramStart"/>
      <w:r w:rsidRPr="0087479A">
        <w:rPr>
          <w:lang w:val="en-GB"/>
        </w:rPr>
        <w:t>similar to</w:t>
      </w:r>
      <w:proofErr w:type="gramEnd"/>
      <w:r w:rsidRPr="0087479A">
        <w:rPr>
          <w:lang w:val="en-GB"/>
        </w:rPr>
        <w:t xml:space="preserve"> Last Expired, First Out</w:t>
      </w:r>
      <w:r w:rsidR="00574918" w:rsidRPr="0087479A">
        <w:rPr>
          <w:lang w:val="en-GB"/>
        </w:rPr>
        <w:t xml:space="preserve"> (LEFO)</w:t>
      </w:r>
      <w:r w:rsidRPr="0087479A">
        <w:rPr>
          <w:lang w:val="en-GB"/>
        </w:rPr>
        <w:t xml:space="preserve">. This </w:t>
      </w:r>
      <w:r w:rsidR="00B95412" w:rsidRPr="0087479A">
        <w:rPr>
          <w:lang w:val="en-GB"/>
        </w:rPr>
        <w:t xml:space="preserve">is </w:t>
      </w:r>
      <w:r w:rsidRPr="0087479A">
        <w:rPr>
          <w:lang w:val="en-GB"/>
        </w:rPr>
        <w:t xml:space="preserve">due to the extra </w:t>
      </w:r>
      <w:r w:rsidR="00C43E1F" w:rsidRPr="0087479A">
        <w:rPr>
          <w:lang w:val="en-GB"/>
        </w:rPr>
        <w:t xml:space="preserve">transportation </w:t>
      </w:r>
      <w:r w:rsidRPr="0087479A">
        <w:rPr>
          <w:lang w:val="en-GB"/>
        </w:rPr>
        <w:t xml:space="preserve">costs associated to the reverse flows from market to the donation </w:t>
      </w:r>
      <w:r w:rsidR="00DE5447" w:rsidRPr="0087479A">
        <w:rPr>
          <w:lang w:val="en-GB"/>
        </w:rPr>
        <w:t>centres</w:t>
      </w:r>
      <w:r w:rsidR="001C1F72" w:rsidRPr="0087479A">
        <w:rPr>
          <w:lang w:val="en-GB"/>
        </w:rPr>
        <w:t xml:space="preserve">. Therefore, the model </w:t>
      </w:r>
      <w:r w:rsidR="00DE5447" w:rsidRPr="0087479A">
        <w:rPr>
          <w:lang w:val="en-GB"/>
        </w:rPr>
        <w:t>favours</w:t>
      </w:r>
      <w:r w:rsidR="001C1F72" w:rsidRPr="0087479A">
        <w:rPr>
          <w:lang w:val="en-GB"/>
        </w:rPr>
        <w:t xml:space="preserve"> the</w:t>
      </w:r>
      <w:r w:rsidR="001C1F72" w:rsidRPr="00182CC6">
        <w:rPr>
          <w:lang w:val="en-GB"/>
        </w:rPr>
        <w:t xml:space="preserve"> “close to expire” products</w:t>
      </w:r>
      <w:r w:rsidR="00574918" w:rsidRPr="00182CC6">
        <w:rPr>
          <w:lang w:val="en-GB"/>
        </w:rPr>
        <w:t xml:space="preserve"> </w:t>
      </w:r>
      <w:r w:rsidR="00704817" w:rsidRPr="00182CC6">
        <w:rPr>
          <w:lang w:val="en-GB"/>
        </w:rPr>
        <w:t>to</w:t>
      </w:r>
      <w:r w:rsidR="00574918" w:rsidRPr="00182CC6">
        <w:rPr>
          <w:lang w:val="en-GB"/>
        </w:rPr>
        <w:t xml:space="preserve"> take place still in the secondary </w:t>
      </w:r>
      <w:r w:rsidR="00704817" w:rsidRPr="00182CC6">
        <w:rPr>
          <w:lang w:val="en-GB"/>
        </w:rPr>
        <w:t>manufacturers leading to an increase in</w:t>
      </w:r>
      <w:r w:rsidRPr="00182CC6">
        <w:rPr>
          <w:lang w:val="en-GB"/>
        </w:rPr>
        <w:t xml:space="preserve"> donations directly from the SM instead of from the market.</w:t>
      </w:r>
    </w:p>
    <w:p w14:paraId="144DE6BA" w14:textId="3AC6BED7" w:rsidR="008D2649" w:rsidRPr="00182CC6" w:rsidRDefault="008D2649" w:rsidP="00CC0C14">
      <w:pPr>
        <w:pStyle w:val="Els-1storder-head"/>
        <w:rPr>
          <w:lang w:val="en-GB"/>
        </w:rPr>
      </w:pPr>
      <w:r w:rsidRPr="00182CC6">
        <w:rPr>
          <w:lang w:val="en-GB"/>
        </w:rPr>
        <w:lastRenderedPageBreak/>
        <w:t>Conclusions</w:t>
      </w:r>
      <w:r w:rsidR="008C005D" w:rsidRPr="00182CC6">
        <w:rPr>
          <w:lang w:val="en-GB"/>
        </w:rPr>
        <w:t xml:space="preserve"> and Future Work</w:t>
      </w:r>
    </w:p>
    <w:p w14:paraId="16253169" w14:textId="7A7AD8DA" w:rsidR="008D6F46" w:rsidRPr="00182CC6" w:rsidRDefault="00442F7A" w:rsidP="00BF759B">
      <w:pPr>
        <w:pStyle w:val="Els-body-text"/>
        <w:rPr>
          <w:lang w:val="en-GB"/>
        </w:rPr>
      </w:pPr>
      <w:r w:rsidRPr="00182CC6">
        <w:rPr>
          <w:lang w:val="en-GB"/>
        </w:rPr>
        <w:t>This paper presents an innovative</w:t>
      </w:r>
      <w:r w:rsidR="0066753B" w:rsidRPr="00182CC6">
        <w:rPr>
          <w:lang w:val="en-GB"/>
        </w:rPr>
        <w:t xml:space="preserve"> hybrid simulation-optimization</w:t>
      </w:r>
      <w:r w:rsidRPr="00182CC6">
        <w:rPr>
          <w:lang w:val="en-GB"/>
        </w:rPr>
        <w:t xml:space="preserve"> approach</w:t>
      </w:r>
      <w:r w:rsidR="009701CD" w:rsidRPr="00182CC6">
        <w:rPr>
          <w:lang w:val="en-GB"/>
        </w:rPr>
        <w:t xml:space="preserve"> </w:t>
      </w:r>
      <w:r w:rsidRPr="00182CC6">
        <w:rPr>
          <w:lang w:val="en-GB"/>
        </w:rPr>
        <w:t xml:space="preserve">to tackle </w:t>
      </w:r>
      <w:r w:rsidR="00132639" w:rsidRPr="00182CC6">
        <w:rPr>
          <w:lang w:val="en-GB"/>
        </w:rPr>
        <w:t xml:space="preserve">both </w:t>
      </w:r>
      <w:r w:rsidR="00743FF4" w:rsidRPr="00182CC6">
        <w:rPr>
          <w:lang w:val="en-GB"/>
        </w:rPr>
        <w:t>resiliency and sustainability</w:t>
      </w:r>
      <w:r w:rsidR="00132639" w:rsidRPr="00182CC6">
        <w:rPr>
          <w:lang w:val="en-GB"/>
        </w:rPr>
        <w:t xml:space="preserve"> </w:t>
      </w:r>
      <w:r w:rsidR="00E8754D" w:rsidRPr="00182CC6">
        <w:rPr>
          <w:lang w:val="en-GB"/>
        </w:rPr>
        <w:t>aspects</w:t>
      </w:r>
      <w:r w:rsidR="00952CC5" w:rsidRPr="00182CC6">
        <w:rPr>
          <w:lang w:val="en-GB"/>
        </w:rPr>
        <w:t xml:space="preserve"> </w:t>
      </w:r>
      <w:r w:rsidR="00E8754D" w:rsidRPr="00182CC6">
        <w:rPr>
          <w:lang w:val="en-GB"/>
        </w:rPr>
        <w:t xml:space="preserve">in </w:t>
      </w:r>
      <w:r w:rsidR="00922565" w:rsidRPr="00182CC6">
        <w:rPr>
          <w:lang w:val="en-GB"/>
        </w:rPr>
        <w:t>P</w:t>
      </w:r>
      <w:r w:rsidR="005941A7" w:rsidRPr="00182CC6">
        <w:rPr>
          <w:lang w:val="en-GB"/>
        </w:rPr>
        <w:t>SC</w:t>
      </w:r>
      <w:r w:rsidR="00E8754D" w:rsidRPr="00182CC6">
        <w:rPr>
          <w:lang w:val="en-GB"/>
        </w:rPr>
        <w:t xml:space="preserve"> </w:t>
      </w:r>
      <w:r w:rsidR="00132639" w:rsidRPr="00182CC6">
        <w:rPr>
          <w:lang w:val="en-GB"/>
        </w:rPr>
        <w:t>operations</w:t>
      </w:r>
      <w:r w:rsidR="0066753B" w:rsidRPr="00182CC6">
        <w:rPr>
          <w:lang w:val="en-GB"/>
        </w:rPr>
        <w:t>.</w:t>
      </w:r>
      <w:r w:rsidR="00F80C15" w:rsidRPr="00182CC6">
        <w:rPr>
          <w:lang w:val="en-GB"/>
        </w:rPr>
        <w:t xml:space="preserve"> </w:t>
      </w:r>
      <w:r w:rsidR="008C6861" w:rsidRPr="00182CC6">
        <w:rPr>
          <w:lang w:val="en-GB"/>
        </w:rPr>
        <w:t xml:space="preserve">While </w:t>
      </w:r>
      <w:r w:rsidR="006E5504" w:rsidRPr="00182CC6">
        <w:rPr>
          <w:lang w:val="en-GB"/>
        </w:rPr>
        <w:t>simulation</w:t>
      </w:r>
      <w:r w:rsidR="00922565" w:rsidRPr="00182CC6">
        <w:rPr>
          <w:lang w:val="en-GB"/>
        </w:rPr>
        <w:t>, under</w:t>
      </w:r>
      <w:r w:rsidR="006E5504" w:rsidRPr="00182CC6">
        <w:rPr>
          <w:lang w:val="en-GB"/>
        </w:rPr>
        <w:t xml:space="preserve"> different disruptive scenarios</w:t>
      </w:r>
      <w:r w:rsidR="00922565" w:rsidRPr="00182CC6">
        <w:rPr>
          <w:lang w:val="en-GB"/>
        </w:rPr>
        <w:t xml:space="preserve">, </w:t>
      </w:r>
      <w:proofErr w:type="gramStart"/>
      <w:r w:rsidR="00922565" w:rsidRPr="00182CC6">
        <w:rPr>
          <w:lang w:val="en-GB"/>
        </w:rPr>
        <w:t>is able to</w:t>
      </w:r>
      <w:proofErr w:type="gramEnd"/>
      <w:r w:rsidR="00922565" w:rsidRPr="00182CC6">
        <w:rPr>
          <w:lang w:val="en-GB"/>
        </w:rPr>
        <w:t xml:space="preserve"> select the inventory</w:t>
      </w:r>
      <w:r w:rsidR="00C377E3" w:rsidRPr="00182CC6">
        <w:rPr>
          <w:lang w:val="en-GB"/>
        </w:rPr>
        <w:t xml:space="preserve"> policy </w:t>
      </w:r>
      <w:r w:rsidR="00282124" w:rsidRPr="00182CC6">
        <w:rPr>
          <w:lang w:val="en-GB"/>
        </w:rPr>
        <w:t>that best performs in terms of resiliency</w:t>
      </w:r>
      <w:r w:rsidR="00794D8E" w:rsidRPr="00182CC6">
        <w:rPr>
          <w:lang w:val="en-GB"/>
        </w:rPr>
        <w:t xml:space="preserve">, optimization is used to </w:t>
      </w:r>
      <w:r w:rsidR="00EE02AF" w:rsidRPr="00182CC6">
        <w:rPr>
          <w:lang w:val="en-GB"/>
        </w:rPr>
        <w:t>refine</w:t>
      </w:r>
      <w:r w:rsidR="00B705E9" w:rsidRPr="00182CC6">
        <w:rPr>
          <w:lang w:val="en-GB"/>
        </w:rPr>
        <w:t xml:space="preserve"> </w:t>
      </w:r>
      <w:r w:rsidR="00B96F93" w:rsidRPr="00182CC6">
        <w:rPr>
          <w:lang w:val="en-GB"/>
        </w:rPr>
        <w:t>th</w:t>
      </w:r>
      <w:r w:rsidR="00E37C1A" w:rsidRPr="00182CC6">
        <w:rPr>
          <w:lang w:val="en-GB"/>
        </w:rPr>
        <w:t>is</w:t>
      </w:r>
      <w:r w:rsidR="00B96F93" w:rsidRPr="00182CC6">
        <w:rPr>
          <w:lang w:val="en-GB"/>
        </w:rPr>
        <w:t xml:space="preserve"> </w:t>
      </w:r>
      <w:r w:rsidR="00E37C1A" w:rsidRPr="00182CC6">
        <w:rPr>
          <w:lang w:val="en-GB"/>
        </w:rPr>
        <w:t>policy</w:t>
      </w:r>
      <w:r w:rsidR="00B96F93" w:rsidRPr="00182CC6">
        <w:rPr>
          <w:lang w:val="en-GB"/>
        </w:rPr>
        <w:t xml:space="preserve"> and </w:t>
      </w:r>
      <w:r w:rsidR="00614D14" w:rsidRPr="00182CC6">
        <w:rPr>
          <w:lang w:val="en-GB"/>
        </w:rPr>
        <w:t>determine optimal production and distribution plans</w:t>
      </w:r>
      <w:r w:rsidR="00F167E2" w:rsidRPr="00182CC6">
        <w:rPr>
          <w:lang w:val="en-GB"/>
        </w:rPr>
        <w:t xml:space="preserve"> for improved sustainable operations.</w:t>
      </w:r>
      <w:r w:rsidR="00513561" w:rsidRPr="00182CC6">
        <w:rPr>
          <w:lang w:val="en-GB"/>
        </w:rPr>
        <w:t xml:space="preserve"> </w:t>
      </w:r>
      <w:r w:rsidR="006819B8" w:rsidRPr="00182CC6">
        <w:rPr>
          <w:lang w:val="en-GB"/>
        </w:rPr>
        <w:t xml:space="preserve">Preliminary results </w:t>
      </w:r>
      <w:r w:rsidR="00F135CF" w:rsidRPr="00182CC6">
        <w:rPr>
          <w:lang w:val="en-GB"/>
        </w:rPr>
        <w:t>show the potential of this approach in</w:t>
      </w:r>
      <w:r w:rsidR="00A8730C" w:rsidRPr="00182CC6">
        <w:rPr>
          <w:lang w:val="en-GB"/>
        </w:rPr>
        <w:t xml:space="preserve"> understanding the</w:t>
      </w:r>
      <w:r w:rsidR="00614D14" w:rsidRPr="00182CC6">
        <w:rPr>
          <w:lang w:val="en-GB"/>
        </w:rPr>
        <w:t xml:space="preserve"> relevant </w:t>
      </w:r>
      <w:r w:rsidR="00DE5447" w:rsidRPr="00182CC6">
        <w:rPr>
          <w:lang w:val="en-GB"/>
        </w:rPr>
        <w:t>trade-offs</w:t>
      </w:r>
      <w:r w:rsidR="00614D14" w:rsidRPr="00182CC6">
        <w:rPr>
          <w:lang w:val="en-GB"/>
        </w:rPr>
        <w:t xml:space="preserve"> between resiliency and sustainability</w:t>
      </w:r>
      <w:r w:rsidR="00A8730C" w:rsidRPr="00182CC6">
        <w:rPr>
          <w:lang w:val="en-GB"/>
        </w:rPr>
        <w:t xml:space="preserve">, and how to </w:t>
      </w:r>
      <w:r w:rsidR="00B11A75" w:rsidRPr="00182CC6">
        <w:rPr>
          <w:lang w:val="en-GB"/>
        </w:rPr>
        <w:t>exploit</w:t>
      </w:r>
      <w:r w:rsidR="00E91413" w:rsidRPr="00182CC6">
        <w:rPr>
          <w:lang w:val="en-GB"/>
        </w:rPr>
        <w:t xml:space="preserve"> them </w:t>
      </w:r>
      <w:r w:rsidR="007B3244" w:rsidRPr="00182CC6">
        <w:rPr>
          <w:lang w:val="en-GB"/>
        </w:rPr>
        <w:t>to raise</w:t>
      </w:r>
      <w:r w:rsidR="00E91413" w:rsidRPr="00182CC6">
        <w:rPr>
          <w:lang w:val="en-GB"/>
        </w:rPr>
        <w:t xml:space="preserve"> </w:t>
      </w:r>
      <w:r w:rsidR="0077361B" w:rsidRPr="00182CC6">
        <w:rPr>
          <w:lang w:val="en-GB"/>
        </w:rPr>
        <w:t xml:space="preserve">a positive </w:t>
      </w:r>
      <w:r w:rsidR="00E91413" w:rsidRPr="00182CC6">
        <w:rPr>
          <w:lang w:val="en-GB"/>
        </w:rPr>
        <w:t>social</w:t>
      </w:r>
      <w:r w:rsidR="0077361B" w:rsidRPr="00182CC6">
        <w:rPr>
          <w:lang w:val="en-GB"/>
        </w:rPr>
        <w:t xml:space="preserve"> and environmenta</w:t>
      </w:r>
      <w:r w:rsidR="0078718D" w:rsidRPr="00182CC6">
        <w:rPr>
          <w:lang w:val="en-GB"/>
        </w:rPr>
        <w:t>l</w:t>
      </w:r>
      <w:r w:rsidR="00E91413" w:rsidRPr="00182CC6">
        <w:rPr>
          <w:lang w:val="en-GB"/>
        </w:rPr>
        <w:t xml:space="preserve"> </w:t>
      </w:r>
      <w:r w:rsidR="007B3244" w:rsidRPr="00182CC6">
        <w:rPr>
          <w:lang w:val="en-GB"/>
        </w:rPr>
        <w:t>impact</w:t>
      </w:r>
      <w:r w:rsidR="00724F64" w:rsidRPr="00182CC6">
        <w:rPr>
          <w:lang w:val="en-GB"/>
        </w:rPr>
        <w:t>.</w:t>
      </w:r>
      <w:r w:rsidR="00165330" w:rsidRPr="00182CC6">
        <w:rPr>
          <w:lang w:val="en-GB"/>
        </w:rPr>
        <w:t xml:space="preserve"> </w:t>
      </w:r>
      <w:r w:rsidR="00A27983" w:rsidRPr="00182CC6">
        <w:rPr>
          <w:lang w:val="en-GB"/>
        </w:rPr>
        <w:t xml:space="preserve">In </w:t>
      </w:r>
      <w:r w:rsidR="00B95412" w:rsidRPr="00182CC6">
        <w:rPr>
          <w:lang w:val="en-GB"/>
        </w:rPr>
        <w:t>fact</w:t>
      </w:r>
      <w:r w:rsidR="00A27983" w:rsidRPr="00182CC6">
        <w:rPr>
          <w:lang w:val="en-GB"/>
        </w:rPr>
        <w:t xml:space="preserve">, the </w:t>
      </w:r>
      <w:r w:rsidR="001159CE" w:rsidRPr="00182CC6">
        <w:rPr>
          <w:lang w:val="en-GB"/>
        </w:rPr>
        <w:t>developed methodology</w:t>
      </w:r>
      <w:r w:rsidR="00A27983" w:rsidRPr="00182CC6">
        <w:rPr>
          <w:lang w:val="en-GB"/>
        </w:rPr>
        <w:t xml:space="preserve"> proved to be </w:t>
      </w:r>
      <w:r w:rsidR="00E16F46" w:rsidRPr="00182CC6">
        <w:rPr>
          <w:lang w:val="en-GB"/>
        </w:rPr>
        <w:t>instrumental</w:t>
      </w:r>
      <w:r w:rsidR="004148B8" w:rsidRPr="00182CC6">
        <w:rPr>
          <w:lang w:val="en-GB"/>
        </w:rPr>
        <w:t xml:space="preserve"> for decision-support </w:t>
      </w:r>
      <w:r w:rsidR="00D81B65" w:rsidRPr="00182CC6">
        <w:rPr>
          <w:lang w:val="en-GB"/>
        </w:rPr>
        <w:t xml:space="preserve">regarding enhanced supply chain </w:t>
      </w:r>
      <w:r w:rsidR="004148B8" w:rsidRPr="00182CC6">
        <w:rPr>
          <w:lang w:val="en-GB"/>
        </w:rPr>
        <w:t>resiliency and sustainability</w:t>
      </w:r>
      <w:r w:rsidR="00D81B65" w:rsidRPr="00182CC6">
        <w:rPr>
          <w:lang w:val="en-GB"/>
        </w:rPr>
        <w:t xml:space="preserve">. Moreover, </w:t>
      </w:r>
      <w:r w:rsidR="00890842" w:rsidRPr="00182CC6">
        <w:rPr>
          <w:lang w:val="en-GB"/>
        </w:rPr>
        <w:t xml:space="preserve">a </w:t>
      </w:r>
      <w:r w:rsidR="00D81B65" w:rsidRPr="00182CC6">
        <w:rPr>
          <w:lang w:val="en-GB"/>
        </w:rPr>
        <w:t xml:space="preserve">clear </w:t>
      </w:r>
      <w:r w:rsidR="00DE5447" w:rsidRPr="00182CC6">
        <w:rPr>
          <w:lang w:val="en-GB"/>
        </w:rPr>
        <w:t>trade-off</w:t>
      </w:r>
      <w:r w:rsidR="00D81B65" w:rsidRPr="00182CC6">
        <w:rPr>
          <w:lang w:val="en-GB"/>
        </w:rPr>
        <w:t xml:space="preserve"> </w:t>
      </w:r>
      <w:r w:rsidR="00890842" w:rsidRPr="00182CC6">
        <w:rPr>
          <w:lang w:val="en-GB"/>
        </w:rPr>
        <w:t xml:space="preserve">between </w:t>
      </w:r>
      <w:r w:rsidR="00F049F8" w:rsidRPr="00182CC6">
        <w:rPr>
          <w:lang w:val="en-GB"/>
        </w:rPr>
        <w:t>the economic and social dimension</w:t>
      </w:r>
      <w:r w:rsidR="00B61AED" w:rsidRPr="00182CC6">
        <w:rPr>
          <w:lang w:val="en-GB"/>
        </w:rPr>
        <w:t>s</w:t>
      </w:r>
      <w:r w:rsidR="00F049F8" w:rsidRPr="00182CC6">
        <w:rPr>
          <w:lang w:val="en-GB"/>
        </w:rPr>
        <w:t xml:space="preserve"> </w:t>
      </w:r>
      <w:r w:rsidR="00890842" w:rsidRPr="00182CC6">
        <w:rPr>
          <w:lang w:val="en-GB"/>
        </w:rPr>
        <w:t>was observed</w:t>
      </w:r>
      <w:r w:rsidR="00B95412" w:rsidRPr="00182CC6">
        <w:rPr>
          <w:lang w:val="en-GB"/>
        </w:rPr>
        <w:t>,</w:t>
      </w:r>
      <w:r w:rsidR="00890842" w:rsidRPr="00182CC6">
        <w:rPr>
          <w:lang w:val="en-GB"/>
        </w:rPr>
        <w:t xml:space="preserve"> as well as </w:t>
      </w:r>
      <w:r w:rsidR="00F049F8" w:rsidRPr="00182CC6">
        <w:rPr>
          <w:lang w:val="en-GB"/>
        </w:rPr>
        <w:t>their impact on waste generation</w:t>
      </w:r>
      <w:r w:rsidR="00443DAE" w:rsidRPr="00182CC6">
        <w:rPr>
          <w:lang w:val="en-GB"/>
        </w:rPr>
        <w:t>.</w:t>
      </w:r>
      <w:r w:rsidR="00960A58" w:rsidRPr="00182CC6">
        <w:rPr>
          <w:lang w:val="en-GB"/>
        </w:rPr>
        <w:t xml:space="preserve"> </w:t>
      </w:r>
      <w:r w:rsidR="009454AD" w:rsidRPr="00182CC6">
        <w:rPr>
          <w:lang w:val="en-GB"/>
        </w:rPr>
        <w:t xml:space="preserve">Future work </w:t>
      </w:r>
      <w:r w:rsidR="003D4270" w:rsidRPr="00182CC6">
        <w:rPr>
          <w:lang w:val="en-GB"/>
        </w:rPr>
        <w:t>will</w:t>
      </w:r>
      <w:r w:rsidR="008F6DB8" w:rsidRPr="00182CC6">
        <w:rPr>
          <w:lang w:val="en-GB"/>
        </w:rPr>
        <w:t xml:space="preserve"> </w:t>
      </w:r>
      <w:r w:rsidR="00A64080" w:rsidRPr="00182CC6">
        <w:rPr>
          <w:lang w:val="en-GB"/>
        </w:rPr>
        <w:t xml:space="preserve">focus on </w:t>
      </w:r>
      <w:r w:rsidR="00013447" w:rsidRPr="00182CC6">
        <w:rPr>
          <w:lang w:val="en-GB"/>
        </w:rPr>
        <w:t>extending</w:t>
      </w:r>
      <w:r w:rsidR="003D4270" w:rsidRPr="00182CC6">
        <w:rPr>
          <w:lang w:val="en-GB"/>
        </w:rPr>
        <w:t xml:space="preserve"> the </w:t>
      </w:r>
      <w:r w:rsidR="00545B14" w:rsidRPr="00182CC6">
        <w:rPr>
          <w:lang w:val="en-GB"/>
        </w:rPr>
        <w:t>pharmaceutical supply chain</w:t>
      </w:r>
      <w:r w:rsidR="003D4270" w:rsidRPr="00182CC6">
        <w:rPr>
          <w:lang w:val="en-GB"/>
        </w:rPr>
        <w:t xml:space="preserve"> to</w:t>
      </w:r>
      <w:r w:rsidR="003B4AA6" w:rsidRPr="00182CC6">
        <w:rPr>
          <w:lang w:val="en-GB"/>
        </w:rPr>
        <w:t xml:space="preserve"> a 4-ech</w:t>
      </w:r>
      <w:r w:rsidR="00922565" w:rsidRPr="00182CC6">
        <w:rPr>
          <w:lang w:val="en-GB"/>
        </w:rPr>
        <w:t>e</w:t>
      </w:r>
      <w:r w:rsidR="003B4AA6" w:rsidRPr="00182CC6">
        <w:rPr>
          <w:lang w:val="en-GB"/>
        </w:rPr>
        <w:t xml:space="preserve">lon </w:t>
      </w:r>
      <w:r w:rsidR="003D4270" w:rsidRPr="00182CC6">
        <w:rPr>
          <w:lang w:val="en-GB"/>
        </w:rPr>
        <w:t>structure</w:t>
      </w:r>
      <w:r w:rsidR="003B4AA6" w:rsidRPr="00182CC6">
        <w:rPr>
          <w:lang w:val="en-GB"/>
        </w:rPr>
        <w:t xml:space="preserve"> to</w:t>
      </w:r>
      <w:r w:rsidR="00A64080" w:rsidRPr="00182CC6">
        <w:rPr>
          <w:lang w:val="en-GB"/>
        </w:rPr>
        <w:t xml:space="preserve"> include the wholesalers as </w:t>
      </w:r>
      <w:r w:rsidR="00EE74CF" w:rsidRPr="00182CC6">
        <w:rPr>
          <w:lang w:val="en-GB"/>
        </w:rPr>
        <w:t xml:space="preserve">key players in </w:t>
      </w:r>
      <w:r w:rsidR="00965925" w:rsidRPr="00182CC6">
        <w:rPr>
          <w:lang w:val="en-GB"/>
        </w:rPr>
        <w:t xml:space="preserve">a </w:t>
      </w:r>
      <w:r w:rsidR="00B74C87" w:rsidRPr="00182CC6">
        <w:rPr>
          <w:lang w:val="en-GB"/>
        </w:rPr>
        <w:t xml:space="preserve">foreseen </w:t>
      </w:r>
      <w:r w:rsidR="00965925" w:rsidRPr="00182CC6">
        <w:rPr>
          <w:lang w:val="en-GB"/>
        </w:rPr>
        <w:t xml:space="preserve">collaborative </w:t>
      </w:r>
      <w:r w:rsidR="00B74C87" w:rsidRPr="00182CC6">
        <w:rPr>
          <w:lang w:val="en-GB"/>
        </w:rPr>
        <w:t>approach</w:t>
      </w:r>
      <w:r w:rsidR="00965925" w:rsidRPr="00182CC6">
        <w:rPr>
          <w:lang w:val="en-GB"/>
        </w:rPr>
        <w:t xml:space="preserve"> </w:t>
      </w:r>
      <w:r w:rsidR="00B95412" w:rsidRPr="00182CC6">
        <w:rPr>
          <w:lang w:val="en-GB"/>
        </w:rPr>
        <w:t>considering</w:t>
      </w:r>
      <w:r w:rsidR="00965925" w:rsidRPr="00182CC6">
        <w:rPr>
          <w:lang w:val="en-GB"/>
        </w:rPr>
        <w:t xml:space="preserve"> more refined donation </w:t>
      </w:r>
      <w:r w:rsidR="00B74C87" w:rsidRPr="00182CC6">
        <w:rPr>
          <w:lang w:val="en-GB"/>
        </w:rPr>
        <w:t>scheme</w:t>
      </w:r>
      <w:r w:rsidR="00B95412" w:rsidRPr="00182CC6">
        <w:rPr>
          <w:lang w:val="en-GB"/>
        </w:rPr>
        <w:t>s</w:t>
      </w:r>
      <w:r w:rsidR="00965925" w:rsidRPr="00182CC6">
        <w:rPr>
          <w:lang w:val="en-GB"/>
        </w:rPr>
        <w:t>.</w:t>
      </w:r>
      <w:r w:rsidR="000D6117" w:rsidRPr="00182CC6">
        <w:rPr>
          <w:lang w:val="en-GB"/>
        </w:rPr>
        <w:t xml:space="preserve"> </w:t>
      </w:r>
      <w:r w:rsidR="003D4270" w:rsidRPr="00182CC6">
        <w:rPr>
          <w:lang w:val="en-GB"/>
        </w:rPr>
        <w:t>Additionally</w:t>
      </w:r>
      <w:r w:rsidR="000D6117" w:rsidRPr="00182CC6">
        <w:rPr>
          <w:lang w:val="en-GB"/>
        </w:rPr>
        <w:t>, the developed model</w:t>
      </w:r>
      <w:r w:rsidR="003D4270" w:rsidRPr="00182CC6">
        <w:rPr>
          <w:lang w:val="en-GB"/>
        </w:rPr>
        <w:t xml:space="preserve">s are expected to </w:t>
      </w:r>
      <w:r w:rsidR="000D6117" w:rsidRPr="00182CC6">
        <w:rPr>
          <w:lang w:val="en-GB"/>
        </w:rPr>
        <w:t xml:space="preserve">be improved to accommodate </w:t>
      </w:r>
      <w:r w:rsidR="004650DF" w:rsidRPr="00182CC6">
        <w:rPr>
          <w:lang w:val="en-GB"/>
        </w:rPr>
        <w:t>other resilient-driven strategies</w:t>
      </w:r>
      <w:r w:rsidR="00C1006D" w:rsidRPr="00182CC6">
        <w:rPr>
          <w:lang w:val="en-GB"/>
        </w:rPr>
        <w:t xml:space="preserve"> such as dual sourcing or dynamic capacity management</w:t>
      </w:r>
      <w:r w:rsidR="0065145A" w:rsidRPr="00182CC6">
        <w:rPr>
          <w:lang w:val="en-GB"/>
        </w:rPr>
        <w:t>.</w:t>
      </w:r>
      <w:r w:rsidR="006E5F9C" w:rsidRPr="00182CC6">
        <w:rPr>
          <w:lang w:val="en-GB"/>
        </w:rPr>
        <w:t xml:space="preserve"> </w:t>
      </w:r>
      <w:r w:rsidR="008D6F46" w:rsidRPr="00182CC6">
        <w:rPr>
          <w:lang w:val="en-GB"/>
        </w:rPr>
        <w:t xml:space="preserve">Finally, although these results are promising, </w:t>
      </w:r>
      <w:proofErr w:type="gramStart"/>
      <w:r w:rsidR="008D6F46" w:rsidRPr="00182CC6">
        <w:rPr>
          <w:lang w:val="en-GB"/>
        </w:rPr>
        <w:t>some</w:t>
      </w:r>
      <w:proofErr w:type="gramEnd"/>
      <w:r w:rsidR="008D6F46" w:rsidRPr="00182CC6">
        <w:rPr>
          <w:lang w:val="en-GB"/>
        </w:rPr>
        <w:t xml:space="preserve"> challenges still need to be further </w:t>
      </w:r>
      <w:r w:rsidR="00946DF0" w:rsidRPr="00182CC6">
        <w:rPr>
          <w:lang w:val="en-GB"/>
        </w:rPr>
        <w:t>addressed</w:t>
      </w:r>
      <w:r w:rsidR="008D6F46" w:rsidRPr="00182CC6">
        <w:rPr>
          <w:lang w:val="en-GB"/>
        </w:rPr>
        <w:t xml:space="preserve"> regarding the </w:t>
      </w:r>
      <w:r w:rsidR="00946DF0" w:rsidRPr="00182CC6">
        <w:rPr>
          <w:lang w:val="en-GB"/>
        </w:rPr>
        <w:t xml:space="preserve">interaction between </w:t>
      </w:r>
      <w:r w:rsidR="008D6F46" w:rsidRPr="00182CC6">
        <w:rPr>
          <w:lang w:val="en-GB"/>
        </w:rPr>
        <w:t>simulation</w:t>
      </w:r>
      <w:r w:rsidR="00946DF0" w:rsidRPr="00182CC6">
        <w:rPr>
          <w:lang w:val="en-GB"/>
        </w:rPr>
        <w:t xml:space="preserve"> and </w:t>
      </w:r>
      <w:r w:rsidR="008D6F46" w:rsidRPr="00182CC6">
        <w:rPr>
          <w:lang w:val="en-GB"/>
        </w:rPr>
        <w:t>optimization.</w:t>
      </w:r>
    </w:p>
    <w:p w14:paraId="1A103B87" w14:textId="7FED2B83" w:rsidR="003503F8" w:rsidRPr="00182CC6" w:rsidRDefault="003503F8" w:rsidP="00C272D9">
      <w:pPr>
        <w:pStyle w:val="Els-1storder-head"/>
        <w:numPr>
          <w:ilvl w:val="0"/>
          <w:numId w:val="0"/>
        </w:numPr>
        <w:rPr>
          <w:lang w:val="en-GB"/>
        </w:rPr>
      </w:pPr>
      <w:r w:rsidRPr="00182CC6">
        <w:rPr>
          <w:lang w:val="en-GB"/>
        </w:rPr>
        <w:t xml:space="preserve">Acknowledgement </w:t>
      </w:r>
    </w:p>
    <w:p w14:paraId="7FF4480C" w14:textId="435C8EA5" w:rsidR="00DB43CE" w:rsidRPr="00182CC6" w:rsidRDefault="00622E75" w:rsidP="001205DE">
      <w:pPr>
        <w:pStyle w:val="Els-body-text"/>
        <w:spacing w:after="120"/>
        <w:rPr>
          <w:lang w:val="en-GB"/>
        </w:rPr>
      </w:pPr>
      <w:r w:rsidRPr="00182CC6">
        <w:rPr>
          <w:lang w:val="en-GB"/>
        </w:rPr>
        <w:t>This work is</w:t>
      </w:r>
      <w:r w:rsidR="00E03E88" w:rsidRPr="00182CC6">
        <w:rPr>
          <w:lang w:val="en-GB"/>
        </w:rPr>
        <w:t xml:space="preserve"> partially</w:t>
      </w:r>
      <w:r w:rsidRPr="00182CC6">
        <w:rPr>
          <w:lang w:val="en-GB"/>
        </w:rPr>
        <w:t xml:space="preserve"> financed by National Funds through the FCT - Fundação para a Ciência e a Tecnologia, I.P. (Portuguese Foundation for Science and Technology) within the project FuturePharma, with reference PTDC/EME-SIS/6019/2020.</w:t>
      </w:r>
    </w:p>
    <w:p w14:paraId="144DE6BF" w14:textId="608D0AD6" w:rsidR="008D2649" w:rsidRPr="00182CC6" w:rsidRDefault="008D2649" w:rsidP="00923497">
      <w:pPr>
        <w:pStyle w:val="Els-1storder-head"/>
        <w:numPr>
          <w:ilvl w:val="0"/>
          <w:numId w:val="0"/>
        </w:numPr>
        <w:rPr>
          <w:lang w:val="en-GB"/>
        </w:rPr>
      </w:pPr>
      <w:r w:rsidRPr="00182CC6">
        <w:rPr>
          <w:lang w:val="en-GB"/>
        </w:rPr>
        <w:t>References</w:t>
      </w:r>
    </w:p>
    <w:p w14:paraId="1958FA92" w14:textId="77777777" w:rsidR="00C54D36" w:rsidRPr="00182CC6" w:rsidRDefault="00206C29" w:rsidP="00C54D36">
      <w:pPr>
        <w:pStyle w:val="EndNoteBibliography"/>
        <w:ind w:left="720" w:hanging="720"/>
        <w:rPr>
          <w:lang w:val="en-GB"/>
        </w:rPr>
      </w:pPr>
      <w:r w:rsidRPr="00182CC6">
        <w:rPr>
          <w:lang w:val="en-GB"/>
        </w:rPr>
        <w:fldChar w:fldCharType="begin"/>
      </w:r>
      <w:r w:rsidRPr="00182CC6">
        <w:rPr>
          <w:lang w:val="en-GB"/>
        </w:rPr>
        <w:instrText xml:space="preserve"> ADDIN EN.REFLIST </w:instrText>
      </w:r>
      <w:r w:rsidRPr="00182CC6">
        <w:rPr>
          <w:lang w:val="en-GB"/>
        </w:rPr>
        <w:fldChar w:fldCharType="separate"/>
      </w:r>
      <w:r w:rsidR="00C54D36" w:rsidRPr="00182CC6">
        <w:rPr>
          <w:lang w:val="en-GB"/>
        </w:rPr>
        <w:t xml:space="preserve">Fahimnia, B., &amp; Jabbarzadeh, A. (2016). Marrying supply chain sustainability and resilience: A match made in heaven. </w:t>
      </w:r>
      <w:r w:rsidR="00C54D36" w:rsidRPr="0035572C">
        <w:rPr>
          <w:lang w:val="en-GB"/>
        </w:rPr>
        <w:t>Transportation research part e: logistics transportation review, 91</w:t>
      </w:r>
      <w:r w:rsidR="00C54D36" w:rsidRPr="00182CC6">
        <w:rPr>
          <w:lang w:val="en-GB"/>
        </w:rPr>
        <w:t>, 306-324. doi:doi.org/10.1016/j.tre.2016.02.007</w:t>
      </w:r>
    </w:p>
    <w:p w14:paraId="1BC62607" w14:textId="77777777" w:rsidR="00C54D36" w:rsidRPr="00182CC6" w:rsidRDefault="00C54D36" w:rsidP="00C54D36">
      <w:pPr>
        <w:pStyle w:val="EndNoteBibliography"/>
        <w:ind w:left="720" w:hanging="720"/>
        <w:rPr>
          <w:lang w:val="en-GB"/>
        </w:rPr>
      </w:pPr>
      <w:r w:rsidRPr="00182CC6">
        <w:rPr>
          <w:lang w:val="en-GB"/>
        </w:rPr>
        <w:t xml:space="preserve">Ivanov, D. (2018). Revealing interfaces of supply chain resilience and sustainability: a simulation study. </w:t>
      </w:r>
      <w:r w:rsidRPr="0035572C">
        <w:rPr>
          <w:lang w:val="en-GB"/>
        </w:rPr>
        <w:t>International Journal of Production Research, 56</w:t>
      </w:r>
      <w:r w:rsidRPr="00182CC6">
        <w:rPr>
          <w:lang w:val="en-GB"/>
        </w:rPr>
        <w:t>(10), 3507-3523. doi:doi.org/10.1080/00207543.2017.1343507</w:t>
      </w:r>
    </w:p>
    <w:p w14:paraId="57735840" w14:textId="77777777" w:rsidR="00C54D36" w:rsidRPr="0035572C" w:rsidRDefault="00C54D36" w:rsidP="00C54D36">
      <w:pPr>
        <w:pStyle w:val="EndNoteBibliography"/>
        <w:ind w:left="720" w:hanging="720"/>
        <w:rPr>
          <w:lang w:val="en-GB"/>
        </w:rPr>
      </w:pPr>
      <w:r w:rsidRPr="00182CC6">
        <w:rPr>
          <w:lang w:val="en-GB"/>
        </w:rPr>
        <w:t xml:space="preserve">Lücker, F., Seifert, R., &amp; Biçer, I. (2019). Roles of inventory and reserve capacity in mitigating supply chain disruption risk. </w:t>
      </w:r>
      <w:r w:rsidRPr="0035572C">
        <w:rPr>
          <w:lang w:val="en-GB"/>
        </w:rPr>
        <w:t>International Journal of Production Research</w:t>
      </w:r>
    </w:p>
    <w:p w14:paraId="413D60C0" w14:textId="77777777" w:rsidR="00C54D36" w:rsidRPr="00182CC6" w:rsidRDefault="00C54D36" w:rsidP="00C54D36">
      <w:pPr>
        <w:pStyle w:val="EndNoteBibliography"/>
        <w:ind w:left="720" w:hanging="720"/>
        <w:rPr>
          <w:lang w:val="en-GB"/>
        </w:rPr>
      </w:pPr>
      <w:r w:rsidRPr="0035572C">
        <w:rPr>
          <w:lang w:val="en-GB"/>
        </w:rPr>
        <w:t>57</w:t>
      </w:r>
      <w:r w:rsidRPr="00182CC6">
        <w:rPr>
          <w:lang w:val="en-GB"/>
        </w:rPr>
        <w:t>(4), 1238-1249. doi:doi.org/10.1080/00207543.2018.1504173</w:t>
      </w:r>
    </w:p>
    <w:p w14:paraId="1AB206E0" w14:textId="77777777" w:rsidR="00C54D36" w:rsidRPr="00182CC6" w:rsidRDefault="00C54D36" w:rsidP="00C54D36">
      <w:pPr>
        <w:pStyle w:val="EndNoteBibliography"/>
        <w:ind w:left="720" w:hanging="720"/>
        <w:rPr>
          <w:lang w:val="en-GB"/>
        </w:rPr>
      </w:pPr>
      <w:r w:rsidRPr="00182CC6">
        <w:rPr>
          <w:lang w:val="en-GB"/>
        </w:rPr>
        <w:t xml:space="preserve">Pavlov, A., Ivanov, D., Pavlov, D., &amp; Slinko, A. (2019). Optimization of network redundancy and contingency planning in sustainable and resilient supply chain resource management under conditions of structural dynamics. </w:t>
      </w:r>
      <w:r w:rsidRPr="0035572C">
        <w:rPr>
          <w:lang w:val="en-GB"/>
        </w:rPr>
        <w:t>Annals of Operations Research</w:t>
      </w:r>
      <w:r w:rsidRPr="00182CC6">
        <w:rPr>
          <w:lang w:val="en-GB"/>
        </w:rPr>
        <w:t>, 1-30. doi:doi.org/10.1007/s10479-019-03182-6</w:t>
      </w:r>
    </w:p>
    <w:p w14:paraId="78AFA62E" w14:textId="77777777" w:rsidR="00C54D36" w:rsidRPr="00182CC6" w:rsidRDefault="00C54D36" w:rsidP="00C54D36">
      <w:pPr>
        <w:pStyle w:val="EndNoteBibliography"/>
        <w:ind w:left="720" w:hanging="720"/>
        <w:rPr>
          <w:lang w:val="en-GB"/>
        </w:rPr>
      </w:pPr>
      <w:r w:rsidRPr="00182CC6">
        <w:rPr>
          <w:lang w:val="en-GB"/>
        </w:rPr>
        <w:t xml:space="preserve">Roostaie, S., Nawari, N., &amp; Kibert, C. (2019). Integrated sustainability and resilience assessment framework: From theory to practice. </w:t>
      </w:r>
      <w:r w:rsidRPr="0035572C">
        <w:rPr>
          <w:lang w:val="en-GB"/>
        </w:rPr>
        <w:t>Journal of Cleaner Production, 232</w:t>
      </w:r>
      <w:r w:rsidRPr="00182CC6">
        <w:rPr>
          <w:lang w:val="en-GB"/>
        </w:rPr>
        <w:t xml:space="preserve">, 1158-1166. </w:t>
      </w:r>
    </w:p>
    <w:p w14:paraId="081F2622" w14:textId="77777777" w:rsidR="00C54D36" w:rsidRPr="00182CC6" w:rsidRDefault="00C54D36" w:rsidP="00C54D36">
      <w:pPr>
        <w:pStyle w:val="EndNoteBibliography"/>
        <w:ind w:left="720" w:hanging="720"/>
        <w:rPr>
          <w:lang w:val="en-GB"/>
        </w:rPr>
      </w:pPr>
      <w:r w:rsidRPr="00182CC6">
        <w:rPr>
          <w:lang w:val="en-GB"/>
        </w:rPr>
        <w:t xml:space="preserve">Silva, A., Sousa, J., &amp; Marques, C. (2022). </w:t>
      </w:r>
      <w:r w:rsidRPr="0035572C">
        <w:rPr>
          <w:lang w:val="en-GB"/>
        </w:rPr>
        <w:t>Supply Chain Resiliency in the Pharmaceutical Industry–a Simulation-Based Approach</w:t>
      </w:r>
      <w:r w:rsidRPr="00182CC6">
        <w:rPr>
          <w:lang w:val="en-GB"/>
        </w:rPr>
        <w:t xml:space="preserve">. Paper presented at the 5th European International Conference on Industrial Engineering and Operations Management. </w:t>
      </w:r>
    </w:p>
    <w:p w14:paraId="37C1EF95" w14:textId="77777777" w:rsidR="00C54D36" w:rsidRPr="00182CC6" w:rsidRDefault="00C54D36" w:rsidP="00C54D36">
      <w:pPr>
        <w:pStyle w:val="EndNoteBibliography"/>
        <w:ind w:left="720" w:hanging="720"/>
        <w:rPr>
          <w:lang w:val="en-GB"/>
        </w:rPr>
      </w:pPr>
      <w:r w:rsidRPr="00182CC6">
        <w:rPr>
          <w:lang w:val="en-GB"/>
        </w:rPr>
        <w:t>Tat, R., &amp; Heydari, J. J. J. o. C. P. (2021). Avoiding medicine wastes: Introducing a sustainable approach in the pharmaceutical supply chain.</w:t>
      </w:r>
      <w:r w:rsidRPr="0035572C">
        <w:rPr>
          <w:lang w:val="en-GB"/>
        </w:rPr>
        <w:t xml:space="preserve"> 320</w:t>
      </w:r>
      <w:r w:rsidRPr="00182CC6">
        <w:rPr>
          <w:lang w:val="en-GB"/>
        </w:rPr>
        <w:t xml:space="preserve">, 128698. </w:t>
      </w:r>
    </w:p>
    <w:p w14:paraId="144DE6C3" w14:textId="2DE761C4" w:rsidR="008D2649" w:rsidRPr="00182CC6" w:rsidRDefault="00C54D36" w:rsidP="0035572C">
      <w:pPr>
        <w:pStyle w:val="EndNoteBibliography"/>
        <w:ind w:left="720" w:hanging="720"/>
        <w:rPr>
          <w:lang w:val="en-GB"/>
        </w:rPr>
      </w:pPr>
      <w:r w:rsidRPr="00182CC6">
        <w:rPr>
          <w:lang w:val="en-GB"/>
        </w:rPr>
        <w:t xml:space="preserve">Zahiri, B., Zhuang, J., &amp; Mohammadi, M. (2017). Toward an integrated sustainable-resilient supply chain: A pharmaceutical case study. </w:t>
      </w:r>
      <w:r w:rsidRPr="0035572C">
        <w:rPr>
          <w:lang w:val="en-GB"/>
        </w:rPr>
        <w:t>Transportation research part e: logistics transportation review, 103</w:t>
      </w:r>
      <w:r w:rsidRPr="00182CC6">
        <w:rPr>
          <w:lang w:val="en-GB"/>
        </w:rPr>
        <w:t xml:space="preserve">, 109-142. </w:t>
      </w:r>
      <w:r w:rsidR="00206C29" w:rsidRPr="00182CC6">
        <w:rPr>
          <w:lang w:val="en-GB"/>
        </w:rPr>
        <w:fldChar w:fldCharType="end"/>
      </w:r>
    </w:p>
    <w:sectPr w:rsidR="008D2649" w:rsidRPr="00182CC6" w:rsidSect="008B0184">
      <w:headerReference w:type="even" r:id="rId17"/>
      <w:headerReference w:type="default" r:id="rId18"/>
      <w:headerReference w:type="first" r:id="rId19"/>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AEFD" w14:textId="77777777" w:rsidR="006257E5" w:rsidRDefault="006257E5">
      <w:r>
        <w:separator/>
      </w:r>
    </w:p>
  </w:endnote>
  <w:endnote w:type="continuationSeparator" w:id="0">
    <w:p w14:paraId="6595ED53" w14:textId="77777777" w:rsidR="006257E5" w:rsidRDefault="0062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ourceSansPro-Regular">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FF64" w14:textId="77777777" w:rsidR="006257E5" w:rsidRDefault="006257E5">
      <w:r>
        <w:separator/>
      </w:r>
    </w:p>
  </w:footnote>
  <w:footnote w:type="continuationSeparator" w:id="0">
    <w:p w14:paraId="0BBDA411" w14:textId="77777777" w:rsidR="006257E5" w:rsidRDefault="0062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0CB64D1" w:rsidR="00DD3D9E" w:rsidRDefault="00DD3D9E">
    <w:pPr>
      <w:pStyle w:val="Header"/>
      <w:tabs>
        <w:tab w:val="clear" w:pos="7200"/>
        <w:tab w:val="right" w:pos="7088"/>
      </w:tabs>
    </w:pPr>
    <w:r>
      <w:rPr>
        <w:rStyle w:val="PageNumber"/>
      </w:rPr>
      <w:tab/>
    </w:r>
    <w:r>
      <w:rPr>
        <w:rStyle w:val="PageNumber"/>
        <w:i/>
      </w:rPr>
      <w:tab/>
    </w:r>
    <w:r w:rsidR="00CA2818">
      <w:rPr>
        <w:i/>
      </w:rPr>
      <w:t>C. Marques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7F1AFEC" w:rsidR="00DD3D9E" w:rsidRDefault="001D2CD9" w:rsidP="0054232B">
    <w:pPr>
      <w:pStyle w:val="Header"/>
      <w:tabs>
        <w:tab w:val="clear" w:pos="7200"/>
        <w:tab w:val="right" w:pos="7088"/>
      </w:tabs>
      <w:rPr>
        <w:sz w:val="24"/>
      </w:rPr>
    </w:pPr>
    <w:r>
      <w:rPr>
        <w:i/>
      </w:rPr>
      <w:t>Inventory Strategies for Optimizing Resilie</w:t>
    </w:r>
    <w:r w:rsidR="00A56070">
      <w:rPr>
        <w:i/>
      </w:rPr>
      <w:t>ncy and Sustainability in Pharmaceutical supply Chains – A Simulation-Optimization Approach</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A72B81"/>
    <w:multiLevelType w:val="hybridMultilevel"/>
    <w:tmpl w:val="73C84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D24F5"/>
    <w:multiLevelType w:val="hybridMultilevel"/>
    <w:tmpl w:val="1D34DA32"/>
    <w:lvl w:ilvl="0" w:tplc="745A3E40">
      <w:start w:val="1"/>
      <w:numFmt w:val="bullet"/>
      <w:lvlText w:val="•"/>
      <w:lvlJc w:val="left"/>
      <w:pPr>
        <w:tabs>
          <w:tab w:val="num" w:pos="720"/>
        </w:tabs>
        <w:ind w:left="720" w:hanging="360"/>
      </w:pPr>
      <w:rPr>
        <w:rFonts w:ascii="Arial" w:hAnsi="Arial" w:hint="default"/>
      </w:rPr>
    </w:lvl>
    <w:lvl w:ilvl="1" w:tplc="B20AC782" w:tentative="1">
      <w:start w:val="1"/>
      <w:numFmt w:val="bullet"/>
      <w:lvlText w:val="•"/>
      <w:lvlJc w:val="left"/>
      <w:pPr>
        <w:tabs>
          <w:tab w:val="num" w:pos="1440"/>
        </w:tabs>
        <w:ind w:left="1440" w:hanging="360"/>
      </w:pPr>
      <w:rPr>
        <w:rFonts w:ascii="Arial" w:hAnsi="Arial" w:hint="default"/>
      </w:rPr>
    </w:lvl>
    <w:lvl w:ilvl="2" w:tplc="63229E02" w:tentative="1">
      <w:start w:val="1"/>
      <w:numFmt w:val="bullet"/>
      <w:lvlText w:val="•"/>
      <w:lvlJc w:val="left"/>
      <w:pPr>
        <w:tabs>
          <w:tab w:val="num" w:pos="2160"/>
        </w:tabs>
        <w:ind w:left="2160" w:hanging="360"/>
      </w:pPr>
      <w:rPr>
        <w:rFonts w:ascii="Arial" w:hAnsi="Arial" w:hint="default"/>
      </w:rPr>
    </w:lvl>
    <w:lvl w:ilvl="3" w:tplc="3F028D82" w:tentative="1">
      <w:start w:val="1"/>
      <w:numFmt w:val="bullet"/>
      <w:lvlText w:val="•"/>
      <w:lvlJc w:val="left"/>
      <w:pPr>
        <w:tabs>
          <w:tab w:val="num" w:pos="2880"/>
        </w:tabs>
        <w:ind w:left="2880" w:hanging="360"/>
      </w:pPr>
      <w:rPr>
        <w:rFonts w:ascii="Arial" w:hAnsi="Arial" w:hint="default"/>
      </w:rPr>
    </w:lvl>
    <w:lvl w:ilvl="4" w:tplc="2EACD892" w:tentative="1">
      <w:start w:val="1"/>
      <w:numFmt w:val="bullet"/>
      <w:lvlText w:val="•"/>
      <w:lvlJc w:val="left"/>
      <w:pPr>
        <w:tabs>
          <w:tab w:val="num" w:pos="3600"/>
        </w:tabs>
        <w:ind w:left="3600" w:hanging="360"/>
      </w:pPr>
      <w:rPr>
        <w:rFonts w:ascii="Arial" w:hAnsi="Arial" w:hint="default"/>
      </w:rPr>
    </w:lvl>
    <w:lvl w:ilvl="5" w:tplc="E58A7F1A" w:tentative="1">
      <w:start w:val="1"/>
      <w:numFmt w:val="bullet"/>
      <w:lvlText w:val="•"/>
      <w:lvlJc w:val="left"/>
      <w:pPr>
        <w:tabs>
          <w:tab w:val="num" w:pos="4320"/>
        </w:tabs>
        <w:ind w:left="4320" w:hanging="360"/>
      </w:pPr>
      <w:rPr>
        <w:rFonts w:ascii="Arial" w:hAnsi="Arial" w:hint="default"/>
      </w:rPr>
    </w:lvl>
    <w:lvl w:ilvl="6" w:tplc="6AA2317E" w:tentative="1">
      <w:start w:val="1"/>
      <w:numFmt w:val="bullet"/>
      <w:lvlText w:val="•"/>
      <w:lvlJc w:val="left"/>
      <w:pPr>
        <w:tabs>
          <w:tab w:val="num" w:pos="5040"/>
        </w:tabs>
        <w:ind w:left="5040" w:hanging="360"/>
      </w:pPr>
      <w:rPr>
        <w:rFonts w:ascii="Arial" w:hAnsi="Arial" w:hint="default"/>
      </w:rPr>
    </w:lvl>
    <w:lvl w:ilvl="7" w:tplc="3FBA570E" w:tentative="1">
      <w:start w:val="1"/>
      <w:numFmt w:val="bullet"/>
      <w:lvlText w:val="•"/>
      <w:lvlJc w:val="left"/>
      <w:pPr>
        <w:tabs>
          <w:tab w:val="num" w:pos="5760"/>
        </w:tabs>
        <w:ind w:left="5760" w:hanging="360"/>
      </w:pPr>
      <w:rPr>
        <w:rFonts w:ascii="Arial" w:hAnsi="Arial" w:hint="default"/>
      </w:rPr>
    </w:lvl>
    <w:lvl w:ilvl="8" w:tplc="41A6EE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6D3D1427"/>
    <w:multiLevelType w:val="hybridMultilevel"/>
    <w:tmpl w:val="6F9A0002"/>
    <w:lvl w:ilvl="0" w:tplc="54303B26">
      <w:start w:val="3"/>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3"/>
  </w:num>
  <w:num w:numId="2" w16cid:durableId="47382885">
    <w:abstractNumId w:val="13"/>
  </w:num>
  <w:num w:numId="3" w16cid:durableId="967853731">
    <w:abstractNumId w:val="13"/>
  </w:num>
  <w:num w:numId="4" w16cid:durableId="1739282265">
    <w:abstractNumId w:val="13"/>
  </w:num>
  <w:num w:numId="5" w16cid:durableId="698892343">
    <w:abstractNumId w:val="0"/>
  </w:num>
  <w:num w:numId="6" w16cid:durableId="1660883641">
    <w:abstractNumId w:val="6"/>
  </w:num>
  <w:num w:numId="7" w16cid:durableId="1863349795">
    <w:abstractNumId w:val="14"/>
  </w:num>
  <w:num w:numId="8" w16cid:durableId="1750734252">
    <w:abstractNumId w:val="1"/>
  </w:num>
  <w:num w:numId="9" w16cid:durableId="203061615">
    <w:abstractNumId w:val="12"/>
  </w:num>
  <w:num w:numId="10" w16cid:durableId="1478497114">
    <w:abstractNumId w:val="17"/>
  </w:num>
  <w:num w:numId="11" w16cid:durableId="1896693444">
    <w:abstractNumId w:val="16"/>
  </w:num>
  <w:num w:numId="12" w16cid:durableId="774787662">
    <w:abstractNumId w:val="5"/>
  </w:num>
  <w:num w:numId="13" w16cid:durableId="1525900646">
    <w:abstractNumId w:val="10"/>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11"/>
  </w:num>
  <w:num w:numId="19" w16cid:durableId="1930848790">
    <w:abstractNumId w:val="15"/>
  </w:num>
  <w:num w:numId="20" w16cid:durableId="1876235634">
    <w:abstractNumId w:val="8"/>
  </w:num>
  <w:num w:numId="21" w16cid:durableId="1892763763">
    <w:abstractNumId w:val="9"/>
  </w:num>
  <w:num w:numId="22" w16cid:durableId="1001547022">
    <w:abstractNumId w:val="4"/>
  </w:num>
  <w:num w:numId="23" w16cid:durableId="598374020">
    <w:abstractNumId w:val="4"/>
  </w:num>
  <w:num w:numId="24" w16cid:durableId="1061295875">
    <w:abstractNumId w:val="4"/>
  </w:num>
  <w:num w:numId="25" w16cid:durableId="1454246467">
    <w:abstractNumId w:val="4"/>
  </w:num>
  <w:num w:numId="26" w16cid:durableId="323512136">
    <w:abstractNumId w:val="4"/>
  </w:num>
  <w:num w:numId="27" w16cid:durableId="813334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 Copy&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z9ear9bz90s7eavznvfae5rwe59rfsxa2s&quot;&gt;ESCAPE34&lt;record-ids&gt;&lt;item&gt;2&lt;/item&gt;&lt;item&gt;6&lt;/item&gt;&lt;item&gt;9&lt;/item&gt;&lt;item&gt;15&lt;/item&gt;&lt;item&gt;17&lt;/item&gt;&lt;item&gt;18&lt;/item&gt;&lt;item&gt;22&lt;/item&gt;&lt;/record-ids&gt;&lt;/item&gt;&lt;/Libraries&gt;"/>
  </w:docVars>
  <w:rsids>
    <w:rsidRoot w:val="00B63237"/>
    <w:rsid w:val="00001543"/>
    <w:rsid w:val="00003395"/>
    <w:rsid w:val="00006872"/>
    <w:rsid w:val="00011F98"/>
    <w:rsid w:val="00013447"/>
    <w:rsid w:val="00013F2C"/>
    <w:rsid w:val="00015DFF"/>
    <w:rsid w:val="00016A67"/>
    <w:rsid w:val="0001752B"/>
    <w:rsid w:val="000177C6"/>
    <w:rsid w:val="00017D7F"/>
    <w:rsid w:val="00020EB2"/>
    <w:rsid w:val="0002216B"/>
    <w:rsid w:val="00022CFB"/>
    <w:rsid w:val="0002682F"/>
    <w:rsid w:val="000268D1"/>
    <w:rsid w:val="0003000F"/>
    <w:rsid w:val="0003129B"/>
    <w:rsid w:val="00031A6D"/>
    <w:rsid w:val="00034BBE"/>
    <w:rsid w:val="000350FF"/>
    <w:rsid w:val="0003516A"/>
    <w:rsid w:val="00035942"/>
    <w:rsid w:val="000360D2"/>
    <w:rsid w:val="00037FD2"/>
    <w:rsid w:val="00040CB2"/>
    <w:rsid w:val="00040D20"/>
    <w:rsid w:val="0004565D"/>
    <w:rsid w:val="00045B17"/>
    <w:rsid w:val="00045D87"/>
    <w:rsid w:val="00046BC2"/>
    <w:rsid w:val="0004701A"/>
    <w:rsid w:val="000474D3"/>
    <w:rsid w:val="0005066D"/>
    <w:rsid w:val="000508A4"/>
    <w:rsid w:val="00051594"/>
    <w:rsid w:val="00051979"/>
    <w:rsid w:val="00051C98"/>
    <w:rsid w:val="00052033"/>
    <w:rsid w:val="00052999"/>
    <w:rsid w:val="00056A6B"/>
    <w:rsid w:val="00062E99"/>
    <w:rsid w:val="000637C3"/>
    <w:rsid w:val="00065F52"/>
    <w:rsid w:val="00066D83"/>
    <w:rsid w:val="00070815"/>
    <w:rsid w:val="00070C16"/>
    <w:rsid w:val="00071577"/>
    <w:rsid w:val="00072DBF"/>
    <w:rsid w:val="00073905"/>
    <w:rsid w:val="00074D12"/>
    <w:rsid w:val="00075F27"/>
    <w:rsid w:val="00076775"/>
    <w:rsid w:val="00076E9D"/>
    <w:rsid w:val="00081117"/>
    <w:rsid w:val="00081608"/>
    <w:rsid w:val="000827B4"/>
    <w:rsid w:val="0008284A"/>
    <w:rsid w:val="000838B7"/>
    <w:rsid w:val="0008400E"/>
    <w:rsid w:val="0008781B"/>
    <w:rsid w:val="00090267"/>
    <w:rsid w:val="00091781"/>
    <w:rsid w:val="0009527C"/>
    <w:rsid w:val="0009641E"/>
    <w:rsid w:val="00097B06"/>
    <w:rsid w:val="00097D77"/>
    <w:rsid w:val="000A02D4"/>
    <w:rsid w:val="000A3197"/>
    <w:rsid w:val="000A3E26"/>
    <w:rsid w:val="000A74AD"/>
    <w:rsid w:val="000B0DAB"/>
    <w:rsid w:val="000B15A5"/>
    <w:rsid w:val="000B1E0C"/>
    <w:rsid w:val="000B2846"/>
    <w:rsid w:val="000B3EE4"/>
    <w:rsid w:val="000B4C14"/>
    <w:rsid w:val="000B4C18"/>
    <w:rsid w:val="000B667C"/>
    <w:rsid w:val="000C0D3A"/>
    <w:rsid w:val="000C31C6"/>
    <w:rsid w:val="000C40F8"/>
    <w:rsid w:val="000C4754"/>
    <w:rsid w:val="000D0417"/>
    <w:rsid w:val="000D21F4"/>
    <w:rsid w:val="000D3D9B"/>
    <w:rsid w:val="000D5E15"/>
    <w:rsid w:val="000D6117"/>
    <w:rsid w:val="000D62C1"/>
    <w:rsid w:val="000D656F"/>
    <w:rsid w:val="000D6B51"/>
    <w:rsid w:val="000D6CB8"/>
    <w:rsid w:val="000E1A46"/>
    <w:rsid w:val="000E42D8"/>
    <w:rsid w:val="000E5AE4"/>
    <w:rsid w:val="000E602F"/>
    <w:rsid w:val="000E6992"/>
    <w:rsid w:val="000E78D1"/>
    <w:rsid w:val="000F075C"/>
    <w:rsid w:val="000F0D17"/>
    <w:rsid w:val="000F13E7"/>
    <w:rsid w:val="000F553E"/>
    <w:rsid w:val="000F66C8"/>
    <w:rsid w:val="000F6735"/>
    <w:rsid w:val="0010023C"/>
    <w:rsid w:val="0010114E"/>
    <w:rsid w:val="001026A4"/>
    <w:rsid w:val="00103149"/>
    <w:rsid w:val="0010497B"/>
    <w:rsid w:val="00106207"/>
    <w:rsid w:val="00106345"/>
    <w:rsid w:val="00106919"/>
    <w:rsid w:val="001103DC"/>
    <w:rsid w:val="00110613"/>
    <w:rsid w:val="00111EC6"/>
    <w:rsid w:val="001151E2"/>
    <w:rsid w:val="001159CE"/>
    <w:rsid w:val="00116905"/>
    <w:rsid w:val="001174CA"/>
    <w:rsid w:val="00117D78"/>
    <w:rsid w:val="001205DE"/>
    <w:rsid w:val="00120E1A"/>
    <w:rsid w:val="00123C18"/>
    <w:rsid w:val="001269EF"/>
    <w:rsid w:val="00132639"/>
    <w:rsid w:val="001329AE"/>
    <w:rsid w:val="0013601A"/>
    <w:rsid w:val="0013745C"/>
    <w:rsid w:val="00137CAB"/>
    <w:rsid w:val="001402F2"/>
    <w:rsid w:val="00140A6A"/>
    <w:rsid w:val="00141B02"/>
    <w:rsid w:val="00143121"/>
    <w:rsid w:val="00143D22"/>
    <w:rsid w:val="00145CAF"/>
    <w:rsid w:val="00147AE2"/>
    <w:rsid w:val="00150AAB"/>
    <w:rsid w:val="00153802"/>
    <w:rsid w:val="0015469E"/>
    <w:rsid w:val="00154E24"/>
    <w:rsid w:val="001561F4"/>
    <w:rsid w:val="00157125"/>
    <w:rsid w:val="00157BE0"/>
    <w:rsid w:val="0016032F"/>
    <w:rsid w:val="00163749"/>
    <w:rsid w:val="00164762"/>
    <w:rsid w:val="00165330"/>
    <w:rsid w:val="00167420"/>
    <w:rsid w:val="00171068"/>
    <w:rsid w:val="00172771"/>
    <w:rsid w:val="00174A64"/>
    <w:rsid w:val="00177B23"/>
    <w:rsid w:val="00180C22"/>
    <w:rsid w:val="001820B0"/>
    <w:rsid w:val="001828DD"/>
    <w:rsid w:val="00182CC6"/>
    <w:rsid w:val="001834AC"/>
    <w:rsid w:val="001834D4"/>
    <w:rsid w:val="00185722"/>
    <w:rsid w:val="001871A8"/>
    <w:rsid w:val="00187729"/>
    <w:rsid w:val="00187824"/>
    <w:rsid w:val="001879C6"/>
    <w:rsid w:val="001879F6"/>
    <w:rsid w:val="00190E0E"/>
    <w:rsid w:val="00191CA8"/>
    <w:rsid w:val="00192F87"/>
    <w:rsid w:val="00193113"/>
    <w:rsid w:val="00193F50"/>
    <w:rsid w:val="00195BCC"/>
    <w:rsid w:val="00197AF2"/>
    <w:rsid w:val="00197ED4"/>
    <w:rsid w:val="001A27D2"/>
    <w:rsid w:val="001A3A6B"/>
    <w:rsid w:val="001A474E"/>
    <w:rsid w:val="001A4D82"/>
    <w:rsid w:val="001A5C2B"/>
    <w:rsid w:val="001A5C4B"/>
    <w:rsid w:val="001A63E4"/>
    <w:rsid w:val="001A7C41"/>
    <w:rsid w:val="001B1A5F"/>
    <w:rsid w:val="001B1D00"/>
    <w:rsid w:val="001B2301"/>
    <w:rsid w:val="001B37DF"/>
    <w:rsid w:val="001B4D35"/>
    <w:rsid w:val="001B5A18"/>
    <w:rsid w:val="001B7984"/>
    <w:rsid w:val="001C0148"/>
    <w:rsid w:val="001C1CE8"/>
    <w:rsid w:val="001C1F72"/>
    <w:rsid w:val="001C2B5D"/>
    <w:rsid w:val="001C3ACC"/>
    <w:rsid w:val="001C4D1D"/>
    <w:rsid w:val="001C757E"/>
    <w:rsid w:val="001D2A42"/>
    <w:rsid w:val="001D2CD9"/>
    <w:rsid w:val="001D41D8"/>
    <w:rsid w:val="001D4E4C"/>
    <w:rsid w:val="001D4F30"/>
    <w:rsid w:val="001D50EB"/>
    <w:rsid w:val="001D5E00"/>
    <w:rsid w:val="001E233D"/>
    <w:rsid w:val="001E2501"/>
    <w:rsid w:val="001E4BF2"/>
    <w:rsid w:val="001E5C41"/>
    <w:rsid w:val="001E73EA"/>
    <w:rsid w:val="001F0484"/>
    <w:rsid w:val="001F0F53"/>
    <w:rsid w:val="001F1886"/>
    <w:rsid w:val="001F1B2D"/>
    <w:rsid w:val="001F1F64"/>
    <w:rsid w:val="001F34A0"/>
    <w:rsid w:val="001F3E69"/>
    <w:rsid w:val="001F4627"/>
    <w:rsid w:val="001F4D45"/>
    <w:rsid w:val="001F61C0"/>
    <w:rsid w:val="001F7BAD"/>
    <w:rsid w:val="0020001C"/>
    <w:rsid w:val="002009CF"/>
    <w:rsid w:val="002017DC"/>
    <w:rsid w:val="00202424"/>
    <w:rsid w:val="00202B39"/>
    <w:rsid w:val="0020390F"/>
    <w:rsid w:val="00205D0D"/>
    <w:rsid w:val="002061E4"/>
    <w:rsid w:val="0020621E"/>
    <w:rsid w:val="00206C29"/>
    <w:rsid w:val="0021362E"/>
    <w:rsid w:val="002137B5"/>
    <w:rsid w:val="00214179"/>
    <w:rsid w:val="00215818"/>
    <w:rsid w:val="0021651C"/>
    <w:rsid w:val="002279D5"/>
    <w:rsid w:val="00231CBE"/>
    <w:rsid w:val="00232A4F"/>
    <w:rsid w:val="00233DD7"/>
    <w:rsid w:val="002345BE"/>
    <w:rsid w:val="0024096D"/>
    <w:rsid w:val="00240F5B"/>
    <w:rsid w:val="0024161F"/>
    <w:rsid w:val="00241B97"/>
    <w:rsid w:val="00246752"/>
    <w:rsid w:val="00246BA9"/>
    <w:rsid w:val="00250281"/>
    <w:rsid w:val="00252B09"/>
    <w:rsid w:val="0025560E"/>
    <w:rsid w:val="00255E5C"/>
    <w:rsid w:val="00262C39"/>
    <w:rsid w:val="002636C1"/>
    <w:rsid w:val="00264926"/>
    <w:rsid w:val="00265847"/>
    <w:rsid w:val="0026795D"/>
    <w:rsid w:val="00270195"/>
    <w:rsid w:val="002708AD"/>
    <w:rsid w:val="00280873"/>
    <w:rsid w:val="00280BB4"/>
    <w:rsid w:val="00281153"/>
    <w:rsid w:val="00281A5C"/>
    <w:rsid w:val="00282124"/>
    <w:rsid w:val="00284FE9"/>
    <w:rsid w:val="00287761"/>
    <w:rsid w:val="00287F96"/>
    <w:rsid w:val="002915E0"/>
    <w:rsid w:val="00291E3A"/>
    <w:rsid w:val="0029215A"/>
    <w:rsid w:val="002930EB"/>
    <w:rsid w:val="00293D4C"/>
    <w:rsid w:val="0029449F"/>
    <w:rsid w:val="00296D99"/>
    <w:rsid w:val="002A497F"/>
    <w:rsid w:val="002A550B"/>
    <w:rsid w:val="002B0A30"/>
    <w:rsid w:val="002B46F3"/>
    <w:rsid w:val="002B4B5C"/>
    <w:rsid w:val="002B6DE2"/>
    <w:rsid w:val="002C05A6"/>
    <w:rsid w:val="002C1FCD"/>
    <w:rsid w:val="002C3573"/>
    <w:rsid w:val="002C40DF"/>
    <w:rsid w:val="002C42D4"/>
    <w:rsid w:val="002C4FB2"/>
    <w:rsid w:val="002C5046"/>
    <w:rsid w:val="002C5CCE"/>
    <w:rsid w:val="002C65E4"/>
    <w:rsid w:val="002D1E86"/>
    <w:rsid w:val="002D2109"/>
    <w:rsid w:val="002D273E"/>
    <w:rsid w:val="002D3125"/>
    <w:rsid w:val="002D3A46"/>
    <w:rsid w:val="002D6FB3"/>
    <w:rsid w:val="002E2CE5"/>
    <w:rsid w:val="002E3278"/>
    <w:rsid w:val="002E3371"/>
    <w:rsid w:val="002E3EB0"/>
    <w:rsid w:val="002E4100"/>
    <w:rsid w:val="002E4158"/>
    <w:rsid w:val="002E43C8"/>
    <w:rsid w:val="002E4D44"/>
    <w:rsid w:val="002E4D94"/>
    <w:rsid w:val="002E4E8D"/>
    <w:rsid w:val="002F12AB"/>
    <w:rsid w:val="002F13EC"/>
    <w:rsid w:val="002F1AE4"/>
    <w:rsid w:val="002F5049"/>
    <w:rsid w:val="00300FCF"/>
    <w:rsid w:val="0030162A"/>
    <w:rsid w:val="00301753"/>
    <w:rsid w:val="003041D8"/>
    <w:rsid w:val="003075F1"/>
    <w:rsid w:val="003076F8"/>
    <w:rsid w:val="00307FC5"/>
    <w:rsid w:val="00312024"/>
    <w:rsid w:val="00313035"/>
    <w:rsid w:val="003148E7"/>
    <w:rsid w:val="003157DE"/>
    <w:rsid w:val="00320C6A"/>
    <w:rsid w:val="003212FD"/>
    <w:rsid w:val="0032168E"/>
    <w:rsid w:val="00321744"/>
    <w:rsid w:val="00322FCF"/>
    <w:rsid w:val="00325A0A"/>
    <w:rsid w:val="00325E63"/>
    <w:rsid w:val="00326759"/>
    <w:rsid w:val="003273EF"/>
    <w:rsid w:val="0032787C"/>
    <w:rsid w:val="003329E5"/>
    <w:rsid w:val="00333DF8"/>
    <w:rsid w:val="003348E0"/>
    <w:rsid w:val="003352C6"/>
    <w:rsid w:val="00335A64"/>
    <w:rsid w:val="00340AE0"/>
    <w:rsid w:val="00342C35"/>
    <w:rsid w:val="00343539"/>
    <w:rsid w:val="003439DF"/>
    <w:rsid w:val="00343C61"/>
    <w:rsid w:val="00344B41"/>
    <w:rsid w:val="00345158"/>
    <w:rsid w:val="00345322"/>
    <w:rsid w:val="003503F8"/>
    <w:rsid w:val="00350500"/>
    <w:rsid w:val="0035050A"/>
    <w:rsid w:val="00350DCB"/>
    <w:rsid w:val="003525EB"/>
    <w:rsid w:val="00352CD4"/>
    <w:rsid w:val="003534FF"/>
    <w:rsid w:val="003546D7"/>
    <w:rsid w:val="003555E3"/>
    <w:rsid w:val="0035572C"/>
    <w:rsid w:val="0035579D"/>
    <w:rsid w:val="00355BD5"/>
    <w:rsid w:val="003610FB"/>
    <w:rsid w:val="00361CD4"/>
    <w:rsid w:val="003623A7"/>
    <w:rsid w:val="00363F73"/>
    <w:rsid w:val="00365060"/>
    <w:rsid w:val="003651BC"/>
    <w:rsid w:val="003655C3"/>
    <w:rsid w:val="00370300"/>
    <w:rsid w:val="00372C20"/>
    <w:rsid w:val="00372D44"/>
    <w:rsid w:val="00373ED3"/>
    <w:rsid w:val="0037413C"/>
    <w:rsid w:val="00375885"/>
    <w:rsid w:val="003769E0"/>
    <w:rsid w:val="00376F52"/>
    <w:rsid w:val="003776E8"/>
    <w:rsid w:val="00380B20"/>
    <w:rsid w:val="00385636"/>
    <w:rsid w:val="00387DFE"/>
    <w:rsid w:val="00392733"/>
    <w:rsid w:val="003969D7"/>
    <w:rsid w:val="003970A2"/>
    <w:rsid w:val="00397824"/>
    <w:rsid w:val="00397B02"/>
    <w:rsid w:val="003A0117"/>
    <w:rsid w:val="003A0472"/>
    <w:rsid w:val="003A2729"/>
    <w:rsid w:val="003A39EC"/>
    <w:rsid w:val="003A4EE4"/>
    <w:rsid w:val="003B00B0"/>
    <w:rsid w:val="003B0FC4"/>
    <w:rsid w:val="003B29F8"/>
    <w:rsid w:val="003B2CAE"/>
    <w:rsid w:val="003B4A13"/>
    <w:rsid w:val="003B4AA6"/>
    <w:rsid w:val="003B539B"/>
    <w:rsid w:val="003B5F93"/>
    <w:rsid w:val="003B6253"/>
    <w:rsid w:val="003B6435"/>
    <w:rsid w:val="003B6466"/>
    <w:rsid w:val="003C0A75"/>
    <w:rsid w:val="003C3CED"/>
    <w:rsid w:val="003C478C"/>
    <w:rsid w:val="003C76F0"/>
    <w:rsid w:val="003C7B72"/>
    <w:rsid w:val="003D016C"/>
    <w:rsid w:val="003D1381"/>
    <w:rsid w:val="003D154A"/>
    <w:rsid w:val="003D1582"/>
    <w:rsid w:val="003D1DF3"/>
    <w:rsid w:val="003D27F7"/>
    <w:rsid w:val="003D3235"/>
    <w:rsid w:val="003D41C9"/>
    <w:rsid w:val="003D4270"/>
    <w:rsid w:val="003D5A27"/>
    <w:rsid w:val="003D5DDC"/>
    <w:rsid w:val="003D6275"/>
    <w:rsid w:val="003D6B8D"/>
    <w:rsid w:val="003D6BC9"/>
    <w:rsid w:val="003D6F22"/>
    <w:rsid w:val="003D705D"/>
    <w:rsid w:val="003D7515"/>
    <w:rsid w:val="003D7E4C"/>
    <w:rsid w:val="003E2E2D"/>
    <w:rsid w:val="003E39A9"/>
    <w:rsid w:val="003E41C2"/>
    <w:rsid w:val="003E4E41"/>
    <w:rsid w:val="003E559D"/>
    <w:rsid w:val="003E6CB2"/>
    <w:rsid w:val="003F0BBC"/>
    <w:rsid w:val="003F132B"/>
    <w:rsid w:val="003F183E"/>
    <w:rsid w:val="003F4FDA"/>
    <w:rsid w:val="003F532A"/>
    <w:rsid w:val="003F7AEF"/>
    <w:rsid w:val="003F7C54"/>
    <w:rsid w:val="00400327"/>
    <w:rsid w:val="00401750"/>
    <w:rsid w:val="0040370C"/>
    <w:rsid w:val="004039DF"/>
    <w:rsid w:val="0040520B"/>
    <w:rsid w:val="0041040B"/>
    <w:rsid w:val="0041061E"/>
    <w:rsid w:val="00412C96"/>
    <w:rsid w:val="00412D7D"/>
    <w:rsid w:val="0041445C"/>
    <w:rsid w:val="004148B8"/>
    <w:rsid w:val="004149BA"/>
    <w:rsid w:val="00415493"/>
    <w:rsid w:val="00415783"/>
    <w:rsid w:val="00417CFB"/>
    <w:rsid w:val="00421BC3"/>
    <w:rsid w:val="0042253B"/>
    <w:rsid w:val="00424852"/>
    <w:rsid w:val="004252EC"/>
    <w:rsid w:val="00425A0F"/>
    <w:rsid w:val="00426F52"/>
    <w:rsid w:val="004315A9"/>
    <w:rsid w:val="00432644"/>
    <w:rsid w:val="00436434"/>
    <w:rsid w:val="00437683"/>
    <w:rsid w:val="004377B1"/>
    <w:rsid w:val="00437909"/>
    <w:rsid w:val="00441995"/>
    <w:rsid w:val="004428F4"/>
    <w:rsid w:val="00442F7A"/>
    <w:rsid w:val="00443DAE"/>
    <w:rsid w:val="00444B3E"/>
    <w:rsid w:val="004452FA"/>
    <w:rsid w:val="00445B51"/>
    <w:rsid w:val="00446343"/>
    <w:rsid w:val="0044699C"/>
    <w:rsid w:val="00447B19"/>
    <w:rsid w:val="00450A06"/>
    <w:rsid w:val="00453BE7"/>
    <w:rsid w:val="00460833"/>
    <w:rsid w:val="00460FE3"/>
    <w:rsid w:val="0046133D"/>
    <w:rsid w:val="004650DF"/>
    <w:rsid w:val="004651D3"/>
    <w:rsid w:val="0046709E"/>
    <w:rsid w:val="00467873"/>
    <w:rsid w:val="00472082"/>
    <w:rsid w:val="00473B32"/>
    <w:rsid w:val="00474748"/>
    <w:rsid w:val="004753E6"/>
    <w:rsid w:val="00475C15"/>
    <w:rsid w:val="004775F8"/>
    <w:rsid w:val="0048222C"/>
    <w:rsid w:val="0048599B"/>
    <w:rsid w:val="004866B5"/>
    <w:rsid w:val="00487604"/>
    <w:rsid w:val="00487AF1"/>
    <w:rsid w:val="00487B53"/>
    <w:rsid w:val="004918D9"/>
    <w:rsid w:val="0049772C"/>
    <w:rsid w:val="004A1976"/>
    <w:rsid w:val="004A2DC9"/>
    <w:rsid w:val="004A370E"/>
    <w:rsid w:val="004A576C"/>
    <w:rsid w:val="004A7B8A"/>
    <w:rsid w:val="004B4434"/>
    <w:rsid w:val="004B6F4B"/>
    <w:rsid w:val="004B7092"/>
    <w:rsid w:val="004B70BE"/>
    <w:rsid w:val="004B750E"/>
    <w:rsid w:val="004C19BB"/>
    <w:rsid w:val="004C2A64"/>
    <w:rsid w:val="004D1A73"/>
    <w:rsid w:val="004D1AED"/>
    <w:rsid w:val="004D497E"/>
    <w:rsid w:val="004D784C"/>
    <w:rsid w:val="004E140B"/>
    <w:rsid w:val="004E2D10"/>
    <w:rsid w:val="004E3705"/>
    <w:rsid w:val="004E5C7A"/>
    <w:rsid w:val="004E5CC5"/>
    <w:rsid w:val="004F0447"/>
    <w:rsid w:val="004F1681"/>
    <w:rsid w:val="004F20C3"/>
    <w:rsid w:val="004F2DDB"/>
    <w:rsid w:val="004F2F83"/>
    <w:rsid w:val="004F3021"/>
    <w:rsid w:val="004F42E4"/>
    <w:rsid w:val="00500D86"/>
    <w:rsid w:val="00503CE6"/>
    <w:rsid w:val="0050658C"/>
    <w:rsid w:val="00507413"/>
    <w:rsid w:val="005121E1"/>
    <w:rsid w:val="00513561"/>
    <w:rsid w:val="00515E0C"/>
    <w:rsid w:val="00516F2C"/>
    <w:rsid w:val="0051794E"/>
    <w:rsid w:val="005246DA"/>
    <w:rsid w:val="005264BF"/>
    <w:rsid w:val="0052746A"/>
    <w:rsid w:val="00530915"/>
    <w:rsid w:val="00531230"/>
    <w:rsid w:val="00534556"/>
    <w:rsid w:val="0053690B"/>
    <w:rsid w:val="005418E6"/>
    <w:rsid w:val="00541BEC"/>
    <w:rsid w:val="00541D49"/>
    <w:rsid w:val="0054232B"/>
    <w:rsid w:val="00543C85"/>
    <w:rsid w:val="00545B14"/>
    <w:rsid w:val="00545F28"/>
    <w:rsid w:val="00547514"/>
    <w:rsid w:val="00550A5E"/>
    <w:rsid w:val="00552B53"/>
    <w:rsid w:val="00552D2C"/>
    <w:rsid w:val="00552EEB"/>
    <w:rsid w:val="00553E6B"/>
    <w:rsid w:val="0055675B"/>
    <w:rsid w:val="00562347"/>
    <w:rsid w:val="00563945"/>
    <w:rsid w:val="00566B54"/>
    <w:rsid w:val="00574918"/>
    <w:rsid w:val="005752E9"/>
    <w:rsid w:val="00580C67"/>
    <w:rsid w:val="005816BF"/>
    <w:rsid w:val="00582686"/>
    <w:rsid w:val="005840F6"/>
    <w:rsid w:val="00584663"/>
    <w:rsid w:val="00584DCF"/>
    <w:rsid w:val="005852AF"/>
    <w:rsid w:val="005866B7"/>
    <w:rsid w:val="005900BD"/>
    <w:rsid w:val="005912C3"/>
    <w:rsid w:val="00593C92"/>
    <w:rsid w:val="005941A7"/>
    <w:rsid w:val="00595381"/>
    <w:rsid w:val="005972A3"/>
    <w:rsid w:val="00597473"/>
    <w:rsid w:val="00597D19"/>
    <w:rsid w:val="005A222F"/>
    <w:rsid w:val="005A379B"/>
    <w:rsid w:val="005A562D"/>
    <w:rsid w:val="005A78C4"/>
    <w:rsid w:val="005A7AFA"/>
    <w:rsid w:val="005A7BDE"/>
    <w:rsid w:val="005A7C00"/>
    <w:rsid w:val="005B041A"/>
    <w:rsid w:val="005B05AD"/>
    <w:rsid w:val="005B1EFF"/>
    <w:rsid w:val="005B44F1"/>
    <w:rsid w:val="005B487D"/>
    <w:rsid w:val="005B48C1"/>
    <w:rsid w:val="005B77AD"/>
    <w:rsid w:val="005B77E9"/>
    <w:rsid w:val="005B7922"/>
    <w:rsid w:val="005B7AA7"/>
    <w:rsid w:val="005C3907"/>
    <w:rsid w:val="005C3C0D"/>
    <w:rsid w:val="005C3F9C"/>
    <w:rsid w:val="005C5CDB"/>
    <w:rsid w:val="005C70E7"/>
    <w:rsid w:val="005C7383"/>
    <w:rsid w:val="005D1571"/>
    <w:rsid w:val="005D1D22"/>
    <w:rsid w:val="005D2C8D"/>
    <w:rsid w:val="005D4AE8"/>
    <w:rsid w:val="005D6608"/>
    <w:rsid w:val="005D75E1"/>
    <w:rsid w:val="005E17A8"/>
    <w:rsid w:val="005E191C"/>
    <w:rsid w:val="005E260E"/>
    <w:rsid w:val="005E2F9B"/>
    <w:rsid w:val="005E5B2D"/>
    <w:rsid w:val="005E7B47"/>
    <w:rsid w:val="005F1CD8"/>
    <w:rsid w:val="005F2EE7"/>
    <w:rsid w:val="005F6004"/>
    <w:rsid w:val="005F71F9"/>
    <w:rsid w:val="005F71FE"/>
    <w:rsid w:val="005F7BE8"/>
    <w:rsid w:val="00604401"/>
    <w:rsid w:val="0060458E"/>
    <w:rsid w:val="00611A5D"/>
    <w:rsid w:val="00613CB3"/>
    <w:rsid w:val="00614754"/>
    <w:rsid w:val="00614CAA"/>
    <w:rsid w:val="00614D14"/>
    <w:rsid w:val="00615397"/>
    <w:rsid w:val="006155AB"/>
    <w:rsid w:val="00615C12"/>
    <w:rsid w:val="00615F41"/>
    <w:rsid w:val="00617223"/>
    <w:rsid w:val="006223CD"/>
    <w:rsid w:val="00622E75"/>
    <w:rsid w:val="006234F3"/>
    <w:rsid w:val="006257E5"/>
    <w:rsid w:val="00625AA5"/>
    <w:rsid w:val="00625FA8"/>
    <w:rsid w:val="00626066"/>
    <w:rsid w:val="00626475"/>
    <w:rsid w:val="006278E8"/>
    <w:rsid w:val="00627FC4"/>
    <w:rsid w:val="00630DA1"/>
    <w:rsid w:val="00632650"/>
    <w:rsid w:val="00633CE2"/>
    <w:rsid w:val="00634314"/>
    <w:rsid w:val="00635163"/>
    <w:rsid w:val="0063673A"/>
    <w:rsid w:val="00637E3C"/>
    <w:rsid w:val="00641304"/>
    <w:rsid w:val="00641E05"/>
    <w:rsid w:val="006459AD"/>
    <w:rsid w:val="00645A32"/>
    <w:rsid w:val="006464FC"/>
    <w:rsid w:val="00646778"/>
    <w:rsid w:val="0064799A"/>
    <w:rsid w:val="0065052F"/>
    <w:rsid w:val="00650975"/>
    <w:rsid w:val="0065145A"/>
    <w:rsid w:val="006525FE"/>
    <w:rsid w:val="006552EC"/>
    <w:rsid w:val="00656934"/>
    <w:rsid w:val="00661360"/>
    <w:rsid w:val="006615C3"/>
    <w:rsid w:val="00663B4F"/>
    <w:rsid w:val="00663D0D"/>
    <w:rsid w:val="00665B31"/>
    <w:rsid w:val="006661F0"/>
    <w:rsid w:val="006665BE"/>
    <w:rsid w:val="006671C8"/>
    <w:rsid w:val="0066753B"/>
    <w:rsid w:val="006723FE"/>
    <w:rsid w:val="00672B8C"/>
    <w:rsid w:val="00672C6C"/>
    <w:rsid w:val="00673C03"/>
    <w:rsid w:val="00675205"/>
    <w:rsid w:val="006767AA"/>
    <w:rsid w:val="006770F6"/>
    <w:rsid w:val="0068174C"/>
    <w:rsid w:val="006819B8"/>
    <w:rsid w:val="00682257"/>
    <w:rsid w:val="00683B26"/>
    <w:rsid w:val="006869A9"/>
    <w:rsid w:val="006876B7"/>
    <w:rsid w:val="00687714"/>
    <w:rsid w:val="00687FB2"/>
    <w:rsid w:val="00690C5C"/>
    <w:rsid w:val="00692ACF"/>
    <w:rsid w:val="006947B0"/>
    <w:rsid w:val="00694BEA"/>
    <w:rsid w:val="00697DA2"/>
    <w:rsid w:val="006A04FB"/>
    <w:rsid w:val="006A134A"/>
    <w:rsid w:val="006A4DD0"/>
    <w:rsid w:val="006A51B4"/>
    <w:rsid w:val="006A530C"/>
    <w:rsid w:val="006A5ED8"/>
    <w:rsid w:val="006A69BF"/>
    <w:rsid w:val="006A786F"/>
    <w:rsid w:val="006B05D3"/>
    <w:rsid w:val="006B31C8"/>
    <w:rsid w:val="006B3C9E"/>
    <w:rsid w:val="006B474A"/>
    <w:rsid w:val="006B5011"/>
    <w:rsid w:val="006B76C4"/>
    <w:rsid w:val="006C5BA5"/>
    <w:rsid w:val="006C62C2"/>
    <w:rsid w:val="006D3F30"/>
    <w:rsid w:val="006D7404"/>
    <w:rsid w:val="006E0832"/>
    <w:rsid w:val="006E0FA4"/>
    <w:rsid w:val="006E3D08"/>
    <w:rsid w:val="006E5504"/>
    <w:rsid w:val="006E5F9C"/>
    <w:rsid w:val="006E6AB7"/>
    <w:rsid w:val="006F0B00"/>
    <w:rsid w:val="006F0EE0"/>
    <w:rsid w:val="006F1214"/>
    <w:rsid w:val="006F44EB"/>
    <w:rsid w:val="006F5179"/>
    <w:rsid w:val="007008C8"/>
    <w:rsid w:val="00703E42"/>
    <w:rsid w:val="00704817"/>
    <w:rsid w:val="00705594"/>
    <w:rsid w:val="00705846"/>
    <w:rsid w:val="00705C14"/>
    <w:rsid w:val="00711919"/>
    <w:rsid w:val="00711C40"/>
    <w:rsid w:val="00711DF4"/>
    <w:rsid w:val="007170C9"/>
    <w:rsid w:val="00724F64"/>
    <w:rsid w:val="00725CF9"/>
    <w:rsid w:val="00725EC0"/>
    <w:rsid w:val="007263B8"/>
    <w:rsid w:val="007275AC"/>
    <w:rsid w:val="00727738"/>
    <w:rsid w:val="007330D5"/>
    <w:rsid w:val="0073473A"/>
    <w:rsid w:val="00734B64"/>
    <w:rsid w:val="00737D26"/>
    <w:rsid w:val="00741ABD"/>
    <w:rsid w:val="00742458"/>
    <w:rsid w:val="00743FF4"/>
    <w:rsid w:val="00746234"/>
    <w:rsid w:val="00747204"/>
    <w:rsid w:val="00753143"/>
    <w:rsid w:val="00753C5C"/>
    <w:rsid w:val="00754FE8"/>
    <w:rsid w:val="00756D2C"/>
    <w:rsid w:val="007614BE"/>
    <w:rsid w:val="00762DA2"/>
    <w:rsid w:val="007647FF"/>
    <w:rsid w:val="00764E3E"/>
    <w:rsid w:val="0076684C"/>
    <w:rsid w:val="00766D00"/>
    <w:rsid w:val="00767229"/>
    <w:rsid w:val="00772DB0"/>
    <w:rsid w:val="00773428"/>
    <w:rsid w:val="0077361B"/>
    <w:rsid w:val="0077377E"/>
    <w:rsid w:val="00773CF1"/>
    <w:rsid w:val="007747B7"/>
    <w:rsid w:val="00776EE9"/>
    <w:rsid w:val="00783623"/>
    <w:rsid w:val="007845C3"/>
    <w:rsid w:val="0078718D"/>
    <w:rsid w:val="00793D0B"/>
    <w:rsid w:val="007949AE"/>
    <w:rsid w:val="00794D8E"/>
    <w:rsid w:val="00794E80"/>
    <w:rsid w:val="00795140"/>
    <w:rsid w:val="00795E2A"/>
    <w:rsid w:val="007973E8"/>
    <w:rsid w:val="007979E2"/>
    <w:rsid w:val="007A1E04"/>
    <w:rsid w:val="007A4EC6"/>
    <w:rsid w:val="007A524D"/>
    <w:rsid w:val="007A5CC0"/>
    <w:rsid w:val="007B076E"/>
    <w:rsid w:val="007B3244"/>
    <w:rsid w:val="007B62E7"/>
    <w:rsid w:val="007B706D"/>
    <w:rsid w:val="007C0935"/>
    <w:rsid w:val="007C3BE9"/>
    <w:rsid w:val="007C423E"/>
    <w:rsid w:val="007C5BF7"/>
    <w:rsid w:val="007C5F3B"/>
    <w:rsid w:val="007D168A"/>
    <w:rsid w:val="007D2C60"/>
    <w:rsid w:val="007D3445"/>
    <w:rsid w:val="007D455B"/>
    <w:rsid w:val="007D46DA"/>
    <w:rsid w:val="007D58D8"/>
    <w:rsid w:val="007D5BEE"/>
    <w:rsid w:val="007D70A1"/>
    <w:rsid w:val="007D780E"/>
    <w:rsid w:val="007D7A39"/>
    <w:rsid w:val="007E1284"/>
    <w:rsid w:val="007E2028"/>
    <w:rsid w:val="007E34B9"/>
    <w:rsid w:val="007E4A1C"/>
    <w:rsid w:val="007E4B28"/>
    <w:rsid w:val="007E6604"/>
    <w:rsid w:val="007E758D"/>
    <w:rsid w:val="007E79C6"/>
    <w:rsid w:val="007E7C9C"/>
    <w:rsid w:val="007F05BD"/>
    <w:rsid w:val="007F12C2"/>
    <w:rsid w:val="007F13B4"/>
    <w:rsid w:val="007F30A4"/>
    <w:rsid w:val="007F33BD"/>
    <w:rsid w:val="007F37EE"/>
    <w:rsid w:val="007F492A"/>
    <w:rsid w:val="007F527F"/>
    <w:rsid w:val="007F796E"/>
    <w:rsid w:val="008001CB"/>
    <w:rsid w:val="00800BDD"/>
    <w:rsid w:val="00801CE1"/>
    <w:rsid w:val="00803E22"/>
    <w:rsid w:val="008063AF"/>
    <w:rsid w:val="008132E8"/>
    <w:rsid w:val="00821095"/>
    <w:rsid w:val="008223F5"/>
    <w:rsid w:val="00823407"/>
    <w:rsid w:val="00825A69"/>
    <w:rsid w:val="00830091"/>
    <w:rsid w:val="00830257"/>
    <w:rsid w:val="00833718"/>
    <w:rsid w:val="008340A0"/>
    <w:rsid w:val="00834F39"/>
    <w:rsid w:val="00835ED8"/>
    <w:rsid w:val="008370A3"/>
    <w:rsid w:val="00840111"/>
    <w:rsid w:val="008401D9"/>
    <w:rsid w:val="0084102E"/>
    <w:rsid w:val="008440EB"/>
    <w:rsid w:val="00844547"/>
    <w:rsid w:val="00846D5C"/>
    <w:rsid w:val="00847705"/>
    <w:rsid w:val="00850391"/>
    <w:rsid w:val="00852B0F"/>
    <w:rsid w:val="00852ED9"/>
    <w:rsid w:val="00852FBB"/>
    <w:rsid w:val="008541B4"/>
    <w:rsid w:val="00854C52"/>
    <w:rsid w:val="00855657"/>
    <w:rsid w:val="008609FD"/>
    <w:rsid w:val="00861A02"/>
    <w:rsid w:val="008637B2"/>
    <w:rsid w:val="00865453"/>
    <w:rsid w:val="00865C2D"/>
    <w:rsid w:val="00866A3B"/>
    <w:rsid w:val="00866AC9"/>
    <w:rsid w:val="00866D31"/>
    <w:rsid w:val="00867552"/>
    <w:rsid w:val="0086777E"/>
    <w:rsid w:val="00870E85"/>
    <w:rsid w:val="00871154"/>
    <w:rsid w:val="00871F0A"/>
    <w:rsid w:val="00871F6B"/>
    <w:rsid w:val="00872BE1"/>
    <w:rsid w:val="008738D0"/>
    <w:rsid w:val="00873BBF"/>
    <w:rsid w:val="0087438E"/>
    <w:rsid w:val="0087479A"/>
    <w:rsid w:val="00876EFF"/>
    <w:rsid w:val="008801DF"/>
    <w:rsid w:val="00880B3B"/>
    <w:rsid w:val="00881C6C"/>
    <w:rsid w:val="00882E17"/>
    <w:rsid w:val="00884DF4"/>
    <w:rsid w:val="00886305"/>
    <w:rsid w:val="00890842"/>
    <w:rsid w:val="0089308C"/>
    <w:rsid w:val="00893ECB"/>
    <w:rsid w:val="00894280"/>
    <w:rsid w:val="00896494"/>
    <w:rsid w:val="00896528"/>
    <w:rsid w:val="00896F94"/>
    <w:rsid w:val="0089796F"/>
    <w:rsid w:val="008A0926"/>
    <w:rsid w:val="008A1264"/>
    <w:rsid w:val="008A2164"/>
    <w:rsid w:val="008A3329"/>
    <w:rsid w:val="008A3C84"/>
    <w:rsid w:val="008A3F51"/>
    <w:rsid w:val="008A412F"/>
    <w:rsid w:val="008A4243"/>
    <w:rsid w:val="008A46B7"/>
    <w:rsid w:val="008A49DE"/>
    <w:rsid w:val="008B0184"/>
    <w:rsid w:val="008B08BC"/>
    <w:rsid w:val="008B24D4"/>
    <w:rsid w:val="008B31B3"/>
    <w:rsid w:val="008B5980"/>
    <w:rsid w:val="008B5CFF"/>
    <w:rsid w:val="008B6ABE"/>
    <w:rsid w:val="008C005D"/>
    <w:rsid w:val="008C0D16"/>
    <w:rsid w:val="008C12A4"/>
    <w:rsid w:val="008C19A5"/>
    <w:rsid w:val="008C1B7F"/>
    <w:rsid w:val="008C5D02"/>
    <w:rsid w:val="008C5E3B"/>
    <w:rsid w:val="008C6448"/>
    <w:rsid w:val="008C6861"/>
    <w:rsid w:val="008C7046"/>
    <w:rsid w:val="008C7A21"/>
    <w:rsid w:val="008D2649"/>
    <w:rsid w:val="008D2E73"/>
    <w:rsid w:val="008D3035"/>
    <w:rsid w:val="008D4E4B"/>
    <w:rsid w:val="008D517D"/>
    <w:rsid w:val="008D61DB"/>
    <w:rsid w:val="008D6F46"/>
    <w:rsid w:val="008D7507"/>
    <w:rsid w:val="008E2034"/>
    <w:rsid w:val="008E34E5"/>
    <w:rsid w:val="008E3E9E"/>
    <w:rsid w:val="008E6F82"/>
    <w:rsid w:val="008F0FAD"/>
    <w:rsid w:val="008F1738"/>
    <w:rsid w:val="008F385E"/>
    <w:rsid w:val="008F43F4"/>
    <w:rsid w:val="008F5656"/>
    <w:rsid w:val="008F611F"/>
    <w:rsid w:val="008F6DB8"/>
    <w:rsid w:val="008F791B"/>
    <w:rsid w:val="00904BF8"/>
    <w:rsid w:val="0090568D"/>
    <w:rsid w:val="00905B16"/>
    <w:rsid w:val="0091009B"/>
    <w:rsid w:val="0091036C"/>
    <w:rsid w:val="009125C9"/>
    <w:rsid w:val="0091361D"/>
    <w:rsid w:val="00913879"/>
    <w:rsid w:val="00913904"/>
    <w:rsid w:val="009145F6"/>
    <w:rsid w:val="00914DCB"/>
    <w:rsid w:val="00917661"/>
    <w:rsid w:val="00920BFC"/>
    <w:rsid w:val="009213ED"/>
    <w:rsid w:val="00922565"/>
    <w:rsid w:val="00923497"/>
    <w:rsid w:val="00923616"/>
    <w:rsid w:val="00923655"/>
    <w:rsid w:val="009247AB"/>
    <w:rsid w:val="0092519A"/>
    <w:rsid w:val="00927B51"/>
    <w:rsid w:val="00930C0E"/>
    <w:rsid w:val="00931166"/>
    <w:rsid w:val="00931D9E"/>
    <w:rsid w:val="00932B70"/>
    <w:rsid w:val="009356B9"/>
    <w:rsid w:val="009368F0"/>
    <w:rsid w:val="00936C6E"/>
    <w:rsid w:val="00937C5D"/>
    <w:rsid w:val="00940C00"/>
    <w:rsid w:val="0094270F"/>
    <w:rsid w:val="00943C3C"/>
    <w:rsid w:val="00944C7D"/>
    <w:rsid w:val="0094504C"/>
    <w:rsid w:val="009453A6"/>
    <w:rsid w:val="009454AD"/>
    <w:rsid w:val="0094567F"/>
    <w:rsid w:val="00946550"/>
    <w:rsid w:val="00946DF0"/>
    <w:rsid w:val="00952CC5"/>
    <w:rsid w:val="0095366E"/>
    <w:rsid w:val="00960422"/>
    <w:rsid w:val="00960A58"/>
    <w:rsid w:val="009621AE"/>
    <w:rsid w:val="009632BA"/>
    <w:rsid w:val="00963BD6"/>
    <w:rsid w:val="00965925"/>
    <w:rsid w:val="00966ACA"/>
    <w:rsid w:val="00966FB7"/>
    <w:rsid w:val="009701CD"/>
    <w:rsid w:val="00970E5D"/>
    <w:rsid w:val="009714F8"/>
    <w:rsid w:val="0097388D"/>
    <w:rsid w:val="00974488"/>
    <w:rsid w:val="009744DB"/>
    <w:rsid w:val="00975038"/>
    <w:rsid w:val="00975A9B"/>
    <w:rsid w:val="00975B52"/>
    <w:rsid w:val="0097701C"/>
    <w:rsid w:val="00980A65"/>
    <w:rsid w:val="0098243A"/>
    <w:rsid w:val="00982491"/>
    <w:rsid w:val="00993660"/>
    <w:rsid w:val="009950C9"/>
    <w:rsid w:val="00997D65"/>
    <w:rsid w:val="009A03DF"/>
    <w:rsid w:val="009A0CD8"/>
    <w:rsid w:val="009A162D"/>
    <w:rsid w:val="009A2062"/>
    <w:rsid w:val="009A3518"/>
    <w:rsid w:val="009A5EF1"/>
    <w:rsid w:val="009A5F06"/>
    <w:rsid w:val="009A6122"/>
    <w:rsid w:val="009A6975"/>
    <w:rsid w:val="009A7335"/>
    <w:rsid w:val="009A7F6E"/>
    <w:rsid w:val="009B0B9E"/>
    <w:rsid w:val="009B211E"/>
    <w:rsid w:val="009B2EE1"/>
    <w:rsid w:val="009B4C43"/>
    <w:rsid w:val="009B52BA"/>
    <w:rsid w:val="009B64AE"/>
    <w:rsid w:val="009B777D"/>
    <w:rsid w:val="009C0969"/>
    <w:rsid w:val="009C16F4"/>
    <w:rsid w:val="009C1A5F"/>
    <w:rsid w:val="009C2FAD"/>
    <w:rsid w:val="009C2FD4"/>
    <w:rsid w:val="009C3996"/>
    <w:rsid w:val="009C70A4"/>
    <w:rsid w:val="009C79CF"/>
    <w:rsid w:val="009D14CB"/>
    <w:rsid w:val="009D1BAF"/>
    <w:rsid w:val="009D2C36"/>
    <w:rsid w:val="009D40DF"/>
    <w:rsid w:val="009D4EE7"/>
    <w:rsid w:val="009D5044"/>
    <w:rsid w:val="009D5545"/>
    <w:rsid w:val="009D62F3"/>
    <w:rsid w:val="009D6E4F"/>
    <w:rsid w:val="009F15E1"/>
    <w:rsid w:val="009F3B03"/>
    <w:rsid w:val="009F4E63"/>
    <w:rsid w:val="009F799A"/>
    <w:rsid w:val="00A00928"/>
    <w:rsid w:val="00A00B0C"/>
    <w:rsid w:val="00A02D1A"/>
    <w:rsid w:val="00A036AB"/>
    <w:rsid w:val="00A0400D"/>
    <w:rsid w:val="00A06D3A"/>
    <w:rsid w:val="00A12EAA"/>
    <w:rsid w:val="00A14E7E"/>
    <w:rsid w:val="00A15262"/>
    <w:rsid w:val="00A168BA"/>
    <w:rsid w:val="00A16B9D"/>
    <w:rsid w:val="00A20E65"/>
    <w:rsid w:val="00A22400"/>
    <w:rsid w:val="00A22F09"/>
    <w:rsid w:val="00A23363"/>
    <w:rsid w:val="00A2383B"/>
    <w:rsid w:val="00A25E70"/>
    <w:rsid w:val="00A27983"/>
    <w:rsid w:val="00A30148"/>
    <w:rsid w:val="00A31EAD"/>
    <w:rsid w:val="00A33765"/>
    <w:rsid w:val="00A362C9"/>
    <w:rsid w:val="00A404F9"/>
    <w:rsid w:val="00A41892"/>
    <w:rsid w:val="00A41DDA"/>
    <w:rsid w:val="00A42C24"/>
    <w:rsid w:val="00A442F2"/>
    <w:rsid w:val="00A45568"/>
    <w:rsid w:val="00A46327"/>
    <w:rsid w:val="00A46C1E"/>
    <w:rsid w:val="00A47A15"/>
    <w:rsid w:val="00A47C6E"/>
    <w:rsid w:val="00A51F89"/>
    <w:rsid w:val="00A54A1C"/>
    <w:rsid w:val="00A55CA7"/>
    <w:rsid w:val="00A56070"/>
    <w:rsid w:val="00A56A56"/>
    <w:rsid w:val="00A57AA9"/>
    <w:rsid w:val="00A60AF6"/>
    <w:rsid w:val="00A62F73"/>
    <w:rsid w:val="00A63269"/>
    <w:rsid w:val="00A64080"/>
    <w:rsid w:val="00A64513"/>
    <w:rsid w:val="00A651D2"/>
    <w:rsid w:val="00A6550E"/>
    <w:rsid w:val="00A670D9"/>
    <w:rsid w:val="00A67EC3"/>
    <w:rsid w:val="00A7287D"/>
    <w:rsid w:val="00A73A7C"/>
    <w:rsid w:val="00A76C2C"/>
    <w:rsid w:val="00A8087A"/>
    <w:rsid w:val="00A80D9E"/>
    <w:rsid w:val="00A84556"/>
    <w:rsid w:val="00A8730C"/>
    <w:rsid w:val="00A90367"/>
    <w:rsid w:val="00A90686"/>
    <w:rsid w:val="00A92377"/>
    <w:rsid w:val="00A9584D"/>
    <w:rsid w:val="00A96459"/>
    <w:rsid w:val="00AA0115"/>
    <w:rsid w:val="00AA4727"/>
    <w:rsid w:val="00AA64A8"/>
    <w:rsid w:val="00AA7474"/>
    <w:rsid w:val="00AB0E88"/>
    <w:rsid w:val="00AB28CB"/>
    <w:rsid w:val="00AB29ED"/>
    <w:rsid w:val="00AB7D98"/>
    <w:rsid w:val="00AC05C5"/>
    <w:rsid w:val="00AC0980"/>
    <w:rsid w:val="00AC1BD8"/>
    <w:rsid w:val="00AC30DF"/>
    <w:rsid w:val="00AC463E"/>
    <w:rsid w:val="00AC635B"/>
    <w:rsid w:val="00AC70EE"/>
    <w:rsid w:val="00AC7556"/>
    <w:rsid w:val="00AD0A8C"/>
    <w:rsid w:val="00AD1CF5"/>
    <w:rsid w:val="00AD3505"/>
    <w:rsid w:val="00AD38B6"/>
    <w:rsid w:val="00AD3C0F"/>
    <w:rsid w:val="00AD4CA9"/>
    <w:rsid w:val="00AD56A3"/>
    <w:rsid w:val="00AD6E83"/>
    <w:rsid w:val="00AD7DF4"/>
    <w:rsid w:val="00AE10F6"/>
    <w:rsid w:val="00AE1D88"/>
    <w:rsid w:val="00AE4BD8"/>
    <w:rsid w:val="00AE731D"/>
    <w:rsid w:val="00AE7685"/>
    <w:rsid w:val="00AF15AA"/>
    <w:rsid w:val="00AF1C85"/>
    <w:rsid w:val="00AF5053"/>
    <w:rsid w:val="00AF60D0"/>
    <w:rsid w:val="00AF6A1C"/>
    <w:rsid w:val="00AF7015"/>
    <w:rsid w:val="00B034B7"/>
    <w:rsid w:val="00B03E99"/>
    <w:rsid w:val="00B063F8"/>
    <w:rsid w:val="00B06AD1"/>
    <w:rsid w:val="00B0712E"/>
    <w:rsid w:val="00B07BC7"/>
    <w:rsid w:val="00B11A75"/>
    <w:rsid w:val="00B13B41"/>
    <w:rsid w:val="00B13E26"/>
    <w:rsid w:val="00B14C76"/>
    <w:rsid w:val="00B15484"/>
    <w:rsid w:val="00B15988"/>
    <w:rsid w:val="00B15C20"/>
    <w:rsid w:val="00B16A73"/>
    <w:rsid w:val="00B17BF6"/>
    <w:rsid w:val="00B23D0A"/>
    <w:rsid w:val="00B243AB"/>
    <w:rsid w:val="00B276DE"/>
    <w:rsid w:val="00B30A14"/>
    <w:rsid w:val="00B31B0C"/>
    <w:rsid w:val="00B3287B"/>
    <w:rsid w:val="00B33BA5"/>
    <w:rsid w:val="00B37975"/>
    <w:rsid w:val="00B40195"/>
    <w:rsid w:val="00B42301"/>
    <w:rsid w:val="00B4388F"/>
    <w:rsid w:val="00B44E63"/>
    <w:rsid w:val="00B45A1A"/>
    <w:rsid w:val="00B45AFF"/>
    <w:rsid w:val="00B4739F"/>
    <w:rsid w:val="00B51E0B"/>
    <w:rsid w:val="00B53484"/>
    <w:rsid w:val="00B54592"/>
    <w:rsid w:val="00B54E36"/>
    <w:rsid w:val="00B55116"/>
    <w:rsid w:val="00B5595F"/>
    <w:rsid w:val="00B55C11"/>
    <w:rsid w:val="00B60B3C"/>
    <w:rsid w:val="00B610FA"/>
    <w:rsid w:val="00B61AED"/>
    <w:rsid w:val="00B626C1"/>
    <w:rsid w:val="00B63237"/>
    <w:rsid w:val="00B6630E"/>
    <w:rsid w:val="00B666E2"/>
    <w:rsid w:val="00B705E9"/>
    <w:rsid w:val="00B70E7D"/>
    <w:rsid w:val="00B70ED2"/>
    <w:rsid w:val="00B70EEF"/>
    <w:rsid w:val="00B7125D"/>
    <w:rsid w:val="00B74C87"/>
    <w:rsid w:val="00B750F7"/>
    <w:rsid w:val="00B753C4"/>
    <w:rsid w:val="00B76459"/>
    <w:rsid w:val="00B76842"/>
    <w:rsid w:val="00B77707"/>
    <w:rsid w:val="00B86DE4"/>
    <w:rsid w:val="00B90FB3"/>
    <w:rsid w:val="00B91C0F"/>
    <w:rsid w:val="00B9299F"/>
    <w:rsid w:val="00B939A7"/>
    <w:rsid w:val="00B93BCF"/>
    <w:rsid w:val="00B93E97"/>
    <w:rsid w:val="00B95412"/>
    <w:rsid w:val="00B95530"/>
    <w:rsid w:val="00B963D2"/>
    <w:rsid w:val="00B96F93"/>
    <w:rsid w:val="00BA0391"/>
    <w:rsid w:val="00BA511C"/>
    <w:rsid w:val="00BA55A1"/>
    <w:rsid w:val="00BA592A"/>
    <w:rsid w:val="00BA6BCA"/>
    <w:rsid w:val="00BB06DE"/>
    <w:rsid w:val="00BB0ACD"/>
    <w:rsid w:val="00BB17B3"/>
    <w:rsid w:val="00BB1AB3"/>
    <w:rsid w:val="00BB2008"/>
    <w:rsid w:val="00BB2CDE"/>
    <w:rsid w:val="00BB4410"/>
    <w:rsid w:val="00BC0EE1"/>
    <w:rsid w:val="00BC20E4"/>
    <w:rsid w:val="00BC2BFD"/>
    <w:rsid w:val="00BC458E"/>
    <w:rsid w:val="00BC5E1F"/>
    <w:rsid w:val="00BC7833"/>
    <w:rsid w:val="00BD0014"/>
    <w:rsid w:val="00BD4290"/>
    <w:rsid w:val="00BD6C26"/>
    <w:rsid w:val="00BE1228"/>
    <w:rsid w:val="00BE16A6"/>
    <w:rsid w:val="00BE34FB"/>
    <w:rsid w:val="00BE5D9B"/>
    <w:rsid w:val="00BE70F7"/>
    <w:rsid w:val="00BF01EC"/>
    <w:rsid w:val="00BF0317"/>
    <w:rsid w:val="00BF0333"/>
    <w:rsid w:val="00BF2209"/>
    <w:rsid w:val="00BF3C19"/>
    <w:rsid w:val="00BF3DF4"/>
    <w:rsid w:val="00BF502D"/>
    <w:rsid w:val="00BF61F1"/>
    <w:rsid w:val="00BF759B"/>
    <w:rsid w:val="00C029B8"/>
    <w:rsid w:val="00C05DC9"/>
    <w:rsid w:val="00C078EE"/>
    <w:rsid w:val="00C07B6A"/>
    <w:rsid w:val="00C1006D"/>
    <w:rsid w:val="00C11DBF"/>
    <w:rsid w:val="00C1463C"/>
    <w:rsid w:val="00C15A45"/>
    <w:rsid w:val="00C16EAE"/>
    <w:rsid w:val="00C17D4B"/>
    <w:rsid w:val="00C17D4C"/>
    <w:rsid w:val="00C20803"/>
    <w:rsid w:val="00C22839"/>
    <w:rsid w:val="00C23518"/>
    <w:rsid w:val="00C240CC"/>
    <w:rsid w:val="00C272D9"/>
    <w:rsid w:val="00C27388"/>
    <w:rsid w:val="00C300EA"/>
    <w:rsid w:val="00C3094D"/>
    <w:rsid w:val="00C35EB8"/>
    <w:rsid w:val="00C36422"/>
    <w:rsid w:val="00C364DC"/>
    <w:rsid w:val="00C377E3"/>
    <w:rsid w:val="00C4193E"/>
    <w:rsid w:val="00C43B6F"/>
    <w:rsid w:val="00C43E1F"/>
    <w:rsid w:val="00C43FA9"/>
    <w:rsid w:val="00C44D4A"/>
    <w:rsid w:val="00C45EDA"/>
    <w:rsid w:val="00C507E0"/>
    <w:rsid w:val="00C50E95"/>
    <w:rsid w:val="00C53B12"/>
    <w:rsid w:val="00C54A3A"/>
    <w:rsid w:val="00C54D36"/>
    <w:rsid w:val="00C56CF7"/>
    <w:rsid w:val="00C570EF"/>
    <w:rsid w:val="00C57AC1"/>
    <w:rsid w:val="00C62A9C"/>
    <w:rsid w:val="00C6345A"/>
    <w:rsid w:val="00C66207"/>
    <w:rsid w:val="00C6776B"/>
    <w:rsid w:val="00C7026A"/>
    <w:rsid w:val="00C705C8"/>
    <w:rsid w:val="00C705ED"/>
    <w:rsid w:val="00C70F35"/>
    <w:rsid w:val="00C77FD7"/>
    <w:rsid w:val="00C81128"/>
    <w:rsid w:val="00C81A8D"/>
    <w:rsid w:val="00C82545"/>
    <w:rsid w:val="00C8483F"/>
    <w:rsid w:val="00C84E4C"/>
    <w:rsid w:val="00C84FEE"/>
    <w:rsid w:val="00C85661"/>
    <w:rsid w:val="00C916D0"/>
    <w:rsid w:val="00C960DC"/>
    <w:rsid w:val="00C9694A"/>
    <w:rsid w:val="00CA0242"/>
    <w:rsid w:val="00CA2818"/>
    <w:rsid w:val="00CA2A2A"/>
    <w:rsid w:val="00CA55AE"/>
    <w:rsid w:val="00CA603D"/>
    <w:rsid w:val="00CA63AA"/>
    <w:rsid w:val="00CA659B"/>
    <w:rsid w:val="00CA73BF"/>
    <w:rsid w:val="00CA7547"/>
    <w:rsid w:val="00CB0ABE"/>
    <w:rsid w:val="00CB54F1"/>
    <w:rsid w:val="00CC0C14"/>
    <w:rsid w:val="00CC158C"/>
    <w:rsid w:val="00CC1FE9"/>
    <w:rsid w:val="00CC32AE"/>
    <w:rsid w:val="00CC4AE1"/>
    <w:rsid w:val="00CC629C"/>
    <w:rsid w:val="00CC7BC1"/>
    <w:rsid w:val="00CD2779"/>
    <w:rsid w:val="00CD3463"/>
    <w:rsid w:val="00CD3A64"/>
    <w:rsid w:val="00CD4850"/>
    <w:rsid w:val="00CD5DAC"/>
    <w:rsid w:val="00CD66E7"/>
    <w:rsid w:val="00CD687A"/>
    <w:rsid w:val="00CD6D70"/>
    <w:rsid w:val="00CD7AAF"/>
    <w:rsid w:val="00CD7ABF"/>
    <w:rsid w:val="00CE1A97"/>
    <w:rsid w:val="00CE36BF"/>
    <w:rsid w:val="00CE59E0"/>
    <w:rsid w:val="00CF357B"/>
    <w:rsid w:val="00D01BBB"/>
    <w:rsid w:val="00D02C75"/>
    <w:rsid w:val="00D04EAB"/>
    <w:rsid w:val="00D10913"/>
    <w:rsid w:val="00D10967"/>
    <w:rsid w:val="00D10E22"/>
    <w:rsid w:val="00D111E9"/>
    <w:rsid w:val="00D113E3"/>
    <w:rsid w:val="00D12D9A"/>
    <w:rsid w:val="00D13AF5"/>
    <w:rsid w:val="00D13D2C"/>
    <w:rsid w:val="00D13D54"/>
    <w:rsid w:val="00D14360"/>
    <w:rsid w:val="00D14979"/>
    <w:rsid w:val="00D14BB5"/>
    <w:rsid w:val="00D14D51"/>
    <w:rsid w:val="00D16C66"/>
    <w:rsid w:val="00D212B5"/>
    <w:rsid w:val="00D21EB4"/>
    <w:rsid w:val="00D24F56"/>
    <w:rsid w:val="00D258A4"/>
    <w:rsid w:val="00D259D6"/>
    <w:rsid w:val="00D270F8"/>
    <w:rsid w:val="00D3374D"/>
    <w:rsid w:val="00D34A57"/>
    <w:rsid w:val="00D3504D"/>
    <w:rsid w:val="00D35F1D"/>
    <w:rsid w:val="00D37F9D"/>
    <w:rsid w:val="00D44564"/>
    <w:rsid w:val="00D460B5"/>
    <w:rsid w:val="00D46AD8"/>
    <w:rsid w:val="00D4795A"/>
    <w:rsid w:val="00D5024D"/>
    <w:rsid w:val="00D524F7"/>
    <w:rsid w:val="00D52FD0"/>
    <w:rsid w:val="00D530E4"/>
    <w:rsid w:val="00D53324"/>
    <w:rsid w:val="00D53687"/>
    <w:rsid w:val="00D53CEE"/>
    <w:rsid w:val="00D547BD"/>
    <w:rsid w:val="00D54907"/>
    <w:rsid w:val="00D56349"/>
    <w:rsid w:val="00D61E13"/>
    <w:rsid w:val="00D62998"/>
    <w:rsid w:val="00D62AEF"/>
    <w:rsid w:val="00D64686"/>
    <w:rsid w:val="00D64713"/>
    <w:rsid w:val="00D653ED"/>
    <w:rsid w:val="00D70051"/>
    <w:rsid w:val="00D70DEA"/>
    <w:rsid w:val="00D74BE3"/>
    <w:rsid w:val="00D76636"/>
    <w:rsid w:val="00D818C7"/>
    <w:rsid w:val="00D81B65"/>
    <w:rsid w:val="00D82EA5"/>
    <w:rsid w:val="00D83045"/>
    <w:rsid w:val="00D8423D"/>
    <w:rsid w:val="00D84505"/>
    <w:rsid w:val="00D86D76"/>
    <w:rsid w:val="00D90CCB"/>
    <w:rsid w:val="00D91ACA"/>
    <w:rsid w:val="00D92247"/>
    <w:rsid w:val="00D92BDF"/>
    <w:rsid w:val="00D92F8E"/>
    <w:rsid w:val="00D94E98"/>
    <w:rsid w:val="00D9604A"/>
    <w:rsid w:val="00D96A88"/>
    <w:rsid w:val="00D96FB8"/>
    <w:rsid w:val="00DA179A"/>
    <w:rsid w:val="00DA210F"/>
    <w:rsid w:val="00DA3AC6"/>
    <w:rsid w:val="00DB0536"/>
    <w:rsid w:val="00DB0669"/>
    <w:rsid w:val="00DB3256"/>
    <w:rsid w:val="00DB3DCE"/>
    <w:rsid w:val="00DB43CE"/>
    <w:rsid w:val="00DB530F"/>
    <w:rsid w:val="00DB59BF"/>
    <w:rsid w:val="00DB6660"/>
    <w:rsid w:val="00DC0ED2"/>
    <w:rsid w:val="00DC20F3"/>
    <w:rsid w:val="00DC23F5"/>
    <w:rsid w:val="00DC2F94"/>
    <w:rsid w:val="00DC32C9"/>
    <w:rsid w:val="00DC4066"/>
    <w:rsid w:val="00DC5FD0"/>
    <w:rsid w:val="00DC621E"/>
    <w:rsid w:val="00DC6BE1"/>
    <w:rsid w:val="00DD0A9A"/>
    <w:rsid w:val="00DD0DDE"/>
    <w:rsid w:val="00DD1882"/>
    <w:rsid w:val="00DD38E1"/>
    <w:rsid w:val="00DD3D9E"/>
    <w:rsid w:val="00DD3FC5"/>
    <w:rsid w:val="00DD5812"/>
    <w:rsid w:val="00DD59CD"/>
    <w:rsid w:val="00DD63F5"/>
    <w:rsid w:val="00DD6CA4"/>
    <w:rsid w:val="00DD76AB"/>
    <w:rsid w:val="00DD7908"/>
    <w:rsid w:val="00DE07DA"/>
    <w:rsid w:val="00DE1BD6"/>
    <w:rsid w:val="00DE2667"/>
    <w:rsid w:val="00DE2721"/>
    <w:rsid w:val="00DE3E67"/>
    <w:rsid w:val="00DE3EF3"/>
    <w:rsid w:val="00DE5447"/>
    <w:rsid w:val="00DE55E6"/>
    <w:rsid w:val="00DE62D1"/>
    <w:rsid w:val="00DE77D7"/>
    <w:rsid w:val="00DF1786"/>
    <w:rsid w:val="00DF1CAC"/>
    <w:rsid w:val="00DF208A"/>
    <w:rsid w:val="00DF20A0"/>
    <w:rsid w:val="00DF7465"/>
    <w:rsid w:val="00E034C7"/>
    <w:rsid w:val="00E03E88"/>
    <w:rsid w:val="00E05AAF"/>
    <w:rsid w:val="00E1076B"/>
    <w:rsid w:val="00E1121A"/>
    <w:rsid w:val="00E126B5"/>
    <w:rsid w:val="00E12784"/>
    <w:rsid w:val="00E140DA"/>
    <w:rsid w:val="00E1526A"/>
    <w:rsid w:val="00E15415"/>
    <w:rsid w:val="00E15E2E"/>
    <w:rsid w:val="00E16A6D"/>
    <w:rsid w:val="00E16F46"/>
    <w:rsid w:val="00E20B97"/>
    <w:rsid w:val="00E20E52"/>
    <w:rsid w:val="00E24A3D"/>
    <w:rsid w:val="00E24AF0"/>
    <w:rsid w:val="00E2581F"/>
    <w:rsid w:val="00E25AEE"/>
    <w:rsid w:val="00E268A6"/>
    <w:rsid w:val="00E27C08"/>
    <w:rsid w:val="00E31220"/>
    <w:rsid w:val="00E34310"/>
    <w:rsid w:val="00E34628"/>
    <w:rsid w:val="00E348D2"/>
    <w:rsid w:val="00E34CFE"/>
    <w:rsid w:val="00E35A74"/>
    <w:rsid w:val="00E362BE"/>
    <w:rsid w:val="00E37C1A"/>
    <w:rsid w:val="00E40D23"/>
    <w:rsid w:val="00E52E74"/>
    <w:rsid w:val="00E53FBD"/>
    <w:rsid w:val="00E55825"/>
    <w:rsid w:val="00E56B9E"/>
    <w:rsid w:val="00E6005A"/>
    <w:rsid w:val="00E60A09"/>
    <w:rsid w:val="00E61189"/>
    <w:rsid w:val="00E61962"/>
    <w:rsid w:val="00E622A2"/>
    <w:rsid w:val="00E6310E"/>
    <w:rsid w:val="00E65424"/>
    <w:rsid w:val="00E677D7"/>
    <w:rsid w:val="00E751C8"/>
    <w:rsid w:val="00E752D4"/>
    <w:rsid w:val="00E75AC3"/>
    <w:rsid w:val="00E75DE8"/>
    <w:rsid w:val="00E766EE"/>
    <w:rsid w:val="00E8041E"/>
    <w:rsid w:val="00E82297"/>
    <w:rsid w:val="00E829D5"/>
    <w:rsid w:val="00E82E4F"/>
    <w:rsid w:val="00E83274"/>
    <w:rsid w:val="00E84197"/>
    <w:rsid w:val="00E860C2"/>
    <w:rsid w:val="00E86606"/>
    <w:rsid w:val="00E86E66"/>
    <w:rsid w:val="00E8754D"/>
    <w:rsid w:val="00E909E1"/>
    <w:rsid w:val="00E91413"/>
    <w:rsid w:val="00E92658"/>
    <w:rsid w:val="00E97B17"/>
    <w:rsid w:val="00E97C19"/>
    <w:rsid w:val="00E97D00"/>
    <w:rsid w:val="00EA23BD"/>
    <w:rsid w:val="00EA2733"/>
    <w:rsid w:val="00EA57DC"/>
    <w:rsid w:val="00EB2B9A"/>
    <w:rsid w:val="00EB6D86"/>
    <w:rsid w:val="00EC0F38"/>
    <w:rsid w:val="00EC1037"/>
    <w:rsid w:val="00EC3214"/>
    <w:rsid w:val="00EC74AB"/>
    <w:rsid w:val="00ED2BD3"/>
    <w:rsid w:val="00ED3AD6"/>
    <w:rsid w:val="00ED4279"/>
    <w:rsid w:val="00EE02AF"/>
    <w:rsid w:val="00EE0B3D"/>
    <w:rsid w:val="00EE2778"/>
    <w:rsid w:val="00EE5A5E"/>
    <w:rsid w:val="00EE5BDD"/>
    <w:rsid w:val="00EE6843"/>
    <w:rsid w:val="00EE74CF"/>
    <w:rsid w:val="00EF1A4E"/>
    <w:rsid w:val="00EF1DA9"/>
    <w:rsid w:val="00EF2023"/>
    <w:rsid w:val="00EF39FD"/>
    <w:rsid w:val="00EF5AAA"/>
    <w:rsid w:val="00EF68D4"/>
    <w:rsid w:val="00EF73BA"/>
    <w:rsid w:val="00EF7711"/>
    <w:rsid w:val="00F00E6C"/>
    <w:rsid w:val="00F017A1"/>
    <w:rsid w:val="00F049F8"/>
    <w:rsid w:val="00F057C3"/>
    <w:rsid w:val="00F06842"/>
    <w:rsid w:val="00F072E2"/>
    <w:rsid w:val="00F07B95"/>
    <w:rsid w:val="00F1010F"/>
    <w:rsid w:val="00F107FD"/>
    <w:rsid w:val="00F108ED"/>
    <w:rsid w:val="00F114A8"/>
    <w:rsid w:val="00F11F95"/>
    <w:rsid w:val="00F135CF"/>
    <w:rsid w:val="00F13F15"/>
    <w:rsid w:val="00F14619"/>
    <w:rsid w:val="00F15955"/>
    <w:rsid w:val="00F15E49"/>
    <w:rsid w:val="00F15F81"/>
    <w:rsid w:val="00F167E2"/>
    <w:rsid w:val="00F16DC5"/>
    <w:rsid w:val="00F22C68"/>
    <w:rsid w:val="00F23496"/>
    <w:rsid w:val="00F246DE"/>
    <w:rsid w:val="00F253AD"/>
    <w:rsid w:val="00F26B5B"/>
    <w:rsid w:val="00F27829"/>
    <w:rsid w:val="00F32957"/>
    <w:rsid w:val="00F32B33"/>
    <w:rsid w:val="00F35BCA"/>
    <w:rsid w:val="00F379D6"/>
    <w:rsid w:val="00F37A6F"/>
    <w:rsid w:val="00F4083E"/>
    <w:rsid w:val="00F432AA"/>
    <w:rsid w:val="00F45CED"/>
    <w:rsid w:val="00F5021D"/>
    <w:rsid w:val="00F51A70"/>
    <w:rsid w:val="00F53418"/>
    <w:rsid w:val="00F53FD8"/>
    <w:rsid w:val="00F54976"/>
    <w:rsid w:val="00F560B4"/>
    <w:rsid w:val="00F56481"/>
    <w:rsid w:val="00F62C83"/>
    <w:rsid w:val="00F63437"/>
    <w:rsid w:val="00F63FD1"/>
    <w:rsid w:val="00F64300"/>
    <w:rsid w:val="00F64888"/>
    <w:rsid w:val="00F6656B"/>
    <w:rsid w:val="00F72BDA"/>
    <w:rsid w:val="00F7662F"/>
    <w:rsid w:val="00F7765B"/>
    <w:rsid w:val="00F80C15"/>
    <w:rsid w:val="00F8254D"/>
    <w:rsid w:val="00F82775"/>
    <w:rsid w:val="00F83A99"/>
    <w:rsid w:val="00F8612E"/>
    <w:rsid w:val="00F877B4"/>
    <w:rsid w:val="00F87ED4"/>
    <w:rsid w:val="00F9194D"/>
    <w:rsid w:val="00F92175"/>
    <w:rsid w:val="00F92BBD"/>
    <w:rsid w:val="00F93A61"/>
    <w:rsid w:val="00F9506C"/>
    <w:rsid w:val="00F956C6"/>
    <w:rsid w:val="00F960E9"/>
    <w:rsid w:val="00F9697C"/>
    <w:rsid w:val="00FA005B"/>
    <w:rsid w:val="00FA0B6B"/>
    <w:rsid w:val="00FA302A"/>
    <w:rsid w:val="00FA357C"/>
    <w:rsid w:val="00FA35E4"/>
    <w:rsid w:val="00FA3E5A"/>
    <w:rsid w:val="00FA4C5F"/>
    <w:rsid w:val="00FA4D0F"/>
    <w:rsid w:val="00FA501A"/>
    <w:rsid w:val="00FA67A9"/>
    <w:rsid w:val="00FB0983"/>
    <w:rsid w:val="00FB1A3E"/>
    <w:rsid w:val="00FB21AA"/>
    <w:rsid w:val="00FB257D"/>
    <w:rsid w:val="00FB4E9B"/>
    <w:rsid w:val="00FB53F4"/>
    <w:rsid w:val="00FB5F39"/>
    <w:rsid w:val="00FB60AD"/>
    <w:rsid w:val="00FB64A8"/>
    <w:rsid w:val="00FB6718"/>
    <w:rsid w:val="00FB706C"/>
    <w:rsid w:val="00FB7C9E"/>
    <w:rsid w:val="00FC16A6"/>
    <w:rsid w:val="00FC5210"/>
    <w:rsid w:val="00FC6F49"/>
    <w:rsid w:val="00FD6CE0"/>
    <w:rsid w:val="00FE19B0"/>
    <w:rsid w:val="00FE1B9F"/>
    <w:rsid w:val="00FE2D88"/>
    <w:rsid w:val="00FE48BF"/>
    <w:rsid w:val="00FE516D"/>
    <w:rsid w:val="00FE5623"/>
    <w:rsid w:val="00FE713B"/>
    <w:rsid w:val="00FE7297"/>
    <w:rsid w:val="00FF0789"/>
    <w:rsid w:val="00FF167D"/>
    <w:rsid w:val="00FF32CA"/>
    <w:rsid w:val="00FF4669"/>
    <w:rsid w:val="00FF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FA35E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customStyle="1" w:styleId="EndNoteBibliographyTitle">
    <w:name w:val="EndNote Bibliography Title"/>
    <w:basedOn w:val="Normal"/>
    <w:link w:val="EndNoteBibliographyTitleChar"/>
    <w:rsid w:val="00206C29"/>
    <w:pPr>
      <w:jc w:val="center"/>
    </w:pPr>
    <w:rPr>
      <w:noProof/>
      <w:sz w:val="18"/>
      <w:lang w:val="en-US"/>
    </w:rPr>
  </w:style>
  <w:style w:type="character" w:customStyle="1" w:styleId="Els-body-textChar">
    <w:name w:val="Els-body-text Char"/>
    <w:basedOn w:val="DefaultParagraphFont"/>
    <w:link w:val="Els-body-text"/>
    <w:rsid w:val="00206C29"/>
    <w:rPr>
      <w:lang w:val="en-US" w:eastAsia="en-US"/>
    </w:rPr>
  </w:style>
  <w:style w:type="character" w:customStyle="1" w:styleId="EndNoteBibliographyTitleChar">
    <w:name w:val="EndNote Bibliography Title Char"/>
    <w:basedOn w:val="Els-body-textChar"/>
    <w:link w:val="EndNoteBibliographyTitle"/>
    <w:rsid w:val="00206C29"/>
    <w:rPr>
      <w:noProof/>
      <w:sz w:val="18"/>
      <w:lang w:val="en-US" w:eastAsia="en-US"/>
    </w:rPr>
  </w:style>
  <w:style w:type="paragraph" w:customStyle="1" w:styleId="EndNoteBibliography">
    <w:name w:val="EndNote Bibliography"/>
    <w:basedOn w:val="Normal"/>
    <w:link w:val="EndNoteBibliographyChar"/>
    <w:rsid w:val="00206C29"/>
    <w:rPr>
      <w:noProof/>
      <w:sz w:val="18"/>
      <w:lang w:val="en-US"/>
    </w:rPr>
  </w:style>
  <w:style w:type="character" w:customStyle="1" w:styleId="EndNoteBibliographyChar">
    <w:name w:val="EndNote Bibliography Char"/>
    <w:basedOn w:val="Els-body-textChar"/>
    <w:link w:val="EndNoteBibliography"/>
    <w:rsid w:val="00206C29"/>
    <w:rPr>
      <w:noProof/>
      <w:sz w:val="18"/>
      <w:lang w:val="en-US" w:eastAsia="en-US"/>
    </w:rPr>
  </w:style>
  <w:style w:type="table" w:styleId="TableGrid">
    <w:name w:val="Table Grid"/>
    <w:basedOn w:val="TableNormal"/>
    <w:rsid w:val="00BE7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79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02389">
      <w:bodyDiv w:val="1"/>
      <w:marLeft w:val="0"/>
      <w:marRight w:val="0"/>
      <w:marTop w:val="0"/>
      <w:marBottom w:val="0"/>
      <w:divBdr>
        <w:top w:val="none" w:sz="0" w:space="0" w:color="auto"/>
        <w:left w:val="none" w:sz="0" w:space="0" w:color="auto"/>
        <w:bottom w:val="none" w:sz="0" w:space="0" w:color="auto"/>
        <w:right w:val="none" w:sz="0" w:space="0" w:color="auto"/>
      </w:divBdr>
      <w:divsChild>
        <w:div w:id="407776390">
          <w:marLeft w:val="274"/>
          <w:marRight w:val="0"/>
          <w:marTop w:val="0"/>
          <w:marBottom w:val="0"/>
          <w:divBdr>
            <w:top w:val="none" w:sz="0" w:space="0" w:color="auto"/>
            <w:left w:val="none" w:sz="0" w:space="0" w:color="auto"/>
            <w:bottom w:val="none" w:sz="0" w:space="0" w:color="auto"/>
            <w:right w:val="none" w:sz="0" w:space="0" w:color="auto"/>
          </w:divBdr>
        </w:div>
        <w:div w:id="1477643158">
          <w:marLeft w:val="274"/>
          <w:marRight w:val="0"/>
          <w:marTop w:val="0"/>
          <w:marBottom w:val="0"/>
          <w:divBdr>
            <w:top w:val="none" w:sz="0" w:space="0" w:color="auto"/>
            <w:left w:val="none" w:sz="0" w:space="0" w:color="auto"/>
            <w:bottom w:val="none" w:sz="0" w:space="0" w:color="auto"/>
            <w:right w:val="none" w:sz="0" w:space="0" w:color="auto"/>
          </w:divBdr>
        </w:div>
        <w:div w:id="1175071415">
          <w:marLeft w:val="274"/>
          <w:marRight w:val="0"/>
          <w:marTop w:val="0"/>
          <w:marBottom w:val="0"/>
          <w:divBdr>
            <w:top w:val="none" w:sz="0" w:space="0" w:color="auto"/>
            <w:left w:val="none" w:sz="0" w:space="0" w:color="auto"/>
            <w:bottom w:val="none" w:sz="0" w:space="0" w:color="auto"/>
            <w:right w:val="none" w:sz="0" w:space="0" w:color="auto"/>
          </w:divBdr>
        </w:div>
      </w:divsChild>
    </w:div>
    <w:div w:id="188587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ACD3B8-270E-495A-A582-FB368AB8C6BB}">
  <we:reference id="wa200000368" version="1.0.0.0" store="en-GB"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fe8da0-d68c-4bc6-92d7-00ed50d197e1">
      <Terms xmlns="http://schemas.microsoft.com/office/infopath/2007/PartnerControls"/>
    </lcf76f155ced4ddcb4097134ff3c332f>
    <TaxCatchAll xmlns="48204307-a8de-4b99-96c7-200798974b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0682C1BA2C834096BC8E439551997C" ma:contentTypeVersion="11" ma:contentTypeDescription="Create a new document." ma:contentTypeScope="" ma:versionID="6a38267132c48e1cd93a7f7fdd52101c">
  <xsd:schema xmlns:xsd="http://www.w3.org/2001/XMLSchema" xmlns:xs="http://www.w3.org/2001/XMLSchema" xmlns:p="http://schemas.microsoft.com/office/2006/metadata/properties" xmlns:ns2="26fe8da0-d68c-4bc6-92d7-00ed50d197e1" xmlns:ns3="48204307-a8de-4b99-96c7-200798974b9f" targetNamespace="http://schemas.microsoft.com/office/2006/metadata/properties" ma:root="true" ma:fieldsID="02bfd7c6f0e07d74d7d4e66c3e9e20b1" ns2:_="" ns3:_="">
    <xsd:import namespace="26fe8da0-d68c-4bc6-92d7-00ed50d197e1"/>
    <xsd:import namespace="48204307-a8de-4b99-96c7-200798974b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e8da0-d68c-4bc6-92d7-00ed50d19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dea2aff-83e1-4cb3-b7a2-433f265e0dc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204307-a8de-4b99-96c7-200798974b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74541ea-a96a-4989-9481-fc4d96a18d71}" ma:internalName="TaxCatchAll" ma:showField="CatchAllData" ma:web="48204307-a8de-4b99-96c7-200798974b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0B973-0FEE-4789-BBE8-0383EC278B98}">
  <ds:schemaRefs>
    <ds:schemaRef ds:uri="http://schemas.microsoft.com/office/2006/metadata/properties"/>
    <ds:schemaRef ds:uri="http://schemas.microsoft.com/office/infopath/2007/PartnerControls"/>
    <ds:schemaRef ds:uri="26fe8da0-d68c-4bc6-92d7-00ed50d197e1"/>
    <ds:schemaRef ds:uri="48204307-a8de-4b99-96c7-200798974b9f"/>
  </ds:schemaRefs>
</ds:datastoreItem>
</file>

<file path=customXml/itemProps2.xml><?xml version="1.0" encoding="utf-8"?>
<ds:datastoreItem xmlns:ds="http://schemas.openxmlformats.org/officeDocument/2006/customXml" ds:itemID="{ED4039B7-7EF3-4475-82C2-0E91F2C95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e8da0-d68c-4bc6-92d7-00ed50d197e1"/>
    <ds:schemaRef ds:uri="48204307-a8de-4b99-96c7-200798974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customXml/itemProps4.xml><?xml version="1.0" encoding="utf-8"?>
<ds:datastoreItem xmlns:ds="http://schemas.openxmlformats.org/officeDocument/2006/customXml" ds:itemID="{E0604688-05A8-45B6-819A-F8040BC98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Template>
  <TotalTime>10</TotalTime>
  <Pages>6</Pages>
  <Words>2429</Words>
  <Characters>26362</Characters>
  <Application>Microsoft Office Word</Application>
  <DocSecurity>0</DocSecurity>
  <Lines>219</Lines>
  <Paragraphs>57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28734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Catarina Moreira Marques</cp:lastModifiedBy>
  <cp:revision>9</cp:revision>
  <cp:lastPrinted>2023-11-28T16:15:00Z</cp:lastPrinted>
  <dcterms:created xsi:type="dcterms:W3CDTF">2024-01-05T11:16:00Z</dcterms:created>
  <dcterms:modified xsi:type="dcterms:W3CDTF">2024-01-05T11:25:00Z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0x010100800682C1BA2C834096BC8E439551997C</vt:lpwstr>
  </property>
  <property fmtid="{D5CDD505-2E9C-101B-9397-08002B2CF9AE}" pid="11" name="MediaServiceImageTags">
    <vt:lpwstr/>
  </property>
</Properties>
</file>