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7F2D9CA" w:rsidR="00DD3D9E" w:rsidRPr="00B4388F" w:rsidRDefault="00706847">
      <w:pPr>
        <w:pStyle w:val="Els-Title"/>
        <w:rPr>
          <w:color w:val="000000" w:themeColor="text1"/>
        </w:rPr>
      </w:pPr>
      <w:r>
        <w:rPr>
          <w:color w:val="000000" w:themeColor="text1"/>
        </w:rPr>
        <w:t>Transient Flow-Assisted Kinetic Modelling and Reaction Network Identification for Pyrazole Synthesis</w:t>
      </w:r>
    </w:p>
    <w:p w14:paraId="144DE680" w14:textId="21FA74B7" w:rsidR="00DD3D9E" w:rsidRPr="00E27C3E" w:rsidRDefault="00706847">
      <w:pPr>
        <w:pStyle w:val="Els-Author"/>
        <w:rPr>
          <w:vertAlign w:val="superscript"/>
        </w:rPr>
      </w:pPr>
      <w:r>
        <w:t>Fernando Vega-Ramon,</w:t>
      </w:r>
      <w:r>
        <w:rPr>
          <w:vertAlign w:val="superscript"/>
        </w:rPr>
        <w:t>a</w:t>
      </w:r>
      <w:r>
        <w:t xml:space="preserve"> </w:t>
      </w:r>
      <w:r w:rsidR="00164814">
        <w:t>Linden Schrecker,</w:t>
      </w:r>
      <w:r w:rsidR="002B127C">
        <w:rPr>
          <w:vertAlign w:val="superscript"/>
        </w:rPr>
        <w:t>b</w:t>
      </w:r>
      <w:r w:rsidR="00164814">
        <w:rPr>
          <w:vertAlign w:val="superscript"/>
        </w:rPr>
        <w:t xml:space="preserve"> </w:t>
      </w:r>
      <w:r w:rsidR="002B127C">
        <w:t>Miguel Angel de Carvalho Servia,</w:t>
      </w:r>
      <w:r w:rsidR="002B127C">
        <w:rPr>
          <w:vertAlign w:val="superscript"/>
        </w:rPr>
        <w:t>c</w:t>
      </w:r>
      <w:r w:rsidR="002B127C">
        <w:t xml:space="preserve"> </w:t>
      </w:r>
      <w:r w:rsidR="00164814">
        <w:t>King Kuok (Mimi) Hii,</w:t>
      </w:r>
      <w:r w:rsidR="002B127C">
        <w:rPr>
          <w:vertAlign w:val="superscript"/>
        </w:rPr>
        <w:t>b</w:t>
      </w:r>
      <w:r w:rsidR="00164814">
        <w:t xml:space="preserve"> Dongda Zhang</w:t>
      </w:r>
      <w:r w:rsidR="00E27C3E">
        <w:t xml:space="preserve"> </w:t>
      </w:r>
      <w:r w:rsidR="00E27C3E">
        <w:rPr>
          <w:vertAlign w:val="superscript"/>
        </w:rPr>
        <w:t>a,*</w:t>
      </w:r>
    </w:p>
    <w:p w14:paraId="144DE682" w14:textId="357FAAA2" w:rsidR="00DD3D9E" w:rsidRDefault="00E062E9">
      <w:pPr>
        <w:pStyle w:val="Els-Affiliation"/>
      </w:pPr>
      <w:r>
        <w:rPr>
          <w:vertAlign w:val="superscript"/>
        </w:rPr>
        <w:t>a</w:t>
      </w:r>
      <w:r>
        <w:t xml:space="preserve"> </w:t>
      </w:r>
      <w:r w:rsidRPr="00E062E9">
        <w:t>Department</w:t>
      </w:r>
      <w:r w:rsidRPr="00692CFE">
        <w:t xml:space="preserve"> of Chemical Engineering, the University of Manchester, Engineering Building, Manchester M13 9PL, United Kingdom</w:t>
      </w:r>
      <w:r>
        <w:t xml:space="preserve"> </w:t>
      </w:r>
    </w:p>
    <w:p w14:paraId="7DC1EB27" w14:textId="7E044600" w:rsidR="002B127C" w:rsidRDefault="002B127C">
      <w:pPr>
        <w:pStyle w:val="Els-Affiliation"/>
      </w:pPr>
      <w:r>
        <w:rPr>
          <w:vertAlign w:val="superscript"/>
        </w:rPr>
        <w:t>b</w:t>
      </w:r>
      <w:r>
        <w:t xml:space="preserve"> </w:t>
      </w:r>
      <w:r w:rsidRPr="00075549">
        <w:t>Department of Chemistry, Imperial College London, 82, Wood Lane, London W12 0BZ, U</w:t>
      </w:r>
      <w:r>
        <w:t>nited Kingdom</w:t>
      </w:r>
    </w:p>
    <w:p w14:paraId="56F8DBA9" w14:textId="04FE6571" w:rsidR="00E062E9" w:rsidRDefault="002B127C">
      <w:pPr>
        <w:pStyle w:val="Els-Affiliation"/>
      </w:pPr>
      <w:r>
        <w:rPr>
          <w:vertAlign w:val="superscript"/>
        </w:rPr>
        <w:t>c</w:t>
      </w:r>
      <w:r w:rsidR="00E062E9">
        <w:t xml:space="preserve"> </w:t>
      </w:r>
      <w:r w:rsidR="00E062E9" w:rsidRPr="00075549">
        <w:t>Department of Chemical Engineering, Imperial College London, Exhibition Road, London SW7 2AZ</w:t>
      </w:r>
      <w:r w:rsidR="00E062E9">
        <w:t>, United Kingdom</w:t>
      </w:r>
    </w:p>
    <w:p w14:paraId="144DE683" w14:textId="320776D4" w:rsidR="008D2649" w:rsidRPr="00A94774" w:rsidRDefault="00E062E9" w:rsidP="00E062E9">
      <w:pPr>
        <w:pStyle w:val="Els-Affiliation"/>
        <w:spacing w:after="120"/>
      </w:pPr>
      <w:r w:rsidRPr="00E062E9">
        <w:rPr>
          <w:i w:val="0"/>
          <w:vertAlign w:val="superscript"/>
        </w:rPr>
        <w:t>*</w:t>
      </w:r>
      <w:r>
        <w:t xml:space="preserve"> Corresponding Author</w:t>
      </w:r>
      <w:r w:rsidR="00261AF9">
        <w:t>. Email:</w:t>
      </w:r>
      <w:r>
        <w:t xml:space="preserve"> dongda.zhang@manchester.ac.uk</w:t>
      </w:r>
    </w:p>
    <w:p w14:paraId="144DE684" w14:textId="77777777" w:rsidR="008D2649" w:rsidRDefault="008D2649" w:rsidP="008D2649">
      <w:pPr>
        <w:pStyle w:val="Els-Abstract"/>
      </w:pPr>
      <w:r>
        <w:t>Abstract</w:t>
      </w:r>
    </w:p>
    <w:p w14:paraId="10B5AA92" w14:textId="4B765894" w:rsidR="00137330" w:rsidRPr="00137330" w:rsidRDefault="00137330" w:rsidP="00137330">
      <w:pPr>
        <w:pStyle w:val="Els-body-text"/>
        <w:spacing w:after="120"/>
        <w:rPr>
          <w:lang w:val="en-GB"/>
        </w:rPr>
      </w:pPr>
      <w:r w:rsidRPr="00137330">
        <w:rPr>
          <w:lang w:val="en-GB"/>
        </w:rPr>
        <w:t xml:space="preserve">Due to their structural versatility and wide range of biological activities, pyrazoles serve as </w:t>
      </w:r>
      <w:r w:rsidR="00CA405B">
        <w:rPr>
          <w:lang w:val="en-GB"/>
        </w:rPr>
        <w:t>important motifs in a</w:t>
      </w:r>
      <w:r w:rsidRPr="00137330">
        <w:rPr>
          <w:lang w:val="en-GB"/>
        </w:rPr>
        <w:t xml:space="preserve"> variety of organic chemicals such as pharmaceuticals and pesticides. An established and economically favo</w:t>
      </w:r>
      <w:r w:rsidR="00285C75">
        <w:rPr>
          <w:lang w:val="en-GB"/>
        </w:rPr>
        <w:t>u</w:t>
      </w:r>
      <w:r w:rsidRPr="00137330">
        <w:rPr>
          <w:lang w:val="en-GB"/>
        </w:rPr>
        <w:t xml:space="preserve">rable route for the synthesis of pyrazoles is the Knorr reaction, which involves the condensation of di-carbonyl and hydrazine reactants. Despite being researched extensively, previous kinetic studies on the Knorr reaction have been mainly qualitative and based on empirical observations. Because of this, the development of a comprehensive kinetic model capable of predicting product distribution and regioselectivity under different operating conditions remains a challenge. </w:t>
      </w:r>
    </w:p>
    <w:p w14:paraId="245D5099" w14:textId="77777777" w:rsidR="00137330" w:rsidRPr="00137330" w:rsidRDefault="00137330" w:rsidP="00137330">
      <w:pPr>
        <w:pStyle w:val="Els-body-text"/>
        <w:spacing w:after="120"/>
        <w:rPr>
          <w:lang w:val="en-GB"/>
        </w:rPr>
      </w:pPr>
      <w:r w:rsidRPr="00137330">
        <w:rPr>
          <w:lang w:val="en-GB"/>
        </w:rPr>
        <w:t xml:space="preserve">In this study, a microkinetic analysis framework was combined with transient PFR experimentation techniques to perform kinetic modelling and reaction network identification. </w:t>
      </w:r>
      <w:proofErr w:type="gramStart"/>
      <w:r w:rsidRPr="00137330">
        <w:rPr>
          <w:lang w:val="en-GB"/>
        </w:rPr>
        <w:t>On the basis of</w:t>
      </w:r>
      <w:proofErr w:type="gramEnd"/>
      <w:r w:rsidRPr="00137330">
        <w:rPr>
          <w:lang w:val="en-GB"/>
        </w:rPr>
        <w:t xml:space="preserve"> literature observations and gathered spectroscopic and time-series kinetic data, two plausible reaction mechanisms were proposed for the condensation of symmetrical 1,3-diketones with phenyl hydrazine. Sparse-regression approaches were then adopted to identify kinetically negligible pathways within the proposed reaction networks, reducing the complexity of their corresponding microkinetic models while retaining their original fitting accuracy.  The robustness of the reduced models was further confirmed through uncertainty analysis; the results indicate that most kinetic parameters are identifiable and statistically significant, suggesting the advantage of high throughput data generation via transient experiments. </w:t>
      </w:r>
    </w:p>
    <w:p w14:paraId="7AF6D0E4" w14:textId="3F4BFB9E" w:rsidR="00137330" w:rsidRDefault="00137330" w:rsidP="00137330">
      <w:pPr>
        <w:pStyle w:val="Els-body-text"/>
        <w:spacing w:after="120"/>
        <w:rPr>
          <w:lang w:val="en-GB"/>
        </w:rPr>
      </w:pPr>
      <w:r w:rsidRPr="00137330">
        <w:rPr>
          <w:lang w:val="en-GB"/>
        </w:rPr>
        <w:t xml:space="preserve">Finally, a model-based </w:t>
      </w:r>
      <w:r w:rsidR="00921D49">
        <w:rPr>
          <w:lang w:val="en-GB"/>
        </w:rPr>
        <w:t>design of experiments (</w:t>
      </w:r>
      <w:proofErr w:type="spellStart"/>
      <w:r w:rsidR="00921D49">
        <w:rPr>
          <w:lang w:val="en-GB"/>
        </w:rPr>
        <w:t>MbDoE</w:t>
      </w:r>
      <w:proofErr w:type="spellEnd"/>
      <w:r w:rsidR="00921D49">
        <w:rPr>
          <w:lang w:val="en-GB"/>
        </w:rPr>
        <w:t>)</w:t>
      </w:r>
      <w:r w:rsidRPr="00137330">
        <w:rPr>
          <w:lang w:val="en-GB"/>
        </w:rPr>
        <w:t xml:space="preserve"> methodology was adopted to identify the optimal set of experimental conditions for discriminating among the two proposed models. This work therefore provides a new avenue for the systematic analysis of complex organic reactions assisted by transient flow experimentation. </w:t>
      </w:r>
    </w:p>
    <w:p w14:paraId="144DE687" w14:textId="1BDE31BF" w:rsidR="008D2649" w:rsidRDefault="008D2649" w:rsidP="00137330">
      <w:pPr>
        <w:pStyle w:val="Els-body-text"/>
        <w:spacing w:after="120"/>
        <w:rPr>
          <w:lang w:val="en-GB"/>
        </w:rPr>
      </w:pPr>
      <w:r>
        <w:rPr>
          <w:b/>
          <w:bCs/>
          <w:lang w:val="en-GB"/>
        </w:rPr>
        <w:t>Keywords</w:t>
      </w:r>
      <w:r>
        <w:rPr>
          <w:lang w:val="en-GB"/>
        </w:rPr>
        <w:t xml:space="preserve">: </w:t>
      </w:r>
      <w:r w:rsidR="00137330">
        <w:rPr>
          <w:lang w:val="en-GB"/>
        </w:rPr>
        <w:t>Transient flow reactor, pyrazoles, kinetic mode</w:t>
      </w:r>
      <w:r w:rsidR="00C11980">
        <w:rPr>
          <w:lang w:val="en-GB"/>
        </w:rPr>
        <w:t xml:space="preserve">lling, model discrimination. </w:t>
      </w:r>
    </w:p>
    <w:p w14:paraId="713C886B" w14:textId="77777777" w:rsidR="00261AF9" w:rsidRDefault="00261AF9" w:rsidP="00137330">
      <w:pPr>
        <w:pStyle w:val="Els-body-text"/>
        <w:spacing w:after="120"/>
        <w:rPr>
          <w:lang w:val="en-GB"/>
        </w:rPr>
      </w:pPr>
    </w:p>
    <w:p w14:paraId="1131AFE9" w14:textId="5454FC84" w:rsidR="00751CF2" w:rsidRDefault="00261AF9" w:rsidP="00751CF2">
      <w:pPr>
        <w:pStyle w:val="Els-1storder-head"/>
      </w:pPr>
      <w:r>
        <w:lastRenderedPageBreak/>
        <w:t>Introduction</w:t>
      </w:r>
    </w:p>
    <w:p w14:paraId="6C2B43EA" w14:textId="163101C8" w:rsidR="00E854D4" w:rsidRDefault="00751CF2" w:rsidP="00751CF2">
      <w:pPr>
        <w:pStyle w:val="Els-body-text"/>
      </w:pPr>
      <w:r>
        <w:t xml:space="preserve">Owing to the wide availability of 1,3-diketone and hydrazine precursors, </w:t>
      </w:r>
      <w:r w:rsidR="00DC4AE3">
        <w:t xml:space="preserve">the Knorr reaction is a popular pathway for the synthesis of substituted pyrazoles. </w:t>
      </w:r>
      <w:r w:rsidR="007E6947">
        <w:t>Previous literature studies</w:t>
      </w:r>
      <w:r w:rsidR="005673A6">
        <w:t xml:space="preserve"> (Sloop et al., 2008; Norris et al., 2005)</w:t>
      </w:r>
      <w:r w:rsidR="007E6947">
        <w:t xml:space="preserve"> have qualitatively </w:t>
      </w:r>
      <w:r w:rsidR="00754ABD">
        <w:t>demonstrated</w:t>
      </w:r>
      <w:r w:rsidR="007E6947">
        <w:t xml:space="preserve"> the influence of reaction parameters (such as feed ratios, reactant substituent groups, or pH) on the reaction rate and product regioselectivity. The construction of a </w:t>
      </w:r>
      <w:r w:rsidR="00E432F3">
        <w:t xml:space="preserve">detailed </w:t>
      </w:r>
      <w:r w:rsidR="007E6947">
        <w:t>kinetic model capable of describing such effects is</w:t>
      </w:r>
      <w:r w:rsidR="00E854D4">
        <w:t xml:space="preserve"> therefore</w:t>
      </w:r>
      <w:r w:rsidR="007E6947">
        <w:t xml:space="preserve"> </w:t>
      </w:r>
      <w:r w:rsidR="00E854D4">
        <w:t>a</w:t>
      </w:r>
      <w:r w:rsidR="007E6947">
        <w:t xml:space="preserve"> vital</w:t>
      </w:r>
      <w:r w:rsidR="00E854D4">
        <w:t xml:space="preserve"> requirement</w:t>
      </w:r>
      <w:r w:rsidR="007E6947">
        <w:t xml:space="preserve"> for process </w:t>
      </w:r>
      <w:proofErr w:type="spellStart"/>
      <w:r w:rsidR="007E6947">
        <w:t>optimi</w:t>
      </w:r>
      <w:r w:rsidR="00A238E7">
        <w:t>s</w:t>
      </w:r>
      <w:r w:rsidR="007E6947">
        <w:t>ation</w:t>
      </w:r>
      <w:proofErr w:type="spellEnd"/>
      <w:r w:rsidR="007E6947">
        <w:t xml:space="preserve">, reaction </w:t>
      </w:r>
      <w:r w:rsidR="003C64F8">
        <w:t>network</w:t>
      </w:r>
      <w:r w:rsidR="007E6947">
        <w:t xml:space="preserve"> </w:t>
      </w:r>
      <w:r w:rsidR="003C64F8">
        <w:t>identification</w:t>
      </w:r>
      <w:r w:rsidR="007E6947">
        <w:t xml:space="preserve">, and scale-up considerations. </w:t>
      </w:r>
    </w:p>
    <w:p w14:paraId="4BCED296" w14:textId="77777777" w:rsidR="007E6947" w:rsidRDefault="007E6947" w:rsidP="00751CF2">
      <w:pPr>
        <w:pStyle w:val="Els-body-text"/>
      </w:pPr>
    </w:p>
    <w:p w14:paraId="739A7B8C" w14:textId="0AEAD393" w:rsidR="008201EF" w:rsidRDefault="00E432F3" w:rsidP="003C64F8">
      <w:pPr>
        <w:pStyle w:val="Els-body-text"/>
      </w:pPr>
      <w:r>
        <w:t xml:space="preserve">A common challenge in the development of comprehensive kinetic models for complex chemical systems is the </w:t>
      </w:r>
      <w:r w:rsidR="00836EAA">
        <w:t>need</w:t>
      </w:r>
      <w:r>
        <w:t xml:space="preserve"> </w:t>
      </w:r>
      <w:r w:rsidR="00836EAA">
        <w:t>for</w:t>
      </w:r>
      <w:r>
        <w:t xml:space="preserve"> reliable reaction data over a diverse range of conditions.</w:t>
      </w:r>
      <w:r w:rsidR="00754ABD">
        <w:t xml:space="preserve"> </w:t>
      </w:r>
      <w:r w:rsidR="00836EAA">
        <w:t xml:space="preserve">An emerging </w:t>
      </w:r>
      <w:r w:rsidR="00921D49">
        <w:t>technique</w:t>
      </w:r>
      <w:r w:rsidR="00836EAA">
        <w:t xml:space="preserve"> for the efficient generation of time-series data is transient flow experimentation, whereby a flow reactor is operated under unsteady-state conditions to emulate a collection of several batch experiments.</w:t>
      </w:r>
      <w:r w:rsidR="003C64F8">
        <w:t xml:space="preserve"> </w:t>
      </w:r>
      <w:r w:rsidR="00921D49">
        <w:t>In th</w:t>
      </w:r>
      <w:r w:rsidR="003C64F8">
        <w:t>e present</w:t>
      </w:r>
      <w:r w:rsidR="00921D49">
        <w:t xml:space="preserve"> work, this high throughput experimentation tool was combined with kinetic model construction and </w:t>
      </w:r>
      <w:proofErr w:type="spellStart"/>
      <w:r w:rsidR="003C64F8">
        <w:t>MbDoE</w:t>
      </w:r>
      <w:proofErr w:type="spellEnd"/>
      <w:r w:rsidR="00921D49">
        <w:t xml:space="preserve"> methodologies to </w:t>
      </w:r>
      <w:r w:rsidR="003C64F8">
        <w:t xml:space="preserve">elucidate potential reaction mechanisms for the addition of phenyl hydrazine to </w:t>
      </w:r>
      <w:r w:rsidR="008F2608">
        <w:t xml:space="preserve">substituted </w:t>
      </w:r>
      <w:r w:rsidR="00CA405B">
        <w:t>di</w:t>
      </w:r>
      <w:r w:rsidR="0011496A">
        <w:t>ketones,</w:t>
      </w:r>
      <w:r w:rsidR="005743BB">
        <w:t xml:space="preserve"> namely</w:t>
      </w:r>
      <w:r w:rsidR="008F2608">
        <w:t xml:space="preserve"> acetyl acetone and hep</w:t>
      </w:r>
      <w:r w:rsidR="00663523">
        <w:t>tane</w:t>
      </w:r>
      <w:r w:rsidR="008F2608">
        <w:t xml:space="preserve">-3,5-dione. </w:t>
      </w:r>
    </w:p>
    <w:p w14:paraId="144DE699" w14:textId="1FBED6C7" w:rsidR="008D2649" w:rsidRDefault="006D3835" w:rsidP="008D2649">
      <w:pPr>
        <w:pStyle w:val="Els-1storder-head"/>
      </w:pPr>
      <w:r>
        <w:t>Experimental Methodology</w:t>
      </w:r>
    </w:p>
    <w:p w14:paraId="2CFA41F6" w14:textId="54AB3A4F" w:rsidR="00973AEE" w:rsidRDefault="006D3835" w:rsidP="00973AEE">
      <w:pPr>
        <w:pStyle w:val="Els-2ndorder-head"/>
      </w:pPr>
      <w:r>
        <w:t xml:space="preserve">Transient Flow </w:t>
      </w:r>
      <w:r w:rsidR="008C17D3">
        <w:t>Setup</w:t>
      </w:r>
    </w:p>
    <w:p w14:paraId="20A3ADB8" w14:textId="581425BB" w:rsidR="000D7AC7" w:rsidRDefault="00CA405B" w:rsidP="00973AEE">
      <w:pPr>
        <w:pStyle w:val="Els-body-text"/>
      </w:pPr>
      <w:r>
        <w:t>Ethanolic r</w:t>
      </w:r>
      <w:r w:rsidR="00165F0B">
        <w:t>eagent solutions were kept in bottles</w:t>
      </w:r>
      <w:r w:rsidR="00F3765D">
        <w:t>; inlet tubing lines connected</w:t>
      </w:r>
      <w:r w:rsidR="00B93E34">
        <w:t xml:space="preserve"> these</w:t>
      </w:r>
      <w:r w:rsidR="00F3765D">
        <w:t xml:space="preserve"> to two Gilson 305 HPLC pumps controlled via a master/slave system. The pump outlets fed into a Valco T-piece stainless steel mixer submerged in a silicon oil bath. </w:t>
      </w:r>
      <w:r w:rsidR="000D7AC7">
        <w:t>The mixer outlet fe</w:t>
      </w:r>
      <w:r w:rsidR="006709D7">
        <w:t>d</w:t>
      </w:r>
      <w:r w:rsidR="000D7AC7">
        <w:t xml:space="preserve"> into a 5.10 m (4.13 mL) stainless steel tubular reactor</w:t>
      </w:r>
      <w:r w:rsidR="006709D7">
        <w:t>,</w:t>
      </w:r>
      <w:r w:rsidR="000D7AC7">
        <w:t xml:space="preserve"> which </w:t>
      </w:r>
      <w:r w:rsidR="006709D7">
        <w:t>was</w:t>
      </w:r>
      <w:r w:rsidR="000D7AC7">
        <w:t xml:space="preserve"> also submerged in the oil bath. </w:t>
      </w:r>
      <w:r w:rsidR="006167AF">
        <w:t>The operating temperature was maintained around the desired set point (70 °C) by means of PID control.</w:t>
      </w:r>
      <w:r w:rsidR="00165F0B">
        <w:t xml:space="preserve"> </w:t>
      </w:r>
      <w:r w:rsidR="006709D7">
        <w:t>The reactor effluent was then passed through a</w:t>
      </w:r>
      <w:r w:rsidR="00626058">
        <w:t xml:space="preserve"> custom cooling system consisting of </w:t>
      </w:r>
      <w:r w:rsidR="006167AF">
        <w:t xml:space="preserve">a Peltier thermoelectric cooler connected to an aluminum block heat sink. </w:t>
      </w:r>
      <w:r w:rsidR="006709D7">
        <w:t xml:space="preserve">In-line IR spectroscopic analysis </w:t>
      </w:r>
      <w:r w:rsidR="006167AF">
        <w:t>was</w:t>
      </w:r>
      <w:r w:rsidR="003001DE">
        <w:t xml:space="preserve"> then</w:t>
      </w:r>
      <w:r w:rsidR="006167AF">
        <w:t xml:space="preserve"> performed using a Mettler Toledo </w:t>
      </w:r>
      <w:proofErr w:type="spellStart"/>
      <w:r w:rsidR="006167AF">
        <w:t>ReactIR</w:t>
      </w:r>
      <w:r w:rsidR="006167AF" w:rsidRPr="006167AF">
        <w:rPr>
          <w:vertAlign w:val="superscript"/>
        </w:rPr>
        <w:t>TM</w:t>
      </w:r>
      <w:proofErr w:type="spellEnd"/>
      <w:r w:rsidR="006167AF">
        <w:t xml:space="preserve"> 15 equipped with a micro flow cell</w:t>
      </w:r>
      <w:r w:rsidR="00626058">
        <w:t xml:space="preserve">. A back pressure regulator was set to 8.1 bar to ensure all solvents remain in solution for the tested temperatures. </w:t>
      </w:r>
      <w:r w:rsidR="00305374">
        <w:t>A more detailed account of the experimental setup can be found on previous work (Schrecker et al., 202</w:t>
      </w:r>
      <w:r w:rsidR="00B93E34">
        <w:t>3</w:t>
      </w:r>
      <w:r w:rsidR="00305374">
        <w:t>).</w:t>
      </w:r>
    </w:p>
    <w:p w14:paraId="0CC09C2D" w14:textId="54341A87" w:rsidR="008C17D3" w:rsidRDefault="008C17D3" w:rsidP="00973AEE">
      <w:pPr>
        <w:pStyle w:val="Els-body-text"/>
      </w:pPr>
    </w:p>
    <w:p w14:paraId="6DEA7F03" w14:textId="60936B9B" w:rsidR="008C17D3" w:rsidRDefault="008C17D3" w:rsidP="008C17D3">
      <w:pPr>
        <w:pStyle w:val="Els-2ndorder-head"/>
      </w:pPr>
      <w:r>
        <w:t>Time-series Kinetic Experiments</w:t>
      </w:r>
    </w:p>
    <w:p w14:paraId="7CB8084F" w14:textId="4875C8C5" w:rsidR="008C17D3" w:rsidRDefault="008C17D3" w:rsidP="008C17D3">
      <w:pPr>
        <w:pStyle w:val="Els-body-text"/>
      </w:pPr>
      <w:r>
        <w:t xml:space="preserve">Transient ramps were </w:t>
      </w:r>
      <w:r w:rsidR="00CB6E54">
        <w:t>performed</w:t>
      </w:r>
      <w:r>
        <w:t xml:space="preserve"> by introducing step changes</w:t>
      </w:r>
      <w:r w:rsidR="00B93E34">
        <w:t xml:space="preserve"> or linear ramps</w:t>
      </w:r>
      <w:r>
        <w:t xml:space="preserve"> to the volumetric flowrates of the hydrazine and diketone reactants, while simultaneously monitoring the product concentration at the reactor outlet. Namely, three different </w:t>
      </w:r>
      <w:r w:rsidR="00CB6E54">
        <w:t>kinds</w:t>
      </w:r>
      <w:r>
        <w:t xml:space="preserve"> of transient experiments were performed:</w:t>
      </w:r>
    </w:p>
    <w:p w14:paraId="5018CA18" w14:textId="17F868AD" w:rsidR="008C17D3" w:rsidRDefault="008C17D3" w:rsidP="008C17D3">
      <w:pPr>
        <w:pStyle w:val="Els-body-text"/>
        <w:numPr>
          <w:ilvl w:val="0"/>
          <w:numId w:val="26"/>
        </w:numPr>
      </w:pPr>
      <w:r>
        <w:t xml:space="preserve">Residence time ramps, whereby the </w:t>
      </w:r>
      <w:r w:rsidR="00CB6E54">
        <w:t xml:space="preserve">total volumetric flowrate is decreased while keeping the </w:t>
      </w:r>
      <w:proofErr w:type="spellStart"/>
      <w:r w:rsidR="00CB6E54">
        <w:t>hydrazine:diketone</w:t>
      </w:r>
      <w:proofErr w:type="spellEnd"/>
      <w:r w:rsidR="00CB6E54">
        <w:t xml:space="preserve"> ratios unchanged. This is equivalent to running a collection of batch experiments with the same initial concentrations but varying </w:t>
      </w:r>
      <w:r w:rsidR="00B93E34">
        <w:t xml:space="preserve">reaction </w:t>
      </w:r>
      <w:r w:rsidR="00CB6E54">
        <w:t xml:space="preserve">times. </w:t>
      </w:r>
    </w:p>
    <w:p w14:paraId="51728DDB" w14:textId="68BA490E" w:rsidR="00CB6E54" w:rsidRDefault="0075006C" w:rsidP="008C17D3">
      <w:pPr>
        <w:pStyle w:val="Els-body-text"/>
        <w:numPr>
          <w:ilvl w:val="0"/>
          <w:numId w:val="26"/>
        </w:numPr>
      </w:pPr>
      <w:r>
        <w:t>S</w:t>
      </w:r>
      <w:r w:rsidR="00CB6E54">
        <w:t>toichiometry ramps, whereby</w:t>
      </w:r>
      <w:r>
        <w:t xml:space="preserve"> the flowrates of reactants are ramped linearly at a fixed cumulative flowrate</w:t>
      </w:r>
      <w:r w:rsidR="00CB6E54">
        <w:t xml:space="preserve">. This yields a collection of experiments with the same residence time but varying initial concentrations. </w:t>
      </w:r>
    </w:p>
    <w:p w14:paraId="42E8E1D0" w14:textId="626D3CDA" w:rsidR="00CB6E54" w:rsidRPr="008C17D3" w:rsidRDefault="00CB6E54" w:rsidP="008C17D3">
      <w:pPr>
        <w:pStyle w:val="Els-body-text"/>
        <w:numPr>
          <w:ilvl w:val="0"/>
          <w:numId w:val="26"/>
        </w:numPr>
      </w:pPr>
      <w:r>
        <w:t xml:space="preserve">Bivariate ramps, </w:t>
      </w:r>
      <w:r w:rsidR="0075006C">
        <w:t>whereby a stoichiometry ramp is performe</w:t>
      </w:r>
      <w:r w:rsidR="00CD517D">
        <w:t xml:space="preserve">d up to a final </w:t>
      </w:r>
      <w:proofErr w:type="spellStart"/>
      <w:r w:rsidR="00CD517D">
        <w:t>diketone:hydrazine</w:t>
      </w:r>
      <w:proofErr w:type="spellEnd"/>
      <w:r w:rsidR="00CD517D">
        <w:t xml:space="preserve"> ratio, after which a residence time ramp is carried out over a </w:t>
      </w:r>
      <w:r w:rsidR="00E81AAC">
        <w:t xml:space="preserve">complete </w:t>
      </w:r>
      <w:r w:rsidR="00CD517D">
        <w:t>reactor volume</w:t>
      </w:r>
      <w:r>
        <w:t xml:space="preserve">. </w:t>
      </w:r>
    </w:p>
    <w:p w14:paraId="499054B9" w14:textId="7B0953D8" w:rsidR="00973AEE" w:rsidRDefault="00973AEE" w:rsidP="00973AEE">
      <w:pPr>
        <w:pStyle w:val="Els-body-text"/>
      </w:pPr>
    </w:p>
    <w:p w14:paraId="144DE6A1" w14:textId="6E875822" w:rsidR="008D2649" w:rsidRDefault="00BB252C" w:rsidP="008D2649">
      <w:pPr>
        <w:pStyle w:val="Els-1storder-head"/>
        <w:spacing w:after="120"/>
        <w:rPr>
          <w:lang w:val="en-GB"/>
        </w:rPr>
      </w:pPr>
      <w:r>
        <w:rPr>
          <w:lang w:val="en-GB"/>
        </w:rPr>
        <w:lastRenderedPageBreak/>
        <w:t>Modelling Methodology</w:t>
      </w:r>
    </w:p>
    <w:p w14:paraId="4E6AFF25" w14:textId="37793964" w:rsidR="00663523" w:rsidRDefault="00BB252C" w:rsidP="00663523">
      <w:pPr>
        <w:pStyle w:val="Els-2ndorder-head"/>
      </w:pPr>
      <w:r>
        <w:t>Reaction Mechanism Proposal</w:t>
      </w:r>
    </w:p>
    <w:p w14:paraId="409B7237" w14:textId="1CBCA4FE" w:rsidR="00A848A4" w:rsidRPr="00A848A4" w:rsidRDefault="00A848A4" w:rsidP="00A848A4">
      <w:pPr>
        <w:pStyle w:val="Els-body-text"/>
      </w:pPr>
      <w:r>
        <w:t xml:space="preserve">Two reaction </w:t>
      </w:r>
      <w:r w:rsidR="00312646">
        <w:t>schemes</w:t>
      </w:r>
      <w:r>
        <w:t xml:space="preserve"> were constructed </w:t>
      </w:r>
      <w:proofErr w:type="gramStart"/>
      <w:r>
        <w:t>on the basis of</w:t>
      </w:r>
      <w:proofErr w:type="gramEnd"/>
      <w:r>
        <w:t xml:space="preserve"> gathered spectroscopic data and literature observations; these are presented in Fig. 1 below. </w:t>
      </w:r>
      <w:r w:rsidR="00CF1772">
        <w:t xml:space="preserve">Equations for the rate of change of concentration of all species were derived by applying the law of mass-action. </w:t>
      </w:r>
    </w:p>
    <w:p w14:paraId="65BACF55" w14:textId="4AB0DF72" w:rsidR="00A848A4" w:rsidRDefault="00A848A4" w:rsidP="00A848A4">
      <w:pPr>
        <w:pStyle w:val="Els-body-text"/>
      </w:pPr>
    </w:p>
    <w:p w14:paraId="7E790402" w14:textId="6548F464" w:rsidR="00A848A4" w:rsidRDefault="00A848A4" w:rsidP="00A848A4">
      <w:pPr>
        <w:pStyle w:val="Els-body-text"/>
      </w:pPr>
      <w:r>
        <w:rPr>
          <w:noProof/>
          <w:lang w:val="en-GB" w:eastAsia="zh-CN"/>
        </w:rPr>
        <w:drawing>
          <wp:inline distT="0" distB="0" distL="0" distR="0" wp14:anchorId="2533557E" wp14:editId="006CB42E">
            <wp:extent cx="4548148" cy="1817077"/>
            <wp:effectExtent l="0" t="0" r="5080" b="0"/>
            <wp:docPr id="1" name="Picture 1" descr="A collage of formula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formulas&#10;&#10;Description automatically generated with medium confidence"/>
                    <pic:cNvPicPr/>
                  </pic:nvPicPr>
                  <pic:blipFill>
                    <a:blip r:embed="rId8"/>
                    <a:stretch>
                      <a:fillRect/>
                    </a:stretch>
                  </pic:blipFill>
                  <pic:spPr>
                    <a:xfrm>
                      <a:off x="0" y="0"/>
                      <a:ext cx="4566023" cy="1824218"/>
                    </a:xfrm>
                    <a:prstGeom prst="rect">
                      <a:avLst/>
                    </a:prstGeom>
                  </pic:spPr>
                </pic:pic>
              </a:graphicData>
            </a:graphic>
          </wp:inline>
        </w:drawing>
      </w:r>
    </w:p>
    <w:p w14:paraId="0CF8B4BA" w14:textId="4FBE745B" w:rsidR="009C7036" w:rsidRDefault="00A848A4" w:rsidP="00A848A4">
      <w:pPr>
        <w:pStyle w:val="Els-body-text"/>
      </w:pPr>
      <w:r>
        <w:t xml:space="preserve">Figure 1: </w:t>
      </w:r>
      <w:r w:rsidR="00D3463F">
        <w:t>Proposed reaction networks for the reaction between 1,3-diketones and phenyl hydrazine. (a) Model 1 adapted from (Schrecker et al., 2022); (b) Model 2</w:t>
      </w:r>
      <w:r w:rsidR="00447BC4">
        <w:t>.</w:t>
      </w:r>
    </w:p>
    <w:p w14:paraId="4C924286" w14:textId="220EDE2E" w:rsidR="00A848A4" w:rsidRDefault="00A848A4" w:rsidP="00A848A4">
      <w:pPr>
        <w:pStyle w:val="Els-body-text"/>
      </w:pPr>
    </w:p>
    <w:p w14:paraId="48BB1FEB" w14:textId="13C4621F" w:rsidR="00D2116F" w:rsidRPr="00A848A4" w:rsidRDefault="00245B40" w:rsidP="006202FD">
      <w:pPr>
        <w:pStyle w:val="Els-body-text"/>
        <w:spacing w:after="240"/>
      </w:pPr>
      <w:r>
        <w:t>M</w:t>
      </w:r>
      <w:r w:rsidR="002402C7">
        <w:t>odel</w:t>
      </w:r>
      <w:r>
        <w:t xml:space="preserve"> 1 in</w:t>
      </w:r>
      <w:r w:rsidR="00A848A4">
        <w:t xml:space="preserve"> Fig. 1(a) corresponds to the reaction network </w:t>
      </w:r>
      <w:r w:rsidR="00D2116F">
        <w:t xml:space="preserve">proposed in our previous work (Schrecker et al., 2022). </w:t>
      </w:r>
      <w:r w:rsidR="00312646">
        <w:t xml:space="preserve">The first step in the mechanism involves the formation of a hydrazone intermediate, which has been isolated </w:t>
      </w:r>
      <w:r w:rsidR="002F6EFB">
        <w:t xml:space="preserve">and identified </w:t>
      </w:r>
      <w:r w:rsidR="00312646">
        <w:t>in previous literature studies</w:t>
      </w:r>
      <w:r w:rsidR="002F6EFB">
        <w:t xml:space="preserve"> (Sloop et al., 2008). The </w:t>
      </w:r>
      <w:proofErr w:type="gramStart"/>
      <w:r w:rsidR="002F6EFB">
        <w:t>general consensus</w:t>
      </w:r>
      <w:proofErr w:type="gramEnd"/>
      <w:r w:rsidR="002402C7">
        <w:t xml:space="preserve"> in literature</w:t>
      </w:r>
      <w:r w:rsidR="002F6EFB">
        <w:t xml:space="preserve"> is that the hydrazone </w:t>
      </w:r>
      <w:r w:rsidR="00A71A46">
        <w:t xml:space="preserve">species </w:t>
      </w:r>
      <w:r w:rsidR="002F6EFB">
        <w:t xml:space="preserve">undergoes ring-closing (Step 2) to form a </w:t>
      </w:r>
      <w:proofErr w:type="spellStart"/>
      <w:r w:rsidR="002F6EFB">
        <w:t>hydroxypyrazolidine</w:t>
      </w:r>
      <w:proofErr w:type="spellEnd"/>
      <w:r w:rsidR="002F6EFB">
        <w:t xml:space="preserve"> intermediate, which then </w:t>
      </w:r>
      <w:proofErr w:type="spellStart"/>
      <w:r w:rsidR="002F6EFB">
        <w:t>aromatises</w:t>
      </w:r>
      <w:proofErr w:type="spellEnd"/>
      <w:r w:rsidR="002F6EFB">
        <w:t xml:space="preserve"> to the final pyrazole product (Step 4). </w:t>
      </w:r>
      <w:r w:rsidR="00A71A46">
        <w:t xml:space="preserve">In </w:t>
      </w:r>
      <w:r w:rsidR="00CF1772">
        <w:t>addition</w:t>
      </w:r>
      <w:r w:rsidR="00A71A46">
        <w:t xml:space="preserve">, we also </w:t>
      </w:r>
      <w:proofErr w:type="spellStart"/>
      <w:r w:rsidR="00A71A46">
        <w:t>hypothesise</w:t>
      </w:r>
      <w:r w:rsidR="008B1382">
        <w:t>d</w:t>
      </w:r>
      <w:proofErr w:type="spellEnd"/>
      <w:r w:rsidR="00A71A46">
        <w:t xml:space="preserve"> an alternative reaction pathway involving the formation (Step 3) and aromati</w:t>
      </w:r>
      <w:r w:rsidR="00A238E7">
        <w:t>z</w:t>
      </w:r>
      <w:r w:rsidR="00A71A46">
        <w:t xml:space="preserve">ation (Step 5) of a di-addition intermediate, which was detected via mass spectroscopy analysis. </w:t>
      </w:r>
      <w:r w:rsidR="008B1382">
        <w:t xml:space="preserve">The key difference </w:t>
      </w:r>
      <w:r w:rsidR="00CF1772">
        <w:t xml:space="preserve">between the two networks </w:t>
      </w:r>
      <w:r w:rsidR="008B1382">
        <w:t xml:space="preserve">concerns the catalysis of </w:t>
      </w:r>
      <w:r w:rsidR="00CF1772">
        <w:t xml:space="preserve">the </w:t>
      </w:r>
      <w:r w:rsidR="008B1382">
        <w:t xml:space="preserve">aromatization </w:t>
      </w:r>
      <w:r w:rsidR="00CF1772">
        <w:t>reactions; w</w:t>
      </w:r>
      <w:r w:rsidR="008B1382">
        <w:t>hereas in Model 1 these are product- and diketone-</w:t>
      </w:r>
      <w:proofErr w:type="spellStart"/>
      <w:r w:rsidR="008B1382">
        <w:t>catalysed</w:t>
      </w:r>
      <w:proofErr w:type="spellEnd"/>
      <w:r w:rsidR="008B1382">
        <w:t xml:space="preserve"> pathways, </w:t>
      </w:r>
      <w:r w:rsidR="00CF1772">
        <w:t>in Model 2 they are assumed to be hydrazine-</w:t>
      </w:r>
      <w:proofErr w:type="spellStart"/>
      <w:r w:rsidR="00CF1772">
        <w:t>catalysed</w:t>
      </w:r>
      <w:proofErr w:type="spellEnd"/>
      <w:r w:rsidR="00CF1772">
        <w:t xml:space="preserve">. The rationale behind this modification is that higher </w:t>
      </w:r>
      <w:proofErr w:type="spellStart"/>
      <w:r w:rsidR="00CF1772">
        <w:t>hydrazine:diketone</w:t>
      </w:r>
      <w:proofErr w:type="spellEnd"/>
      <w:r w:rsidR="00CF1772">
        <w:t xml:space="preserve"> ratios </w:t>
      </w:r>
      <w:r w:rsidR="00CF1772" w:rsidRPr="00D81980">
        <w:rPr>
          <w:lang w:val="en-GB"/>
        </w:rPr>
        <w:t>favoured</w:t>
      </w:r>
      <w:r w:rsidR="00CF1772">
        <w:t xml:space="preserve"> product yields on reactant stoichiometry ramp experiments. </w:t>
      </w:r>
    </w:p>
    <w:p w14:paraId="35B642F5" w14:textId="1E919FC2" w:rsidR="00261AF9" w:rsidRDefault="00BB252C" w:rsidP="00261AF9">
      <w:pPr>
        <w:pStyle w:val="Els-2ndorder-head"/>
      </w:pPr>
      <w:r>
        <w:t xml:space="preserve">Sparse Regression-based </w:t>
      </w:r>
      <w:r w:rsidR="00552614">
        <w:t>Parameter Estimation</w:t>
      </w:r>
      <w:r>
        <w:t xml:space="preserve"> </w:t>
      </w:r>
    </w:p>
    <w:p w14:paraId="5D8E03F6" w14:textId="24392103" w:rsidR="00455F84" w:rsidRDefault="00455F84" w:rsidP="00973AEE">
      <w:pPr>
        <w:pStyle w:val="Els-body-text"/>
        <w:rPr>
          <w:iCs/>
          <w:lang w:val="en-GB"/>
        </w:rPr>
      </w:pPr>
      <w:r>
        <w:t xml:space="preserve">Kinetic parameter estimation was formulated as a nonlinear, constrained </w:t>
      </w:r>
      <w:r w:rsidRPr="00D81980">
        <w:rPr>
          <w:lang w:val="en-GB"/>
        </w:rPr>
        <w:t>optimi</w:t>
      </w:r>
      <w:r w:rsidR="00285C75" w:rsidRPr="00D81980">
        <w:rPr>
          <w:lang w:val="en-GB"/>
        </w:rPr>
        <w:t>s</w:t>
      </w:r>
      <w:r w:rsidRPr="00D81980">
        <w:rPr>
          <w:lang w:val="en-GB"/>
        </w:rPr>
        <w:t>ation</w:t>
      </w:r>
      <w:r>
        <w:t xml:space="preserve"> problem presented in Eq. </w:t>
      </w:r>
      <w:r w:rsidR="008038EA">
        <w:t>(2</w:t>
      </w:r>
      <w:r>
        <w:t xml:space="preserve">a) – Eq. </w:t>
      </w:r>
      <w:r w:rsidR="008038EA">
        <w:t>(2c</w:t>
      </w:r>
      <w:r>
        <w:t xml:space="preserve">). Inspired by sparse regression approaches, the objective function to be </w:t>
      </w:r>
      <w:r w:rsidRPr="00D81980">
        <w:rPr>
          <w:lang w:val="en-GB"/>
        </w:rPr>
        <w:t>minimi</w:t>
      </w:r>
      <w:r w:rsidR="00285C75" w:rsidRPr="00D81980">
        <w:rPr>
          <w:lang w:val="en-GB"/>
        </w:rPr>
        <w:t>s</w:t>
      </w:r>
      <w:r w:rsidRPr="00D81980">
        <w:rPr>
          <w:lang w:val="en-GB"/>
        </w:rPr>
        <w:t>ed</w:t>
      </w:r>
      <w:r>
        <w:t xml:space="preserve"> is a least-squares expression which incorporates an additional</w:t>
      </w:r>
      <w:r w:rsidR="009F459E">
        <w:t xml:space="preserve"> sparsity</w:t>
      </w:r>
      <w:r>
        <w:t xml:space="preserve"> regularization term</w:t>
      </w:r>
      <w:r w:rsidR="009D16AF">
        <w:t xml:space="preserve">. The rationale behind this term is that model fitting and model reduction can be accomplished simultaneously by penalizing the number of active reaction pathways: For </w:t>
      </w:r>
      <w:r w:rsidR="009D16AF">
        <w:rPr>
          <w:iCs/>
          <w:lang w:val="en-GB"/>
        </w:rPr>
        <w:t>kinetically significant steps their corresponding constant</w:t>
      </w:r>
      <w:r w:rsidR="008D1B44">
        <w:rPr>
          <w:iCs/>
          <w:lang w:val="en-GB"/>
        </w:rPr>
        <w:t>s</w:t>
      </w:r>
      <w:r w:rsidR="009D16AF">
        <w:rPr>
          <w:iCs/>
          <w:lang w:val="en-GB"/>
        </w:rPr>
        <w:t xml:space="preserve"> take some non-zero value </w:t>
      </w:r>
      <m:oMath>
        <m:sSub>
          <m:sSubPr>
            <m:ctrlPr>
              <w:rPr>
                <w:rFonts w:ascii="Cambria Math" w:hAnsi="Cambria Math"/>
                <w:i/>
                <w:iCs/>
                <w:lang w:val="en-GB"/>
              </w:rPr>
            </m:ctrlPr>
          </m:sSubPr>
          <m:e>
            <m:r>
              <w:rPr>
                <w:rFonts w:ascii="Cambria Math" w:hAnsi="Cambria Math"/>
                <w:lang w:val="en-GB"/>
              </w:rPr>
              <m:t>k</m:t>
            </m:r>
          </m:e>
          <m:sub>
            <m:r>
              <w:rPr>
                <w:rFonts w:ascii="Cambria Math" w:hAnsi="Cambria Math"/>
                <w:lang w:val="en-GB"/>
              </w:rPr>
              <m:t>j</m:t>
            </m:r>
          </m:sub>
        </m:sSub>
        <m:r>
          <w:rPr>
            <w:rFonts w:ascii="Cambria Math" w:hAnsi="Cambria Math"/>
            <w:lang w:val="en-GB"/>
          </w:rPr>
          <m:t>≫ε</m:t>
        </m:r>
      </m:oMath>
      <w:r w:rsidR="009D16AF">
        <w:rPr>
          <w:iCs/>
          <w:lang w:val="en-GB"/>
        </w:rPr>
        <w:t xml:space="preserve"> and the penalty term approaches unity, whereas </w:t>
      </w:r>
      <w:r w:rsidR="009D16AF">
        <w:t>for kinetically negligible</w:t>
      </w:r>
      <w:r w:rsidR="008D1B44">
        <w:t xml:space="preserve"> steps</w:t>
      </w:r>
      <w:r w:rsidR="009D16AF">
        <w:t xml:space="preserve"> the penalty term approaches 0 as </w:t>
      </w:r>
      <m:oMath>
        <m:sSub>
          <m:sSubPr>
            <m:ctrlPr>
              <w:rPr>
                <w:rFonts w:ascii="Cambria Math" w:hAnsi="Cambria Math"/>
                <w:i/>
                <w:iCs/>
                <w:lang w:val="en-GB"/>
              </w:rPr>
            </m:ctrlPr>
          </m:sSubPr>
          <m:e>
            <m:r>
              <w:rPr>
                <w:rFonts w:ascii="Cambria Math" w:hAnsi="Cambria Math"/>
                <w:lang w:val="en-GB"/>
              </w:rPr>
              <m:t>k</m:t>
            </m:r>
          </m:e>
          <m:sub>
            <m:r>
              <w:rPr>
                <w:rFonts w:ascii="Cambria Math" w:hAnsi="Cambria Math"/>
                <w:lang w:val="en-GB"/>
              </w:rPr>
              <m:t>j</m:t>
            </m:r>
          </m:sub>
        </m:sSub>
        <m:r>
          <w:rPr>
            <w:rFonts w:ascii="Cambria Math" w:hAnsi="Cambria Math"/>
            <w:lang w:val="en-GB"/>
          </w:rPr>
          <m:t>≈0</m:t>
        </m:r>
      </m:oMath>
      <w:r w:rsidR="009D16AF">
        <w:rPr>
          <w:iCs/>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5"/>
      </w:tblGrid>
      <w:tr w:rsidR="00444C82" w14:paraId="63D3B16E" w14:textId="77777777" w:rsidTr="00F26092">
        <w:tc>
          <w:tcPr>
            <w:tcW w:w="6091" w:type="dxa"/>
            <w:vAlign w:val="center"/>
          </w:tcPr>
          <w:p w14:paraId="7F61557A" w14:textId="392B116B" w:rsidR="00444C82" w:rsidRPr="00444C82" w:rsidRDefault="00000000" w:rsidP="005F07EA">
            <w:pPr>
              <w:pStyle w:val="Els-body-text"/>
              <w:spacing w:before="240"/>
              <w:jc w:val="center"/>
              <w:rPr>
                <w:b/>
                <w:bCs/>
                <w:iCs/>
                <w:lang w:val="en-GB"/>
              </w:rPr>
            </w:pPr>
            <m:oMathPara>
              <m:oMath>
                <m:func>
                  <m:funcPr>
                    <m:ctrlPr>
                      <w:rPr>
                        <w:rFonts w:ascii="Cambria Math" w:hAnsi="Cambria Math"/>
                        <w:i/>
                        <w:iCs/>
                        <w:lang w:val="en-GB"/>
                      </w:rPr>
                    </m:ctrlPr>
                  </m:funcPr>
                  <m:fName>
                    <m:limLow>
                      <m:limLowPr>
                        <m:ctrlPr>
                          <w:rPr>
                            <w:rFonts w:ascii="Cambria Math" w:hAnsi="Cambria Math"/>
                            <w:i/>
                            <w:iCs/>
                            <w:lang w:val="en-GB"/>
                          </w:rPr>
                        </m:ctrlPr>
                      </m:limLowPr>
                      <m:e>
                        <m:r>
                          <m:rPr>
                            <m:sty m:val="p"/>
                          </m:rPr>
                          <w:rPr>
                            <w:rFonts w:ascii="Cambria Math" w:hAnsi="Cambria Math"/>
                            <w:lang w:val="en-GB"/>
                          </w:rPr>
                          <m:t>min</m:t>
                        </m:r>
                        <m:ctrlPr>
                          <w:rPr>
                            <w:rFonts w:ascii="Cambria Math" w:hAnsi="Cambria Math"/>
                            <w:iCs/>
                            <w:lang w:val="en-GB"/>
                          </w:rPr>
                        </m:ctrlPr>
                      </m:e>
                      <m:lim>
                        <m:r>
                          <m:rPr>
                            <m:sty m:val="bi"/>
                          </m:rPr>
                          <w:rPr>
                            <w:rFonts w:ascii="Cambria Math" w:hAnsi="Cambria Math"/>
                            <w:lang w:val="en-GB"/>
                          </w:rPr>
                          <m:t>k</m:t>
                        </m:r>
                        <m:ctrlPr>
                          <w:rPr>
                            <w:rFonts w:ascii="Cambria Math" w:hAnsi="Cambria Math"/>
                            <w:iCs/>
                            <w:lang w:val="en-GB"/>
                          </w:rPr>
                        </m:ctrlPr>
                      </m:lim>
                    </m:limLow>
                    <m:ctrlPr>
                      <w:rPr>
                        <w:rFonts w:ascii="Cambria Math" w:hAnsi="Cambria Math"/>
                        <w:b/>
                        <w:bCs/>
                        <w:i/>
                        <w:iCs/>
                        <w:lang w:val="en-GB"/>
                      </w:rPr>
                    </m:ctrlPr>
                  </m:fName>
                  <m:e>
                    <m:nary>
                      <m:naryPr>
                        <m:chr m:val="∑"/>
                        <m:limLoc m:val="undOvr"/>
                        <m:ctrlPr>
                          <w:rPr>
                            <w:rFonts w:ascii="Cambria Math" w:hAnsi="Cambria Math"/>
                            <w:b/>
                            <w:bCs/>
                            <w:i/>
                            <w:iCs/>
                            <w:lang w:val="en-GB"/>
                          </w:rPr>
                        </m:ctrlPr>
                      </m:naryPr>
                      <m:sub>
                        <m:r>
                          <w:rPr>
                            <w:rFonts w:ascii="Cambria Math" w:hAnsi="Cambria Math"/>
                            <w:lang w:val="en-GB"/>
                          </w:rPr>
                          <m:t>i=1</m:t>
                        </m:r>
                      </m:sub>
                      <m:sup>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p</m:t>
                            </m:r>
                          </m:sub>
                        </m:sSub>
                      </m:sup>
                      <m:e>
                        <m:sSup>
                          <m:sSupPr>
                            <m:ctrlPr>
                              <w:rPr>
                                <w:rFonts w:ascii="Cambria Math" w:hAnsi="Cambria Math"/>
                                <w:b/>
                                <w:bCs/>
                                <w:i/>
                                <w:iCs/>
                                <w:lang w:val="en-GB"/>
                              </w:rPr>
                            </m:ctrlPr>
                          </m:sSupPr>
                          <m:e>
                            <m:d>
                              <m:dPr>
                                <m:ctrlPr>
                                  <w:rPr>
                                    <w:rFonts w:ascii="Cambria Math" w:hAnsi="Cambria Math"/>
                                    <w:b/>
                                    <w:bCs/>
                                    <w:i/>
                                    <w:iCs/>
                                    <w:lang w:val="en-GB"/>
                                  </w:rPr>
                                </m:ctrlPr>
                              </m:dPr>
                              <m:e>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i,E</m:t>
                                    </m:r>
                                  </m:sub>
                                </m:sSub>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i,S</m:t>
                                    </m:r>
                                  </m:sub>
                                </m:sSub>
                              </m:e>
                            </m:d>
                          </m:e>
                          <m:sup>
                            <m:r>
                              <m:rPr>
                                <m:sty m:val="bi"/>
                              </m:rPr>
                              <w:rPr>
                                <w:rFonts w:ascii="Cambria Math" w:hAnsi="Cambria Math"/>
                                <w:lang w:val="en-GB"/>
                              </w:rPr>
                              <m:t>T</m:t>
                            </m:r>
                          </m:sup>
                        </m:sSup>
                        <m:r>
                          <m:rPr>
                            <m:sty m:val="b"/>
                          </m:rPr>
                          <w:rPr>
                            <w:rFonts w:ascii="Cambria Math" w:hAnsi="Cambria Math"/>
                          </w:rPr>
                          <m:t xml:space="preserve">Λ </m:t>
                        </m:r>
                        <m:d>
                          <m:dPr>
                            <m:ctrlPr>
                              <w:rPr>
                                <w:rFonts w:ascii="Cambria Math" w:hAnsi="Cambria Math"/>
                                <w:b/>
                                <w:bCs/>
                                <w:i/>
                                <w:iCs/>
                                <w:lang w:val="en-GB"/>
                              </w:rPr>
                            </m:ctrlPr>
                          </m:dPr>
                          <m:e>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i,E</m:t>
                                </m:r>
                              </m:sub>
                            </m:sSub>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i,S</m:t>
                                </m:r>
                              </m:sub>
                            </m:sSub>
                          </m:e>
                        </m:d>
                        <m:r>
                          <w:rPr>
                            <w:rFonts w:ascii="Cambria Math" w:hAnsi="Cambria Math"/>
                            <w:lang w:val="en-GB"/>
                          </w:rPr>
                          <m:t>+ </m:t>
                        </m:r>
                        <m:sSub>
                          <m:sSubPr>
                            <m:ctrlPr>
                              <w:rPr>
                                <w:rFonts w:ascii="Cambria Math" w:hAnsi="Cambria Math"/>
                                <w:i/>
                                <w:iCs/>
                                <w:lang w:val="en-GB"/>
                              </w:rPr>
                            </m:ctrlPr>
                          </m:sSubPr>
                          <m:e>
                            <m:r>
                              <w:rPr>
                                <w:rFonts w:ascii="Cambria Math" w:hAnsi="Cambria Math"/>
                                <w:lang w:val="en-GB"/>
                              </w:rPr>
                              <m:t>ω</m:t>
                            </m:r>
                          </m:e>
                          <m:sub>
                            <m:r>
                              <w:rPr>
                                <w:rFonts w:ascii="Cambria Math" w:hAnsi="Cambria Math"/>
                                <w:lang w:val="en-GB"/>
                              </w:rPr>
                              <m:t>s</m:t>
                            </m:r>
                          </m:sub>
                        </m:sSub>
                        <m:nary>
                          <m:naryPr>
                            <m:chr m:val="∑"/>
                            <m:limLoc m:val="undOvr"/>
                            <m:ctrlPr>
                              <w:rPr>
                                <w:rFonts w:ascii="Cambria Math" w:hAnsi="Cambria Math"/>
                                <w:i/>
                                <w:iCs/>
                                <w:lang w:val="en-GB"/>
                              </w:rPr>
                            </m:ctrlPr>
                          </m:naryPr>
                          <m:sub>
                            <m:r>
                              <w:rPr>
                                <w:rFonts w:ascii="Cambria Math" w:hAnsi="Cambria Math"/>
                                <w:lang w:val="en-GB"/>
                              </w:rPr>
                              <m:t>j=1</m:t>
                            </m:r>
                          </m:sub>
                          <m:sup>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k</m:t>
                                </m:r>
                              </m:sub>
                            </m:sSub>
                          </m:sup>
                          <m:e>
                            <m:f>
                              <m:fPr>
                                <m:ctrlPr>
                                  <w:rPr>
                                    <w:rFonts w:ascii="Cambria Math" w:hAnsi="Cambria Math"/>
                                    <w:i/>
                                    <w:iCs/>
                                    <w:lang w:val="en-GB"/>
                                  </w:rPr>
                                </m:ctrlPr>
                              </m:fPr>
                              <m:num>
                                <m:sSub>
                                  <m:sSubPr>
                                    <m:ctrlPr>
                                      <w:rPr>
                                        <w:rFonts w:ascii="Cambria Math" w:hAnsi="Cambria Math"/>
                                        <w:i/>
                                        <w:iCs/>
                                        <w:lang w:val="en-GB"/>
                                      </w:rPr>
                                    </m:ctrlPr>
                                  </m:sSubPr>
                                  <m:e>
                                    <m:r>
                                      <w:rPr>
                                        <w:rFonts w:ascii="Cambria Math" w:hAnsi="Cambria Math"/>
                                        <w:lang w:val="en-GB"/>
                                      </w:rPr>
                                      <m:t>k</m:t>
                                    </m:r>
                                  </m:e>
                                  <m:sub>
                                    <m:r>
                                      <w:rPr>
                                        <w:rFonts w:ascii="Cambria Math" w:hAnsi="Cambria Math"/>
                                        <w:lang w:val="en-GB"/>
                                      </w:rPr>
                                      <m:t>j</m:t>
                                    </m:r>
                                  </m:sub>
                                </m:sSub>
                              </m:num>
                              <m:den>
                                <m:sSub>
                                  <m:sSubPr>
                                    <m:ctrlPr>
                                      <w:rPr>
                                        <w:rFonts w:ascii="Cambria Math" w:hAnsi="Cambria Math"/>
                                        <w:i/>
                                        <w:iCs/>
                                        <w:lang w:val="en-GB"/>
                                      </w:rPr>
                                    </m:ctrlPr>
                                  </m:sSubPr>
                                  <m:e>
                                    <m:r>
                                      <w:rPr>
                                        <w:rFonts w:ascii="Cambria Math" w:hAnsi="Cambria Math"/>
                                        <w:lang w:val="en-GB"/>
                                      </w:rPr>
                                      <m:t>k</m:t>
                                    </m:r>
                                  </m:e>
                                  <m:sub>
                                    <m:r>
                                      <w:rPr>
                                        <w:rFonts w:ascii="Cambria Math" w:hAnsi="Cambria Math"/>
                                        <w:lang w:val="en-GB"/>
                                      </w:rPr>
                                      <m:t>j</m:t>
                                    </m:r>
                                  </m:sub>
                                </m:sSub>
                                <m:r>
                                  <w:rPr>
                                    <w:rFonts w:ascii="Cambria Math" w:hAnsi="Cambria Math"/>
                                    <w:lang w:val="en-GB"/>
                                  </w:rPr>
                                  <m:t>+ε</m:t>
                                </m:r>
                              </m:den>
                            </m:f>
                          </m:e>
                        </m:nary>
                      </m:e>
                    </m:nary>
                    <m:ctrlPr>
                      <w:rPr>
                        <w:rFonts w:ascii="Cambria Math" w:hAnsi="Cambria Math"/>
                        <w:b/>
                        <w:bCs/>
                        <w:i/>
                        <w:iCs/>
                        <w:lang w:val="en-GB"/>
                      </w:rPr>
                    </m:ctrlPr>
                  </m:e>
                </m:func>
                <m:r>
                  <m:rPr>
                    <m:sty m:val="bi"/>
                  </m:rPr>
                  <w:rPr>
                    <w:rFonts w:ascii="Cambria Math" w:hAnsi="Cambria Math"/>
                    <w:lang w:val="en-GB"/>
                  </w:rPr>
                  <m:t> </m:t>
                </m:r>
              </m:oMath>
            </m:oMathPara>
          </w:p>
        </w:tc>
        <w:tc>
          <w:tcPr>
            <w:tcW w:w="985" w:type="dxa"/>
            <w:vAlign w:val="center"/>
          </w:tcPr>
          <w:p w14:paraId="54192600" w14:textId="292053CB" w:rsidR="00444C82" w:rsidRDefault="00444C82" w:rsidP="005F07EA">
            <w:pPr>
              <w:pStyle w:val="Els-body-text"/>
              <w:jc w:val="right"/>
              <w:rPr>
                <w:iCs/>
                <w:lang w:val="en-GB"/>
              </w:rPr>
            </w:pPr>
            <w:r>
              <w:rPr>
                <w:iCs/>
                <w:lang w:val="en-GB"/>
              </w:rPr>
              <w:t>(2a)</w:t>
            </w:r>
          </w:p>
        </w:tc>
      </w:tr>
      <w:tr w:rsidR="00444C82" w14:paraId="34CC94C1" w14:textId="77777777" w:rsidTr="00F26092">
        <w:trPr>
          <w:trHeight w:val="722"/>
        </w:trPr>
        <w:tc>
          <w:tcPr>
            <w:tcW w:w="6091" w:type="dxa"/>
            <w:vAlign w:val="center"/>
          </w:tcPr>
          <w:p w14:paraId="4B4AA439" w14:textId="0337A692" w:rsidR="00444C82" w:rsidRDefault="00444C82" w:rsidP="005F07EA">
            <w:pPr>
              <w:pStyle w:val="Els-body-text"/>
              <w:jc w:val="center"/>
              <w:rPr>
                <w:iCs/>
                <w:lang w:val="en-GB"/>
              </w:rPr>
            </w:pPr>
            <m:oMathPara>
              <m:oMath>
                <m:r>
                  <m:rPr>
                    <m:sty m:val="p"/>
                  </m:rPr>
                  <w:rPr>
                    <w:rFonts w:ascii="Cambria Math" w:hAnsi="Cambria Math"/>
                  </w:rPr>
                  <w:lastRenderedPageBreak/>
                  <m:t>st</m:t>
                </m:r>
                <m:r>
                  <w:rPr>
                    <w:rFonts w:ascii="Cambria Math" w:hAnsi="Cambria Math"/>
                  </w:rPr>
                  <m:t xml:space="preserve">.      </m:t>
                </m:r>
                <m:f>
                  <m:fPr>
                    <m:ctrlPr>
                      <w:rPr>
                        <w:rFonts w:ascii="Cambria Math" w:hAnsi="Cambria Math"/>
                        <w:i/>
                      </w:rPr>
                    </m:ctrlPr>
                  </m:fPr>
                  <m:num>
                    <m:r>
                      <w:rPr>
                        <w:rFonts w:ascii="Cambria Math" w:hAnsi="Cambria Math"/>
                      </w:rPr>
                      <m:t>d</m:t>
                    </m:r>
                    <m:r>
                      <m:rPr>
                        <m:sty m:val="bi"/>
                      </m:rPr>
                      <w:rPr>
                        <w:rFonts w:ascii="Cambria Math" w:hAnsi="Cambria Math"/>
                      </w:rPr>
                      <m:t>C</m:t>
                    </m:r>
                  </m:num>
                  <m:den>
                    <m:r>
                      <w:rPr>
                        <w:rFonts w:ascii="Cambria Math" w:hAnsi="Cambria Math"/>
                      </w:rPr>
                      <m:t>dτ</m:t>
                    </m:r>
                  </m:den>
                </m:f>
                <m:r>
                  <w:rPr>
                    <w:rFonts w:ascii="Cambria Math" w:hAnsi="Cambria Math"/>
                  </w:rPr>
                  <m:t>=</m:t>
                </m:r>
                <m:r>
                  <m:rPr>
                    <m:sty m:val="bi"/>
                  </m:rPr>
                  <w:rPr>
                    <w:rFonts w:ascii="Cambria Math" w:hAnsi="Cambria Math"/>
                  </w:rPr>
                  <m:t>f</m:t>
                </m:r>
                <m:d>
                  <m:dPr>
                    <m:ctrlPr>
                      <w:rPr>
                        <w:rFonts w:ascii="Cambria Math" w:hAnsi="Cambria Math"/>
                        <w:b/>
                        <w:bCs/>
                        <w:i/>
                      </w:rPr>
                    </m:ctrlPr>
                  </m:dPr>
                  <m:e>
                    <m:r>
                      <m:rPr>
                        <m:sty m:val="bi"/>
                      </m:rPr>
                      <w:rPr>
                        <w:rFonts w:ascii="Cambria Math" w:hAnsi="Cambria Math"/>
                      </w:rPr>
                      <m:t>C, k</m:t>
                    </m:r>
                  </m:e>
                </m:d>
              </m:oMath>
            </m:oMathPara>
          </w:p>
        </w:tc>
        <w:tc>
          <w:tcPr>
            <w:tcW w:w="985" w:type="dxa"/>
            <w:vAlign w:val="center"/>
          </w:tcPr>
          <w:p w14:paraId="098B01B1" w14:textId="26FFC59C" w:rsidR="00444C82" w:rsidRDefault="00444C82" w:rsidP="005F07EA">
            <w:pPr>
              <w:pStyle w:val="Els-body-text"/>
              <w:jc w:val="right"/>
              <w:rPr>
                <w:iCs/>
                <w:lang w:val="en-GB"/>
              </w:rPr>
            </w:pPr>
            <w:r>
              <w:rPr>
                <w:iCs/>
                <w:lang w:val="en-GB"/>
              </w:rPr>
              <w:t>(2b)</w:t>
            </w:r>
          </w:p>
        </w:tc>
      </w:tr>
      <w:tr w:rsidR="00444C82" w14:paraId="74F03002" w14:textId="77777777" w:rsidTr="00F26092">
        <w:trPr>
          <w:trHeight w:val="406"/>
        </w:trPr>
        <w:tc>
          <w:tcPr>
            <w:tcW w:w="6091" w:type="dxa"/>
            <w:vAlign w:val="center"/>
          </w:tcPr>
          <w:p w14:paraId="27738575" w14:textId="24ADFA7D" w:rsidR="00444C82" w:rsidRDefault="00000000" w:rsidP="005F07EA">
            <w:pPr>
              <w:pStyle w:val="Els-body-text"/>
              <w:jc w:val="center"/>
              <w:rPr>
                <w:iCs/>
                <w:lang w:val="en-GB"/>
              </w:rPr>
            </w:pPr>
            <m:oMathPara>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lb</m:t>
                    </m:r>
                  </m:sub>
                </m:sSub>
                <m:r>
                  <m:rPr>
                    <m:sty m:val="bi"/>
                  </m:rPr>
                  <w:rPr>
                    <w:rFonts w:ascii="Cambria Math" w:hAnsi="Cambria Math"/>
                  </w:rPr>
                  <m:t xml:space="preserve">&lt;k&lt; </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ub</m:t>
                    </m:r>
                  </m:sub>
                </m:sSub>
              </m:oMath>
            </m:oMathPara>
          </w:p>
        </w:tc>
        <w:tc>
          <w:tcPr>
            <w:tcW w:w="985" w:type="dxa"/>
            <w:vAlign w:val="center"/>
          </w:tcPr>
          <w:p w14:paraId="15D3AF13" w14:textId="5CB471B7" w:rsidR="00444C82" w:rsidRDefault="00444C82" w:rsidP="005F07EA">
            <w:pPr>
              <w:pStyle w:val="Els-body-text"/>
              <w:jc w:val="right"/>
              <w:rPr>
                <w:iCs/>
                <w:lang w:val="en-GB"/>
              </w:rPr>
            </w:pPr>
            <w:r>
              <w:rPr>
                <w:iCs/>
                <w:lang w:val="en-GB"/>
              </w:rPr>
              <w:t>(2c)</w:t>
            </w:r>
          </w:p>
        </w:tc>
      </w:tr>
    </w:tbl>
    <w:p w14:paraId="1E7A50BA" w14:textId="5882B32E" w:rsidR="009C7036" w:rsidRDefault="006A5C6D" w:rsidP="009C7036">
      <w:pPr>
        <w:pStyle w:val="Els-body-text"/>
        <w:rPr>
          <w:iCs/>
          <w:lang w:val="en-GB"/>
        </w:rPr>
      </w:pPr>
      <w:r>
        <w:t xml:space="preserve">where </w:t>
      </w:r>
      <m:oMath>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i,E</m:t>
            </m:r>
          </m:sub>
        </m:sSub>
      </m:oMath>
      <w:r w:rsidRPr="006A5C6D">
        <w:rPr>
          <w:b/>
          <w:bCs/>
          <w:iCs/>
          <w:lang w:val="en-GB"/>
        </w:rPr>
        <w:t xml:space="preserve"> </w:t>
      </w:r>
      <w:r w:rsidRPr="006A5C6D">
        <w:rPr>
          <w:iCs/>
          <w:lang w:val="en-GB"/>
        </w:rPr>
        <w:t>and</w:t>
      </w:r>
      <w:r w:rsidRPr="006A5C6D">
        <w:rPr>
          <w:b/>
          <w:bCs/>
          <w:iCs/>
          <w:lang w:val="en-GB"/>
        </w:rPr>
        <w:t xml:space="preserve"> </w:t>
      </w:r>
      <m:oMath>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i,S</m:t>
            </m:r>
          </m:sub>
        </m:sSub>
      </m:oMath>
      <w:r>
        <w:rPr>
          <w:b/>
          <w:bCs/>
          <w:iCs/>
          <w:lang w:val="en-GB"/>
        </w:rPr>
        <w:t xml:space="preserve"> </w:t>
      </w:r>
      <w:r w:rsidRPr="006A5C6D">
        <w:rPr>
          <w:iCs/>
          <w:lang w:val="en-GB"/>
        </w:rPr>
        <w:t>are</w:t>
      </w:r>
      <w:r w:rsidR="003C31B9">
        <w:rPr>
          <w:iCs/>
          <w:lang w:val="en-GB"/>
        </w:rPr>
        <w:t xml:space="preserve"> vectors for the experimentally measured and simulated concentrations of species, respectively. </w:t>
      </w:r>
      <m:oMath>
        <m:r>
          <m:rPr>
            <m:sty m:val="b"/>
          </m:rPr>
          <w:rPr>
            <w:rFonts w:ascii="Cambria Math" w:hAnsi="Cambria Math"/>
          </w:rPr>
          <m:t>Λ</m:t>
        </m:r>
      </m:oMath>
      <w:r w:rsidR="003C31B9">
        <w:rPr>
          <w:b/>
        </w:rPr>
        <w:t xml:space="preserve"> </w:t>
      </w:r>
      <w:r w:rsidR="003C31B9" w:rsidRPr="003C31B9">
        <w:rPr>
          <w:bCs/>
        </w:rPr>
        <w:t xml:space="preserve">is a </w:t>
      </w:r>
      <w:proofErr w:type="spellStart"/>
      <w:r w:rsidR="003C31B9" w:rsidRPr="003C31B9">
        <w:rPr>
          <w:bCs/>
        </w:rPr>
        <w:t>weig</w:t>
      </w:r>
      <w:r w:rsidR="003C31B9">
        <w:rPr>
          <w:iCs/>
          <w:lang w:val="en-GB"/>
        </w:rPr>
        <w:t>hting</w:t>
      </w:r>
      <w:proofErr w:type="spellEnd"/>
      <w:r w:rsidR="003C31B9">
        <w:rPr>
          <w:iCs/>
          <w:lang w:val="en-GB"/>
        </w:rPr>
        <w:t xml:space="preserve"> matrix used to scale the residuals and </w:t>
      </w:r>
      <m:oMath>
        <m:sSub>
          <m:sSubPr>
            <m:ctrlPr>
              <w:rPr>
                <w:rFonts w:ascii="Cambria Math" w:hAnsi="Cambria Math"/>
                <w:i/>
                <w:iCs/>
                <w:lang w:val="en-GB"/>
              </w:rPr>
            </m:ctrlPr>
          </m:sSubPr>
          <m:e>
            <m:r>
              <w:rPr>
                <w:rFonts w:ascii="Cambria Math" w:hAnsi="Cambria Math"/>
                <w:lang w:val="en-GB"/>
              </w:rPr>
              <m:t>ω</m:t>
            </m:r>
          </m:e>
          <m:sub>
            <m:r>
              <w:rPr>
                <w:rFonts w:ascii="Cambria Math" w:hAnsi="Cambria Math"/>
                <w:lang w:val="en-GB"/>
              </w:rPr>
              <m:t>s</m:t>
            </m:r>
          </m:sub>
        </m:sSub>
      </m:oMath>
      <w:r w:rsidR="003C31B9">
        <w:rPr>
          <w:iCs/>
          <w:lang w:val="en-GB"/>
        </w:rPr>
        <w:t xml:space="preserve"> is the penalty weight. </w:t>
      </w:r>
      <w:r w:rsidR="00B3222A">
        <w:rPr>
          <w:iCs/>
          <w:lang w:val="en-GB"/>
        </w:rPr>
        <w:t xml:space="preserve">The number of datapoints is denoted by </w:t>
      </w:r>
      <m:oMath>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p</m:t>
            </m:r>
          </m:sub>
        </m:sSub>
      </m:oMath>
      <w:r w:rsidR="00B3222A">
        <w:rPr>
          <w:iCs/>
          <w:lang w:val="en-GB"/>
        </w:rPr>
        <w:t xml:space="preserve">, while </w:t>
      </w:r>
      <m:oMath>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k</m:t>
            </m:r>
          </m:sub>
        </m:sSub>
      </m:oMath>
      <w:r w:rsidR="00B3222A">
        <w:rPr>
          <w:iCs/>
          <w:lang w:val="en-GB"/>
        </w:rPr>
        <w:t xml:space="preserve"> refers to the number of kinetic constants </w:t>
      </w:r>
      <m:oMath>
        <m:r>
          <m:rPr>
            <m:sty m:val="bi"/>
          </m:rPr>
          <w:rPr>
            <w:rFonts w:ascii="Cambria Math" w:hAnsi="Cambria Math"/>
          </w:rPr>
          <m:t>k</m:t>
        </m:r>
      </m:oMath>
      <w:r w:rsidR="00B3222A">
        <w:rPr>
          <w:iCs/>
          <w:lang w:val="en-GB"/>
        </w:rPr>
        <w:t xml:space="preserve"> in a proposed reaction network. </w:t>
      </w:r>
      <m:oMath>
        <m:r>
          <w:rPr>
            <w:rFonts w:ascii="Cambria Math" w:hAnsi="Cambria Math"/>
            <w:lang w:val="en-GB"/>
          </w:rPr>
          <m:t xml:space="preserve">ε </m:t>
        </m:r>
      </m:oMath>
      <w:r w:rsidR="00552614">
        <w:rPr>
          <w:iCs/>
          <w:lang w:val="en-GB"/>
        </w:rPr>
        <w:t xml:space="preserve">is a small, positive number. </w:t>
      </w:r>
      <w:r w:rsidR="008D401B">
        <w:rPr>
          <w:iCs/>
          <w:lang w:val="en-GB"/>
        </w:rPr>
        <w:t xml:space="preserve">The </w:t>
      </w:r>
      <w:proofErr w:type="spellStart"/>
      <w:r w:rsidR="008D401B">
        <w:rPr>
          <w:iCs/>
          <w:lang w:val="en-GB"/>
        </w:rPr>
        <w:t>underscripts</w:t>
      </w:r>
      <w:proofErr w:type="spellEnd"/>
      <w:r w:rsidR="008D401B">
        <w:rPr>
          <w:iCs/>
          <w:lang w:val="en-GB"/>
        </w:rPr>
        <w:t xml:space="preserve"> </w:t>
      </w:r>
      <m:oMath>
        <m:r>
          <w:rPr>
            <w:rFonts w:ascii="Cambria Math" w:hAnsi="Cambria Math"/>
            <w:lang w:val="en-GB"/>
          </w:rPr>
          <m:t>lb</m:t>
        </m:r>
      </m:oMath>
      <w:r w:rsidR="008D401B">
        <w:rPr>
          <w:iCs/>
          <w:lang w:val="en-GB"/>
        </w:rPr>
        <w:t xml:space="preserve"> and </w:t>
      </w:r>
      <m:oMath>
        <m:r>
          <w:rPr>
            <w:rFonts w:ascii="Cambria Math" w:hAnsi="Cambria Math"/>
            <w:lang w:val="en-GB"/>
          </w:rPr>
          <m:t>ub</m:t>
        </m:r>
      </m:oMath>
      <w:r w:rsidR="008D401B">
        <w:rPr>
          <w:iCs/>
          <w:lang w:val="en-GB"/>
        </w:rPr>
        <w:t xml:space="preserve"> denote lower and upper bounds, respectively. </w:t>
      </w:r>
    </w:p>
    <w:p w14:paraId="60679163" w14:textId="77777777" w:rsidR="009C7036" w:rsidRDefault="009C7036" w:rsidP="00444C82">
      <w:pPr>
        <w:pStyle w:val="Els-body-text"/>
        <w:rPr>
          <w:iCs/>
          <w:lang w:val="en-GB"/>
        </w:rPr>
      </w:pPr>
    </w:p>
    <w:p w14:paraId="70E086FE" w14:textId="62C37A81" w:rsidR="00A848A4" w:rsidRPr="005E662D" w:rsidRDefault="005E662D" w:rsidP="006202FD">
      <w:pPr>
        <w:pStyle w:val="Els-body-text"/>
        <w:rPr>
          <w:lang w:val="en-GB"/>
        </w:rPr>
      </w:pPr>
      <w:r>
        <w:rPr>
          <w:iCs/>
          <w:lang w:val="en-GB"/>
        </w:rPr>
        <w:t>The differential process constraints</w:t>
      </w:r>
      <w:r w:rsidR="00F26092">
        <w:rPr>
          <w:iCs/>
          <w:lang w:val="en-GB"/>
        </w:rPr>
        <w:t xml:space="preserve"> Eq. (2b)</w:t>
      </w:r>
      <w:r>
        <w:rPr>
          <w:iCs/>
          <w:lang w:val="en-GB"/>
        </w:rPr>
        <w:t xml:space="preserve"> were discretised into algebraic profiles using Adams method and backward differentiation formulas. The arising NLP was then solved via sequential least squares programming</w:t>
      </w:r>
      <w:r w:rsidR="00AB17E2">
        <w:rPr>
          <w:iCs/>
          <w:lang w:val="en-GB"/>
        </w:rPr>
        <w:t xml:space="preserve">. </w:t>
      </w:r>
      <w:r>
        <w:rPr>
          <w:iCs/>
          <w:lang w:val="en-GB"/>
        </w:rPr>
        <w:t xml:space="preserve">This procedure was implemented computationally through the </w:t>
      </w:r>
      <w:proofErr w:type="spellStart"/>
      <w:r>
        <w:rPr>
          <w:iCs/>
          <w:lang w:val="en-GB"/>
        </w:rPr>
        <w:t>S</w:t>
      </w:r>
      <w:r>
        <w:rPr>
          <w:i/>
          <w:iCs/>
          <w:lang w:val="en-GB"/>
        </w:rPr>
        <w:t>cipy</w:t>
      </w:r>
      <w:proofErr w:type="spellEnd"/>
      <w:r>
        <w:rPr>
          <w:i/>
          <w:iCs/>
          <w:lang w:val="en-GB"/>
        </w:rPr>
        <w:t xml:space="preserve"> </w:t>
      </w:r>
      <w:r>
        <w:rPr>
          <w:lang w:val="en-GB"/>
        </w:rPr>
        <w:t xml:space="preserve">environment in </w:t>
      </w:r>
      <w:r>
        <w:rPr>
          <w:i/>
          <w:iCs/>
          <w:lang w:val="en-GB"/>
        </w:rPr>
        <w:t xml:space="preserve">Python </w:t>
      </w:r>
      <w:r>
        <w:rPr>
          <w:lang w:val="en-GB"/>
        </w:rPr>
        <w:t>programming language</w:t>
      </w:r>
      <w:r w:rsidR="00375E80">
        <w:rPr>
          <w:lang w:val="en-GB"/>
        </w:rPr>
        <w:t xml:space="preserve">. </w:t>
      </w:r>
    </w:p>
    <w:p w14:paraId="21EC110E" w14:textId="16DF617F" w:rsidR="00BB252C" w:rsidRDefault="00BB252C" w:rsidP="00BB252C">
      <w:pPr>
        <w:pStyle w:val="Els-2ndorder-head"/>
      </w:pPr>
      <w:r>
        <w:t>Kinetic Parameter Uncertainty Analysis</w:t>
      </w:r>
    </w:p>
    <w:p w14:paraId="5D84EF0A" w14:textId="003F971C" w:rsidR="008D1B44" w:rsidRDefault="008D1B44" w:rsidP="00455F84">
      <w:pPr>
        <w:pStyle w:val="Els-body-text"/>
      </w:pPr>
      <w:r>
        <w:t>Following parameter estimation, t</w:t>
      </w:r>
      <w:r w:rsidR="008E55DE">
        <w:t>he fidelity of the reduced model structures was</w:t>
      </w:r>
      <w:r w:rsidR="009D16AF">
        <w:t xml:space="preserve"> </w:t>
      </w:r>
      <w:r>
        <w:t xml:space="preserve">further </w:t>
      </w:r>
      <w:r w:rsidR="008E55DE">
        <w:t xml:space="preserve">assessed via </w:t>
      </w:r>
      <w:r w:rsidR="00552614">
        <w:t xml:space="preserve">uncertainty analysis. </w:t>
      </w:r>
      <w:r w:rsidR="006E68AE">
        <w:t>The first step towards computation of parameter confidence intervals is the linear approximation of the covariance matrix</w:t>
      </w:r>
      <w:r w:rsidR="00E8339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127"/>
      </w:tblGrid>
      <w:tr w:rsidR="00444C82" w14:paraId="5F3D7436" w14:textId="77777777" w:rsidTr="004A18C7">
        <w:trPr>
          <w:trHeight w:val="792"/>
        </w:trPr>
        <w:tc>
          <w:tcPr>
            <w:tcW w:w="5949" w:type="dxa"/>
            <w:vAlign w:val="center"/>
          </w:tcPr>
          <w:p w14:paraId="6FB0C447" w14:textId="27E1E86D" w:rsidR="00444C82" w:rsidRDefault="00444C82" w:rsidP="00444C82">
            <w:pPr>
              <w:pStyle w:val="Els-body-text"/>
              <w:jc w:val="center"/>
            </w:pPr>
            <m:oMathPara>
              <m:oMath>
                <m:r>
                  <m:rPr>
                    <m:sty m:val="bi"/>
                  </m:rPr>
                  <w:rPr>
                    <w:rFonts w:ascii="Cambria Math" w:hAnsi="Cambria Math"/>
                  </w:rPr>
                  <m:t>V</m:t>
                </m:r>
                <m:r>
                  <w:rPr>
                    <w:rFonts w:ascii="Cambria Math" w:hAnsi="Cambria Math"/>
                  </w:rPr>
                  <m:t>=</m:t>
                </m:r>
                <m:sSup>
                  <m:sSupPr>
                    <m:ctrlPr>
                      <w:rPr>
                        <w:rFonts w:ascii="Cambria Math" w:hAnsi="Cambria Math"/>
                        <w:b/>
                        <w:bCs/>
                        <w:i/>
                      </w:rPr>
                    </m:ctrlPr>
                  </m:sSupPr>
                  <m:e>
                    <m:r>
                      <m:rPr>
                        <m:sty m:val="bi"/>
                      </m:rPr>
                      <w:rPr>
                        <w:rFonts w:ascii="Cambria Math" w:hAnsi="Cambria Math"/>
                      </w:rPr>
                      <m:t>H</m:t>
                    </m:r>
                  </m:e>
                  <m:sup>
                    <m:r>
                      <m:rPr>
                        <m:sty m:val="bi"/>
                      </m:rPr>
                      <w:rPr>
                        <w:rFonts w:ascii="Cambria Math" w:hAnsi="Cambria Math"/>
                      </w:rPr>
                      <m:t>-1</m:t>
                    </m:r>
                  </m:sup>
                </m:sSup>
                <m:r>
                  <w:rPr>
                    <w:rFonts w:ascii="Cambria Math" w:hAnsi="Cambria Math"/>
                  </w:rPr>
                  <m:t xml:space="preserve">  ∙</m:t>
                </m:r>
                <m:f>
                  <m:fPr>
                    <m:ctrlPr>
                      <w:rPr>
                        <w:rFonts w:ascii="Cambria Math" w:hAnsi="Cambria Math"/>
                        <w:i/>
                      </w:rPr>
                    </m:ctrlPr>
                  </m:fPr>
                  <m:num>
                    <m:sSub>
                      <m:sSubPr>
                        <m:ctrlPr>
                          <w:rPr>
                            <w:rFonts w:ascii="Cambria Math" w:hAnsi="Cambria Math"/>
                            <w:i/>
                            <w:iCs/>
                            <w:lang w:val="en-GB"/>
                          </w:rPr>
                        </m:ctrlPr>
                      </m:sSubPr>
                      <m:e>
                        <m:r>
                          <w:rPr>
                            <w:rFonts w:ascii="Cambria Math" w:hAnsi="Cambria Math"/>
                            <w:lang w:val="en-GB"/>
                          </w:rPr>
                          <m:t>S</m:t>
                        </m:r>
                      </m:e>
                      <m:sub>
                        <m:r>
                          <w:rPr>
                            <w:rFonts w:ascii="Cambria Math" w:hAnsi="Cambria Math"/>
                            <w:lang w:val="en-GB"/>
                          </w:rPr>
                          <m:t>r</m:t>
                        </m:r>
                      </m:sub>
                    </m:sSub>
                    <m:d>
                      <m:dPr>
                        <m:ctrlPr>
                          <w:rPr>
                            <w:rFonts w:ascii="Cambria Math" w:hAnsi="Cambria Math"/>
                            <w:b/>
                            <w:bCs/>
                            <w:i/>
                            <w:lang w:val="en-GB"/>
                          </w:rPr>
                        </m:ctrlPr>
                      </m:dPr>
                      <m:e>
                        <m:sSup>
                          <m:sSupPr>
                            <m:ctrlPr>
                              <w:rPr>
                                <w:rFonts w:ascii="Cambria Math" w:hAnsi="Cambria Math"/>
                                <w:b/>
                                <w:bCs/>
                                <w:i/>
                                <w:lang w:val="en-GB"/>
                              </w:rPr>
                            </m:ctrlPr>
                          </m:sSupPr>
                          <m:e>
                            <m:r>
                              <m:rPr>
                                <m:sty m:val="bi"/>
                              </m:rPr>
                              <w:rPr>
                                <w:rFonts w:ascii="Cambria Math" w:hAnsi="Cambria Math"/>
                                <w:lang w:val="en-GB"/>
                              </w:rPr>
                              <m:t>k</m:t>
                            </m:r>
                          </m:e>
                          <m:sup>
                            <m:r>
                              <m:rPr>
                                <m:sty m:val="bi"/>
                              </m:rPr>
                              <w:rPr>
                                <w:rFonts w:ascii="Cambria Math" w:hAnsi="Cambria Math"/>
                                <w:lang w:val="en-GB"/>
                              </w:rPr>
                              <m:t>*</m:t>
                            </m:r>
                          </m:sup>
                        </m:sSup>
                      </m:e>
                    </m:d>
                  </m:num>
                  <m:den>
                    <m:r>
                      <w:rPr>
                        <w:rFonts w:ascii="Cambria Math" w:hAnsi="Cambria Math"/>
                        <w:lang w:val="en-GB"/>
                      </w:rPr>
                      <m:t>(</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p</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k</m:t>
                        </m:r>
                      </m:sub>
                    </m:sSub>
                    <m:r>
                      <w:rPr>
                        <w:rFonts w:ascii="Cambria Math" w:hAnsi="Cambria Math"/>
                        <w:lang w:val="en-GB"/>
                      </w:rPr>
                      <m:t>)</m:t>
                    </m:r>
                  </m:den>
                </m:f>
              </m:oMath>
            </m:oMathPara>
          </w:p>
        </w:tc>
        <w:tc>
          <w:tcPr>
            <w:tcW w:w="1127" w:type="dxa"/>
            <w:vAlign w:val="center"/>
          </w:tcPr>
          <w:p w14:paraId="6B66BBBF" w14:textId="3F423F32" w:rsidR="00444C82" w:rsidRDefault="00444C82" w:rsidP="008D2156">
            <w:pPr>
              <w:pStyle w:val="Els-body-text"/>
              <w:jc w:val="right"/>
            </w:pPr>
            <w:r>
              <w:t>(3)</w:t>
            </w:r>
          </w:p>
        </w:tc>
      </w:tr>
    </w:tbl>
    <w:p w14:paraId="1C889042" w14:textId="57A83564" w:rsidR="006E68AE" w:rsidRDefault="006E68AE" w:rsidP="00455F84">
      <w:pPr>
        <w:pStyle w:val="Els-body-text"/>
      </w:pPr>
      <w:r>
        <w:t xml:space="preserve">where </w:t>
      </w:r>
      <m:oMath>
        <m:r>
          <m:rPr>
            <m:sty m:val="bi"/>
          </m:rPr>
          <w:rPr>
            <w:rFonts w:ascii="Cambria Math" w:hAnsi="Cambria Math"/>
          </w:rPr>
          <m:t>V</m:t>
        </m:r>
      </m:oMath>
      <w:r>
        <w:rPr>
          <w:b/>
          <w:bCs/>
        </w:rPr>
        <w:t xml:space="preserve"> </w:t>
      </w:r>
      <w:r>
        <w:t xml:space="preserve">is the variance-covariance matrix, </w:t>
      </w:r>
      <m:oMath>
        <m:r>
          <m:rPr>
            <m:sty m:val="bi"/>
          </m:rPr>
          <w:rPr>
            <w:rFonts w:ascii="Cambria Math" w:hAnsi="Cambria Math"/>
          </w:rPr>
          <m:t>H</m:t>
        </m:r>
      </m:oMath>
      <w:r>
        <w:rPr>
          <w:b/>
          <w:bCs/>
        </w:rPr>
        <w:t xml:space="preserve"> </w:t>
      </w:r>
      <w:r>
        <w:t>is the Hessian matrix of the objective function at the optimum (approximated through central differences)</w:t>
      </w:r>
      <w:r w:rsidR="00AA09D0">
        <w:t xml:space="preserve"> and </w:t>
      </w:r>
      <m:oMath>
        <m:sSub>
          <m:sSubPr>
            <m:ctrlPr>
              <w:rPr>
                <w:rFonts w:ascii="Cambria Math" w:hAnsi="Cambria Math"/>
                <w:i/>
                <w:iCs/>
                <w:lang w:val="en-GB"/>
              </w:rPr>
            </m:ctrlPr>
          </m:sSubPr>
          <m:e>
            <m:r>
              <w:rPr>
                <w:rFonts w:ascii="Cambria Math" w:hAnsi="Cambria Math"/>
                <w:lang w:val="en-GB"/>
              </w:rPr>
              <m:t>S</m:t>
            </m:r>
          </m:e>
          <m:sub>
            <m:r>
              <w:rPr>
                <w:rFonts w:ascii="Cambria Math" w:hAnsi="Cambria Math"/>
                <w:lang w:val="en-GB"/>
              </w:rPr>
              <m:t>r</m:t>
            </m:r>
          </m:sub>
        </m:sSub>
        <m:d>
          <m:dPr>
            <m:ctrlPr>
              <w:rPr>
                <w:rFonts w:ascii="Cambria Math" w:hAnsi="Cambria Math"/>
                <w:b/>
                <w:bCs/>
                <w:i/>
                <w:lang w:val="en-GB"/>
              </w:rPr>
            </m:ctrlPr>
          </m:dPr>
          <m:e>
            <m:sSup>
              <m:sSupPr>
                <m:ctrlPr>
                  <w:rPr>
                    <w:rFonts w:ascii="Cambria Math" w:hAnsi="Cambria Math"/>
                    <w:b/>
                    <w:bCs/>
                    <w:i/>
                    <w:lang w:val="en-GB"/>
                  </w:rPr>
                </m:ctrlPr>
              </m:sSupPr>
              <m:e>
                <m:r>
                  <m:rPr>
                    <m:sty m:val="bi"/>
                  </m:rPr>
                  <w:rPr>
                    <w:rFonts w:ascii="Cambria Math" w:hAnsi="Cambria Math"/>
                    <w:lang w:val="en-GB"/>
                  </w:rPr>
                  <m:t>k</m:t>
                </m:r>
              </m:e>
              <m:sup>
                <m:r>
                  <m:rPr>
                    <m:sty m:val="bi"/>
                  </m:rPr>
                  <w:rPr>
                    <w:rFonts w:ascii="Cambria Math" w:hAnsi="Cambria Math"/>
                    <w:lang w:val="en-GB"/>
                  </w:rPr>
                  <m:t>*</m:t>
                </m:r>
              </m:sup>
            </m:sSup>
          </m:e>
        </m:d>
      </m:oMath>
      <w:r>
        <w:rPr>
          <w:b/>
          <w:bCs/>
          <w:lang w:val="en-GB"/>
        </w:rPr>
        <w:t xml:space="preserve"> </w:t>
      </w:r>
      <w:r w:rsidRPr="006E68AE">
        <w:rPr>
          <w:lang w:val="en-GB"/>
        </w:rPr>
        <w:t xml:space="preserve">refers </w:t>
      </w:r>
      <w:r>
        <w:rPr>
          <w:lang w:val="en-GB"/>
        </w:rPr>
        <w:t xml:space="preserve">to the minimised objective function value. </w:t>
      </w:r>
    </w:p>
    <w:p w14:paraId="5E00E6E1" w14:textId="77777777" w:rsidR="006E68AE" w:rsidRPr="006E68AE" w:rsidRDefault="006E68AE" w:rsidP="00455F84">
      <w:pPr>
        <w:pStyle w:val="Els-body-text"/>
      </w:pPr>
    </w:p>
    <w:p w14:paraId="12AC0581" w14:textId="3AABEA4D" w:rsidR="00455F84" w:rsidRPr="00455F84" w:rsidRDefault="008D1B44" w:rsidP="009C7036">
      <w:pPr>
        <w:pStyle w:val="Els-body-text"/>
      </w:pPr>
      <w:r>
        <w:t>Joint confidence intervals for the estimated constants were computed from the covariance matrix following the procedure described by Franceschini et al. (2008)</w:t>
      </w:r>
      <w:r w:rsidR="00AA09D0">
        <w:t>, while the</w:t>
      </w:r>
      <w:r w:rsidR="003F40EA">
        <w:t>ir marginal variance</w:t>
      </w:r>
      <w:r w:rsidR="000C64C4">
        <w:t>s</w:t>
      </w:r>
      <w:r w:rsidR="003F40EA">
        <w:t xml:space="preserve"> </w:t>
      </w:r>
      <w:r w:rsidR="00AA09D0">
        <w:t>w</w:t>
      </w:r>
      <w:r w:rsidR="000C64C4">
        <w:t>ere</w:t>
      </w:r>
      <w:r w:rsidR="00AA09D0">
        <w:t xml:space="preserve"> </w:t>
      </w:r>
      <w:r w:rsidR="000C64C4">
        <w:t xml:space="preserve">directly </w:t>
      </w:r>
      <w:r w:rsidR="00AA09D0">
        <w:t>taken from the diagonal elements of the matrix.</w:t>
      </w:r>
      <w:r w:rsidR="005743BB">
        <w:t xml:space="preserve"> </w:t>
      </w:r>
    </w:p>
    <w:p w14:paraId="048BB220" w14:textId="79CCDFB1" w:rsidR="00BB252C" w:rsidRDefault="00131735" w:rsidP="00BB252C">
      <w:pPr>
        <w:pStyle w:val="Els-2ndorder-head"/>
      </w:pPr>
      <w:r>
        <w:t>Model Discrimination via Design of Experiments</w:t>
      </w:r>
    </w:p>
    <w:p w14:paraId="43AE951E" w14:textId="3EB44715" w:rsidR="00455F84" w:rsidRDefault="002A35E0" w:rsidP="00455F84">
      <w:pPr>
        <w:pStyle w:val="Els-body-text"/>
      </w:pPr>
      <w:r>
        <w:t xml:space="preserve">In this work, the two proposed reaction networks </w:t>
      </w:r>
      <w:r w:rsidR="006269C9">
        <w:t xml:space="preserve">incorporate different assumptions </w:t>
      </w:r>
      <w:r w:rsidR="00C811AE">
        <w:t xml:space="preserve">regarding the product-formation steps. </w:t>
      </w:r>
      <w:r w:rsidR="009B1395">
        <w:t xml:space="preserve">A recurring challenge in kinetic model discrimination is that reaction networks comprising different elementary steps and degrees of detail can yield equally satisfactory fitting of experimental data. An </w:t>
      </w:r>
      <w:proofErr w:type="spellStart"/>
      <w:r w:rsidR="009B1395">
        <w:t>MbDoE</w:t>
      </w:r>
      <w:proofErr w:type="spellEnd"/>
      <w:r w:rsidR="009B1395">
        <w:t xml:space="preserve"> methodology was therefore adopted to design a discriminatory transient experiment; this was formulated as an </w:t>
      </w:r>
      <w:proofErr w:type="spellStart"/>
      <w:r w:rsidR="009B1395">
        <w:t>optimisation</w:t>
      </w:r>
      <w:proofErr w:type="spellEnd"/>
      <w:r w:rsidR="009B1395">
        <w:t xml:space="preserve"> problem</w:t>
      </w:r>
      <w:r w:rsidR="00F201FF">
        <w:t xml:space="preserve"> Eq. (4a)-Eq. (4d)</w:t>
      </w:r>
      <w:r w:rsidR="009B1395">
        <w:t xml:space="preserve">, whereby the discrepancy between the two candidate models </w:t>
      </w:r>
      <w:r w:rsidR="00973AEE">
        <w:t xml:space="preserve">over a residence time ramp </w:t>
      </w:r>
      <w:r w:rsidR="009B1395">
        <w:t xml:space="preserve">was </w:t>
      </w:r>
      <w:proofErr w:type="spellStart"/>
      <w:r w:rsidR="009B1395">
        <w:t>maximi</w:t>
      </w:r>
      <w:r w:rsidR="00285C75">
        <w:t>s</w:t>
      </w:r>
      <w:r w:rsidR="009B1395">
        <w:t>ed</w:t>
      </w:r>
      <w:proofErr w:type="spellEnd"/>
      <w:r w:rsidR="009B1395">
        <w:t xml:space="preserve"> with respect to the feed con</w:t>
      </w:r>
      <w:r w:rsidR="00580421">
        <w:t>centrations</w:t>
      </w:r>
      <w:r w:rsidR="009B139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5"/>
      </w:tblGrid>
      <w:tr w:rsidR="009B1395" w14:paraId="6B78D755" w14:textId="77777777" w:rsidTr="004A18C7">
        <w:trPr>
          <w:trHeight w:val="625"/>
        </w:trPr>
        <w:tc>
          <w:tcPr>
            <w:tcW w:w="6091" w:type="dxa"/>
            <w:vAlign w:val="center"/>
          </w:tcPr>
          <w:p w14:paraId="743A9D97" w14:textId="6E841E3F" w:rsidR="009B1395" w:rsidRDefault="00000000" w:rsidP="00444C82">
            <w:pPr>
              <w:pStyle w:val="Els-body-text"/>
              <w:jc w:val="center"/>
            </w:pPr>
            <m:oMathPara>
              <m:oMath>
                <m:func>
                  <m:funcPr>
                    <m:ctrlPr>
                      <w:rPr>
                        <w:rFonts w:ascii="Cambria Math" w:hAnsi="Cambria Math"/>
                        <w:i/>
                        <w:iCs/>
                        <w:lang w:val="en-GB"/>
                      </w:rPr>
                    </m:ctrlPr>
                  </m:funcPr>
                  <m:fName>
                    <m:limLow>
                      <m:limLowPr>
                        <m:ctrlPr>
                          <w:rPr>
                            <w:rFonts w:ascii="Cambria Math" w:hAnsi="Cambria Math"/>
                            <w:i/>
                            <w:iCs/>
                            <w:lang w:val="en-GB"/>
                          </w:rPr>
                        </m:ctrlPr>
                      </m:limLowPr>
                      <m:e>
                        <m:r>
                          <w:rPr>
                            <w:rFonts w:ascii="Cambria Math" w:hAnsi="Cambria Math"/>
                            <w:lang w:val="en-GB"/>
                          </w:rPr>
                          <m:t>max</m:t>
                        </m:r>
                      </m:e>
                      <m:lim>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0</m:t>
                            </m:r>
                          </m:sub>
                        </m:sSub>
                      </m:lim>
                    </m:limLow>
                    <m:r>
                      <w:rPr>
                        <w:rFonts w:ascii="Cambria Math" w:hAnsi="Cambria Math"/>
                        <w:lang w:val="en-GB"/>
                      </w:rPr>
                      <m:t>  </m:t>
                    </m:r>
                  </m:fName>
                  <m:e>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P</m:t>
                        </m:r>
                      </m:sub>
                    </m:sSub>
                    <m:sSup>
                      <m:sSupPr>
                        <m:ctrlPr>
                          <w:rPr>
                            <w:rFonts w:ascii="Cambria Math" w:hAnsi="Cambria Math"/>
                            <w:i/>
                            <w:iCs/>
                            <w:lang w:val="en-GB"/>
                          </w:rPr>
                        </m:ctrlPr>
                      </m:sSupPr>
                      <m:e>
                        <m:d>
                          <m:dPr>
                            <m:ctrlPr>
                              <w:rPr>
                                <w:rFonts w:ascii="Cambria Math" w:hAnsi="Cambria Math"/>
                                <w:i/>
                                <w:iCs/>
                                <w:lang w:val="en-GB"/>
                              </w:rPr>
                            </m:ctrlPr>
                          </m:dPr>
                          <m:e>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0</m:t>
                                </m:r>
                              </m:sub>
                            </m:sSub>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k</m:t>
                                </m:r>
                              </m:e>
                              <m:sub>
                                <m:r>
                                  <m:rPr>
                                    <m:sty m:val="bi"/>
                                  </m:rPr>
                                  <w:rPr>
                                    <w:rFonts w:ascii="Cambria Math" w:hAnsi="Cambria Math"/>
                                    <w:lang w:val="en-GB"/>
                                  </w:rPr>
                                  <m:t>1</m:t>
                                </m:r>
                              </m:sub>
                            </m:sSub>
                            <m:r>
                              <m:rPr>
                                <m:sty m:val="bi"/>
                              </m:rPr>
                              <w:rPr>
                                <w:rFonts w:ascii="Cambria Math" w:hAnsi="Cambria Math"/>
                                <w:lang w:val="en-GB"/>
                              </w:rPr>
                              <m:t>, </m:t>
                            </m:r>
                            <m:sSub>
                              <m:sSubPr>
                                <m:ctrlPr>
                                  <w:rPr>
                                    <w:rFonts w:ascii="Cambria Math" w:hAnsi="Cambria Math"/>
                                    <w:b/>
                                    <w:bCs/>
                                    <w:i/>
                                    <w:iCs/>
                                    <w:lang w:val="en-GB"/>
                                  </w:rPr>
                                </m:ctrlPr>
                              </m:sSubPr>
                              <m:e>
                                <m:r>
                                  <m:rPr>
                                    <m:sty m:val="bi"/>
                                  </m:rPr>
                                  <w:rPr>
                                    <w:rFonts w:ascii="Cambria Math" w:hAnsi="Cambria Math"/>
                                    <w:lang w:val="en-GB"/>
                                  </w:rPr>
                                  <m:t>k</m:t>
                                </m:r>
                              </m:e>
                              <m:sub>
                                <m:r>
                                  <m:rPr>
                                    <m:sty m:val="bi"/>
                                  </m:rPr>
                                  <w:rPr>
                                    <w:rFonts w:ascii="Cambria Math" w:hAnsi="Cambria Math"/>
                                    <w:lang w:val="en-GB"/>
                                  </w:rPr>
                                  <m:t>2</m:t>
                                </m:r>
                              </m:sub>
                            </m:sSub>
                            <m:r>
                              <w:rPr>
                                <w:rFonts w:ascii="Cambria Math" w:hAnsi="Cambria Math"/>
                                <w:lang w:val="en-GB"/>
                              </w:rPr>
                              <m:t>,τ</m:t>
                            </m:r>
                          </m:e>
                        </m:d>
                      </m:e>
                      <m:sup>
                        <m:r>
                          <w:rPr>
                            <w:rFonts w:ascii="Cambria Math" w:hAnsi="Cambria Math"/>
                            <w:lang w:val="en-GB"/>
                          </w:rPr>
                          <m:t>T</m:t>
                        </m:r>
                      </m:sup>
                    </m:sSup>
                  </m:e>
                </m:func>
                <m:r>
                  <w:rPr>
                    <w:rFonts w:ascii="Cambria Math" w:hAnsi="Cambria Math"/>
                    <w:lang w:val="en-GB"/>
                  </w:rPr>
                  <m:t> ∙</m:t>
                </m:r>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P</m:t>
                    </m:r>
                  </m:sub>
                </m:sSub>
                <m:d>
                  <m:dPr>
                    <m:ctrlPr>
                      <w:rPr>
                        <w:rFonts w:ascii="Cambria Math" w:hAnsi="Cambria Math"/>
                        <w:i/>
                        <w:iCs/>
                        <w:lang w:val="en-GB"/>
                      </w:rPr>
                    </m:ctrlPr>
                  </m:dPr>
                  <m:e>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0</m:t>
                        </m:r>
                      </m:sub>
                    </m:sSub>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k</m:t>
                        </m:r>
                      </m:e>
                      <m:sub>
                        <m:r>
                          <m:rPr>
                            <m:sty m:val="bi"/>
                          </m:rPr>
                          <w:rPr>
                            <w:rFonts w:ascii="Cambria Math" w:hAnsi="Cambria Math"/>
                            <w:lang w:val="en-GB"/>
                          </w:rPr>
                          <m:t>1</m:t>
                        </m:r>
                      </m:sub>
                    </m:sSub>
                    <m:r>
                      <m:rPr>
                        <m:sty m:val="bi"/>
                      </m:rPr>
                      <w:rPr>
                        <w:rFonts w:ascii="Cambria Math" w:hAnsi="Cambria Math"/>
                        <w:lang w:val="en-GB"/>
                      </w:rPr>
                      <m:t>, </m:t>
                    </m:r>
                    <m:sSub>
                      <m:sSubPr>
                        <m:ctrlPr>
                          <w:rPr>
                            <w:rFonts w:ascii="Cambria Math" w:hAnsi="Cambria Math"/>
                            <w:b/>
                            <w:bCs/>
                            <w:i/>
                            <w:iCs/>
                            <w:lang w:val="en-GB"/>
                          </w:rPr>
                        </m:ctrlPr>
                      </m:sSubPr>
                      <m:e>
                        <m:r>
                          <m:rPr>
                            <m:sty m:val="bi"/>
                          </m:rPr>
                          <w:rPr>
                            <w:rFonts w:ascii="Cambria Math" w:hAnsi="Cambria Math"/>
                            <w:lang w:val="en-GB"/>
                          </w:rPr>
                          <m:t>k</m:t>
                        </m:r>
                      </m:e>
                      <m:sub>
                        <m:r>
                          <m:rPr>
                            <m:sty m:val="bi"/>
                          </m:rPr>
                          <w:rPr>
                            <w:rFonts w:ascii="Cambria Math" w:hAnsi="Cambria Math"/>
                            <w:lang w:val="en-GB"/>
                          </w:rPr>
                          <m:t>2</m:t>
                        </m:r>
                      </m:sub>
                    </m:sSub>
                    <m:r>
                      <w:rPr>
                        <w:rFonts w:ascii="Cambria Math" w:hAnsi="Cambria Math"/>
                        <w:lang w:val="en-GB"/>
                      </w:rPr>
                      <m:t>,τ</m:t>
                    </m:r>
                  </m:e>
                </m:d>
              </m:oMath>
            </m:oMathPara>
          </w:p>
        </w:tc>
        <w:tc>
          <w:tcPr>
            <w:tcW w:w="985" w:type="dxa"/>
            <w:vAlign w:val="center"/>
          </w:tcPr>
          <w:p w14:paraId="07BCA7AA" w14:textId="69E9263F" w:rsidR="009B1395" w:rsidRDefault="00444C82" w:rsidP="008D2156">
            <w:pPr>
              <w:pStyle w:val="Els-body-text"/>
              <w:jc w:val="right"/>
            </w:pPr>
            <w:r>
              <w:t>(4a)</w:t>
            </w:r>
          </w:p>
        </w:tc>
      </w:tr>
      <w:tr w:rsidR="009B1395" w14:paraId="3A5E5215" w14:textId="77777777" w:rsidTr="004A18C7">
        <w:trPr>
          <w:trHeight w:val="562"/>
        </w:trPr>
        <w:tc>
          <w:tcPr>
            <w:tcW w:w="6091" w:type="dxa"/>
            <w:vAlign w:val="center"/>
          </w:tcPr>
          <w:p w14:paraId="15E9C906" w14:textId="5BACB46E" w:rsidR="009B1395" w:rsidRDefault="00444C82" w:rsidP="00444C82">
            <w:pPr>
              <w:pStyle w:val="Els-body-text"/>
              <w:jc w:val="center"/>
            </w:pPr>
            <m:oMathPara>
              <m:oMath>
                <m:r>
                  <w:rPr>
                    <w:rFonts w:ascii="Cambria Math" w:hAnsi="Cambria Math"/>
                    <w:lang w:val="en-GB"/>
                  </w:rPr>
                  <m:t>st.       </m:t>
                </m:r>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P</m:t>
                    </m:r>
                  </m:sub>
                </m:sSub>
                <m: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P,1</m:t>
                    </m:r>
                  </m:sub>
                </m:sSub>
                <m:d>
                  <m:dPr>
                    <m:ctrlPr>
                      <w:rPr>
                        <w:rFonts w:ascii="Cambria Math" w:hAnsi="Cambria Math"/>
                        <w:i/>
                        <w:iCs/>
                        <w:lang w:val="en-GB"/>
                      </w:rPr>
                    </m:ctrlPr>
                  </m:dPr>
                  <m:e>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0</m:t>
                        </m:r>
                      </m:sub>
                    </m:sSub>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k</m:t>
                        </m:r>
                      </m:e>
                      <m:sub>
                        <m:r>
                          <m:rPr>
                            <m:sty m:val="bi"/>
                          </m:rPr>
                          <w:rPr>
                            <w:rFonts w:ascii="Cambria Math" w:hAnsi="Cambria Math"/>
                            <w:lang w:val="en-GB"/>
                          </w:rPr>
                          <m:t>1</m:t>
                        </m:r>
                      </m:sub>
                    </m:sSub>
                    <m:r>
                      <w:rPr>
                        <w:rFonts w:ascii="Cambria Math" w:hAnsi="Cambria Math"/>
                        <w:lang w:val="en-GB"/>
                      </w:rPr>
                      <m:t>,τ</m:t>
                    </m:r>
                  </m:e>
                </m:d>
                <m:r>
                  <w:rPr>
                    <w:rFonts w:ascii="Cambria Math" w:hAnsi="Cambria Math"/>
                    <w:lang w:val="en-GB"/>
                  </w:rPr>
                  <m:t> -</m:t>
                </m:r>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P,2</m:t>
                    </m:r>
                  </m:sub>
                </m:sSub>
                <m:d>
                  <m:dPr>
                    <m:ctrlPr>
                      <w:rPr>
                        <w:rFonts w:ascii="Cambria Math" w:hAnsi="Cambria Math"/>
                        <w:i/>
                        <w:iCs/>
                        <w:lang w:val="en-GB"/>
                      </w:rPr>
                    </m:ctrlPr>
                  </m:dPr>
                  <m:e>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0</m:t>
                        </m:r>
                      </m:sub>
                    </m:sSub>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k</m:t>
                        </m:r>
                      </m:e>
                      <m:sub>
                        <m:r>
                          <m:rPr>
                            <m:sty m:val="bi"/>
                          </m:rPr>
                          <w:rPr>
                            <w:rFonts w:ascii="Cambria Math" w:hAnsi="Cambria Math"/>
                            <w:lang w:val="en-GB"/>
                          </w:rPr>
                          <m:t>2</m:t>
                        </m:r>
                      </m:sub>
                    </m:sSub>
                    <m:r>
                      <w:rPr>
                        <w:rFonts w:ascii="Cambria Math" w:hAnsi="Cambria Math"/>
                        <w:lang w:val="en-GB"/>
                      </w:rPr>
                      <m:t>,τ</m:t>
                    </m:r>
                  </m:e>
                </m:d>
              </m:oMath>
            </m:oMathPara>
          </w:p>
        </w:tc>
        <w:tc>
          <w:tcPr>
            <w:tcW w:w="985" w:type="dxa"/>
            <w:vAlign w:val="center"/>
          </w:tcPr>
          <w:p w14:paraId="44D1A972" w14:textId="5935A95F" w:rsidR="009B1395" w:rsidRDefault="00444C82" w:rsidP="008D2156">
            <w:pPr>
              <w:pStyle w:val="Els-body-text"/>
              <w:jc w:val="right"/>
            </w:pPr>
            <w:r>
              <w:t>(4b)</w:t>
            </w:r>
          </w:p>
        </w:tc>
      </w:tr>
      <w:tr w:rsidR="009B1395" w14:paraId="49C592FD" w14:textId="77777777" w:rsidTr="004A18C7">
        <w:trPr>
          <w:trHeight w:val="853"/>
        </w:trPr>
        <w:tc>
          <w:tcPr>
            <w:tcW w:w="6091" w:type="dxa"/>
            <w:vAlign w:val="center"/>
          </w:tcPr>
          <w:p w14:paraId="4F7FB709" w14:textId="26E58946" w:rsidR="009B1395" w:rsidRPr="00444C82" w:rsidRDefault="00000000" w:rsidP="00444C82">
            <w:pPr>
              <w:pStyle w:val="Els-body-text"/>
              <w:jc w:val="center"/>
              <w:rPr>
                <w:rFonts w:ascii="Cambria Math" w:hAnsi="Cambria Math"/>
                <w:i/>
                <w:iCs/>
              </w:rPr>
            </w:pPr>
            <m:oMathPara>
              <m:oMath>
                <m:f>
                  <m:fPr>
                    <m:ctrlPr>
                      <w:rPr>
                        <w:rFonts w:ascii="Cambria Math" w:hAnsi="Cambria Math"/>
                        <w:i/>
                        <w:iCs/>
                      </w:rPr>
                    </m:ctrlPr>
                  </m:fPr>
                  <m:num>
                    <m:r>
                      <w:rPr>
                        <w:rFonts w:ascii="Cambria Math" w:hAnsi="Cambria Math"/>
                      </w:rPr>
                      <m:t>d</m:t>
                    </m:r>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1</m:t>
                        </m:r>
                      </m:sub>
                    </m:sSub>
                  </m:num>
                  <m:den>
                    <m:r>
                      <w:rPr>
                        <w:rFonts w:ascii="Cambria Math" w:hAnsi="Cambria Math"/>
                      </w:rPr>
                      <m:t>dτ</m:t>
                    </m:r>
                  </m:den>
                </m:f>
                <m:r>
                  <w:rPr>
                    <w:rFonts w:ascii="Cambria Math" w:hAnsi="Cambria Math"/>
                  </w:rPr>
                  <m:t>=f</m:t>
                </m:r>
                <m:d>
                  <m:dPr>
                    <m:ctrlPr>
                      <w:rPr>
                        <w:rFonts w:ascii="Cambria Math" w:hAnsi="Cambria Math"/>
                        <w:i/>
                        <w:iCs/>
                      </w:rPr>
                    </m:ctrlPr>
                  </m:dPr>
                  <m:e>
                    <m:sSub>
                      <m:sSubPr>
                        <m:ctrlPr>
                          <w:rPr>
                            <w:rFonts w:ascii="Cambria Math" w:hAnsi="Cambria Math"/>
                            <w:b/>
                            <w:bCs/>
                            <w:i/>
                            <w:iCs/>
                          </w:rPr>
                        </m:ctrlPr>
                      </m:sSubPr>
                      <m:e>
                        <m:r>
                          <m:rPr>
                            <m:sty m:val="bi"/>
                          </m:rPr>
                          <w:rPr>
                            <w:rFonts w:ascii="Cambria Math" w:hAnsi="Cambria Math"/>
                          </w:rPr>
                          <m:t>k</m:t>
                        </m:r>
                      </m:e>
                      <m:sub>
                        <m:r>
                          <m:rPr>
                            <m:sty m:val="bi"/>
                          </m:rPr>
                          <w:rPr>
                            <w:rFonts w:ascii="Cambria Math" w:hAnsi="Cambria Math"/>
                          </w:rPr>
                          <m:t>1</m:t>
                        </m:r>
                      </m:sub>
                    </m:sSub>
                    <m:r>
                      <w:rPr>
                        <w:rFonts w:ascii="Cambria Math" w:hAnsi="Cambria Math"/>
                      </w:rPr>
                      <m:t>, </m:t>
                    </m:r>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1</m:t>
                        </m:r>
                      </m:sub>
                    </m:sSub>
                  </m:e>
                </m:d>
                <m:r>
                  <w:rPr>
                    <w:rFonts w:ascii="Cambria Math" w:hAnsi="Cambria Math"/>
                  </w:rPr>
                  <m:t>,  </m:t>
                </m:r>
                <m:f>
                  <m:fPr>
                    <m:ctrlPr>
                      <w:rPr>
                        <w:rFonts w:ascii="Cambria Math" w:hAnsi="Cambria Math"/>
                        <w:i/>
                        <w:iCs/>
                      </w:rPr>
                    </m:ctrlPr>
                  </m:fPr>
                  <m:num>
                    <m:r>
                      <w:rPr>
                        <w:rFonts w:ascii="Cambria Math" w:hAnsi="Cambria Math"/>
                      </w:rPr>
                      <m:t>d</m:t>
                    </m:r>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2</m:t>
                        </m:r>
                      </m:sub>
                    </m:sSub>
                  </m:num>
                  <m:den>
                    <m:r>
                      <w:rPr>
                        <w:rFonts w:ascii="Cambria Math" w:hAnsi="Cambria Math"/>
                      </w:rPr>
                      <m:t>dτ</m:t>
                    </m:r>
                  </m:den>
                </m:f>
                <m:r>
                  <w:rPr>
                    <w:rFonts w:ascii="Cambria Math" w:hAnsi="Cambria Math"/>
                  </w:rPr>
                  <m:t>=g(</m:t>
                </m:r>
                <m:sSub>
                  <m:sSubPr>
                    <m:ctrlPr>
                      <w:rPr>
                        <w:rFonts w:ascii="Cambria Math" w:hAnsi="Cambria Math"/>
                        <w:b/>
                        <w:bCs/>
                        <w:i/>
                        <w:iCs/>
                      </w:rPr>
                    </m:ctrlPr>
                  </m:sSubPr>
                  <m:e>
                    <m:r>
                      <m:rPr>
                        <m:sty m:val="bi"/>
                      </m:rPr>
                      <w:rPr>
                        <w:rFonts w:ascii="Cambria Math" w:hAnsi="Cambria Math"/>
                      </w:rPr>
                      <m:t>k</m:t>
                    </m:r>
                  </m:e>
                  <m:sub>
                    <m:r>
                      <m:rPr>
                        <m:sty m:val="bi"/>
                      </m:rPr>
                      <w:rPr>
                        <w:rFonts w:ascii="Cambria Math" w:hAnsi="Cambria Math"/>
                      </w:rPr>
                      <m:t>2</m:t>
                    </m:r>
                  </m:sub>
                </m:sSub>
                <m:r>
                  <w:rPr>
                    <w:rFonts w:ascii="Cambria Math" w:hAnsi="Cambria Math"/>
                  </w:rPr>
                  <m:t>, </m:t>
                </m:r>
                <m:sSub>
                  <m:sSubPr>
                    <m:ctrlPr>
                      <w:rPr>
                        <w:rFonts w:ascii="Cambria Math" w:hAnsi="Cambria Math"/>
                        <w:b/>
                        <w:bCs/>
                        <w:i/>
                        <w:iCs/>
                      </w:rPr>
                    </m:ctrlPr>
                  </m:sSubPr>
                  <m:e>
                    <m:r>
                      <m:rPr>
                        <m:sty m:val="bi"/>
                      </m:rPr>
                      <w:rPr>
                        <w:rFonts w:ascii="Cambria Math" w:hAnsi="Cambria Math"/>
                      </w:rPr>
                      <m:t>C</m:t>
                    </m:r>
                  </m:e>
                  <m:sub>
                    <m:r>
                      <m:rPr>
                        <m:sty m:val="bi"/>
                      </m:rPr>
                      <w:rPr>
                        <w:rFonts w:ascii="Cambria Math" w:hAnsi="Cambria Math"/>
                      </w:rPr>
                      <m:t>2</m:t>
                    </m:r>
                  </m:sub>
                </m:sSub>
                <m:r>
                  <w:rPr>
                    <w:rFonts w:ascii="Cambria Math" w:hAnsi="Cambria Math"/>
                  </w:rPr>
                  <m:t>)</m:t>
                </m:r>
              </m:oMath>
            </m:oMathPara>
          </w:p>
        </w:tc>
        <w:tc>
          <w:tcPr>
            <w:tcW w:w="985" w:type="dxa"/>
            <w:vAlign w:val="center"/>
          </w:tcPr>
          <w:p w14:paraId="719DB214" w14:textId="0E2D4931" w:rsidR="009B1395" w:rsidRDefault="00444C82" w:rsidP="008D2156">
            <w:pPr>
              <w:pStyle w:val="Els-body-text"/>
              <w:jc w:val="right"/>
            </w:pPr>
            <w:r>
              <w:t>(4c)</w:t>
            </w:r>
          </w:p>
        </w:tc>
      </w:tr>
      <w:tr w:rsidR="009B1395" w14:paraId="53FC45D9" w14:textId="77777777" w:rsidTr="004A18C7">
        <w:trPr>
          <w:trHeight w:val="427"/>
        </w:trPr>
        <w:tc>
          <w:tcPr>
            <w:tcW w:w="6091" w:type="dxa"/>
            <w:vAlign w:val="center"/>
          </w:tcPr>
          <w:p w14:paraId="3178F772" w14:textId="33C3D5EC" w:rsidR="009B1395" w:rsidRPr="009B1395" w:rsidRDefault="00000000" w:rsidP="00444C82">
            <w:pPr>
              <w:pStyle w:val="Els-body-text"/>
              <w:jc w:val="center"/>
              <w:rPr>
                <w:iCs/>
                <w:lang w:val="en-GB"/>
              </w:rPr>
            </w:pPr>
            <m:oMathPara>
              <m:oMath>
                <m:sSub>
                  <m:sSubPr>
                    <m:ctrlPr>
                      <w:rPr>
                        <w:rFonts w:ascii="Cambria Math" w:hAnsi="Cambria Math"/>
                        <w:b/>
                        <w:bCs/>
                        <w:i/>
                        <w:iCs/>
                        <w:lang w:val="en-GB"/>
                      </w:rPr>
                    </m:ctrlPr>
                  </m:sSubPr>
                  <m:e>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0,lb</m:t>
                        </m:r>
                      </m:sub>
                    </m:sSub>
                    <m:r>
                      <m:rPr>
                        <m:sty m:val="bi"/>
                      </m:rPr>
                      <w:rPr>
                        <w:rFonts w:ascii="Cambria Math" w:hAnsi="Cambria Math"/>
                        <w:lang w:val="en-GB"/>
                      </w:rPr>
                      <m:t>&lt;C</m:t>
                    </m:r>
                  </m:e>
                  <m:sub>
                    <m:r>
                      <m:rPr>
                        <m:sty m:val="bi"/>
                      </m:rPr>
                      <w:rPr>
                        <w:rFonts w:ascii="Cambria Math" w:hAnsi="Cambria Math"/>
                        <w:lang w:val="en-GB"/>
                      </w:rPr>
                      <m:t>0</m:t>
                    </m:r>
                  </m:sub>
                </m:sSub>
                <m:r>
                  <m:rPr>
                    <m:sty m:val="bi"/>
                  </m:rPr>
                  <w:rPr>
                    <w:rFonts w:ascii="Cambria Math" w:hAnsi="Cambria Math"/>
                    <w:lang w:val="en-GB"/>
                  </w:rPr>
                  <m:t>&lt;</m:t>
                </m:r>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0,ub</m:t>
                    </m:r>
                  </m:sub>
                </m:sSub>
              </m:oMath>
            </m:oMathPara>
          </w:p>
        </w:tc>
        <w:tc>
          <w:tcPr>
            <w:tcW w:w="985" w:type="dxa"/>
            <w:vAlign w:val="center"/>
          </w:tcPr>
          <w:p w14:paraId="08B99E58" w14:textId="3790D7AE" w:rsidR="009B1395" w:rsidRDefault="00444C82" w:rsidP="008D2156">
            <w:pPr>
              <w:pStyle w:val="Els-body-text"/>
              <w:jc w:val="right"/>
            </w:pPr>
            <w:r>
              <w:t>(4d)</w:t>
            </w:r>
          </w:p>
        </w:tc>
      </w:tr>
    </w:tbl>
    <w:p w14:paraId="6AE5CBEE" w14:textId="4DAB7EBB" w:rsidR="00E53A4F" w:rsidRPr="00E86C3D" w:rsidRDefault="00580421" w:rsidP="00455F84">
      <w:pPr>
        <w:pStyle w:val="Els-body-text"/>
      </w:pPr>
      <w:r>
        <w:lastRenderedPageBreak/>
        <w:t>wher</w:t>
      </w:r>
      <w:r w:rsidR="00A465C9">
        <w:t>e</w:t>
      </w:r>
      <w:r w:rsidR="008D401B">
        <w:t xml:space="preserve"> </w:t>
      </w:r>
      <m:oMath>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0</m:t>
            </m:r>
          </m:sub>
        </m:sSub>
      </m:oMath>
      <w:r w:rsidR="00E86C3D" w:rsidRPr="00E86C3D">
        <w:rPr>
          <w:iCs/>
          <w:lang w:val="en-GB"/>
        </w:rPr>
        <w:t xml:space="preserve"> </w:t>
      </w:r>
      <w:r w:rsidR="00E86C3D">
        <w:rPr>
          <w:iCs/>
          <w:lang w:val="en-GB"/>
        </w:rPr>
        <w:t>is a vector</w:t>
      </w:r>
      <w:r w:rsidR="00E86C3D" w:rsidRPr="00E86C3D">
        <w:rPr>
          <w:iCs/>
          <w:lang w:val="en-GB"/>
        </w:rPr>
        <w:t xml:space="preserve"> </w:t>
      </w:r>
      <w:r w:rsidR="00E86C3D">
        <w:rPr>
          <w:iCs/>
          <w:lang w:val="en-GB"/>
        </w:rPr>
        <w:t>of</w:t>
      </w:r>
      <w:r w:rsidR="00E86C3D" w:rsidRPr="00E86C3D">
        <w:rPr>
          <w:iCs/>
          <w:lang w:val="en-GB"/>
        </w:rPr>
        <w:t xml:space="preserve"> initial conditions (in this case optimisation variables)</w:t>
      </w:r>
      <w:r w:rsidR="00E86C3D">
        <w:rPr>
          <w:iCs/>
          <w:lang w:val="en-GB"/>
        </w:rPr>
        <w:t xml:space="preserve">, and </w:t>
      </w:r>
      <m:oMath>
        <m:r>
          <m:rPr>
            <m:sty m:val="bi"/>
          </m:rPr>
          <w:rPr>
            <w:rFonts w:ascii="Cambria Math" w:hAnsi="Cambria Math"/>
            <w:lang w:val="en-GB"/>
          </w:rPr>
          <m:t>∆</m:t>
        </m:r>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P</m:t>
            </m:r>
          </m:sub>
        </m:sSub>
      </m:oMath>
      <w:r w:rsidR="00E86C3D" w:rsidRPr="00E86C3D">
        <w:rPr>
          <w:iCs/>
          <w:lang w:val="en-GB"/>
        </w:rPr>
        <w:t xml:space="preserve"> is a vector of discrepancies between the product concentration profiles </w:t>
      </w:r>
      <m:oMath>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P,1</m:t>
            </m:r>
          </m:sub>
        </m:sSub>
      </m:oMath>
      <w:r w:rsidR="00E86C3D">
        <w:rPr>
          <w:b/>
          <w:bCs/>
          <w:iCs/>
          <w:lang w:val="en-GB"/>
        </w:rPr>
        <w:t xml:space="preserve"> </w:t>
      </w:r>
      <w:r w:rsidR="00E86C3D" w:rsidRPr="00E86C3D">
        <w:rPr>
          <w:iCs/>
          <w:lang w:val="en-GB"/>
        </w:rPr>
        <w:t>and</w:t>
      </w:r>
      <w:r w:rsidR="00E86C3D">
        <w:rPr>
          <w:b/>
          <w:bCs/>
          <w:iCs/>
          <w:lang w:val="en-GB"/>
        </w:rPr>
        <w:t xml:space="preserve"> </w:t>
      </w:r>
      <m:oMath>
        <m:sSub>
          <m:sSubPr>
            <m:ctrlPr>
              <w:rPr>
                <w:rFonts w:ascii="Cambria Math" w:hAnsi="Cambria Math"/>
                <w:b/>
                <w:bCs/>
                <w:i/>
                <w:iCs/>
                <w:lang w:val="en-GB"/>
              </w:rPr>
            </m:ctrlPr>
          </m:sSubPr>
          <m:e>
            <m:r>
              <m:rPr>
                <m:sty m:val="bi"/>
              </m:rPr>
              <w:rPr>
                <w:rFonts w:ascii="Cambria Math" w:hAnsi="Cambria Math"/>
                <w:lang w:val="en-GB"/>
              </w:rPr>
              <m:t>C</m:t>
            </m:r>
          </m:e>
          <m:sub>
            <m:r>
              <m:rPr>
                <m:sty m:val="bi"/>
              </m:rPr>
              <w:rPr>
                <w:rFonts w:ascii="Cambria Math" w:hAnsi="Cambria Math"/>
                <w:lang w:val="en-GB"/>
              </w:rPr>
              <m:t>P,2</m:t>
            </m:r>
          </m:sub>
        </m:sSub>
      </m:oMath>
      <w:r w:rsidR="00E86C3D">
        <w:rPr>
          <w:b/>
          <w:bCs/>
          <w:iCs/>
          <w:lang w:val="en-GB"/>
        </w:rPr>
        <w:t xml:space="preserve"> </w:t>
      </w:r>
      <w:r w:rsidR="00E86C3D">
        <w:rPr>
          <w:iCs/>
          <w:lang w:val="en-GB"/>
        </w:rPr>
        <w:t xml:space="preserve">predicted by Model 1 and Model 2, respectively. </w:t>
      </w:r>
    </w:p>
    <w:p w14:paraId="144DE6A5" w14:textId="08287513" w:rsidR="008D2649" w:rsidRDefault="00DF1C5F" w:rsidP="008D2649">
      <w:pPr>
        <w:pStyle w:val="Els-1storder-head"/>
        <w:spacing w:after="120"/>
        <w:rPr>
          <w:lang w:val="en-GB"/>
        </w:rPr>
      </w:pPr>
      <w:r>
        <w:rPr>
          <w:lang w:val="en-GB"/>
        </w:rPr>
        <w:t>Results</w:t>
      </w:r>
    </w:p>
    <w:p w14:paraId="132014E0" w14:textId="30F30A9B" w:rsidR="00BB252C" w:rsidRDefault="00BB252C" w:rsidP="00BB252C">
      <w:pPr>
        <w:pStyle w:val="Els-2ndorder-head"/>
      </w:pPr>
      <w:r>
        <w:t>Kinetic Model</w:t>
      </w:r>
      <w:r w:rsidR="006C2518">
        <w:t xml:space="preserve"> Fitting and Uncertainty</w:t>
      </w:r>
      <w:r w:rsidR="00A621CE">
        <w:t xml:space="preserve"> Results</w:t>
      </w:r>
    </w:p>
    <w:p w14:paraId="51122FB8" w14:textId="6F86864C" w:rsidR="003C31B9" w:rsidRDefault="00BD2E04" w:rsidP="003C31B9">
      <w:pPr>
        <w:pStyle w:val="Els-body-text"/>
      </w:pPr>
      <w:r>
        <w:t xml:space="preserve">The reduced kinetic models exhibited good fitting performance, with an overall mean percentage error of </w:t>
      </w:r>
      <w:r w:rsidR="007D70A9">
        <w:t>3.27</w:t>
      </w:r>
      <w:r>
        <w:t xml:space="preserve">% and </w:t>
      </w:r>
      <w:r w:rsidR="00547319">
        <w:t>3.63</w:t>
      </w:r>
      <w:r>
        <w:t xml:space="preserve">% for </w:t>
      </w:r>
      <w:r w:rsidR="00547319">
        <w:t>Model 1 and Model 2, respectively</w:t>
      </w:r>
      <w:r w:rsidR="00A621CE">
        <w:t>.</w:t>
      </w:r>
      <w:r>
        <w:t xml:space="preserve"> </w:t>
      </w:r>
      <w:r w:rsidR="00EF1560">
        <w:t>The simulated product profiles for</w:t>
      </w:r>
      <w:r w:rsidR="007D70A9">
        <w:t xml:space="preserve"> </w:t>
      </w:r>
      <w:r w:rsidR="00547319">
        <w:t>a</w:t>
      </w:r>
      <w:r w:rsidR="00EF1560">
        <w:t xml:space="preserve"> residence time ramp experiment</w:t>
      </w:r>
      <w:r w:rsidR="00547319">
        <w:t xml:space="preserve"> with the acetyl acetone reactant</w:t>
      </w:r>
      <w:r w:rsidR="00EF1560">
        <w:t xml:space="preserve"> are presented in Fig. 2 below. </w:t>
      </w:r>
    </w:p>
    <w:p w14:paraId="2C597521" w14:textId="37A00173" w:rsidR="00D75914" w:rsidRDefault="00D75914" w:rsidP="003C31B9">
      <w:pPr>
        <w:pStyle w:val="Els-body-text"/>
      </w:pPr>
    </w:p>
    <w:p w14:paraId="106471B8" w14:textId="15A97D27" w:rsidR="00581423" w:rsidRDefault="005F27DC" w:rsidP="003C31B9">
      <w:pPr>
        <w:pStyle w:val="Els-body-text"/>
      </w:pPr>
      <w:r>
        <w:rPr>
          <w:noProof/>
        </w:rPr>
        <w:drawing>
          <wp:inline distT="0" distB="0" distL="0" distR="0" wp14:anchorId="44EB19C5" wp14:editId="0A486799">
            <wp:extent cx="4495800" cy="1414145"/>
            <wp:effectExtent l="0" t="0" r="0" b="0"/>
            <wp:docPr id="6" name="Picture 6"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 function&#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0" cy="1414145"/>
                    </a:xfrm>
                    <a:prstGeom prst="rect">
                      <a:avLst/>
                    </a:prstGeom>
                    <a:noFill/>
                    <a:ln>
                      <a:noFill/>
                    </a:ln>
                  </pic:spPr>
                </pic:pic>
              </a:graphicData>
            </a:graphic>
          </wp:inline>
        </w:drawing>
      </w:r>
      <w:r>
        <w:rPr>
          <w:noProof/>
          <w:lang w:val="en-GB" w:eastAsia="zh-CN"/>
        </w:rPr>
        <w:t xml:space="preserve"> </w:t>
      </w:r>
    </w:p>
    <w:p w14:paraId="4BE63A3D" w14:textId="7D98451B" w:rsidR="00581423" w:rsidRDefault="00581423" w:rsidP="003C31B9">
      <w:pPr>
        <w:pStyle w:val="Els-body-text"/>
      </w:pPr>
      <w:r>
        <w:t xml:space="preserve">Figure 2: </w:t>
      </w:r>
      <w:r w:rsidR="008D401B">
        <w:t xml:space="preserve">Model fitting results for residence time ramp experiments with acetyl acetone. (a) Model 1; (b) Model 2. </w:t>
      </w:r>
    </w:p>
    <w:p w14:paraId="4309A210" w14:textId="77777777" w:rsidR="00581423" w:rsidRDefault="00581423" w:rsidP="003C31B9">
      <w:pPr>
        <w:pStyle w:val="Els-body-text"/>
      </w:pPr>
    </w:p>
    <w:p w14:paraId="5FA464F1" w14:textId="7CC9BA01" w:rsidR="0079139F" w:rsidRDefault="00581423" w:rsidP="0059327A">
      <w:pPr>
        <w:pStyle w:val="Els-body-text"/>
        <w:spacing w:after="240"/>
      </w:pPr>
      <w:r w:rsidRPr="003C31B9">
        <w:t>By carefully tuning the sparsity penalty weight, the trade-off between model fitting accuracy and model complexity was controlled. In this fashion, kinetically negligible reaction pathways in the proposed mechanisms were automatically identified and removed from their corresponding model structures.</w:t>
      </w:r>
      <w:r>
        <w:t xml:space="preserve"> </w:t>
      </w:r>
      <w:r w:rsidR="0079139F">
        <w:t xml:space="preserve">For both models and diketone reactants, the initial nucleophilic attack (Step 1), ring-closure (Step 2) and formation of di-addition intermediate (Step 3) were deemed to be approximately irreversible reactions. </w:t>
      </w:r>
      <w:r w:rsidR="00284096">
        <w:t xml:space="preserve">Moreover, the computed confidence intervals </w:t>
      </w:r>
      <w:r w:rsidR="0084749C">
        <w:t xml:space="preserve">and correlation matrix </w:t>
      </w:r>
      <w:r w:rsidR="00284096">
        <w:t xml:space="preserve">for the non-zero kinetic constants indicate that most parameters are statistically </w:t>
      </w:r>
      <w:r w:rsidR="0059327A">
        <w:t>identifiable</w:t>
      </w:r>
      <w:r w:rsidR="00284096">
        <w:t xml:space="preserve"> and uncorrelated</w:t>
      </w:r>
      <w:r w:rsidR="0059327A">
        <w:t>,</w:t>
      </w:r>
      <w:r w:rsidR="00284096">
        <w:t xml:space="preserve"> as </w:t>
      </w:r>
      <w:r w:rsidR="0059327A">
        <w:t>exemplified</w:t>
      </w:r>
      <w:r w:rsidR="00284096">
        <w:t xml:space="preserve"> </w:t>
      </w:r>
      <w:r w:rsidR="0059327A">
        <w:t>o</w:t>
      </w:r>
      <w:r w:rsidR="00284096">
        <w:t>n Fig. 3</w:t>
      </w:r>
      <w:r w:rsidR="006E4C28">
        <w:t xml:space="preserve"> for Model 1 </w:t>
      </w:r>
      <w:r w:rsidR="00E53A4F">
        <w:t>with</w:t>
      </w:r>
      <w:r w:rsidR="006E4C28">
        <w:t xml:space="preserve"> the acetyl acetone reactant</w:t>
      </w:r>
      <w:r w:rsidR="0059327A">
        <w:t xml:space="preserve">. </w:t>
      </w:r>
    </w:p>
    <w:p w14:paraId="0BF30066" w14:textId="77131FF5" w:rsidR="0059327A" w:rsidRDefault="001D747D" w:rsidP="0059327A">
      <w:pPr>
        <w:pStyle w:val="Els-body-text"/>
        <w:jc w:val="center"/>
      </w:pPr>
      <w:r>
        <w:rPr>
          <w:noProof/>
        </w:rPr>
        <w:drawing>
          <wp:inline distT="0" distB="0" distL="0" distR="0" wp14:anchorId="31D2197F" wp14:editId="3BBE6A3A">
            <wp:extent cx="4499610" cy="1153160"/>
            <wp:effectExtent l="0" t="0" r="0" b="8890"/>
            <wp:docPr id="1045022562" name="Picture 1" descr="A grey circle with a black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22562" name="Picture 1" descr="A grey circle with a black dot&#10;&#10;Description automatically generated"/>
                    <pic:cNvPicPr/>
                  </pic:nvPicPr>
                  <pic:blipFill>
                    <a:blip r:embed="rId10"/>
                    <a:stretch>
                      <a:fillRect/>
                    </a:stretch>
                  </pic:blipFill>
                  <pic:spPr>
                    <a:xfrm>
                      <a:off x="0" y="0"/>
                      <a:ext cx="4499610" cy="1153160"/>
                    </a:xfrm>
                    <a:prstGeom prst="rect">
                      <a:avLst/>
                    </a:prstGeom>
                  </pic:spPr>
                </pic:pic>
              </a:graphicData>
            </a:graphic>
          </wp:inline>
        </w:drawing>
      </w:r>
    </w:p>
    <w:p w14:paraId="724B4910" w14:textId="5A80A405" w:rsidR="0079139F" w:rsidRDefault="0059327A" w:rsidP="0059327A">
      <w:pPr>
        <w:pStyle w:val="Els-body-text"/>
      </w:pPr>
      <w:r>
        <w:t xml:space="preserve">Figure 3: </w:t>
      </w:r>
      <w:r w:rsidR="009003E3">
        <w:t xml:space="preserve">(a) and (b) </w:t>
      </w:r>
      <w:r w:rsidR="008D401B">
        <w:t>Joint confidence ellipsoids of some kinetic parameters in Model 1 (acetyl acetone case)</w:t>
      </w:r>
      <w:r w:rsidR="009003E3">
        <w:t xml:space="preserve">; (c) Correlation matrix plot for kinetic parameters in Model 1. </w:t>
      </w:r>
    </w:p>
    <w:p w14:paraId="4C30528F" w14:textId="77777777" w:rsidR="008D401B" w:rsidRDefault="008D401B" w:rsidP="0059327A">
      <w:pPr>
        <w:pStyle w:val="Els-body-text"/>
      </w:pPr>
    </w:p>
    <w:p w14:paraId="310290A1" w14:textId="2294C465" w:rsidR="00581423" w:rsidRPr="00581423" w:rsidRDefault="0079139F" w:rsidP="00581423">
      <w:pPr>
        <w:pStyle w:val="Els-body-text"/>
      </w:pPr>
      <w:r>
        <w:t xml:space="preserve">Comparison of the estimated constants for the acetyl acetone and heptane-3,5-dione datasets can also provide insight on steric influences on the reaction rate. For example, the </w:t>
      </w:r>
      <w:r w:rsidR="00750B36">
        <w:t xml:space="preserve">formation of the di-addition intermediate was found to be faster for the shorter-chained substrate, whereas the opposite is true for the initial nucleophilic attack. </w:t>
      </w:r>
    </w:p>
    <w:p w14:paraId="55CD81ED" w14:textId="1D2C03D1" w:rsidR="00DA6B56" w:rsidRDefault="00DA6B56" w:rsidP="00DA6B56">
      <w:pPr>
        <w:pStyle w:val="Els-2ndorder-head"/>
      </w:pPr>
      <w:r>
        <w:lastRenderedPageBreak/>
        <w:t>Model Discrimination Results</w:t>
      </w:r>
    </w:p>
    <w:p w14:paraId="40C1480A" w14:textId="71784026" w:rsidR="0059327A" w:rsidRDefault="00E74B1A" w:rsidP="006202FD">
      <w:pPr>
        <w:pStyle w:val="Els-body-text"/>
        <w:spacing w:after="240"/>
      </w:pPr>
      <w:r>
        <w:t xml:space="preserve">The optimal initial conditions for a discriminatory residence time ramp experiment were determined following the procedure described in Section 3.4. </w:t>
      </w:r>
    </w:p>
    <w:p w14:paraId="6629A55F" w14:textId="17E41607" w:rsidR="0059327A" w:rsidRDefault="0059327A" w:rsidP="0059327A">
      <w:pPr>
        <w:pStyle w:val="Els-body-text"/>
        <w:jc w:val="center"/>
      </w:pPr>
      <w:r>
        <w:rPr>
          <w:noProof/>
          <w:lang w:val="en-GB" w:eastAsia="zh-CN"/>
        </w:rPr>
        <w:drawing>
          <wp:inline distT="0" distB="0" distL="0" distR="0" wp14:anchorId="3872B4E1" wp14:editId="29CE31F8">
            <wp:extent cx="2328636" cy="1463040"/>
            <wp:effectExtent l="0" t="0" r="0" b="3810"/>
            <wp:docPr id="4" name="Picture 4" descr="A graph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curve&#10;&#10;Description automatically generated"/>
                    <pic:cNvPicPr/>
                  </pic:nvPicPr>
                  <pic:blipFill>
                    <a:blip r:embed="rId11"/>
                    <a:stretch>
                      <a:fillRect/>
                    </a:stretch>
                  </pic:blipFill>
                  <pic:spPr>
                    <a:xfrm>
                      <a:off x="0" y="0"/>
                      <a:ext cx="2375694" cy="1492606"/>
                    </a:xfrm>
                    <a:prstGeom prst="rect">
                      <a:avLst/>
                    </a:prstGeom>
                  </pic:spPr>
                </pic:pic>
              </a:graphicData>
            </a:graphic>
          </wp:inline>
        </w:drawing>
      </w:r>
    </w:p>
    <w:p w14:paraId="67385A12" w14:textId="2D41DBAE" w:rsidR="00E74B1A" w:rsidRDefault="0059327A" w:rsidP="0059327A">
      <w:pPr>
        <w:pStyle w:val="Els-body-text"/>
      </w:pPr>
      <w:r>
        <w:t xml:space="preserve">Figure 4: </w:t>
      </w:r>
      <w:r w:rsidR="004C6691">
        <w:t>Predicted process trajectories for discriminatory experiment with acetyl acetone reactant</w:t>
      </w:r>
      <w:r w:rsidR="00CD3AA2">
        <w:t xml:space="preserve">, with initial conditions </w:t>
      </w:r>
      <m:oMath>
        <m:sSub>
          <m:sSubPr>
            <m:ctrlPr>
              <w:rPr>
                <w:rFonts w:ascii="Cambria Math" w:hAnsi="Cambria Math"/>
                <w:i/>
              </w:rPr>
            </m:ctrlPr>
          </m:sSubPr>
          <m:e>
            <m:r>
              <w:rPr>
                <w:rFonts w:ascii="Cambria Math" w:hAnsi="Cambria Math"/>
              </w:rPr>
              <m:t>C</m:t>
            </m:r>
          </m:e>
          <m:sub>
            <m:r>
              <w:rPr>
                <w:rFonts w:ascii="Cambria Math" w:hAnsi="Cambria Math"/>
              </w:rPr>
              <m:t>Diketone</m:t>
            </m:r>
          </m:sub>
        </m:sSub>
        <m:r>
          <w:rPr>
            <w:rFonts w:ascii="Cambria Math" w:hAnsi="Cambria Math"/>
          </w:rPr>
          <m:t xml:space="preserve">=0.4 </m:t>
        </m:r>
        <m:r>
          <m:rPr>
            <m:sty m:val="p"/>
          </m:rPr>
          <w:rPr>
            <w:rFonts w:ascii="Cambria Math" w:hAnsi="Cambria Math"/>
          </w:rPr>
          <m:t>M</m:t>
        </m:r>
      </m:oMath>
      <w:r w:rsidR="00CD3AA2">
        <w:rPr>
          <w:iCs/>
        </w:rPr>
        <w:t xml:space="preserve">, </w:t>
      </w:r>
      <m:oMath>
        <m:sSub>
          <m:sSubPr>
            <m:ctrlPr>
              <w:rPr>
                <w:rFonts w:ascii="Cambria Math" w:hAnsi="Cambria Math"/>
                <w:i/>
              </w:rPr>
            </m:ctrlPr>
          </m:sSubPr>
          <m:e>
            <m:r>
              <w:rPr>
                <w:rFonts w:ascii="Cambria Math" w:hAnsi="Cambria Math"/>
              </w:rPr>
              <m:t>C</m:t>
            </m:r>
          </m:e>
          <m:sub>
            <m:r>
              <w:rPr>
                <w:rFonts w:ascii="Cambria Math" w:hAnsi="Cambria Math"/>
              </w:rPr>
              <m:t>PhHy</m:t>
            </m:r>
          </m:sub>
        </m:sSub>
        <m:r>
          <w:rPr>
            <w:rFonts w:ascii="Cambria Math" w:hAnsi="Cambria Math"/>
          </w:rPr>
          <m:t xml:space="preserve">=0.186 </m:t>
        </m:r>
        <m:r>
          <m:rPr>
            <m:sty m:val="p"/>
          </m:rPr>
          <w:rPr>
            <w:rFonts w:ascii="Cambria Math" w:hAnsi="Cambria Math"/>
          </w:rPr>
          <m:t>M</m:t>
        </m:r>
      </m:oMath>
      <w:r w:rsidR="00CD3AA2">
        <w:t xml:space="preserve">, </w:t>
      </w:r>
      <m:oMath>
        <m:sSub>
          <m:sSubPr>
            <m:ctrlPr>
              <w:rPr>
                <w:rFonts w:ascii="Cambria Math" w:hAnsi="Cambria Math"/>
                <w:i/>
              </w:rPr>
            </m:ctrlPr>
          </m:sSubPr>
          <m:e>
            <m:r>
              <w:rPr>
                <w:rFonts w:ascii="Cambria Math" w:hAnsi="Cambria Math"/>
              </w:rPr>
              <m:t>C</m:t>
            </m:r>
          </m:e>
          <m:sub>
            <m:r>
              <w:rPr>
                <w:rFonts w:ascii="Cambria Math" w:hAnsi="Cambria Math"/>
              </w:rPr>
              <m:t>Pyrazole</m:t>
            </m:r>
          </m:sub>
        </m:sSub>
        <m:r>
          <w:rPr>
            <w:rFonts w:ascii="Cambria Math" w:hAnsi="Cambria Math"/>
          </w:rPr>
          <m:t xml:space="preserve">=0.2 </m:t>
        </m:r>
        <m:r>
          <m:rPr>
            <m:sty m:val="p"/>
          </m:rPr>
          <w:rPr>
            <w:rFonts w:ascii="Cambria Math" w:hAnsi="Cambria Math"/>
          </w:rPr>
          <m:t>M</m:t>
        </m:r>
      </m:oMath>
      <w:r w:rsidR="00CD3AA2">
        <w:t xml:space="preserve">, </w:t>
      </w:r>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r>
          <w:rPr>
            <w:rFonts w:ascii="Cambria Math" w:hAnsi="Cambria Math"/>
          </w:rPr>
          <m:t xml:space="preserve">=0.014 </m:t>
        </m:r>
        <m:r>
          <m:rPr>
            <m:sty m:val="p"/>
          </m:rPr>
          <w:rPr>
            <w:rFonts w:ascii="Cambria Math" w:hAnsi="Cambria Math"/>
          </w:rPr>
          <m:t>M</m:t>
        </m:r>
      </m:oMath>
      <w:r w:rsidR="00CD3AA2">
        <w:rPr>
          <w:iCs/>
        </w:rPr>
        <w:t xml:space="preserve">. </w:t>
      </w:r>
    </w:p>
    <w:p w14:paraId="067D2318" w14:textId="5B92C19E" w:rsidR="004B624C" w:rsidRPr="0059327A" w:rsidRDefault="004B624C" w:rsidP="006202FD">
      <w:pPr>
        <w:pStyle w:val="Els-body-text"/>
        <w:spacing w:before="240"/>
      </w:pPr>
      <w:r>
        <w:t>From Fig. 4</w:t>
      </w:r>
      <w:r w:rsidR="00CD3AA2">
        <w:t>, Model 1 exhibits a more pronounced product formation rate as compared to Model 2 for the given</w:t>
      </w:r>
      <w:r w:rsidR="00FD621F">
        <w:t xml:space="preserve"> </w:t>
      </w:r>
      <w:r w:rsidR="00A71851">
        <w:t>initial</w:t>
      </w:r>
      <w:r w:rsidR="00FD621F">
        <w:t xml:space="preserve"> con</w:t>
      </w:r>
      <w:r w:rsidR="00A71851">
        <w:t xml:space="preserve">centrations where </w:t>
      </w:r>
      <m:oMath>
        <m:sSub>
          <m:sSubPr>
            <m:ctrlPr>
              <w:rPr>
                <w:rFonts w:ascii="Cambria Math" w:hAnsi="Cambria Math"/>
                <w:i/>
                <w:iCs/>
                <w:lang w:val="en-GB"/>
              </w:rPr>
            </m:ctrlPr>
          </m:sSubPr>
          <m:e>
            <m:r>
              <w:rPr>
                <w:rFonts w:ascii="Cambria Math" w:hAnsi="Cambria Math"/>
                <w:lang w:val="en-GB"/>
              </w:rPr>
              <m:t>C</m:t>
            </m:r>
          </m:e>
          <m:sub>
            <m:r>
              <w:rPr>
                <w:rFonts w:ascii="Cambria Math" w:hAnsi="Cambria Math"/>
                <w:lang w:val="en-GB"/>
              </w:rPr>
              <m:t>Diketone</m:t>
            </m:r>
          </m:sub>
        </m:sSub>
        <m:r>
          <m:rPr>
            <m:sty m:val="p"/>
          </m:rPr>
          <w:rPr>
            <w:rFonts w:ascii="Cambria Math" w:hAnsi="Cambria Math"/>
            <w:lang w:val="en-GB"/>
          </w:rPr>
          <m:t>,</m:t>
        </m:r>
        <m:sSub>
          <m:sSubPr>
            <m:ctrlPr>
              <w:rPr>
                <w:rFonts w:ascii="Cambria Math" w:hAnsi="Cambria Math"/>
                <w:i/>
                <w:iCs/>
                <w:lang w:val="en-GB"/>
              </w:rPr>
            </m:ctrlPr>
          </m:sSubPr>
          <m:e>
            <m:r>
              <w:rPr>
                <w:rFonts w:ascii="Cambria Math" w:hAnsi="Cambria Math"/>
                <w:lang w:val="en-GB"/>
              </w:rPr>
              <m:t>C</m:t>
            </m:r>
          </m:e>
          <m:sub>
            <m:r>
              <w:rPr>
                <w:rFonts w:ascii="Cambria Math" w:hAnsi="Cambria Math"/>
                <w:lang w:val="en-GB"/>
              </w:rPr>
              <m:t>Pyrazole</m:t>
            </m:r>
          </m:sub>
        </m:sSub>
        <m:r>
          <w:rPr>
            <w:rFonts w:ascii="Cambria Math" w:hAnsi="Cambria Math"/>
            <w:lang w:val="en-GB"/>
          </w:rPr>
          <m:t>&gt;</m:t>
        </m:r>
        <m:sSub>
          <m:sSubPr>
            <m:ctrlPr>
              <w:rPr>
                <w:rFonts w:ascii="Cambria Math" w:hAnsi="Cambria Math"/>
                <w:i/>
                <w:iCs/>
                <w:lang w:val="en-GB"/>
              </w:rPr>
            </m:ctrlPr>
          </m:sSubPr>
          <m:e>
            <m:r>
              <w:rPr>
                <w:rFonts w:ascii="Cambria Math" w:hAnsi="Cambria Math"/>
                <w:lang w:val="en-GB"/>
              </w:rPr>
              <m:t>C</m:t>
            </m:r>
          </m:e>
          <m:sub>
            <m:r>
              <w:rPr>
                <w:rFonts w:ascii="Cambria Math" w:hAnsi="Cambria Math"/>
                <w:lang w:val="en-GB"/>
              </w:rPr>
              <m:t>PhHy</m:t>
            </m:r>
          </m:sub>
        </m:sSub>
      </m:oMath>
      <w:r w:rsidR="00CD3AA2">
        <w:t xml:space="preserve">. This can be </w:t>
      </w:r>
      <w:proofErr w:type="spellStart"/>
      <w:r w:rsidR="00CD3AA2">
        <w:t>rationali</w:t>
      </w:r>
      <w:r w:rsidR="00285C75">
        <w:t>s</w:t>
      </w:r>
      <w:r w:rsidR="00CD3AA2">
        <w:t>ed</w:t>
      </w:r>
      <w:proofErr w:type="spellEnd"/>
      <w:r w:rsidR="00CD3AA2">
        <w:t xml:space="preserve"> with reference to </w:t>
      </w:r>
      <w:r w:rsidR="00FD621F">
        <w:t>the key dissimilarities between the two mechanisms</w:t>
      </w:r>
      <w:r w:rsidR="00A71851">
        <w:t>: The final aromatization steps are product- and diketone-</w:t>
      </w:r>
      <w:proofErr w:type="spellStart"/>
      <w:r w:rsidR="00A71851">
        <w:t>catalysed</w:t>
      </w:r>
      <w:proofErr w:type="spellEnd"/>
      <w:r w:rsidR="00A71851">
        <w:t xml:space="preserve"> for Model 1, as opposed to hydrazine-</w:t>
      </w:r>
      <w:proofErr w:type="spellStart"/>
      <w:r w:rsidR="00A71851">
        <w:t>catalysed</w:t>
      </w:r>
      <w:proofErr w:type="spellEnd"/>
      <w:r w:rsidR="00A71851">
        <w:t xml:space="preserve"> pathways in Model 2. </w:t>
      </w:r>
      <w:r w:rsidR="009D288E">
        <w:t>Conducting this</w:t>
      </w:r>
      <w:r w:rsidR="00CD4B83">
        <w:t xml:space="preserve"> transient</w:t>
      </w:r>
      <w:r w:rsidR="009D288E">
        <w:t xml:space="preserve"> experiment will thus guide the </w:t>
      </w:r>
      <w:r w:rsidR="00AA11E5">
        <w:t xml:space="preserve">modification and </w:t>
      </w:r>
      <w:r w:rsidR="009D288E">
        <w:t xml:space="preserve">selection of an appropriate model structure for future studies. </w:t>
      </w:r>
    </w:p>
    <w:p w14:paraId="144DE6AE" w14:textId="0E46B598" w:rsidR="008D2649" w:rsidRDefault="00131735" w:rsidP="008D2649">
      <w:pPr>
        <w:pStyle w:val="Els-1storder-head"/>
        <w:spacing w:after="120"/>
        <w:rPr>
          <w:lang w:val="en-GB"/>
        </w:rPr>
      </w:pPr>
      <w:r>
        <w:rPr>
          <w:lang w:val="en-GB"/>
        </w:rPr>
        <w:t>Conclusion</w:t>
      </w:r>
      <w:r w:rsidR="002762E2">
        <w:rPr>
          <w:lang w:val="en-GB"/>
        </w:rPr>
        <w:t>s</w:t>
      </w:r>
    </w:p>
    <w:p w14:paraId="49B14AAE" w14:textId="39DC6BA8" w:rsidR="00200E73" w:rsidRPr="00200E73" w:rsidRDefault="002406E5" w:rsidP="002406E5">
      <w:pPr>
        <w:pStyle w:val="Els-body-text"/>
        <w:rPr>
          <w:lang w:val="en-GB"/>
        </w:rPr>
      </w:pPr>
      <w:r>
        <w:rPr>
          <w:lang w:val="en-GB"/>
        </w:rPr>
        <w:t xml:space="preserve">In this work, state-of-the-art transient flow experimentation techniques were coupled with model construction </w:t>
      </w:r>
      <w:r w:rsidR="001F398D">
        <w:rPr>
          <w:lang w:val="en-GB"/>
        </w:rPr>
        <w:t xml:space="preserve">and reduction </w:t>
      </w:r>
      <w:r>
        <w:rPr>
          <w:lang w:val="en-GB"/>
        </w:rPr>
        <w:t>methodologies</w:t>
      </w:r>
      <w:r w:rsidR="009D2DC6">
        <w:rPr>
          <w:lang w:val="en-GB"/>
        </w:rPr>
        <w:t xml:space="preserve"> to perform kinetics investigations on the Knorr </w:t>
      </w:r>
      <w:r w:rsidR="003936EC">
        <w:rPr>
          <w:lang w:val="en-GB"/>
        </w:rPr>
        <w:t xml:space="preserve">pyrazole </w:t>
      </w:r>
      <w:r w:rsidR="009D2DC6">
        <w:rPr>
          <w:lang w:val="en-GB"/>
        </w:rPr>
        <w:t xml:space="preserve">reaction. </w:t>
      </w:r>
      <w:r w:rsidR="002402C7">
        <w:rPr>
          <w:lang w:val="en-GB"/>
        </w:rPr>
        <w:t xml:space="preserve">The model fitting accuracy and uncertainty results indicate that the proposed reaction networks are feasible representations of the process. </w:t>
      </w:r>
      <w:r w:rsidR="00AA1A89">
        <w:rPr>
          <w:lang w:val="en-GB"/>
        </w:rPr>
        <w:t>N</w:t>
      </w:r>
      <w:r w:rsidR="002402C7">
        <w:rPr>
          <w:lang w:val="en-GB"/>
        </w:rPr>
        <w:t xml:space="preserve">otably, analysis of the estimated constants </w:t>
      </w:r>
      <w:r w:rsidR="00155E3A">
        <w:rPr>
          <w:lang w:val="en-GB"/>
        </w:rPr>
        <w:t xml:space="preserve">in the reduced model structures allow for the identification of kinetically negligible </w:t>
      </w:r>
      <w:r w:rsidR="00AA1A89">
        <w:rPr>
          <w:lang w:val="en-GB"/>
        </w:rPr>
        <w:t>reactions</w:t>
      </w:r>
      <w:r w:rsidR="00155E3A">
        <w:rPr>
          <w:lang w:val="en-GB"/>
        </w:rPr>
        <w:t xml:space="preserve"> and the evaluation of steric effects on the reaction rate. </w:t>
      </w:r>
      <w:r w:rsidR="001F398D">
        <w:rPr>
          <w:lang w:val="en-GB"/>
        </w:rPr>
        <w:t xml:space="preserve">A preliminary model-based design of experiments was also adopted to exemplify how transient experimentation can facilitate </w:t>
      </w:r>
      <w:r w:rsidR="00F571F1">
        <w:rPr>
          <w:lang w:val="en-GB"/>
        </w:rPr>
        <w:t xml:space="preserve">kinetic </w:t>
      </w:r>
      <w:r w:rsidR="001F398D">
        <w:rPr>
          <w:lang w:val="en-GB"/>
        </w:rPr>
        <w:t>model discrimination.</w:t>
      </w:r>
    </w:p>
    <w:p w14:paraId="2FDFB449" w14:textId="23199B3E" w:rsidR="00137FA0" w:rsidRPr="00137FA0" w:rsidRDefault="008D2649" w:rsidP="006202FD">
      <w:pPr>
        <w:pStyle w:val="Els-reference-head"/>
      </w:pPr>
      <w:r>
        <w:t>References</w:t>
      </w:r>
    </w:p>
    <w:p w14:paraId="7B5093D3" w14:textId="569A4D5F" w:rsidR="00AC4716" w:rsidRDefault="00137FA0" w:rsidP="00137FA0">
      <w:pPr>
        <w:pStyle w:val="Els-referenceno-number"/>
      </w:pPr>
      <w:r w:rsidRPr="00137FA0">
        <w:t xml:space="preserve">Franceschini, G., &amp; Macchietto, S. (2008). Model-based design of experiments for parameter precision: State of the art. </w:t>
      </w:r>
      <w:r w:rsidRPr="00137FA0">
        <w:rPr>
          <w:i/>
          <w:iCs/>
        </w:rPr>
        <w:t>Chemical Engineering Science</w:t>
      </w:r>
      <w:r w:rsidRPr="00137FA0">
        <w:t xml:space="preserve">, </w:t>
      </w:r>
      <w:r w:rsidRPr="00137FA0">
        <w:rPr>
          <w:i/>
          <w:iCs/>
        </w:rPr>
        <w:t>63</w:t>
      </w:r>
      <w:r w:rsidRPr="00137FA0">
        <w:t xml:space="preserve">(19), 4846–4872. </w:t>
      </w:r>
    </w:p>
    <w:p w14:paraId="6241F02F" w14:textId="569C3CB6" w:rsidR="00AC4716" w:rsidRDefault="00137FA0" w:rsidP="006202FD">
      <w:pPr>
        <w:pStyle w:val="Els-referenceno-number"/>
        <w:spacing w:before="240"/>
      </w:pPr>
      <w:r w:rsidRPr="00137FA0">
        <w:t xml:space="preserve">Norris, T., Colon-Cruz, R., &amp; Ripin, D. H. B. (2005). New hydroxy-pyrazoline intermediates, subtle regio-selectivity and relative reaction rate variations observed during acid catalyzed and neutral pyrazole cyclization. </w:t>
      </w:r>
      <w:r w:rsidRPr="00137FA0">
        <w:rPr>
          <w:i/>
          <w:iCs/>
        </w:rPr>
        <w:t>Organic &amp; Biomolecular Chemistry</w:t>
      </w:r>
      <w:r w:rsidRPr="00137FA0">
        <w:t xml:space="preserve">, </w:t>
      </w:r>
      <w:r w:rsidRPr="00137FA0">
        <w:rPr>
          <w:i/>
          <w:iCs/>
        </w:rPr>
        <w:t>3</w:t>
      </w:r>
      <w:r w:rsidRPr="00137FA0">
        <w:t xml:space="preserve">(10), 1844. </w:t>
      </w:r>
    </w:p>
    <w:p w14:paraId="41CC5033" w14:textId="562D9ABA" w:rsidR="00137FA0" w:rsidRDefault="00137FA0" w:rsidP="00F571F1">
      <w:pPr>
        <w:pStyle w:val="Els-referenceno-number"/>
      </w:pPr>
    </w:p>
    <w:p w14:paraId="0B331C86" w14:textId="5CC1B97F" w:rsidR="00AC4716" w:rsidRDefault="00137FA0" w:rsidP="00137FA0">
      <w:pPr>
        <w:pStyle w:val="Els-referenceno-number"/>
      </w:pPr>
      <w:r w:rsidRPr="00137FA0">
        <w:t>Schrecker, L., Dickhaut, J., Holtze, C., Staehle, P., Vranceanu, M., Hellgardt, K., &amp; Hii, K. K. (Mimi). (202</w:t>
      </w:r>
      <w:r w:rsidR="00C64C10">
        <w:t>3</w:t>
      </w:r>
      <w:r w:rsidRPr="00137FA0">
        <w:t xml:space="preserve">). Discovery of unexpectedly complex reaction pathways for the Knorr pyrazole synthesis </w:t>
      </w:r>
      <w:r w:rsidRPr="00137FA0">
        <w:rPr>
          <w:i/>
          <w:iCs/>
        </w:rPr>
        <w:t>via</w:t>
      </w:r>
      <w:r w:rsidRPr="00137FA0">
        <w:t xml:space="preserve"> transient flow. </w:t>
      </w:r>
      <w:r w:rsidRPr="00137FA0">
        <w:rPr>
          <w:i/>
          <w:iCs/>
        </w:rPr>
        <w:t>Reaction Chemistry &amp; Engineering</w:t>
      </w:r>
      <w:r w:rsidRPr="00137FA0">
        <w:t xml:space="preserve">, </w:t>
      </w:r>
      <w:r w:rsidRPr="00137FA0">
        <w:rPr>
          <w:i/>
          <w:iCs/>
        </w:rPr>
        <w:t>8</w:t>
      </w:r>
      <w:r w:rsidRPr="00137FA0">
        <w:t xml:space="preserve">(1), 41–46. </w:t>
      </w:r>
    </w:p>
    <w:p w14:paraId="7BBBDF65" w14:textId="77777777" w:rsidR="00F571F1" w:rsidRDefault="00F571F1" w:rsidP="00F571F1">
      <w:pPr>
        <w:pStyle w:val="Els-referenceno-number"/>
      </w:pPr>
    </w:p>
    <w:p w14:paraId="144DE6C3" w14:textId="3610A3C1" w:rsidR="008D2649" w:rsidRPr="006202FD" w:rsidRDefault="00137FA0" w:rsidP="006202FD">
      <w:pPr>
        <w:pStyle w:val="Els-referenceno-number"/>
      </w:pPr>
      <w:r w:rsidRPr="00137FA0">
        <w:t xml:space="preserve">Sloop, J. C., Lechner, B., Washington, G., Bumgardner, C. L., Loehle, W. D., &amp; Creasy, W. (2008). Pyrazole formation: Examination of kinetics, substituent effects, and mechanistic pathways. </w:t>
      </w:r>
      <w:r w:rsidRPr="006202FD">
        <w:t>International Journal of Chemical Kinetics</w:t>
      </w:r>
      <w:r w:rsidRPr="00137FA0">
        <w:t xml:space="preserve">, </w:t>
      </w:r>
      <w:r w:rsidRPr="006202FD">
        <w:t>40</w:t>
      </w:r>
      <w:r w:rsidRPr="00137FA0">
        <w:t xml:space="preserve">(7), 370–383. </w:t>
      </w:r>
    </w:p>
    <w:sectPr w:rsidR="008D2649" w:rsidRPr="006202FD"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BBA3" w14:textId="77777777" w:rsidR="002D0430" w:rsidRDefault="002D0430">
      <w:r>
        <w:separator/>
      </w:r>
    </w:p>
  </w:endnote>
  <w:endnote w:type="continuationSeparator" w:id="0">
    <w:p w14:paraId="3F0D9F85" w14:textId="77777777" w:rsidR="002D0430" w:rsidRDefault="002D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58DD" w14:textId="77777777" w:rsidR="002D0430" w:rsidRDefault="002D0430">
      <w:r>
        <w:separator/>
      </w:r>
    </w:p>
  </w:footnote>
  <w:footnote w:type="continuationSeparator" w:id="0">
    <w:p w14:paraId="4E434378" w14:textId="77777777" w:rsidR="002D0430" w:rsidRDefault="002D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D55C858" w:rsidR="00DD3D9E" w:rsidRDefault="00DD3D9E">
    <w:pPr>
      <w:pStyle w:val="Header"/>
      <w:tabs>
        <w:tab w:val="clear" w:pos="7200"/>
        <w:tab w:val="right" w:pos="7088"/>
      </w:tabs>
    </w:pPr>
    <w:r>
      <w:rPr>
        <w:rStyle w:val="PageNumber"/>
      </w:rPr>
      <w:tab/>
    </w:r>
    <w:r>
      <w:rPr>
        <w:rStyle w:val="PageNumber"/>
        <w:i/>
      </w:rPr>
      <w:tab/>
    </w:r>
    <w:r w:rsidR="00766CC5">
      <w:rPr>
        <w:i/>
      </w:rPr>
      <w:t>F. Vega-Ramon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209AE8B" w:rsidR="00DD3D9E" w:rsidRDefault="008E55DE" w:rsidP="008E55DE">
    <w:pPr>
      <w:pStyle w:val="Header"/>
      <w:tabs>
        <w:tab w:val="clear" w:pos="7200"/>
        <w:tab w:val="right" w:pos="7088"/>
      </w:tabs>
      <w:rPr>
        <w:sz w:val="24"/>
      </w:rPr>
    </w:pPr>
    <w:r w:rsidRPr="008E55DE">
      <w:rPr>
        <w:i/>
      </w:rPr>
      <w:t>Transient Flow-Assisted Kinetic Modelling and Reaction Network Identification for</w:t>
    </w:r>
    <w:r>
      <w:rPr>
        <w:i/>
      </w:rPr>
      <w:t xml:space="preserve"> </w:t>
    </w:r>
    <w:r w:rsidRPr="008E55DE">
      <w:rPr>
        <w:i/>
      </w:rPr>
      <w:t>Pyrazole Synthesis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38624B4"/>
    <w:multiLevelType w:val="hybridMultilevel"/>
    <w:tmpl w:val="7818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B291D"/>
    <w:multiLevelType w:val="hybridMultilevel"/>
    <w:tmpl w:val="0EFA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1E392A54"/>
    <w:multiLevelType w:val="hybridMultilevel"/>
    <w:tmpl w:val="2700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8"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99908D6"/>
    <w:multiLevelType w:val="hybridMultilevel"/>
    <w:tmpl w:val="41F8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268AF"/>
    <w:multiLevelType w:val="hybridMultilevel"/>
    <w:tmpl w:val="5D54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CF17BD"/>
    <w:multiLevelType w:val="hybridMultilevel"/>
    <w:tmpl w:val="858016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B79DF"/>
    <w:multiLevelType w:val="hybridMultilevel"/>
    <w:tmpl w:val="800C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D1F16"/>
    <w:multiLevelType w:val="hybridMultilevel"/>
    <w:tmpl w:val="61C8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1" w15:restartNumberingAfterBreak="0">
    <w:nsid w:val="61776EF7"/>
    <w:multiLevelType w:val="hybridMultilevel"/>
    <w:tmpl w:val="8214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56626"/>
    <w:multiLevelType w:val="hybridMultilevel"/>
    <w:tmpl w:val="51769B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956D0"/>
    <w:multiLevelType w:val="hybridMultilevel"/>
    <w:tmpl w:val="5D445A1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5" w15:restartNumberingAfterBreak="0">
    <w:nsid w:val="7205712A"/>
    <w:multiLevelType w:val="hybridMultilevel"/>
    <w:tmpl w:val="EB7483A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77168477">
    <w:abstractNumId w:val="19"/>
  </w:num>
  <w:num w:numId="2" w16cid:durableId="833493478">
    <w:abstractNumId w:val="19"/>
  </w:num>
  <w:num w:numId="3" w16cid:durableId="18050160">
    <w:abstractNumId w:val="19"/>
  </w:num>
  <w:num w:numId="4" w16cid:durableId="1696733051">
    <w:abstractNumId w:val="19"/>
  </w:num>
  <w:num w:numId="5" w16cid:durableId="1254629300">
    <w:abstractNumId w:val="0"/>
  </w:num>
  <w:num w:numId="6" w16cid:durableId="1538589127">
    <w:abstractNumId w:val="9"/>
  </w:num>
  <w:num w:numId="7" w16cid:durableId="638996354">
    <w:abstractNumId w:val="20"/>
  </w:num>
  <w:num w:numId="8" w16cid:durableId="247931724">
    <w:abstractNumId w:val="3"/>
  </w:num>
  <w:num w:numId="9" w16cid:durableId="142233729">
    <w:abstractNumId w:val="18"/>
  </w:num>
  <w:num w:numId="10" w16cid:durableId="865947090">
    <w:abstractNumId w:val="26"/>
  </w:num>
  <w:num w:numId="11" w16cid:durableId="1240824085">
    <w:abstractNumId w:val="24"/>
  </w:num>
  <w:num w:numId="12" w16cid:durableId="310906299">
    <w:abstractNumId w:val="8"/>
  </w:num>
  <w:num w:numId="13" w16cid:durableId="1555267251">
    <w:abstractNumId w:val="16"/>
  </w:num>
  <w:num w:numId="14" w16cid:durableId="508174917">
    <w:abstractNumId w:val="4"/>
  </w:num>
  <w:num w:numId="15" w16cid:durableId="1378311286">
    <w:abstractNumId w:val="12"/>
  </w:num>
  <w:num w:numId="16" w16cid:durableId="1324163393">
    <w:abstractNumId w:val="6"/>
  </w:num>
  <w:num w:numId="17" w16cid:durableId="803278855">
    <w:abstractNumId w:val="7"/>
  </w:num>
  <w:num w:numId="18" w16cid:durableId="996030699">
    <w:abstractNumId w:val="17"/>
  </w:num>
  <w:num w:numId="19" w16cid:durableId="69892280">
    <w:abstractNumId w:val="25"/>
  </w:num>
  <w:num w:numId="20" w16cid:durableId="1553075538">
    <w:abstractNumId w:val="13"/>
  </w:num>
  <w:num w:numId="21" w16cid:durableId="463350736">
    <w:abstractNumId w:val="22"/>
  </w:num>
  <w:num w:numId="22" w16cid:durableId="559949989">
    <w:abstractNumId w:val="15"/>
  </w:num>
  <w:num w:numId="23" w16cid:durableId="1658656439">
    <w:abstractNumId w:val="2"/>
  </w:num>
  <w:num w:numId="24" w16cid:durableId="734398702">
    <w:abstractNumId w:val="1"/>
  </w:num>
  <w:num w:numId="25" w16cid:durableId="1722093223">
    <w:abstractNumId w:val="21"/>
  </w:num>
  <w:num w:numId="26" w16cid:durableId="1391801922">
    <w:abstractNumId w:val="10"/>
  </w:num>
  <w:num w:numId="27" w16cid:durableId="2117554651">
    <w:abstractNumId w:val="11"/>
  </w:num>
  <w:num w:numId="28" w16cid:durableId="1408725702">
    <w:abstractNumId w:val="14"/>
  </w:num>
  <w:num w:numId="29" w16cid:durableId="10686753">
    <w:abstractNumId w:val="5"/>
  </w:num>
  <w:num w:numId="30" w16cid:durableId="12611799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53C36"/>
    <w:rsid w:val="0008738F"/>
    <w:rsid w:val="000C64C4"/>
    <w:rsid w:val="000D3D9B"/>
    <w:rsid w:val="000D7AC7"/>
    <w:rsid w:val="001114E2"/>
    <w:rsid w:val="0011496A"/>
    <w:rsid w:val="00131735"/>
    <w:rsid w:val="00137330"/>
    <w:rsid w:val="00137FA0"/>
    <w:rsid w:val="00155E3A"/>
    <w:rsid w:val="0016032F"/>
    <w:rsid w:val="00164814"/>
    <w:rsid w:val="00165F0B"/>
    <w:rsid w:val="00173215"/>
    <w:rsid w:val="001879F6"/>
    <w:rsid w:val="001A2D0F"/>
    <w:rsid w:val="001C0148"/>
    <w:rsid w:val="001C757E"/>
    <w:rsid w:val="001D747D"/>
    <w:rsid w:val="001E1393"/>
    <w:rsid w:val="001F2752"/>
    <w:rsid w:val="001F398D"/>
    <w:rsid w:val="00200E73"/>
    <w:rsid w:val="0020390F"/>
    <w:rsid w:val="00222858"/>
    <w:rsid w:val="002402C7"/>
    <w:rsid w:val="002406E5"/>
    <w:rsid w:val="00245B40"/>
    <w:rsid w:val="00261AF9"/>
    <w:rsid w:val="00264926"/>
    <w:rsid w:val="002762E2"/>
    <w:rsid w:val="00284096"/>
    <w:rsid w:val="00285C75"/>
    <w:rsid w:val="002A1CB4"/>
    <w:rsid w:val="002A35E0"/>
    <w:rsid w:val="002B127C"/>
    <w:rsid w:val="002C696D"/>
    <w:rsid w:val="002D0430"/>
    <w:rsid w:val="002F6EFB"/>
    <w:rsid w:val="003001DE"/>
    <w:rsid w:val="00305374"/>
    <w:rsid w:val="00312646"/>
    <w:rsid w:val="00344F44"/>
    <w:rsid w:val="00375E80"/>
    <w:rsid w:val="003936EC"/>
    <w:rsid w:val="003A6996"/>
    <w:rsid w:val="003B159A"/>
    <w:rsid w:val="003C31B9"/>
    <w:rsid w:val="003C64F8"/>
    <w:rsid w:val="003D1582"/>
    <w:rsid w:val="003D7E4C"/>
    <w:rsid w:val="003E41C2"/>
    <w:rsid w:val="003F40EA"/>
    <w:rsid w:val="004446E4"/>
    <w:rsid w:val="00444C82"/>
    <w:rsid w:val="00447BC4"/>
    <w:rsid w:val="00450E70"/>
    <w:rsid w:val="00455F84"/>
    <w:rsid w:val="00460646"/>
    <w:rsid w:val="00495970"/>
    <w:rsid w:val="0049772C"/>
    <w:rsid w:val="004A18C7"/>
    <w:rsid w:val="004A2CCD"/>
    <w:rsid w:val="004B502C"/>
    <w:rsid w:val="004B624C"/>
    <w:rsid w:val="004C6691"/>
    <w:rsid w:val="00547319"/>
    <w:rsid w:val="00552614"/>
    <w:rsid w:val="00552EEB"/>
    <w:rsid w:val="005673A6"/>
    <w:rsid w:val="005743BB"/>
    <w:rsid w:val="005765D7"/>
    <w:rsid w:val="00580421"/>
    <w:rsid w:val="00581423"/>
    <w:rsid w:val="00587248"/>
    <w:rsid w:val="0059327A"/>
    <w:rsid w:val="005A117F"/>
    <w:rsid w:val="005B5D0B"/>
    <w:rsid w:val="005E662D"/>
    <w:rsid w:val="005F07EA"/>
    <w:rsid w:val="005F27DC"/>
    <w:rsid w:val="006167AF"/>
    <w:rsid w:val="006202FD"/>
    <w:rsid w:val="00626058"/>
    <w:rsid w:val="006269C9"/>
    <w:rsid w:val="00637E0F"/>
    <w:rsid w:val="00654D95"/>
    <w:rsid w:val="00663523"/>
    <w:rsid w:val="006709D7"/>
    <w:rsid w:val="006A47CF"/>
    <w:rsid w:val="006A5C6D"/>
    <w:rsid w:val="006A69BF"/>
    <w:rsid w:val="006C2518"/>
    <w:rsid w:val="006D3835"/>
    <w:rsid w:val="006E00F1"/>
    <w:rsid w:val="006E4C28"/>
    <w:rsid w:val="006E68AE"/>
    <w:rsid w:val="00706847"/>
    <w:rsid w:val="007112C1"/>
    <w:rsid w:val="00711DF4"/>
    <w:rsid w:val="00713E4B"/>
    <w:rsid w:val="0075006C"/>
    <w:rsid w:val="00750B36"/>
    <w:rsid w:val="00751CF2"/>
    <w:rsid w:val="00754ABD"/>
    <w:rsid w:val="00765E46"/>
    <w:rsid w:val="00766CC5"/>
    <w:rsid w:val="00787C43"/>
    <w:rsid w:val="0079139F"/>
    <w:rsid w:val="007D70A1"/>
    <w:rsid w:val="007D70A9"/>
    <w:rsid w:val="007E6947"/>
    <w:rsid w:val="008038EA"/>
    <w:rsid w:val="008132E8"/>
    <w:rsid w:val="008201EF"/>
    <w:rsid w:val="00823407"/>
    <w:rsid w:val="00836EAA"/>
    <w:rsid w:val="0084749C"/>
    <w:rsid w:val="008554C9"/>
    <w:rsid w:val="00872CE6"/>
    <w:rsid w:val="008B0184"/>
    <w:rsid w:val="008B1382"/>
    <w:rsid w:val="008C17D3"/>
    <w:rsid w:val="008C5A24"/>
    <w:rsid w:val="008C5D02"/>
    <w:rsid w:val="008D1B44"/>
    <w:rsid w:val="008D2156"/>
    <w:rsid w:val="008D2649"/>
    <w:rsid w:val="008D401B"/>
    <w:rsid w:val="008E55DE"/>
    <w:rsid w:val="008F2608"/>
    <w:rsid w:val="009003E3"/>
    <w:rsid w:val="0090568D"/>
    <w:rsid w:val="009125C9"/>
    <w:rsid w:val="00913879"/>
    <w:rsid w:val="00917661"/>
    <w:rsid w:val="00921D49"/>
    <w:rsid w:val="00970E5D"/>
    <w:rsid w:val="00973AEE"/>
    <w:rsid w:val="0097701C"/>
    <w:rsid w:val="00980A65"/>
    <w:rsid w:val="009B1395"/>
    <w:rsid w:val="009C7036"/>
    <w:rsid w:val="009D16AF"/>
    <w:rsid w:val="009D288E"/>
    <w:rsid w:val="009D2DC6"/>
    <w:rsid w:val="009F00E7"/>
    <w:rsid w:val="009F459E"/>
    <w:rsid w:val="00A236E7"/>
    <w:rsid w:val="00A238E7"/>
    <w:rsid w:val="00A25E70"/>
    <w:rsid w:val="00A33765"/>
    <w:rsid w:val="00A465C9"/>
    <w:rsid w:val="00A621CE"/>
    <w:rsid w:val="00A624FA"/>
    <w:rsid w:val="00A63269"/>
    <w:rsid w:val="00A71851"/>
    <w:rsid w:val="00A71A46"/>
    <w:rsid w:val="00A815C4"/>
    <w:rsid w:val="00A848A4"/>
    <w:rsid w:val="00A92377"/>
    <w:rsid w:val="00AA09D0"/>
    <w:rsid w:val="00AA11E5"/>
    <w:rsid w:val="00AA1A89"/>
    <w:rsid w:val="00AA2BAA"/>
    <w:rsid w:val="00AB17E2"/>
    <w:rsid w:val="00AB29ED"/>
    <w:rsid w:val="00AC2205"/>
    <w:rsid w:val="00AC4716"/>
    <w:rsid w:val="00AD01B7"/>
    <w:rsid w:val="00AE3C7F"/>
    <w:rsid w:val="00AE4BD8"/>
    <w:rsid w:val="00B00766"/>
    <w:rsid w:val="00B24516"/>
    <w:rsid w:val="00B30883"/>
    <w:rsid w:val="00B3222A"/>
    <w:rsid w:val="00B4388F"/>
    <w:rsid w:val="00B53B7D"/>
    <w:rsid w:val="00B63237"/>
    <w:rsid w:val="00B67D3E"/>
    <w:rsid w:val="00B93E34"/>
    <w:rsid w:val="00BB252C"/>
    <w:rsid w:val="00BD2E04"/>
    <w:rsid w:val="00C11980"/>
    <w:rsid w:val="00C47462"/>
    <w:rsid w:val="00C64C10"/>
    <w:rsid w:val="00C811AE"/>
    <w:rsid w:val="00C960DC"/>
    <w:rsid w:val="00CA405B"/>
    <w:rsid w:val="00CB6E54"/>
    <w:rsid w:val="00CD3AA2"/>
    <w:rsid w:val="00CD4B83"/>
    <w:rsid w:val="00CD517D"/>
    <w:rsid w:val="00CE2C27"/>
    <w:rsid w:val="00CF1772"/>
    <w:rsid w:val="00CF52D7"/>
    <w:rsid w:val="00D02C75"/>
    <w:rsid w:val="00D0715A"/>
    <w:rsid w:val="00D10AE9"/>
    <w:rsid w:val="00D10E22"/>
    <w:rsid w:val="00D13D2C"/>
    <w:rsid w:val="00D2116F"/>
    <w:rsid w:val="00D3463F"/>
    <w:rsid w:val="00D44867"/>
    <w:rsid w:val="00D72DAF"/>
    <w:rsid w:val="00D75914"/>
    <w:rsid w:val="00D81980"/>
    <w:rsid w:val="00DA6B56"/>
    <w:rsid w:val="00DC2F94"/>
    <w:rsid w:val="00DC4AE3"/>
    <w:rsid w:val="00DD3D9E"/>
    <w:rsid w:val="00DD7908"/>
    <w:rsid w:val="00DF12A1"/>
    <w:rsid w:val="00DF1C5F"/>
    <w:rsid w:val="00E019E7"/>
    <w:rsid w:val="00E062E9"/>
    <w:rsid w:val="00E26E09"/>
    <w:rsid w:val="00E27C3E"/>
    <w:rsid w:val="00E432F3"/>
    <w:rsid w:val="00E43E0B"/>
    <w:rsid w:val="00E53A4F"/>
    <w:rsid w:val="00E74B1A"/>
    <w:rsid w:val="00E812D7"/>
    <w:rsid w:val="00E81AAC"/>
    <w:rsid w:val="00E82297"/>
    <w:rsid w:val="00E83392"/>
    <w:rsid w:val="00E854D4"/>
    <w:rsid w:val="00E86C3D"/>
    <w:rsid w:val="00EA3965"/>
    <w:rsid w:val="00EB3CFE"/>
    <w:rsid w:val="00EE2E95"/>
    <w:rsid w:val="00EF1560"/>
    <w:rsid w:val="00EF39FD"/>
    <w:rsid w:val="00EF46DF"/>
    <w:rsid w:val="00F06842"/>
    <w:rsid w:val="00F107FD"/>
    <w:rsid w:val="00F111C9"/>
    <w:rsid w:val="00F201FF"/>
    <w:rsid w:val="00F26092"/>
    <w:rsid w:val="00F352C7"/>
    <w:rsid w:val="00F3765D"/>
    <w:rsid w:val="00F571F1"/>
    <w:rsid w:val="00F646FA"/>
    <w:rsid w:val="00FB64A8"/>
    <w:rsid w:val="00FD621F"/>
    <w:rsid w:val="00FE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9F459E"/>
    <w:rPr>
      <w:color w:val="808080"/>
    </w:rPr>
  </w:style>
  <w:style w:type="table" w:styleId="TableGrid">
    <w:name w:val="Table Grid"/>
    <w:basedOn w:val="TableNormal"/>
    <w:rsid w:val="009B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7FA0"/>
    <w:rPr>
      <w:color w:val="605E5C"/>
      <w:shd w:val="clear" w:color="auto" w:fill="E1DFDD"/>
    </w:rPr>
  </w:style>
  <w:style w:type="paragraph" w:styleId="Revision">
    <w:name w:val="Revision"/>
    <w:hidden/>
    <w:uiPriority w:val="99"/>
    <w:semiHidden/>
    <w:rsid w:val="00637E0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4866">
      <w:bodyDiv w:val="1"/>
      <w:marLeft w:val="0"/>
      <w:marRight w:val="0"/>
      <w:marTop w:val="0"/>
      <w:marBottom w:val="0"/>
      <w:divBdr>
        <w:top w:val="none" w:sz="0" w:space="0" w:color="auto"/>
        <w:left w:val="none" w:sz="0" w:space="0" w:color="auto"/>
        <w:bottom w:val="none" w:sz="0" w:space="0" w:color="auto"/>
        <w:right w:val="none" w:sz="0" w:space="0" w:color="auto"/>
      </w:divBdr>
      <w:divsChild>
        <w:div w:id="528953207">
          <w:marLeft w:val="0"/>
          <w:marRight w:val="0"/>
          <w:marTop w:val="0"/>
          <w:marBottom w:val="0"/>
          <w:divBdr>
            <w:top w:val="none" w:sz="0" w:space="0" w:color="auto"/>
            <w:left w:val="none" w:sz="0" w:space="0" w:color="auto"/>
            <w:bottom w:val="none" w:sz="0" w:space="0" w:color="auto"/>
            <w:right w:val="none" w:sz="0" w:space="0" w:color="auto"/>
          </w:divBdr>
        </w:div>
      </w:divsChild>
    </w:div>
    <w:div w:id="77332936">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sChild>
        <w:div w:id="547765867">
          <w:marLeft w:val="0"/>
          <w:marRight w:val="0"/>
          <w:marTop w:val="0"/>
          <w:marBottom w:val="0"/>
          <w:divBdr>
            <w:top w:val="none" w:sz="0" w:space="0" w:color="auto"/>
            <w:left w:val="none" w:sz="0" w:space="0" w:color="auto"/>
            <w:bottom w:val="none" w:sz="0" w:space="0" w:color="auto"/>
            <w:right w:val="none" w:sz="0" w:space="0" w:color="auto"/>
          </w:divBdr>
        </w:div>
      </w:divsChild>
    </w:div>
    <w:div w:id="635180952">
      <w:bodyDiv w:val="1"/>
      <w:marLeft w:val="0"/>
      <w:marRight w:val="0"/>
      <w:marTop w:val="0"/>
      <w:marBottom w:val="0"/>
      <w:divBdr>
        <w:top w:val="none" w:sz="0" w:space="0" w:color="auto"/>
        <w:left w:val="none" w:sz="0" w:space="0" w:color="auto"/>
        <w:bottom w:val="none" w:sz="0" w:space="0" w:color="auto"/>
        <w:right w:val="none" w:sz="0" w:space="0" w:color="auto"/>
      </w:divBdr>
      <w:divsChild>
        <w:div w:id="1963222107">
          <w:marLeft w:val="0"/>
          <w:marRight w:val="0"/>
          <w:marTop w:val="0"/>
          <w:marBottom w:val="0"/>
          <w:divBdr>
            <w:top w:val="none" w:sz="0" w:space="0" w:color="auto"/>
            <w:left w:val="none" w:sz="0" w:space="0" w:color="auto"/>
            <w:bottom w:val="none" w:sz="0" w:space="0" w:color="auto"/>
            <w:right w:val="none" w:sz="0" w:space="0" w:color="auto"/>
          </w:divBdr>
        </w:div>
      </w:divsChild>
    </w:div>
    <w:div w:id="669723839">
      <w:bodyDiv w:val="1"/>
      <w:marLeft w:val="0"/>
      <w:marRight w:val="0"/>
      <w:marTop w:val="0"/>
      <w:marBottom w:val="0"/>
      <w:divBdr>
        <w:top w:val="none" w:sz="0" w:space="0" w:color="auto"/>
        <w:left w:val="none" w:sz="0" w:space="0" w:color="auto"/>
        <w:bottom w:val="none" w:sz="0" w:space="0" w:color="auto"/>
        <w:right w:val="none" w:sz="0" w:space="0" w:color="auto"/>
      </w:divBdr>
      <w:divsChild>
        <w:div w:id="1502282293">
          <w:marLeft w:val="0"/>
          <w:marRight w:val="0"/>
          <w:marTop w:val="0"/>
          <w:marBottom w:val="0"/>
          <w:divBdr>
            <w:top w:val="none" w:sz="0" w:space="0" w:color="auto"/>
            <w:left w:val="none" w:sz="0" w:space="0" w:color="auto"/>
            <w:bottom w:val="none" w:sz="0" w:space="0" w:color="auto"/>
            <w:right w:val="none" w:sz="0" w:space="0" w:color="auto"/>
          </w:divBdr>
        </w:div>
      </w:divsChild>
    </w:div>
    <w:div w:id="979378814">
      <w:bodyDiv w:val="1"/>
      <w:marLeft w:val="0"/>
      <w:marRight w:val="0"/>
      <w:marTop w:val="0"/>
      <w:marBottom w:val="0"/>
      <w:divBdr>
        <w:top w:val="none" w:sz="0" w:space="0" w:color="auto"/>
        <w:left w:val="none" w:sz="0" w:space="0" w:color="auto"/>
        <w:bottom w:val="none" w:sz="0" w:space="0" w:color="auto"/>
        <w:right w:val="none" w:sz="0" w:space="0" w:color="auto"/>
      </w:divBdr>
      <w:divsChild>
        <w:div w:id="209266549">
          <w:marLeft w:val="0"/>
          <w:marRight w:val="0"/>
          <w:marTop w:val="0"/>
          <w:marBottom w:val="0"/>
          <w:divBdr>
            <w:top w:val="none" w:sz="0" w:space="0" w:color="auto"/>
            <w:left w:val="none" w:sz="0" w:space="0" w:color="auto"/>
            <w:bottom w:val="none" w:sz="0" w:space="0" w:color="auto"/>
            <w:right w:val="none" w:sz="0" w:space="0" w:color="auto"/>
          </w:divBdr>
        </w:div>
      </w:divsChild>
    </w:div>
    <w:div w:id="983118906">
      <w:bodyDiv w:val="1"/>
      <w:marLeft w:val="0"/>
      <w:marRight w:val="0"/>
      <w:marTop w:val="0"/>
      <w:marBottom w:val="0"/>
      <w:divBdr>
        <w:top w:val="none" w:sz="0" w:space="0" w:color="auto"/>
        <w:left w:val="none" w:sz="0" w:space="0" w:color="auto"/>
        <w:bottom w:val="none" w:sz="0" w:space="0" w:color="auto"/>
        <w:right w:val="none" w:sz="0" w:space="0" w:color="auto"/>
      </w:divBdr>
      <w:divsChild>
        <w:div w:id="1756828942">
          <w:marLeft w:val="0"/>
          <w:marRight w:val="0"/>
          <w:marTop w:val="0"/>
          <w:marBottom w:val="0"/>
          <w:divBdr>
            <w:top w:val="none" w:sz="0" w:space="0" w:color="auto"/>
            <w:left w:val="none" w:sz="0" w:space="0" w:color="auto"/>
            <w:bottom w:val="none" w:sz="0" w:space="0" w:color="auto"/>
            <w:right w:val="none" w:sz="0" w:space="0" w:color="auto"/>
          </w:divBdr>
        </w:div>
      </w:divsChild>
    </w:div>
    <w:div w:id="1294407863">
      <w:bodyDiv w:val="1"/>
      <w:marLeft w:val="0"/>
      <w:marRight w:val="0"/>
      <w:marTop w:val="0"/>
      <w:marBottom w:val="0"/>
      <w:divBdr>
        <w:top w:val="none" w:sz="0" w:space="0" w:color="auto"/>
        <w:left w:val="none" w:sz="0" w:space="0" w:color="auto"/>
        <w:bottom w:val="none" w:sz="0" w:space="0" w:color="auto"/>
        <w:right w:val="none" w:sz="0" w:space="0" w:color="auto"/>
      </w:divBdr>
      <w:divsChild>
        <w:div w:id="1614243299">
          <w:marLeft w:val="0"/>
          <w:marRight w:val="0"/>
          <w:marTop w:val="0"/>
          <w:marBottom w:val="0"/>
          <w:divBdr>
            <w:top w:val="none" w:sz="0" w:space="0" w:color="auto"/>
            <w:left w:val="none" w:sz="0" w:space="0" w:color="auto"/>
            <w:bottom w:val="none" w:sz="0" w:space="0" w:color="auto"/>
            <w:right w:val="none" w:sz="0" w:space="0" w:color="auto"/>
          </w:divBdr>
        </w:div>
      </w:divsChild>
    </w:div>
    <w:div w:id="1370954176">
      <w:bodyDiv w:val="1"/>
      <w:marLeft w:val="0"/>
      <w:marRight w:val="0"/>
      <w:marTop w:val="0"/>
      <w:marBottom w:val="0"/>
      <w:divBdr>
        <w:top w:val="none" w:sz="0" w:space="0" w:color="auto"/>
        <w:left w:val="none" w:sz="0" w:space="0" w:color="auto"/>
        <w:bottom w:val="none" w:sz="0" w:space="0" w:color="auto"/>
        <w:right w:val="none" w:sz="0" w:space="0" w:color="auto"/>
      </w:divBdr>
      <w:divsChild>
        <w:div w:id="2048872632">
          <w:marLeft w:val="0"/>
          <w:marRight w:val="0"/>
          <w:marTop w:val="0"/>
          <w:marBottom w:val="0"/>
          <w:divBdr>
            <w:top w:val="none" w:sz="0" w:space="0" w:color="auto"/>
            <w:left w:val="none" w:sz="0" w:space="0" w:color="auto"/>
            <w:bottom w:val="none" w:sz="0" w:space="0" w:color="auto"/>
            <w:right w:val="none" w:sz="0" w:space="0" w:color="auto"/>
          </w:divBdr>
        </w:div>
      </w:divsChild>
    </w:div>
    <w:div w:id="1418672700">
      <w:bodyDiv w:val="1"/>
      <w:marLeft w:val="0"/>
      <w:marRight w:val="0"/>
      <w:marTop w:val="0"/>
      <w:marBottom w:val="0"/>
      <w:divBdr>
        <w:top w:val="none" w:sz="0" w:space="0" w:color="auto"/>
        <w:left w:val="none" w:sz="0" w:space="0" w:color="auto"/>
        <w:bottom w:val="none" w:sz="0" w:space="0" w:color="auto"/>
        <w:right w:val="none" w:sz="0" w:space="0" w:color="auto"/>
      </w:divBdr>
      <w:divsChild>
        <w:div w:id="132870351">
          <w:marLeft w:val="0"/>
          <w:marRight w:val="0"/>
          <w:marTop w:val="0"/>
          <w:marBottom w:val="0"/>
          <w:divBdr>
            <w:top w:val="none" w:sz="0" w:space="0" w:color="auto"/>
            <w:left w:val="none" w:sz="0" w:space="0" w:color="auto"/>
            <w:bottom w:val="none" w:sz="0" w:space="0" w:color="auto"/>
            <w:right w:val="none" w:sz="0" w:space="0" w:color="auto"/>
          </w:divBdr>
        </w:div>
      </w:divsChild>
    </w:div>
    <w:div w:id="1617323508">
      <w:bodyDiv w:val="1"/>
      <w:marLeft w:val="0"/>
      <w:marRight w:val="0"/>
      <w:marTop w:val="0"/>
      <w:marBottom w:val="0"/>
      <w:divBdr>
        <w:top w:val="none" w:sz="0" w:space="0" w:color="auto"/>
        <w:left w:val="none" w:sz="0" w:space="0" w:color="auto"/>
        <w:bottom w:val="none" w:sz="0" w:space="0" w:color="auto"/>
        <w:right w:val="none" w:sz="0" w:space="0" w:color="auto"/>
      </w:divBdr>
      <w:divsChild>
        <w:div w:id="96172140">
          <w:marLeft w:val="0"/>
          <w:marRight w:val="0"/>
          <w:marTop w:val="0"/>
          <w:marBottom w:val="0"/>
          <w:divBdr>
            <w:top w:val="none" w:sz="0" w:space="0" w:color="auto"/>
            <w:left w:val="none" w:sz="0" w:space="0" w:color="auto"/>
            <w:bottom w:val="none" w:sz="0" w:space="0" w:color="auto"/>
            <w:right w:val="none" w:sz="0" w:space="0" w:color="auto"/>
          </w:divBdr>
        </w:div>
      </w:divsChild>
    </w:div>
    <w:div w:id="1663698864">
      <w:bodyDiv w:val="1"/>
      <w:marLeft w:val="0"/>
      <w:marRight w:val="0"/>
      <w:marTop w:val="0"/>
      <w:marBottom w:val="0"/>
      <w:divBdr>
        <w:top w:val="none" w:sz="0" w:space="0" w:color="auto"/>
        <w:left w:val="none" w:sz="0" w:space="0" w:color="auto"/>
        <w:bottom w:val="none" w:sz="0" w:space="0" w:color="auto"/>
        <w:right w:val="none" w:sz="0" w:space="0" w:color="auto"/>
      </w:divBdr>
      <w:divsChild>
        <w:div w:id="2048093995">
          <w:marLeft w:val="0"/>
          <w:marRight w:val="0"/>
          <w:marTop w:val="0"/>
          <w:marBottom w:val="0"/>
          <w:divBdr>
            <w:top w:val="none" w:sz="0" w:space="0" w:color="auto"/>
            <w:left w:val="none" w:sz="0" w:space="0" w:color="auto"/>
            <w:bottom w:val="none" w:sz="0" w:space="0" w:color="auto"/>
            <w:right w:val="none" w:sz="0" w:space="0" w:color="auto"/>
          </w:divBdr>
        </w:div>
      </w:divsChild>
    </w:div>
    <w:div w:id="1904632854">
      <w:bodyDiv w:val="1"/>
      <w:marLeft w:val="0"/>
      <w:marRight w:val="0"/>
      <w:marTop w:val="0"/>
      <w:marBottom w:val="0"/>
      <w:divBdr>
        <w:top w:val="none" w:sz="0" w:space="0" w:color="auto"/>
        <w:left w:val="none" w:sz="0" w:space="0" w:color="auto"/>
        <w:bottom w:val="none" w:sz="0" w:space="0" w:color="auto"/>
        <w:right w:val="none" w:sz="0" w:space="0" w:color="auto"/>
      </w:divBdr>
      <w:divsChild>
        <w:div w:id="2123650153">
          <w:marLeft w:val="0"/>
          <w:marRight w:val="0"/>
          <w:marTop w:val="0"/>
          <w:marBottom w:val="0"/>
          <w:divBdr>
            <w:top w:val="none" w:sz="0" w:space="0" w:color="auto"/>
            <w:left w:val="none" w:sz="0" w:space="0" w:color="auto"/>
            <w:bottom w:val="none" w:sz="0" w:space="0" w:color="auto"/>
            <w:right w:val="none" w:sz="0" w:space="0" w:color="auto"/>
          </w:divBdr>
        </w:div>
      </w:divsChild>
    </w:div>
    <w:div w:id="1993750514">
      <w:bodyDiv w:val="1"/>
      <w:marLeft w:val="0"/>
      <w:marRight w:val="0"/>
      <w:marTop w:val="0"/>
      <w:marBottom w:val="0"/>
      <w:divBdr>
        <w:top w:val="none" w:sz="0" w:space="0" w:color="auto"/>
        <w:left w:val="none" w:sz="0" w:space="0" w:color="auto"/>
        <w:bottom w:val="none" w:sz="0" w:space="0" w:color="auto"/>
        <w:right w:val="none" w:sz="0" w:space="0" w:color="auto"/>
      </w:divBdr>
      <w:divsChild>
        <w:div w:id="1630471328">
          <w:marLeft w:val="0"/>
          <w:marRight w:val="0"/>
          <w:marTop w:val="0"/>
          <w:marBottom w:val="0"/>
          <w:divBdr>
            <w:top w:val="none" w:sz="0" w:space="0" w:color="auto"/>
            <w:left w:val="none" w:sz="0" w:space="0" w:color="auto"/>
            <w:bottom w:val="none" w:sz="0" w:space="0" w:color="auto"/>
            <w:right w:val="none" w:sz="0" w:space="0" w:color="auto"/>
          </w:divBdr>
        </w:div>
      </w:divsChild>
    </w:div>
    <w:div w:id="1998070928">
      <w:bodyDiv w:val="1"/>
      <w:marLeft w:val="0"/>
      <w:marRight w:val="0"/>
      <w:marTop w:val="0"/>
      <w:marBottom w:val="0"/>
      <w:divBdr>
        <w:top w:val="none" w:sz="0" w:space="0" w:color="auto"/>
        <w:left w:val="none" w:sz="0" w:space="0" w:color="auto"/>
        <w:bottom w:val="none" w:sz="0" w:space="0" w:color="auto"/>
        <w:right w:val="none" w:sz="0" w:space="0" w:color="auto"/>
      </w:divBdr>
      <w:divsChild>
        <w:div w:id="73350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C84E4-847C-4D04-A843-0D531DD7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177</TotalTime>
  <Pages>6</Pages>
  <Words>2344</Words>
  <Characters>13365</Characters>
  <Application>Microsoft Office Word</Application>
  <DocSecurity>0</DocSecurity>
  <Lines>111</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revision>27</cp:revision>
  <cp:lastPrinted>2004-12-17T09:20:00Z</cp:lastPrinted>
  <dcterms:created xsi:type="dcterms:W3CDTF">2023-11-29T10:32:00Z</dcterms:created>
  <dcterms:modified xsi:type="dcterms:W3CDTF">2023-12-21T10:53:00Z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