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45745177" w:rsidR="00DD3D9E" w:rsidRPr="00B4388F" w:rsidRDefault="000F6BB7">
      <w:pPr>
        <w:pStyle w:val="Els-Title"/>
        <w:rPr>
          <w:color w:val="000000" w:themeColor="text1"/>
        </w:rPr>
      </w:pPr>
      <w:r w:rsidRPr="000F6BB7">
        <w:rPr>
          <w:color w:val="000000" w:themeColor="text1"/>
        </w:rPr>
        <w:t xml:space="preserve">PULPO: A Technosphere-Wide Lifecycle Optimization Package </w:t>
      </w:r>
    </w:p>
    <w:p w14:paraId="4C1C579D" w14:textId="77777777" w:rsidR="000F6BB7" w:rsidRDefault="000F6BB7">
      <w:pPr>
        <w:pStyle w:val="Els-Affiliation"/>
        <w:rPr>
          <w:i w:val="0"/>
          <w:sz w:val="22"/>
          <w:lang w:val="es-ES"/>
        </w:rPr>
      </w:pPr>
      <w:r w:rsidRPr="000F6BB7">
        <w:rPr>
          <w:i w:val="0"/>
          <w:sz w:val="22"/>
          <w:lang w:val="es-ES"/>
        </w:rPr>
        <w:t>Fabian Lechtenberg</w:t>
      </w:r>
      <w:r w:rsidRPr="000F6BB7">
        <w:rPr>
          <w:i w:val="0"/>
          <w:sz w:val="22"/>
          <w:vertAlign w:val="superscript"/>
          <w:lang w:val="es-ES"/>
        </w:rPr>
        <w:t>a</w:t>
      </w:r>
      <w:r w:rsidRPr="000F6BB7">
        <w:rPr>
          <w:i w:val="0"/>
          <w:sz w:val="22"/>
          <w:lang w:val="es-ES"/>
        </w:rPr>
        <w:t>, Robert Istrate</w:t>
      </w:r>
      <w:r w:rsidRPr="000F6BB7">
        <w:rPr>
          <w:i w:val="0"/>
          <w:sz w:val="22"/>
          <w:vertAlign w:val="superscript"/>
          <w:lang w:val="es-ES"/>
        </w:rPr>
        <w:t>b</w:t>
      </w:r>
      <w:r w:rsidRPr="000F6BB7">
        <w:rPr>
          <w:i w:val="0"/>
          <w:sz w:val="22"/>
          <w:lang w:val="es-ES"/>
        </w:rPr>
        <w:t>, Antonio Espuña</w:t>
      </w:r>
      <w:r w:rsidRPr="000F6BB7">
        <w:rPr>
          <w:i w:val="0"/>
          <w:sz w:val="22"/>
          <w:vertAlign w:val="superscript"/>
          <w:lang w:val="es-ES"/>
        </w:rPr>
        <w:t>a</w:t>
      </w:r>
      <w:r w:rsidRPr="000F6BB7">
        <w:rPr>
          <w:i w:val="0"/>
          <w:sz w:val="22"/>
          <w:lang w:val="es-ES"/>
        </w:rPr>
        <w:t>, Moisès Graells</w:t>
      </w:r>
      <w:r w:rsidRPr="000F6BB7">
        <w:rPr>
          <w:i w:val="0"/>
          <w:sz w:val="22"/>
          <w:vertAlign w:val="superscript"/>
          <w:lang w:val="es-ES"/>
        </w:rPr>
        <w:t>a</w:t>
      </w:r>
      <w:r w:rsidRPr="000F6BB7">
        <w:rPr>
          <w:i w:val="0"/>
          <w:sz w:val="22"/>
          <w:lang w:val="es-ES"/>
        </w:rPr>
        <w:t>, Gonzalo Guillén-Gosálbez</w:t>
      </w:r>
      <w:r w:rsidRPr="000F6BB7">
        <w:rPr>
          <w:i w:val="0"/>
          <w:sz w:val="22"/>
          <w:vertAlign w:val="superscript"/>
          <w:lang w:val="es-ES"/>
        </w:rPr>
        <w:t>c*</w:t>
      </w:r>
    </w:p>
    <w:p w14:paraId="41F0B947" w14:textId="3D31B0C6" w:rsidR="00FF73D1" w:rsidRPr="00FF73D1" w:rsidRDefault="00800ABE" w:rsidP="00FF73D1">
      <w:pPr>
        <w:pStyle w:val="Els-Affiliation"/>
        <w:spacing w:after="120"/>
      </w:pPr>
      <w:r w:rsidRPr="00800ABE">
        <w:rPr>
          <w:vertAlign w:val="superscript"/>
        </w:rPr>
        <w:t>a</w:t>
      </w:r>
      <w:r>
        <w:t>Department of Chemical Engineering, Universitat Politècnica de Catalunya, Barcelona, Spain</w:t>
      </w:r>
      <w:r>
        <w:br/>
      </w:r>
      <w:r w:rsidRPr="00800ABE">
        <w:rPr>
          <w:vertAlign w:val="superscript"/>
        </w:rPr>
        <w:t>b</w:t>
      </w:r>
      <w:r>
        <w:t>Institute of Environmental Sciences (CML), Leiden University, Leiden, Netherlands</w:t>
      </w:r>
      <w:r>
        <w:br/>
      </w:r>
      <w:r w:rsidRPr="00800ABE">
        <w:rPr>
          <w:vertAlign w:val="superscript"/>
        </w:rPr>
        <w:t>c</w:t>
      </w:r>
      <w:r>
        <w:t>Department of Chemistry and Applied Bioscience, Institute for Chemical and Bioengineering, ETH Zurich, Zurich,Switzerland</w:t>
      </w:r>
      <w:r w:rsidR="00FF73D1">
        <w:br/>
      </w:r>
      <w:hyperlink r:id="rId8" w:history="1">
        <w:r w:rsidR="00FF73D1" w:rsidRPr="0000771B">
          <w:rPr>
            <w:rStyle w:val="Hyperlink"/>
          </w:rPr>
          <w:t>*gonzalo.guillen.gosalbez@chem.ethz.ch</w:t>
        </w:r>
      </w:hyperlink>
      <w:r w:rsidR="00FF73D1" w:rsidRPr="00FF73D1">
        <w:t xml:space="preserve"> </w:t>
      </w:r>
    </w:p>
    <w:p w14:paraId="144DE684" w14:textId="7C862970" w:rsidR="008D2649" w:rsidRDefault="008D2649" w:rsidP="008D2649">
      <w:pPr>
        <w:pStyle w:val="Els-Abstract"/>
      </w:pPr>
      <w:r>
        <w:t>Abstract</w:t>
      </w:r>
    </w:p>
    <w:p w14:paraId="1D9AB930" w14:textId="49579108" w:rsidR="001C6DD5" w:rsidRPr="009641A6" w:rsidRDefault="00B0592F" w:rsidP="008D2649">
      <w:pPr>
        <w:pStyle w:val="Els-body-text"/>
        <w:spacing w:after="120"/>
        <w:rPr>
          <w:lang w:val="en-GB"/>
        </w:rPr>
      </w:pPr>
      <w:r w:rsidRPr="00B0592F">
        <w:rPr>
          <w:lang w:val="en-GB"/>
        </w:rPr>
        <w:t xml:space="preserve">Life cycle optimization (LCO) </w:t>
      </w:r>
      <w:proofErr w:type="gramStart"/>
      <w:r w:rsidRPr="00B0592F">
        <w:rPr>
          <w:lang w:val="en-GB"/>
        </w:rPr>
        <w:t>couples</w:t>
      </w:r>
      <w:proofErr w:type="gramEnd"/>
      <w:r w:rsidRPr="00B0592F">
        <w:rPr>
          <w:lang w:val="en-GB"/>
        </w:rPr>
        <w:t xml:space="preserve"> multi-objective optimization with life cycle assessment (LCA). It is often carried out by adding LCA-based linear equations to the mathematical formulation, which are parameterized with data retrieved from environmental databases. While the mathematical model is used to optimize the foreground system (</w:t>
      </w:r>
      <w:r w:rsidR="009B5F6C" w:rsidRPr="00B0592F">
        <w:rPr>
          <w:lang w:val="en-GB"/>
        </w:rPr>
        <w:t>i.e.,</w:t>
      </w:r>
      <w:r w:rsidRPr="00B0592F">
        <w:rPr>
          <w:lang w:val="en-GB"/>
        </w:rPr>
        <w:t xml:space="preserve"> the system of decisions over which the modeller has a degree of control), its influences on the parameters of the background system (</w:t>
      </w:r>
      <w:r w:rsidR="009B5F6C" w:rsidRPr="00B0592F">
        <w:rPr>
          <w:lang w:val="en-GB"/>
        </w:rPr>
        <w:t>i.e.,</w:t>
      </w:r>
      <w:r w:rsidRPr="00B0592F">
        <w:rPr>
          <w:lang w:val="en-GB"/>
        </w:rPr>
        <w:t xml:space="preserve"> the system which provides inputs to the foreground such as electricity or transport) are omitted in this approach</w:t>
      </w:r>
      <w:r w:rsidR="00354AD4">
        <w:rPr>
          <w:lang w:val="en-GB"/>
        </w:rPr>
        <w:t>. The main limitation of this approach is that it does not allow to optimize decisions in the background system (i.e., those activities in the supply chains of the main processes in the foreground system). Moreover, in large-scale assessments, technological changes in the foreground will affect the background, making LCO less accurate unless full integration between optimization and LCA is attained. To overcome these shortcomings, t</w:t>
      </w:r>
      <w:r w:rsidR="00F8035E" w:rsidRPr="009641A6">
        <w:rPr>
          <w:lang w:val="en-GB"/>
        </w:rPr>
        <w:t xml:space="preserve">his </w:t>
      </w:r>
      <w:r w:rsidR="00DD14C0">
        <w:rPr>
          <w:lang w:val="en-GB"/>
        </w:rPr>
        <w:t>work</w:t>
      </w:r>
      <w:r w:rsidR="00F8035E" w:rsidRPr="009641A6">
        <w:rPr>
          <w:lang w:val="en-GB"/>
        </w:rPr>
        <w:t xml:space="preserve"> introduces PULPO</w:t>
      </w:r>
      <w:r w:rsidR="00643FF6">
        <w:rPr>
          <w:lang w:val="en-GB"/>
        </w:rPr>
        <w:t>,</w:t>
      </w:r>
      <w:r w:rsidR="00F8035E" w:rsidRPr="009641A6">
        <w:rPr>
          <w:lang w:val="en-GB"/>
        </w:rPr>
        <w:t xml:space="preserve"> a novel</w:t>
      </w:r>
      <w:r w:rsidR="004B4A32">
        <w:rPr>
          <w:lang w:val="en-GB"/>
        </w:rPr>
        <w:t xml:space="preserve"> </w:t>
      </w:r>
      <w:r w:rsidR="00F8035E" w:rsidRPr="009641A6">
        <w:rPr>
          <w:lang w:val="en-GB"/>
        </w:rPr>
        <w:t>framework integrating mathematical optimization with</w:t>
      </w:r>
      <w:r w:rsidR="002F33DA">
        <w:rPr>
          <w:lang w:val="en-GB"/>
        </w:rPr>
        <w:t xml:space="preserve"> </w:t>
      </w:r>
      <w:r w:rsidR="00354AD4">
        <w:rPr>
          <w:lang w:val="en-GB"/>
        </w:rPr>
        <w:t>LCA</w:t>
      </w:r>
      <w:r w:rsidR="002F33DA">
        <w:rPr>
          <w:lang w:val="en-GB"/>
        </w:rPr>
        <w:t xml:space="preserve">. </w:t>
      </w:r>
      <w:r w:rsidR="00C43D7C">
        <w:rPr>
          <w:lang w:val="en-GB"/>
        </w:rPr>
        <w:t>Building upon</w:t>
      </w:r>
      <w:r w:rsidR="00F8035E" w:rsidRPr="009641A6">
        <w:rPr>
          <w:lang w:val="en-GB"/>
        </w:rPr>
        <w:t xml:space="preserve"> </w:t>
      </w:r>
      <w:r w:rsidR="003A3A9D">
        <w:rPr>
          <w:lang w:val="en-GB"/>
        </w:rPr>
        <w:t>open-source tools</w:t>
      </w:r>
      <w:r w:rsidR="00F8035E" w:rsidRPr="009641A6">
        <w:rPr>
          <w:lang w:val="en-GB"/>
        </w:rPr>
        <w:t xml:space="preserve">, </w:t>
      </w:r>
      <w:r w:rsidR="00354AD4">
        <w:rPr>
          <w:lang w:val="en-GB"/>
        </w:rPr>
        <w:t>PULPO</w:t>
      </w:r>
      <w:r w:rsidR="00354AD4" w:rsidRPr="009641A6">
        <w:rPr>
          <w:lang w:val="en-GB"/>
        </w:rPr>
        <w:t xml:space="preserve"> </w:t>
      </w:r>
      <w:r w:rsidR="00F8035E" w:rsidRPr="009641A6">
        <w:rPr>
          <w:lang w:val="en-GB"/>
        </w:rPr>
        <w:t xml:space="preserve">allows for </w:t>
      </w:r>
      <w:r w:rsidR="001A6389">
        <w:rPr>
          <w:lang w:val="en-GB"/>
        </w:rPr>
        <w:t>concurrent</w:t>
      </w:r>
      <w:r w:rsidR="00F8035E" w:rsidRPr="009641A6">
        <w:rPr>
          <w:lang w:val="en-GB"/>
        </w:rPr>
        <w:t xml:space="preserve"> optimization of </w:t>
      </w:r>
      <w:r w:rsidR="001A6389">
        <w:rPr>
          <w:lang w:val="en-GB"/>
        </w:rPr>
        <w:t>foreground</w:t>
      </w:r>
      <w:r w:rsidR="00F8035E" w:rsidRPr="009641A6">
        <w:rPr>
          <w:lang w:val="en-GB"/>
        </w:rPr>
        <w:t xml:space="preserve"> and </w:t>
      </w:r>
      <w:r w:rsidR="001A6389">
        <w:rPr>
          <w:lang w:val="en-GB"/>
        </w:rPr>
        <w:t>background</w:t>
      </w:r>
      <w:r w:rsidR="00354AD4">
        <w:rPr>
          <w:lang w:val="en-GB"/>
        </w:rPr>
        <w:t xml:space="preserve"> decisions</w:t>
      </w:r>
      <w:r w:rsidR="001A6389">
        <w:rPr>
          <w:lang w:val="en-GB"/>
        </w:rPr>
        <w:t xml:space="preserve">, accounting for feedback loops between </w:t>
      </w:r>
      <w:r w:rsidR="00354AD4">
        <w:rPr>
          <w:lang w:val="en-GB"/>
        </w:rPr>
        <w:t>them</w:t>
      </w:r>
      <w:r w:rsidR="00F8035E" w:rsidRPr="009641A6">
        <w:rPr>
          <w:lang w:val="en-GB"/>
        </w:rPr>
        <w:t>.</w:t>
      </w:r>
      <w:r w:rsidR="00665A7A">
        <w:rPr>
          <w:lang w:val="en-GB"/>
        </w:rPr>
        <w:t xml:space="preserve"> </w:t>
      </w:r>
      <w:r w:rsidR="00F8035E" w:rsidRPr="009641A6">
        <w:rPr>
          <w:lang w:val="en-GB"/>
        </w:rPr>
        <w:t xml:space="preserve">A case study on sustainable methanol production demonstrates PULPO's effectiveness in </w:t>
      </w:r>
      <w:r w:rsidR="006E4CC8">
        <w:rPr>
          <w:lang w:val="en-GB"/>
        </w:rPr>
        <w:t>designing constrained</w:t>
      </w:r>
      <w:r w:rsidR="005D417C">
        <w:rPr>
          <w:lang w:val="en-GB"/>
        </w:rPr>
        <w:t xml:space="preserve"> and coupled</w:t>
      </w:r>
      <w:r w:rsidR="006E4CC8">
        <w:rPr>
          <w:lang w:val="en-GB"/>
        </w:rPr>
        <w:t xml:space="preserve"> global supply chains</w:t>
      </w:r>
      <w:r w:rsidR="00354AD4">
        <w:rPr>
          <w:lang w:val="en-GB"/>
        </w:rPr>
        <w:t xml:space="preserve"> considering a range of impact categories</w:t>
      </w:r>
      <w:r w:rsidR="00F84771">
        <w:rPr>
          <w:lang w:val="en-GB"/>
        </w:rPr>
        <w:t>.</w:t>
      </w:r>
    </w:p>
    <w:p w14:paraId="41A21498" w14:textId="1DE0C4AD" w:rsidR="009641A6" w:rsidRDefault="008D2649" w:rsidP="00FF73D1">
      <w:pPr>
        <w:spacing w:after="20"/>
        <w:jc w:val="both"/>
        <w:rPr>
          <w:lang w:val="en-US"/>
        </w:rPr>
      </w:pPr>
      <w:r>
        <w:rPr>
          <w:b/>
          <w:bCs/>
        </w:rPr>
        <w:t>Keywords</w:t>
      </w:r>
      <w:r>
        <w:t>:</w:t>
      </w:r>
      <w:r w:rsidR="00FF73D1" w:rsidRPr="007047CA">
        <w:rPr>
          <w:lang w:val="en-US"/>
        </w:rPr>
        <w:t xml:space="preserve"> methanol, supply chain, carbon capture and utilization, open</w:t>
      </w:r>
      <w:r w:rsidR="00A1154C">
        <w:rPr>
          <w:lang w:val="en-US"/>
        </w:rPr>
        <w:noBreakHyphen/>
      </w:r>
      <w:r w:rsidR="00FF73D1" w:rsidRPr="007047CA">
        <w:rPr>
          <w:lang w:val="en-US"/>
        </w:rPr>
        <w:t>source</w:t>
      </w:r>
    </w:p>
    <w:p w14:paraId="144DE689" w14:textId="077B7324" w:rsidR="008D2649" w:rsidRDefault="008812E1" w:rsidP="008D2649">
      <w:pPr>
        <w:pStyle w:val="Els-1storder-head"/>
      </w:pPr>
      <w:r>
        <w:t>Introduction</w:t>
      </w:r>
    </w:p>
    <w:p w14:paraId="2C1AB41A" w14:textId="452E7B6A" w:rsidR="00B0592F" w:rsidRDefault="001A2D31" w:rsidP="008812E1">
      <w:pPr>
        <w:pStyle w:val="Els-body-text"/>
      </w:pPr>
      <w:r>
        <w:t xml:space="preserve">In Process Systems Engineering, LCA indicators have been integrated into process and supply chain optimization problems to quantify trade-offs between economic and environmental performance, facilitating sustainable decision-making </w:t>
      </w:r>
      <w:r w:rsidR="00BB6DC3">
        <w:t>(Ferdous et al., 2023)</w:t>
      </w:r>
      <w:r>
        <w:t>.</w:t>
      </w:r>
      <w:r w:rsidR="003C2A13">
        <w:t xml:space="preserve"> </w:t>
      </w:r>
      <w:r>
        <w:t xml:space="preserve">However, process modeling </w:t>
      </w:r>
      <w:r w:rsidR="006E0921">
        <w:t>&amp;</w:t>
      </w:r>
      <w:r>
        <w:t xml:space="preserve"> optimization and LCA are often combined offline, that is, LCA data </w:t>
      </w:r>
      <w:r w:rsidR="003C25A1">
        <w:t>expressed via</w:t>
      </w:r>
      <w:r>
        <w:t xml:space="preserve"> eco-vectors representing the impact </w:t>
      </w:r>
      <w:r w:rsidR="003C25A1">
        <w:t>linked to mass and energy flows in the foreground</w:t>
      </w:r>
      <w:r>
        <w:t xml:space="preserve"> (e.g., 1</w:t>
      </w:r>
      <w:r w:rsidR="00A506F8">
        <w:t> </w:t>
      </w:r>
      <w:r>
        <w:t xml:space="preserve">kWh, 1 kg of chemical) are retrieved </w:t>
      </w:r>
      <w:r>
        <w:lastRenderedPageBreak/>
        <w:t xml:space="preserve">from environmental databases and incorporated into mathematical models as parameters. Here, the mathematical model represents the foreground system (e.g., chemical plant, supply chain) over which we have a certain level of control (i.e., through the optimization of the decision variables). Meanwhile, LCA data denote the background system (surrounding activities providing inputs to the foreground system) that is often assumed to be fixed </w:t>
      </w:r>
      <w:r w:rsidR="003708A2">
        <w:t>during</w:t>
      </w:r>
      <w:r>
        <w:t xml:space="preserve"> optimization. This approach omits feedback loops between both systems. For example, when optimizing the power system of a country, the carbon footprint of power technologies will depend on the composition of the power mix, which needs to be decided by the optimization model. </w:t>
      </w:r>
      <w:r w:rsidR="00F01D5B">
        <w:t>In the process systems realm, the optimization of a supply chain model including</w:t>
      </w:r>
      <w:r w:rsidR="00163B66">
        <w:t xml:space="preserve"> degrees of freedom such as</w:t>
      </w:r>
      <w:r w:rsidR="00F01D5B">
        <w:t xml:space="preserve"> capacity and planning decisions may constitute the foreground decisions. </w:t>
      </w:r>
      <w:r w:rsidR="002974EB">
        <w:t xml:space="preserve">The static environmental indicators obtained from the background (surrounding activities such as electricity, transport, storage etc.) parameterize the linear LCA-based equations in the model. </w:t>
      </w:r>
    </w:p>
    <w:p w14:paraId="04A99CB7" w14:textId="3B2C4332" w:rsidR="00776033" w:rsidRDefault="001A2D31" w:rsidP="008812E1">
      <w:pPr>
        <w:pStyle w:val="Els-body-text"/>
      </w:pPr>
      <w:r>
        <w:t xml:space="preserve">Following the traditional offline integration, such a model would assume fixed carbon footprints of the power technologies, omitting </w:t>
      </w:r>
      <w:r w:rsidR="003C25A1">
        <w:t>the coupling</w:t>
      </w:r>
      <w:r>
        <w:t xml:space="preserve"> between foreground and background activities. Moreover, using fixed background data provides limited insights into how changes in the </w:t>
      </w:r>
      <w:r w:rsidR="00D965F3">
        <w:t>T</w:t>
      </w:r>
      <w:r>
        <w:t>echnosphere, in which the foreground system is embedded and with which it displays strong links, will affect the outcome of the environmental analysis.</w:t>
      </w:r>
    </w:p>
    <w:p w14:paraId="354A563A" w14:textId="3654E6A6" w:rsidR="00506CDF" w:rsidRDefault="003C25A1" w:rsidP="008812E1">
      <w:pPr>
        <w:pStyle w:val="Els-body-text"/>
      </w:pPr>
      <w:r>
        <w:t>In a seminal work,</w:t>
      </w:r>
      <w:r w:rsidR="00C64B4C">
        <w:t xml:space="preserve"> </w:t>
      </w:r>
      <w:proofErr w:type="spellStart"/>
      <w:r w:rsidR="001A2D31">
        <w:t>Kätelhön</w:t>
      </w:r>
      <w:proofErr w:type="spellEnd"/>
      <w:r w:rsidR="001A2D31">
        <w:t xml:space="preserve"> and coworkers introduced the Technology Choice Model (TCM) for optimizing technology choices in production systems </w:t>
      </w:r>
      <w:r w:rsidR="006F65C4">
        <w:t>(</w:t>
      </w:r>
      <w:proofErr w:type="spellStart"/>
      <w:r w:rsidR="006F65C4" w:rsidRPr="004B5522">
        <w:t>Kätelhön</w:t>
      </w:r>
      <w:proofErr w:type="spellEnd"/>
      <w:r w:rsidR="006F65C4">
        <w:t xml:space="preserve"> et al., 2016)</w:t>
      </w:r>
      <w:r>
        <w:t>, which</w:t>
      </w:r>
      <w:r w:rsidR="00500974">
        <w:t>, so far,</w:t>
      </w:r>
      <w:r>
        <w:t xml:space="preserve"> </w:t>
      </w:r>
      <w:r w:rsidR="00DB0607">
        <w:t>used</w:t>
      </w:r>
      <w:r w:rsidR="00FD5F23">
        <w:t xml:space="preserve"> </w:t>
      </w:r>
      <w:r w:rsidR="001A2D31">
        <w:t>aggregat</w:t>
      </w:r>
      <w:r w:rsidR="00DB0607">
        <w:t>ed</w:t>
      </w:r>
      <w:r w:rsidR="001A2D31">
        <w:t xml:space="preserve"> unit processes in the underlying linear programming approach, omitting potential feedback effects between the choices made across the product supply chain</w:t>
      </w:r>
      <w:r>
        <w:t>. Inspired by this work</w:t>
      </w:r>
      <w:r w:rsidR="001A2D31">
        <w:t>,</w:t>
      </w:r>
      <w:r>
        <w:t xml:space="preserve"> here we present </w:t>
      </w:r>
      <w:r w:rsidR="00FD5F23">
        <w:t xml:space="preserve">a </w:t>
      </w:r>
      <w:r>
        <w:t>framework to carry out</w:t>
      </w:r>
      <w:r w:rsidR="001A2D31">
        <w:t xml:space="preserve"> </w:t>
      </w:r>
      <w:r>
        <w:t>Technosphere</w:t>
      </w:r>
      <w:r w:rsidR="00824C5D">
        <w:noBreakHyphen/>
      </w:r>
      <w:r w:rsidR="001A2D31">
        <w:t xml:space="preserve">wide </w:t>
      </w:r>
      <w:r>
        <w:t>optimizations attaining full integration between optimization and LCA</w:t>
      </w:r>
      <w:r w:rsidR="001A2D31">
        <w:t>.</w:t>
      </w:r>
      <w:r w:rsidR="00FD5F23">
        <w:t xml:space="preserve"> This is achieved through the development of PULPO, a user-friendly open-source tool which instantiates</w:t>
      </w:r>
      <w:r w:rsidR="000D4FDC">
        <w:t xml:space="preserve"> and solves</w:t>
      </w:r>
      <w:r w:rsidR="00FD5F23">
        <w:t xml:space="preserve"> </w:t>
      </w:r>
      <w:r w:rsidR="00826879">
        <w:t>user defined</w:t>
      </w:r>
      <w:r w:rsidR="00FD5F23">
        <w:t xml:space="preserve"> </w:t>
      </w:r>
      <w:r w:rsidR="007C2DC3">
        <w:t>LCO</w:t>
      </w:r>
      <w:r w:rsidR="00FD5F23">
        <w:t xml:space="preserve"> problem</w:t>
      </w:r>
      <w:r w:rsidR="00826879">
        <w:t>s</w:t>
      </w:r>
      <w:r w:rsidR="00FD5F23">
        <w:t xml:space="preserve">, </w:t>
      </w:r>
      <w:r w:rsidR="00AD2232">
        <w:t>integrating</w:t>
      </w:r>
      <w:r w:rsidR="00FD5F23">
        <w:t xml:space="preserve">, opposed to the original TCM approach, complete </w:t>
      </w:r>
      <w:r w:rsidR="007C2DC3">
        <w:t>L</w:t>
      </w:r>
      <w:r w:rsidR="007C2DC3" w:rsidRPr="008812E1">
        <w:t xml:space="preserve">ife </w:t>
      </w:r>
      <w:r w:rsidR="007C2DC3">
        <w:t>C</w:t>
      </w:r>
      <w:r w:rsidR="007C2DC3" w:rsidRPr="008812E1">
        <w:t xml:space="preserve">ycle </w:t>
      </w:r>
      <w:r w:rsidR="007C2DC3">
        <w:t>I</w:t>
      </w:r>
      <w:r w:rsidR="007C2DC3" w:rsidRPr="008812E1">
        <w:t>nventory</w:t>
      </w:r>
      <w:r w:rsidR="007C2DC3">
        <w:t xml:space="preserve"> (LCI) </w:t>
      </w:r>
      <w:r w:rsidR="00FD5F23">
        <w:t>database</w:t>
      </w:r>
      <w:r w:rsidR="00AD2232">
        <w:t xml:space="preserve">s </w:t>
      </w:r>
      <w:r w:rsidR="009D565F">
        <w:t>instead of aggregated</w:t>
      </w:r>
      <w:r w:rsidR="0078505F">
        <w:t xml:space="preserve"> unit</w:t>
      </w:r>
      <w:r w:rsidR="009D565F">
        <w:t xml:space="preserve"> </w:t>
      </w:r>
      <w:r w:rsidR="008D08DD">
        <w:t>processes</w:t>
      </w:r>
      <w:r w:rsidR="00FD5F23">
        <w:t xml:space="preserve">. </w:t>
      </w:r>
    </w:p>
    <w:p w14:paraId="144DE699" w14:textId="2ADD8B00" w:rsidR="008D2649" w:rsidRDefault="008812E1" w:rsidP="008D2649">
      <w:pPr>
        <w:pStyle w:val="Els-1storder-head"/>
      </w:pPr>
      <w:r>
        <w:t>Methodology</w:t>
      </w:r>
    </w:p>
    <w:p w14:paraId="0107AA75" w14:textId="28769189" w:rsidR="00B50EF4" w:rsidRDefault="003C25A1" w:rsidP="00B50EF4">
      <w:pPr>
        <w:pStyle w:val="Els-body-text"/>
      </w:pPr>
      <w:r>
        <w:t>Here w</w:t>
      </w:r>
      <w:r w:rsidR="008812E1" w:rsidRPr="008812E1">
        <w:t xml:space="preserve">e introduce PULPO </w:t>
      </w:r>
      <w:r w:rsidR="005A59E1">
        <w:t>(</w:t>
      </w:r>
      <w:r w:rsidR="008812E1" w:rsidRPr="00CF16B2">
        <w:rPr>
          <w:i/>
          <w:iCs/>
        </w:rPr>
        <w:t>Python-based User</w:t>
      </w:r>
      <w:r w:rsidR="005B7860">
        <w:rPr>
          <w:i/>
          <w:iCs/>
        </w:rPr>
        <w:t>-</w:t>
      </w:r>
      <w:r w:rsidR="008812E1" w:rsidRPr="00CF16B2">
        <w:rPr>
          <w:i/>
          <w:iCs/>
        </w:rPr>
        <w:t>defined Lifecycle Product Optimization</w:t>
      </w:r>
      <w:r w:rsidR="005A59E1">
        <w:t>)</w:t>
      </w:r>
      <w:r w:rsidR="008812E1" w:rsidRPr="008812E1">
        <w:t xml:space="preserve">. This innovative framework forges a direct link between mathematical optimization and LCA. PULPO seamlessly integrates full </w:t>
      </w:r>
      <w:r w:rsidR="004C2FF7">
        <w:t>LCI</w:t>
      </w:r>
      <w:r w:rsidR="008812E1" w:rsidRPr="008812E1">
        <w:t xml:space="preserve"> databases</w:t>
      </w:r>
      <w:r w:rsidR="00627A96">
        <w:t xml:space="preserve"> in the optimization problem</w:t>
      </w:r>
      <w:r>
        <w:t xml:space="preserve">, enabling </w:t>
      </w:r>
      <w:r w:rsidR="008812E1" w:rsidRPr="008812E1">
        <w:t>the concurrent optimization of both foreground and background systems</w:t>
      </w:r>
      <w:r w:rsidR="00374954">
        <w:t>.</w:t>
      </w:r>
      <w:r w:rsidR="002E3FA7">
        <w:t xml:space="preserve"> </w:t>
      </w:r>
      <w:r w:rsidR="00AF46CE">
        <w:t xml:space="preserve">Figure </w:t>
      </w:r>
      <w:r w:rsidR="00AF46CE" w:rsidRPr="001B33AA">
        <w:rPr>
          <w:color w:val="0070C0"/>
        </w:rPr>
        <w:t>1</w:t>
      </w:r>
      <w:r w:rsidR="00AF46CE">
        <w:t xml:space="preserve"> illustrates the implemented flow of information</w:t>
      </w:r>
      <w:r w:rsidR="004C2FF7">
        <w:t xml:space="preserve"> and connectivity to other packages</w:t>
      </w:r>
      <w:r w:rsidR="00AF46CE">
        <w:t xml:space="preserve">. </w:t>
      </w:r>
      <w:r w:rsidR="00B50EF4">
        <w:t>To define the optimization problem, the user is required to establish several key components</w:t>
      </w:r>
      <w:r>
        <w:t>. First,</w:t>
      </w:r>
      <w:r w:rsidR="00B50EF4">
        <w:t xml:space="preserve"> the functional unit that represents the </w:t>
      </w:r>
      <w:r w:rsidR="004E53FC">
        <w:t xml:space="preserve">production </w:t>
      </w:r>
      <w:r w:rsidR="00B50EF4">
        <w:t>system’s primary output</w:t>
      </w:r>
      <w:r>
        <w:t>. Second,</w:t>
      </w:r>
      <w:r w:rsidR="00B50EF4">
        <w:t xml:space="preserve"> the objective function</w:t>
      </w:r>
      <w:r>
        <w:t xml:space="preserve"> based on</w:t>
      </w:r>
      <w:r w:rsidR="00B50EF4">
        <w:t xml:space="preserve"> a selected method for evaluating environmental impact</w:t>
      </w:r>
      <w:r w:rsidR="005B168E">
        <w:t>s</w:t>
      </w:r>
      <w:r w:rsidR="00B50EF4">
        <w:t>.</w:t>
      </w:r>
      <w:r w:rsidR="009034FA">
        <w:t xml:space="preserve"> </w:t>
      </w:r>
      <w:r>
        <w:t>Third,</w:t>
      </w:r>
      <w:r w:rsidR="00B50EF4">
        <w:t xml:space="preserve"> </w:t>
      </w:r>
      <w:r>
        <w:t>the</w:t>
      </w:r>
      <w:r w:rsidR="00B50EF4">
        <w:t xml:space="preserve"> potential </w:t>
      </w:r>
      <w:r w:rsidR="00DE5121">
        <w:t xml:space="preserve">process </w:t>
      </w:r>
      <w:r w:rsidR="00046201">
        <w:t>choices</w:t>
      </w:r>
      <w:r w:rsidR="00B50EF4">
        <w:t xml:space="preserve">, which could involve technological or geographical </w:t>
      </w:r>
      <w:r>
        <w:t>decisions across supply chains in the Technosphere</w:t>
      </w:r>
      <w:r w:rsidR="00B50EF4">
        <w:t>.</w:t>
      </w:r>
      <w:r w:rsidR="009034FA">
        <w:t xml:space="preserve"> </w:t>
      </w:r>
      <w:r>
        <w:t>Lastly, a</w:t>
      </w:r>
      <w:r w:rsidR="00B50EF4">
        <w:t xml:space="preserve">dditional </w:t>
      </w:r>
      <w:r>
        <w:t xml:space="preserve">constraints shall </w:t>
      </w:r>
      <w:r w:rsidR="00C15115">
        <w:t>be imposed,</w:t>
      </w:r>
      <w:r w:rsidR="00B50EF4">
        <w:t xml:space="preserve"> like limits on production </w:t>
      </w:r>
      <w:r w:rsidR="00A844C3">
        <w:t>capacity</w:t>
      </w:r>
      <w:r w:rsidR="00B50EF4">
        <w:t xml:space="preserve"> or the availability of resources.</w:t>
      </w:r>
    </w:p>
    <w:p w14:paraId="27830A64" w14:textId="6C50869B" w:rsidR="00776033" w:rsidRDefault="00B50EF4" w:rsidP="00B50EF4">
      <w:pPr>
        <w:pStyle w:val="Els-body-text"/>
      </w:pPr>
      <w:r>
        <w:t xml:space="preserve">Utilizing the data management features of the </w:t>
      </w:r>
      <w:r w:rsidR="00F23925">
        <w:t>“</w:t>
      </w:r>
      <w:r>
        <w:t>brightway2</w:t>
      </w:r>
      <w:r w:rsidR="00F23925">
        <w:t xml:space="preserve">” </w:t>
      </w:r>
      <w:r w:rsidR="00D32D07">
        <w:t xml:space="preserve">package </w:t>
      </w:r>
      <w:r w:rsidR="00ED6022">
        <w:t>(</w:t>
      </w:r>
      <w:proofErr w:type="spellStart"/>
      <w:r w:rsidR="00ED6022">
        <w:t>Mutel</w:t>
      </w:r>
      <w:proofErr w:type="spellEnd"/>
      <w:r w:rsidR="00ED6022">
        <w:t>, 2017)</w:t>
      </w:r>
      <w:r>
        <w:t xml:space="preserve">, users have the flexibility to include new </w:t>
      </w:r>
      <w:r w:rsidR="007F44F5">
        <w:t>processes</w:t>
      </w:r>
      <w:r>
        <w:t xml:space="preserve"> into the </w:t>
      </w:r>
      <w:r w:rsidR="006B3A16">
        <w:t>LCI</w:t>
      </w:r>
      <w:r w:rsidR="00461A2C">
        <w:t xml:space="preserve"> </w:t>
      </w:r>
      <w:r w:rsidR="00FF3314">
        <w:t>database</w:t>
      </w:r>
      <w:r>
        <w:t xml:space="preserve">. These </w:t>
      </w:r>
      <w:r w:rsidR="00461A2C">
        <w:t>LCIs</w:t>
      </w:r>
      <w:r>
        <w:t xml:space="preserve"> are extensive and serve as the foundational framework for constructing the superstructure</w:t>
      </w:r>
      <w:r w:rsidR="003C25A1">
        <w:t xml:space="preserve"> optimized in PULPO</w:t>
      </w:r>
      <w:r>
        <w:t xml:space="preserve">. </w:t>
      </w:r>
      <w:r w:rsidR="00124508">
        <w:t xml:space="preserve">Such </w:t>
      </w:r>
      <w:r w:rsidR="002C23AA">
        <w:t xml:space="preserve">a </w:t>
      </w:r>
      <w:r>
        <w:t>superstructure is tailored based on the user</w:t>
      </w:r>
      <w:r w:rsidR="009B0DE7">
        <w:noBreakHyphen/>
      </w:r>
      <w:r>
        <w:t>defined options and limitations.</w:t>
      </w:r>
      <w:r w:rsidR="0045304D">
        <w:t xml:space="preserve"> </w:t>
      </w:r>
      <w:r>
        <w:t xml:space="preserve">The PULPO package encapsulates all this data into </w:t>
      </w:r>
      <w:r>
        <w:lastRenderedPageBreak/>
        <w:t>a</w:t>
      </w:r>
      <w:r w:rsidR="008835A1">
        <w:t xml:space="preserve"> “</w:t>
      </w:r>
      <w:proofErr w:type="spellStart"/>
      <w:r w:rsidR="008835A1">
        <w:t>pyomo</w:t>
      </w:r>
      <w:proofErr w:type="spellEnd"/>
      <w:r w:rsidR="008835A1">
        <w:t xml:space="preserve">” </w:t>
      </w:r>
      <w:r w:rsidR="00690881">
        <w:t xml:space="preserve">optimization </w:t>
      </w:r>
      <w:r w:rsidR="008835A1">
        <w:t>model</w:t>
      </w:r>
      <w:r w:rsidR="00856900">
        <w:t xml:space="preserve"> (Bynum et al., 2021)</w:t>
      </w:r>
      <w:r>
        <w:t xml:space="preserve">, which can be </w:t>
      </w:r>
      <w:r w:rsidR="00852AD2">
        <w:t>solved</w:t>
      </w:r>
      <w:r>
        <w:t xml:space="preserve"> </w:t>
      </w:r>
      <w:r w:rsidR="00852AD2">
        <w:t>with</w:t>
      </w:r>
      <w:r>
        <w:t xml:space="preserve"> open-source solvers, </w:t>
      </w:r>
      <w:r w:rsidR="003C25A1">
        <w:t>e.g.,</w:t>
      </w:r>
      <w:r>
        <w:t xml:space="preserve"> </w:t>
      </w:r>
      <w:proofErr w:type="spellStart"/>
      <w:r>
        <w:t>HiGHS</w:t>
      </w:r>
      <w:proofErr w:type="spellEnd"/>
      <w:r>
        <w:t xml:space="preserve">, or through integration with proprietary software like GAMS. </w:t>
      </w: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tblGrid>
      <w:tr w:rsidR="00C528AC" w14:paraId="7ED4A126" w14:textId="77777777" w:rsidTr="00C528AC">
        <w:trPr>
          <w:trHeight w:val="3277"/>
        </w:trPr>
        <w:tc>
          <w:tcPr>
            <w:tcW w:w="7303" w:type="dxa"/>
            <w:vAlign w:val="center"/>
          </w:tcPr>
          <w:p w14:paraId="034B67AA" w14:textId="77777777" w:rsidR="00C528AC" w:rsidRDefault="00C528AC" w:rsidP="008A5D3B">
            <w:pPr>
              <w:pStyle w:val="Els-body-text"/>
              <w:jc w:val="center"/>
            </w:pPr>
            <w:r>
              <w:rPr>
                <w:noProof/>
              </w:rPr>
              <w:drawing>
                <wp:inline distT="0" distB="0" distL="0" distR="0" wp14:anchorId="3CA2D533" wp14:editId="4DD9D507">
                  <wp:extent cx="4424929" cy="20613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7621" cy="2062556"/>
                          </a:xfrm>
                          <a:prstGeom prst="rect">
                            <a:avLst/>
                          </a:prstGeom>
                          <a:noFill/>
                          <a:ln>
                            <a:noFill/>
                          </a:ln>
                        </pic:spPr>
                      </pic:pic>
                    </a:graphicData>
                  </a:graphic>
                </wp:inline>
              </w:drawing>
            </w:r>
          </w:p>
        </w:tc>
      </w:tr>
      <w:tr w:rsidR="00C528AC" w14:paraId="62A3AFF9" w14:textId="77777777" w:rsidTr="00C528AC">
        <w:trPr>
          <w:trHeight w:val="277"/>
        </w:trPr>
        <w:tc>
          <w:tcPr>
            <w:tcW w:w="7303" w:type="dxa"/>
          </w:tcPr>
          <w:p w14:paraId="3E371815" w14:textId="77777777" w:rsidR="00C528AC" w:rsidRDefault="00C528AC" w:rsidP="008A5D3B">
            <w:pPr>
              <w:pStyle w:val="Els-body-text"/>
            </w:pPr>
            <w:r>
              <w:t xml:space="preserve">Figure </w:t>
            </w:r>
            <w:r w:rsidRPr="00A7473D">
              <w:rPr>
                <w:color w:val="0070C0"/>
              </w:rPr>
              <w:t>1</w:t>
            </w:r>
            <w:r>
              <w:t>. PULPO information and workflow.</w:t>
            </w:r>
          </w:p>
        </w:tc>
      </w:tr>
    </w:tbl>
    <w:p w14:paraId="55DA00ED" w14:textId="77777777" w:rsidR="007C4B9B" w:rsidRDefault="007C4B9B" w:rsidP="004E53FC">
      <w:pPr>
        <w:pStyle w:val="Els-body-text"/>
      </w:pPr>
    </w:p>
    <w:p w14:paraId="2DC7FA28" w14:textId="019A47F6" w:rsidR="000772AD" w:rsidRDefault="00294551" w:rsidP="004E53FC">
      <w:pPr>
        <w:pStyle w:val="Els-body-text"/>
      </w:pPr>
      <w:r>
        <w:t>The underlying optimization</w:t>
      </w:r>
      <w:r w:rsidR="003C25A1">
        <w:t xml:space="preserve"> framework, inspired on the</w:t>
      </w:r>
      <w:r>
        <w:t xml:space="preserve"> </w:t>
      </w:r>
      <w:r w:rsidR="006E43A4">
        <w:t>TCM</w:t>
      </w:r>
      <w:r>
        <w:t xml:space="preserve"> </w:t>
      </w:r>
      <w:r w:rsidR="003C25A1">
        <w:t xml:space="preserve">approach </w:t>
      </w:r>
      <w:r w:rsidR="004B5522">
        <w:t>(</w:t>
      </w:r>
      <w:proofErr w:type="spellStart"/>
      <w:r w:rsidR="004B5522" w:rsidRPr="004B5522">
        <w:t>Kätelhön</w:t>
      </w:r>
      <w:proofErr w:type="spellEnd"/>
      <w:r w:rsidR="004B5522">
        <w:t xml:space="preserve"> et al</w:t>
      </w:r>
      <w:r w:rsidR="004B621F">
        <w:t>.</w:t>
      </w:r>
      <w:r w:rsidR="004B5522">
        <w:t>, 2016)</w:t>
      </w:r>
      <w:r w:rsidR="003C25A1">
        <w:t>,</w:t>
      </w:r>
      <w:r>
        <w:t xml:space="preserve"> is summarized in </w:t>
      </w:r>
      <w:r w:rsidR="0062135C" w:rsidRPr="00953B9A">
        <w:t>(OP</w:t>
      </w:r>
      <w:r w:rsidR="0062135C" w:rsidRPr="0062135C">
        <w:rPr>
          <w:color w:val="0070C0"/>
        </w:rPr>
        <w:t>1</w:t>
      </w:r>
      <w:r w:rsidR="0062135C" w:rsidRPr="00953B9A">
        <w:t>)</w:t>
      </w:r>
      <w:r>
        <w:t xml:space="preserve">. </w:t>
      </w:r>
      <w:r w:rsidR="00431D9F">
        <w:t>A noteworthy</w:t>
      </w:r>
      <w:r w:rsidR="004E53FC">
        <w:t xml:space="preserve"> conceptual</w:t>
      </w:r>
      <w:r w:rsidR="00431D9F">
        <w:t xml:space="preserve"> extension is the “</w:t>
      </w:r>
      <m:oMath>
        <m:r>
          <w:rPr>
            <w:rFonts w:ascii="Cambria Math" w:eastAsia="Yu Mincho" w:hAnsi="Cambria Math" w:cs="Arial"/>
          </w:rPr>
          <m:t>slack</m:t>
        </m:r>
      </m:oMath>
      <w:r w:rsidR="00431D9F">
        <w:t>”</w:t>
      </w:r>
      <w:r>
        <w:t xml:space="preserve"> vector</w:t>
      </w:r>
      <w:r w:rsidR="00431D9F">
        <w:t>, which</w:t>
      </w:r>
      <w:r>
        <w:t xml:space="preserve"> enables </w:t>
      </w:r>
      <w:r w:rsidR="00A00D52">
        <w:t>the direct specification of final supply instead of final demand values</w:t>
      </w:r>
      <w:r w:rsidR="00850132">
        <w:t>, a</w:t>
      </w:r>
      <w:r w:rsidR="00A43839">
        <w:t xml:space="preserve">n issue </w:t>
      </w:r>
      <w:r w:rsidR="00850132">
        <w:t xml:space="preserve">which has been previously </w:t>
      </w:r>
      <w:r w:rsidR="00C51514">
        <w:t>addressed</w:t>
      </w:r>
      <w:r w:rsidR="00850132">
        <w:t xml:space="preserve"> </w:t>
      </w:r>
      <w:r w:rsidR="002333BE">
        <w:t>via</w:t>
      </w:r>
      <w:r w:rsidR="00850132">
        <w:t xml:space="preserve"> an auxiliar optimization problem </w:t>
      </w:r>
      <w:r w:rsidR="005B7860" w:rsidRPr="005B7860">
        <w:t>(</w:t>
      </w:r>
      <w:proofErr w:type="spellStart"/>
      <w:r w:rsidR="005B7860" w:rsidRPr="005B7860">
        <w:t>Meys</w:t>
      </w:r>
      <w:proofErr w:type="spellEnd"/>
      <w:r w:rsidR="005B7860" w:rsidRPr="005B7860">
        <w:t xml:space="preserve"> et al., 2021)</w:t>
      </w:r>
      <w:r w:rsidR="00850132" w:rsidRPr="005B7860">
        <w:t>.</w:t>
      </w: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6"/>
        <w:gridCol w:w="2029"/>
        <w:gridCol w:w="958"/>
      </w:tblGrid>
      <w:tr w:rsidR="00C51BC0" w:rsidRPr="00953B9A" w14:paraId="387E36AA" w14:textId="77777777" w:rsidTr="001155BB">
        <w:trPr>
          <w:trHeight w:val="523"/>
        </w:trPr>
        <w:tc>
          <w:tcPr>
            <w:tcW w:w="4316" w:type="dxa"/>
            <w:vAlign w:val="bottom"/>
          </w:tcPr>
          <w:p w14:paraId="49B4293B" w14:textId="3BFEBB57" w:rsidR="00C51BC0" w:rsidRPr="00953B9A" w:rsidRDefault="00227BC8" w:rsidP="00C84ECE">
            <w:pPr>
              <w:pStyle w:val="Els-body-text"/>
              <w:jc w:val="left"/>
            </w:pP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e>
                    <m:lim>
                      <m:r>
                        <w:rPr>
                          <w:rFonts w:ascii="Cambria Math" w:hAnsi="Cambria Math"/>
                        </w:rPr>
                        <m:t>s.t.  s,  slack</m:t>
                      </m:r>
                    </m:lim>
                  </m:limLow>
                </m:fName>
                <m:e>
                  <m:r>
                    <w:rPr>
                      <w:rFonts w:ascii="Cambria Math" w:hAnsi="Cambria Math"/>
                    </w:rPr>
                    <m:t>Q⋅B⋅s</m:t>
                  </m:r>
                </m:e>
              </m:func>
            </m:oMath>
            <w:r w:rsidR="00C51BC0" w:rsidRPr="00953B9A">
              <w:t xml:space="preserve"> </w:t>
            </w:r>
          </w:p>
        </w:tc>
        <w:tc>
          <w:tcPr>
            <w:tcW w:w="2029" w:type="dxa"/>
            <w:vAlign w:val="center"/>
          </w:tcPr>
          <w:p w14:paraId="1F9E9873" w14:textId="77777777" w:rsidR="00C51BC0" w:rsidRPr="00953B9A" w:rsidRDefault="00C51BC0" w:rsidP="00C84ECE">
            <w:pPr>
              <w:spacing w:after="100" w:afterAutospacing="1" w:line="480" w:lineRule="auto"/>
            </w:pPr>
          </w:p>
        </w:tc>
        <w:tc>
          <w:tcPr>
            <w:tcW w:w="958" w:type="dxa"/>
            <w:vMerge w:val="restart"/>
            <w:vAlign w:val="center"/>
          </w:tcPr>
          <w:p w14:paraId="224B295A" w14:textId="77777777" w:rsidR="00C51BC0" w:rsidRPr="00953B9A" w:rsidRDefault="00C51BC0" w:rsidP="00C84ECE">
            <w:pPr>
              <w:spacing w:after="100" w:afterAutospacing="1" w:line="480" w:lineRule="auto"/>
              <w:jc w:val="center"/>
            </w:pPr>
            <w:r w:rsidRPr="00953B9A">
              <w:t>(OP</w:t>
            </w:r>
            <w:r w:rsidRPr="00953B9A">
              <w:rPr>
                <w:color w:val="0070C0"/>
              </w:rPr>
              <w:t>1</w:t>
            </w:r>
            <w:r w:rsidRPr="00953B9A">
              <w:t>)</w:t>
            </w:r>
          </w:p>
        </w:tc>
      </w:tr>
      <w:tr w:rsidR="00C51BC0" w:rsidRPr="00953B9A" w14:paraId="682059A2" w14:textId="77777777" w:rsidTr="001155BB">
        <w:trPr>
          <w:trHeight w:val="20"/>
        </w:trPr>
        <w:tc>
          <w:tcPr>
            <w:tcW w:w="4316" w:type="dxa"/>
            <w:vAlign w:val="center"/>
          </w:tcPr>
          <w:p w14:paraId="5D03F0D9" w14:textId="7955E775" w:rsidR="00C51BC0" w:rsidRPr="002737AC" w:rsidRDefault="00C51BC0" w:rsidP="00C84ECE">
            <w:pPr>
              <w:pStyle w:val="Els-body-text"/>
              <w:rPr>
                <w:rFonts w:ascii="Calibri" w:eastAsia="Yu Mincho" w:hAnsi="Calibri" w:cs="Arial"/>
              </w:rPr>
            </w:pPr>
            <m:oMath>
              <m:r>
                <w:rPr>
                  <w:rFonts w:ascii="Cambria Math" w:eastAsia="Yu Mincho" w:hAnsi="Cambria Math" w:cs="Arial"/>
                </w:rPr>
                <m:t>A⋅s=f+slack</m:t>
              </m:r>
            </m:oMath>
            <w:r w:rsidRPr="002737AC">
              <w:rPr>
                <w:rFonts w:ascii="Calibri" w:eastAsia="Yu Mincho" w:hAnsi="Calibri" w:cs="Arial"/>
              </w:rPr>
              <w:t xml:space="preserve"> </w:t>
            </w:r>
          </w:p>
        </w:tc>
        <w:tc>
          <w:tcPr>
            <w:tcW w:w="2029" w:type="dxa"/>
            <w:vAlign w:val="center"/>
          </w:tcPr>
          <w:p w14:paraId="7B3B8D8B" w14:textId="77777777" w:rsidR="00C51BC0" w:rsidRPr="00953B9A" w:rsidRDefault="00C51BC0" w:rsidP="00C84ECE">
            <w:pPr>
              <w:spacing w:after="100" w:afterAutospacing="1" w:line="480" w:lineRule="auto"/>
            </w:pPr>
            <w:r w:rsidRPr="00953B9A">
              <w:t xml:space="preserve"> </w:t>
            </w:r>
          </w:p>
        </w:tc>
        <w:tc>
          <w:tcPr>
            <w:tcW w:w="958" w:type="dxa"/>
            <w:vMerge/>
            <w:vAlign w:val="center"/>
          </w:tcPr>
          <w:p w14:paraId="36B21019" w14:textId="77777777" w:rsidR="00C51BC0" w:rsidRPr="00953B9A" w:rsidRDefault="00C51BC0" w:rsidP="00C84ECE">
            <w:pPr>
              <w:spacing w:after="100" w:afterAutospacing="1" w:line="480" w:lineRule="auto"/>
            </w:pPr>
          </w:p>
        </w:tc>
      </w:tr>
      <w:tr w:rsidR="00C51BC0" w:rsidRPr="00953B9A" w14:paraId="18554C19" w14:textId="77777777" w:rsidTr="001155BB">
        <w:trPr>
          <w:trHeight w:val="20"/>
        </w:trPr>
        <w:tc>
          <w:tcPr>
            <w:tcW w:w="4316" w:type="dxa"/>
            <w:vAlign w:val="center"/>
          </w:tcPr>
          <w:p w14:paraId="3C1B91CA" w14:textId="48C6F4F2" w:rsidR="00C51BC0" w:rsidRPr="002737AC" w:rsidRDefault="00227BC8" w:rsidP="00C84ECE">
            <w:pPr>
              <w:pStyle w:val="Els-body-text"/>
            </w:pPr>
            <m:oMath>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low</m:t>
                  </m:r>
                </m:sup>
              </m:sSubSup>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high</m:t>
                  </m:r>
                </m:sup>
              </m:sSubSup>
            </m:oMath>
            <w:r w:rsidR="00C51BC0" w:rsidRPr="002737AC">
              <w:t xml:space="preserve"> </w:t>
            </w:r>
          </w:p>
        </w:tc>
        <w:tc>
          <w:tcPr>
            <w:tcW w:w="2029" w:type="dxa"/>
            <w:vAlign w:val="center"/>
          </w:tcPr>
          <w:p w14:paraId="08B4C87B" w14:textId="77777777" w:rsidR="00C51BC0" w:rsidRPr="00953B9A" w:rsidRDefault="00C51BC0" w:rsidP="00C84ECE">
            <w:pPr>
              <w:pStyle w:val="Els-body-text"/>
            </w:pPr>
            <m:oMath>
              <m:r>
                <w:rPr>
                  <w:rFonts w:ascii="Cambria Math" w:hAnsi="Cambria Math"/>
                </w:rPr>
                <m:t>∀ j</m:t>
              </m:r>
            </m:oMath>
            <w:r w:rsidRPr="00953B9A">
              <w:t xml:space="preserve"> </w:t>
            </w:r>
          </w:p>
        </w:tc>
        <w:tc>
          <w:tcPr>
            <w:tcW w:w="958" w:type="dxa"/>
            <w:vMerge/>
            <w:vAlign w:val="center"/>
          </w:tcPr>
          <w:p w14:paraId="1A7BBED9" w14:textId="77777777" w:rsidR="00C51BC0" w:rsidRPr="00953B9A" w:rsidRDefault="00C51BC0" w:rsidP="00C84ECE">
            <w:pPr>
              <w:spacing w:after="100" w:afterAutospacing="1" w:line="480" w:lineRule="auto"/>
            </w:pPr>
          </w:p>
        </w:tc>
      </w:tr>
      <w:tr w:rsidR="00C51BC0" w:rsidRPr="00953B9A" w14:paraId="66F8C216" w14:textId="77777777" w:rsidTr="001155BB">
        <w:trPr>
          <w:trHeight w:val="20"/>
        </w:trPr>
        <w:tc>
          <w:tcPr>
            <w:tcW w:w="4316" w:type="dxa"/>
            <w:vAlign w:val="center"/>
          </w:tcPr>
          <w:p w14:paraId="1B551694" w14:textId="77777777" w:rsidR="00C51BC0" w:rsidRPr="002737AC" w:rsidRDefault="00C51BC0" w:rsidP="00C84ECE">
            <w:pPr>
              <w:pStyle w:val="Els-body-text"/>
            </w:pPr>
            <m:oMath>
              <m:r>
                <w:rPr>
                  <w:rFonts w:ascii="Cambria Math" w:hAnsi="Cambria Math"/>
                </w:rPr>
                <m:t>0≤slac</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slack</m:t>
                  </m:r>
                </m:e>
                <m:sub>
                  <m:r>
                    <w:rPr>
                      <w:rFonts w:ascii="Cambria Math" w:hAnsi="Cambria Math"/>
                    </w:rPr>
                    <m:t>i</m:t>
                  </m:r>
                </m:sub>
                <m:sup>
                  <m:r>
                    <w:rPr>
                      <w:rFonts w:ascii="Cambria Math" w:hAnsi="Cambria Math"/>
                    </w:rPr>
                    <m:t>high</m:t>
                  </m:r>
                </m:sup>
              </m:sSubSup>
            </m:oMath>
            <w:r w:rsidRPr="002737AC">
              <w:t xml:space="preserve"> </w:t>
            </w:r>
          </w:p>
        </w:tc>
        <w:tc>
          <w:tcPr>
            <w:tcW w:w="2029" w:type="dxa"/>
            <w:vAlign w:val="center"/>
          </w:tcPr>
          <w:p w14:paraId="2A4FE7C9" w14:textId="77777777" w:rsidR="00C51BC0" w:rsidRPr="00953B9A" w:rsidRDefault="00C51BC0" w:rsidP="00C84ECE">
            <w:pPr>
              <w:pStyle w:val="Els-body-text"/>
            </w:pPr>
            <m:oMath>
              <m:r>
                <w:rPr>
                  <w:rFonts w:ascii="Cambria Math" w:hAnsi="Cambria Math"/>
                </w:rPr>
                <m:t>∀ i</m:t>
              </m:r>
            </m:oMath>
            <w:r w:rsidRPr="00953B9A">
              <w:t xml:space="preserve"> </w:t>
            </w:r>
          </w:p>
        </w:tc>
        <w:tc>
          <w:tcPr>
            <w:tcW w:w="958" w:type="dxa"/>
            <w:vMerge/>
            <w:vAlign w:val="center"/>
          </w:tcPr>
          <w:p w14:paraId="567BD073" w14:textId="77777777" w:rsidR="00C51BC0" w:rsidRPr="00953B9A" w:rsidRDefault="00C51BC0" w:rsidP="00C84ECE">
            <w:pPr>
              <w:spacing w:after="100" w:afterAutospacing="1" w:line="480" w:lineRule="auto"/>
            </w:pPr>
          </w:p>
        </w:tc>
      </w:tr>
    </w:tbl>
    <w:p w14:paraId="7C524445" w14:textId="526F21DE" w:rsidR="00C51BC0" w:rsidRDefault="00C51BC0" w:rsidP="00B50EF4">
      <w:pPr>
        <w:pStyle w:val="Els-body-text"/>
      </w:pPr>
    </w:p>
    <w:p w14:paraId="6EB676B2" w14:textId="15A0C650" w:rsidR="00DE6D19" w:rsidRDefault="00124508" w:rsidP="00B50EF4">
      <w:pPr>
        <w:pStyle w:val="Els-body-text"/>
      </w:pPr>
      <w:r>
        <w:t>Where the notation used is as follows</w:t>
      </w:r>
      <w:r w:rsidR="00E867CD">
        <w:t xml:space="preserve">: </w:t>
      </w:r>
      <m:oMath>
        <m:r>
          <w:rPr>
            <w:rFonts w:ascii="Cambria Math" w:hAnsi="Cambria Math"/>
          </w:rPr>
          <m:t>A</m:t>
        </m:r>
      </m:oMath>
      <w:r w:rsidR="00E867CD">
        <w:t xml:space="preserve"> is the rectangular </w:t>
      </w:r>
      <w:r w:rsidR="00A6060D">
        <w:t>T</w:t>
      </w:r>
      <w:r w:rsidR="00E867CD">
        <w:t xml:space="preserve">echnosphere matrix, </w:t>
      </w:r>
      <m:oMath>
        <m:r>
          <w:rPr>
            <w:rFonts w:ascii="Cambria Math" w:hAnsi="Cambria Math"/>
          </w:rPr>
          <m:t>B</m:t>
        </m:r>
      </m:oMath>
      <w:r w:rsidR="00E867CD">
        <w:t xml:space="preserve"> is the </w:t>
      </w:r>
      <w:r w:rsidR="00D965F3">
        <w:t>B</w:t>
      </w:r>
      <w:r w:rsidR="00E867CD">
        <w:t xml:space="preserve">iosphere matrix, </w:t>
      </w:r>
      <m:oMath>
        <m:r>
          <w:rPr>
            <w:rFonts w:ascii="Cambria Math" w:hAnsi="Cambria Math"/>
          </w:rPr>
          <m:t>Q</m:t>
        </m:r>
      </m:oMath>
      <w:r w:rsidR="00E867CD">
        <w:t xml:space="preserve"> is the matrix containing the characterization factors of the lifecycle impact assessment method, </w:t>
      </w:r>
      <m:oMath>
        <m:r>
          <w:rPr>
            <w:rFonts w:ascii="Cambria Math" w:hAnsi="Cambria Math"/>
          </w:rPr>
          <m:t>s</m:t>
        </m:r>
      </m:oMath>
      <w:r w:rsidR="00E867CD">
        <w:t xml:space="preserve"> is the scaling vector, </w:t>
      </w:r>
      <m:oMath>
        <m:r>
          <w:rPr>
            <w:rFonts w:ascii="Cambria Math" w:hAnsi="Cambria Math"/>
          </w:rPr>
          <m:t>f</m:t>
        </m:r>
      </m:oMath>
      <w:r w:rsidR="00E867CD">
        <w:t xml:space="preserve"> is the final demand vector, </w:t>
      </w:r>
      <m:oMath>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low</m:t>
            </m:r>
          </m:sup>
        </m:sSubSup>
      </m:oMath>
      <w:r w:rsidR="00E867CD">
        <w:t xml:space="preserve">  and </w:t>
      </w:r>
      <m:oMath>
        <m:sSubSup>
          <m:sSubSupPr>
            <m:ctrlPr>
              <w:rPr>
                <w:rFonts w:ascii="Cambria Math" w:hAnsi="Cambria Math"/>
                <w:i/>
              </w:rPr>
            </m:ctrlPr>
          </m:sSubSupPr>
          <m:e>
            <m:r>
              <w:rPr>
                <w:rFonts w:ascii="Cambria Math" w:hAnsi="Cambria Math"/>
              </w:rPr>
              <m:t>s</m:t>
            </m:r>
          </m:e>
          <m:sub>
            <m:r>
              <w:rPr>
                <w:rFonts w:ascii="Cambria Math" w:hAnsi="Cambria Math"/>
              </w:rPr>
              <m:t>j</m:t>
            </m:r>
          </m:sub>
          <m:sup>
            <m:r>
              <w:rPr>
                <w:rFonts w:ascii="Cambria Math" w:hAnsi="Cambria Math"/>
              </w:rPr>
              <m:t>high</m:t>
            </m:r>
          </m:sup>
        </m:sSubSup>
      </m:oMath>
      <w:r w:rsidR="00E867CD">
        <w:t xml:space="preserve"> are the upper and lower limits on the production quantities (capacity limits)</w:t>
      </w:r>
      <w:r w:rsidR="0041220A">
        <w:t xml:space="preserve"> of processes </w:t>
      </w:r>
      <m:oMath>
        <m:r>
          <w:rPr>
            <w:rFonts w:ascii="Cambria Math" w:hAnsi="Cambria Math"/>
          </w:rPr>
          <m:t>j</m:t>
        </m:r>
      </m:oMath>
      <w:r w:rsidR="00E867CD">
        <w:t xml:space="preserve"> respectively</w:t>
      </w:r>
      <w:r w:rsidR="00E645B0">
        <w:t>,</w:t>
      </w:r>
      <w:r w:rsidR="00E867CD">
        <w:t xml:space="preserve"> and </w:t>
      </w:r>
      <m:oMath>
        <m:r>
          <w:rPr>
            <w:rFonts w:ascii="Cambria Math" w:hAnsi="Cambria Math"/>
          </w:rPr>
          <m:t>slack</m:t>
        </m:r>
      </m:oMath>
      <w:r w:rsidR="00E867CD">
        <w:t xml:space="preserve"> is the newly introduced vector containing decision variables for the case of specifying final supply instead of final demand values. The </w:t>
      </w:r>
      <m:oMath>
        <m:r>
          <w:rPr>
            <w:rFonts w:ascii="Cambria Math" w:hAnsi="Cambria Math"/>
          </w:rPr>
          <m:t>slac</m:t>
        </m:r>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high</m:t>
            </m:r>
          </m:sup>
        </m:sSubSup>
      </m:oMath>
      <w:r w:rsidR="001A5F0D">
        <w:t xml:space="preserve"> vector</w:t>
      </w:r>
      <w:r w:rsidR="00E867CD">
        <w:t xml:space="preserve"> is </w:t>
      </w:r>
      <w:r w:rsidR="001A31FB">
        <w:t>zero</w:t>
      </w:r>
      <w:r w:rsidR="00E867CD">
        <w:t xml:space="preserve"> for all products </w:t>
      </w:r>
      <m:oMath>
        <m:r>
          <w:rPr>
            <w:rFonts w:ascii="Cambria Math" w:hAnsi="Cambria Math"/>
          </w:rPr>
          <m:t>i</m:t>
        </m:r>
      </m:oMath>
      <w:r w:rsidR="001A5F0D">
        <w:t xml:space="preserve"> </w:t>
      </w:r>
      <w:r w:rsidR="00E867CD">
        <w:t xml:space="preserve">which have a defined final demand and takes a big </w:t>
      </w:r>
      <w:r w:rsidR="003720FF">
        <w:t xml:space="preserve">constant </w:t>
      </w:r>
      <w:r w:rsidR="00E867CD">
        <w:t>value for those products where the final supply is specified.</w:t>
      </w:r>
      <w:r>
        <w:t xml:space="preserve"> </w:t>
      </w:r>
      <w:r w:rsidR="005B4F96">
        <w:t xml:space="preserve">This notation follows the computational structure of LCA elaborated by </w:t>
      </w:r>
      <w:proofErr w:type="spellStart"/>
      <w:r w:rsidR="005B4F96" w:rsidRPr="005B4F96">
        <w:t>Heijungs</w:t>
      </w:r>
      <w:proofErr w:type="spellEnd"/>
      <w:r w:rsidR="005B4F96">
        <w:t xml:space="preserve"> and Suh (2002).</w:t>
      </w:r>
    </w:p>
    <w:p w14:paraId="3BB51328" w14:textId="41967A1C" w:rsidR="00C51BC0" w:rsidRDefault="00C51BC0" w:rsidP="00B50EF4">
      <w:pPr>
        <w:pStyle w:val="Els-body-text"/>
      </w:pPr>
      <w:r>
        <w:t xml:space="preserve">PULPO is available on GitHub, </w:t>
      </w:r>
      <w:proofErr w:type="spellStart"/>
      <w:r>
        <w:t>Zenodo</w:t>
      </w:r>
      <w:proofErr w:type="spellEnd"/>
      <w:r>
        <w:t xml:space="preserve"> (Lechtenberg, 2023) and </w:t>
      </w:r>
      <w:proofErr w:type="spellStart"/>
      <w:r>
        <w:t>PyPI</w:t>
      </w:r>
      <w:proofErr w:type="spellEnd"/>
      <w:r>
        <w:t>.</w:t>
      </w:r>
      <w:r w:rsidR="00DD4E0A">
        <w:t xml:space="preserve"> </w:t>
      </w:r>
      <w:r w:rsidR="00DD4E0A" w:rsidRPr="00DD4E0A">
        <w:t xml:space="preserve">In an example provided as a </w:t>
      </w:r>
      <w:proofErr w:type="spellStart"/>
      <w:r w:rsidR="00DD4E0A" w:rsidRPr="00DD4E0A">
        <w:t>jupyter</w:t>
      </w:r>
      <w:proofErr w:type="spellEnd"/>
      <w:r w:rsidR="00DD4E0A" w:rsidRPr="00DD4E0A">
        <w:t xml:space="preserve"> notebook in the open repository, a case study optimizing the German power mix is presented. Using the </w:t>
      </w:r>
      <w:proofErr w:type="spellStart"/>
      <w:r w:rsidR="00DD4E0A" w:rsidRPr="00DD4E0A">
        <w:t>ecoinvent</w:t>
      </w:r>
      <w:proofErr w:type="spellEnd"/>
      <w:r w:rsidR="00DD4E0A" w:rsidRPr="00DD4E0A">
        <w:t xml:space="preserve"> 3.8 cutoff system, the share of lignite, coal, wind and nuclear power is optimized. In the unconstrained case, the global warming potential is minimized when relying exclusively on nuclear power. Using the </w:t>
      </w:r>
      <w:proofErr w:type="spellStart"/>
      <w:r w:rsidR="00DD4E0A" w:rsidRPr="00DD4E0A">
        <w:t>ReCiPe</w:t>
      </w:r>
      <w:proofErr w:type="spellEnd"/>
      <w:r w:rsidR="00DD4E0A" w:rsidRPr="00DD4E0A">
        <w:t xml:space="preserve"> human health indicator as objective, PULPO identifies wind power as most suitable option. Here, capacity constraints alongside the supply chain are introduced. </w:t>
      </w:r>
      <w:r w:rsidR="00DD4E0A" w:rsidRPr="00DD4E0A">
        <w:lastRenderedPageBreak/>
        <w:t>We note that optimizing the mix following a standard LCO approach (i.e., the background data is not updated during the optimization) leads to an overestimation of the total impact by about 8% due to the omission of feedback loops between the foreground and background systems.</w:t>
      </w:r>
    </w:p>
    <w:p w14:paraId="302F4DD7" w14:textId="21D135FC" w:rsidR="008812E1" w:rsidRDefault="008812E1" w:rsidP="00DC1DE4">
      <w:pPr>
        <w:pStyle w:val="Els-1storder-head"/>
      </w:pPr>
      <w:r>
        <w:t>Results and Discussion</w:t>
      </w:r>
    </w:p>
    <w:p w14:paraId="0C0126DC" w14:textId="392B3E27" w:rsidR="00F66140" w:rsidRDefault="008B5710" w:rsidP="008812E1">
      <w:pPr>
        <w:pStyle w:val="Els-body-text"/>
      </w:pPr>
      <w:r w:rsidRPr="008B5710">
        <w:t xml:space="preserve">PULPO was utilized to explore the role of </w:t>
      </w:r>
      <w:r w:rsidR="00340711">
        <w:t>c</w:t>
      </w:r>
      <w:r w:rsidRPr="008B5710">
        <w:t xml:space="preserve">arbon </w:t>
      </w:r>
      <w:r w:rsidR="00340711">
        <w:t>c</w:t>
      </w:r>
      <w:r w:rsidRPr="008B5710">
        <w:t xml:space="preserve">apture and </w:t>
      </w:r>
      <w:r w:rsidR="00340711">
        <w:t>u</w:t>
      </w:r>
      <w:r w:rsidRPr="008B5710">
        <w:t xml:space="preserve">tilization (CCU) in sustainable methanol production, analyzing its interplay with the electricity market. </w:t>
      </w:r>
      <w:r w:rsidR="001717CB">
        <w:t>The goal and scope of this LCO is to decide on the optimal portfolio of methanol pathways in a set of locations considering region-</w:t>
      </w:r>
      <w:r w:rsidR="00AC5CCE">
        <w:t xml:space="preserve"> and scenario-</w:t>
      </w:r>
      <w:r w:rsidR="001717CB">
        <w:t>specific performance metrics and constraint</w:t>
      </w:r>
      <w:r w:rsidR="009750FF">
        <w:t xml:space="preserve">s. </w:t>
      </w:r>
      <w:r w:rsidR="00785738">
        <w:t>For demonstration purpose, t</w:t>
      </w:r>
      <w:r w:rsidR="00F66140">
        <w:t xml:space="preserve">he minimization of the global warming potential (GWP) is </w:t>
      </w:r>
      <w:r w:rsidR="00662D4A">
        <w:t>used</w:t>
      </w:r>
      <w:r w:rsidR="00F66140">
        <w:t xml:space="preserve"> as </w:t>
      </w:r>
      <w:r w:rsidR="004748D0">
        <w:t xml:space="preserve">the </w:t>
      </w:r>
      <w:r w:rsidR="00F66140">
        <w:t>objective function.</w:t>
      </w:r>
    </w:p>
    <w:p w14:paraId="0F032CE6" w14:textId="01F099DD" w:rsidR="00077AF3" w:rsidRDefault="007465D9" w:rsidP="008812E1">
      <w:pPr>
        <w:pStyle w:val="Els-body-text"/>
      </w:pPr>
      <w:r>
        <w:t>The functional unit is the production of 100</w:t>
      </w:r>
      <w:r w:rsidR="00423D3F">
        <w:t xml:space="preserve"> </w:t>
      </w:r>
      <w:r>
        <w:t xml:space="preserve">Mt of methanol, as well as regional </w:t>
      </w:r>
      <w:r w:rsidR="00BF637D">
        <w:t>final supply values</w:t>
      </w:r>
      <w:r>
        <w:t xml:space="preserve"> for electricity as projected by an integrated assessment model (IAM). </w:t>
      </w:r>
      <w:r w:rsidR="00D375D8">
        <w:t xml:space="preserve">In order to </w:t>
      </w:r>
      <w:r w:rsidR="00375BD6">
        <w:t>enforce</w:t>
      </w:r>
      <w:r w:rsidR="00D375D8">
        <w:t xml:space="preserve"> these final supply constraints, the previously mentioned slack variables were utilized. </w:t>
      </w:r>
      <w:r>
        <w:t xml:space="preserve">We select the </w:t>
      </w:r>
      <w:r w:rsidR="00FD6ED7">
        <w:t>1</w:t>
      </w:r>
      <w:r>
        <w:t>.</w:t>
      </w:r>
      <w:r w:rsidR="00FD6ED7">
        <w:t>5</w:t>
      </w:r>
      <w:r w:rsidR="00423D3F">
        <w:t xml:space="preserve"> </w:t>
      </w:r>
      <w:r>
        <w:t xml:space="preserve">°C </w:t>
      </w:r>
      <w:r w:rsidR="00FD6ED7">
        <w:t>and 3.5</w:t>
      </w:r>
      <w:r w:rsidR="00423D3F">
        <w:t xml:space="preserve"> </w:t>
      </w:r>
      <w:r w:rsidR="00FD6ED7">
        <w:t xml:space="preserve">°C </w:t>
      </w:r>
      <w:r>
        <w:t>temperature increase scenario</w:t>
      </w:r>
      <w:r w:rsidR="00FD6ED7">
        <w:t>s</w:t>
      </w:r>
      <w:r>
        <w:t xml:space="preserve"> of the REMIND IAM and use the corresponding background database</w:t>
      </w:r>
      <w:r w:rsidR="004C3966">
        <w:t>s</w:t>
      </w:r>
      <w:r>
        <w:t xml:space="preserve"> </w:t>
      </w:r>
      <w:r w:rsidR="004C3966">
        <w:t xml:space="preserve">based on </w:t>
      </w:r>
      <w:r w:rsidR="00E723D7">
        <w:t xml:space="preserve">the </w:t>
      </w:r>
      <w:proofErr w:type="spellStart"/>
      <w:r w:rsidR="004C3966">
        <w:t>ecoinvent</w:t>
      </w:r>
      <w:proofErr w:type="spellEnd"/>
      <w:r w:rsidR="00417C4D">
        <w:t> </w:t>
      </w:r>
      <w:r w:rsidR="004C3966">
        <w:t xml:space="preserve">3.8 cutoff system model </w:t>
      </w:r>
      <w:r>
        <w:t>generated by “premise”</w:t>
      </w:r>
      <w:r w:rsidR="00FD6ED7">
        <w:t xml:space="preserve"> v.1.8.1</w:t>
      </w:r>
      <w:r>
        <w:t xml:space="preserve"> (</w:t>
      </w:r>
      <w:proofErr w:type="spellStart"/>
      <w:r>
        <w:t>Sacchi</w:t>
      </w:r>
      <w:proofErr w:type="spellEnd"/>
      <w:r>
        <w:t xml:space="preserve"> et al., 2022)</w:t>
      </w:r>
      <w:r w:rsidR="004C3966">
        <w:t xml:space="preserve"> </w:t>
      </w:r>
      <w:r>
        <w:t xml:space="preserve">as backbone for </w:t>
      </w:r>
      <w:r w:rsidR="00B86D76">
        <w:t>the</w:t>
      </w:r>
      <w:r>
        <w:t xml:space="preserve"> superstructure</w:t>
      </w:r>
      <w:r w:rsidR="006215C5">
        <w:t>.</w:t>
      </w:r>
    </w:p>
    <w:p w14:paraId="57128040" w14:textId="3BEE8FDC" w:rsidR="004E680D" w:rsidRDefault="00D23CEE" w:rsidP="008812E1">
      <w:pPr>
        <w:pStyle w:val="Els-body-text"/>
      </w:pPr>
      <w:r>
        <w:t>Th</w:t>
      </w:r>
      <w:r w:rsidR="00FF1271">
        <w:t>e</w:t>
      </w:r>
      <w:r>
        <w:t>s</w:t>
      </w:r>
      <w:r w:rsidR="00FF1271">
        <w:t>e</w:t>
      </w:r>
      <w:r>
        <w:t xml:space="preserve"> LCI</w:t>
      </w:r>
      <w:r w:rsidR="00FF1271">
        <w:t>s</w:t>
      </w:r>
      <w:r>
        <w:t xml:space="preserve"> contain datasets for methanol production via direct-air capture (DAC) based methanol but do not implement them in the markets because this option is not considered in the IAM. </w:t>
      </w:r>
      <w:r w:rsidR="00385505">
        <w:t>Precisely, the IAM only considers steam methane reforming</w:t>
      </w:r>
      <w:r w:rsidR="004C7409">
        <w:t xml:space="preserve"> for methanol production</w:t>
      </w:r>
      <w:r w:rsidR="00385505">
        <w:t xml:space="preserve">, which we refer to as the business as usual (BAU). </w:t>
      </w:r>
      <w:r w:rsidR="00022D7C">
        <w:t>Additionally, w</w:t>
      </w:r>
      <w:r>
        <w:t>e added inventories for point-source capture (PSC) based methanol</w:t>
      </w:r>
      <w:r w:rsidR="006177CD">
        <w:t xml:space="preserve">, as well as the necessary inventories </w:t>
      </w:r>
      <w:r w:rsidR="005B3B04">
        <w:t>for</w:t>
      </w:r>
      <w:r w:rsidR="002433B1">
        <w:t xml:space="preserve"> </w:t>
      </w:r>
      <w:r w:rsidR="006177CD">
        <w:t xml:space="preserve">retrofitting fossil thermal powerplants </w:t>
      </w:r>
      <w:r w:rsidR="002433B1">
        <w:t xml:space="preserve">with carbon capture </w:t>
      </w:r>
      <w:r w:rsidR="006177CD">
        <w:t>to supply the CO</w:t>
      </w:r>
      <w:r w:rsidR="006177CD" w:rsidRPr="00245B4D">
        <w:rPr>
          <w:vertAlign w:val="subscript"/>
        </w:rPr>
        <w:t>2</w:t>
      </w:r>
      <w:r w:rsidR="006177CD" w:rsidRPr="00B617F9">
        <w:t>.</w:t>
      </w:r>
      <w:r w:rsidR="007306BD">
        <w:t xml:space="preserve"> </w:t>
      </w:r>
      <w:r w:rsidR="00385505">
        <w:t>The choices that the optimizer must take involve the selection of the optimal technology (BAU, DAC, or PSC)</w:t>
      </w:r>
      <w:r w:rsidR="007465D9">
        <w:t xml:space="preserve"> </w:t>
      </w:r>
      <w:r w:rsidR="002655DA">
        <w:t>in the 12 regions of the IAM.</w:t>
      </w:r>
      <w:r w:rsidR="00BC4BD1">
        <w:t xml:space="preserve"> If PSC is selected, a lower-level choice on the retrofitting of the available fossil thermal powerplants (coal </w:t>
      </w:r>
      <w:r w:rsidR="00D129B9">
        <w:t>and</w:t>
      </w:r>
      <w:r w:rsidR="00BC4BD1">
        <w:t xml:space="preserve"> natural gas) must be taken. </w:t>
      </w:r>
    </w:p>
    <w:p w14:paraId="00A2EF0C" w14:textId="6599C51E" w:rsidR="00970A13" w:rsidRPr="00B617F9" w:rsidRDefault="00324DD2" w:rsidP="008812E1">
      <w:pPr>
        <w:pStyle w:val="Els-body-text"/>
        <w:rPr>
          <w:color w:val="000000" w:themeColor="text1"/>
        </w:rPr>
      </w:pPr>
      <w:r>
        <w:t>The</w:t>
      </w:r>
      <w:r w:rsidR="00E2165B">
        <w:t xml:space="preserve"> potential of</w:t>
      </w:r>
      <w:r>
        <w:t xml:space="preserve"> CO</w:t>
      </w:r>
      <w:r w:rsidRPr="00B617F9">
        <w:rPr>
          <w:vertAlign w:val="subscript"/>
        </w:rPr>
        <w:t>2</w:t>
      </w:r>
      <w:r w:rsidR="00AD4669">
        <w:t>-</w:t>
      </w:r>
      <w:r>
        <w:t xml:space="preserve">based </w:t>
      </w:r>
      <w:r w:rsidR="0048107A">
        <w:t xml:space="preserve">methanol production </w:t>
      </w:r>
      <w:r>
        <w:t>routes heavily rel</w:t>
      </w:r>
      <w:r w:rsidR="000A4DFD">
        <w:t>ies</w:t>
      </w:r>
      <w:r>
        <w:t xml:space="preserve"> on the availability </w:t>
      </w:r>
      <w:r w:rsidRPr="00B617F9">
        <w:rPr>
          <w:color w:val="000000" w:themeColor="text1"/>
        </w:rPr>
        <w:t xml:space="preserve">of green hydrogen, which in turn </w:t>
      </w:r>
      <w:r w:rsidR="006F6B02" w:rsidRPr="00B617F9">
        <w:rPr>
          <w:color w:val="000000" w:themeColor="text1"/>
        </w:rPr>
        <w:t>hinges</w:t>
      </w:r>
      <w:r w:rsidRPr="00B617F9">
        <w:rPr>
          <w:color w:val="000000" w:themeColor="text1"/>
        </w:rPr>
        <w:t xml:space="preserve"> on the availability of low-carbon electricity. </w:t>
      </w:r>
      <w:r w:rsidR="00B314BF" w:rsidRPr="00B617F9">
        <w:rPr>
          <w:color w:val="000000" w:themeColor="text1"/>
        </w:rPr>
        <w:t xml:space="preserve">Thus, shifting from the </w:t>
      </w:r>
      <w:r w:rsidR="00D22946" w:rsidRPr="00B617F9">
        <w:rPr>
          <w:color w:val="000000" w:themeColor="text1"/>
        </w:rPr>
        <w:t>BAU practices</w:t>
      </w:r>
      <w:r w:rsidR="00B314BF" w:rsidRPr="00B617F9">
        <w:rPr>
          <w:color w:val="000000" w:themeColor="text1"/>
        </w:rPr>
        <w:t xml:space="preserve"> to these new technologies implies the need for expanding power production capacities.</w:t>
      </w:r>
      <w:r w:rsidR="00913721" w:rsidRPr="00B617F9">
        <w:rPr>
          <w:color w:val="000000" w:themeColor="text1"/>
        </w:rPr>
        <w:t xml:space="preserve"> </w:t>
      </w:r>
      <w:r w:rsidR="006D6065" w:rsidRPr="00B617F9">
        <w:rPr>
          <w:color w:val="000000" w:themeColor="text1"/>
        </w:rPr>
        <w:t>In order to assess</w:t>
      </w:r>
      <w:r w:rsidR="00437B6D" w:rsidRPr="00B617F9">
        <w:rPr>
          <w:color w:val="000000" w:themeColor="text1"/>
        </w:rPr>
        <w:t xml:space="preserve"> only</w:t>
      </w:r>
      <w:r w:rsidR="006D6065" w:rsidRPr="00B617F9">
        <w:rPr>
          <w:color w:val="000000" w:themeColor="text1"/>
        </w:rPr>
        <w:t xml:space="preserve"> a marginal deviation from the IAM baseline, we introduce a constraint on the power capacity expansion in each region.</w:t>
      </w:r>
    </w:p>
    <w:p w14:paraId="72C092D4" w14:textId="3F093B46" w:rsidR="00F21E2C" w:rsidRPr="00B617F9" w:rsidRDefault="000F19DE" w:rsidP="00F21E2C">
      <w:pPr>
        <w:pStyle w:val="Els-body-text"/>
        <w:rPr>
          <w:color w:val="000000" w:themeColor="text1"/>
        </w:rPr>
      </w:pPr>
      <w:r w:rsidRPr="00B617F9">
        <w:rPr>
          <w:color w:val="000000" w:themeColor="text1"/>
        </w:rPr>
        <w:t xml:space="preserve">With these configurations, the two scenarios </w:t>
      </w:r>
      <w:r w:rsidR="00DD1B8D" w:rsidRPr="00B617F9">
        <w:rPr>
          <w:color w:val="000000" w:themeColor="text1"/>
        </w:rPr>
        <w:t>have been</w:t>
      </w:r>
      <w:r w:rsidRPr="00B617F9">
        <w:rPr>
          <w:color w:val="000000" w:themeColor="text1"/>
        </w:rPr>
        <w:t xml:space="preserve"> optimized for a range of electricity </w:t>
      </w:r>
      <w:r w:rsidR="007F09CD">
        <w:rPr>
          <w:color w:val="000000" w:themeColor="text1"/>
        </w:rPr>
        <w:t xml:space="preserve">capacity </w:t>
      </w:r>
      <w:r w:rsidRPr="00B617F9">
        <w:rPr>
          <w:color w:val="000000" w:themeColor="text1"/>
        </w:rPr>
        <w:t xml:space="preserve">constraints. Figure </w:t>
      </w:r>
      <w:r w:rsidRPr="00B617F9">
        <w:rPr>
          <w:color w:val="0070C0"/>
        </w:rPr>
        <w:t xml:space="preserve">2 </w:t>
      </w:r>
      <w:r w:rsidRPr="00B617F9">
        <w:rPr>
          <w:color w:val="000000" w:themeColor="text1"/>
        </w:rPr>
        <w:t xml:space="preserve">illustrates the results </w:t>
      </w:r>
      <w:r w:rsidR="00F93064" w:rsidRPr="00B617F9">
        <w:rPr>
          <w:color w:val="000000" w:themeColor="text1"/>
        </w:rPr>
        <w:t>for a total</w:t>
      </w:r>
      <w:r w:rsidRPr="00B617F9">
        <w:rPr>
          <w:color w:val="000000" w:themeColor="text1"/>
        </w:rPr>
        <w:t xml:space="preserve"> GWP </w:t>
      </w:r>
      <w:r w:rsidR="00F93064" w:rsidRPr="00B617F9">
        <w:rPr>
          <w:color w:val="000000" w:themeColor="text1"/>
        </w:rPr>
        <w:t>reduction of</w:t>
      </w:r>
      <w:r w:rsidRPr="00B617F9">
        <w:rPr>
          <w:color w:val="000000" w:themeColor="text1"/>
        </w:rPr>
        <w:t xml:space="preserve"> 50 Mt CO</w:t>
      </w:r>
      <w:r w:rsidRPr="00B617F9">
        <w:rPr>
          <w:color w:val="000000" w:themeColor="text1"/>
          <w:vertAlign w:val="subscript"/>
        </w:rPr>
        <w:t>2</w:t>
      </w:r>
      <w:r w:rsidRPr="00B617F9">
        <w:rPr>
          <w:color w:val="000000" w:themeColor="text1"/>
        </w:rPr>
        <w:t xml:space="preserve">e. </w:t>
      </w:r>
      <w:r w:rsidR="005D3ADF" w:rsidRPr="00B617F9">
        <w:rPr>
          <w:color w:val="000000" w:themeColor="text1"/>
        </w:rPr>
        <w:t xml:space="preserve">Comparing the amount of additional power capacity needed to reach this target underlines the pressing need to decarbonize the power sector for the hard-to-abate sectors to </w:t>
      </w:r>
      <w:r w:rsidR="0010709E" w:rsidRPr="00B617F9">
        <w:rPr>
          <w:color w:val="000000" w:themeColor="text1"/>
        </w:rPr>
        <w:t xml:space="preserve">tag along in the quest for sustainability. </w:t>
      </w:r>
      <w:r w:rsidR="00F21E2C" w:rsidRPr="00B617F9">
        <w:rPr>
          <w:color w:val="000000" w:themeColor="text1"/>
        </w:rPr>
        <w:t>The base case, aligning with a 3.5</w:t>
      </w:r>
      <w:r w:rsidR="00423D3F">
        <w:rPr>
          <w:color w:val="000000" w:themeColor="text1"/>
        </w:rPr>
        <w:t xml:space="preserve"> </w:t>
      </w:r>
      <w:r w:rsidR="00F21E2C" w:rsidRPr="00B617F9">
        <w:rPr>
          <w:color w:val="000000" w:themeColor="text1"/>
        </w:rPr>
        <w:t>°C scenario, requires an additional 417</w:t>
      </w:r>
      <w:r w:rsidR="00423D3F">
        <w:rPr>
          <w:color w:val="000000" w:themeColor="text1"/>
        </w:rPr>
        <w:t xml:space="preserve"> </w:t>
      </w:r>
      <w:proofErr w:type="spellStart"/>
      <w:r w:rsidR="00F21E2C" w:rsidRPr="00B617F9">
        <w:rPr>
          <w:color w:val="000000" w:themeColor="text1"/>
        </w:rPr>
        <w:t>TWh</w:t>
      </w:r>
      <w:proofErr w:type="spellEnd"/>
      <w:r w:rsidR="00F21E2C" w:rsidRPr="00B617F9">
        <w:rPr>
          <w:color w:val="000000" w:themeColor="text1"/>
        </w:rPr>
        <w:t xml:space="preserve"> of electricity annually, whereas the 1.5</w:t>
      </w:r>
      <w:r w:rsidR="00BE2068">
        <w:rPr>
          <w:color w:val="000000" w:themeColor="text1"/>
        </w:rPr>
        <w:t> </w:t>
      </w:r>
      <w:r w:rsidR="00F21E2C" w:rsidRPr="00B617F9">
        <w:rPr>
          <w:color w:val="000000" w:themeColor="text1"/>
        </w:rPr>
        <w:t>°C scenario reduces this need to 223</w:t>
      </w:r>
      <w:r w:rsidR="00423D3F">
        <w:rPr>
          <w:color w:val="000000" w:themeColor="text1"/>
        </w:rPr>
        <w:t xml:space="preserve"> </w:t>
      </w:r>
      <w:proofErr w:type="spellStart"/>
      <w:r w:rsidR="00F21E2C" w:rsidRPr="00B617F9">
        <w:rPr>
          <w:color w:val="000000" w:themeColor="text1"/>
        </w:rPr>
        <w:t>TWh</w:t>
      </w:r>
      <w:proofErr w:type="spellEnd"/>
      <w:r w:rsidR="00F21E2C" w:rsidRPr="00B617F9">
        <w:rPr>
          <w:color w:val="000000" w:themeColor="text1"/>
        </w:rPr>
        <w:t>.</w:t>
      </w:r>
    </w:p>
    <w:p w14:paraId="1311AFF3" w14:textId="6751DB89" w:rsidR="003D2C62" w:rsidRPr="00B617F9" w:rsidRDefault="003D2C62" w:rsidP="000F19DE">
      <w:pPr>
        <w:pStyle w:val="Els-body-text"/>
        <w:rPr>
          <w:color w:val="000000" w:themeColor="text1"/>
        </w:rPr>
      </w:pPr>
      <w:r w:rsidRPr="00B617F9">
        <w:rPr>
          <w:color w:val="000000" w:themeColor="text1"/>
        </w:rPr>
        <w:t>Additionally, the transformation in the chemical sector is less extensive. In the 3.5</w:t>
      </w:r>
      <w:r w:rsidR="0006582D">
        <w:rPr>
          <w:color w:val="000000" w:themeColor="text1"/>
        </w:rPr>
        <w:t> </w:t>
      </w:r>
      <w:r w:rsidRPr="00B617F9">
        <w:rPr>
          <w:color w:val="000000" w:themeColor="text1"/>
        </w:rPr>
        <w:t>°C scenario, 50.4</w:t>
      </w:r>
      <w:r w:rsidR="00423D3F">
        <w:rPr>
          <w:color w:val="000000" w:themeColor="text1"/>
        </w:rPr>
        <w:t xml:space="preserve"> </w:t>
      </w:r>
      <w:r w:rsidRPr="00B617F9">
        <w:rPr>
          <w:color w:val="000000" w:themeColor="text1"/>
        </w:rPr>
        <w:t>Mt of fossil methanol needs replacement with carbon-capture alternatives, compared to only 23.0 Mt in the 1.5</w:t>
      </w:r>
      <w:r w:rsidR="00423D3F">
        <w:rPr>
          <w:color w:val="000000" w:themeColor="text1"/>
        </w:rPr>
        <w:t xml:space="preserve"> </w:t>
      </w:r>
      <w:r w:rsidRPr="00B617F9">
        <w:rPr>
          <w:color w:val="000000" w:themeColor="text1"/>
        </w:rPr>
        <w:t>°C scenario. This result does not suggest the chemical sector should wait for the power sector's progress. Instead, it emphasizes the need to prepare for the transition by developing suitable infrastructure and technology to meet or surpass these targets.</w:t>
      </w:r>
    </w:p>
    <w:tbl>
      <w:tblPr>
        <w:tblStyle w:val="TableGrid"/>
        <w:tblW w:w="7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2"/>
      </w:tblGrid>
      <w:tr w:rsidR="00BC0031" w14:paraId="7B1CE42F" w14:textId="77777777" w:rsidTr="005B5ADD">
        <w:trPr>
          <w:trHeight w:val="2836"/>
        </w:trPr>
        <w:tc>
          <w:tcPr>
            <w:tcW w:w="7077" w:type="dxa"/>
            <w:vAlign w:val="center"/>
          </w:tcPr>
          <w:p w14:paraId="56725467" w14:textId="0CAEC403" w:rsidR="00BC0031" w:rsidRDefault="0081786E" w:rsidP="00CD4157">
            <w:pPr>
              <w:pStyle w:val="Els-body-text"/>
            </w:pPr>
            <w:r>
              <w:rPr>
                <w:noProof/>
              </w:rPr>
              <w:lastRenderedPageBreak/>
              <w:drawing>
                <wp:inline distT="0" distB="0" distL="0" distR="0" wp14:anchorId="7668FF5A" wp14:editId="0DDFBF18">
                  <wp:extent cx="4423817" cy="1667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627" t="12684" b="13144"/>
                          <a:stretch/>
                        </pic:blipFill>
                        <pic:spPr bwMode="auto">
                          <a:xfrm>
                            <a:off x="0" y="0"/>
                            <a:ext cx="4425791" cy="16682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20DC" w14:paraId="00173ECC" w14:textId="77777777" w:rsidTr="005B5ADD">
        <w:trPr>
          <w:trHeight w:val="256"/>
        </w:trPr>
        <w:tc>
          <w:tcPr>
            <w:tcW w:w="7077" w:type="dxa"/>
            <w:vAlign w:val="center"/>
          </w:tcPr>
          <w:p w14:paraId="0B0CAB60" w14:textId="1C4880FC" w:rsidR="000920DC" w:rsidRDefault="006F547B" w:rsidP="00B617F9">
            <w:pPr>
              <w:pStyle w:val="Els-body-text"/>
              <w:tabs>
                <w:tab w:val="left" w:pos="2796"/>
              </w:tabs>
              <w:jc w:val="center"/>
            </w:pPr>
            <w:r>
              <w:t xml:space="preserve">(a) </w:t>
            </w:r>
            <w:r w:rsidR="000920DC">
              <w:t xml:space="preserve">Base </w:t>
            </w:r>
            <w:r w:rsidR="0017502B">
              <w:t>(</w:t>
            </w:r>
            <w:r w:rsidR="000920DC">
              <w:t>3.5°C</w:t>
            </w:r>
            <w:r w:rsidR="0017502B">
              <w:t>)</w:t>
            </w:r>
          </w:p>
        </w:tc>
      </w:tr>
      <w:tr w:rsidR="000920DC" w14:paraId="12B70FC4" w14:textId="77777777" w:rsidTr="005B5ADD">
        <w:trPr>
          <w:trHeight w:val="1390"/>
        </w:trPr>
        <w:tc>
          <w:tcPr>
            <w:tcW w:w="7077" w:type="dxa"/>
            <w:vAlign w:val="center"/>
          </w:tcPr>
          <w:p w14:paraId="0A41A080" w14:textId="43C1EEEA" w:rsidR="000920DC" w:rsidRDefault="0081786E" w:rsidP="00B617F9">
            <w:pPr>
              <w:pStyle w:val="Els-body-text"/>
              <w:jc w:val="left"/>
            </w:pPr>
            <w:r>
              <w:rPr>
                <w:noProof/>
              </w:rPr>
              <w:drawing>
                <wp:inline distT="0" distB="0" distL="0" distR="0" wp14:anchorId="727F28A4" wp14:editId="35CED0E7">
                  <wp:extent cx="4421939" cy="1673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6" t="12665" b="12927"/>
                          <a:stretch/>
                        </pic:blipFill>
                        <pic:spPr bwMode="auto">
                          <a:xfrm>
                            <a:off x="0" y="0"/>
                            <a:ext cx="4423661" cy="16745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20DC" w14:paraId="389F2DB9" w14:textId="77777777" w:rsidTr="005E799B">
        <w:trPr>
          <w:trHeight w:val="364"/>
        </w:trPr>
        <w:tc>
          <w:tcPr>
            <w:tcW w:w="7077" w:type="dxa"/>
            <w:vAlign w:val="center"/>
          </w:tcPr>
          <w:p w14:paraId="39C0E85E" w14:textId="53C5DFAD" w:rsidR="000920DC" w:rsidRDefault="006F547B" w:rsidP="00B617F9">
            <w:pPr>
              <w:pStyle w:val="Els-body-text"/>
              <w:tabs>
                <w:tab w:val="left" w:pos="2478"/>
              </w:tabs>
              <w:jc w:val="center"/>
            </w:pPr>
            <w:r>
              <w:t xml:space="preserve">(b) </w:t>
            </w:r>
            <w:r w:rsidR="000920DC">
              <w:t xml:space="preserve">PkBudg500 </w:t>
            </w:r>
            <w:r w:rsidR="0017502B">
              <w:t>(</w:t>
            </w:r>
            <w:r w:rsidR="000920DC">
              <w:t>1.5°C</w:t>
            </w:r>
            <w:r w:rsidR="0017502B">
              <w:t>)</w:t>
            </w:r>
          </w:p>
        </w:tc>
      </w:tr>
      <w:tr w:rsidR="00BC0031" w14:paraId="0164023E" w14:textId="77777777" w:rsidTr="005B5ADD">
        <w:trPr>
          <w:trHeight w:val="1055"/>
        </w:trPr>
        <w:tc>
          <w:tcPr>
            <w:tcW w:w="7077" w:type="dxa"/>
          </w:tcPr>
          <w:p w14:paraId="1E6AC714" w14:textId="6A07E856" w:rsidR="00BC0031" w:rsidRDefault="00BC0031" w:rsidP="00C84ECE">
            <w:pPr>
              <w:pStyle w:val="Els-body-text"/>
            </w:pPr>
            <w:r>
              <w:t xml:space="preserve">Figure </w:t>
            </w:r>
            <w:r w:rsidRPr="00A7473D">
              <w:rPr>
                <w:color w:val="0070C0"/>
              </w:rPr>
              <w:t>2</w:t>
            </w:r>
            <w:r>
              <w:t xml:space="preserve">. </w:t>
            </w:r>
            <w:r w:rsidR="00A85BC2">
              <w:t>O</w:t>
            </w:r>
            <w:r>
              <w:t>ptimized global methanol supply chain</w:t>
            </w:r>
            <w:r w:rsidR="00DF49EE">
              <w:t>s</w:t>
            </w:r>
            <w:r>
              <w:t xml:space="preserve"> in</w:t>
            </w:r>
            <w:r w:rsidR="00DF49EE">
              <w:t xml:space="preserve"> 2040</w:t>
            </w:r>
            <w:r w:rsidR="001C15BF">
              <w:t xml:space="preserve"> for a</w:t>
            </w:r>
            <w:r>
              <w:t xml:space="preserve"> </w:t>
            </w:r>
            <w:r w:rsidR="00DF49EE">
              <w:t>(a) 3.5</w:t>
            </w:r>
            <w:r w:rsidR="00423D3F">
              <w:t> </w:t>
            </w:r>
            <w:r w:rsidR="00DF49EE">
              <w:t xml:space="preserve">°C temperature increase and </w:t>
            </w:r>
            <w:r w:rsidR="001C15BF">
              <w:t xml:space="preserve">a </w:t>
            </w:r>
            <w:r w:rsidR="00DF49EE">
              <w:t>(b) 1.5</w:t>
            </w:r>
            <w:r w:rsidR="00423D3F">
              <w:t> </w:t>
            </w:r>
            <w:r w:rsidR="00DF49EE">
              <w:t>°C temperature increase scenario</w:t>
            </w:r>
            <w:r>
              <w:t>.</w:t>
            </w:r>
            <w:r w:rsidR="00DF49EE">
              <w:t xml:space="preserve"> Both systems reduce the total GWP by 50 Mt CO</w:t>
            </w:r>
            <w:r w:rsidR="00DF49EE" w:rsidRPr="00B617F9">
              <w:rPr>
                <w:vertAlign w:val="subscript"/>
              </w:rPr>
              <w:t>2</w:t>
            </w:r>
            <w:r w:rsidR="00DF49EE">
              <w:t>e.</w:t>
            </w:r>
            <w:r>
              <w:t xml:space="preserve"> </w:t>
            </w:r>
            <w:r w:rsidR="00FD5C05">
              <w:t>M</w:t>
            </w:r>
            <w:r>
              <w:t>ethanol production quantities</w:t>
            </w:r>
            <w:r w:rsidR="00FD5C05">
              <w:t xml:space="preserve"> are indicated</w:t>
            </w:r>
            <w:r>
              <w:t xml:space="preserve"> in each region (boxes) and the share of the technology employed (color). </w:t>
            </w:r>
            <w:r w:rsidR="00124508">
              <w:t>D</w:t>
            </w:r>
            <w:r w:rsidR="00635E4F">
              <w:t>AC:</w:t>
            </w:r>
            <w:r w:rsidR="00124508">
              <w:t xml:space="preserve"> </w:t>
            </w:r>
            <w:r w:rsidR="0006036F">
              <w:t>d</w:t>
            </w:r>
            <w:r w:rsidR="00124508">
              <w:t>irect</w:t>
            </w:r>
            <w:r w:rsidR="006855B6">
              <w:t>-</w:t>
            </w:r>
            <w:r w:rsidR="0006036F">
              <w:t>a</w:t>
            </w:r>
            <w:r w:rsidR="00124508">
              <w:t xml:space="preserve">ir </w:t>
            </w:r>
            <w:r w:rsidR="0006036F">
              <w:t>c</w:t>
            </w:r>
            <w:r w:rsidR="00124508">
              <w:t>apture</w:t>
            </w:r>
            <w:r w:rsidR="00635E4F">
              <w:t>;</w:t>
            </w:r>
            <w:r w:rsidR="00124508">
              <w:t xml:space="preserve"> </w:t>
            </w:r>
            <w:r w:rsidR="004263B0">
              <w:t>P</w:t>
            </w:r>
            <w:r w:rsidR="00124508">
              <w:t>SC</w:t>
            </w:r>
            <w:r w:rsidR="00635E4F">
              <w:t xml:space="preserve">: </w:t>
            </w:r>
            <w:r w:rsidR="0006036F">
              <w:t>p</w:t>
            </w:r>
            <w:r w:rsidR="005F0F8A">
              <w:t>oint</w:t>
            </w:r>
            <w:r w:rsidR="00635E4F">
              <w:t>-</w:t>
            </w:r>
            <w:r w:rsidR="0006036F">
              <w:t>s</w:t>
            </w:r>
            <w:r w:rsidR="005F0F8A">
              <w:t xml:space="preserve">ource </w:t>
            </w:r>
            <w:r w:rsidR="0006036F">
              <w:t>c</w:t>
            </w:r>
            <w:r w:rsidR="005F0F8A">
              <w:t>apture</w:t>
            </w:r>
            <w:r w:rsidR="00F70D5B">
              <w:t>, BAU: business as usual</w:t>
            </w:r>
            <w:r w:rsidR="007A0FD2">
              <w:t xml:space="preserve"> (fossil</w:t>
            </w:r>
            <w:r w:rsidR="007C4FB9">
              <w:t xml:space="preserve"> based</w:t>
            </w:r>
            <w:r w:rsidR="007A0FD2">
              <w:t>)</w:t>
            </w:r>
            <w:r w:rsidR="005F0F8A">
              <w:t xml:space="preserve">. </w:t>
            </w:r>
          </w:p>
        </w:tc>
      </w:tr>
    </w:tbl>
    <w:p w14:paraId="5DF6A9E2" w14:textId="0C1CF3B4" w:rsidR="00B31D78" w:rsidRDefault="00B31D78" w:rsidP="00EE402F">
      <w:pPr>
        <w:pStyle w:val="Els-1storder-head"/>
        <w:numPr>
          <w:ilvl w:val="0"/>
          <w:numId w:val="0"/>
        </w:numPr>
        <w:spacing w:before="0"/>
      </w:pPr>
    </w:p>
    <w:p w14:paraId="29505F23" w14:textId="77777777" w:rsidR="00EE402F" w:rsidRPr="00B617F9" w:rsidRDefault="00EE402F" w:rsidP="00EE402F">
      <w:pPr>
        <w:pStyle w:val="Els-body-text"/>
        <w:rPr>
          <w:color w:val="000000" w:themeColor="text1"/>
        </w:rPr>
      </w:pPr>
      <w:r w:rsidRPr="00B617F9">
        <w:rPr>
          <w:color w:val="000000" w:themeColor="text1"/>
        </w:rPr>
        <w:t xml:space="preserve">Our use of PULPO in this study provides detailed technological and regional insights, as depicted in Figure </w:t>
      </w:r>
      <w:r w:rsidRPr="00B617F9">
        <w:rPr>
          <w:color w:val="0070C0"/>
        </w:rPr>
        <w:t>2</w:t>
      </w:r>
      <w:r w:rsidRPr="00B617F9">
        <w:rPr>
          <w:color w:val="000000" w:themeColor="text1"/>
        </w:rPr>
        <w:t>. In the 3.5</w:t>
      </w:r>
      <w:r>
        <w:rPr>
          <w:color w:val="000000" w:themeColor="text1"/>
        </w:rPr>
        <w:t xml:space="preserve"> </w:t>
      </w:r>
      <w:r w:rsidRPr="00B617F9">
        <w:rPr>
          <w:color w:val="000000" w:themeColor="text1"/>
        </w:rPr>
        <w:t xml:space="preserve">°C scenario, regions with more decarbonized grids face greater pressure to implement PSC for CCU, explained by the limited </w:t>
      </w:r>
      <w:r>
        <w:rPr>
          <w:color w:val="000000" w:themeColor="text1"/>
        </w:rPr>
        <w:t xml:space="preserve">number of </w:t>
      </w:r>
      <w:r w:rsidRPr="00B617F9">
        <w:rPr>
          <w:color w:val="000000" w:themeColor="text1"/>
        </w:rPr>
        <w:t>regions where PSC can outperform BAU. Consequently, electricity production capacities in these regions increase by 2.1</w:t>
      </w:r>
      <w:r>
        <w:rPr>
          <w:color w:val="000000" w:themeColor="text1"/>
        </w:rPr>
        <w:t xml:space="preserve"> </w:t>
      </w:r>
      <w:r w:rsidRPr="00B617F9">
        <w:rPr>
          <w:color w:val="000000" w:themeColor="text1"/>
        </w:rPr>
        <w:t>%. In the 1.5</w:t>
      </w:r>
      <w:r>
        <w:rPr>
          <w:color w:val="000000" w:themeColor="text1"/>
        </w:rPr>
        <w:t xml:space="preserve"> </w:t>
      </w:r>
      <w:r w:rsidRPr="00B617F9">
        <w:rPr>
          <w:color w:val="000000" w:themeColor="text1"/>
        </w:rPr>
        <w:t>°C scenario, this pressure decreases due to universally decarbonized grids, allowing better GWP performance from PSC and DAC compared to BAU. The maximum regional increase in electricity production capacity</w:t>
      </w:r>
      <w:r>
        <w:rPr>
          <w:color w:val="000000" w:themeColor="text1"/>
        </w:rPr>
        <w:t xml:space="preserve"> observed</w:t>
      </w:r>
      <w:r w:rsidRPr="00B617F9">
        <w:rPr>
          <w:color w:val="000000" w:themeColor="text1"/>
        </w:rPr>
        <w:t xml:space="preserve"> is 0.4</w:t>
      </w:r>
      <w:r>
        <w:rPr>
          <w:color w:val="000000" w:themeColor="text1"/>
        </w:rPr>
        <w:t xml:space="preserve"> </w:t>
      </w:r>
      <w:r w:rsidRPr="00B617F9">
        <w:rPr>
          <w:color w:val="000000" w:themeColor="text1"/>
        </w:rPr>
        <w:t xml:space="preserve">%. These geographically distributed results are strongly linked to the electricity constraint included in the optimization problem. </w:t>
      </w:r>
    </w:p>
    <w:p w14:paraId="0B5E9BEF" w14:textId="77777777" w:rsidR="00EE402F" w:rsidRPr="00B617F9" w:rsidRDefault="00EE402F" w:rsidP="00EE402F">
      <w:pPr>
        <w:pStyle w:val="Els-body-text"/>
        <w:rPr>
          <w:color w:val="000000" w:themeColor="text1"/>
        </w:rPr>
      </w:pPr>
      <w:r w:rsidRPr="00B617F9">
        <w:rPr>
          <w:color w:val="000000" w:themeColor="text1"/>
        </w:rPr>
        <w:t>Notably, compared to the 3.5</w:t>
      </w:r>
      <w:r>
        <w:rPr>
          <w:color w:val="000000" w:themeColor="text1"/>
        </w:rPr>
        <w:t xml:space="preserve"> </w:t>
      </w:r>
      <w:r w:rsidRPr="00B617F9">
        <w:rPr>
          <w:color w:val="000000" w:themeColor="text1"/>
        </w:rPr>
        <w:t>°C scenario, the 1.5</w:t>
      </w:r>
      <w:r>
        <w:rPr>
          <w:color w:val="000000" w:themeColor="text1"/>
        </w:rPr>
        <w:t xml:space="preserve"> </w:t>
      </w:r>
      <w:r w:rsidRPr="00B617F9">
        <w:rPr>
          <w:color w:val="000000" w:themeColor="text1"/>
        </w:rPr>
        <w:t>°C scenario employs DAC based methanol production. This can be explained by the fact that some regions like South America and Europe have grids with a very low fossil share. Consequently, they fail to provide sufficient CO</w:t>
      </w:r>
      <w:r w:rsidRPr="00B617F9">
        <w:rPr>
          <w:color w:val="000000" w:themeColor="text1"/>
          <w:vertAlign w:val="subscript"/>
        </w:rPr>
        <w:t>2</w:t>
      </w:r>
      <w:r w:rsidRPr="00B617F9">
        <w:rPr>
          <w:color w:val="000000" w:themeColor="text1"/>
        </w:rPr>
        <w:t xml:space="preserve"> for green methanol, making </w:t>
      </w:r>
      <w:r>
        <w:rPr>
          <w:color w:val="000000" w:themeColor="text1"/>
        </w:rPr>
        <w:t>DAC</w:t>
      </w:r>
      <w:r w:rsidRPr="00B617F9">
        <w:rPr>
          <w:color w:val="000000" w:themeColor="text1"/>
        </w:rPr>
        <w:t xml:space="preserve"> necessary to cover the carbon source requirements. </w:t>
      </w:r>
    </w:p>
    <w:p w14:paraId="4790C79C" w14:textId="77777777" w:rsidR="00EE402F" w:rsidRPr="00B617F9" w:rsidRDefault="00EE402F" w:rsidP="00EE402F">
      <w:pPr>
        <w:pStyle w:val="Els-body-text"/>
        <w:rPr>
          <w:color w:val="000000" w:themeColor="text1"/>
        </w:rPr>
      </w:pPr>
      <w:r w:rsidRPr="00B617F9">
        <w:rPr>
          <w:color w:val="000000" w:themeColor="text1"/>
        </w:rPr>
        <w:t xml:space="preserve">Leveraging the comprehensive data in the LCIs, this assessment was enabled by PULPO's ability to integrate the entire database as a superstructure. Furthermore, the impact of optimizing power mixes by retrofitting with carbon capture technologies </w:t>
      </w:r>
      <w:r w:rsidRPr="00B617F9">
        <w:rPr>
          <w:color w:val="000000" w:themeColor="text1"/>
        </w:rPr>
        <w:lastRenderedPageBreak/>
        <w:t>plays a crucial role in ensuring an accurate and coherent assessment. Although less pronounced, the assessment also implicitly considers additional feedback effects originating from changes in the chemical sector.</w:t>
      </w:r>
    </w:p>
    <w:p w14:paraId="4DBDEDCD" w14:textId="77777777" w:rsidR="00EE402F" w:rsidRPr="00EE402F" w:rsidRDefault="00EE402F" w:rsidP="00EE402F">
      <w:pPr>
        <w:pStyle w:val="Els-body-text"/>
      </w:pPr>
    </w:p>
    <w:p w14:paraId="780CACDE" w14:textId="4A1E51EC" w:rsidR="00B633F9" w:rsidRDefault="00895BCA" w:rsidP="00C555E2">
      <w:pPr>
        <w:pStyle w:val="Els-1storder-head"/>
        <w:spacing w:before="0"/>
      </w:pPr>
      <w:r>
        <w:t>C</w:t>
      </w:r>
      <w:r w:rsidR="00B633F9">
        <w:t>onclusions</w:t>
      </w:r>
    </w:p>
    <w:p w14:paraId="7D6F01DF" w14:textId="7B20A7DC" w:rsidR="00F66FEE" w:rsidRDefault="008812E1" w:rsidP="008812E1">
      <w:pPr>
        <w:pStyle w:val="Els-body-text"/>
        <w:rPr>
          <w:lang w:val="en-GB"/>
        </w:rPr>
      </w:pPr>
      <w:r>
        <w:t xml:space="preserve">PULPO represents a significant leap forward in merging mathematical optimization with LCA. Its integrated approach enables more precise and insightful analysis of technological and regional options in production systems. By accommodating dynamic changes within the </w:t>
      </w:r>
      <w:r w:rsidR="008D2872">
        <w:t>Technosphere</w:t>
      </w:r>
      <w:r>
        <w:t xml:space="preserve">, PULPO enhances the accuracy and relevance of environmental impact assessments, particularly in the context of large-scale, impactful socio-economic decisions. This framework opens new avenues </w:t>
      </w:r>
      <w:r w:rsidR="008D2872">
        <w:t xml:space="preserve">to support </w:t>
      </w:r>
      <w:r>
        <w:t xml:space="preserve">sustainable decision-making in </w:t>
      </w:r>
      <w:r w:rsidR="008D2872">
        <w:t>P</w:t>
      </w:r>
      <w:r>
        <w:t xml:space="preserve">rocess </w:t>
      </w:r>
      <w:r w:rsidR="008D2872">
        <w:t>S</w:t>
      </w:r>
      <w:r>
        <w:t xml:space="preserve">ystems </w:t>
      </w:r>
      <w:r w:rsidR="008D2872">
        <w:t>E</w:t>
      </w:r>
      <w:r>
        <w:t>ngineering</w:t>
      </w:r>
      <w:r w:rsidR="00954720">
        <w:t xml:space="preserve">, </w:t>
      </w:r>
      <w:r w:rsidR="008D2872">
        <w:t>building bridges with the Industrial Ecology community currently working on</w:t>
      </w:r>
      <w:r w:rsidR="00954720">
        <w:rPr>
          <w:lang w:val="en-GB"/>
        </w:rPr>
        <w:t xml:space="preserve"> LCA.</w:t>
      </w:r>
    </w:p>
    <w:p w14:paraId="3C456C24" w14:textId="3D43F727" w:rsidR="0053654B" w:rsidRPr="0053654B" w:rsidRDefault="008C4016" w:rsidP="009B5F6C">
      <w:pPr>
        <w:pStyle w:val="Els-reference-head"/>
        <w:tabs>
          <w:tab w:val="left" w:pos="4585"/>
        </w:tabs>
      </w:pPr>
      <w:r>
        <w:t>A</w:t>
      </w:r>
      <w:r w:rsidR="0053654B">
        <w:t>cknowledgements</w:t>
      </w:r>
      <w:r w:rsidR="00AD12ED">
        <w:tab/>
      </w:r>
    </w:p>
    <w:p w14:paraId="2F2B82BA" w14:textId="0DAAB488" w:rsidR="00D07157" w:rsidRPr="00AF22C8" w:rsidRDefault="00467FA3" w:rsidP="00B617F9">
      <w:pPr>
        <w:pStyle w:val="Els-body-text"/>
      </w:pPr>
      <w:r w:rsidRPr="00467FA3">
        <w:rPr>
          <w:lang w:val="en-GB"/>
        </w:rPr>
        <w:t>Grant PID2020-116051RB-I00 (CEPI) funded by MCIN/AEI/10.13039/501100011033 and by “ERDF A way of making Europe” is fully acknowledged. Fabian Lechtenberg gratefully acknowledges the “</w:t>
      </w:r>
      <w:proofErr w:type="spellStart"/>
      <w:r w:rsidRPr="00467FA3">
        <w:rPr>
          <w:lang w:val="en-GB"/>
        </w:rPr>
        <w:t>Departament</w:t>
      </w:r>
      <w:proofErr w:type="spellEnd"/>
      <w:r w:rsidRPr="00467FA3">
        <w:rPr>
          <w:lang w:val="en-GB"/>
        </w:rPr>
        <w:t xml:space="preserve"> de </w:t>
      </w:r>
      <w:proofErr w:type="spellStart"/>
      <w:r w:rsidRPr="00467FA3">
        <w:rPr>
          <w:lang w:val="en-GB"/>
        </w:rPr>
        <w:t>Recerca</w:t>
      </w:r>
      <w:proofErr w:type="spellEnd"/>
      <w:r w:rsidRPr="00467FA3">
        <w:rPr>
          <w:lang w:val="en-GB"/>
        </w:rPr>
        <w:t xml:space="preserve"> </w:t>
      </w:r>
      <w:proofErr w:type="spellStart"/>
      <w:r w:rsidRPr="00467FA3">
        <w:rPr>
          <w:lang w:val="en-GB"/>
        </w:rPr>
        <w:t>i</w:t>
      </w:r>
      <w:proofErr w:type="spellEnd"/>
      <w:r w:rsidRPr="00467FA3">
        <w:rPr>
          <w:lang w:val="en-GB"/>
        </w:rPr>
        <w:t xml:space="preserve"> </w:t>
      </w:r>
      <w:proofErr w:type="spellStart"/>
      <w:r w:rsidRPr="00467FA3">
        <w:rPr>
          <w:lang w:val="en-GB"/>
        </w:rPr>
        <w:t>Universitats</w:t>
      </w:r>
      <w:proofErr w:type="spellEnd"/>
      <w:r w:rsidRPr="00467FA3">
        <w:rPr>
          <w:lang w:val="en-GB"/>
        </w:rPr>
        <w:t xml:space="preserve"> de la </w:t>
      </w:r>
      <w:proofErr w:type="spellStart"/>
      <w:r w:rsidRPr="00467FA3">
        <w:rPr>
          <w:lang w:val="en-GB"/>
        </w:rPr>
        <w:t>Generalitat</w:t>
      </w:r>
      <w:proofErr w:type="spellEnd"/>
      <w:r w:rsidRPr="00467FA3">
        <w:rPr>
          <w:lang w:val="en-GB"/>
        </w:rPr>
        <w:t xml:space="preserve"> de Catalunya” for the financial support of his predoctoral grant FI-2022.</w:t>
      </w:r>
      <w:r w:rsidR="000A04AE">
        <w:rPr>
          <w:lang w:val="en-GB"/>
        </w:rPr>
        <w:t xml:space="preserve"> </w:t>
      </w:r>
      <w:r w:rsidR="000A04AE" w:rsidRPr="0053654B">
        <w:rPr>
          <w:lang w:val="en-GB"/>
        </w:rPr>
        <w:t xml:space="preserve">This publication was created as part of NCCR Catalysis (grant number 180544), a National Centre of Competence in Research funded by the Swiss National Science Foundation. </w:t>
      </w:r>
    </w:p>
    <w:p w14:paraId="144DE6BF" w14:textId="68DC81DF" w:rsidR="008D2649" w:rsidRDefault="00E202FC" w:rsidP="008D2649">
      <w:pPr>
        <w:pStyle w:val="Els-reference-head"/>
      </w:pPr>
      <w:r>
        <w:t>R</w:t>
      </w:r>
      <w:r w:rsidR="008D2649">
        <w:t>eferences</w:t>
      </w:r>
    </w:p>
    <w:p w14:paraId="3FEFD3BA" w14:textId="7F84DB61" w:rsidR="00A55F8D" w:rsidRPr="00B617F9" w:rsidRDefault="00A55F8D" w:rsidP="00A55F8D">
      <w:pPr>
        <w:pStyle w:val="Els-referenceno-number"/>
        <w:rPr>
          <w:lang w:val="en-US"/>
        </w:rPr>
      </w:pPr>
      <w:r w:rsidRPr="00B617F9">
        <w:rPr>
          <w:lang w:val="en-US"/>
        </w:rPr>
        <w:t>M. L. Bynum, G. A. Hackebeil, W. E. Hart, C. D. Laird, B. L. Nicholson, J. D. Siirola, D. L. Woodruff, 2021, Pyomo—Optimization Modeling in Python, Springer International Publishing</w:t>
      </w:r>
    </w:p>
    <w:p w14:paraId="472DBC44" w14:textId="6E6F3840" w:rsidR="00AF4DCB" w:rsidRDefault="00A55F8D" w:rsidP="00A55F8D">
      <w:pPr>
        <w:pStyle w:val="Els-referenceno-number"/>
        <w:rPr>
          <w:lang w:val="en-US"/>
        </w:rPr>
      </w:pPr>
      <w:r w:rsidRPr="00B617F9">
        <w:rPr>
          <w:lang w:val="en-US"/>
        </w:rPr>
        <w:t>J. Ferdous, F. Bensebaa, N. Pelletier, 2023, Integration of LCA, TEA, Process Simulation and Optimization: A systematic review of current practices and scope to propose a framework for pulse processing pathways, Journal of Cleaner Production, 402, 136804</w:t>
      </w:r>
    </w:p>
    <w:p w14:paraId="48C22364" w14:textId="5E42AA36" w:rsidR="00AF4DCB" w:rsidRDefault="00AF4DCB" w:rsidP="00A55F8D">
      <w:pPr>
        <w:pStyle w:val="Els-referenceno-number"/>
        <w:rPr>
          <w:lang w:val="en-US"/>
        </w:rPr>
      </w:pPr>
      <w:r>
        <w:rPr>
          <w:lang w:val="en-US"/>
        </w:rPr>
        <w:t xml:space="preserve">R. </w:t>
      </w:r>
      <w:r w:rsidRPr="00AF4DCB">
        <w:rPr>
          <w:lang w:val="en-US"/>
        </w:rPr>
        <w:t xml:space="preserve">Heijungs, </w:t>
      </w:r>
      <w:r>
        <w:rPr>
          <w:lang w:val="en-US"/>
        </w:rPr>
        <w:t>S.</w:t>
      </w:r>
      <w:r w:rsidRPr="00AF4DCB">
        <w:rPr>
          <w:lang w:val="en-US"/>
        </w:rPr>
        <w:t xml:space="preserve"> Suh, 2002, The Computational Structure of Life Cycle Assessment, Springer Netherlands</w:t>
      </w:r>
    </w:p>
    <w:p w14:paraId="4FB01341" w14:textId="409C56FE" w:rsidR="00A55F8D" w:rsidRPr="00B617F9" w:rsidRDefault="00A55F8D" w:rsidP="00A55F8D">
      <w:pPr>
        <w:pStyle w:val="Els-referenceno-number"/>
        <w:rPr>
          <w:lang w:val="en-US"/>
        </w:rPr>
      </w:pPr>
      <w:r w:rsidRPr="00B617F9">
        <w:rPr>
          <w:lang w:val="en-US"/>
        </w:rPr>
        <w:t>A. Kätelhön, A. Bardow, S. Suh, 2016, Stochastic Technology Choice Model for Consequential Life Cycle Assessment, Environmental Science &amp; Technology, 50(23), 12575–12583</w:t>
      </w:r>
    </w:p>
    <w:p w14:paraId="093C773B" w14:textId="7BD1E2BE" w:rsidR="00A55F8D" w:rsidRPr="00B617F9" w:rsidRDefault="00A55F8D" w:rsidP="00A55F8D">
      <w:pPr>
        <w:pStyle w:val="Els-referenceno-number"/>
        <w:rPr>
          <w:lang w:val="de-DE"/>
        </w:rPr>
      </w:pPr>
      <w:r w:rsidRPr="00B617F9">
        <w:rPr>
          <w:lang w:val="de-DE"/>
        </w:rPr>
        <w:t>F. Lechtenberg, 2023, flechtenberg/pulpo: PULPO Release v1.0.0, Zenodo</w:t>
      </w:r>
    </w:p>
    <w:p w14:paraId="50E797EC" w14:textId="7E630826" w:rsidR="00A55F8D" w:rsidRPr="00B617F9" w:rsidRDefault="00A55F8D" w:rsidP="00A55F8D">
      <w:pPr>
        <w:pStyle w:val="Els-referenceno-number"/>
        <w:rPr>
          <w:lang w:val="en-US"/>
        </w:rPr>
      </w:pPr>
      <w:r w:rsidRPr="00B617F9">
        <w:rPr>
          <w:lang w:val="en-US"/>
        </w:rPr>
        <w:t>R. Meys, A. Kätelhön, M. Bachmann, B. Winter, C. Zibunas, S. Suh, A. Bardow, 2021, Achieving net-zero greenhouse gas emission plastics by a circular carbon economy, Science, 374(6563), 71–76</w:t>
      </w:r>
    </w:p>
    <w:p w14:paraId="4BF67086" w14:textId="3321E867" w:rsidR="00A55F8D" w:rsidRPr="00B617F9" w:rsidRDefault="00A55F8D" w:rsidP="00A55F8D">
      <w:pPr>
        <w:pStyle w:val="Els-referenceno-number"/>
        <w:rPr>
          <w:lang w:val="en-US"/>
        </w:rPr>
      </w:pPr>
      <w:r w:rsidRPr="00B617F9">
        <w:rPr>
          <w:lang w:val="en-US"/>
        </w:rPr>
        <w:t>C. Mutel, 2017, Brightway: An open source framework for Life Cycle Assessment, The Journal of Open Source Software, 2(12), 236</w:t>
      </w:r>
    </w:p>
    <w:p w14:paraId="144DE6C3" w14:textId="5ED3EB6E" w:rsidR="008D2649" w:rsidRPr="00B617F9" w:rsidRDefault="00A55F8D" w:rsidP="00A55F8D">
      <w:pPr>
        <w:pStyle w:val="Els-referenceno-number"/>
        <w:rPr>
          <w:lang w:val="en-US"/>
        </w:rPr>
      </w:pPr>
      <w:r w:rsidRPr="00B617F9">
        <w:rPr>
          <w:lang w:val="en-US"/>
        </w:rPr>
        <w:t>R. Sacchi, T. Terlouw, K. Siala, A. Dirnaichner, C. Bauer, B. Cox, G. Luderer, 2022, PRospective EnvironMental Impact asSEment (premise): A streamlined approach to producing databases for prospective life cycle assessment using integrated assessment models, Renewable and Sustainable Energy Reviews, 160, 112311</w:t>
      </w:r>
    </w:p>
    <w:sectPr w:rsidR="008D2649" w:rsidRPr="00B617F9"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3A9CF" w14:textId="77777777" w:rsidR="00227BC8" w:rsidRDefault="00227BC8">
      <w:r>
        <w:separator/>
      </w:r>
    </w:p>
  </w:endnote>
  <w:endnote w:type="continuationSeparator" w:id="0">
    <w:p w14:paraId="6B392245" w14:textId="77777777" w:rsidR="00227BC8" w:rsidRDefault="00227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48BAD" w14:textId="77777777" w:rsidR="00227BC8" w:rsidRDefault="00227BC8">
      <w:r>
        <w:separator/>
      </w:r>
    </w:p>
  </w:footnote>
  <w:footnote w:type="continuationSeparator" w:id="0">
    <w:p w14:paraId="3861E019" w14:textId="77777777" w:rsidR="00227BC8" w:rsidRDefault="00227B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EB2E158" w:rsidR="00DD3D9E" w:rsidRDefault="00DD3D9E">
    <w:pPr>
      <w:pStyle w:val="Header"/>
      <w:tabs>
        <w:tab w:val="clear" w:pos="7200"/>
        <w:tab w:val="right" w:pos="7088"/>
      </w:tabs>
    </w:pPr>
    <w:r>
      <w:rPr>
        <w:rStyle w:val="PageNumber"/>
      </w:rPr>
      <w:tab/>
    </w:r>
    <w:r>
      <w:rPr>
        <w:rStyle w:val="PageNumber"/>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0F7BDF63" w:rsidR="00DD3D9E" w:rsidRDefault="00DD3D9E">
    <w:pPr>
      <w:pStyle w:val="Header"/>
      <w:tabs>
        <w:tab w:val="clear" w:pos="7200"/>
        <w:tab w:val="right" w:pos="7088"/>
      </w:tabs>
      <w:jc w:val="right"/>
      <w:rPr>
        <w:sz w:val="24"/>
      </w:rPr>
    </w:pPr>
    <w:r>
      <w:rPr>
        <w:rStyle w:val="PageNumber"/>
        <w:i/>
        <w:sz w:val="24"/>
      </w:rPr>
      <w:tab/>
    </w:r>
    <w:r>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C" w14:textId="65EF433B" w:rsidR="00DD3D9E" w:rsidRPr="00FF6043" w:rsidRDefault="001B1DE3" w:rsidP="00FF6043">
    <w:pPr>
      <w:pStyle w:val="ElsevierBodyTextCentredNospace"/>
      <w:jc w:val="left"/>
      <w:rPr>
        <w:noProof/>
        <w:sz w:val="20"/>
        <w:szCs w:val="20"/>
      </w:rPr>
    </w:pPr>
    <w:r>
      <w:rPr>
        <w:noProof/>
        <w:color w:val="auto"/>
        <w:sz w:val="20"/>
        <w:szCs w:val="20"/>
      </w:rPr>
      <w:drawing>
        <wp:inline distT="0" distB="0" distL="0" distR="0" wp14:anchorId="26F3196F" wp14:editId="0458D368">
          <wp:extent cx="4499610" cy="9169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ongress.jpg"/>
                  <pic:cNvPicPr/>
                </pic:nvPicPr>
                <pic:blipFill>
                  <a:blip r:embed="rId1">
                    <a:extLst>
                      <a:ext uri="{28A0092B-C50C-407E-A947-70E740481C1C}">
                        <a14:useLocalDpi xmlns:a14="http://schemas.microsoft.com/office/drawing/2010/main" val="0"/>
                      </a:ext>
                    </a:extLst>
                  </a:blip>
                  <a:stretch>
                    <a:fillRect/>
                  </a:stretch>
                </pic:blipFill>
                <pic:spPr>
                  <a:xfrm>
                    <a:off x="0" y="0"/>
                    <a:ext cx="4499610" cy="916940"/>
                  </a:xfrm>
                  <a:prstGeom prst="rect">
                    <a:avLst/>
                  </a:prstGeom>
                </pic:spPr>
              </pic:pic>
            </a:graphicData>
          </a:graphic>
        </wp:inline>
      </w:drawing>
    </w:r>
    <w:r w:rsidR="00F06842" w:rsidRPr="00FF6043">
      <w:rPr>
        <w:color w:val="auto"/>
        <w:sz w:val="20"/>
        <w:szCs w:val="20"/>
      </w:rPr>
      <w:t xml:space="preserve">Flavio </w:t>
    </w:r>
    <w:proofErr w:type="spellStart"/>
    <w:r w:rsidR="00F06842" w:rsidRPr="00FF6043">
      <w:rPr>
        <w:color w:val="auto"/>
        <w:sz w:val="20"/>
        <w:szCs w:val="20"/>
      </w:rPr>
      <w:t>Manenti</w:t>
    </w:r>
    <w:proofErr w:type="spellEnd"/>
    <w:r w:rsidR="00F06842" w:rsidRPr="00FF6043">
      <w:rPr>
        <w:color w:val="auto"/>
        <w:sz w:val="20"/>
        <w:szCs w:val="20"/>
      </w:rPr>
      <w:t xml:space="preserve">, </w:t>
    </w:r>
    <w:proofErr w:type="spellStart"/>
    <w:r w:rsidR="00F06842" w:rsidRPr="00FF6043">
      <w:rPr>
        <w:color w:val="auto"/>
        <w:sz w:val="20"/>
        <w:szCs w:val="20"/>
      </w:rPr>
      <w:t>Gintaras</w:t>
    </w:r>
    <w:proofErr w:type="spellEnd"/>
    <w:r w:rsidR="00F06842" w:rsidRPr="00FF6043">
      <w:rPr>
        <w:color w:val="auto"/>
        <w:sz w:val="20"/>
        <w:szCs w:val="20"/>
      </w:rPr>
      <w:t xml:space="preserve"> V. </w:t>
    </w:r>
    <w:proofErr w:type="spellStart"/>
    <w:r w:rsidR="00F06842" w:rsidRPr="00FF6043">
      <w:rPr>
        <w:color w:val="auto"/>
        <w:sz w:val="20"/>
        <w:szCs w:val="20"/>
      </w:rPr>
      <w:t>Reklaitis</w:t>
    </w:r>
    <w:proofErr w:type="spellEnd"/>
    <w:r w:rsidR="00F06842" w:rsidRPr="00FF6043">
      <w:rPr>
        <w:color w:val="auto"/>
        <w:sz w:val="20"/>
        <w:szCs w:val="20"/>
      </w:rPr>
      <w:t xml:space="preserve"> (Eds.), </w:t>
    </w:r>
    <w:r w:rsidR="00FF6043" w:rsidRPr="00FF6043">
      <w:rPr>
        <w:color w:val="auto"/>
        <w:sz w:val="20"/>
        <w:szCs w:val="20"/>
      </w:rPr>
      <w:t>B</w:t>
    </w:r>
    <w:r w:rsidR="00FF6043" w:rsidRPr="00FF6043">
      <w:rPr>
        <w:noProof/>
        <w:sz w:val="20"/>
        <w:szCs w:val="20"/>
      </w:rPr>
      <w:t>ook of Abstract</w:t>
    </w:r>
    <w:r w:rsidR="00F06842" w:rsidRPr="00FF6043">
      <w:rPr>
        <w:noProof/>
        <w:sz w:val="20"/>
        <w:szCs w:val="20"/>
      </w:rPr>
      <w:t xml:space="preserve"> of the </w:t>
    </w:r>
    <w:r w:rsidR="00F06842" w:rsidRPr="00FF6043">
      <w:rPr>
        <w:rStyle w:val="underline1"/>
        <w:sz w:val="20"/>
        <w:szCs w:val="20"/>
        <w:u w:val="none"/>
      </w:rPr>
      <w:t>34</w:t>
    </w:r>
    <w:r w:rsidR="00F06842" w:rsidRPr="00FF6043">
      <w:rPr>
        <w:rStyle w:val="underline1"/>
        <w:sz w:val="20"/>
        <w:szCs w:val="20"/>
        <w:u w:val="none"/>
        <w:vertAlign w:val="superscript"/>
      </w:rPr>
      <w:t>th</w:t>
    </w:r>
    <w:r w:rsidR="00F06842" w:rsidRPr="00FF6043">
      <w:rPr>
        <w:rStyle w:val="underline1"/>
        <w:sz w:val="20"/>
        <w:szCs w:val="20"/>
        <w:u w:val="none"/>
      </w:rPr>
      <w:t xml:space="preserve"> European Symposium on Computer Aided Process Engineering / 15</w:t>
    </w:r>
    <w:r w:rsidR="00F06842" w:rsidRPr="00FF6043">
      <w:rPr>
        <w:rStyle w:val="underline1"/>
        <w:sz w:val="20"/>
        <w:szCs w:val="20"/>
        <w:u w:val="none"/>
        <w:vertAlign w:val="superscript"/>
      </w:rPr>
      <w:t>th</w:t>
    </w:r>
    <w:r w:rsidR="00F06842" w:rsidRPr="00FF6043">
      <w:rPr>
        <w:rStyle w:val="underline1"/>
        <w:sz w:val="20"/>
        <w:szCs w:val="20"/>
        <w:u w:val="none"/>
      </w:rPr>
      <w:t xml:space="preserve"> International Symposium on Process Systems Engineerin</w:t>
    </w:r>
    <w:r w:rsidR="00F06842" w:rsidRPr="00FF6043">
      <w:rPr>
        <w:rStyle w:val="underline1"/>
        <w:sz w:val="20"/>
        <w:szCs w:val="20"/>
      </w:rPr>
      <w:t>g</w:t>
    </w:r>
    <w:r w:rsidR="00F06842" w:rsidRPr="00FF6043">
      <w:rPr>
        <w:noProof/>
        <w:sz w:val="20"/>
        <w:szCs w:val="20"/>
      </w:rPr>
      <w:t xml:space="preserve"> (ESCAPE34/PSE24), June 2-6, 2024,</w:t>
    </w:r>
    <w:r w:rsidR="00F06842" w:rsidRPr="00FF6043">
      <w:rPr>
        <w:sz w:val="20"/>
        <w:szCs w:val="20"/>
      </w:rPr>
      <w:t xml:space="preserve"> Florence</w:t>
    </w:r>
    <w:r w:rsidR="00F06842" w:rsidRPr="00FF6043">
      <w:rPr>
        <w:noProof/>
        <w:sz w:val="20"/>
        <w:szCs w:val="20"/>
      </w:rPr>
      <w:t>, Italy</w:t>
    </w:r>
    <w:r w:rsidR="00FF6043">
      <w:rPr>
        <w:noProof/>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5DF75DA"/>
    <w:multiLevelType w:val="hybridMultilevel"/>
    <w:tmpl w:val="159C8556"/>
    <w:lvl w:ilvl="0" w:tplc="B0123E72">
      <w:start w:val="1"/>
      <w:numFmt w:val="lowerLetter"/>
      <w:lvlText w:val="(%1)"/>
      <w:lvlJc w:val="left"/>
      <w:pPr>
        <w:ind w:left="3154" w:hanging="360"/>
      </w:pPr>
      <w:rPr>
        <w:rFonts w:hint="default"/>
      </w:rPr>
    </w:lvl>
    <w:lvl w:ilvl="1" w:tplc="04090019" w:tentative="1">
      <w:start w:val="1"/>
      <w:numFmt w:val="lowerLetter"/>
      <w:lvlText w:val="%2."/>
      <w:lvlJc w:val="left"/>
      <w:pPr>
        <w:ind w:left="3874" w:hanging="360"/>
      </w:pPr>
    </w:lvl>
    <w:lvl w:ilvl="2" w:tplc="0409001B" w:tentative="1">
      <w:start w:val="1"/>
      <w:numFmt w:val="lowerRoman"/>
      <w:lvlText w:val="%3."/>
      <w:lvlJc w:val="right"/>
      <w:pPr>
        <w:ind w:left="4594" w:hanging="180"/>
      </w:pPr>
    </w:lvl>
    <w:lvl w:ilvl="3" w:tplc="0409000F" w:tentative="1">
      <w:start w:val="1"/>
      <w:numFmt w:val="decimal"/>
      <w:lvlText w:val="%4."/>
      <w:lvlJc w:val="left"/>
      <w:pPr>
        <w:ind w:left="5314" w:hanging="360"/>
      </w:pPr>
    </w:lvl>
    <w:lvl w:ilvl="4" w:tplc="04090019" w:tentative="1">
      <w:start w:val="1"/>
      <w:numFmt w:val="lowerLetter"/>
      <w:lvlText w:val="%5."/>
      <w:lvlJc w:val="left"/>
      <w:pPr>
        <w:ind w:left="6034" w:hanging="360"/>
      </w:pPr>
    </w:lvl>
    <w:lvl w:ilvl="5" w:tplc="0409001B" w:tentative="1">
      <w:start w:val="1"/>
      <w:numFmt w:val="lowerRoman"/>
      <w:lvlText w:val="%6."/>
      <w:lvlJc w:val="right"/>
      <w:pPr>
        <w:ind w:left="6754" w:hanging="180"/>
      </w:pPr>
    </w:lvl>
    <w:lvl w:ilvl="6" w:tplc="0409000F" w:tentative="1">
      <w:start w:val="1"/>
      <w:numFmt w:val="decimal"/>
      <w:lvlText w:val="%7."/>
      <w:lvlJc w:val="left"/>
      <w:pPr>
        <w:ind w:left="7474" w:hanging="360"/>
      </w:pPr>
    </w:lvl>
    <w:lvl w:ilvl="7" w:tplc="04090019" w:tentative="1">
      <w:start w:val="1"/>
      <w:numFmt w:val="lowerLetter"/>
      <w:lvlText w:val="%8."/>
      <w:lvlJc w:val="left"/>
      <w:pPr>
        <w:ind w:left="8194" w:hanging="360"/>
      </w:pPr>
    </w:lvl>
    <w:lvl w:ilvl="8" w:tplc="0409001B" w:tentative="1">
      <w:start w:val="1"/>
      <w:numFmt w:val="lowerRoman"/>
      <w:lvlText w:val="%9."/>
      <w:lvlJc w:val="right"/>
      <w:pPr>
        <w:ind w:left="8914" w:hanging="180"/>
      </w:pPr>
    </w:lvl>
  </w:abstractNum>
  <w:abstractNum w:abstractNumId="2"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4"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7087"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6"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7"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E365280"/>
    <w:multiLevelType w:val="hybridMultilevel"/>
    <w:tmpl w:val="AA6C7A94"/>
    <w:lvl w:ilvl="0" w:tplc="9FDA026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2"/>
  </w:num>
  <w:num w:numId="2">
    <w:abstractNumId w:val="12"/>
  </w:num>
  <w:num w:numId="3">
    <w:abstractNumId w:val="12"/>
  </w:num>
  <w:num w:numId="4">
    <w:abstractNumId w:val="12"/>
  </w:num>
  <w:num w:numId="5">
    <w:abstractNumId w:val="0"/>
  </w:num>
  <w:num w:numId="6">
    <w:abstractNumId w:val="7"/>
  </w:num>
  <w:num w:numId="7">
    <w:abstractNumId w:val="13"/>
  </w:num>
  <w:num w:numId="8">
    <w:abstractNumId w:val="2"/>
  </w:num>
  <w:num w:numId="9">
    <w:abstractNumId w:val="11"/>
  </w:num>
  <w:num w:numId="10">
    <w:abstractNumId w:val="16"/>
  </w:num>
  <w:num w:numId="11">
    <w:abstractNumId w:val="15"/>
  </w:num>
  <w:num w:numId="12">
    <w:abstractNumId w:val="6"/>
  </w:num>
  <w:num w:numId="13">
    <w:abstractNumId w:val="9"/>
  </w:num>
  <w:num w:numId="14">
    <w:abstractNumId w:val="3"/>
  </w:num>
  <w:num w:numId="15">
    <w:abstractNumId w:val="8"/>
  </w:num>
  <w:num w:numId="16">
    <w:abstractNumId w:val="4"/>
  </w:num>
  <w:num w:numId="17">
    <w:abstractNumId w:val="5"/>
  </w:num>
  <w:num w:numId="18">
    <w:abstractNumId w:val="10"/>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3237"/>
    <w:rsid w:val="0001011B"/>
    <w:rsid w:val="00020B99"/>
    <w:rsid w:val="000223BA"/>
    <w:rsid w:val="00022D7C"/>
    <w:rsid w:val="000237B1"/>
    <w:rsid w:val="00023DFE"/>
    <w:rsid w:val="0002473E"/>
    <w:rsid w:val="00031C57"/>
    <w:rsid w:val="00032C4F"/>
    <w:rsid w:val="00041243"/>
    <w:rsid w:val="0004340E"/>
    <w:rsid w:val="00045EAB"/>
    <w:rsid w:val="00046201"/>
    <w:rsid w:val="00051528"/>
    <w:rsid w:val="0006036F"/>
    <w:rsid w:val="0006582D"/>
    <w:rsid w:val="000672C0"/>
    <w:rsid w:val="000700CA"/>
    <w:rsid w:val="000755E8"/>
    <w:rsid w:val="000762DD"/>
    <w:rsid w:val="000772AD"/>
    <w:rsid w:val="00077AF3"/>
    <w:rsid w:val="00086CFD"/>
    <w:rsid w:val="000871E0"/>
    <w:rsid w:val="000918B8"/>
    <w:rsid w:val="00091BF2"/>
    <w:rsid w:val="00091C0F"/>
    <w:rsid w:val="000920DC"/>
    <w:rsid w:val="0009517C"/>
    <w:rsid w:val="00096344"/>
    <w:rsid w:val="000A04AE"/>
    <w:rsid w:val="000A4DFD"/>
    <w:rsid w:val="000A6127"/>
    <w:rsid w:val="000A6DD2"/>
    <w:rsid w:val="000B6358"/>
    <w:rsid w:val="000B79D6"/>
    <w:rsid w:val="000B7FE5"/>
    <w:rsid w:val="000C0E10"/>
    <w:rsid w:val="000C1FB3"/>
    <w:rsid w:val="000C3954"/>
    <w:rsid w:val="000C739D"/>
    <w:rsid w:val="000D0A1B"/>
    <w:rsid w:val="000D18CE"/>
    <w:rsid w:val="000D2993"/>
    <w:rsid w:val="000D29D8"/>
    <w:rsid w:val="000D3D9B"/>
    <w:rsid w:val="000D47FC"/>
    <w:rsid w:val="000D4FDC"/>
    <w:rsid w:val="000E498A"/>
    <w:rsid w:val="000E72E3"/>
    <w:rsid w:val="000E7E55"/>
    <w:rsid w:val="000F19DE"/>
    <w:rsid w:val="000F2AF9"/>
    <w:rsid w:val="000F3D96"/>
    <w:rsid w:val="000F5C74"/>
    <w:rsid w:val="000F6BB7"/>
    <w:rsid w:val="000F73E2"/>
    <w:rsid w:val="000F7ECC"/>
    <w:rsid w:val="0010709E"/>
    <w:rsid w:val="00114A42"/>
    <w:rsid w:val="001155BB"/>
    <w:rsid w:val="0011644A"/>
    <w:rsid w:val="001166E6"/>
    <w:rsid w:val="00120832"/>
    <w:rsid w:val="00124508"/>
    <w:rsid w:val="00126B84"/>
    <w:rsid w:val="00131597"/>
    <w:rsid w:val="001324DA"/>
    <w:rsid w:val="00134253"/>
    <w:rsid w:val="00137E1D"/>
    <w:rsid w:val="001432E1"/>
    <w:rsid w:val="00143567"/>
    <w:rsid w:val="00143F6D"/>
    <w:rsid w:val="00144C7E"/>
    <w:rsid w:val="00146FCC"/>
    <w:rsid w:val="00150C74"/>
    <w:rsid w:val="0016032F"/>
    <w:rsid w:val="00163B66"/>
    <w:rsid w:val="0016429B"/>
    <w:rsid w:val="001676E0"/>
    <w:rsid w:val="0017064A"/>
    <w:rsid w:val="001717CB"/>
    <w:rsid w:val="00173BFC"/>
    <w:rsid w:val="00173DA7"/>
    <w:rsid w:val="0017502B"/>
    <w:rsid w:val="00175509"/>
    <w:rsid w:val="00176BAE"/>
    <w:rsid w:val="00177ED7"/>
    <w:rsid w:val="001879F6"/>
    <w:rsid w:val="00187A42"/>
    <w:rsid w:val="0019011B"/>
    <w:rsid w:val="0019382E"/>
    <w:rsid w:val="00194FE0"/>
    <w:rsid w:val="00196211"/>
    <w:rsid w:val="001A06D1"/>
    <w:rsid w:val="001A142E"/>
    <w:rsid w:val="001A2D31"/>
    <w:rsid w:val="001A31FB"/>
    <w:rsid w:val="001A5467"/>
    <w:rsid w:val="001A5F0D"/>
    <w:rsid w:val="001A6389"/>
    <w:rsid w:val="001A7B99"/>
    <w:rsid w:val="001B1DE3"/>
    <w:rsid w:val="001B2A59"/>
    <w:rsid w:val="001B33AA"/>
    <w:rsid w:val="001B3676"/>
    <w:rsid w:val="001B4621"/>
    <w:rsid w:val="001B547C"/>
    <w:rsid w:val="001B5EAB"/>
    <w:rsid w:val="001B7935"/>
    <w:rsid w:val="001C0148"/>
    <w:rsid w:val="001C15BF"/>
    <w:rsid w:val="001C298B"/>
    <w:rsid w:val="001C6DD5"/>
    <w:rsid w:val="001C757E"/>
    <w:rsid w:val="001D2837"/>
    <w:rsid w:val="001D446A"/>
    <w:rsid w:val="001D5394"/>
    <w:rsid w:val="001D62C5"/>
    <w:rsid w:val="001D7366"/>
    <w:rsid w:val="001D768F"/>
    <w:rsid w:val="001E1945"/>
    <w:rsid w:val="001F078F"/>
    <w:rsid w:val="001F41BC"/>
    <w:rsid w:val="001F624A"/>
    <w:rsid w:val="00202461"/>
    <w:rsid w:val="0020390F"/>
    <w:rsid w:val="00203937"/>
    <w:rsid w:val="0020691B"/>
    <w:rsid w:val="00207139"/>
    <w:rsid w:val="00211DFB"/>
    <w:rsid w:val="00212D2D"/>
    <w:rsid w:val="002130C5"/>
    <w:rsid w:val="002157F4"/>
    <w:rsid w:val="00225F69"/>
    <w:rsid w:val="00227011"/>
    <w:rsid w:val="00227710"/>
    <w:rsid w:val="00227BC8"/>
    <w:rsid w:val="002333BE"/>
    <w:rsid w:val="00237A48"/>
    <w:rsid w:val="00240AB6"/>
    <w:rsid w:val="00242124"/>
    <w:rsid w:val="002433B1"/>
    <w:rsid w:val="00247794"/>
    <w:rsid w:val="00247A92"/>
    <w:rsid w:val="00251B7C"/>
    <w:rsid w:val="002541A1"/>
    <w:rsid w:val="00254CA2"/>
    <w:rsid w:val="00255849"/>
    <w:rsid w:val="00257B00"/>
    <w:rsid w:val="0026354E"/>
    <w:rsid w:val="002639A8"/>
    <w:rsid w:val="002641DF"/>
    <w:rsid w:val="00264926"/>
    <w:rsid w:val="002655DA"/>
    <w:rsid w:val="00265EC4"/>
    <w:rsid w:val="0026638B"/>
    <w:rsid w:val="00266E4B"/>
    <w:rsid w:val="00267DBF"/>
    <w:rsid w:val="002737AC"/>
    <w:rsid w:val="00273E36"/>
    <w:rsid w:val="0027499E"/>
    <w:rsid w:val="00275A9C"/>
    <w:rsid w:val="00287765"/>
    <w:rsid w:val="002933EB"/>
    <w:rsid w:val="00294251"/>
    <w:rsid w:val="00294551"/>
    <w:rsid w:val="002974EB"/>
    <w:rsid w:val="002976C8"/>
    <w:rsid w:val="002A221B"/>
    <w:rsid w:val="002A4D58"/>
    <w:rsid w:val="002C07E9"/>
    <w:rsid w:val="002C23AA"/>
    <w:rsid w:val="002C30E5"/>
    <w:rsid w:val="002C4A9A"/>
    <w:rsid w:val="002D42B4"/>
    <w:rsid w:val="002D6863"/>
    <w:rsid w:val="002D714D"/>
    <w:rsid w:val="002D72A5"/>
    <w:rsid w:val="002E3EDE"/>
    <w:rsid w:val="002E3FA7"/>
    <w:rsid w:val="002F33DA"/>
    <w:rsid w:val="002F5209"/>
    <w:rsid w:val="002F5918"/>
    <w:rsid w:val="00302E3D"/>
    <w:rsid w:val="00305690"/>
    <w:rsid w:val="00305E72"/>
    <w:rsid w:val="003067E5"/>
    <w:rsid w:val="00314218"/>
    <w:rsid w:val="00314A41"/>
    <w:rsid w:val="00317674"/>
    <w:rsid w:val="003219C7"/>
    <w:rsid w:val="00322607"/>
    <w:rsid w:val="00324876"/>
    <w:rsid w:val="00324DD2"/>
    <w:rsid w:val="00327CA1"/>
    <w:rsid w:val="003301C2"/>
    <w:rsid w:val="00336D0C"/>
    <w:rsid w:val="003405E0"/>
    <w:rsid w:val="00340711"/>
    <w:rsid w:val="00342A0A"/>
    <w:rsid w:val="00344D01"/>
    <w:rsid w:val="00346861"/>
    <w:rsid w:val="00346DFA"/>
    <w:rsid w:val="00351D1D"/>
    <w:rsid w:val="00354AD4"/>
    <w:rsid w:val="003644AB"/>
    <w:rsid w:val="003708A2"/>
    <w:rsid w:val="003720FF"/>
    <w:rsid w:val="00374954"/>
    <w:rsid w:val="00375BD6"/>
    <w:rsid w:val="00383DCC"/>
    <w:rsid w:val="00385505"/>
    <w:rsid w:val="003924C7"/>
    <w:rsid w:val="0039743E"/>
    <w:rsid w:val="003979CC"/>
    <w:rsid w:val="00397BE4"/>
    <w:rsid w:val="003A0661"/>
    <w:rsid w:val="003A079B"/>
    <w:rsid w:val="003A1240"/>
    <w:rsid w:val="003A3A9D"/>
    <w:rsid w:val="003A7A50"/>
    <w:rsid w:val="003B6A2D"/>
    <w:rsid w:val="003C0601"/>
    <w:rsid w:val="003C1FC3"/>
    <w:rsid w:val="003C25A1"/>
    <w:rsid w:val="003C2A13"/>
    <w:rsid w:val="003C4D02"/>
    <w:rsid w:val="003C7C02"/>
    <w:rsid w:val="003D1582"/>
    <w:rsid w:val="003D2C62"/>
    <w:rsid w:val="003D3F0B"/>
    <w:rsid w:val="003D5643"/>
    <w:rsid w:val="003D7E4C"/>
    <w:rsid w:val="003E0A98"/>
    <w:rsid w:val="003E41C2"/>
    <w:rsid w:val="003F68B9"/>
    <w:rsid w:val="0040051D"/>
    <w:rsid w:val="0041220A"/>
    <w:rsid w:val="004147E6"/>
    <w:rsid w:val="00417C4D"/>
    <w:rsid w:val="00420D5A"/>
    <w:rsid w:val="00423D3F"/>
    <w:rsid w:val="004263B0"/>
    <w:rsid w:val="00431D9F"/>
    <w:rsid w:val="00434315"/>
    <w:rsid w:val="004345C3"/>
    <w:rsid w:val="00437B6D"/>
    <w:rsid w:val="00437D1E"/>
    <w:rsid w:val="0045304D"/>
    <w:rsid w:val="00453FEB"/>
    <w:rsid w:val="00461A2C"/>
    <w:rsid w:val="00461ACF"/>
    <w:rsid w:val="004628E9"/>
    <w:rsid w:val="00467FA3"/>
    <w:rsid w:val="004748D0"/>
    <w:rsid w:val="004760EE"/>
    <w:rsid w:val="00476652"/>
    <w:rsid w:val="0048107A"/>
    <w:rsid w:val="00482027"/>
    <w:rsid w:val="0049033C"/>
    <w:rsid w:val="00490D2B"/>
    <w:rsid w:val="004915EE"/>
    <w:rsid w:val="004949DE"/>
    <w:rsid w:val="0049772C"/>
    <w:rsid w:val="004A2FCC"/>
    <w:rsid w:val="004B05F2"/>
    <w:rsid w:val="004B4A32"/>
    <w:rsid w:val="004B4F9C"/>
    <w:rsid w:val="004B5522"/>
    <w:rsid w:val="004B621F"/>
    <w:rsid w:val="004C1D96"/>
    <w:rsid w:val="004C2FF7"/>
    <w:rsid w:val="004C38EB"/>
    <w:rsid w:val="004C3966"/>
    <w:rsid w:val="004C4149"/>
    <w:rsid w:val="004C4BF4"/>
    <w:rsid w:val="004C7409"/>
    <w:rsid w:val="004D3670"/>
    <w:rsid w:val="004D50EE"/>
    <w:rsid w:val="004D59C9"/>
    <w:rsid w:val="004D7181"/>
    <w:rsid w:val="004D78AD"/>
    <w:rsid w:val="004E2715"/>
    <w:rsid w:val="004E4226"/>
    <w:rsid w:val="004E4E38"/>
    <w:rsid w:val="004E53FC"/>
    <w:rsid w:val="004E5A45"/>
    <w:rsid w:val="004E680D"/>
    <w:rsid w:val="00500974"/>
    <w:rsid w:val="00501C32"/>
    <w:rsid w:val="00506CDF"/>
    <w:rsid w:val="00507CB7"/>
    <w:rsid w:val="00512DE2"/>
    <w:rsid w:val="005130AF"/>
    <w:rsid w:val="00521CEE"/>
    <w:rsid w:val="0052404E"/>
    <w:rsid w:val="005258EB"/>
    <w:rsid w:val="0053154D"/>
    <w:rsid w:val="00531856"/>
    <w:rsid w:val="00533971"/>
    <w:rsid w:val="00535193"/>
    <w:rsid w:val="0053654B"/>
    <w:rsid w:val="0054043F"/>
    <w:rsid w:val="005405CD"/>
    <w:rsid w:val="0054145C"/>
    <w:rsid w:val="005436EE"/>
    <w:rsid w:val="00545856"/>
    <w:rsid w:val="0054599A"/>
    <w:rsid w:val="0054796E"/>
    <w:rsid w:val="005509A4"/>
    <w:rsid w:val="00550A6C"/>
    <w:rsid w:val="0055130D"/>
    <w:rsid w:val="00552EEB"/>
    <w:rsid w:val="00556130"/>
    <w:rsid w:val="005566AA"/>
    <w:rsid w:val="00557112"/>
    <w:rsid w:val="00561B2C"/>
    <w:rsid w:val="005620EA"/>
    <w:rsid w:val="00563834"/>
    <w:rsid w:val="00564B4E"/>
    <w:rsid w:val="0056637F"/>
    <w:rsid w:val="00567D93"/>
    <w:rsid w:val="005707A7"/>
    <w:rsid w:val="00573DC2"/>
    <w:rsid w:val="00574921"/>
    <w:rsid w:val="00587212"/>
    <w:rsid w:val="005918DB"/>
    <w:rsid w:val="00595085"/>
    <w:rsid w:val="00595A5F"/>
    <w:rsid w:val="005A59E1"/>
    <w:rsid w:val="005A61D7"/>
    <w:rsid w:val="005B168E"/>
    <w:rsid w:val="005B3B04"/>
    <w:rsid w:val="005B4F96"/>
    <w:rsid w:val="005B5ADD"/>
    <w:rsid w:val="005B700B"/>
    <w:rsid w:val="005B7860"/>
    <w:rsid w:val="005C6E1D"/>
    <w:rsid w:val="005D0412"/>
    <w:rsid w:val="005D3ADF"/>
    <w:rsid w:val="005D417C"/>
    <w:rsid w:val="005D69A8"/>
    <w:rsid w:val="005E2008"/>
    <w:rsid w:val="005E4E75"/>
    <w:rsid w:val="005E5A6C"/>
    <w:rsid w:val="005E60E8"/>
    <w:rsid w:val="005E799B"/>
    <w:rsid w:val="005E7B06"/>
    <w:rsid w:val="005F0F8A"/>
    <w:rsid w:val="005F3567"/>
    <w:rsid w:val="005F76EE"/>
    <w:rsid w:val="0060158D"/>
    <w:rsid w:val="00602991"/>
    <w:rsid w:val="00602B75"/>
    <w:rsid w:val="00605801"/>
    <w:rsid w:val="00606D0B"/>
    <w:rsid w:val="0061043F"/>
    <w:rsid w:val="00611B33"/>
    <w:rsid w:val="006177CD"/>
    <w:rsid w:val="006202A8"/>
    <w:rsid w:val="0062135C"/>
    <w:rsid w:val="006215C5"/>
    <w:rsid w:val="006226F4"/>
    <w:rsid w:val="006237A5"/>
    <w:rsid w:val="00627A96"/>
    <w:rsid w:val="00633F91"/>
    <w:rsid w:val="00635E4F"/>
    <w:rsid w:val="00643FF6"/>
    <w:rsid w:val="00646BE8"/>
    <w:rsid w:val="00647ADE"/>
    <w:rsid w:val="00651B65"/>
    <w:rsid w:val="00654392"/>
    <w:rsid w:val="006547B2"/>
    <w:rsid w:val="006548BE"/>
    <w:rsid w:val="00660880"/>
    <w:rsid w:val="006622C7"/>
    <w:rsid w:val="00662D4A"/>
    <w:rsid w:val="00664061"/>
    <w:rsid w:val="00665A7A"/>
    <w:rsid w:val="00666EF2"/>
    <w:rsid w:val="0066759A"/>
    <w:rsid w:val="00674332"/>
    <w:rsid w:val="006764A9"/>
    <w:rsid w:val="00683643"/>
    <w:rsid w:val="006839DE"/>
    <w:rsid w:val="006855B6"/>
    <w:rsid w:val="00690881"/>
    <w:rsid w:val="00696951"/>
    <w:rsid w:val="006A1D66"/>
    <w:rsid w:val="006A69BF"/>
    <w:rsid w:val="006B3A16"/>
    <w:rsid w:val="006C0225"/>
    <w:rsid w:val="006C11D1"/>
    <w:rsid w:val="006D036A"/>
    <w:rsid w:val="006D33CC"/>
    <w:rsid w:val="006D5B37"/>
    <w:rsid w:val="006D6065"/>
    <w:rsid w:val="006D6F99"/>
    <w:rsid w:val="006E0921"/>
    <w:rsid w:val="006E0D0C"/>
    <w:rsid w:val="006E43A4"/>
    <w:rsid w:val="006E4CC8"/>
    <w:rsid w:val="006F2D99"/>
    <w:rsid w:val="006F547B"/>
    <w:rsid w:val="006F65C4"/>
    <w:rsid w:val="006F6B02"/>
    <w:rsid w:val="00706BA9"/>
    <w:rsid w:val="00711DF4"/>
    <w:rsid w:val="00717ABC"/>
    <w:rsid w:val="007202E3"/>
    <w:rsid w:val="0072524A"/>
    <w:rsid w:val="00725C5A"/>
    <w:rsid w:val="00727D80"/>
    <w:rsid w:val="007306BD"/>
    <w:rsid w:val="0073268F"/>
    <w:rsid w:val="007401AC"/>
    <w:rsid w:val="00742128"/>
    <w:rsid w:val="007465D9"/>
    <w:rsid w:val="007566E9"/>
    <w:rsid w:val="00756E94"/>
    <w:rsid w:val="00762395"/>
    <w:rsid w:val="00765A75"/>
    <w:rsid w:val="0076684D"/>
    <w:rsid w:val="0077557A"/>
    <w:rsid w:val="00776033"/>
    <w:rsid w:val="00782394"/>
    <w:rsid w:val="00784595"/>
    <w:rsid w:val="0078505F"/>
    <w:rsid w:val="00785738"/>
    <w:rsid w:val="00794D77"/>
    <w:rsid w:val="007A0FD2"/>
    <w:rsid w:val="007A3880"/>
    <w:rsid w:val="007A5B02"/>
    <w:rsid w:val="007A7F8E"/>
    <w:rsid w:val="007B4F7E"/>
    <w:rsid w:val="007B5CA0"/>
    <w:rsid w:val="007B5CC8"/>
    <w:rsid w:val="007B5F05"/>
    <w:rsid w:val="007B75EF"/>
    <w:rsid w:val="007B7C40"/>
    <w:rsid w:val="007C288C"/>
    <w:rsid w:val="007C2DC3"/>
    <w:rsid w:val="007C4B9B"/>
    <w:rsid w:val="007C4FB9"/>
    <w:rsid w:val="007C79B6"/>
    <w:rsid w:val="007D20CF"/>
    <w:rsid w:val="007D307A"/>
    <w:rsid w:val="007D70A1"/>
    <w:rsid w:val="007E0C45"/>
    <w:rsid w:val="007E1A7E"/>
    <w:rsid w:val="007E1BC9"/>
    <w:rsid w:val="007E65B8"/>
    <w:rsid w:val="007F0038"/>
    <w:rsid w:val="007F0210"/>
    <w:rsid w:val="007F09CD"/>
    <w:rsid w:val="007F44F5"/>
    <w:rsid w:val="00800ABE"/>
    <w:rsid w:val="00803F48"/>
    <w:rsid w:val="008132E8"/>
    <w:rsid w:val="00813D8F"/>
    <w:rsid w:val="0081786E"/>
    <w:rsid w:val="00817BAA"/>
    <w:rsid w:val="00823407"/>
    <w:rsid w:val="00824C5D"/>
    <w:rsid w:val="00826879"/>
    <w:rsid w:val="00830615"/>
    <w:rsid w:val="00832C89"/>
    <w:rsid w:val="008330B7"/>
    <w:rsid w:val="0084687C"/>
    <w:rsid w:val="00850132"/>
    <w:rsid w:val="00851956"/>
    <w:rsid w:val="00852AD2"/>
    <w:rsid w:val="00856900"/>
    <w:rsid w:val="00864C1F"/>
    <w:rsid w:val="008652A5"/>
    <w:rsid w:val="008653CA"/>
    <w:rsid w:val="0087766C"/>
    <w:rsid w:val="008812E1"/>
    <w:rsid w:val="008835A1"/>
    <w:rsid w:val="00884833"/>
    <w:rsid w:val="00886F88"/>
    <w:rsid w:val="0088794E"/>
    <w:rsid w:val="00890B71"/>
    <w:rsid w:val="008911D9"/>
    <w:rsid w:val="00895BCA"/>
    <w:rsid w:val="008A15EF"/>
    <w:rsid w:val="008A3539"/>
    <w:rsid w:val="008A6B56"/>
    <w:rsid w:val="008B0184"/>
    <w:rsid w:val="008B0ED1"/>
    <w:rsid w:val="008B5710"/>
    <w:rsid w:val="008C037F"/>
    <w:rsid w:val="008C10FC"/>
    <w:rsid w:val="008C4016"/>
    <w:rsid w:val="008C5D02"/>
    <w:rsid w:val="008D08DD"/>
    <w:rsid w:val="008D2649"/>
    <w:rsid w:val="008D2872"/>
    <w:rsid w:val="008D3613"/>
    <w:rsid w:val="008E1E15"/>
    <w:rsid w:val="008E61F0"/>
    <w:rsid w:val="008F2A74"/>
    <w:rsid w:val="008F466F"/>
    <w:rsid w:val="008F4C2D"/>
    <w:rsid w:val="008F6D56"/>
    <w:rsid w:val="008F71BC"/>
    <w:rsid w:val="008F7AD5"/>
    <w:rsid w:val="009034FA"/>
    <w:rsid w:val="0090568D"/>
    <w:rsid w:val="00905865"/>
    <w:rsid w:val="0091134D"/>
    <w:rsid w:val="009125C9"/>
    <w:rsid w:val="00913721"/>
    <w:rsid w:val="00913879"/>
    <w:rsid w:val="00916DA1"/>
    <w:rsid w:val="00917071"/>
    <w:rsid w:val="00917661"/>
    <w:rsid w:val="00924CC8"/>
    <w:rsid w:val="00924EBC"/>
    <w:rsid w:val="00925745"/>
    <w:rsid w:val="009271D6"/>
    <w:rsid w:val="009308A0"/>
    <w:rsid w:val="009315FE"/>
    <w:rsid w:val="00933B2D"/>
    <w:rsid w:val="00936434"/>
    <w:rsid w:val="009466F1"/>
    <w:rsid w:val="009537EA"/>
    <w:rsid w:val="00953B9A"/>
    <w:rsid w:val="00954720"/>
    <w:rsid w:val="00956BC7"/>
    <w:rsid w:val="00957CE9"/>
    <w:rsid w:val="00957DEF"/>
    <w:rsid w:val="00957F3B"/>
    <w:rsid w:val="009641A6"/>
    <w:rsid w:val="00966170"/>
    <w:rsid w:val="00970A13"/>
    <w:rsid w:val="00970E5D"/>
    <w:rsid w:val="009721B1"/>
    <w:rsid w:val="00972662"/>
    <w:rsid w:val="009750FF"/>
    <w:rsid w:val="0097701C"/>
    <w:rsid w:val="00980A65"/>
    <w:rsid w:val="009850FB"/>
    <w:rsid w:val="0098736B"/>
    <w:rsid w:val="009907BB"/>
    <w:rsid w:val="009A1DB1"/>
    <w:rsid w:val="009A4336"/>
    <w:rsid w:val="009B0DE7"/>
    <w:rsid w:val="009B5F6C"/>
    <w:rsid w:val="009B6B8C"/>
    <w:rsid w:val="009C556B"/>
    <w:rsid w:val="009C790D"/>
    <w:rsid w:val="009C7EA4"/>
    <w:rsid w:val="009D2C12"/>
    <w:rsid w:val="009D565F"/>
    <w:rsid w:val="009D6775"/>
    <w:rsid w:val="009D7A7E"/>
    <w:rsid w:val="009E0748"/>
    <w:rsid w:val="009E1BF5"/>
    <w:rsid w:val="009E797B"/>
    <w:rsid w:val="009F4943"/>
    <w:rsid w:val="00A00CAA"/>
    <w:rsid w:val="00A00D52"/>
    <w:rsid w:val="00A00E00"/>
    <w:rsid w:val="00A03AF6"/>
    <w:rsid w:val="00A06FF0"/>
    <w:rsid w:val="00A07B9D"/>
    <w:rsid w:val="00A1154C"/>
    <w:rsid w:val="00A13522"/>
    <w:rsid w:val="00A1724D"/>
    <w:rsid w:val="00A17927"/>
    <w:rsid w:val="00A21747"/>
    <w:rsid w:val="00A24DD6"/>
    <w:rsid w:val="00A25E70"/>
    <w:rsid w:val="00A3135D"/>
    <w:rsid w:val="00A33765"/>
    <w:rsid w:val="00A376C9"/>
    <w:rsid w:val="00A40133"/>
    <w:rsid w:val="00A410CE"/>
    <w:rsid w:val="00A411D4"/>
    <w:rsid w:val="00A43839"/>
    <w:rsid w:val="00A4746A"/>
    <w:rsid w:val="00A506F8"/>
    <w:rsid w:val="00A52E30"/>
    <w:rsid w:val="00A5474B"/>
    <w:rsid w:val="00A551E0"/>
    <w:rsid w:val="00A55F8D"/>
    <w:rsid w:val="00A603CE"/>
    <w:rsid w:val="00A6060D"/>
    <w:rsid w:val="00A609E0"/>
    <w:rsid w:val="00A616DE"/>
    <w:rsid w:val="00A62073"/>
    <w:rsid w:val="00A63269"/>
    <w:rsid w:val="00A678AD"/>
    <w:rsid w:val="00A73DA5"/>
    <w:rsid w:val="00A7406E"/>
    <w:rsid w:val="00A7473D"/>
    <w:rsid w:val="00A74A24"/>
    <w:rsid w:val="00A75EC8"/>
    <w:rsid w:val="00A7653B"/>
    <w:rsid w:val="00A80658"/>
    <w:rsid w:val="00A80B6B"/>
    <w:rsid w:val="00A82E03"/>
    <w:rsid w:val="00A844C3"/>
    <w:rsid w:val="00A85BC2"/>
    <w:rsid w:val="00A86AEA"/>
    <w:rsid w:val="00A909C1"/>
    <w:rsid w:val="00A9140E"/>
    <w:rsid w:val="00A92377"/>
    <w:rsid w:val="00A92C21"/>
    <w:rsid w:val="00A9351A"/>
    <w:rsid w:val="00A954CF"/>
    <w:rsid w:val="00A978C1"/>
    <w:rsid w:val="00AA4A0D"/>
    <w:rsid w:val="00AB29ED"/>
    <w:rsid w:val="00AB6A4C"/>
    <w:rsid w:val="00AB7EB0"/>
    <w:rsid w:val="00AC1108"/>
    <w:rsid w:val="00AC28D5"/>
    <w:rsid w:val="00AC4B19"/>
    <w:rsid w:val="00AC4E8A"/>
    <w:rsid w:val="00AC50F1"/>
    <w:rsid w:val="00AC5CCE"/>
    <w:rsid w:val="00AC676A"/>
    <w:rsid w:val="00AD12ED"/>
    <w:rsid w:val="00AD2232"/>
    <w:rsid w:val="00AD4669"/>
    <w:rsid w:val="00AE4905"/>
    <w:rsid w:val="00AE4BD8"/>
    <w:rsid w:val="00AF22C8"/>
    <w:rsid w:val="00AF399A"/>
    <w:rsid w:val="00AF46CE"/>
    <w:rsid w:val="00AF4DCB"/>
    <w:rsid w:val="00B04CEC"/>
    <w:rsid w:val="00B0592F"/>
    <w:rsid w:val="00B11DED"/>
    <w:rsid w:val="00B17BB7"/>
    <w:rsid w:val="00B26A14"/>
    <w:rsid w:val="00B30DC5"/>
    <w:rsid w:val="00B314BF"/>
    <w:rsid w:val="00B31D78"/>
    <w:rsid w:val="00B32A73"/>
    <w:rsid w:val="00B341B4"/>
    <w:rsid w:val="00B34702"/>
    <w:rsid w:val="00B40AE1"/>
    <w:rsid w:val="00B42EA5"/>
    <w:rsid w:val="00B4388F"/>
    <w:rsid w:val="00B50EF4"/>
    <w:rsid w:val="00B57BD2"/>
    <w:rsid w:val="00B617F9"/>
    <w:rsid w:val="00B63237"/>
    <w:rsid w:val="00B633F9"/>
    <w:rsid w:val="00B656F4"/>
    <w:rsid w:val="00B70976"/>
    <w:rsid w:val="00B71F1E"/>
    <w:rsid w:val="00B73485"/>
    <w:rsid w:val="00B74654"/>
    <w:rsid w:val="00B7685D"/>
    <w:rsid w:val="00B81D53"/>
    <w:rsid w:val="00B83F38"/>
    <w:rsid w:val="00B86D76"/>
    <w:rsid w:val="00B91AAB"/>
    <w:rsid w:val="00B967A9"/>
    <w:rsid w:val="00BA1621"/>
    <w:rsid w:val="00BB2C3E"/>
    <w:rsid w:val="00BB3739"/>
    <w:rsid w:val="00BB6DC3"/>
    <w:rsid w:val="00BC0031"/>
    <w:rsid w:val="00BC2C80"/>
    <w:rsid w:val="00BC3AE6"/>
    <w:rsid w:val="00BC40FF"/>
    <w:rsid w:val="00BC4BD1"/>
    <w:rsid w:val="00BD0010"/>
    <w:rsid w:val="00BD22E6"/>
    <w:rsid w:val="00BD4F3D"/>
    <w:rsid w:val="00BE2068"/>
    <w:rsid w:val="00BE47F9"/>
    <w:rsid w:val="00BE7F62"/>
    <w:rsid w:val="00BF4FC2"/>
    <w:rsid w:val="00BF637D"/>
    <w:rsid w:val="00BF76A2"/>
    <w:rsid w:val="00C0346F"/>
    <w:rsid w:val="00C041B5"/>
    <w:rsid w:val="00C0719D"/>
    <w:rsid w:val="00C10957"/>
    <w:rsid w:val="00C1500E"/>
    <w:rsid w:val="00C15115"/>
    <w:rsid w:val="00C153BA"/>
    <w:rsid w:val="00C15C92"/>
    <w:rsid w:val="00C227C5"/>
    <w:rsid w:val="00C24240"/>
    <w:rsid w:val="00C25025"/>
    <w:rsid w:val="00C253C2"/>
    <w:rsid w:val="00C26020"/>
    <w:rsid w:val="00C306F8"/>
    <w:rsid w:val="00C37AAC"/>
    <w:rsid w:val="00C40F4E"/>
    <w:rsid w:val="00C43A3E"/>
    <w:rsid w:val="00C43D7C"/>
    <w:rsid w:val="00C4531F"/>
    <w:rsid w:val="00C46EAA"/>
    <w:rsid w:val="00C50BD2"/>
    <w:rsid w:val="00C51514"/>
    <w:rsid w:val="00C51555"/>
    <w:rsid w:val="00C51BC0"/>
    <w:rsid w:val="00C528AC"/>
    <w:rsid w:val="00C52A76"/>
    <w:rsid w:val="00C555E2"/>
    <w:rsid w:val="00C6382B"/>
    <w:rsid w:val="00C64B4C"/>
    <w:rsid w:val="00C66574"/>
    <w:rsid w:val="00C66C54"/>
    <w:rsid w:val="00C75CB1"/>
    <w:rsid w:val="00C779A5"/>
    <w:rsid w:val="00C83300"/>
    <w:rsid w:val="00C909EE"/>
    <w:rsid w:val="00C960DC"/>
    <w:rsid w:val="00CA2EB9"/>
    <w:rsid w:val="00CA34F7"/>
    <w:rsid w:val="00CA4F49"/>
    <w:rsid w:val="00CA7A02"/>
    <w:rsid w:val="00CC3A53"/>
    <w:rsid w:val="00CC47AF"/>
    <w:rsid w:val="00CC7F8E"/>
    <w:rsid w:val="00CD06F9"/>
    <w:rsid w:val="00CD4157"/>
    <w:rsid w:val="00CE756B"/>
    <w:rsid w:val="00CF013C"/>
    <w:rsid w:val="00CF16B2"/>
    <w:rsid w:val="00CF5E5A"/>
    <w:rsid w:val="00D01847"/>
    <w:rsid w:val="00D02C75"/>
    <w:rsid w:val="00D047B4"/>
    <w:rsid w:val="00D07157"/>
    <w:rsid w:val="00D10E22"/>
    <w:rsid w:val="00D12897"/>
    <w:rsid w:val="00D129B9"/>
    <w:rsid w:val="00D13D2C"/>
    <w:rsid w:val="00D16A5C"/>
    <w:rsid w:val="00D22946"/>
    <w:rsid w:val="00D23CEE"/>
    <w:rsid w:val="00D2408B"/>
    <w:rsid w:val="00D32D07"/>
    <w:rsid w:val="00D35258"/>
    <w:rsid w:val="00D375D8"/>
    <w:rsid w:val="00D40B83"/>
    <w:rsid w:val="00D54D63"/>
    <w:rsid w:val="00D63669"/>
    <w:rsid w:val="00D638CC"/>
    <w:rsid w:val="00D65E52"/>
    <w:rsid w:val="00D718C7"/>
    <w:rsid w:val="00D73D84"/>
    <w:rsid w:val="00D80E79"/>
    <w:rsid w:val="00D873DB"/>
    <w:rsid w:val="00D9655A"/>
    <w:rsid w:val="00D965F3"/>
    <w:rsid w:val="00DB0607"/>
    <w:rsid w:val="00DB27A1"/>
    <w:rsid w:val="00DB49B9"/>
    <w:rsid w:val="00DC2F94"/>
    <w:rsid w:val="00DC4032"/>
    <w:rsid w:val="00DD14C0"/>
    <w:rsid w:val="00DD1B8D"/>
    <w:rsid w:val="00DD2E33"/>
    <w:rsid w:val="00DD3D9E"/>
    <w:rsid w:val="00DD4966"/>
    <w:rsid w:val="00DD4E0A"/>
    <w:rsid w:val="00DD4F4F"/>
    <w:rsid w:val="00DD7908"/>
    <w:rsid w:val="00DE5121"/>
    <w:rsid w:val="00DE5928"/>
    <w:rsid w:val="00DE6D19"/>
    <w:rsid w:val="00DF12C1"/>
    <w:rsid w:val="00DF49EE"/>
    <w:rsid w:val="00DF588E"/>
    <w:rsid w:val="00E03283"/>
    <w:rsid w:val="00E05DCE"/>
    <w:rsid w:val="00E13ADF"/>
    <w:rsid w:val="00E16171"/>
    <w:rsid w:val="00E202FC"/>
    <w:rsid w:val="00E2165B"/>
    <w:rsid w:val="00E317C4"/>
    <w:rsid w:val="00E36013"/>
    <w:rsid w:val="00E41652"/>
    <w:rsid w:val="00E43CBE"/>
    <w:rsid w:val="00E45C75"/>
    <w:rsid w:val="00E46AD6"/>
    <w:rsid w:val="00E554D6"/>
    <w:rsid w:val="00E56D23"/>
    <w:rsid w:val="00E57069"/>
    <w:rsid w:val="00E61D31"/>
    <w:rsid w:val="00E645B0"/>
    <w:rsid w:val="00E66CC1"/>
    <w:rsid w:val="00E67599"/>
    <w:rsid w:val="00E723D7"/>
    <w:rsid w:val="00E74AE8"/>
    <w:rsid w:val="00E82297"/>
    <w:rsid w:val="00E82781"/>
    <w:rsid w:val="00E82A72"/>
    <w:rsid w:val="00E867CD"/>
    <w:rsid w:val="00E87DFB"/>
    <w:rsid w:val="00E963D7"/>
    <w:rsid w:val="00EA0EC1"/>
    <w:rsid w:val="00EA6678"/>
    <w:rsid w:val="00EB37A0"/>
    <w:rsid w:val="00EB4B00"/>
    <w:rsid w:val="00EB70FB"/>
    <w:rsid w:val="00ED1B67"/>
    <w:rsid w:val="00ED4693"/>
    <w:rsid w:val="00ED6022"/>
    <w:rsid w:val="00EE402F"/>
    <w:rsid w:val="00EE4D1F"/>
    <w:rsid w:val="00EF09AB"/>
    <w:rsid w:val="00EF15EF"/>
    <w:rsid w:val="00EF39FD"/>
    <w:rsid w:val="00EF613D"/>
    <w:rsid w:val="00EF6D9D"/>
    <w:rsid w:val="00F01D5B"/>
    <w:rsid w:val="00F04055"/>
    <w:rsid w:val="00F06842"/>
    <w:rsid w:val="00F107FD"/>
    <w:rsid w:val="00F11BF4"/>
    <w:rsid w:val="00F127C9"/>
    <w:rsid w:val="00F2039A"/>
    <w:rsid w:val="00F21E2C"/>
    <w:rsid w:val="00F22AFD"/>
    <w:rsid w:val="00F23925"/>
    <w:rsid w:val="00F249D6"/>
    <w:rsid w:val="00F27DB1"/>
    <w:rsid w:val="00F30674"/>
    <w:rsid w:val="00F4229B"/>
    <w:rsid w:val="00F454C3"/>
    <w:rsid w:val="00F523FA"/>
    <w:rsid w:val="00F53CA0"/>
    <w:rsid w:val="00F5508C"/>
    <w:rsid w:val="00F57D7C"/>
    <w:rsid w:val="00F624EC"/>
    <w:rsid w:val="00F66000"/>
    <w:rsid w:val="00F66140"/>
    <w:rsid w:val="00F66B2E"/>
    <w:rsid w:val="00F66FEE"/>
    <w:rsid w:val="00F70D5B"/>
    <w:rsid w:val="00F8035E"/>
    <w:rsid w:val="00F81748"/>
    <w:rsid w:val="00F84771"/>
    <w:rsid w:val="00F849D2"/>
    <w:rsid w:val="00F84B49"/>
    <w:rsid w:val="00F93064"/>
    <w:rsid w:val="00F95DF0"/>
    <w:rsid w:val="00FA0DEF"/>
    <w:rsid w:val="00FA418F"/>
    <w:rsid w:val="00FB1009"/>
    <w:rsid w:val="00FB145B"/>
    <w:rsid w:val="00FB64A8"/>
    <w:rsid w:val="00FD3E15"/>
    <w:rsid w:val="00FD5C05"/>
    <w:rsid w:val="00FD5F23"/>
    <w:rsid w:val="00FD6ED7"/>
    <w:rsid w:val="00FD73EC"/>
    <w:rsid w:val="00FD7B89"/>
    <w:rsid w:val="00FE1408"/>
    <w:rsid w:val="00FF1271"/>
    <w:rsid w:val="00FF1530"/>
    <w:rsid w:val="00FF3314"/>
    <w:rsid w:val="00FF440D"/>
    <w:rsid w:val="00FF6043"/>
    <w:rsid w:val="00FF73D1"/>
    <w:rsid w:val="00FF7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4DE67F"/>
  <w14:defaultImageDpi w14:val="32767"/>
  <w15:docId w15:val="{EF43CE97-1CC0-465D-88DC-23A30D18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ind w:left="0"/>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customStyle="1" w:styleId="UnresolvedMention1">
    <w:name w:val="Unresolved Mention1"/>
    <w:basedOn w:val="DefaultParagraphFont"/>
    <w:uiPriority w:val="99"/>
    <w:semiHidden/>
    <w:unhideWhenUsed/>
    <w:rsid w:val="00FF73D1"/>
    <w:rPr>
      <w:color w:val="605E5C"/>
      <w:shd w:val="clear" w:color="auto" w:fill="E1DFDD"/>
    </w:rPr>
  </w:style>
  <w:style w:type="table" w:styleId="TableGrid">
    <w:name w:val="Table Grid"/>
    <w:basedOn w:val="TableNormal"/>
    <w:uiPriority w:val="39"/>
    <w:rsid w:val="001D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249D6"/>
    <w:rPr>
      <w:color w:val="808080"/>
    </w:rPr>
  </w:style>
  <w:style w:type="paragraph" w:styleId="Revision">
    <w:name w:val="Revision"/>
    <w:hidden/>
    <w:uiPriority w:val="99"/>
    <w:semiHidden/>
    <w:rsid w:val="00354AD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605142">
      <w:bodyDiv w:val="1"/>
      <w:marLeft w:val="0"/>
      <w:marRight w:val="0"/>
      <w:marTop w:val="0"/>
      <w:marBottom w:val="0"/>
      <w:divBdr>
        <w:top w:val="none" w:sz="0" w:space="0" w:color="auto"/>
        <w:left w:val="none" w:sz="0" w:space="0" w:color="auto"/>
        <w:bottom w:val="none" w:sz="0" w:space="0" w:color="auto"/>
        <w:right w:val="none" w:sz="0" w:space="0" w:color="auto"/>
      </w:divBdr>
    </w:div>
    <w:div w:id="1240754673">
      <w:bodyDiv w:val="1"/>
      <w:marLeft w:val="0"/>
      <w:marRight w:val="0"/>
      <w:marTop w:val="0"/>
      <w:marBottom w:val="0"/>
      <w:divBdr>
        <w:top w:val="none" w:sz="0" w:space="0" w:color="auto"/>
        <w:left w:val="none" w:sz="0" w:space="0" w:color="auto"/>
        <w:bottom w:val="none" w:sz="0" w:space="0" w:color="auto"/>
        <w:right w:val="none" w:sz="0" w:space="0" w:color="auto"/>
      </w:divBdr>
    </w:div>
    <w:div w:id="135419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nzalo.guillen.gosalbez@chem.ethz.c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D5CF1-30E5-4439-AB3A-494F15D35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180</TotalTime>
  <Pages>6</Pages>
  <Words>2489</Words>
  <Characters>14190</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Fabian Lechtenberg</cp:lastModifiedBy>
  <cp:revision>253</cp:revision>
  <cp:lastPrinted>2004-12-17T09:20:00Z</cp:lastPrinted>
  <dcterms:created xsi:type="dcterms:W3CDTF">2023-11-30T14:02:00Z</dcterms:created>
  <dcterms:modified xsi:type="dcterms:W3CDTF">2023-12-28T15:45:00Z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