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80" w14:textId="3AFCF211" w:rsidR="00DD3D9E" w:rsidRPr="005321D5" w:rsidRDefault="00894CE0" w:rsidP="00A15A59">
      <w:pPr>
        <w:pStyle w:val="Els-Title"/>
        <w:rPr>
          <w:color w:val="000000" w:themeColor="text1"/>
        </w:rPr>
      </w:pPr>
      <w:r w:rsidRPr="005321D5">
        <w:rPr>
          <w:color w:val="000000" w:themeColor="text1"/>
        </w:rPr>
        <w:t>Flexible Hybrid Utility Systems for Industrial Decarbonization</w:t>
      </w:r>
    </w:p>
    <w:p w14:paraId="7293E469" w14:textId="73E4833E" w:rsidR="00894CE0" w:rsidRPr="005321D5" w:rsidRDefault="00894CE0" w:rsidP="00894CE0">
      <w:pPr>
        <w:pStyle w:val="Els-Affiliation"/>
        <w:rPr>
          <w:i w:val="0"/>
          <w:iCs/>
          <w:sz w:val="22"/>
          <w:szCs w:val="22"/>
        </w:rPr>
      </w:pPr>
      <w:r w:rsidRPr="005321D5">
        <w:rPr>
          <w:i w:val="0"/>
          <w:iCs/>
          <w:sz w:val="22"/>
          <w:szCs w:val="22"/>
        </w:rPr>
        <w:t>Matthew Taylor,</w:t>
      </w:r>
      <w:r w:rsidRPr="005321D5">
        <w:rPr>
          <w:i w:val="0"/>
          <w:iCs/>
          <w:sz w:val="22"/>
          <w:szCs w:val="22"/>
          <w:vertAlign w:val="superscript"/>
        </w:rPr>
        <w:t>a</w:t>
      </w:r>
      <w:r w:rsidRPr="005321D5">
        <w:rPr>
          <w:i w:val="0"/>
          <w:iCs/>
          <w:sz w:val="22"/>
          <w:szCs w:val="22"/>
        </w:rPr>
        <w:t xml:space="preserve"> Martin Atkins,</w:t>
      </w:r>
      <w:r w:rsidRPr="005321D5">
        <w:rPr>
          <w:i w:val="0"/>
          <w:iCs/>
          <w:sz w:val="22"/>
          <w:szCs w:val="22"/>
          <w:vertAlign w:val="superscript"/>
        </w:rPr>
        <w:t>a</w:t>
      </w:r>
      <w:r w:rsidR="00E43E6D" w:rsidRPr="005321D5">
        <w:rPr>
          <w:i w:val="0"/>
          <w:iCs/>
          <w:sz w:val="22"/>
          <w:szCs w:val="22"/>
          <w:vertAlign w:val="superscript"/>
        </w:rPr>
        <w:t>*</w:t>
      </w:r>
      <w:r w:rsidRPr="005321D5">
        <w:rPr>
          <w:i w:val="0"/>
          <w:iCs/>
          <w:sz w:val="22"/>
          <w:szCs w:val="22"/>
        </w:rPr>
        <w:t xml:space="preserve"> Isuru Udugama,</w:t>
      </w:r>
      <w:r w:rsidR="008F76D8" w:rsidRPr="005321D5">
        <w:rPr>
          <w:i w:val="0"/>
          <w:iCs/>
          <w:sz w:val="22"/>
          <w:szCs w:val="22"/>
          <w:vertAlign w:val="superscript"/>
        </w:rPr>
        <w:t>b</w:t>
      </w:r>
      <w:r w:rsidRPr="005321D5">
        <w:rPr>
          <w:i w:val="0"/>
          <w:iCs/>
          <w:sz w:val="22"/>
          <w:szCs w:val="22"/>
        </w:rPr>
        <w:t xml:space="preserve"> Timothy </w:t>
      </w:r>
      <w:r w:rsidR="0079503F" w:rsidRPr="005321D5">
        <w:rPr>
          <w:i w:val="0"/>
          <w:iCs/>
          <w:sz w:val="22"/>
          <w:szCs w:val="22"/>
        </w:rPr>
        <w:t>G</w:t>
      </w:r>
      <w:r w:rsidR="00130560">
        <w:rPr>
          <w:i w:val="0"/>
          <w:iCs/>
          <w:sz w:val="22"/>
          <w:szCs w:val="22"/>
        </w:rPr>
        <w:t>ordon</w:t>
      </w:r>
      <w:bookmarkStart w:id="0" w:name="_GoBack"/>
      <w:bookmarkEnd w:id="0"/>
      <w:r w:rsidR="0079503F" w:rsidRPr="005321D5">
        <w:rPr>
          <w:i w:val="0"/>
          <w:iCs/>
          <w:sz w:val="22"/>
          <w:szCs w:val="22"/>
        </w:rPr>
        <w:t xml:space="preserve"> </w:t>
      </w:r>
      <w:r w:rsidRPr="005321D5">
        <w:rPr>
          <w:i w:val="0"/>
          <w:iCs/>
          <w:sz w:val="22"/>
          <w:szCs w:val="22"/>
        </w:rPr>
        <w:t>Walmsley</w:t>
      </w:r>
      <w:r w:rsidRPr="005321D5">
        <w:rPr>
          <w:i w:val="0"/>
          <w:iCs/>
          <w:sz w:val="22"/>
          <w:szCs w:val="22"/>
          <w:vertAlign w:val="superscript"/>
        </w:rPr>
        <w:t>a</w:t>
      </w:r>
    </w:p>
    <w:p w14:paraId="41ABB8B1" w14:textId="77777777" w:rsidR="00381560" w:rsidRPr="005321D5" w:rsidRDefault="00381560" w:rsidP="00381560">
      <w:pPr>
        <w:pStyle w:val="Els-Affiliation"/>
      </w:pPr>
      <w:r w:rsidRPr="005321D5">
        <w:rPr>
          <w:vertAlign w:val="superscript"/>
        </w:rPr>
        <w:t>a</w:t>
      </w:r>
      <w:r w:rsidRPr="005321D5">
        <w:t>Ahuora – Centre for Smart Energy Systems, School of Engineering, The University of Waikato, Private Bag 3105, Hamilton, 3240, New Zealand</w:t>
      </w:r>
    </w:p>
    <w:p w14:paraId="7F691107" w14:textId="77777777" w:rsidR="00E43E6D" w:rsidRPr="005321D5" w:rsidRDefault="00381560" w:rsidP="00894CE0">
      <w:pPr>
        <w:pStyle w:val="Els-Affiliation"/>
        <w:spacing w:after="120"/>
      </w:pPr>
      <w:r w:rsidRPr="005321D5">
        <w:rPr>
          <w:vertAlign w:val="superscript"/>
        </w:rPr>
        <w:t>b</w:t>
      </w:r>
      <w:r w:rsidRPr="005321D5">
        <w:t>Department of Chemical and Materials Engineering, Facult</w:t>
      </w:r>
      <w:r w:rsidR="00B80EFB" w:rsidRPr="005321D5">
        <w:t>y</w:t>
      </w:r>
      <w:r w:rsidRPr="005321D5">
        <w:t xml:space="preserve"> of Engineering, The University of Auckland, Private Bag 92019, Auckland, 1142, New Zealand</w:t>
      </w:r>
    </w:p>
    <w:p w14:paraId="144DE683" w14:textId="0198EF59" w:rsidR="008D2649" w:rsidRPr="005321D5" w:rsidRDefault="00894CE0" w:rsidP="00894CE0">
      <w:pPr>
        <w:pStyle w:val="Els-Affiliation"/>
        <w:spacing w:after="120"/>
      </w:pPr>
      <w:r w:rsidRPr="005321D5">
        <w:rPr>
          <w:i w:val="0"/>
        </w:rPr>
        <w:t>*</w:t>
      </w:r>
      <w:r w:rsidR="00E43E6D" w:rsidRPr="005321D5">
        <w:t>martin.atkins@waikato.ac.nz</w:t>
      </w:r>
    </w:p>
    <w:p w14:paraId="144DE684" w14:textId="77777777" w:rsidR="008D2649" w:rsidRPr="005321D5" w:rsidRDefault="008D2649" w:rsidP="008D2649">
      <w:pPr>
        <w:pStyle w:val="Els-Abstract"/>
      </w:pPr>
      <w:r w:rsidRPr="005321D5">
        <w:t>Abstract</w:t>
      </w:r>
    </w:p>
    <w:p w14:paraId="3E7F17DA" w14:textId="0F926137" w:rsidR="000A2127" w:rsidRPr="005321D5" w:rsidRDefault="000B7E63" w:rsidP="00FE0E9C">
      <w:pPr>
        <w:pStyle w:val="Els-body-text"/>
      </w:pPr>
      <w:r w:rsidRPr="005321D5">
        <w:t xml:space="preserve">To reduce emissions produced </w:t>
      </w:r>
      <w:r w:rsidR="00381560" w:rsidRPr="005321D5">
        <w:t>due to</w:t>
      </w:r>
      <w:r w:rsidRPr="005321D5">
        <w:t xml:space="preserve"> process heat supply, </w:t>
      </w:r>
      <w:r w:rsidR="00381560" w:rsidRPr="005321D5">
        <w:t>fossil fuels need to be replaced by renewable fuels in steam boilers</w:t>
      </w:r>
      <w:r w:rsidRPr="005321D5">
        <w:t xml:space="preserve">. </w:t>
      </w:r>
      <w:r w:rsidR="00381560" w:rsidRPr="005321D5">
        <w:t xml:space="preserve">An </w:t>
      </w:r>
      <w:r w:rsidRPr="005321D5">
        <w:t xml:space="preserve">economical solution </w:t>
      </w:r>
      <w:r w:rsidR="00381560" w:rsidRPr="005321D5">
        <w:t>may be to</w:t>
      </w:r>
      <w:r w:rsidRPr="005321D5">
        <w:t xml:space="preserve"> </w:t>
      </w:r>
      <w:r w:rsidR="00381560" w:rsidRPr="005321D5">
        <w:t xml:space="preserve">utilize renewable </w:t>
      </w:r>
      <w:r w:rsidRPr="005321D5">
        <w:t xml:space="preserve">electricity and biomass simultaneously to leverage the benefits of both types. This study investigates </w:t>
      </w:r>
      <w:r w:rsidR="00381560" w:rsidRPr="005321D5">
        <w:t xml:space="preserve">the economic viability of a dual-fuel boiler system using </w:t>
      </w:r>
      <w:r w:rsidRPr="005321D5">
        <w:t>an industrial case study</w:t>
      </w:r>
      <w:r w:rsidR="00381560" w:rsidRPr="005321D5">
        <w:t xml:space="preserve">. Utility system operations were optimized </w:t>
      </w:r>
      <w:r w:rsidR="000A2127" w:rsidRPr="005321D5">
        <w:t xml:space="preserve">using a Python-based </w:t>
      </w:r>
      <w:r w:rsidR="00AD42CC">
        <w:t xml:space="preserve">mixed-integer linear programming </w:t>
      </w:r>
      <w:r w:rsidR="00381560" w:rsidRPr="005321D5">
        <w:t>model</w:t>
      </w:r>
      <w:r w:rsidR="000A2127" w:rsidRPr="005321D5">
        <w:t xml:space="preserve">, where the minimum </w:t>
      </w:r>
      <w:r w:rsidR="00AD42CC">
        <w:t>operating costs (including fuel and emission components)</w:t>
      </w:r>
      <w:r w:rsidR="000A2127" w:rsidRPr="005321D5">
        <w:t xml:space="preserve"> for all the data</w:t>
      </w:r>
      <w:r w:rsidR="00AD42CC">
        <w:t xml:space="preserve"> points</w:t>
      </w:r>
      <w:r w:rsidR="000A2127" w:rsidRPr="005321D5">
        <w:t xml:space="preserve"> was determined.</w:t>
      </w:r>
      <w:r w:rsidR="00381560" w:rsidRPr="005321D5">
        <w:t xml:space="preserve"> </w:t>
      </w:r>
      <w:r w:rsidR="00FE0E9C" w:rsidRPr="005321D5">
        <w:t xml:space="preserve">Under current </w:t>
      </w:r>
      <w:r w:rsidR="00E43E6D" w:rsidRPr="005321D5">
        <w:t>energy prices</w:t>
      </w:r>
      <w:r w:rsidR="00FE0E9C" w:rsidRPr="005321D5">
        <w:t xml:space="preserve">, </w:t>
      </w:r>
      <w:r w:rsidR="00AD42CC">
        <w:t>only using coal as the fuel</w:t>
      </w:r>
      <w:r w:rsidR="00FE0E9C" w:rsidRPr="005321D5">
        <w:t xml:space="preserve"> is </w:t>
      </w:r>
      <w:r w:rsidR="00D07D19" w:rsidRPr="005321D5">
        <w:t xml:space="preserve">initially </w:t>
      </w:r>
      <w:r w:rsidR="00FE0E9C" w:rsidRPr="005321D5">
        <w:t xml:space="preserve">seen as the most cost-effective </w:t>
      </w:r>
      <w:r w:rsidR="00D07D19" w:rsidRPr="005321D5">
        <w:t>system</w:t>
      </w:r>
      <w:r w:rsidR="00FE0E9C" w:rsidRPr="005321D5">
        <w:t xml:space="preserve">. However, as carbon costs increased the dual electrode and biomass system becomes </w:t>
      </w:r>
      <w:r w:rsidR="00E3198B" w:rsidRPr="005321D5">
        <w:t xml:space="preserve">slightly </w:t>
      </w:r>
      <w:r w:rsidR="00FE0E9C" w:rsidRPr="005321D5">
        <w:t>more cost effective.</w:t>
      </w:r>
      <w:r w:rsidR="00E3198B" w:rsidRPr="005321D5">
        <w:t xml:space="preserve"> </w:t>
      </w:r>
      <w:r w:rsidR="00AD42CC">
        <w:t xml:space="preserve">With high price volatility, </w:t>
      </w:r>
      <w:r w:rsidR="00E3198B" w:rsidRPr="005321D5">
        <w:t>a hybrid biomass and electrode system would give a 4.</w:t>
      </w:r>
      <w:r w:rsidR="0066233C" w:rsidRPr="005321D5">
        <w:t>9</w:t>
      </w:r>
      <w:r w:rsidR="00E3198B" w:rsidRPr="005321D5">
        <w:t xml:space="preserve"> % cost reduction, as well as a 93.8 % emission reduction.</w:t>
      </w:r>
    </w:p>
    <w:p w14:paraId="333B3980" w14:textId="77777777" w:rsidR="00FE0E9C" w:rsidRPr="005321D5" w:rsidRDefault="00FE0E9C" w:rsidP="00FE0E9C">
      <w:pPr>
        <w:pStyle w:val="Els-body-text"/>
      </w:pPr>
    </w:p>
    <w:p w14:paraId="144DE687" w14:textId="679C7265" w:rsidR="008D2649" w:rsidRPr="005321D5" w:rsidRDefault="008D2649" w:rsidP="008D2649">
      <w:pPr>
        <w:pStyle w:val="Els-body-text"/>
        <w:spacing w:after="120"/>
        <w:rPr>
          <w:color w:val="FF0000"/>
          <w:lang w:val="en-GB"/>
        </w:rPr>
      </w:pPr>
      <w:r w:rsidRPr="005321D5">
        <w:rPr>
          <w:b/>
          <w:bCs/>
          <w:lang w:val="en-GB"/>
        </w:rPr>
        <w:t>Keywords</w:t>
      </w:r>
      <w:r w:rsidRPr="005321D5">
        <w:rPr>
          <w:lang w:val="en-GB"/>
        </w:rPr>
        <w:t xml:space="preserve">: </w:t>
      </w:r>
      <w:r w:rsidR="0004248A" w:rsidRPr="005321D5">
        <w:rPr>
          <w:lang w:val="en-GB"/>
        </w:rPr>
        <w:t>D</w:t>
      </w:r>
      <w:r w:rsidR="000A2127" w:rsidRPr="005321D5">
        <w:rPr>
          <w:lang w:val="en-GB"/>
        </w:rPr>
        <w:t>ecarbonization, hybrid utility system, mathematical optimization</w:t>
      </w:r>
    </w:p>
    <w:p w14:paraId="144DE689" w14:textId="5AC6EB26" w:rsidR="008D2649" w:rsidRPr="005321D5" w:rsidRDefault="0079503F" w:rsidP="008D2649">
      <w:pPr>
        <w:pStyle w:val="Els-1storder-head"/>
      </w:pPr>
      <w:r w:rsidRPr="005321D5">
        <w:t>Introduction</w:t>
      </w:r>
    </w:p>
    <w:p w14:paraId="144DE68A" w14:textId="071F5A8D" w:rsidR="008D2649" w:rsidRPr="005321D5" w:rsidRDefault="0034402C" w:rsidP="008D2649">
      <w:pPr>
        <w:pStyle w:val="Els-body-text"/>
      </w:pPr>
      <w:r w:rsidRPr="005321D5">
        <w:t xml:space="preserve">In New Zealand, process heating </w:t>
      </w:r>
      <w:r w:rsidR="0079503F" w:rsidRPr="005321D5">
        <w:t>is largely supplied through non-renewable sources</w:t>
      </w:r>
      <w:r w:rsidR="00F24C8F" w:rsidRPr="005321D5">
        <w:t xml:space="preserve"> with around 75% </w:t>
      </w:r>
      <w:r w:rsidR="00BA5B2B" w:rsidRPr="005321D5">
        <w:t>supplied by coal and natural gas</w:t>
      </w:r>
      <w:r w:rsidR="0079503F" w:rsidRPr="005321D5">
        <w:t xml:space="preserve"> (</w:t>
      </w:r>
      <w:r w:rsidR="0079503F" w:rsidRPr="005321D5">
        <w:rPr>
          <w:lang w:val="en-GB"/>
        </w:rPr>
        <w:t>Energy Efficiency and Conservation Authority, 2023)</w:t>
      </w:r>
      <w:r w:rsidR="008D2649" w:rsidRPr="005321D5">
        <w:t xml:space="preserve">. </w:t>
      </w:r>
      <w:r w:rsidR="00B80EFB" w:rsidRPr="005321D5">
        <w:t>Methods of process heat delivery are moving away from fossil fuels, in part due to rising carbon emission costs as well as climate action policy. The New Zealand government is phasing out coal boilers by 2037, prohibiting their usage</w:t>
      </w:r>
      <w:r w:rsidR="00483BA9" w:rsidRPr="005321D5">
        <w:t>.</w:t>
      </w:r>
      <w:r w:rsidR="00B80EFB" w:rsidRPr="005321D5">
        <w:t xml:space="preserve"> </w:t>
      </w:r>
      <w:r w:rsidR="00BA5B2B" w:rsidRPr="005321D5">
        <w:t>Much of</w:t>
      </w:r>
      <w:r w:rsidR="00660375" w:rsidRPr="005321D5">
        <w:t xml:space="preserve"> the energy used for process heat is used in steam boilers</w:t>
      </w:r>
      <w:r w:rsidR="00F26F17" w:rsidRPr="005321D5">
        <w:t xml:space="preserve"> and there are two </w:t>
      </w:r>
      <w:r w:rsidR="007A3514" w:rsidRPr="005321D5">
        <w:t xml:space="preserve">main </w:t>
      </w:r>
      <w:r w:rsidR="00036A67" w:rsidRPr="005321D5">
        <w:t xml:space="preserve">renewable alternatives </w:t>
      </w:r>
      <w:r w:rsidR="00F26F17" w:rsidRPr="005321D5">
        <w:t>-</w:t>
      </w:r>
      <w:r w:rsidR="00036A67" w:rsidRPr="005321D5">
        <w:t xml:space="preserve"> biomass and electrode boilers</w:t>
      </w:r>
      <w:r w:rsidR="007A3514" w:rsidRPr="005321D5">
        <w:t xml:space="preserve"> using renewable/low carbon electricity</w:t>
      </w:r>
      <w:r w:rsidR="00483BA9" w:rsidRPr="005321D5">
        <w:t>.</w:t>
      </w:r>
      <w:r w:rsidR="00036A67" w:rsidRPr="005321D5">
        <w:t xml:space="preserve"> Electrode boilers have high operational costs due to </w:t>
      </w:r>
      <w:r w:rsidR="00CC2A70" w:rsidRPr="005321D5">
        <w:t>electricity prices and</w:t>
      </w:r>
      <w:r w:rsidR="00036A67" w:rsidRPr="005321D5">
        <w:t xml:space="preserve"> volatility of electrical pricing, whereas biomass boilers have high capital costs (if not retrofitting coal boilers) and potential issues with supply security.</w:t>
      </w:r>
    </w:p>
    <w:p w14:paraId="32AAB177" w14:textId="67CE3714" w:rsidR="00036A67" w:rsidRPr="005321D5" w:rsidRDefault="004104D2" w:rsidP="008D2649">
      <w:pPr>
        <w:pStyle w:val="Els-body-text"/>
      </w:pPr>
      <w:r w:rsidRPr="005321D5">
        <w:t xml:space="preserve">A barrier to decarbonization is uncertainty and risk associated with </w:t>
      </w:r>
      <w:r w:rsidR="001F2496" w:rsidRPr="005321D5">
        <w:t>costs and timeframes</w:t>
      </w:r>
      <w:r w:rsidR="004677B8" w:rsidRPr="005321D5">
        <w:t xml:space="preserve"> resulting in companies deferring investment decisions</w:t>
      </w:r>
      <w:r w:rsidR="001F2496" w:rsidRPr="005321D5">
        <w:t xml:space="preserve">. </w:t>
      </w:r>
      <w:r w:rsidR="00483BA9" w:rsidRPr="005321D5">
        <w:t xml:space="preserve">Implementing both electrode and biomass boilers together as a hybrid system can reduce the economic barrier </w:t>
      </w:r>
      <w:r w:rsidR="00BE17FD" w:rsidRPr="005321D5">
        <w:t xml:space="preserve">(Walmsley </w:t>
      </w:r>
      <w:r w:rsidR="00BE17FD" w:rsidRPr="005321D5">
        <w:lastRenderedPageBreak/>
        <w:t>et al., 2023).</w:t>
      </w:r>
      <w:r w:rsidR="00533C26" w:rsidRPr="005321D5">
        <w:t xml:space="preserve"> For hybrid boiler systems,</w:t>
      </w:r>
      <w:r w:rsidR="00CD44B2" w:rsidRPr="005321D5">
        <w:t xml:space="preserve"> an electrode boiler </w:t>
      </w:r>
      <w:r w:rsidR="00134212" w:rsidRPr="005321D5">
        <w:t>could operate</w:t>
      </w:r>
      <w:r w:rsidR="0095232A" w:rsidRPr="005321D5">
        <w:t xml:space="preserve"> simultaneously and in a flexible manner with a biomass boile</w:t>
      </w:r>
      <w:r w:rsidR="00134212" w:rsidRPr="005321D5">
        <w:t xml:space="preserve">r. In this configuration the biomass boiler would provide baseload steam and the </w:t>
      </w:r>
      <w:r w:rsidR="006A453D" w:rsidRPr="005321D5">
        <w:t xml:space="preserve">electrode boiler acting as a peaking boiler with rapid response times. </w:t>
      </w:r>
      <w:r w:rsidR="004B2C47" w:rsidRPr="005321D5">
        <w:t>In state-of-the-art utility systems, dual-boiler setups tend to have simple operating rules, such as triggers to switch the primary boiler.</w:t>
      </w:r>
      <w:r w:rsidR="006A453D" w:rsidRPr="005321D5">
        <w:t xml:space="preserve"> </w:t>
      </w:r>
    </w:p>
    <w:p w14:paraId="144DE68B" w14:textId="570F5C0A" w:rsidR="008D2649" w:rsidRPr="005321D5" w:rsidRDefault="00D0111B" w:rsidP="008D2649">
      <w:pPr>
        <w:pStyle w:val="Els-body-text"/>
      </w:pPr>
      <w:r w:rsidRPr="005321D5">
        <w:t>The aim of this work is to quantify the economic viability of a</w:t>
      </w:r>
      <w:r w:rsidR="004B2C47" w:rsidRPr="005321D5">
        <w:t xml:space="preserve"> price-responsive</w:t>
      </w:r>
      <w:r w:rsidRPr="005321D5">
        <w:t xml:space="preserve"> dual-boiler setup compared to individual boiler types for the same amount of load. To achieve this aim, the study </w:t>
      </w:r>
      <w:r w:rsidR="00BE17FD" w:rsidRPr="005321D5">
        <w:t xml:space="preserve">focuses on </w:t>
      </w:r>
      <w:r w:rsidR="00562BB4" w:rsidRPr="005321D5">
        <w:t xml:space="preserve">minimizing </w:t>
      </w:r>
      <w:r w:rsidR="00BE17FD" w:rsidRPr="005321D5">
        <w:t xml:space="preserve">the </w:t>
      </w:r>
      <w:r w:rsidR="00562BB4" w:rsidRPr="005321D5">
        <w:t>operating cost</w:t>
      </w:r>
      <w:r w:rsidR="00BE17FD" w:rsidRPr="005321D5">
        <w:t xml:space="preserve"> of </w:t>
      </w:r>
      <w:r w:rsidRPr="005321D5">
        <w:t>different single and</w:t>
      </w:r>
      <w:r w:rsidR="00BE17FD" w:rsidRPr="005321D5">
        <w:t xml:space="preserve"> dual</w:t>
      </w:r>
      <w:r w:rsidRPr="005321D5">
        <w:t xml:space="preserve"> industrial </w:t>
      </w:r>
      <w:r w:rsidR="00BE17FD" w:rsidRPr="005321D5">
        <w:t>boiler setup</w:t>
      </w:r>
      <w:r w:rsidRPr="005321D5">
        <w:t>s</w:t>
      </w:r>
      <w:r w:rsidR="00BE17FD" w:rsidRPr="005321D5">
        <w:t xml:space="preserve"> </w:t>
      </w:r>
      <w:r w:rsidRPr="005321D5">
        <w:t>by manipulating which fuel</w:t>
      </w:r>
      <w:r w:rsidR="004B2C47" w:rsidRPr="005321D5">
        <w:t xml:space="preserve"> is used,</w:t>
      </w:r>
      <w:r w:rsidRPr="005321D5">
        <w:t xml:space="preserve"> and how much</w:t>
      </w:r>
      <w:r w:rsidR="004B2C47" w:rsidRPr="005321D5">
        <w:t xml:space="preserve"> of</w:t>
      </w:r>
      <w:r w:rsidRPr="005321D5">
        <w:t xml:space="preserve"> it is consumed over time</w:t>
      </w:r>
      <w:r w:rsidR="00FD1EFB" w:rsidRPr="005321D5">
        <w:t xml:space="preserve">. </w:t>
      </w:r>
      <w:r w:rsidRPr="005321D5">
        <w:t xml:space="preserve">The scope of this study is limited to </w:t>
      </w:r>
      <w:r w:rsidR="00562BB4" w:rsidRPr="005321D5">
        <w:t xml:space="preserve">operating cost </w:t>
      </w:r>
      <w:r w:rsidR="00FD1EFB" w:rsidRPr="005321D5">
        <w:t xml:space="preserve">optimization, </w:t>
      </w:r>
      <w:r w:rsidR="00483BA9" w:rsidRPr="005321D5">
        <w:t>specifically the firing rates of the different boilers in the hybrid system.</w:t>
      </w:r>
      <w:r w:rsidRPr="005321D5">
        <w:t xml:space="preserve"> Future work will look at expanding the scope and move towards a real-time optimization approach. </w:t>
      </w:r>
    </w:p>
    <w:p w14:paraId="144DE699" w14:textId="5B678EBF" w:rsidR="008D2649" w:rsidRPr="005321D5" w:rsidRDefault="00AD42CC" w:rsidP="008D2649">
      <w:pPr>
        <w:pStyle w:val="Els-1storder-head"/>
      </w:pPr>
      <w:r>
        <w:t>Mathematical Optimization Model</w:t>
      </w:r>
    </w:p>
    <w:p w14:paraId="034D58DF" w14:textId="7B2FC7B1" w:rsidR="00DC0AA3" w:rsidRPr="005321D5" w:rsidRDefault="00AD42CC" w:rsidP="00FD1EFB">
      <w:pPr>
        <w:pStyle w:val="Els-2ndorder-head"/>
      </w:pPr>
      <w:r>
        <w:t>Model Parameters</w:t>
      </w:r>
    </w:p>
    <w:p w14:paraId="7E7C5370" w14:textId="585DE533" w:rsidR="00DC0AA3" w:rsidRPr="005321D5" w:rsidRDefault="00DC0AA3" w:rsidP="00DC0AA3">
      <w:pPr>
        <w:pStyle w:val="Els-body-text"/>
      </w:pPr>
      <w:r w:rsidRPr="005321D5">
        <w:t>The main structure of the optimization model is an equation-based time-slice model where a year’s worth of data is split into multiple small slices, and these slices are then solved individually for the minimum cost. The main parameters into the model are the thermal demand</w:t>
      </w:r>
      <w:r w:rsidR="00EC4B96" w:rsidRPr="005321D5">
        <w:t>, fuel</w:t>
      </w:r>
      <w:r w:rsidRPr="005321D5">
        <w:t xml:space="preserve"> costs</w:t>
      </w:r>
      <w:r w:rsidR="00EC4B96" w:rsidRPr="005321D5">
        <w:t>, and emission trading scheme costs, with the output of the model being the annual operating cost and annual CO</w:t>
      </w:r>
      <w:r w:rsidR="00EC4B96" w:rsidRPr="005321D5">
        <w:rPr>
          <w:vertAlign w:val="subscript"/>
        </w:rPr>
        <w:t>2</w:t>
      </w:r>
      <w:r w:rsidR="00EC4B96" w:rsidRPr="005321D5">
        <w:t xml:space="preserve"> emissions.</w:t>
      </w:r>
    </w:p>
    <w:p w14:paraId="564D617E" w14:textId="34FBE59A" w:rsidR="00AD42CC" w:rsidRPr="00AD42CC" w:rsidRDefault="00AD42CC" w:rsidP="00AD42CC">
      <w:pPr>
        <w:pStyle w:val="Els-3rdorder-head"/>
      </w:pPr>
      <w:r>
        <w:t>Thermal Model</w:t>
      </w:r>
    </w:p>
    <w:p w14:paraId="28117572" w14:textId="08928543" w:rsidR="005971DD" w:rsidRPr="005321D5" w:rsidRDefault="00FD2E9B" w:rsidP="00FD1EFB">
      <w:pPr>
        <w:pStyle w:val="Els-body-text"/>
      </w:pPr>
      <w:r w:rsidRPr="005321D5">
        <w:t xml:space="preserve">For this work, an industrial case study </w:t>
      </w:r>
      <w:r w:rsidR="00074ABC" w:rsidRPr="005321D5">
        <w:t>is</w:t>
      </w:r>
      <w:r w:rsidRPr="005321D5">
        <w:t xml:space="preserve"> used as the basis for the modelling.</w:t>
      </w:r>
      <w:r w:rsidR="005971DD" w:rsidRPr="005321D5">
        <w:t xml:space="preserve"> This is a New Zealand processing plant that currently uses coal boilers as the medium for process heat delivery, but </w:t>
      </w:r>
      <w:r w:rsidR="00EB605C" w:rsidRPr="005321D5">
        <w:t xml:space="preserve">due to confidentiality reasons commercially sensitive </w:t>
      </w:r>
      <w:r w:rsidR="0045374E" w:rsidRPr="005321D5">
        <w:t>details are</w:t>
      </w:r>
      <w:r w:rsidR="00EB605C" w:rsidRPr="005321D5">
        <w:t xml:space="preserve"> </w:t>
      </w:r>
      <w:r w:rsidR="0045374E" w:rsidRPr="005321D5">
        <w:t>omitted</w:t>
      </w:r>
      <w:r w:rsidR="005971DD" w:rsidRPr="005321D5">
        <w:t>.</w:t>
      </w:r>
      <w:r w:rsidR="006873AC" w:rsidRPr="005321D5">
        <w:t xml:space="preserve"> </w:t>
      </w:r>
      <w:r w:rsidR="005971DD" w:rsidRPr="005321D5">
        <w:t>One of the major objectives of this work is to understand</w:t>
      </w:r>
      <w:r w:rsidR="00195344" w:rsidRPr="005321D5">
        <w:t xml:space="preserve"> how</w:t>
      </w:r>
      <w:r w:rsidR="005971DD" w:rsidRPr="005321D5">
        <w:t xml:space="preserve"> the varying electricity spot price can affect the </w:t>
      </w:r>
      <w:r w:rsidR="00562BB4" w:rsidRPr="005321D5">
        <w:t>operating cost</w:t>
      </w:r>
      <w:r w:rsidR="005971DD" w:rsidRPr="005321D5">
        <w:t>, which required th</w:t>
      </w:r>
      <w:r w:rsidR="00306DD9" w:rsidRPr="005321D5">
        <w:t xml:space="preserve">e thermal demand of the plant to be </w:t>
      </w:r>
      <w:r w:rsidR="004B2C47" w:rsidRPr="005321D5">
        <w:t>the same time-step</w:t>
      </w:r>
      <w:r w:rsidR="00306DD9" w:rsidRPr="005321D5">
        <w:t xml:space="preserve"> as the spot-price</w:t>
      </w:r>
      <w:r w:rsidR="00EF7FB7" w:rsidRPr="005321D5">
        <w:t xml:space="preserve">. </w:t>
      </w:r>
      <w:r w:rsidR="00A77F20">
        <w:t>The thermal model was generated using a previous mass and energy balance, where the heat demand was determined by the change in enthalpy between the water and the steam for each boiler, using on-site sensors</w:t>
      </w:r>
      <w:r w:rsidR="00EF7FB7" w:rsidRPr="005321D5">
        <w:t>.</w:t>
      </w:r>
      <w:r w:rsidR="00004001" w:rsidRPr="005321D5">
        <w:t xml:space="preserve"> </w:t>
      </w:r>
      <w:r w:rsidR="00A77F20">
        <w:t xml:space="preserve"> This was then validated against recorded coal usage from the plant. </w:t>
      </w:r>
      <w:r w:rsidR="00004001" w:rsidRPr="005321D5">
        <w:t xml:space="preserve">The </w:t>
      </w:r>
      <w:r w:rsidR="00A77F20">
        <w:t>thermal</w:t>
      </w:r>
      <w:r w:rsidR="00004001" w:rsidRPr="005321D5">
        <w:t xml:space="preserve"> is shown in Figure 1</w:t>
      </w:r>
      <w:r w:rsidR="00EC4B96" w:rsidRPr="005321D5">
        <w:t xml:space="preserve"> as an ordered plot</w:t>
      </w:r>
      <w:r w:rsidR="00A77F20">
        <w:t xml:space="preserve"> to show the distribution of values</w:t>
      </w:r>
      <w:r w:rsidR="00004001" w:rsidRPr="005321D5">
        <w:t>.</w:t>
      </w:r>
      <w:r w:rsidR="00EF7FB7" w:rsidRPr="005321D5">
        <w:t xml:space="preserve"> </w:t>
      </w:r>
      <w:r w:rsidR="00074ABC" w:rsidRPr="005321D5">
        <w:t>Using this thermal model alongside</w:t>
      </w:r>
      <w:r w:rsidR="00EF7FB7" w:rsidRPr="005321D5">
        <w:t xml:space="preserve"> knowledge of decision-making factors different models and </w:t>
      </w:r>
      <w:r w:rsidR="00074ABC" w:rsidRPr="005321D5">
        <w:t>scenarios</w:t>
      </w:r>
      <w:r w:rsidR="00EF7FB7" w:rsidRPr="005321D5">
        <w:t xml:space="preserve"> could be </w:t>
      </w:r>
      <w:r w:rsidR="004B2C47" w:rsidRPr="005321D5">
        <w:t>made</w:t>
      </w:r>
      <w:r w:rsidR="00EF7FB7" w:rsidRPr="005321D5">
        <w:t>.</w:t>
      </w:r>
      <w:r w:rsidR="001629D5" w:rsidRPr="005321D5">
        <w:t xml:space="preserve"> Having a </w:t>
      </w:r>
      <w:r w:rsidR="00D0111B" w:rsidRPr="005321D5">
        <w:t xml:space="preserve">specific </w:t>
      </w:r>
      <w:r w:rsidR="001629D5" w:rsidRPr="005321D5">
        <w:t xml:space="preserve">case study is also important as it establishes a fixed geography of the plant, which can affect many contributing factors, such as fuel price, fuel supply, and </w:t>
      </w:r>
      <w:r w:rsidR="009B3802" w:rsidRPr="005321D5">
        <w:t>electricity prices</w:t>
      </w:r>
      <w:r w:rsidR="001629D5" w:rsidRPr="005321D5">
        <w:t>.</w:t>
      </w:r>
    </w:p>
    <w:p w14:paraId="41956436" w14:textId="4775715E" w:rsidR="00CE6BD6" w:rsidRPr="005321D5" w:rsidRDefault="00DC0AA3" w:rsidP="00FD1EFB">
      <w:pPr>
        <w:pStyle w:val="Els-body-text"/>
      </w:pPr>
      <w:r w:rsidRPr="005321D5">
        <w:rPr>
          <w:noProof/>
        </w:rPr>
        <w:drawing>
          <wp:inline distT="0" distB="0" distL="0" distR="0" wp14:anchorId="7F8AF365" wp14:editId="0ED7C8CD">
            <wp:extent cx="4499610" cy="1541145"/>
            <wp:effectExtent l="0" t="0" r="0" b="1905"/>
            <wp:docPr id="193667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7584" name=""/>
                    <pic:cNvPicPr/>
                  </pic:nvPicPr>
                  <pic:blipFill>
                    <a:blip r:embed="rId8"/>
                    <a:stretch>
                      <a:fillRect/>
                    </a:stretch>
                  </pic:blipFill>
                  <pic:spPr>
                    <a:xfrm>
                      <a:off x="0" y="0"/>
                      <a:ext cx="4499610" cy="1541145"/>
                    </a:xfrm>
                    <a:prstGeom prst="rect">
                      <a:avLst/>
                    </a:prstGeom>
                  </pic:spPr>
                </pic:pic>
              </a:graphicData>
            </a:graphic>
          </wp:inline>
        </w:drawing>
      </w:r>
    </w:p>
    <w:p w14:paraId="02200DFA" w14:textId="3B74FA99" w:rsidR="00CE6BD6" w:rsidRDefault="00CE6BD6" w:rsidP="00CE6BD6">
      <w:pPr>
        <w:pStyle w:val="Didascalia"/>
      </w:pPr>
      <w:r w:rsidRPr="005321D5">
        <w:t>Figure 1: Plant site thermal demand.</w:t>
      </w:r>
    </w:p>
    <w:p w14:paraId="56599A32" w14:textId="77777777" w:rsidR="00AD42CC" w:rsidRPr="00AD42CC" w:rsidRDefault="00AD42CC" w:rsidP="00AD42CC">
      <w:pPr>
        <w:pStyle w:val="Els-caption"/>
      </w:pPr>
    </w:p>
    <w:p w14:paraId="3EA40622" w14:textId="072C8477" w:rsidR="00AD42CC" w:rsidRDefault="00AD42CC" w:rsidP="00AD42CC">
      <w:pPr>
        <w:pStyle w:val="Els-3rdorder-head"/>
      </w:pPr>
      <w:r>
        <w:lastRenderedPageBreak/>
        <w:t>Fuel Costs</w:t>
      </w:r>
    </w:p>
    <w:p w14:paraId="7742CE75" w14:textId="772AFB1D" w:rsidR="003F5FC6" w:rsidRPr="005321D5" w:rsidRDefault="003F5FC6" w:rsidP="003F5FC6">
      <w:pPr>
        <w:pStyle w:val="Els-body-text"/>
      </w:pPr>
      <w:r w:rsidRPr="005321D5">
        <w:t>The main parameters for the optimization are the different fuel costs, which are composed of supply costs and emission trading scheme costs.</w:t>
      </w:r>
      <w:r w:rsidR="00DC0AA3" w:rsidRPr="005321D5">
        <w:t xml:space="preserve"> For the electricity pricing</w:t>
      </w:r>
      <w:r w:rsidR="003000D3" w:rsidRPr="005321D5">
        <w:t xml:space="preserve"> (excluding transmission and distribution costs)</w:t>
      </w:r>
      <w:r w:rsidR="00DC0AA3" w:rsidRPr="005321D5">
        <w:t xml:space="preserve">, this is the trading period (half-hourly) price and applying a general pricing increase factor of 2 %. This increase represents the change in price over time for the average price, based on the </w:t>
      </w:r>
      <w:r w:rsidR="00BD25E2" w:rsidRPr="005321D5">
        <w:t xml:space="preserve">location of the plant </w:t>
      </w:r>
      <w:r w:rsidR="00DC0AA3" w:rsidRPr="005321D5">
        <w:t>and plant experience. For the biomass and coal pricings, these were given as starting prices of $16 NZD/GJ and $5 NZD/GJ and increasing at 2 % per annum, with the numbers based on the experience of the plant.</w:t>
      </w:r>
      <w:r w:rsidR="00EC4B96" w:rsidRPr="005321D5">
        <w:t xml:space="preserve"> </w:t>
      </w:r>
    </w:p>
    <w:p w14:paraId="0B7CD370" w14:textId="0A9C458D" w:rsidR="00AD42CC" w:rsidRDefault="00AD42CC" w:rsidP="00AD42CC">
      <w:pPr>
        <w:pStyle w:val="Els-3rdorder-head"/>
      </w:pPr>
      <w:r>
        <w:t>Emission Costs</w:t>
      </w:r>
    </w:p>
    <w:p w14:paraId="57AD6C5D" w14:textId="4DA73692" w:rsidR="009547B5" w:rsidRPr="005321D5" w:rsidRDefault="00354807" w:rsidP="00354807">
      <w:pPr>
        <w:pStyle w:val="Els-body-text"/>
      </w:pPr>
      <w:r w:rsidRPr="005321D5">
        <w:t>To calculate the emission-based costs both the emission factor and emission unit cost are required. The emission factor represents the relative mass of CO</w:t>
      </w:r>
      <w:r w:rsidRPr="005321D5">
        <w:rPr>
          <w:vertAlign w:val="subscript"/>
        </w:rPr>
        <w:t>2</w:t>
      </w:r>
      <w:r w:rsidRPr="005321D5">
        <w:t xml:space="preserve"> emitted for every unit of fuel consumed.</w:t>
      </w:r>
      <w:r w:rsidR="003A7493" w:rsidRPr="005321D5">
        <w:t xml:space="preserve"> For this work, the emission factors used were 0.083 t</w:t>
      </w:r>
      <w:r w:rsidR="003A7493" w:rsidRPr="005321D5">
        <w:rPr>
          <w:vertAlign w:val="subscript"/>
        </w:rPr>
        <w:t>CO2-e</w:t>
      </w:r>
      <w:r w:rsidR="003A7493" w:rsidRPr="005321D5">
        <w:t>/GJ for coal, 0.00278 t</w:t>
      </w:r>
      <w:r w:rsidR="003A7493" w:rsidRPr="005321D5">
        <w:rPr>
          <w:vertAlign w:val="subscript"/>
        </w:rPr>
        <w:t>CO2-e</w:t>
      </w:r>
      <w:r w:rsidR="003A7493" w:rsidRPr="005321D5">
        <w:t>/GJ for biomass, and 0.0</w:t>
      </w:r>
      <w:r w:rsidR="00536BD3" w:rsidRPr="005321D5">
        <w:t>167</w:t>
      </w:r>
      <w:r w:rsidR="003A7493" w:rsidRPr="005321D5">
        <w:t xml:space="preserve"> t</w:t>
      </w:r>
      <w:r w:rsidR="003A7493" w:rsidRPr="005321D5">
        <w:rPr>
          <w:vertAlign w:val="subscript"/>
        </w:rPr>
        <w:t>CO2-e</w:t>
      </w:r>
      <w:r w:rsidR="003A7493" w:rsidRPr="005321D5">
        <w:t>/</w:t>
      </w:r>
      <w:r w:rsidR="00536BD3" w:rsidRPr="005321D5">
        <w:t>GJ</w:t>
      </w:r>
      <w:r w:rsidR="003A7493" w:rsidRPr="005321D5">
        <w:t xml:space="preserve"> for electricity</w:t>
      </w:r>
      <w:r w:rsidR="00621307" w:rsidRPr="005321D5">
        <w:t xml:space="preserve"> (</w:t>
      </w:r>
      <w:r w:rsidR="003000D3" w:rsidRPr="005321D5">
        <w:t>Ministry for the Environment, 2023a</w:t>
      </w:r>
      <w:r w:rsidR="00621307" w:rsidRPr="005321D5">
        <w:t>)</w:t>
      </w:r>
      <w:r w:rsidR="003A7493" w:rsidRPr="005321D5">
        <w:t xml:space="preserve">. </w:t>
      </w:r>
      <w:r w:rsidR="00621307" w:rsidRPr="005321D5">
        <w:t xml:space="preserve">The electricity emissions factor is an estimate </w:t>
      </w:r>
      <w:r w:rsidR="006D4515" w:rsidRPr="005321D5">
        <w:t xml:space="preserve">of the average factor over the next </w:t>
      </w:r>
      <w:r w:rsidR="003000D3" w:rsidRPr="005321D5">
        <w:t>15</w:t>
      </w:r>
      <w:r w:rsidR="006D4515" w:rsidRPr="005321D5">
        <w:t xml:space="preserve"> years.</w:t>
      </w:r>
      <w:r w:rsidR="009547B5" w:rsidRPr="005321D5">
        <w:t xml:space="preserve"> </w:t>
      </w:r>
      <w:r w:rsidR="00360903" w:rsidRPr="005321D5">
        <w:t xml:space="preserve">A </w:t>
      </w:r>
      <w:r w:rsidR="00F92396" w:rsidRPr="005321D5">
        <w:t>price pathway for emissions</w:t>
      </w:r>
      <w:r w:rsidR="007277AE" w:rsidRPr="005321D5">
        <w:t xml:space="preserve"> starting at $70 NZD/t</w:t>
      </w:r>
      <w:r w:rsidR="007277AE" w:rsidRPr="005321D5">
        <w:rPr>
          <w:vertAlign w:val="subscript"/>
        </w:rPr>
        <w:t>CO2-e</w:t>
      </w:r>
      <w:r w:rsidR="007277AE" w:rsidRPr="005321D5">
        <w:t xml:space="preserve"> in 2023 rising to $144 NZD/t</w:t>
      </w:r>
      <w:r w:rsidR="007277AE" w:rsidRPr="005321D5">
        <w:rPr>
          <w:vertAlign w:val="subscript"/>
        </w:rPr>
        <w:t>CO2-e</w:t>
      </w:r>
      <w:r w:rsidR="007277AE" w:rsidRPr="005321D5">
        <w:t xml:space="preserve"> in 2030, and then $260 NZD/t</w:t>
      </w:r>
      <w:r w:rsidR="007277AE" w:rsidRPr="005321D5">
        <w:rPr>
          <w:vertAlign w:val="subscript"/>
        </w:rPr>
        <w:t>CO2-e</w:t>
      </w:r>
      <w:r w:rsidR="007277AE" w:rsidRPr="005321D5">
        <w:t xml:space="preserve"> CO</w:t>
      </w:r>
      <w:r w:rsidR="007277AE" w:rsidRPr="005321D5">
        <w:rPr>
          <w:vertAlign w:val="subscript"/>
        </w:rPr>
        <w:t>2</w:t>
      </w:r>
      <w:r w:rsidR="007277AE" w:rsidRPr="005321D5">
        <w:t xml:space="preserve"> in 2050 was used (Ministry for the Environment, 2023</w:t>
      </w:r>
      <w:r w:rsidR="003000D3" w:rsidRPr="005321D5">
        <w:t>b</w:t>
      </w:r>
      <w:r w:rsidR="007277AE" w:rsidRPr="005321D5">
        <w:t xml:space="preserve">). A piece-wise </w:t>
      </w:r>
      <w:r w:rsidR="00194769" w:rsidRPr="005321D5">
        <w:t>linearization was applied</w:t>
      </w:r>
      <w:r w:rsidR="00677A5E" w:rsidRPr="005321D5">
        <w:t xml:space="preserve"> to the price pathway. </w:t>
      </w:r>
      <w:r w:rsidR="00EC1D56" w:rsidRPr="005321D5">
        <w:t>For the optimization of the plant in this study, the final time is set at 2037 (the 2050 pricing helps create the linearization).</w:t>
      </w:r>
    </w:p>
    <w:p w14:paraId="2824DECF" w14:textId="250E5E41" w:rsidR="00AD42CC" w:rsidRDefault="00AD42CC" w:rsidP="00AD42CC">
      <w:pPr>
        <w:pStyle w:val="Els-3rdorder-head"/>
      </w:pPr>
      <w:r>
        <w:t>Boiler Limits</w:t>
      </w:r>
    </w:p>
    <w:p w14:paraId="2850F82B" w14:textId="77777777" w:rsidR="00AD42CC" w:rsidRDefault="009547B5" w:rsidP="009547B5">
      <w:pPr>
        <w:pStyle w:val="Els-body-text"/>
      </w:pPr>
      <w:r w:rsidRPr="005321D5">
        <w:t>The boilers in the model have established upper</w:t>
      </w:r>
      <w:r w:rsidR="00AD42CC">
        <w:t xml:space="preserve"> (Q</w:t>
      </w:r>
      <w:r w:rsidR="00AD42CC">
        <w:rPr>
          <w:vertAlign w:val="subscript"/>
        </w:rPr>
        <w:t>UL</w:t>
      </w:r>
      <w:r w:rsidR="00AD42CC">
        <w:t>)</w:t>
      </w:r>
      <w:r w:rsidRPr="005321D5">
        <w:t xml:space="preserve"> and lower limits</w:t>
      </w:r>
      <w:r w:rsidR="00AD42CC">
        <w:t xml:space="preserve"> (Q</w:t>
      </w:r>
      <w:r w:rsidR="00AD42CC">
        <w:rPr>
          <w:vertAlign w:val="subscript"/>
        </w:rPr>
        <w:t>LL</w:t>
      </w:r>
      <w:r w:rsidR="00AD42CC">
        <w:t>)</w:t>
      </w:r>
      <w:r w:rsidRPr="005321D5">
        <w:t xml:space="preserve"> that constrain the firing rate</w:t>
      </w:r>
      <w:r w:rsidR="00AD42CC">
        <w:t>, represented by Equation 1</w:t>
      </w:r>
      <w:r w:rsidRPr="005321D5">
        <w:t xml:space="preserve">. For electrode boilers in the model, the lower limit is set at zero duty (the same as no lower limit) as it has a consistently high efficiency at all partial firing rates. </w:t>
      </w:r>
    </w:p>
    <w:tbl>
      <w:tblPr>
        <w:tblW w:w="7195" w:type="dxa"/>
        <w:tblInd w:w="-108" w:type="dxa"/>
        <w:tblLook w:val="04A0" w:firstRow="1" w:lastRow="0" w:firstColumn="1" w:lastColumn="0" w:noHBand="0" w:noVBand="1"/>
      </w:tblPr>
      <w:tblGrid>
        <w:gridCol w:w="6216"/>
        <w:gridCol w:w="979"/>
      </w:tblGrid>
      <w:tr w:rsidR="00AD42CC" w:rsidRPr="005321D5" w14:paraId="1C73E8C8" w14:textId="77777777" w:rsidTr="00B66299">
        <w:tc>
          <w:tcPr>
            <w:tcW w:w="6123" w:type="dxa"/>
            <w:shd w:val="clear" w:color="auto" w:fill="auto"/>
            <w:vAlign w:val="center"/>
          </w:tcPr>
          <w:p w14:paraId="2EF1785E" w14:textId="77777777" w:rsidR="00AD42CC" w:rsidRPr="005321D5" w:rsidRDefault="00AD42CC" w:rsidP="00B66299">
            <w:pPr>
              <w:pStyle w:val="Els-body-text"/>
              <w:spacing w:before="120" w:after="120" w:line="264" w:lineRule="auto"/>
              <w:rPr>
                <w:i/>
                <w:iCs/>
                <w:vertAlign w:val="subscript"/>
                <w:lang w:val="en-GB"/>
              </w:rPr>
            </w:pPr>
            <w:r w:rsidRPr="005321D5">
              <w:rPr>
                <w:i/>
                <w:iCs/>
                <w:lang w:val="en-GB"/>
              </w:rPr>
              <w:t>Q</w:t>
            </w:r>
            <w:r w:rsidRPr="005321D5">
              <w:rPr>
                <w:i/>
                <w:iCs/>
                <w:vertAlign w:val="subscript"/>
                <w:lang w:val="en-GB"/>
              </w:rPr>
              <w:t>LL</w:t>
            </w:r>
            <w:r w:rsidRPr="005321D5">
              <w:rPr>
                <w:i/>
                <w:iCs/>
                <w:lang w:val="en-GB"/>
              </w:rPr>
              <w:t xml:space="preserve"> ≤ Q ≤ Q</w:t>
            </w:r>
            <w:r w:rsidRPr="005321D5">
              <w:rPr>
                <w:i/>
                <w:iCs/>
                <w:vertAlign w:val="subscript"/>
                <w:lang w:val="en-GB"/>
              </w:rPr>
              <w:t>UL</w:t>
            </w:r>
          </w:p>
        </w:tc>
        <w:tc>
          <w:tcPr>
            <w:tcW w:w="964" w:type="dxa"/>
            <w:shd w:val="clear" w:color="auto" w:fill="auto"/>
            <w:vAlign w:val="center"/>
          </w:tcPr>
          <w:p w14:paraId="00A386B8" w14:textId="55124398" w:rsidR="00AD42CC" w:rsidRPr="005321D5" w:rsidRDefault="00AD42CC" w:rsidP="00B66299">
            <w:pPr>
              <w:pStyle w:val="Els-body-text"/>
              <w:spacing w:before="120" w:after="120" w:line="264" w:lineRule="auto"/>
              <w:jc w:val="right"/>
              <w:rPr>
                <w:lang w:val="en-GB"/>
              </w:rPr>
            </w:pPr>
            <w:r w:rsidRPr="005321D5">
              <w:rPr>
                <w:lang w:val="en-GB"/>
              </w:rPr>
              <w:t>(</w:t>
            </w:r>
            <w:r>
              <w:rPr>
                <w:lang w:val="en-GB"/>
              </w:rPr>
              <w:t>1</w:t>
            </w:r>
            <w:r w:rsidRPr="005321D5">
              <w:rPr>
                <w:lang w:val="en-GB"/>
              </w:rPr>
              <w:t>)</w:t>
            </w:r>
          </w:p>
        </w:tc>
      </w:tr>
    </w:tbl>
    <w:p w14:paraId="45FD663E" w14:textId="454D5034" w:rsidR="009547B5" w:rsidRPr="005321D5" w:rsidRDefault="009547B5" w:rsidP="009547B5">
      <w:pPr>
        <w:pStyle w:val="Els-body-text"/>
      </w:pPr>
      <w:r w:rsidRPr="005321D5">
        <w:t>Solid fuel boilers however have a diminishing efficiency at lower firing rates, so while the partial efficiency model was not used, this was represented by setting the lower operating limit to be half of the upper operating limit.</w:t>
      </w:r>
      <w:r w:rsidR="00EB32FA" w:rsidRPr="005321D5">
        <w:t xml:space="preserve"> </w:t>
      </w:r>
      <w:r w:rsidR="00FB428F" w:rsidRPr="005321D5">
        <w:t>The limits for the boilers are defined based on the current specifications of the boilers in the plant (for the solid fuel boilers) and potential plans (for the electrode boiler). The upper limits are 30 MW for solid fuel boilers, and 12 MW for electrode boilers.</w:t>
      </w:r>
    </w:p>
    <w:p w14:paraId="37CFF1C2" w14:textId="2305F529" w:rsidR="00AA54F9" w:rsidRPr="005321D5" w:rsidRDefault="00AA54F9" w:rsidP="00AA54F9">
      <w:pPr>
        <w:pStyle w:val="Els-2ndorder-head"/>
      </w:pPr>
      <w:r w:rsidRPr="005321D5">
        <w:t>Optimization Formulation</w:t>
      </w:r>
    </w:p>
    <w:p w14:paraId="530E2896" w14:textId="2814DAAA" w:rsidR="00AA54F9" w:rsidRPr="005321D5" w:rsidRDefault="00AA54F9" w:rsidP="009547B5">
      <w:pPr>
        <w:pStyle w:val="Els-body-text"/>
      </w:pPr>
      <w:r w:rsidRPr="005321D5">
        <w:t xml:space="preserve">The optimization is performed using the equation based GEKKO Python package (Beal et al., 2018). </w:t>
      </w:r>
      <w:r w:rsidR="00943243" w:rsidRPr="005321D5">
        <w:t>For the optimization of a year of data the parameters are defined before solving, with the main parameters being the total fuel cost (C</w:t>
      </w:r>
      <w:r w:rsidR="00CC767C" w:rsidRPr="005321D5">
        <w:rPr>
          <w:vertAlign w:val="subscript"/>
        </w:rPr>
        <w:t>F</w:t>
      </w:r>
      <w:r w:rsidR="00943243" w:rsidRPr="005321D5">
        <w:t xml:space="preserve">) and the limits of the boiler </w:t>
      </w:r>
      <w:r w:rsidR="00C326DA" w:rsidRPr="005321D5">
        <w:t>firing rate</w:t>
      </w:r>
      <w:r w:rsidR="00943243" w:rsidRPr="005321D5">
        <w:t xml:space="preserve"> (Q). For all fuel types, the total cost is made of the </w:t>
      </w:r>
      <w:r w:rsidR="00CC767C" w:rsidRPr="005321D5">
        <w:t xml:space="preserve">supply </w:t>
      </w:r>
      <w:r w:rsidR="00943243" w:rsidRPr="005321D5">
        <w:t>cost (C</w:t>
      </w:r>
      <w:r w:rsidR="00CC767C" w:rsidRPr="005321D5">
        <w:rPr>
          <w:vertAlign w:val="subscript"/>
        </w:rPr>
        <w:t>S</w:t>
      </w:r>
      <w:r w:rsidR="00943243" w:rsidRPr="005321D5">
        <w:t>) and the emission cost (C</w:t>
      </w:r>
      <w:r w:rsidR="00943243" w:rsidRPr="005321D5">
        <w:rPr>
          <w:vertAlign w:val="subscript"/>
        </w:rPr>
        <w:t>E</w:t>
      </w:r>
      <w:r w:rsidR="00943243" w:rsidRPr="005321D5">
        <w:t xml:space="preserve">) </w:t>
      </w:r>
      <w:r w:rsidR="00D550C3" w:rsidRPr="005321D5">
        <w:t>(</w:t>
      </w:r>
      <w:r w:rsidR="00943243" w:rsidRPr="005321D5">
        <w:t>based on the emission factor (EF)</w:t>
      </w:r>
      <w:r w:rsidR="00D550C3" w:rsidRPr="005321D5">
        <w:t>)</w:t>
      </w:r>
      <w:r w:rsidR="00943243" w:rsidRPr="005321D5">
        <w:t xml:space="preserve">, </w:t>
      </w:r>
      <w:r w:rsidRPr="005321D5">
        <w:t xml:space="preserve">shown in Equation </w:t>
      </w:r>
      <w:r w:rsidR="00AD42CC">
        <w:t>2</w:t>
      </w:r>
      <w:r w:rsidRPr="005321D5">
        <w:t>:</w:t>
      </w:r>
    </w:p>
    <w:tbl>
      <w:tblPr>
        <w:tblW w:w="7195" w:type="dxa"/>
        <w:tblInd w:w="-108" w:type="dxa"/>
        <w:tblLook w:val="04A0" w:firstRow="1" w:lastRow="0" w:firstColumn="1" w:lastColumn="0" w:noHBand="0" w:noVBand="1"/>
      </w:tblPr>
      <w:tblGrid>
        <w:gridCol w:w="6216"/>
        <w:gridCol w:w="979"/>
      </w:tblGrid>
      <w:tr w:rsidR="00AA54F9" w:rsidRPr="005321D5" w14:paraId="383F0FEE" w14:textId="77777777" w:rsidTr="00FC4CD4">
        <w:tc>
          <w:tcPr>
            <w:tcW w:w="6123" w:type="dxa"/>
            <w:shd w:val="clear" w:color="auto" w:fill="auto"/>
            <w:vAlign w:val="center"/>
          </w:tcPr>
          <w:p w14:paraId="42BF3D92" w14:textId="56176CAD" w:rsidR="00AA54F9" w:rsidRPr="005321D5" w:rsidRDefault="00AA54F9" w:rsidP="00FC4CD4">
            <w:pPr>
              <w:pStyle w:val="Els-body-text"/>
              <w:spacing w:before="120" w:after="120" w:line="264" w:lineRule="auto"/>
              <w:rPr>
                <w:i/>
                <w:iCs/>
                <w:lang w:val="en-GB"/>
              </w:rPr>
            </w:pPr>
            <w:r w:rsidRPr="005321D5">
              <w:rPr>
                <w:i/>
                <w:iCs/>
                <w:lang w:val="en-GB"/>
              </w:rPr>
              <w:t>C</w:t>
            </w:r>
            <w:r w:rsidRPr="005321D5">
              <w:rPr>
                <w:i/>
                <w:iCs/>
                <w:lang w:val="en-GB"/>
              </w:rPr>
              <w:softHyphen/>
            </w:r>
            <w:r w:rsidR="00CC767C" w:rsidRPr="005321D5">
              <w:rPr>
                <w:i/>
                <w:iCs/>
                <w:vertAlign w:val="subscript"/>
                <w:lang w:val="en-GB"/>
              </w:rPr>
              <w:t>F</w:t>
            </w:r>
            <w:r w:rsidRPr="005321D5">
              <w:rPr>
                <w:i/>
                <w:iCs/>
                <w:lang w:val="en-GB"/>
              </w:rPr>
              <w:t xml:space="preserve"> = C</w:t>
            </w:r>
            <w:r w:rsidR="00CC767C" w:rsidRPr="005321D5">
              <w:rPr>
                <w:i/>
                <w:iCs/>
                <w:vertAlign w:val="subscript"/>
                <w:lang w:val="en-GB"/>
              </w:rPr>
              <w:t>S</w:t>
            </w:r>
            <w:r w:rsidRPr="005321D5">
              <w:rPr>
                <w:i/>
                <w:iCs/>
                <w:lang w:val="en-GB"/>
              </w:rPr>
              <w:t xml:space="preserve"> + EF </w:t>
            </w:r>
            <w:r w:rsidR="00A77F20">
              <w:rPr>
                <w:rFonts w:ascii="Cambria Math" w:hAnsi="Cambria Math" w:cs="Cambria Math"/>
                <w:i/>
                <w:iCs/>
                <w:lang w:val="en-GB"/>
              </w:rPr>
              <w:t>⋅</w:t>
            </w:r>
            <w:r w:rsidR="00A77F20">
              <w:rPr>
                <w:i/>
                <w:iCs/>
                <w:lang w:val="en-GB"/>
              </w:rPr>
              <w:t xml:space="preserve"> </w:t>
            </w:r>
            <w:r w:rsidRPr="005321D5">
              <w:rPr>
                <w:i/>
                <w:iCs/>
                <w:lang w:val="en-GB"/>
              </w:rPr>
              <w:t xml:space="preserve"> C</w:t>
            </w:r>
            <w:r w:rsidRPr="005321D5">
              <w:rPr>
                <w:i/>
                <w:iCs/>
                <w:vertAlign w:val="subscript"/>
                <w:lang w:val="en-GB"/>
              </w:rPr>
              <w:t>E</w:t>
            </w:r>
            <w:r w:rsidR="00A77F20">
              <w:rPr>
                <w:i/>
                <w:iCs/>
                <w:vertAlign w:val="subscript"/>
                <w:lang w:val="en-GB"/>
              </w:rPr>
              <w:t xml:space="preserve">  </w:t>
            </w:r>
          </w:p>
        </w:tc>
        <w:tc>
          <w:tcPr>
            <w:tcW w:w="964" w:type="dxa"/>
            <w:shd w:val="clear" w:color="auto" w:fill="auto"/>
            <w:vAlign w:val="center"/>
          </w:tcPr>
          <w:p w14:paraId="3DA9DAE3" w14:textId="0802B300" w:rsidR="00AA54F9" w:rsidRPr="005321D5" w:rsidRDefault="00AA54F9" w:rsidP="00FC4CD4">
            <w:pPr>
              <w:pStyle w:val="Els-body-text"/>
              <w:spacing w:before="120" w:after="120" w:line="264" w:lineRule="auto"/>
              <w:jc w:val="right"/>
              <w:rPr>
                <w:lang w:val="en-GB"/>
              </w:rPr>
            </w:pPr>
            <w:r w:rsidRPr="005321D5">
              <w:rPr>
                <w:lang w:val="en-GB"/>
              </w:rPr>
              <w:t>(</w:t>
            </w:r>
            <w:r w:rsidR="00AD42CC">
              <w:rPr>
                <w:lang w:val="en-GB"/>
              </w:rPr>
              <w:t>2</w:t>
            </w:r>
            <w:r w:rsidRPr="005321D5">
              <w:rPr>
                <w:lang w:val="en-GB"/>
              </w:rPr>
              <w:t>)</w:t>
            </w:r>
          </w:p>
        </w:tc>
      </w:tr>
    </w:tbl>
    <w:p w14:paraId="050AFA79" w14:textId="51C46D37" w:rsidR="00354807" w:rsidRPr="005321D5" w:rsidRDefault="00C326DA" w:rsidP="00354807">
      <w:pPr>
        <w:pStyle w:val="Els-body-text"/>
      </w:pPr>
      <w:r w:rsidRPr="005321D5">
        <w:t>The firing rate of the boiler is a variable within the model and is the primary aspect that is changed</w:t>
      </w:r>
      <w:r w:rsidR="008C0E70" w:rsidRPr="005321D5">
        <w:t xml:space="preserve"> within a time</w:t>
      </w:r>
      <w:r w:rsidR="001F278E" w:rsidRPr="005321D5">
        <w:t>step</w:t>
      </w:r>
      <w:r w:rsidRPr="005321D5">
        <w:t xml:space="preserve">. The optimizer will change the duty for each </w:t>
      </w:r>
      <w:r w:rsidR="00CC767C" w:rsidRPr="005321D5">
        <w:t>timestep to</w:t>
      </w:r>
      <w:r w:rsidRPr="005321D5">
        <w:t xml:space="preserve"> minimize the operating cost </w:t>
      </w:r>
      <w:r w:rsidR="00CC767C" w:rsidRPr="005321D5">
        <w:t>(C</w:t>
      </w:r>
      <w:r w:rsidR="00CC767C" w:rsidRPr="005321D5">
        <w:rPr>
          <w:vertAlign w:val="subscript"/>
        </w:rPr>
        <w:t>T</w:t>
      </w:r>
      <w:r w:rsidR="00CC767C" w:rsidRPr="005321D5">
        <w:t xml:space="preserve">) </w:t>
      </w:r>
      <w:r w:rsidRPr="005321D5">
        <w:t xml:space="preserve">while simultaneously meeting the </w:t>
      </w:r>
      <w:r w:rsidR="00CC767C" w:rsidRPr="005321D5">
        <w:t>overall demand (Q</w:t>
      </w:r>
      <w:r w:rsidR="00CC767C" w:rsidRPr="005321D5">
        <w:rPr>
          <w:vertAlign w:val="subscript"/>
        </w:rPr>
        <w:t>T</w:t>
      </w:r>
      <w:r w:rsidR="00CC767C" w:rsidRPr="005321D5">
        <w:t>). For an example optimization of a hybrid biomass (denoted by subscript B) and electrode (denoted by subscript E) system, the objective function and demand definition are shown in Equation 3 and Equation 4:</w:t>
      </w:r>
    </w:p>
    <w:tbl>
      <w:tblPr>
        <w:tblW w:w="7195" w:type="dxa"/>
        <w:tblInd w:w="-108" w:type="dxa"/>
        <w:tblLook w:val="04A0" w:firstRow="1" w:lastRow="0" w:firstColumn="1" w:lastColumn="0" w:noHBand="0" w:noVBand="1"/>
      </w:tblPr>
      <w:tblGrid>
        <w:gridCol w:w="6231"/>
        <w:gridCol w:w="964"/>
      </w:tblGrid>
      <w:tr w:rsidR="00CC767C" w:rsidRPr="005321D5" w14:paraId="4470A583" w14:textId="77777777" w:rsidTr="0091342C">
        <w:tc>
          <w:tcPr>
            <w:tcW w:w="6123" w:type="dxa"/>
            <w:shd w:val="clear" w:color="auto" w:fill="auto"/>
            <w:vAlign w:val="center"/>
          </w:tcPr>
          <w:p w14:paraId="7D447BFF" w14:textId="4A224A3D" w:rsidR="00CC767C" w:rsidRPr="005321D5" w:rsidRDefault="00CC767C" w:rsidP="0091342C">
            <w:pPr>
              <w:pStyle w:val="Els-body-text"/>
              <w:spacing w:before="120" w:after="120" w:line="264" w:lineRule="auto"/>
              <w:rPr>
                <w:i/>
                <w:iCs/>
                <w:lang w:val="en-GB"/>
              </w:rPr>
            </w:pPr>
            <w:r w:rsidRPr="005321D5">
              <w:rPr>
                <w:i/>
                <w:iCs/>
                <w:lang w:val="en-GB"/>
              </w:rPr>
              <w:lastRenderedPageBreak/>
              <w:t>min (C</w:t>
            </w:r>
            <w:r w:rsidRPr="005321D5">
              <w:rPr>
                <w:i/>
                <w:iCs/>
                <w:vertAlign w:val="subscript"/>
                <w:lang w:val="en-GB"/>
              </w:rPr>
              <w:t>T</w:t>
            </w:r>
            <w:r w:rsidRPr="005321D5">
              <w:rPr>
                <w:i/>
                <w:iCs/>
                <w:lang w:val="en-GB"/>
              </w:rPr>
              <w:t>), where C</w:t>
            </w:r>
            <w:r w:rsidRPr="005321D5">
              <w:rPr>
                <w:i/>
                <w:iCs/>
                <w:vertAlign w:val="subscript"/>
                <w:lang w:val="en-GB"/>
              </w:rPr>
              <w:t>T</w:t>
            </w:r>
            <w:r w:rsidRPr="005321D5">
              <w:rPr>
                <w:i/>
                <w:iCs/>
                <w:lang w:val="en-GB"/>
              </w:rPr>
              <w:t xml:space="preserve"> = </w:t>
            </w:r>
            <w:r w:rsidR="00BC21C1" w:rsidRPr="005321D5">
              <w:rPr>
                <w:i/>
                <w:iCs/>
                <w:lang w:val="en-GB"/>
              </w:rPr>
              <w:t>Q</w:t>
            </w:r>
            <w:r w:rsidR="00BC21C1" w:rsidRPr="005321D5">
              <w:rPr>
                <w:i/>
                <w:iCs/>
                <w:vertAlign w:val="subscript"/>
                <w:lang w:val="en-GB"/>
              </w:rPr>
              <w:t>B</w:t>
            </w:r>
            <w:r w:rsidR="00BC21C1" w:rsidRPr="005321D5">
              <w:rPr>
                <w:i/>
                <w:iCs/>
                <w:lang w:val="en-GB"/>
              </w:rPr>
              <w:t xml:space="preserve"> </w:t>
            </w:r>
            <w:r w:rsidR="00A77F20">
              <w:rPr>
                <w:rFonts w:ascii="Cambria Math" w:hAnsi="Cambria Math" w:cs="Cambria Math"/>
                <w:i/>
                <w:iCs/>
                <w:lang w:val="en-GB"/>
              </w:rPr>
              <w:t>⋅</w:t>
            </w:r>
            <w:r w:rsidR="00A77F20">
              <w:rPr>
                <w:i/>
                <w:iCs/>
                <w:lang w:val="en-GB"/>
              </w:rPr>
              <w:t xml:space="preserve"> </w:t>
            </w:r>
            <w:r w:rsidR="00BC21C1" w:rsidRPr="005321D5">
              <w:rPr>
                <w:i/>
                <w:iCs/>
                <w:lang w:val="en-GB"/>
              </w:rPr>
              <w:t xml:space="preserve"> </w:t>
            </w:r>
            <w:r w:rsidRPr="005321D5">
              <w:rPr>
                <w:i/>
                <w:iCs/>
                <w:lang w:val="en-GB"/>
              </w:rPr>
              <w:t>C</w:t>
            </w:r>
            <w:r w:rsidR="00BC21C1" w:rsidRPr="005321D5">
              <w:rPr>
                <w:i/>
                <w:iCs/>
                <w:vertAlign w:val="subscript"/>
                <w:lang w:val="en-GB"/>
              </w:rPr>
              <w:t>F</w:t>
            </w:r>
            <w:r w:rsidRPr="005321D5">
              <w:rPr>
                <w:i/>
                <w:iCs/>
                <w:vertAlign w:val="subscript"/>
                <w:lang w:val="en-GB"/>
              </w:rPr>
              <w:t>,B</w:t>
            </w:r>
            <w:r w:rsidRPr="005321D5">
              <w:rPr>
                <w:i/>
                <w:iCs/>
                <w:lang w:val="en-GB"/>
              </w:rPr>
              <w:t xml:space="preserve"> </w:t>
            </w:r>
            <w:r w:rsidR="00A77F20">
              <w:rPr>
                <w:rFonts w:ascii="Cambria Math" w:hAnsi="Cambria Math" w:cs="Cambria Math"/>
                <w:i/>
                <w:iCs/>
                <w:lang w:val="en-GB"/>
              </w:rPr>
              <w:t>⋅</w:t>
            </w:r>
            <w:r w:rsidR="00A77F20">
              <w:rPr>
                <w:i/>
                <w:iCs/>
                <w:lang w:val="en-GB"/>
              </w:rPr>
              <w:t xml:space="preserve"> </w:t>
            </w:r>
            <w:r w:rsidRPr="005321D5">
              <w:rPr>
                <w:i/>
                <w:iCs/>
                <w:lang w:val="en-GB"/>
              </w:rPr>
              <w:t xml:space="preserve"> </w:t>
            </w:r>
            <w:r w:rsidR="00BC21C1" w:rsidRPr="005321D5">
              <w:rPr>
                <w:i/>
                <w:iCs/>
                <w:lang w:val="en-GB"/>
              </w:rPr>
              <w:t>z</w:t>
            </w:r>
            <w:r w:rsidR="00BC21C1" w:rsidRPr="005321D5">
              <w:rPr>
                <w:i/>
                <w:iCs/>
                <w:vertAlign w:val="subscript"/>
                <w:lang w:val="en-GB"/>
              </w:rPr>
              <w:t>B</w:t>
            </w:r>
            <w:r w:rsidRPr="005321D5">
              <w:rPr>
                <w:i/>
                <w:iCs/>
                <w:lang w:val="en-GB"/>
              </w:rPr>
              <w:t xml:space="preserve"> + </w:t>
            </w:r>
            <w:r w:rsidR="00BC21C1" w:rsidRPr="005321D5">
              <w:rPr>
                <w:i/>
                <w:iCs/>
                <w:lang w:val="en-GB"/>
              </w:rPr>
              <w:t>Q</w:t>
            </w:r>
            <w:r w:rsidR="00BC21C1" w:rsidRPr="005321D5">
              <w:rPr>
                <w:i/>
                <w:iCs/>
                <w:vertAlign w:val="subscript"/>
                <w:lang w:val="en-GB"/>
              </w:rPr>
              <w:t>E</w:t>
            </w:r>
            <w:r w:rsidR="00BC21C1" w:rsidRPr="005321D5">
              <w:rPr>
                <w:i/>
                <w:iCs/>
                <w:lang w:val="en-GB"/>
              </w:rPr>
              <w:t xml:space="preserve"> </w:t>
            </w:r>
            <w:r w:rsidR="00A77F20">
              <w:rPr>
                <w:rFonts w:ascii="Cambria Math" w:hAnsi="Cambria Math" w:cs="Cambria Math"/>
                <w:i/>
                <w:iCs/>
                <w:lang w:val="en-GB"/>
              </w:rPr>
              <w:t>⋅</w:t>
            </w:r>
            <w:r w:rsidR="00A77F20">
              <w:rPr>
                <w:i/>
                <w:iCs/>
                <w:lang w:val="en-GB"/>
              </w:rPr>
              <w:t xml:space="preserve"> </w:t>
            </w:r>
            <w:r w:rsidR="00BC21C1" w:rsidRPr="005321D5">
              <w:rPr>
                <w:i/>
                <w:iCs/>
                <w:lang w:val="en-GB"/>
              </w:rPr>
              <w:t xml:space="preserve"> C</w:t>
            </w:r>
            <w:r w:rsidR="00BC21C1" w:rsidRPr="005321D5">
              <w:rPr>
                <w:i/>
                <w:iCs/>
                <w:vertAlign w:val="subscript"/>
                <w:lang w:val="en-GB"/>
              </w:rPr>
              <w:t>F,E</w:t>
            </w:r>
            <w:r w:rsidRPr="005321D5">
              <w:rPr>
                <w:i/>
                <w:iCs/>
                <w:lang w:val="en-GB"/>
              </w:rPr>
              <w:t xml:space="preserve"> </w:t>
            </w:r>
            <w:r w:rsidR="00A77F20">
              <w:rPr>
                <w:rFonts w:ascii="Cambria Math" w:hAnsi="Cambria Math" w:cs="Cambria Math"/>
                <w:i/>
                <w:iCs/>
                <w:lang w:val="en-GB"/>
              </w:rPr>
              <w:t>⋅</w:t>
            </w:r>
            <w:r w:rsidR="00A77F20">
              <w:rPr>
                <w:i/>
                <w:iCs/>
                <w:lang w:val="en-GB"/>
              </w:rPr>
              <w:t xml:space="preserve"> </w:t>
            </w:r>
            <w:r w:rsidRPr="005321D5">
              <w:rPr>
                <w:i/>
                <w:iCs/>
                <w:lang w:val="en-GB"/>
              </w:rPr>
              <w:t xml:space="preserve"> </w:t>
            </w:r>
            <w:r w:rsidR="00BC21C1" w:rsidRPr="005321D5">
              <w:rPr>
                <w:i/>
                <w:iCs/>
                <w:lang w:val="en-GB"/>
              </w:rPr>
              <w:t>z</w:t>
            </w:r>
            <w:r w:rsidR="00BC21C1" w:rsidRPr="005321D5">
              <w:rPr>
                <w:i/>
                <w:iCs/>
                <w:vertAlign w:val="subscript"/>
                <w:lang w:val="en-GB"/>
              </w:rPr>
              <w:t>E</w:t>
            </w:r>
          </w:p>
        </w:tc>
        <w:tc>
          <w:tcPr>
            <w:tcW w:w="964" w:type="dxa"/>
            <w:shd w:val="clear" w:color="auto" w:fill="auto"/>
            <w:vAlign w:val="center"/>
          </w:tcPr>
          <w:p w14:paraId="4755DF9F" w14:textId="72C4E957" w:rsidR="00CC767C" w:rsidRPr="005321D5" w:rsidRDefault="00CC767C" w:rsidP="0091342C">
            <w:pPr>
              <w:pStyle w:val="Els-body-text"/>
              <w:spacing w:before="120" w:after="120" w:line="264" w:lineRule="auto"/>
              <w:jc w:val="right"/>
              <w:rPr>
                <w:lang w:val="en-GB"/>
              </w:rPr>
            </w:pPr>
            <w:r w:rsidRPr="005321D5">
              <w:rPr>
                <w:lang w:val="en-GB"/>
              </w:rPr>
              <w:t>(</w:t>
            </w:r>
            <w:r w:rsidR="00BC21C1" w:rsidRPr="005321D5">
              <w:rPr>
                <w:lang w:val="en-GB"/>
              </w:rPr>
              <w:t>3</w:t>
            </w:r>
            <w:r w:rsidRPr="005321D5">
              <w:rPr>
                <w:lang w:val="en-GB"/>
              </w:rPr>
              <w:t>)</w:t>
            </w:r>
          </w:p>
        </w:tc>
      </w:tr>
      <w:tr w:rsidR="00CC767C" w:rsidRPr="005321D5" w14:paraId="1528A09A" w14:textId="77777777" w:rsidTr="0091342C">
        <w:tc>
          <w:tcPr>
            <w:tcW w:w="6231" w:type="dxa"/>
            <w:shd w:val="clear" w:color="auto" w:fill="auto"/>
            <w:vAlign w:val="center"/>
          </w:tcPr>
          <w:p w14:paraId="308A68C2" w14:textId="51B5E068" w:rsidR="00CC767C" w:rsidRPr="005321D5" w:rsidRDefault="00EB32FA" w:rsidP="0091342C">
            <w:pPr>
              <w:pStyle w:val="Els-body-text"/>
              <w:spacing w:before="120" w:after="120" w:line="264" w:lineRule="auto"/>
              <w:rPr>
                <w:lang w:val="en-GB"/>
              </w:rPr>
            </w:pPr>
            <w:r w:rsidRPr="005321D5">
              <w:rPr>
                <w:i/>
                <w:iCs/>
                <w:lang w:val="en-GB"/>
              </w:rPr>
              <w:t>Q</w:t>
            </w:r>
            <w:r w:rsidRPr="005321D5">
              <w:rPr>
                <w:i/>
                <w:iCs/>
                <w:vertAlign w:val="subscript"/>
                <w:lang w:val="en-GB"/>
              </w:rPr>
              <w:t>T</w:t>
            </w:r>
            <w:r w:rsidRPr="005321D5">
              <w:rPr>
                <w:i/>
                <w:iCs/>
                <w:lang w:val="en-GB"/>
              </w:rPr>
              <w:t xml:space="preserve"> ≤ Q</w:t>
            </w:r>
            <w:r w:rsidRPr="005321D5">
              <w:rPr>
                <w:i/>
                <w:iCs/>
                <w:vertAlign w:val="subscript"/>
                <w:lang w:val="en-GB"/>
              </w:rPr>
              <w:t>B</w:t>
            </w:r>
            <w:r w:rsidRPr="005321D5">
              <w:rPr>
                <w:i/>
                <w:iCs/>
                <w:lang w:val="en-GB"/>
              </w:rPr>
              <w:t xml:space="preserve"> </w:t>
            </w:r>
            <w:r w:rsidR="00A77F20">
              <w:rPr>
                <w:rFonts w:ascii="Cambria Math" w:hAnsi="Cambria Math" w:cs="Cambria Math"/>
                <w:i/>
                <w:iCs/>
                <w:lang w:val="en-GB"/>
              </w:rPr>
              <w:t>⋅</w:t>
            </w:r>
            <w:r w:rsidR="00A77F20">
              <w:rPr>
                <w:i/>
                <w:iCs/>
                <w:lang w:val="en-GB"/>
              </w:rPr>
              <w:t xml:space="preserve"> </w:t>
            </w:r>
            <w:r w:rsidRPr="005321D5">
              <w:rPr>
                <w:i/>
                <w:iCs/>
                <w:lang w:val="en-GB"/>
              </w:rPr>
              <w:t xml:space="preserve"> z</w:t>
            </w:r>
            <w:r w:rsidRPr="005321D5">
              <w:rPr>
                <w:i/>
                <w:iCs/>
                <w:vertAlign w:val="subscript"/>
                <w:lang w:val="en-GB"/>
              </w:rPr>
              <w:t>B</w:t>
            </w:r>
            <w:r w:rsidRPr="005321D5">
              <w:rPr>
                <w:i/>
                <w:iCs/>
                <w:lang w:val="en-GB"/>
              </w:rPr>
              <w:t xml:space="preserve"> + Q</w:t>
            </w:r>
            <w:r w:rsidRPr="005321D5">
              <w:rPr>
                <w:i/>
                <w:iCs/>
                <w:vertAlign w:val="subscript"/>
                <w:lang w:val="en-GB"/>
              </w:rPr>
              <w:t>E</w:t>
            </w:r>
            <w:r w:rsidRPr="005321D5">
              <w:rPr>
                <w:i/>
                <w:iCs/>
                <w:lang w:val="en-GB"/>
              </w:rPr>
              <w:t xml:space="preserve"> </w:t>
            </w:r>
            <w:r w:rsidR="00C77520">
              <w:rPr>
                <w:rFonts w:ascii="Cambria Math" w:hAnsi="Cambria Math" w:cs="Cambria Math"/>
                <w:i/>
                <w:iCs/>
                <w:lang w:val="en-GB"/>
              </w:rPr>
              <w:t>⋅</w:t>
            </w:r>
            <w:r w:rsidR="00C77520">
              <w:rPr>
                <w:i/>
                <w:iCs/>
                <w:lang w:val="en-GB"/>
              </w:rPr>
              <w:t xml:space="preserve"> </w:t>
            </w:r>
            <w:r w:rsidRPr="005321D5">
              <w:rPr>
                <w:i/>
                <w:iCs/>
                <w:lang w:val="en-GB"/>
              </w:rPr>
              <w:t xml:space="preserve"> z</w:t>
            </w:r>
            <w:r w:rsidRPr="005321D5">
              <w:rPr>
                <w:i/>
                <w:iCs/>
                <w:vertAlign w:val="subscript"/>
                <w:lang w:val="en-GB"/>
              </w:rPr>
              <w:t>E</w:t>
            </w:r>
          </w:p>
        </w:tc>
        <w:tc>
          <w:tcPr>
            <w:tcW w:w="964" w:type="dxa"/>
            <w:shd w:val="clear" w:color="auto" w:fill="auto"/>
            <w:vAlign w:val="center"/>
          </w:tcPr>
          <w:p w14:paraId="48E1AFF8" w14:textId="23B9B6FB" w:rsidR="00CC767C" w:rsidRPr="005321D5" w:rsidRDefault="00CC767C" w:rsidP="0091342C">
            <w:pPr>
              <w:pStyle w:val="Els-body-text"/>
              <w:spacing w:before="120" w:after="120" w:line="264" w:lineRule="auto"/>
              <w:jc w:val="right"/>
              <w:rPr>
                <w:lang w:val="en-GB"/>
              </w:rPr>
            </w:pPr>
            <w:r w:rsidRPr="005321D5">
              <w:rPr>
                <w:lang w:val="en-GB"/>
              </w:rPr>
              <w:t>(</w:t>
            </w:r>
            <w:r w:rsidR="00BC21C1" w:rsidRPr="005321D5">
              <w:rPr>
                <w:lang w:val="en-GB"/>
              </w:rPr>
              <w:t>4</w:t>
            </w:r>
            <w:r w:rsidRPr="005321D5">
              <w:rPr>
                <w:lang w:val="en-GB"/>
              </w:rPr>
              <w:t>)</w:t>
            </w:r>
          </w:p>
        </w:tc>
      </w:tr>
    </w:tbl>
    <w:p w14:paraId="3A6D03D6" w14:textId="3037AAF9" w:rsidR="00CC767C" w:rsidRPr="005321D5" w:rsidRDefault="00EB32FA" w:rsidP="00354807">
      <w:pPr>
        <w:pStyle w:val="Els-body-text"/>
      </w:pPr>
      <w:r w:rsidRPr="005321D5">
        <w:t xml:space="preserve">Where </w:t>
      </w:r>
      <w:r w:rsidRPr="005321D5">
        <w:rPr>
          <w:i/>
          <w:iCs/>
        </w:rPr>
        <w:t>z</w:t>
      </w:r>
      <w:r w:rsidRPr="005321D5">
        <w:t xml:space="preserve"> is the binary switch for each boiler that represents the operating state (0 for off, 1 for on). This is used for boilers with a lower limit above 0 MW. The optimization is solved using the GEKKO APOPT solver.</w:t>
      </w:r>
    </w:p>
    <w:p w14:paraId="144DE6A1" w14:textId="462D309B" w:rsidR="008D2649" w:rsidRPr="005321D5" w:rsidRDefault="00C516FB" w:rsidP="008D2649">
      <w:pPr>
        <w:pStyle w:val="Els-1storder-head"/>
        <w:spacing w:after="120"/>
        <w:rPr>
          <w:lang w:val="en-GB"/>
        </w:rPr>
      </w:pPr>
      <w:r w:rsidRPr="005321D5">
        <w:rPr>
          <w:lang w:val="en-GB"/>
        </w:rPr>
        <w:t>Results and Discussion</w:t>
      </w:r>
    </w:p>
    <w:p w14:paraId="6216537E" w14:textId="5DE83EFC" w:rsidR="00D550C3" w:rsidRPr="005321D5" w:rsidRDefault="00C516FB" w:rsidP="00C516FB">
      <w:pPr>
        <w:pStyle w:val="Els-body-text"/>
        <w:rPr>
          <w:lang w:val="en-GB"/>
        </w:rPr>
      </w:pPr>
      <w:r w:rsidRPr="005321D5">
        <w:rPr>
          <w:lang w:val="en-GB"/>
        </w:rPr>
        <w:t xml:space="preserve">Five different scenarios </w:t>
      </w:r>
      <w:r w:rsidR="00FF2725" w:rsidRPr="005321D5">
        <w:rPr>
          <w:lang w:val="en-GB"/>
        </w:rPr>
        <w:t xml:space="preserve">are used in this study: coal, biomass, and electrode only, and two hybrid scenarios of biomass/electrode and coal/electrode. Individual boilers give a reference point, whereas the two </w:t>
      </w:r>
      <w:r w:rsidR="00D550C3" w:rsidRPr="005321D5">
        <w:rPr>
          <w:lang w:val="en-GB"/>
        </w:rPr>
        <w:t>hybrid</w:t>
      </w:r>
      <w:r w:rsidR="00FF2725" w:rsidRPr="005321D5">
        <w:rPr>
          <w:lang w:val="en-GB"/>
        </w:rPr>
        <w:t xml:space="preserve"> scenarios </w:t>
      </w:r>
      <w:r w:rsidR="00D550C3" w:rsidRPr="005321D5">
        <w:rPr>
          <w:lang w:val="en-GB"/>
        </w:rPr>
        <w:t xml:space="preserve">represent </w:t>
      </w:r>
      <w:r w:rsidR="00CA2652" w:rsidRPr="005321D5">
        <w:rPr>
          <w:lang w:val="en-GB"/>
        </w:rPr>
        <w:t xml:space="preserve">potential </w:t>
      </w:r>
      <w:r w:rsidR="00D550C3" w:rsidRPr="005321D5">
        <w:rPr>
          <w:lang w:val="en-GB"/>
        </w:rPr>
        <w:t>transition pathways</w:t>
      </w:r>
      <w:r w:rsidR="00FF2725" w:rsidRPr="005321D5">
        <w:rPr>
          <w:lang w:val="en-GB"/>
        </w:rPr>
        <w:t>.</w:t>
      </w:r>
      <w:r w:rsidR="00D550C3" w:rsidRPr="005321D5">
        <w:rPr>
          <w:lang w:val="en-GB"/>
        </w:rPr>
        <w:t xml:space="preserve"> The main aspect that changes over time is the emission trading scheme pricing, and as the price increases over time, the expectation is that </w:t>
      </w:r>
      <w:r w:rsidR="00AD0C6F" w:rsidRPr="005321D5">
        <w:rPr>
          <w:lang w:val="en-GB"/>
        </w:rPr>
        <w:t xml:space="preserve">electricity would be </w:t>
      </w:r>
      <w:r w:rsidR="003000D3" w:rsidRPr="005321D5">
        <w:rPr>
          <w:lang w:val="en-GB"/>
        </w:rPr>
        <w:t>the primary fuel</w:t>
      </w:r>
      <w:r w:rsidR="00AD0C6F" w:rsidRPr="005321D5">
        <w:rPr>
          <w:lang w:val="en-GB"/>
        </w:rPr>
        <w:t xml:space="preserve"> in the coal and electrode </w:t>
      </w:r>
      <w:r w:rsidR="003000D3" w:rsidRPr="005321D5">
        <w:rPr>
          <w:lang w:val="en-GB"/>
        </w:rPr>
        <w:t>hybrid</w:t>
      </w:r>
      <w:r w:rsidR="00AD0C6F" w:rsidRPr="005321D5">
        <w:rPr>
          <w:lang w:val="en-GB"/>
        </w:rPr>
        <w:t xml:space="preserve"> and the biomass would be </w:t>
      </w:r>
      <w:r w:rsidR="003000D3" w:rsidRPr="005321D5">
        <w:rPr>
          <w:lang w:val="en-GB"/>
        </w:rPr>
        <w:t>primary fuel</w:t>
      </w:r>
      <w:r w:rsidR="00AD0C6F" w:rsidRPr="005321D5">
        <w:rPr>
          <w:lang w:val="en-GB"/>
        </w:rPr>
        <w:t xml:space="preserve"> in the biomass and electrode </w:t>
      </w:r>
      <w:r w:rsidR="003000D3" w:rsidRPr="005321D5">
        <w:rPr>
          <w:lang w:val="en-GB"/>
        </w:rPr>
        <w:t>hybrid</w:t>
      </w:r>
      <w:r w:rsidR="008C5C19" w:rsidRPr="005321D5">
        <w:rPr>
          <w:lang w:val="en-GB"/>
        </w:rPr>
        <w:t xml:space="preserve">. </w:t>
      </w:r>
      <w:r w:rsidR="003652AB" w:rsidRPr="005321D5">
        <w:rPr>
          <w:lang w:val="en-GB"/>
        </w:rPr>
        <w:t>Figure 2</w:t>
      </w:r>
      <w:r w:rsidR="008C5C19" w:rsidRPr="005321D5">
        <w:rPr>
          <w:lang w:val="en-GB"/>
        </w:rPr>
        <w:t xml:space="preserve"> shows the </w:t>
      </w:r>
      <w:r w:rsidR="0056790B" w:rsidRPr="005321D5">
        <w:rPr>
          <w:lang w:val="en-GB"/>
        </w:rPr>
        <w:t>annual</w:t>
      </w:r>
      <w:r w:rsidR="008C5C19" w:rsidRPr="005321D5">
        <w:rPr>
          <w:lang w:val="en-GB"/>
        </w:rPr>
        <w:t xml:space="preserve"> energy costs </w:t>
      </w:r>
      <w:r w:rsidR="0056790B" w:rsidRPr="005321D5">
        <w:rPr>
          <w:lang w:val="en-GB"/>
        </w:rPr>
        <w:t xml:space="preserve">of the </w:t>
      </w:r>
      <w:r w:rsidR="00D04B2C" w:rsidRPr="005321D5">
        <w:rPr>
          <w:lang w:val="en-GB"/>
        </w:rPr>
        <w:t>different scenarios</w:t>
      </w:r>
      <w:r w:rsidR="008C5C19" w:rsidRPr="005321D5">
        <w:rPr>
          <w:lang w:val="en-GB"/>
        </w:rPr>
        <w:t xml:space="preserve"> </w:t>
      </w:r>
      <w:r w:rsidR="00853074" w:rsidRPr="005321D5">
        <w:rPr>
          <w:lang w:val="en-GB"/>
        </w:rPr>
        <w:t xml:space="preserve">at five-yearly intervals. </w:t>
      </w:r>
      <w:r w:rsidR="00EC1D56" w:rsidRPr="005321D5">
        <w:rPr>
          <w:lang w:val="en-GB"/>
        </w:rPr>
        <w:t xml:space="preserve">These intervals are capped </w:t>
      </w:r>
      <w:r w:rsidR="00FF6845" w:rsidRPr="005321D5">
        <w:rPr>
          <w:lang w:val="en-GB"/>
        </w:rPr>
        <w:t>in</w:t>
      </w:r>
      <w:r w:rsidR="00EC1D56" w:rsidRPr="005321D5">
        <w:rPr>
          <w:lang w:val="en-GB"/>
        </w:rPr>
        <w:t xml:space="preserve"> 2037, as this is when coal boilers will be phased out in New Zealand, and unable to be used. Comparing coal and biomass as the base fuel, coal-based systems are cheaper to operate due to the low emissions trading scheme pricing. However, if capital costs are not included, then operating an electrode boiler as well as the coal boiler makes the system cheaper than running just the electrode boiler. </w:t>
      </w:r>
      <w:r w:rsidR="001E03A4" w:rsidRPr="005321D5">
        <w:rPr>
          <w:lang w:val="en-GB"/>
        </w:rPr>
        <w:t xml:space="preserve">2037 is the year where the biomass hybrid system becomes cheaper than the coal hybrid systems, due to the trading scheme making coal supply more expensive than </w:t>
      </w:r>
      <w:r w:rsidR="008D3A66" w:rsidRPr="005321D5">
        <w:rPr>
          <w:lang w:val="en-GB"/>
        </w:rPr>
        <w:t>biomass.</w:t>
      </w:r>
    </w:p>
    <w:p w14:paraId="4F7126B6" w14:textId="77777777" w:rsidR="00D550C3" w:rsidRPr="005321D5" w:rsidRDefault="00D550C3" w:rsidP="00C516FB">
      <w:pPr>
        <w:pStyle w:val="Els-body-text"/>
        <w:rPr>
          <w:lang w:val="en-GB"/>
        </w:rPr>
      </w:pPr>
    </w:p>
    <w:p w14:paraId="1718F443" w14:textId="3375A0A1" w:rsidR="00D550C3" w:rsidRPr="005321D5" w:rsidRDefault="00853074" w:rsidP="00C516FB">
      <w:pPr>
        <w:pStyle w:val="Els-body-text"/>
        <w:rPr>
          <w:lang w:val="en-GB"/>
        </w:rPr>
      </w:pPr>
      <w:r w:rsidRPr="005321D5">
        <w:rPr>
          <w:noProof/>
          <w:lang w:val="en-GB"/>
        </w:rPr>
        <w:drawing>
          <wp:inline distT="0" distB="0" distL="0" distR="0" wp14:anchorId="429FFF6E" wp14:editId="789393E1">
            <wp:extent cx="4499610" cy="1562735"/>
            <wp:effectExtent l="0" t="0" r="0" b="0"/>
            <wp:docPr id="307146089" name="Picture 1" descr="A graph of a number of different sizes and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46089" name="Picture 1" descr="A graph of a number of different sizes and colors&#10;&#10;Description automatically generated with medium confidence"/>
                    <pic:cNvPicPr/>
                  </pic:nvPicPr>
                  <pic:blipFill>
                    <a:blip r:embed="rId9"/>
                    <a:stretch>
                      <a:fillRect/>
                    </a:stretch>
                  </pic:blipFill>
                  <pic:spPr>
                    <a:xfrm>
                      <a:off x="0" y="0"/>
                      <a:ext cx="4499610" cy="1562735"/>
                    </a:xfrm>
                    <a:prstGeom prst="rect">
                      <a:avLst/>
                    </a:prstGeom>
                  </pic:spPr>
                </pic:pic>
              </a:graphicData>
            </a:graphic>
          </wp:inline>
        </w:drawing>
      </w:r>
    </w:p>
    <w:p w14:paraId="30BCD365" w14:textId="1FC811AE" w:rsidR="003652AB" w:rsidRPr="005321D5" w:rsidRDefault="003652AB" w:rsidP="003652AB">
      <w:pPr>
        <w:pStyle w:val="Didascalia"/>
      </w:pPr>
      <w:r w:rsidRPr="005321D5">
        <w:t>Figure 2: Annual energy costs for the five main scenarios over 15 years.</w:t>
      </w:r>
    </w:p>
    <w:p w14:paraId="47C52623" w14:textId="32168078" w:rsidR="00853074" w:rsidRPr="005321D5" w:rsidRDefault="00B14A9E" w:rsidP="00C516FB">
      <w:pPr>
        <w:pStyle w:val="Els-body-text"/>
        <w:rPr>
          <w:lang w:val="en-GB"/>
        </w:rPr>
      </w:pPr>
      <w:r w:rsidRPr="005321D5">
        <w:rPr>
          <w:lang w:val="en-GB"/>
        </w:rPr>
        <w:t>These results assume that</w:t>
      </w:r>
      <w:r w:rsidR="00EC1D56" w:rsidRPr="005321D5">
        <w:rPr>
          <w:lang w:val="en-GB"/>
        </w:rPr>
        <w:t xml:space="preserve"> the volatility of the</w:t>
      </w:r>
      <w:r w:rsidRPr="005321D5">
        <w:rPr>
          <w:lang w:val="en-GB"/>
        </w:rPr>
        <w:t xml:space="preserve"> electricity price stays consistent throughout the years. The magnitude is increased by the same 2 % increase factor, but the </w:t>
      </w:r>
      <w:r w:rsidR="00EC1D56" w:rsidRPr="005321D5">
        <w:rPr>
          <w:lang w:val="en-GB"/>
        </w:rPr>
        <w:t>price volatility</w:t>
      </w:r>
      <w:r w:rsidRPr="005321D5">
        <w:rPr>
          <w:lang w:val="en-GB"/>
        </w:rPr>
        <w:t xml:space="preserve"> stays the same. </w:t>
      </w:r>
      <w:r w:rsidR="00EC1D56" w:rsidRPr="005321D5">
        <w:rPr>
          <w:lang w:val="en-GB"/>
        </w:rPr>
        <w:t xml:space="preserve">Volatility (or variance) in this study is the measure of how much the electricity fluctuates away from a recent historical moving average (previous day). </w:t>
      </w:r>
      <w:r w:rsidRPr="005321D5">
        <w:rPr>
          <w:lang w:val="en-GB"/>
        </w:rPr>
        <w:t>To be more realistic, the variance in price is likely to increase because of the addition of more renewable electricity supply into the grid</w:t>
      </w:r>
      <w:r w:rsidR="008079B8" w:rsidRPr="005321D5">
        <w:rPr>
          <w:lang w:val="en-GB"/>
        </w:rPr>
        <w:t xml:space="preserve"> (Electricity Authority, 2022)</w:t>
      </w:r>
      <w:r w:rsidRPr="005321D5">
        <w:rPr>
          <w:lang w:val="en-GB"/>
        </w:rPr>
        <w:t xml:space="preserve">. To investigate this, the model was re-run with new electricity prices, where the variance was increased as a factor of time. </w:t>
      </w:r>
      <w:r w:rsidR="00653DB8" w:rsidRPr="005321D5">
        <w:rPr>
          <w:lang w:val="en-GB"/>
        </w:rPr>
        <w:t>The variance was calculated by scaling the difference between actual price (P</w:t>
      </w:r>
      <w:r w:rsidR="00653DB8" w:rsidRPr="005321D5">
        <w:rPr>
          <w:vertAlign w:val="subscript"/>
          <w:lang w:val="en-GB"/>
        </w:rPr>
        <w:t>A</w:t>
      </w:r>
      <w:r w:rsidR="00653DB8" w:rsidRPr="005321D5">
        <w:rPr>
          <w:lang w:val="en-GB"/>
        </w:rPr>
        <w:t>) and the moving average price of the previous day (P</w:t>
      </w:r>
      <w:r w:rsidR="00653DB8" w:rsidRPr="005321D5">
        <w:rPr>
          <w:vertAlign w:val="subscript"/>
          <w:lang w:val="en-GB"/>
        </w:rPr>
        <w:t>M</w:t>
      </w:r>
      <w:r w:rsidR="00653DB8" w:rsidRPr="005321D5">
        <w:rPr>
          <w:lang w:val="en-GB"/>
        </w:rPr>
        <w:t>)</w:t>
      </w:r>
      <w:r w:rsidR="00E9067C" w:rsidRPr="005321D5">
        <w:rPr>
          <w:lang w:val="en-GB"/>
        </w:rPr>
        <w:t xml:space="preserve">. The variance increase factor (F) was initially high (20 %) due to the increase not compounding. The main </w:t>
      </w:r>
      <w:r w:rsidR="00E9067C" w:rsidRPr="005321D5">
        <w:rPr>
          <w:lang w:val="en-GB"/>
        </w:rPr>
        <w:lastRenderedPageBreak/>
        <w:t>equation is shown in Equation 5, with P</w:t>
      </w:r>
      <w:r w:rsidR="00E9067C" w:rsidRPr="005321D5">
        <w:rPr>
          <w:vertAlign w:val="subscript"/>
          <w:lang w:val="en-GB"/>
        </w:rPr>
        <w:t>F</w:t>
      </w:r>
      <w:r w:rsidR="00E9067C" w:rsidRPr="005321D5">
        <w:rPr>
          <w:lang w:val="en-GB"/>
        </w:rPr>
        <w:t xml:space="preserve"> representing the new price after scaling. This equation </w:t>
      </w:r>
      <w:r w:rsidR="003652AB" w:rsidRPr="005321D5">
        <w:rPr>
          <w:lang w:val="en-GB"/>
        </w:rPr>
        <w:t>is</w:t>
      </w:r>
      <w:r w:rsidR="00E9067C" w:rsidRPr="005321D5">
        <w:rPr>
          <w:lang w:val="en-GB"/>
        </w:rPr>
        <w:t xml:space="preserve"> applied to each price point, repeated for every year since the base year (2022).</w:t>
      </w:r>
    </w:p>
    <w:tbl>
      <w:tblPr>
        <w:tblW w:w="7195" w:type="dxa"/>
        <w:tblInd w:w="-108" w:type="dxa"/>
        <w:tblLook w:val="04A0" w:firstRow="1" w:lastRow="0" w:firstColumn="1" w:lastColumn="0" w:noHBand="0" w:noVBand="1"/>
      </w:tblPr>
      <w:tblGrid>
        <w:gridCol w:w="6231"/>
        <w:gridCol w:w="964"/>
      </w:tblGrid>
      <w:tr w:rsidR="00E9067C" w:rsidRPr="005321D5" w14:paraId="34862799" w14:textId="77777777" w:rsidTr="00186020">
        <w:tc>
          <w:tcPr>
            <w:tcW w:w="6231" w:type="dxa"/>
            <w:shd w:val="clear" w:color="auto" w:fill="auto"/>
            <w:vAlign w:val="center"/>
          </w:tcPr>
          <w:p w14:paraId="6A505560" w14:textId="178D1E24" w:rsidR="00E9067C" w:rsidRPr="005321D5" w:rsidRDefault="00E9067C" w:rsidP="00186020">
            <w:pPr>
              <w:pStyle w:val="Els-body-text"/>
              <w:spacing w:before="120" w:after="120" w:line="264" w:lineRule="auto"/>
              <w:rPr>
                <w:lang w:val="en-GB"/>
              </w:rPr>
            </w:pPr>
            <w:r w:rsidRPr="005321D5">
              <w:rPr>
                <w:i/>
                <w:iCs/>
                <w:lang w:val="en-GB"/>
              </w:rPr>
              <w:t>P</w:t>
            </w:r>
            <w:r w:rsidRPr="005321D5">
              <w:rPr>
                <w:i/>
                <w:iCs/>
                <w:vertAlign w:val="subscript"/>
                <w:lang w:val="en-GB"/>
              </w:rPr>
              <w:t>F</w:t>
            </w:r>
            <w:r w:rsidRPr="005321D5">
              <w:rPr>
                <w:i/>
                <w:iCs/>
                <w:lang w:val="en-GB"/>
              </w:rPr>
              <w:t xml:space="preserve"> = P</w:t>
            </w:r>
            <w:r w:rsidRPr="005321D5">
              <w:rPr>
                <w:i/>
                <w:iCs/>
                <w:vertAlign w:val="subscript"/>
                <w:lang w:val="en-GB"/>
              </w:rPr>
              <w:t>M</w:t>
            </w:r>
            <w:r w:rsidRPr="005321D5">
              <w:rPr>
                <w:i/>
                <w:iCs/>
                <w:lang w:val="en-GB"/>
              </w:rPr>
              <w:t xml:space="preserve"> + (P</w:t>
            </w:r>
            <w:r w:rsidRPr="005321D5">
              <w:rPr>
                <w:i/>
                <w:iCs/>
                <w:vertAlign w:val="subscript"/>
                <w:lang w:val="en-GB"/>
              </w:rPr>
              <w:t>A</w:t>
            </w:r>
            <w:r w:rsidRPr="005321D5">
              <w:rPr>
                <w:i/>
                <w:iCs/>
                <w:lang w:val="en-GB"/>
              </w:rPr>
              <w:t xml:space="preserve"> – P</w:t>
            </w:r>
            <w:r w:rsidRPr="005321D5">
              <w:rPr>
                <w:i/>
                <w:iCs/>
                <w:vertAlign w:val="subscript"/>
                <w:lang w:val="en-GB"/>
              </w:rPr>
              <w:t>M</w:t>
            </w:r>
            <w:r w:rsidRPr="005321D5">
              <w:rPr>
                <w:i/>
                <w:iCs/>
                <w:lang w:val="en-GB"/>
              </w:rPr>
              <w:t>) * F</w:t>
            </w:r>
          </w:p>
        </w:tc>
        <w:tc>
          <w:tcPr>
            <w:tcW w:w="964" w:type="dxa"/>
            <w:shd w:val="clear" w:color="auto" w:fill="auto"/>
            <w:vAlign w:val="center"/>
          </w:tcPr>
          <w:p w14:paraId="26E83000" w14:textId="30E96BBB" w:rsidR="00E9067C" w:rsidRPr="005321D5" w:rsidRDefault="00E9067C" w:rsidP="00186020">
            <w:pPr>
              <w:pStyle w:val="Els-body-text"/>
              <w:spacing w:before="120" w:after="120" w:line="264" w:lineRule="auto"/>
              <w:jc w:val="right"/>
              <w:rPr>
                <w:lang w:val="en-GB"/>
              </w:rPr>
            </w:pPr>
            <w:r w:rsidRPr="005321D5">
              <w:rPr>
                <w:lang w:val="en-GB"/>
              </w:rPr>
              <w:t>(5)</w:t>
            </w:r>
          </w:p>
        </w:tc>
      </w:tr>
    </w:tbl>
    <w:p w14:paraId="7E66FDC3" w14:textId="2BCB4BBD" w:rsidR="000B35A1" w:rsidRPr="005321D5" w:rsidRDefault="003652AB" w:rsidP="00C516FB">
      <w:pPr>
        <w:pStyle w:val="Els-body-text"/>
        <w:rPr>
          <w:lang w:val="en-GB"/>
        </w:rPr>
      </w:pPr>
      <w:r w:rsidRPr="005321D5">
        <w:rPr>
          <w:lang w:val="en-GB"/>
        </w:rPr>
        <w:t xml:space="preserve">The </w:t>
      </w:r>
      <w:r w:rsidR="000B35A1" w:rsidRPr="005321D5">
        <w:rPr>
          <w:lang w:val="en-GB"/>
        </w:rPr>
        <w:t>coal</w:t>
      </w:r>
      <w:r w:rsidRPr="005321D5">
        <w:rPr>
          <w:lang w:val="en-GB"/>
        </w:rPr>
        <w:t xml:space="preserve"> hybrid </w:t>
      </w:r>
      <w:r w:rsidR="000B35A1" w:rsidRPr="005321D5">
        <w:rPr>
          <w:lang w:val="en-GB"/>
        </w:rPr>
        <w:t>operating cost is recalculated using the new prices, with the results shown in Table 1.</w:t>
      </w:r>
      <w:r w:rsidR="004B4EBE" w:rsidRPr="005321D5">
        <w:rPr>
          <w:lang w:val="en-GB"/>
        </w:rPr>
        <w:t xml:space="preserve"> With a larger variance on electricity price, the total energy cost decreases </w:t>
      </w:r>
      <w:r w:rsidR="00467040" w:rsidRPr="005321D5">
        <w:rPr>
          <w:lang w:val="en-GB"/>
        </w:rPr>
        <w:t>because of</w:t>
      </w:r>
      <w:r w:rsidR="004B4EBE" w:rsidRPr="005321D5">
        <w:rPr>
          <w:lang w:val="en-GB"/>
        </w:rPr>
        <w:t xml:space="preserve"> more periods with a lower electricity price</w:t>
      </w:r>
      <w:r w:rsidR="0066233C" w:rsidRPr="005321D5">
        <w:rPr>
          <w:lang w:val="en-GB"/>
        </w:rPr>
        <w:t xml:space="preserve">. The constant-variance scenario has a cost reduction of 1.0 %, whereas the increasing variance scenario has a cost reduction of 4.9 %. </w:t>
      </w:r>
      <w:r w:rsidR="00467040" w:rsidRPr="005321D5">
        <w:rPr>
          <w:lang w:val="en-GB"/>
        </w:rPr>
        <w:t xml:space="preserve">This means that electrode boiler can be better utilised and meeting the capacity more often. </w:t>
      </w:r>
      <w:r w:rsidR="00E3198B" w:rsidRPr="005321D5">
        <w:rPr>
          <w:lang w:val="en-GB"/>
        </w:rPr>
        <w:t>For the scenario without variance, this results in an emissions reduction of 93.8 %, and a reduction of 93.6 % for the high variance scenario.</w:t>
      </w:r>
    </w:p>
    <w:p w14:paraId="223E49A2" w14:textId="5DB4C089" w:rsidR="000B35A1" w:rsidRPr="005321D5" w:rsidRDefault="003652AB" w:rsidP="000B35A1">
      <w:pPr>
        <w:pStyle w:val="Didascalia"/>
      </w:pPr>
      <w:r w:rsidRPr="005321D5">
        <w:rPr>
          <w:lang w:val="en-GB"/>
        </w:rPr>
        <w:t xml:space="preserve"> </w:t>
      </w:r>
      <w:r w:rsidR="000B35A1" w:rsidRPr="005321D5">
        <w:t xml:space="preserve">Table 1: </w:t>
      </w:r>
      <w:r w:rsidR="00C77520">
        <w:t>Cost breakdown for different 2037 utility system scenarios</w:t>
      </w:r>
      <w:r w:rsidR="000B35A1" w:rsidRPr="005321D5">
        <w:t>.</w:t>
      </w:r>
    </w:p>
    <w:tbl>
      <w:tblPr>
        <w:tblW w:w="7094" w:type="dxa"/>
        <w:tblInd w:w="108" w:type="dxa"/>
        <w:tblBorders>
          <w:top w:val="single" w:sz="4" w:space="0" w:color="auto"/>
          <w:bottom w:val="single" w:sz="4" w:space="0" w:color="auto"/>
        </w:tblBorders>
        <w:tblLook w:val="04A0" w:firstRow="1" w:lastRow="0" w:firstColumn="1" w:lastColumn="0" w:noHBand="0" w:noVBand="1"/>
      </w:tblPr>
      <w:tblGrid>
        <w:gridCol w:w="1447"/>
        <w:gridCol w:w="992"/>
        <w:gridCol w:w="1134"/>
        <w:gridCol w:w="1101"/>
        <w:gridCol w:w="839"/>
        <w:gridCol w:w="1581"/>
      </w:tblGrid>
      <w:tr w:rsidR="00E3198B" w:rsidRPr="005321D5" w14:paraId="42507BC7" w14:textId="77777777" w:rsidTr="00E3198B">
        <w:trPr>
          <w:trHeight w:val="300"/>
        </w:trPr>
        <w:tc>
          <w:tcPr>
            <w:tcW w:w="1447" w:type="dxa"/>
            <w:vMerge w:val="restart"/>
            <w:shd w:val="clear" w:color="auto" w:fill="auto"/>
            <w:vAlign w:val="center"/>
            <w:hideMark/>
          </w:tcPr>
          <w:p w14:paraId="4A9B9967" w14:textId="6141E7D1" w:rsidR="000B35A1" w:rsidRPr="005321D5" w:rsidRDefault="00754D58" w:rsidP="00186020">
            <w:pPr>
              <w:jc w:val="center"/>
              <w:rPr>
                <w:b/>
                <w:bCs/>
                <w:color w:val="000000"/>
                <w:lang w:val="en-NZ" w:eastAsia="en-NZ"/>
              </w:rPr>
            </w:pPr>
            <w:r w:rsidRPr="005321D5">
              <w:rPr>
                <w:b/>
                <w:bCs/>
                <w:color w:val="000000"/>
                <w:lang w:val="en-NZ" w:eastAsia="en-NZ"/>
              </w:rPr>
              <w:t xml:space="preserve">2037 </w:t>
            </w:r>
            <w:r w:rsidR="000B35A1" w:rsidRPr="005321D5">
              <w:rPr>
                <w:b/>
                <w:bCs/>
                <w:color w:val="000000"/>
                <w:lang w:val="en-NZ" w:eastAsia="en-NZ"/>
              </w:rPr>
              <w:t>Scenario</w:t>
            </w:r>
          </w:p>
        </w:tc>
        <w:tc>
          <w:tcPr>
            <w:tcW w:w="4066" w:type="dxa"/>
            <w:gridSpan w:val="4"/>
            <w:shd w:val="clear" w:color="auto" w:fill="auto"/>
            <w:noWrap/>
            <w:vAlign w:val="center"/>
            <w:hideMark/>
          </w:tcPr>
          <w:p w14:paraId="1C880F2E" w14:textId="5891D06E" w:rsidR="000B35A1" w:rsidRPr="005321D5" w:rsidRDefault="000B35A1" w:rsidP="00186020">
            <w:pPr>
              <w:jc w:val="center"/>
              <w:rPr>
                <w:b/>
                <w:bCs/>
                <w:color w:val="000000"/>
                <w:lang w:val="en-NZ" w:eastAsia="en-NZ"/>
              </w:rPr>
            </w:pPr>
            <w:r w:rsidRPr="005321D5">
              <w:rPr>
                <w:b/>
                <w:bCs/>
                <w:color w:val="000000"/>
                <w:lang w:val="en-NZ" w:eastAsia="en-NZ"/>
              </w:rPr>
              <w:t>Annual Operating Cost (Million $ NZD)</w:t>
            </w:r>
          </w:p>
        </w:tc>
        <w:tc>
          <w:tcPr>
            <w:tcW w:w="1581" w:type="dxa"/>
            <w:vMerge w:val="restart"/>
            <w:shd w:val="clear" w:color="auto" w:fill="auto"/>
            <w:vAlign w:val="center"/>
          </w:tcPr>
          <w:p w14:paraId="2D30926B" w14:textId="77777777" w:rsidR="0078160F" w:rsidRPr="005321D5" w:rsidRDefault="0078160F" w:rsidP="00186020">
            <w:pPr>
              <w:jc w:val="center"/>
              <w:rPr>
                <w:b/>
                <w:bCs/>
                <w:color w:val="000000"/>
                <w:lang w:val="en-NZ" w:eastAsia="en-NZ"/>
              </w:rPr>
            </w:pPr>
            <w:r w:rsidRPr="005321D5">
              <w:rPr>
                <w:b/>
                <w:bCs/>
                <w:color w:val="000000"/>
                <w:lang w:val="en-NZ" w:eastAsia="en-NZ"/>
              </w:rPr>
              <w:t xml:space="preserve">Annual Emissions </w:t>
            </w:r>
          </w:p>
          <w:p w14:paraId="4E58DE2E" w14:textId="0B6F8AF4" w:rsidR="000B35A1" w:rsidRPr="005321D5" w:rsidRDefault="0078160F" w:rsidP="00186020">
            <w:pPr>
              <w:jc w:val="center"/>
              <w:rPr>
                <w:b/>
                <w:bCs/>
                <w:color w:val="000000"/>
                <w:lang w:val="en-NZ" w:eastAsia="en-NZ"/>
              </w:rPr>
            </w:pPr>
            <w:r w:rsidRPr="005321D5">
              <w:rPr>
                <w:b/>
                <w:bCs/>
                <w:color w:val="000000"/>
                <w:lang w:val="en-NZ" w:eastAsia="en-NZ"/>
              </w:rPr>
              <w:t>(</w:t>
            </w:r>
            <w:r w:rsidR="00E94DB0" w:rsidRPr="005321D5">
              <w:rPr>
                <w:b/>
                <w:bCs/>
                <w:color w:val="000000"/>
                <w:lang w:val="en-NZ" w:eastAsia="en-NZ"/>
              </w:rPr>
              <w:t>k</w:t>
            </w:r>
            <w:r w:rsidRPr="005321D5">
              <w:rPr>
                <w:b/>
                <w:bCs/>
                <w:color w:val="000000"/>
                <w:lang w:val="en-NZ" w:eastAsia="en-NZ"/>
              </w:rPr>
              <w:t>t CO</w:t>
            </w:r>
            <w:r w:rsidRPr="005321D5">
              <w:rPr>
                <w:b/>
                <w:bCs/>
                <w:color w:val="000000"/>
                <w:vertAlign w:val="subscript"/>
                <w:lang w:val="en-NZ" w:eastAsia="en-NZ"/>
              </w:rPr>
              <w:t>2</w:t>
            </w:r>
            <w:r w:rsidRPr="005321D5">
              <w:rPr>
                <w:b/>
                <w:bCs/>
                <w:color w:val="000000"/>
                <w:lang w:val="en-NZ" w:eastAsia="en-NZ"/>
              </w:rPr>
              <w:t>-e)</w:t>
            </w:r>
          </w:p>
        </w:tc>
      </w:tr>
      <w:tr w:rsidR="00E3198B" w:rsidRPr="005321D5" w14:paraId="03408EA2" w14:textId="77777777" w:rsidTr="00E3198B">
        <w:trPr>
          <w:trHeight w:val="434"/>
        </w:trPr>
        <w:tc>
          <w:tcPr>
            <w:tcW w:w="1447" w:type="dxa"/>
            <w:vMerge/>
            <w:tcBorders>
              <w:bottom w:val="single" w:sz="4" w:space="0" w:color="auto"/>
            </w:tcBorders>
            <w:vAlign w:val="center"/>
            <w:hideMark/>
          </w:tcPr>
          <w:p w14:paraId="24A95ECE" w14:textId="77777777" w:rsidR="000B35A1" w:rsidRPr="005321D5" w:rsidRDefault="000B35A1" w:rsidP="00186020">
            <w:pPr>
              <w:rPr>
                <w:b/>
                <w:bCs/>
                <w:color w:val="000000"/>
                <w:lang w:val="en-NZ" w:eastAsia="en-NZ"/>
              </w:rPr>
            </w:pPr>
          </w:p>
        </w:tc>
        <w:tc>
          <w:tcPr>
            <w:tcW w:w="992" w:type="dxa"/>
            <w:tcBorders>
              <w:bottom w:val="single" w:sz="4" w:space="0" w:color="auto"/>
            </w:tcBorders>
            <w:shd w:val="clear" w:color="auto" w:fill="auto"/>
            <w:noWrap/>
            <w:vAlign w:val="center"/>
            <w:hideMark/>
          </w:tcPr>
          <w:p w14:paraId="10A6D2B1" w14:textId="61F4FEE3" w:rsidR="000B35A1" w:rsidRPr="005321D5" w:rsidRDefault="000B35A1" w:rsidP="00186020">
            <w:pPr>
              <w:jc w:val="center"/>
              <w:rPr>
                <w:b/>
                <w:bCs/>
                <w:color w:val="000000"/>
                <w:lang w:val="en-NZ" w:eastAsia="en-NZ"/>
              </w:rPr>
            </w:pPr>
            <w:r w:rsidRPr="005321D5">
              <w:rPr>
                <w:b/>
                <w:bCs/>
                <w:color w:val="000000"/>
                <w:lang w:val="en-NZ" w:eastAsia="en-NZ"/>
              </w:rPr>
              <w:t>Coal</w:t>
            </w:r>
            <w:r w:rsidR="00E3198B" w:rsidRPr="005321D5">
              <w:rPr>
                <w:b/>
                <w:bCs/>
                <w:color w:val="000000"/>
                <w:lang w:val="en-NZ" w:eastAsia="en-NZ"/>
              </w:rPr>
              <w:t>/ Biomass</w:t>
            </w:r>
          </w:p>
        </w:tc>
        <w:tc>
          <w:tcPr>
            <w:tcW w:w="1134" w:type="dxa"/>
            <w:tcBorders>
              <w:bottom w:val="single" w:sz="4" w:space="0" w:color="auto"/>
            </w:tcBorders>
            <w:shd w:val="clear" w:color="auto" w:fill="auto"/>
            <w:noWrap/>
            <w:vAlign w:val="center"/>
            <w:hideMark/>
          </w:tcPr>
          <w:p w14:paraId="6AED7936" w14:textId="46BD0AC1" w:rsidR="000B35A1" w:rsidRPr="005321D5" w:rsidRDefault="000B35A1" w:rsidP="00186020">
            <w:pPr>
              <w:jc w:val="center"/>
              <w:rPr>
                <w:b/>
                <w:bCs/>
                <w:color w:val="000000"/>
                <w:lang w:val="en-NZ" w:eastAsia="en-NZ"/>
              </w:rPr>
            </w:pPr>
            <w:r w:rsidRPr="005321D5">
              <w:rPr>
                <w:b/>
                <w:bCs/>
                <w:color w:val="000000"/>
                <w:lang w:val="en-NZ" w:eastAsia="en-NZ"/>
              </w:rPr>
              <w:t>Electricity</w:t>
            </w:r>
          </w:p>
        </w:tc>
        <w:tc>
          <w:tcPr>
            <w:tcW w:w="1101" w:type="dxa"/>
            <w:tcBorders>
              <w:bottom w:val="single" w:sz="4" w:space="0" w:color="auto"/>
            </w:tcBorders>
            <w:shd w:val="clear" w:color="auto" w:fill="auto"/>
            <w:vAlign w:val="center"/>
            <w:hideMark/>
          </w:tcPr>
          <w:p w14:paraId="334FED33" w14:textId="4145F8F9" w:rsidR="000B35A1" w:rsidRPr="005321D5" w:rsidRDefault="000B35A1" w:rsidP="00186020">
            <w:pPr>
              <w:jc w:val="center"/>
              <w:rPr>
                <w:b/>
                <w:bCs/>
                <w:color w:val="000000"/>
                <w:lang w:val="en-NZ" w:eastAsia="en-NZ"/>
              </w:rPr>
            </w:pPr>
            <w:r w:rsidRPr="005321D5">
              <w:rPr>
                <w:b/>
                <w:bCs/>
                <w:color w:val="000000"/>
                <w:lang w:val="en-NZ" w:eastAsia="en-NZ"/>
              </w:rPr>
              <w:t>Emission Trading Scheme</w:t>
            </w:r>
          </w:p>
        </w:tc>
        <w:tc>
          <w:tcPr>
            <w:tcW w:w="839" w:type="dxa"/>
            <w:tcBorders>
              <w:bottom w:val="single" w:sz="4" w:space="0" w:color="auto"/>
            </w:tcBorders>
            <w:shd w:val="clear" w:color="auto" w:fill="auto"/>
            <w:vAlign w:val="center"/>
            <w:hideMark/>
          </w:tcPr>
          <w:p w14:paraId="1BC3F9C5" w14:textId="23E02C4E" w:rsidR="000B35A1" w:rsidRPr="005321D5" w:rsidRDefault="000B35A1" w:rsidP="00186020">
            <w:pPr>
              <w:jc w:val="center"/>
              <w:rPr>
                <w:b/>
                <w:bCs/>
                <w:color w:val="000000"/>
                <w:lang w:val="en-NZ" w:eastAsia="en-NZ"/>
              </w:rPr>
            </w:pPr>
            <w:r w:rsidRPr="005321D5">
              <w:rPr>
                <w:b/>
                <w:bCs/>
                <w:color w:val="000000"/>
                <w:lang w:val="en-NZ" w:eastAsia="en-NZ"/>
              </w:rPr>
              <w:t>Total Energy Cost</w:t>
            </w:r>
          </w:p>
        </w:tc>
        <w:tc>
          <w:tcPr>
            <w:tcW w:w="1581" w:type="dxa"/>
            <w:vMerge/>
            <w:tcBorders>
              <w:bottom w:val="single" w:sz="4" w:space="0" w:color="auto"/>
            </w:tcBorders>
            <w:shd w:val="clear" w:color="auto" w:fill="auto"/>
            <w:vAlign w:val="center"/>
            <w:hideMark/>
          </w:tcPr>
          <w:p w14:paraId="4851C006" w14:textId="5D2010F3" w:rsidR="000B35A1" w:rsidRPr="005321D5" w:rsidRDefault="000B35A1" w:rsidP="00186020">
            <w:pPr>
              <w:jc w:val="center"/>
              <w:rPr>
                <w:b/>
                <w:bCs/>
                <w:color w:val="000000"/>
                <w:lang w:val="en-NZ" w:eastAsia="en-NZ"/>
              </w:rPr>
            </w:pPr>
          </w:p>
        </w:tc>
      </w:tr>
      <w:tr w:rsidR="00E3198B" w:rsidRPr="005321D5" w14:paraId="750F372D" w14:textId="77777777" w:rsidTr="00E3198B">
        <w:trPr>
          <w:trHeight w:val="242"/>
        </w:trPr>
        <w:tc>
          <w:tcPr>
            <w:tcW w:w="1447" w:type="dxa"/>
            <w:tcBorders>
              <w:top w:val="single" w:sz="4" w:space="0" w:color="auto"/>
              <w:bottom w:val="nil"/>
            </w:tcBorders>
            <w:shd w:val="clear" w:color="auto" w:fill="auto"/>
            <w:vAlign w:val="center"/>
            <w:hideMark/>
          </w:tcPr>
          <w:p w14:paraId="5EAC9845" w14:textId="77777777" w:rsidR="000B35A1" w:rsidRPr="005321D5" w:rsidRDefault="000B35A1" w:rsidP="00186020">
            <w:pPr>
              <w:jc w:val="center"/>
              <w:rPr>
                <w:color w:val="000000"/>
                <w:lang w:val="en-NZ" w:eastAsia="en-NZ"/>
              </w:rPr>
            </w:pPr>
            <w:r w:rsidRPr="005321D5">
              <w:rPr>
                <w:color w:val="000000"/>
                <w:lang w:val="en-NZ" w:eastAsia="en-NZ"/>
              </w:rPr>
              <w:t>Coal Only</w:t>
            </w:r>
          </w:p>
        </w:tc>
        <w:tc>
          <w:tcPr>
            <w:tcW w:w="992" w:type="dxa"/>
            <w:tcBorders>
              <w:top w:val="single" w:sz="4" w:space="0" w:color="auto"/>
              <w:bottom w:val="nil"/>
            </w:tcBorders>
            <w:shd w:val="clear" w:color="auto" w:fill="auto"/>
            <w:noWrap/>
            <w:vAlign w:val="center"/>
            <w:hideMark/>
          </w:tcPr>
          <w:p w14:paraId="1E5A6A7C" w14:textId="16791D4C" w:rsidR="000B35A1" w:rsidRPr="005321D5" w:rsidRDefault="00B54926" w:rsidP="00186020">
            <w:pPr>
              <w:jc w:val="center"/>
              <w:rPr>
                <w:color w:val="000000"/>
                <w:lang w:val="en-NZ" w:eastAsia="en-NZ"/>
              </w:rPr>
            </w:pPr>
            <w:r w:rsidRPr="005321D5">
              <w:rPr>
                <w:color w:val="000000"/>
                <w:lang w:val="en-NZ" w:eastAsia="en-NZ"/>
              </w:rPr>
              <w:t>5.81</w:t>
            </w:r>
          </w:p>
        </w:tc>
        <w:tc>
          <w:tcPr>
            <w:tcW w:w="1134" w:type="dxa"/>
            <w:tcBorders>
              <w:top w:val="single" w:sz="4" w:space="0" w:color="auto"/>
              <w:bottom w:val="nil"/>
            </w:tcBorders>
            <w:shd w:val="clear" w:color="auto" w:fill="auto"/>
            <w:noWrap/>
            <w:vAlign w:val="center"/>
            <w:hideMark/>
          </w:tcPr>
          <w:p w14:paraId="0DB3D23E" w14:textId="6C1693C4" w:rsidR="000B35A1" w:rsidRPr="005321D5" w:rsidRDefault="000B35A1" w:rsidP="00186020">
            <w:pPr>
              <w:jc w:val="center"/>
              <w:rPr>
                <w:color w:val="000000"/>
                <w:lang w:val="en-NZ" w:eastAsia="en-NZ"/>
              </w:rPr>
            </w:pPr>
            <w:r w:rsidRPr="005321D5">
              <w:rPr>
                <w:color w:val="000000"/>
                <w:lang w:val="en-NZ" w:eastAsia="en-NZ"/>
              </w:rPr>
              <w:t>0</w:t>
            </w:r>
            <w:r w:rsidR="00287708" w:rsidRPr="005321D5">
              <w:rPr>
                <w:color w:val="000000"/>
                <w:lang w:val="en-NZ" w:eastAsia="en-NZ"/>
              </w:rPr>
              <w:t>.00</w:t>
            </w:r>
          </w:p>
        </w:tc>
        <w:tc>
          <w:tcPr>
            <w:tcW w:w="1101" w:type="dxa"/>
            <w:tcBorders>
              <w:top w:val="single" w:sz="4" w:space="0" w:color="auto"/>
              <w:bottom w:val="nil"/>
            </w:tcBorders>
            <w:shd w:val="clear" w:color="auto" w:fill="auto"/>
            <w:noWrap/>
            <w:vAlign w:val="center"/>
            <w:hideMark/>
          </w:tcPr>
          <w:p w14:paraId="46955B08" w14:textId="104F17C1" w:rsidR="000B35A1" w:rsidRPr="005321D5" w:rsidRDefault="00B54926" w:rsidP="00186020">
            <w:pPr>
              <w:jc w:val="center"/>
              <w:rPr>
                <w:color w:val="000000"/>
                <w:lang w:val="en-NZ" w:eastAsia="en-NZ"/>
              </w:rPr>
            </w:pPr>
            <w:r w:rsidRPr="005321D5">
              <w:rPr>
                <w:color w:val="000000"/>
                <w:lang w:val="en-NZ" w:eastAsia="en-NZ"/>
              </w:rPr>
              <w:t>13.28</w:t>
            </w:r>
          </w:p>
        </w:tc>
        <w:tc>
          <w:tcPr>
            <w:tcW w:w="839" w:type="dxa"/>
            <w:tcBorders>
              <w:top w:val="single" w:sz="4" w:space="0" w:color="auto"/>
              <w:bottom w:val="nil"/>
            </w:tcBorders>
            <w:shd w:val="clear" w:color="auto" w:fill="auto"/>
            <w:noWrap/>
            <w:vAlign w:val="center"/>
            <w:hideMark/>
          </w:tcPr>
          <w:p w14:paraId="6AD218D2" w14:textId="1E5E7F1A" w:rsidR="000B35A1" w:rsidRPr="005321D5" w:rsidRDefault="004B4EBE" w:rsidP="00186020">
            <w:pPr>
              <w:jc w:val="center"/>
              <w:rPr>
                <w:color w:val="000000"/>
                <w:lang w:val="en-NZ" w:eastAsia="en-NZ"/>
              </w:rPr>
            </w:pPr>
            <w:r w:rsidRPr="005321D5">
              <w:rPr>
                <w:color w:val="000000"/>
                <w:lang w:val="en-NZ" w:eastAsia="en-NZ"/>
              </w:rPr>
              <w:t>19.09</w:t>
            </w:r>
          </w:p>
        </w:tc>
        <w:tc>
          <w:tcPr>
            <w:tcW w:w="1581" w:type="dxa"/>
            <w:tcBorders>
              <w:top w:val="single" w:sz="4" w:space="0" w:color="auto"/>
              <w:bottom w:val="nil"/>
            </w:tcBorders>
            <w:shd w:val="clear" w:color="auto" w:fill="auto"/>
            <w:noWrap/>
            <w:vAlign w:val="center"/>
          </w:tcPr>
          <w:p w14:paraId="190F251B" w14:textId="5CB3C43D" w:rsidR="000B35A1" w:rsidRPr="005321D5" w:rsidRDefault="00E94DB0" w:rsidP="00186020">
            <w:pPr>
              <w:jc w:val="center"/>
              <w:rPr>
                <w:color w:val="000000"/>
                <w:lang w:val="en-NZ" w:eastAsia="en-NZ"/>
              </w:rPr>
            </w:pPr>
            <w:r w:rsidRPr="005321D5">
              <w:rPr>
                <w:color w:val="000000"/>
                <w:lang w:val="en-NZ" w:eastAsia="en-NZ"/>
              </w:rPr>
              <w:t>53.95</w:t>
            </w:r>
          </w:p>
        </w:tc>
      </w:tr>
      <w:tr w:rsidR="00E3198B" w:rsidRPr="005321D5" w14:paraId="04045523" w14:textId="77777777" w:rsidTr="00E3198B">
        <w:trPr>
          <w:trHeight w:val="300"/>
        </w:trPr>
        <w:tc>
          <w:tcPr>
            <w:tcW w:w="1447" w:type="dxa"/>
            <w:tcBorders>
              <w:top w:val="nil"/>
            </w:tcBorders>
            <w:shd w:val="clear" w:color="auto" w:fill="auto"/>
            <w:vAlign w:val="center"/>
            <w:hideMark/>
          </w:tcPr>
          <w:p w14:paraId="63C4A64B" w14:textId="2B95E72F" w:rsidR="000B35A1" w:rsidRPr="005321D5" w:rsidRDefault="00754D58" w:rsidP="00186020">
            <w:pPr>
              <w:jc w:val="center"/>
              <w:rPr>
                <w:color w:val="000000"/>
                <w:lang w:val="en-NZ" w:eastAsia="en-NZ"/>
              </w:rPr>
            </w:pPr>
            <w:r w:rsidRPr="005321D5">
              <w:rPr>
                <w:color w:val="000000"/>
                <w:lang w:val="en-NZ" w:eastAsia="en-NZ"/>
              </w:rPr>
              <w:t xml:space="preserve">Coal </w:t>
            </w:r>
            <w:r w:rsidR="000B35A1" w:rsidRPr="005321D5">
              <w:rPr>
                <w:color w:val="000000"/>
                <w:lang w:val="en-NZ" w:eastAsia="en-NZ"/>
              </w:rPr>
              <w:t>Hybrid (No Variance)</w:t>
            </w:r>
          </w:p>
        </w:tc>
        <w:tc>
          <w:tcPr>
            <w:tcW w:w="992" w:type="dxa"/>
            <w:tcBorders>
              <w:top w:val="nil"/>
            </w:tcBorders>
            <w:shd w:val="clear" w:color="auto" w:fill="auto"/>
            <w:noWrap/>
            <w:vAlign w:val="center"/>
            <w:hideMark/>
          </w:tcPr>
          <w:p w14:paraId="0A2C6949" w14:textId="5FC59E15" w:rsidR="000B35A1" w:rsidRPr="005321D5" w:rsidRDefault="00B54926" w:rsidP="00186020">
            <w:pPr>
              <w:jc w:val="center"/>
              <w:rPr>
                <w:color w:val="000000"/>
                <w:lang w:val="en-NZ" w:eastAsia="en-NZ"/>
              </w:rPr>
            </w:pPr>
            <w:r w:rsidRPr="005321D5">
              <w:rPr>
                <w:color w:val="000000"/>
                <w:lang w:val="en-NZ" w:eastAsia="en-NZ"/>
              </w:rPr>
              <w:t>4.43</w:t>
            </w:r>
          </w:p>
        </w:tc>
        <w:tc>
          <w:tcPr>
            <w:tcW w:w="1134" w:type="dxa"/>
            <w:tcBorders>
              <w:top w:val="nil"/>
            </w:tcBorders>
            <w:shd w:val="clear" w:color="auto" w:fill="auto"/>
            <w:noWrap/>
            <w:vAlign w:val="center"/>
            <w:hideMark/>
          </w:tcPr>
          <w:p w14:paraId="64CFC76B" w14:textId="3A35B3D7" w:rsidR="000B35A1" w:rsidRPr="005321D5" w:rsidRDefault="004B4EBE" w:rsidP="00186020">
            <w:pPr>
              <w:jc w:val="center"/>
              <w:rPr>
                <w:color w:val="000000"/>
                <w:lang w:val="en-NZ" w:eastAsia="en-NZ"/>
              </w:rPr>
            </w:pPr>
            <w:r w:rsidRPr="005321D5">
              <w:rPr>
                <w:color w:val="000000"/>
                <w:lang w:val="en-NZ" w:eastAsia="en-NZ"/>
              </w:rPr>
              <w:t>2.85</w:t>
            </w:r>
          </w:p>
        </w:tc>
        <w:tc>
          <w:tcPr>
            <w:tcW w:w="1101" w:type="dxa"/>
            <w:tcBorders>
              <w:top w:val="nil"/>
            </w:tcBorders>
            <w:shd w:val="clear" w:color="auto" w:fill="auto"/>
            <w:noWrap/>
            <w:vAlign w:val="center"/>
            <w:hideMark/>
          </w:tcPr>
          <w:p w14:paraId="12225307" w14:textId="7DE133D6" w:rsidR="000B35A1" w:rsidRPr="005321D5" w:rsidRDefault="004B4EBE" w:rsidP="00186020">
            <w:pPr>
              <w:jc w:val="center"/>
              <w:rPr>
                <w:color w:val="000000"/>
                <w:lang w:val="en-NZ" w:eastAsia="en-NZ"/>
              </w:rPr>
            </w:pPr>
            <w:r w:rsidRPr="005321D5">
              <w:rPr>
                <w:color w:val="000000"/>
                <w:lang w:val="en-NZ" w:eastAsia="en-NZ"/>
              </w:rPr>
              <w:t>11.23</w:t>
            </w:r>
          </w:p>
        </w:tc>
        <w:tc>
          <w:tcPr>
            <w:tcW w:w="839" w:type="dxa"/>
            <w:tcBorders>
              <w:top w:val="nil"/>
            </w:tcBorders>
            <w:shd w:val="clear" w:color="auto" w:fill="auto"/>
            <w:noWrap/>
            <w:vAlign w:val="center"/>
            <w:hideMark/>
          </w:tcPr>
          <w:p w14:paraId="49D7F062" w14:textId="7934E530" w:rsidR="000B35A1" w:rsidRPr="005321D5" w:rsidRDefault="004B4EBE" w:rsidP="00186020">
            <w:pPr>
              <w:jc w:val="center"/>
              <w:rPr>
                <w:color w:val="000000"/>
                <w:lang w:val="en-NZ" w:eastAsia="en-NZ"/>
              </w:rPr>
            </w:pPr>
            <w:r w:rsidRPr="005321D5">
              <w:rPr>
                <w:color w:val="000000"/>
                <w:lang w:val="en-NZ" w:eastAsia="en-NZ"/>
              </w:rPr>
              <w:t>18.51</w:t>
            </w:r>
          </w:p>
        </w:tc>
        <w:tc>
          <w:tcPr>
            <w:tcW w:w="1581" w:type="dxa"/>
            <w:tcBorders>
              <w:top w:val="nil"/>
            </w:tcBorders>
            <w:shd w:val="clear" w:color="auto" w:fill="auto"/>
            <w:noWrap/>
            <w:vAlign w:val="center"/>
          </w:tcPr>
          <w:p w14:paraId="7C2DCC52" w14:textId="41E2A8C3" w:rsidR="000B35A1" w:rsidRPr="005321D5" w:rsidRDefault="00E94DB0" w:rsidP="00186020">
            <w:pPr>
              <w:jc w:val="center"/>
              <w:rPr>
                <w:color w:val="000000"/>
                <w:lang w:val="en-NZ" w:eastAsia="en-NZ"/>
              </w:rPr>
            </w:pPr>
            <w:r w:rsidRPr="005321D5">
              <w:rPr>
                <w:color w:val="000000"/>
                <w:lang w:val="en-NZ" w:eastAsia="en-NZ"/>
              </w:rPr>
              <w:t>42.78</w:t>
            </w:r>
          </w:p>
        </w:tc>
      </w:tr>
      <w:tr w:rsidR="00E3198B" w:rsidRPr="005321D5" w14:paraId="342B51B9" w14:textId="77777777" w:rsidTr="00E3198B">
        <w:trPr>
          <w:trHeight w:val="300"/>
        </w:trPr>
        <w:tc>
          <w:tcPr>
            <w:tcW w:w="1447" w:type="dxa"/>
            <w:shd w:val="clear" w:color="auto" w:fill="auto"/>
            <w:vAlign w:val="center"/>
            <w:hideMark/>
          </w:tcPr>
          <w:p w14:paraId="3542D032" w14:textId="19A1F87C" w:rsidR="000B35A1" w:rsidRPr="005321D5" w:rsidRDefault="00754D58" w:rsidP="00186020">
            <w:pPr>
              <w:jc w:val="center"/>
              <w:rPr>
                <w:color w:val="000000"/>
                <w:lang w:val="en-NZ" w:eastAsia="en-NZ"/>
              </w:rPr>
            </w:pPr>
            <w:r w:rsidRPr="005321D5">
              <w:rPr>
                <w:color w:val="000000"/>
                <w:lang w:val="en-NZ" w:eastAsia="en-NZ"/>
              </w:rPr>
              <w:t xml:space="preserve">Coal </w:t>
            </w:r>
            <w:r w:rsidR="000B35A1" w:rsidRPr="005321D5">
              <w:rPr>
                <w:color w:val="000000"/>
                <w:lang w:val="en-NZ" w:eastAsia="en-NZ"/>
              </w:rPr>
              <w:t>Hybrid (With Variance)</w:t>
            </w:r>
          </w:p>
        </w:tc>
        <w:tc>
          <w:tcPr>
            <w:tcW w:w="992" w:type="dxa"/>
            <w:shd w:val="clear" w:color="auto" w:fill="auto"/>
            <w:noWrap/>
            <w:vAlign w:val="center"/>
            <w:hideMark/>
          </w:tcPr>
          <w:p w14:paraId="5F39D5A5" w14:textId="43A93D0F" w:rsidR="000B35A1" w:rsidRPr="005321D5" w:rsidRDefault="00B54926" w:rsidP="00186020">
            <w:pPr>
              <w:jc w:val="center"/>
              <w:rPr>
                <w:color w:val="000000"/>
                <w:lang w:val="en-NZ" w:eastAsia="en-NZ"/>
              </w:rPr>
            </w:pPr>
            <w:r w:rsidRPr="005321D5">
              <w:rPr>
                <w:color w:val="000000"/>
                <w:lang w:val="en-NZ" w:eastAsia="en-NZ"/>
              </w:rPr>
              <w:t>4.11</w:t>
            </w:r>
          </w:p>
        </w:tc>
        <w:tc>
          <w:tcPr>
            <w:tcW w:w="1134" w:type="dxa"/>
            <w:shd w:val="clear" w:color="auto" w:fill="auto"/>
            <w:noWrap/>
            <w:vAlign w:val="center"/>
            <w:hideMark/>
          </w:tcPr>
          <w:p w14:paraId="48C5FFB8" w14:textId="1AFCC733" w:rsidR="000B35A1" w:rsidRPr="005321D5" w:rsidRDefault="004B4EBE" w:rsidP="00186020">
            <w:pPr>
              <w:jc w:val="center"/>
              <w:rPr>
                <w:color w:val="000000"/>
                <w:lang w:val="en-NZ" w:eastAsia="en-NZ"/>
              </w:rPr>
            </w:pPr>
            <w:r w:rsidRPr="005321D5">
              <w:rPr>
                <w:color w:val="000000"/>
                <w:lang w:val="en-NZ" w:eastAsia="en-NZ"/>
              </w:rPr>
              <w:t>3.23</w:t>
            </w:r>
          </w:p>
        </w:tc>
        <w:tc>
          <w:tcPr>
            <w:tcW w:w="1101" w:type="dxa"/>
            <w:shd w:val="clear" w:color="auto" w:fill="auto"/>
            <w:noWrap/>
            <w:vAlign w:val="center"/>
            <w:hideMark/>
          </w:tcPr>
          <w:p w14:paraId="6EF01B72" w14:textId="1C462216" w:rsidR="000B35A1" w:rsidRPr="005321D5" w:rsidRDefault="004B4EBE" w:rsidP="00186020">
            <w:pPr>
              <w:jc w:val="center"/>
              <w:rPr>
                <w:color w:val="000000"/>
                <w:lang w:val="en-NZ" w:eastAsia="en-NZ"/>
              </w:rPr>
            </w:pPr>
            <w:r w:rsidRPr="005321D5">
              <w:rPr>
                <w:color w:val="000000"/>
                <w:lang w:val="en-NZ" w:eastAsia="en-NZ"/>
              </w:rPr>
              <w:t>10.86</w:t>
            </w:r>
          </w:p>
        </w:tc>
        <w:tc>
          <w:tcPr>
            <w:tcW w:w="839" w:type="dxa"/>
            <w:shd w:val="clear" w:color="auto" w:fill="auto"/>
            <w:noWrap/>
            <w:vAlign w:val="center"/>
            <w:hideMark/>
          </w:tcPr>
          <w:p w14:paraId="0C59C9F2" w14:textId="6B7273E8" w:rsidR="000B35A1" w:rsidRPr="005321D5" w:rsidRDefault="004B4EBE" w:rsidP="00186020">
            <w:pPr>
              <w:jc w:val="center"/>
              <w:rPr>
                <w:color w:val="000000"/>
                <w:lang w:val="en-NZ" w:eastAsia="en-NZ"/>
              </w:rPr>
            </w:pPr>
            <w:r w:rsidRPr="005321D5">
              <w:rPr>
                <w:color w:val="000000"/>
                <w:lang w:val="en-NZ" w:eastAsia="en-NZ"/>
              </w:rPr>
              <w:t>18.20</w:t>
            </w:r>
          </w:p>
        </w:tc>
        <w:tc>
          <w:tcPr>
            <w:tcW w:w="1581" w:type="dxa"/>
            <w:shd w:val="clear" w:color="auto" w:fill="auto"/>
            <w:noWrap/>
            <w:vAlign w:val="center"/>
          </w:tcPr>
          <w:p w14:paraId="6BA5012F" w14:textId="02CDBBED" w:rsidR="000B35A1" w:rsidRPr="005321D5" w:rsidRDefault="00E94DB0" w:rsidP="00186020">
            <w:pPr>
              <w:jc w:val="center"/>
              <w:rPr>
                <w:color w:val="000000"/>
                <w:lang w:val="en-NZ" w:eastAsia="en-NZ"/>
              </w:rPr>
            </w:pPr>
            <w:r w:rsidRPr="005321D5">
              <w:rPr>
                <w:color w:val="000000"/>
                <w:lang w:val="en-NZ" w:eastAsia="en-NZ"/>
              </w:rPr>
              <w:t>40.34</w:t>
            </w:r>
          </w:p>
        </w:tc>
      </w:tr>
      <w:tr w:rsidR="00E3198B" w:rsidRPr="005321D5" w14:paraId="2D38CD4F" w14:textId="77777777" w:rsidTr="00E3198B">
        <w:trPr>
          <w:trHeight w:val="300"/>
        </w:trPr>
        <w:tc>
          <w:tcPr>
            <w:tcW w:w="1447" w:type="dxa"/>
            <w:shd w:val="clear" w:color="auto" w:fill="auto"/>
            <w:vAlign w:val="center"/>
          </w:tcPr>
          <w:p w14:paraId="7F7E6E07" w14:textId="33DD5562" w:rsidR="00E3198B" w:rsidRPr="005321D5" w:rsidRDefault="00E3198B" w:rsidP="00186020">
            <w:pPr>
              <w:jc w:val="center"/>
              <w:rPr>
                <w:color w:val="000000"/>
                <w:lang w:val="en-NZ" w:eastAsia="en-NZ"/>
              </w:rPr>
            </w:pPr>
            <w:r w:rsidRPr="005321D5">
              <w:rPr>
                <w:color w:val="000000"/>
                <w:lang w:val="en-NZ" w:eastAsia="en-NZ"/>
              </w:rPr>
              <w:t>Biomass Only</w:t>
            </w:r>
          </w:p>
        </w:tc>
        <w:tc>
          <w:tcPr>
            <w:tcW w:w="992" w:type="dxa"/>
            <w:shd w:val="clear" w:color="auto" w:fill="auto"/>
            <w:noWrap/>
            <w:vAlign w:val="center"/>
          </w:tcPr>
          <w:p w14:paraId="304FED8B" w14:textId="3C040741" w:rsidR="00E3198B" w:rsidRPr="005321D5" w:rsidRDefault="00E3198B" w:rsidP="00186020">
            <w:pPr>
              <w:jc w:val="center"/>
              <w:rPr>
                <w:color w:val="000000"/>
                <w:lang w:val="en-NZ" w:eastAsia="en-NZ"/>
              </w:rPr>
            </w:pPr>
            <w:r w:rsidRPr="005321D5">
              <w:rPr>
                <w:color w:val="000000"/>
                <w:lang w:val="en-NZ" w:eastAsia="en-NZ"/>
              </w:rPr>
              <w:t>18.59</w:t>
            </w:r>
          </w:p>
        </w:tc>
        <w:tc>
          <w:tcPr>
            <w:tcW w:w="1134" w:type="dxa"/>
            <w:shd w:val="clear" w:color="auto" w:fill="auto"/>
            <w:noWrap/>
            <w:vAlign w:val="center"/>
          </w:tcPr>
          <w:p w14:paraId="0558AFA9" w14:textId="1D67F3AF" w:rsidR="00E3198B" w:rsidRPr="005321D5" w:rsidRDefault="00E3198B" w:rsidP="00186020">
            <w:pPr>
              <w:jc w:val="center"/>
              <w:rPr>
                <w:color w:val="000000"/>
                <w:lang w:val="en-NZ" w:eastAsia="en-NZ"/>
              </w:rPr>
            </w:pPr>
            <w:r w:rsidRPr="005321D5">
              <w:rPr>
                <w:color w:val="000000"/>
                <w:lang w:val="en-NZ" w:eastAsia="en-NZ"/>
              </w:rPr>
              <w:t>0</w:t>
            </w:r>
            <w:r w:rsidR="00287708" w:rsidRPr="005321D5">
              <w:rPr>
                <w:color w:val="000000"/>
                <w:lang w:val="en-NZ" w:eastAsia="en-NZ"/>
              </w:rPr>
              <w:t>.00</w:t>
            </w:r>
          </w:p>
        </w:tc>
        <w:tc>
          <w:tcPr>
            <w:tcW w:w="1101" w:type="dxa"/>
            <w:shd w:val="clear" w:color="auto" w:fill="auto"/>
            <w:noWrap/>
            <w:vAlign w:val="center"/>
          </w:tcPr>
          <w:p w14:paraId="3657A8C8" w14:textId="50A4E4D8" w:rsidR="00E3198B" w:rsidRPr="005321D5" w:rsidRDefault="00E3198B" w:rsidP="00186020">
            <w:pPr>
              <w:jc w:val="center"/>
              <w:rPr>
                <w:color w:val="000000"/>
                <w:lang w:val="en-NZ" w:eastAsia="en-NZ"/>
              </w:rPr>
            </w:pPr>
            <w:r w:rsidRPr="005321D5">
              <w:rPr>
                <w:color w:val="000000"/>
                <w:lang w:val="en-NZ" w:eastAsia="en-NZ"/>
              </w:rPr>
              <w:t>0.44</w:t>
            </w:r>
          </w:p>
        </w:tc>
        <w:tc>
          <w:tcPr>
            <w:tcW w:w="839" w:type="dxa"/>
            <w:shd w:val="clear" w:color="auto" w:fill="auto"/>
            <w:noWrap/>
            <w:vAlign w:val="center"/>
          </w:tcPr>
          <w:p w14:paraId="5BF2D7F2" w14:textId="66F3D3EB" w:rsidR="00E3198B" w:rsidRPr="005321D5" w:rsidRDefault="00E3198B" w:rsidP="00186020">
            <w:pPr>
              <w:jc w:val="center"/>
              <w:rPr>
                <w:color w:val="000000"/>
                <w:lang w:val="en-NZ" w:eastAsia="en-NZ"/>
              </w:rPr>
            </w:pPr>
            <w:r w:rsidRPr="005321D5">
              <w:rPr>
                <w:color w:val="000000"/>
                <w:lang w:val="en-NZ" w:eastAsia="en-NZ"/>
              </w:rPr>
              <w:t>19.03</w:t>
            </w:r>
          </w:p>
        </w:tc>
        <w:tc>
          <w:tcPr>
            <w:tcW w:w="1581" w:type="dxa"/>
            <w:shd w:val="clear" w:color="auto" w:fill="auto"/>
            <w:noWrap/>
            <w:vAlign w:val="center"/>
          </w:tcPr>
          <w:p w14:paraId="0E535036" w14:textId="28EACBB4" w:rsidR="00E3198B" w:rsidRPr="005321D5" w:rsidRDefault="00E3198B" w:rsidP="00186020">
            <w:pPr>
              <w:jc w:val="center"/>
              <w:rPr>
                <w:color w:val="000000"/>
                <w:lang w:val="en-NZ" w:eastAsia="en-NZ"/>
              </w:rPr>
            </w:pPr>
            <w:r w:rsidRPr="005321D5">
              <w:rPr>
                <w:color w:val="000000"/>
                <w:lang w:val="en-NZ" w:eastAsia="en-NZ"/>
              </w:rPr>
              <w:t>1.80</w:t>
            </w:r>
          </w:p>
        </w:tc>
      </w:tr>
      <w:tr w:rsidR="00754D58" w:rsidRPr="005321D5" w14:paraId="2B113B18" w14:textId="77777777" w:rsidTr="00E3198B">
        <w:trPr>
          <w:trHeight w:val="300"/>
        </w:trPr>
        <w:tc>
          <w:tcPr>
            <w:tcW w:w="1447" w:type="dxa"/>
            <w:shd w:val="clear" w:color="auto" w:fill="auto"/>
            <w:vAlign w:val="center"/>
          </w:tcPr>
          <w:p w14:paraId="75F9F97C" w14:textId="3469F244" w:rsidR="00754D58" w:rsidRPr="005321D5" w:rsidRDefault="00754D58" w:rsidP="00186020">
            <w:pPr>
              <w:jc w:val="center"/>
              <w:rPr>
                <w:color w:val="000000"/>
                <w:lang w:val="en-NZ" w:eastAsia="en-NZ"/>
              </w:rPr>
            </w:pPr>
            <w:r w:rsidRPr="005321D5">
              <w:rPr>
                <w:color w:val="000000"/>
                <w:lang w:val="en-NZ" w:eastAsia="en-NZ"/>
              </w:rPr>
              <w:t>Biomass Hybrid (No Variance)</w:t>
            </w:r>
          </w:p>
        </w:tc>
        <w:tc>
          <w:tcPr>
            <w:tcW w:w="992" w:type="dxa"/>
            <w:shd w:val="clear" w:color="auto" w:fill="auto"/>
            <w:noWrap/>
            <w:vAlign w:val="center"/>
          </w:tcPr>
          <w:p w14:paraId="11E50C93" w14:textId="7889E4A7" w:rsidR="00754D58" w:rsidRPr="005321D5" w:rsidRDefault="00E3198B" w:rsidP="00186020">
            <w:pPr>
              <w:jc w:val="center"/>
              <w:rPr>
                <w:color w:val="000000"/>
                <w:lang w:val="en-NZ" w:eastAsia="en-NZ"/>
              </w:rPr>
            </w:pPr>
            <w:r w:rsidRPr="005321D5">
              <w:rPr>
                <w:color w:val="000000"/>
                <w:lang w:val="en-NZ" w:eastAsia="en-NZ"/>
              </w:rPr>
              <w:t>13.45</w:t>
            </w:r>
          </w:p>
        </w:tc>
        <w:tc>
          <w:tcPr>
            <w:tcW w:w="1134" w:type="dxa"/>
            <w:shd w:val="clear" w:color="auto" w:fill="auto"/>
            <w:noWrap/>
            <w:vAlign w:val="center"/>
          </w:tcPr>
          <w:p w14:paraId="1B202711" w14:textId="00000B8E" w:rsidR="00754D58" w:rsidRPr="005321D5" w:rsidRDefault="00E3198B" w:rsidP="00186020">
            <w:pPr>
              <w:jc w:val="center"/>
              <w:rPr>
                <w:color w:val="000000"/>
                <w:lang w:val="en-NZ" w:eastAsia="en-NZ"/>
              </w:rPr>
            </w:pPr>
            <w:r w:rsidRPr="005321D5">
              <w:rPr>
                <w:color w:val="000000"/>
                <w:lang w:val="en-NZ" w:eastAsia="en-NZ"/>
              </w:rPr>
              <w:t>3.73</w:t>
            </w:r>
          </w:p>
        </w:tc>
        <w:tc>
          <w:tcPr>
            <w:tcW w:w="1101" w:type="dxa"/>
            <w:shd w:val="clear" w:color="auto" w:fill="auto"/>
            <w:noWrap/>
            <w:vAlign w:val="center"/>
          </w:tcPr>
          <w:p w14:paraId="3B876B7A" w14:textId="033F4624" w:rsidR="00754D58" w:rsidRPr="005321D5" w:rsidRDefault="00E3198B" w:rsidP="00186020">
            <w:pPr>
              <w:jc w:val="center"/>
              <w:rPr>
                <w:color w:val="000000"/>
                <w:lang w:val="en-NZ" w:eastAsia="en-NZ"/>
              </w:rPr>
            </w:pPr>
            <w:r w:rsidRPr="005321D5">
              <w:rPr>
                <w:color w:val="000000"/>
                <w:lang w:val="en-NZ" w:eastAsia="en-NZ"/>
              </w:rPr>
              <w:t>1.71</w:t>
            </w:r>
          </w:p>
        </w:tc>
        <w:tc>
          <w:tcPr>
            <w:tcW w:w="839" w:type="dxa"/>
            <w:shd w:val="clear" w:color="auto" w:fill="auto"/>
            <w:noWrap/>
            <w:vAlign w:val="center"/>
          </w:tcPr>
          <w:p w14:paraId="5532F8EB" w14:textId="630362BC" w:rsidR="00754D58" w:rsidRPr="005321D5" w:rsidRDefault="00E3198B" w:rsidP="00186020">
            <w:pPr>
              <w:jc w:val="center"/>
              <w:rPr>
                <w:color w:val="000000"/>
                <w:lang w:val="en-NZ" w:eastAsia="en-NZ"/>
              </w:rPr>
            </w:pPr>
            <w:r w:rsidRPr="005321D5">
              <w:rPr>
                <w:color w:val="000000"/>
                <w:lang w:val="en-NZ" w:eastAsia="en-NZ"/>
              </w:rPr>
              <w:t>18.89</w:t>
            </w:r>
          </w:p>
        </w:tc>
        <w:tc>
          <w:tcPr>
            <w:tcW w:w="1581" w:type="dxa"/>
            <w:shd w:val="clear" w:color="auto" w:fill="auto"/>
            <w:noWrap/>
            <w:vAlign w:val="center"/>
          </w:tcPr>
          <w:p w14:paraId="1F8421CB" w14:textId="0DE0B78D" w:rsidR="00754D58" w:rsidRPr="005321D5" w:rsidRDefault="00E3198B" w:rsidP="00186020">
            <w:pPr>
              <w:jc w:val="center"/>
              <w:rPr>
                <w:color w:val="000000"/>
                <w:lang w:val="en-NZ" w:eastAsia="en-NZ"/>
              </w:rPr>
            </w:pPr>
            <w:r w:rsidRPr="005321D5">
              <w:rPr>
                <w:color w:val="000000"/>
                <w:lang w:val="en-NZ" w:eastAsia="en-NZ"/>
              </w:rPr>
              <w:t>3.36</w:t>
            </w:r>
          </w:p>
        </w:tc>
      </w:tr>
      <w:tr w:rsidR="00754D58" w:rsidRPr="005321D5" w14:paraId="388CD5F8" w14:textId="77777777" w:rsidTr="00E3198B">
        <w:trPr>
          <w:trHeight w:val="300"/>
        </w:trPr>
        <w:tc>
          <w:tcPr>
            <w:tcW w:w="1447" w:type="dxa"/>
            <w:shd w:val="clear" w:color="auto" w:fill="auto"/>
            <w:vAlign w:val="center"/>
          </w:tcPr>
          <w:p w14:paraId="5DBEF0E3" w14:textId="30354828" w:rsidR="00754D58" w:rsidRPr="005321D5" w:rsidRDefault="00754D58" w:rsidP="00186020">
            <w:pPr>
              <w:jc w:val="center"/>
              <w:rPr>
                <w:color w:val="000000"/>
                <w:lang w:val="en-NZ" w:eastAsia="en-NZ"/>
              </w:rPr>
            </w:pPr>
            <w:r w:rsidRPr="005321D5">
              <w:rPr>
                <w:color w:val="000000"/>
                <w:lang w:val="en-NZ" w:eastAsia="en-NZ"/>
              </w:rPr>
              <w:t>Biomass Hybrid (With Variance)</w:t>
            </w:r>
          </w:p>
        </w:tc>
        <w:tc>
          <w:tcPr>
            <w:tcW w:w="992" w:type="dxa"/>
            <w:shd w:val="clear" w:color="auto" w:fill="auto"/>
            <w:noWrap/>
            <w:vAlign w:val="center"/>
          </w:tcPr>
          <w:p w14:paraId="012C2131" w14:textId="476B39C5" w:rsidR="00754D58" w:rsidRPr="005321D5" w:rsidRDefault="00E3198B" w:rsidP="00186020">
            <w:pPr>
              <w:jc w:val="center"/>
              <w:rPr>
                <w:color w:val="000000"/>
                <w:lang w:val="en-NZ" w:eastAsia="en-NZ"/>
              </w:rPr>
            </w:pPr>
            <w:r w:rsidRPr="005321D5">
              <w:rPr>
                <w:color w:val="000000"/>
                <w:lang w:val="en-NZ" w:eastAsia="en-NZ"/>
              </w:rPr>
              <w:t>13.15</w:t>
            </w:r>
          </w:p>
        </w:tc>
        <w:tc>
          <w:tcPr>
            <w:tcW w:w="1134" w:type="dxa"/>
            <w:shd w:val="clear" w:color="auto" w:fill="auto"/>
            <w:noWrap/>
            <w:vAlign w:val="center"/>
          </w:tcPr>
          <w:p w14:paraId="1501F76C" w14:textId="11D2A269" w:rsidR="00754D58" w:rsidRPr="005321D5" w:rsidRDefault="00E3198B" w:rsidP="00186020">
            <w:pPr>
              <w:jc w:val="center"/>
              <w:rPr>
                <w:color w:val="000000"/>
                <w:lang w:val="en-NZ" w:eastAsia="en-NZ"/>
              </w:rPr>
            </w:pPr>
            <w:r w:rsidRPr="005321D5">
              <w:rPr>
                <w:color w:val="000000"/>
                <w:lang w:val="en-NZ" w:eastAsia="en-NZ"/>
              </w:rPr>
              <w:t>3.23</w:t>
            </w:r>
          </w:p>
        </w:tc>
        <w:tc>
          <w:tcPr>
            <w:tcW w:w="1101" w:type="dxa"/>
            <w:shd w:val="clear" w:color="auto" w:fill="auto"/>
            <w:noWrap/>
            <w:vAlign w:val="center"/>
          </w:tcPr>
          <w:p w14:paraId="077D9A91" w14:textId="168C8C30" w:rsidR="00754D58" w:rsidRPr="005321D5" w:rsidRDefault="00E3198B" w:rsidP="00186020">
            <w:pPr>
              <w:jc w:val="center"/>
              <w:rPr>
                <w:color w:val="000000"/>
                <w:lang w:val="en-NZ" w:eastAsia="en-NZ"/>
              </w:rPr>
            </w:pPr>
            <w:r w:rsidRPr="005321D5">
              <w:rPr>
                <w:color w:val="000000"/>
                <w:lang w:val="en-NZ" w:eastAsia="en-NZ"/>
              </w:rPr>
              <w:t>1.78</w:t>
            </w:r>
          </w:p>
        </w:tc>
        <w:tc>
          <w:tcPr>
            <w:tcW w:w="839" w:type="dxa"/>
            <w:shd w:val="clear" w:color="auto" w:fill="auto"/>
            <w:noWrap/>
            <w:vAlign w:val="center"/>
          </w:tcPr>
          <w:p w14:paraId="789F71B8" w14:textId="66EE082A" w:rsidR="00754D58" w:rsidRPr="005321D5" w:rsidRDefault="00E3198B" w:rsidP="00186020">
            <w:pPr>
              <w:jc w:val="center"/>
              <w:rPr>
                <w:color w:val="000000"/>
                <w:lang w:val="en-NZ" w:eastAsia="en-NZ"/>
              </w:rPr>
            </w:pPr>
            <w:r w:rsidRPr="005321D5">
              <w:rPr>
                <w:color w:val="000000"/>
                <w:lang w:val="en-NZ" w:eastAsia="en-NZ"/>
              </w:rPr>
              <w:t>18.16</w:t>
            </w:r>
          </w:p>
        </w:tc>
        <w:tc>
          <w:tcPr>
            <w:tcW w:w="1581" w:type="dxa"/>
            <w:shd w:val="clear" w:color="auto" w:fill="auto"/>
            <w:noWrap/>
            <w:vAlign w:val="center"/>
          </w:tcPr>
          <w:p w14:paraId="17DA9B84" w14:textId="019A0F48" w:rsidR="00754D58" w:rsidRPr="005321D5" w:rsidRDefault="00E3198B" w:rsidP="00186020">
            <w:pPr>
              <w:jc w:val="center"/>
              <w:rPr>
                <w:color w:val="000000"/>
                <w:lang w:val="en-NZ" w:eastAsia="en-NZ"/>
              </w:rPr>
            </w:pPr>
            <w:r w:rsidRPr="005321D5">
              <w:rPr>
                <w:color w:val="000000"/>
                <w:lang w:val="en-NZ" w:eastAsia="en-NZ"/>
              </w:rPr>
              <w:t>3.44</w:t>
            </w:r>
          </w:p>
        </w:tc>
      </w:tr>
    </w:tbl>
    <w:p w14:paraId="5685CE0E" w14:textId="0661C225" w:rsidR="00FE7234" w:rsidRDefault="00FE7234" w:rsidP="00C516FB">
      <w:pPr>
        <w:pStyle w:val="Els-body-text"/>
        <w:rPr>
          <w:lang w:val="en-GB"/>
        </w:rPr>
      </w:pPr>
      <w:r w:rsidRPr="005321D5">
        <w:rPr>
          <w:noProof/>
          <w:lang w:val="en-GB"/>
        </w:rPr>
        <w:drawing>
          <wp:inline distT="0" distB="0" distL="0" distR="0" wp14:anchorId="6F61CC9F" wp14:editId="15F3DF08">
            <wp:extent cx="3652092" cy="2000250"/>
            <wp:effectExtent l="0" t="0" r="5715" b="0"/>
            <wp:docPr id="1375532046" name="Picture 1" descr="A graph with a lin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32046" name="Picture 1" descr="A graph with a line and numbers&#10;&#10;Description automatically generated"/>
                    <pic:cNvPicPr/>
                  </pic:nvPicPr>
                  <pic:blipFill rotWithShape="1">
                    <a:blip r:embed="rId10"/>
                    <a:srcRect t="-2374"/>
                    <a:stretch/>
                  </pic:blipFill>
                  <pic:spPr bwMode="auto">
                    <a:xfrm>
                      <a:off x="0" y="0"/>
                      <a:ext cx="3665498" cy="2007592"/>
                    </a:xfrm>
                    <a:prstGeom prst="rect">
                      <a:avLst/>
                    </a:prstGeom>
                    <a:ln>
                      <a:noFill/>
                    </a:ln>
                    <a:extLst>
                      <a:ext uri="{53640926-AAD7-44D8-BBD7-CCE9431645EC}">
                        <a14:shadowObscured xmlns:a14="http://schemas.microsoft.com/office/drawing/2010/main"/>
                      </a:ext>
                    </a:extLst>
                  </pic:spPr>
                </pic:pic>
              </a:graphicData>
            </a:graphic>
          </wp:inline>
        </w:drawing>
      </w:r>
    </w:p>
    <w:p w14:paraId="1E73645C" w14:textId="77777777" w:rsidR="00FE7234" w:rsidRPr="005321D5" w:rsidRDefault="00FE7234" w:rsidP="00FE7234">
      <w:pPr>
        <w:pStyle w:val="Didascalia"/>
      </w:pPr>
      <w:r w:rsidRPr="005321D5">
        <w:t>Figure 3: Net present value over time for an implemented 12 MW electrode boiler.</w:t>
      </w:r>
    </w:p>
    <w:p w14:paraId="23F79CEA" w14:textId="1956194C" w:rsidR="00853074" w:rsidRPr="005321D5" w:rsidRDefault="00467040" w:rsidP="00C516FB">
      <w:pPr>
        <w:pStyle w:val="Els-body-text"/>
        <w:rPr>
          <w:lang w:val="en-GB"/>
        </w:rPr>
      </w:pPr>
      <w:r w:rsidRPr="005321D5">
        <w:rPr>
          <w:lang w:val="en-GB"/>
        </w:rPr>
        <w:t>Knowing th</w:t>
      </w:r>
      <w:r w:rsidR="00BF32A3">
        <w:rPr>
          <w:lang w:val="en-GB"/>
        </w:rPr>
        <w:t>at</w:t>
      </w:r>
      <w:r w:rsidRPr="005321D5">
        <w:rPr>
          <w:lang w:val="en-GB"/>
        </w:rPr>
        <w:t xml:space="preserve"> variance reduces the operating cost can help with cost justification, as it means the payback period will be shorter. For both the variant and non-variant pricing, the net-present value has been calculated, assuming that an electrode boiler was built in </w:t>
      </w:r>
      <w:r w:rsidRPr="005321D5">
        <w:rPr>
          <w:lang w:val="en-GB"/>
        </w:rPr>
        <w:lastRenderedPageBreak/>
        <w:t>the starting year (2022).</w:t>
      </w:r>
      <w:r w:rsidR="00754D58" w:rsidRPr="005321D5">
        <w:rPr>
          <w:lang w:val="en-GB"/>
        </w:rPr>
        <w:t xml:space="preserve"> Only the electrode boiler costing was included, as this is closer aligned with the direction of the case study plans.</w:t>
      </w:r>
      <w:r w:rsidRPr="005321D5">
        <w:rPr>
          <w:lang w:val="en-GB"/>
        </w:rPr>
        <w:t xml:space="preserve"> Figure 3 shows this value over time, showing that a variance increase </w:t>
      </w:r>
      <w:r w:rsidR="008079B8" w:rsidRPr="005321D5">
        <w:rPr>
          <w:lang w:val="en-GB"/>
        </w:rPr>
        <w:t xml:space="preserve">factor </w:t>
      </w:r>
      <w:r w:rsidRPr="005321D5">
        <w:rPr>
          <w:lang w:val="en-GB"/>
        </w:rPr>
        <w:t xml:space="preserve">of </w:t>
      </w:r>
      <w:r w:rsidR="008079B8" w:rsidRPr="005321D5">
        <w:rPr>
          <w:lang w:val="en-GB"/>
        </w:rPr>
        <w:t>1.2 (20 % increase)</w:t>
      </w:r>
      <w:r w:rsidRPr="005321D5">
        <w:rPr>
          <w:lang w:val="en-GB"/>
        </w:rPr>
        <w:t xml:space="preserve"> per year is required to make the electrode boiler pay back (assuming the specific parameters of this case study)</w:t>
      </w:r>
      <w:r w:rsidR="008079B8" w:rsidRPr="005321D5">
        <w:rPr>
          <w:lang w:val="en-GB"/>
        </w:rPr>
        <w:t xml:space="preserve"> by 2037.</w:t>
      </w:r>
      <w:r w:rsidRPr="005321D5">
        <w:rPr>
          <w:lang w:val="en-GB"/>
        </w:rPr>
        <w:t xml:space="preserve"> The initial capital cost of the boiler was set at 7 million NZD as an average for the boiler and required infrastructure costing.</w:t>
      </w:r>
      <w:r w:rsidR="00ED7791" w:rsidRPr="005321D5">
        <w:rPr>
          <w:lang w:val="en-GB"/>
        </w:rPr>
        <w:t xml:space="preserve"> By not including the variance, the electrode boiler does not pay back before the 2037 mark which can make it harder to justify the decision from an industrial perspective.</w:t>
      </w:r>
    </w:p>
    <w:p w14:paraId="19BEC467" w14:textId="1BA71276" w:rsidR="00ED7791" w:rsidRPr="005321D5" w:rsidRDefault="00ED7791" w:rsidP="00ED7791">
      <w:pPr>
        <w:pStyle w:val="Els-2ndorder-head"/>
      </w:pPr>
      <w:r w:rsidRPr="005321D5">
        <w:t>Future Work</w:t>
      </w:r>
    </w:p>
    <w:p w14:paraId="151E7AA3" w14:textId="5C7AE7E5" w:rsidR="00853074" w:rsidRPr="005321D5" w:rsidRDefault="00ED7791" w:rsidP="00C516FB">
      <w:pPr>
        <w:pStyle w:val="Els-body-text"/>
        <w:rPr>
          <w:lang w:val="en-GB"/>
        </w:rPr>
      </w:pPr>
      <w:r w:rsidRPr="005321D5">
        <w:t>The optimization of this study has focused on the time-of-use</w:t>
      </w:r>
      <w:r w:rsidR="002E18CC" w:rsidRPr="005321D5">
        <w:t xml:space="preserve"> minimization</w:t>
      </w:r>
      <w:r w:rsidRPr="005321D5">
        <w:t xml:space="preserve">. However, </w:t>
      </w:r>
      <w:r w:rsidR="002E18CC" w:rsidRPr="005321D5">
        <w:t xml:space="preserve">only </w:t>
      </w:r>
      <w:r w:rsidRPr="005321D5">
        <w:t xml:space="preserve">the specific </w:t>
      </w:r>
      <w:r w:rsidR="004B46FB" w:rsidRPr="005321D5">
        <w:t xml:space="preserve">firing rate </w:t>
      </w:r>
      <w:r w:rsidRPr="005321D5">
        <w:t xml:space="preserve">of the boilers has been included in the optimization loop. A future iteration of the optimization should include </w:t>
      </w:r>
      <w:r w:rsidR="001863D7" w:rsidRPr="005321D5">
        <w:t xml:space="preserve">the boiler </w:t>
      </w:r>
      <w:r w:rsidR="002E18CC" w:rsidRPr="005321D5">
        <w:t>capacity</w:t>
      </w:r>
      <w:r w:rsidR="001863D7" w:rsidRPr="005321D5">
        <w:t xml:space="preserve"> </w:t>
      </w:r>
      <w:r w:rsidRPr="005321D5">
        <w:t>as an outer layer. However, this is not a simple process, as the sizing of the boilers has implications on the capital costing, which does not often have linear scaling.</w:t>
      </w:r>
      <w:r w:rsidR="0078160F" w:rsidRPr="005321D5">
        <w:t xml:space="preserve"> Other aspects to investigate would be the costing of </w:t>
      </w:r>
      <w:r w:rsidR="00C77520">
        <w:t>individual</w:t>
      </w:r>
      <w:r w:rsidR="0078160F" w:rsidRPr="005321D5">
        <w:t xml:space="preserve"> aspects (like the emission trading scheme, </w:t>
      </w:r>
      <w:r w:rsidR="008079B8" w:rsidRPr="005321D5">
        <w:t>fuel,</w:t>
      </w:r>
      <w:r w:rsidR="0078160F" w:rsidRPr="005321D5">
        <w:t xml:space="preserve"> </w:t>
      </w:r>
      <w:r w:rsidR="000503B4" w:rsidRPr="005321D5">
        <w:t xml:space="preserve">and electricity </w:t>
      </w:r>
      <w:r w:rsidR="0078160F" w:rsidRPr="005321D5">
        <w:t>costs). These have been assumed as fixed values or linear progressions, but in practice this does not happen. An example is the evolving biomass market within New Zealand, which could cause the fuel cost to increase non-linearly.</w:t>
      </w:r>
      <w:r w:rsidR="00A8052E">
        <w:t xml:space="preserve"> Finally, better defined installation timelines should be calculated, considering the existing lifespan of coal boilers on-site. The hypothesis would be that if a coal boiler were to reach end-of-life, it should be replaced by a biomass boiler, but there could be value in having the biomass boiler fire coal at a lower efficiency and retrofitting it to biomass after a few years.</w:t>
      </w:r>
    </w:p>
    <w:p w14:paraId="144DE6AE" w14:textId="38718D9F" w:rsidR="008D2649" w:rsidRPr="005321D5" w:rsidRDefault="004E6F55" w:rsidP="008D2649">
      <w:pPr>
        <w:pStyle w:val="Els-1storder-head"/>
        <w:spacing w:after="120"/>
        <w:rPr>
          <w:lang w:val="en-GB"/>
        </w:rPr>
      </w:pPr>
      <w:r w:rsidRPr="005321D5">
        <w:rPr>
          <w:lang w:val="en-GB"/>
        </w:rPr>
        <w:t>Conclusion</w:t>
      </w:r>
    </w:p>
    <w:p w14:paraId="73FB8294" w14:textId="2E12164A" w:rsidR="008079B8" w:rsidRPr="005321D5" w:rsidRDefault="008079B8" w:rsidP="00D55834">
      <w:pPr>
        <w:pStyle w:val="Els-body-text"/>
        <w:rPr>
          <w:lang w:val="en-GB"/>
        </w:rPr>
      </w:pPr>
      <w:r w:rsidRPr="005321D5">
        <w:rPr>
          <w:lang w:val="en-GB"/>
        </w:rPr>
        <w:t xml:space="preserve">The optimisation suggests </w:t>
      </w:r>
      <w:r w:rsidR="00C77520">
        <w:rPr>
          <w:lang w:val="en-GB"/>
        </w:rPr>
        <w:t>a two-step utility system transition plant (for cost minimisation)</w:t>
      </w:r>
      <w:r w:rsidRPr="005321D5">
        <w:rPr>
          <w:lang w:val="en-GB"/>
        </w:rPr>
        <w:t xml:space="preserve">. </w:t>
      </w:r>
      <w:r w:rsidR="00C77520">
        <w:rPr>
          <w:lang w:val="en-GB"/>
        </w:rPr>
        <w:t>Considering high</w:t>
      </w:r>
      <w:r w:rsidR="00BF32A3">
        <w:rPr>
          <w:lang w:val="en-GB"/>
        </w:rPr>
        <w:t>er</w:t>
      </w:r>
      <w:r w:rsidR="00C77520">
        <w:rPr>
          <w:lang w:val="en-GB"/>
        </w:rPr>
        <w:t xml:space="preserve"> electricity volatility prices in the future, the recommendation is that f</w:t>
      </w:r>
      <w:r w:rsidRPr="005321D5">
        <w:rPr>
          <w:lang w:val="en-GB"/>
        </w:rPr>
        <w:t xml:space="preserve">irst, as soon as practicable, an electrode boiler (12 MW capacity) should be installed next to the coal boiler, reducing annual </w:t>
      </w:r>
      <w:r w:rsidR="002E18CC" w:rsidRPr="005321D5">
        <w:rPr>
          <w:lang w:val="en-GB"/>
        </w:rPr>
        <w:t xml:space="preserve">energy </w:t>
      </w:r>
      <w:r w:rsidRPr="005321D5">
        <w:rPr>
          <w:lang w:val="en-GB"/>
        </w:rPr>
        <w:t>costs by up to 4.9 % and emissions by 25.2 %. Second, the coal boiler would be replaced by a biomass boiler</w:t>
      </w:r>
      <w:r w:rsidR="002E18CC" w:rsidRPr="005321D5">
        <w:rPr>
          <w:lang w:val="en-GB"/>
        </w:rPr>
        <w:t xml:space="preserve"> towards 2037</w:t>
      </w:r>
      <w:r w:rsidRPr="005321D5">
        <w:rPr>
          <w:lang w:val="en-GB"/>
        </w:rPr>
        <w:t xml:space="preserve">, </w:t>
      </w:r>
      <w:r w:rsidR="002E18CC" w:rsidRPr="005321D5">
        <w:rPr>
          <w:lang w:val="en-GB"/>
        </w:rPr>
        <w:t>for a total emissions reduction of 93.6 %</w:t>
      </w:r>
      <w:r w:rsidRPr="005321D5">
        <w:rPr>
          <w:lang w:val="en-GB"/>
        </w:rPr>
        <w:t>.</w:t>
      </w:r>
      <w:r w:rsidR="006E24A7">
        <w:rPr>
          <w:lang w:val="en-GB"/>
        </w:rPr>
        <w:t xml:space="preserve"> </w:t>
      </w:r>
    </w:p>
    <w:p w14:paraId="144DE6BF" w14:textId="608D0AD6" w:rsidR="008D2649" w:rsidRPr="005321D5" w:rsidRDefault="008D2649" w:rsidP="008D2649">
      <w:pPr>
        <w:pStyle w:val="Els-reference-head"/>
      </w:pPr>
      <w:r w:rsidRPr="005321D5">
        <w:t>References</w:t>
      </w:r>
    </w:p>
    <w:p w14:paraId="7FFB4442" w14:textId="65BD3C2C" w:rsidR="00E21621" w:rsidRPr="005321D5" w:rsidRDefault="00E21621" w:rsidP="008D2649">
      <w:pPr>
        <w:pStyle w:val="Els-referenceno-number"/>
        <w:rPr>
          <w:lang w:val="en-US"/>
        </w:rPr>
      </w:pPr>
      <w:r w:rsidRPr="005321D5">
        <w:rPr>
          <w:lang w:val="en-US"/>
        </w:rPr>
        <w:t>L.D.R. Beal, D. Hill, R.A. Martin, J.D. Hedengren, 2018, GEKKO Optimization Suite, Processes, Volume 6, Number 8</w:t>
      </w:r>
    </w:p>
    <w:p w14:paraId="6E42F22F" w14:textId="585F1C12" w:rsidR="008079B8" w:rsidRPr="005321D5" w:rsidRDefault="008079B8" w:rsidP="008079B8">
      <w:pPr>
        <w:pStyle w:val="Els-referenceno-number"/>
        <w:ind w:left="0" w:firstLine="0"/>
        <w:rPr>
          <w:lang w:val="en-US"/>
        </w:rPr>
      </w:pPr>
      <w:r w:rsidRPr="005321D5">
        <w:rPr>
          <w:lang w:val="en-US"/>
        </w:rPr>
        <w:t xml:space="preserve">Electricity Authority, 2022, Electricity price volatility, </w:t>
      </w:r>
      <w:hyperlink r:id="rId11" w:history="1">
        <w:r w:rsidRPr="005321D5">
          <w:rPr>
            <w:rStyle w:val="Collegamentoipertestuale"/>
            <w:lang w:val="en-US"/>
          </w:rPr>
          <w:t>https://www.ea.govt.nz/news/eye-on-electricity/electricity-price-volatility-an-emerging-feature-in-an-increasingly-renewable-market/</w:t>
        </w:r>
      </w:hyperlink>
      <w:r w:rsidRPr="005321D5">
        <w:rPr>
          <w:lang w:val="en-US"/>
        </w:rPr>
        <w:t xml:space="preserve"> </w:t>
      </w:r>
    </w:p>
    <w:p w14:paraId="026BFBFE" w14:textId="21319B4B" w:rsidR="0034402C" w:rsidRPr="005321D5" w:rsidRDefault="0034402C" w:rsidP="008D2649">
      <w:pPr>
        <w:pStyle w:val="Els-referenceno-number"/>
        <w:rPr>
          <w:lang w:val="en-US"/>
        </w:rPr>
      </w:pPr>
      <w:bookmarkStart w:id="1" w:name="_Hlk151457367"/>
      <w:r w:rsidRPr="005321D5">
        <w:rPr>
          <w:lang w:val="en-US"/>
        </w:rPr>
        <w:t>Energy Efficiency and Conservation Authority, 2023</w:t>
      </w:r>
      <w:bookmarkEnd w:id="1"/>
      <w:r w:rsidRPr="005321D5">
        <w:rPr>
          <w:lang w:val="en-US"/>
        </w:rPr>
        <w:t>, Energy End Use Database – Key insights and methodology</w:t>
      </w:r>
      <w:r w:rsidR="004A4F88" w:rsidRPr="005321D5">
        <w:rPr>
          <w:lang w:val="en-US"/>
        </w:rPr>
        <w:t>, Wellington, New Zealand</w:t>
      </w:r>
      <w:r w:rsidR="00AA49FA" w:rsidRPr="005321D5">
        <w:rPr>
          <w:lang w:val="en-US"/>
        </w:rPr>
        <w:t xml:space="preserve">. </w:t>
      </w:r>
      <w:hyperlink r:id="rId12" w:history="1">
        <w:r w:rsidR="003000D3" w:rsidRPr="005321D5">
          <w:rPr>
            <w:rStyle w:val="Collegamentoipertestuale"/>
            <w:lang w:val="en-US"/>
          </w:rPr>
          <w:t>https://www.eeca.govt.nz/insights/data-tools/energy-end-use-database/</w:t>
        </w:r>
      </w:hyperlink>
    </w:p>
    <w:p w14:paraId="5C687A37" w14:textId="26F0BC92" w:rsidR="003000D3" w:rsidRPr="005321D5" w:rsidRDefault="003000D3" w:rsidP="008D2649">
      <w:pPr>
        <w:pStyle w:val="Els-referenceno-number"/>
        <w:rPr>
          <w:lang w:val="en-US"/>
        </w:rPr>
      </w:pPr>
      <w:r w:rsidRPr="005321D5">
        <w:rPr>
          <w:lang w:val="en-US"/>
        </w:rPr>
        <w:t xml:space="preserve">Ministry for the Environment, 2023a, Measuring emissions: A guide for organisations, Wellington, New Zealand, </w:t>
      </w:r>
      <w:hyperlink r:id="rId13" w:history="1">
        <w:r w:rsidRPr="005321D5">
          <w:rPr>
            <w:rStyle w:val="Collegamentoipertestuale"/>
            <w:lang w:val="en-US"/>
          </w:rPr>
          <w:t>https://environment.govt.nz/assets/publications/Measuring-Emissions-Guidance_DetailedGuide_2023_ME1764.pdf</w:t>
        </w:r>
      </w:hyperlink>
      <w:r w:rsidRPr="005321D5">
        <w:rPr>
          <w:lang w:val="en-US"/>
        </w:rPr>
        <w:t xml:space="preserve"> </w:t>
      </w:r>
    </w:p>
    <w:p w14:paraId="4090078F" w14:textId="6837919E" w:rsidR="00452C6B" w:rsidRPr="005321D5" w:rsidRDefault="00452C6B" w:rsidP="007E34A7">
      <w:pPr>
        <w:pStyle w:val="Els-referenceno-number"/>
        <w:rPr>
          <w:lang w:val="en-US"/>
        </w:rPr>
      </w:pPr>
      <w:r w:rsidRPr="005321D5">
        <w:rPr>
          <w:lang w:val="en-US"/>
        </w:rPr>
        <w:t>Ministry for the Environment, 2023</w:t>
      </w:r>
      <w:r w:rsidR="003000D3" w:rsidRPr="005321D5">
        <w:rPr>
          <w:lang w:val="en-US"/>
        </w:rPr>
        <w:t>b</w:t>
      </w:r>
      <w:r w:rsidRPr="005321D5">
        <w:rPr>
          <w:lang w:val="en-US"/>
        </w:rPr>
        <w:t>, Review of the New Zealand Emissions Trading Scheme: Summary of modelling</w:t>
      </w:r>
      <w:r w:rsidR="004A4F88" w:rsidRPr="005321D5">
        <w:rPr>
          <w:lang w:val="en-US"/>
        </w:rPr>
        <w:t>, Wellington, New Zealand</w:t>
      </w:r>
    </w:p>
    <w:p w14:paraId="144DE6C3" w14:textId="34A838AF" w:rsidR="008D2649" w:rsidRDefault="00BE17FD" w:rsidP="00A15A59">
      <w:pPr>
        <w:pStyle w:val="Els-referenceno-number"/>
        <w:rPr>
          <w:lang w:val="en-US"/>
        </w:rPr>
      </w:pPr>
      <w:r w:rsidRPr="005321D5">
        <w:rPr>
          <w:lang w:val="en-US"/>
        </w:rPr>
        <w:t xml:space="preserve">T. Walmsley, M. Philipp, M, </w:t>
      </w:r>
      <w:r w:rsidRPr="005321D5">
        <w:rPr>
          <w:rStyle w:val="text"/>
        </w:rPr>
        <w:t xml:space="preserve">Picón-Núñez, H. Meschede, M. Taylor, F. Schlosser, M. Atkins, 2023, Hybrid renewable energy utility systems for industrial sites: A review, Renewable and Sustainable Energy Reviews, </w:t>
      </w:r>
      <w:r w:rsidR="00E21621" w:rsidRPr="005321D5">
        <w:rPr>
          <w:rStyle w:val="text"/>
        </w:rPr>
        <w:t xml:space="preserve">Volume </w:t>
      </w:r>
      <w:r w:rsidRPr="005321D5">
        <w:rPr>
          <w:rStyle w:val="text"/>
        </w:rPr>
        <w:t>188</w:t>
      </w:r>
    </w:p>
    <w:sectPr w:rsidR="008D2649"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178F" w14:textId="77777777" w:rsidR="005175BA" w:rsidRDefault="005175BA">
      <w:r>
        <w:separator/>
      </w:r>
    </w:p>
  </w:endnote>
  <w:endnote w:type="continuationSeparator" w:id="0">
    <w:p w14:paraId="3B3F05DC" w14:textId="77777777" w:rsidR="005175BA" w:rsidRDefault="0051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AEAE9" w14:textId="77777777" w:rsidR="005175BA" w:rsidRDefault="005175BA">
      <w:r>
        <w:separator/>
      </w:r>
    </w:p>
  </w:footnote>
  <w:footnote w:type="continuationSeparator" w:id="0">
    <w:p w14:paraId="5E561790" w14:textId="77777777" w:rsidR="005175BA" w:rsidRDefault="0051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4F46E6B"/>
    <w:multiLevelType w:val="hybridMultilevel"/>
    <w:tmpl w:val="82BE1FF4"/>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1"/>
  </w:num>
  <w:num w:numId="9">
    <w:abstractNumId w:val="11"/>
  </w:num>
  <w:num w:numId="10">
    <w:abstractNumId w:val="15"/>
  </w:num>
  <w:num w:numId="11">
    <w:abstractNumId w:val="14"/>
  </w:num>
  <w:num w:numId="12">
    <w:abstractNumId w:val="6"/>
  </w:num>
  <w:num w:numId="13">
    <w:abstractNumId w:val="9"/>
  </w:num>
  <w:num w:numId="14">
    <w:abstractNumId w:val="2"/>
  </w:num>
  <w:num w:numId="15">
    <w:abstractNumId w:val="8"/>
  </w:num>
  <w:num w:numId="16">
    <w:abstractNumId w:val="3"/>
  </w:num>
  <w:num w:numId="17">
    <w:abstractNumId w:val="4"/>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3A7"/>
    <w:rsid w:val="00004001"/>
    <w:rsid w:val="000111BD"/>
    <w:rsid w:val="00036A67"/>
    <w:rsid w:val="0004248A"/>
    <w:rsid w:val="000503B4"/>
    <w:rsid w:val="00066F4B"/>
    <w:rsid w:val="00067E85"/>
    <w:rsid w:val="0007094C"/>
    <w:rsid w:val="00074ABC"/>
    <w:rsid w:val="00075181"/>
    <w:rsid w:val="00093E07"/>
    <w:rsid w:val="000A2127"/>
    <w:rsid w:val="000A6529"/>
    <w:rsid w:val="000A77CD"/>
    <w:rsid w:val="000B35A1"/>
    <w:rsid w:val="000B5A8D"/>
    <w:rsid w:val="000B7E63"/>
    <w:rsid w:val="000D1D4E"/>
    <w:rsid w:val="000D3D9B"/>
    <w:rsid w:val="00101764"/>
    <w:rsid w:val="001164A1"/>
    <w:rsid w:val="00121654"/>
    <w:rsid w:val="00123C32"/>
    <w:rsid w:val="00130560"/>
    <w:rsid w:val="00134212"/>
    <w:rsid w:val="0016032F"/>
    <w:rsid w:val="001629D5"/>
    <w:rsid w:val="00165293"/>
    <w:rsid w:val="00183781"/>
    <w:rsid w:val="00184F19"/>
    <w:rsid w:val="001863D7"/>
    <w:rsid w:val="001879F6"/>
    <w:rsid w:val="00194769"/>
    <w:rsid w:val="00195344"/>
    <w:rsid w:val="001B1DE3"/>
    <w:rsid w:val="001C0148"/>
    <w:rsid w:val="001C757E"/>
    <w:rsid w:val="001D07EE"/>
    <w:rsid w:val="001E03A4"/>
    <w:rsid w:val="001E795E"/>
    <w:rsid w:val="001F2496"/>
    <w:rsid w:val="001F278E"/>
    <w:rsid w:val="001F624A"/>
    <w:rsid w:val="0020298D"/>
    <w:rsid w:val="0020390F"/>
    <w:rsid w:val="00205253"/>
    <w:rsid w:val="002270F3"/>
    <w:rsid w:val="0023503B"/>
    <w:rsid w:val="00240925"/>
    <w:rsid w:val="00264926"/>
    <w:rsid w:val="00275B43"/>
    <w:rsid w:val="0028604A"/>
    <w:rsid w:val="00287708"/>
    <w:rsid w:val="002C7BDA"/>
    <w:rsid w:val="002E0238"/>
    <w:rsid w:val="002E18CC"/>
    <w:rsid w:val="002E4014"/>
    <w:rsid w:val="002F6170"/>
    <w:rsid w:val="003000D3"/>
    <w:rsid w:val="00306DD9"/>
    <w:rsid w:val="0031274A"/>
    <w:rsid w:val="00322FBD"/>
    <w:rsid w:val="0034402C"/>
    <w:rsid w:val="00344D01"/>
    <w:rsid w:val="00354807"/>
    <w:rsid w:val="00360903"/>
    <w:rsid w:val="003652AB"/>
    <w:rsid w:val="003769FA"/>
    <w:rsid w:val="00381560"/>
    <w:rsid w:val="003A7493"/>
    <w:rsid w:val="003C2807"/>
    <w:rsid w:val="003D1582"/>
    <w:rsid w:val="003D7E4C"/>
    <w:rsid w:val="003E236F"/>
    <w:rsid w:val="003E41C2"/>
    <w:rsid w:val="003F5FC6"/>
    <w:rsid w:val="003F7152"/>
    <w:rsid w:val="004104D2"/>
    <w:rsid w:val="00427250"/>
    <w:rsid w:val="0044614D"/>
    <w:rsid w:val="00452C6B"/>
    <w:rsid w:val="0045374E"/>
    <w:rsid w:val="004628E9"/>
    <w:rsid w:val="00465379"/>
    <w:rsid w:val="00467040"/>
    <w:rsid w:val="004677B8"/>
    <w:rsid w:val="00483BA9"/>
    <w:rsid w:val="0049772C"/>
    <w:rsid w:val="004A4F88"/>
    <w:rsid w:val="004B2C47"/>
    <w:rsid w:val="004B3661"/>
    <w:rsid w:val="004B46FB"/>
    <w:rsid w:val="004B4EBE"/>
    <w:rsid w:val="004E5A05"/>
    <w:rsid w:val="004E66B9"/>
    <w:rsid w:val="004E6F55"/>
    <w:rsid w:val="004F23FE"/>
    <w:rsid w:val="00507CB7"/>
    <w:rsid w:val="005175BA"/>
    <w:rsid w:val="0052652A"/>
    <w:rsid w:val="0052733A"/>
    <w:rsid w:val="005321D5"/>
    <w:rsid w:val="00533C26"/>
    <w:rsid w:val="00536BD3"/>
    <w:rsid w:val="005377C9"/>
    <w:rsid w:val="00552EEB"/>
    <w:rsid w:val="00556454"/>
    <w:rsid w:val="00562BB4"/>
    <w:rsid w:val="0056367B"/>
    <w:rsid w:val="0056790B"/>
    <w:rsid w:val="00567D93"/>
    <w:rsid w:val="005971DD"/>
    <w:rsid w:val="005B3DBE"/>
    <w:rsid w:val="005D7079"/>
    <w:rsid w:val="005E68FE"/>
    <w:rsid w:val="00621307"/>
    <w:rsid w:val="0062377D"/>
    <w:rsid w:val="00636907"/>
    <w:rsid w:val="00653DB8"/>
    <w:rsid w:val="00660375"/>
    <w:rsid w:val="0066049D"/>
    <w:rsid w:val="0066233C"/>
    <w:rsid w:val="00664C68"/>
    <w:rsid w:val="00677A5E"/>
    <w:rsid w:val="006873AC"/>
    <w:rsid w:val="0069505A"/>
    <w:rsid w:val="006A04D0"/>
    <w:rsid w:val="006A453D"/>
    <w:rsid w:val="006A69BF"/>
    <w:rsid w:val="006C11D1"/>
    <w:rsid w:val="006C55E3"/>
    <w:rsid w:val="006D4515"/>
    <w:rsid w:val="006E24A7"/>
    <w:rsid w:val="006E388A"/>
    <w:rsid w:val="0070170A"/>
    <w:rsid w:val="00711DF4"/>
    <w:rsid w:val="007277AE"/>
    <w:rsid w:val="0073507B"/>
    <w:rsid w:val="00754D58"/>
    <w:rsid w:val="00760D9E"/>
    <w:rsid w:val="0078160F"/>
    <w:rsid w:val="007822BB"/>
    <w:rsid w:val="0079503F"/>
    <w:rsid w:val="007976D2"/>
    <w:rsid w:val="007A3514"/>
    <w:rsid w:val="007A7D17"/>
    <w:rsid w:val="007C2C59"/>
    <w:rsid w:val="007C79B6"/>
    <w:rsid w:val="007C7ACD"/>
    <w:rsid w:val="007D70A1"/>
    <w:rsid w:val="007E34A7"/>
    <w:rsid w:val="007F0038"/>
    <w:rsid w:val="00805536"/>
    <w:rsid w:val="008079B8"/>
    <w:rsid w:val="008132E8"/>
    <w:rsid w:val="00815F09"/>
    <w:rsid w:val="00820E1B"/>
    <w:rsid w:val="008229D1"/>
    <w:rsid w:val="00823407"/>
    <w:rsid w:val="00844D47"/>
    <w:rsid w:val="00853074"/>
    <w:rsid w:val="00856FAF"/>
    <w:rsid w:val="00894CE0"/>
    <w:rsid w:val="0089694A"/>
    <w:rsid w:val="008A4E5D"/>
    <w:rsid w:val="008B0184"/>
    <w:rsid w:val="008B1857"/>
    <w:rsid w:val="008B42D8"/>
    <w:rsid w:val="008B7B94"/>
    <w:rsid w:val="008C0E70"/>
    <w:rsid w:val="008C5C19"/>
    <w:rsid w:val="008C5D02"/>
    <w:rsid w:val="008D2649"/>
    <w:rsid w:val="008D3A66"/>
    <w:rsid w:val="008F76D8"/>
    <w:rsid w:val="009024D0"/>
    <w:rsid w:val="009037D8"/>
    <w:rsid w:val="0090568D"/>
    <w:rsid w:val="00906D1D"/>
    <w:rsid w:val="009125C9"/>
    <w:rsid w:val="00913879"/>
    <w:rsid w:val="00917661"/>
    <w:rsid w:val="009258B2"/>
    <w:rsid w:val="0093226A"/>
    <w:rsid w:val="00943243"/>
    <w:rsid w:val="00947FCE"/>
    <w:rsid w:val="0095232A"/>
    <w:rsid w:val="009547B5"/>
    <w:rsid w:val="00970E5D"/>
    <w:rsid w:val="0097701C"/>
    <w:rsid w:val="00980A65"/>
    <w:rsid w:val="00983154"/>
    <w:rsid w:val="00993411"/>
    <w:rsid w:val="00996132"/>
    <w:rsid w:val="009A0737"/>
    <w:rsid w:val="009B3802"/>
    <w:rsid w:val="009B4512"/>
    <w:rsid w:val="009B5E4E"/>
    <w:rsid w:val="00A00CAA"/>
    <w:rsid w:val="00A15A59"/>
    <w:rsid w:val="00A25E70"/>
    <w:rsid w:val="00A33765"/>
    <w:rsid w:val="00A5054E"/>
    <w:rsid w:val="00A5378E"/>
    <w:rsid w:val="00A620B0"/>
    <w:rsid w:val="00A62126"/>
    <w:rsid w:val="00A63269"/>
    <w:rsid w:val="00A7086F"/>
    <w:rsid w:val="00A77F20"/>
    <w:rsid w:val="00A8052E"/>
    <w:rsid w:val="00A92377"/>
    <w:rsid w:val="00AA0BB4"/>
    <w:rsid w:val="00AA49FA"/>
    <w:rsid w:val="00AA54F9"/>
    <w:rsid w:val="00AA7251"/>
    <w:rsid w:val="00AA7888"/>
    <w:rsid w:val="00AB29ED"/>
    <w:rsid w:val="00AB780F"/>
    <w:rsid w:val="00AD0C6F"/>
    <w:rsid w:val="00AD42CC"/>
    <w:rsid w:val="00AD5F51"/>
    <w:rsid w:val="00AE4BD8"/>
    <w:rsid w:val="00B14A9E"/>
    <w:rsid w:val="00B15769"/>
    <w:rsid w:val="00B22C5E"/>
    <w:rsid w:val="00B24333"/>
    <w:rsid w:val="00B272B1"/>
    <w:rsid w:val="00B336D9"/>
    <w:rsid w:val="00B4388F"/>
    <w:rsid w:val="00B54926"/>
    <w:rsid w:val="00B60EF7"/>
    <w:rsid w:val="00B62292"/>
    <w:rsid w:val="00B63237"/>
    <w:rsid w:val="00B80EFB"/>
    <w:rsid w:val="00B9030B"/>
    <w:rsid w:val="00BA5B2B"/>
    <w:rsid w:val="00BB176A"/>
    <w:rsid w:val="00BC21C1"/>
    <w:rsid w:val="00BD25E2"/>
    <w:rsid w:val="00BE17FD"/>
    <w:rsid w:val="00BF32A3"/>
    <w:rsid w:val="00BF77B6"/>
    <w:rsid w:val="00C23748"/>
    <w:rsid w:val="00C326DA"/>
    <w:rsid w:val="00C3533A"/>
    <w:rsid w:val="00C4124F"/>
    <w:rsid w:val="00C43FF9"/>
    <w:rsid w:val="00C45342"/>
    <w:rsid w:val="00C50601"/>
    <w:rsid w:val="00C516FB"/>
    <w:rsid w:val="00C67D4D"/>
    <w:rsid w:val="00C77520"/>
    <w:rsid w:val="00C80DBD"/>
    <w:rsid w:val="00C960DC"/>
    <w:rsid w:val="00CA2652"/>
    <w:rsid w:val="00CC2A70"/>
    <w:rsid w:val="00CC767C"/>
    <w:rsid w:val="00CD0B77"/>
    <w:rsid w:val="00CD44B2"/>
    <w:rsid w:val="00CE3DDF"/>
    <w:rsid w:val="00CE6BD6"/>
    <w:rsid w:val="00D0111B"/>
    <w:rsid w:val="00D02C75"/>
    <w:rsid w:val="00D04B2C"/>
    <w:rsid w:val="00D07D19"/>
    <w:rsid w:val="00D10E22"/>
    <w:rsid w:val="00D13D2C"/>
    <w:rsid w:val="00D266BA"/>
    <w:rsid w:val="00D4411C"/>
    <w:rsid w:val="00D53D50"/>
    <w:rsid w:val="00D550C3"/>
    <w:rsid w:val="00D55834"/>
    <w:rsid w:val="00D71342"/>
    <w:rsid w:val="00DA4F38"/>
    <w:rsid w:val="00DC0AA3"/>
    <w:rsid w:val="00DC2F94"/>
    <w:rsid w:val="00DD3D9E"/>
    <w:rsid w:val="00DD44EA"/>
    <w:rsid w:val="00DD5136"/>
    <w:rsid w:val="00DD7908"/>
    <w:rsid w:val="00DF17DB"/>
    <w:rsid w:val="00E21621"/>
    <w:rsid w:val="00E21CEA"/>
    <w:rsid w:val="00E26D8E"/>
    <w:rsid w:val="00E3198B"/>
    <w:rsid w:val="00E41673"/>
    <w:rsid w:val="00E43E6D"/>
    <w:rsid w:val="00E45442"/>
    <w:rsid w:val="00E82297"/>
    <w:rsid w:val="00E9067C"/>
    <w:rsid w:val="00E94DB0"/>
    <w:rsid w:val="00EA532C"/>
    <w:rsid w:val="00EB32FA"/>
    <w:rsid w:val="00EB605C"/>
    <w:rsid w:val="00EC1D56"/>
    <w:rsid w:val="00EC4B96"/>
    <w:rsid w:val="00ED7791"/>
    <w:rsid w:val="00EF39FD"/>
    <w:rsid w:val="00EF7FB7"/>
    <w:rsid w:val="00F06842"/>
    <w:rsid w:val="00F107FD"/>
    <w:rsid w:val="00F13172"/>
    <w:rsid w:val="00F24C8F"/>
    <w:rsid w:val="00F26F17"/>
    <w:rsid w:val="00F56E43"/>
    <w:rsid w:val="00F92396"/>
    <w:rsid w:val="00FB428F"/>
    <w:rsid w:val="00FB64A8"/>
    <w:rsid w:val="00FD1EFB"/>
    <w:rsid w:val="00FD2E9B"/>
    <w:rsid w:val="00FD57BB"/>
    <w:rsid w:val="00FE0E9C"/>
    <w:rsid w:val="00FE7234"/>
    <w:rsid w:val="00FF2725"/>
    <w:rsid w:val="00FF6043"/>
    <w:rsid w:val="00FF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E67F"/>
  <w15:docId w15:val="{068F10A1-DFC8-4279-A173-6D35E651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customStyle="1" w:styleId="react-xocs-alternative-link">
    <w:name w:val="react-xocs-alternative-link"/>
    <w:basedOn w:val="Carpredefinitoparagrafo"/>
    <w:rsid w:val="00BE17FD"/>
  </w:style>
  <w:style w:type="character" w:customStyle="1" w:styleId="given-name">
    <w:name w:val="given-name"/>
    <w:basedOn w:val="Carpredefinitoparagrafo"/>
    <w:rsid w:val="00BE17FD"/>
  </w:style>
  <w:style w:type="character" w:customStyle="1" w:styleId="text">
    <w:name w:val="text"/>
    <w:basedOn w:val="Carpredefinitoparagrafo"/>
    <w:rsid w:val="00BE17FD"/>
  </w:style>
  <w:style w:type="character" w:styleId="Testosegnaposto">
    <w:name w:val="Placeholder Text"/>
    <w:basedOn w:val="Carpredefinitoparagrafo"/>
    <w:uiPriority w:val="99"/>
    <w:semiHidden/>
    <w:rsid w:val="00B60EF7"/>
    <w:rPr>
      <w:color w:val="666666"/>
    </w:rPr>
  </w:style>
  <w:style w:type="paragraph" w:styleId="Revisione">
    <w:name w:val="Revision"/>
    <w:hidden/>
    <w:uiPriority w:val="99"/>
    <w:semiHidden/>
    <w:rsid w:val="00381560"/>
    <w:rPr>
      <w:lang w:eastAsia="en-US"/>
    </w:rPr>
  </w:style>
  <w:style w:type="character" w:styleId="Menzionenonrisolta">
    <w:name w:val="Unresolved Mention"/>
    <w:basedOn w:val="Carpredefinitoparagrafo"/>
    <w:uiPriority w:val="99"/>
    <w:semiHidden/>
    <w:unhideWhenUsed/>
    <w:rsid w:val="00300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42713">
      <w:bodyDiv w:val="1"/>
      <w:marLeft w:val="0"/>
      <w:marRight w:val="0"/>
      <w:marTop w:val="0"/>
      <w:marBottom w:val="0"/>
      <w:divBdr>
        <w:top w:val="none" w:sz="0" w:space="0" w:color="auto"/>
        <w:left w:val="none" w:sz="0" w:space="0" w:color="auto"/>
        <w:bottom w:val="none" w:sz="0" w:space="0" w:color="auto"/>
        <w:right w:val="none" w:sz="0" w:space="0" w:color="auto"/>
      </w:divBdr>
    </w:div>
    <w:div w:id="851917594">
      <w:bodyDiv w:val="1"/>
      <w:marLeft w:val="0"/>
      <w:marRight w:val="0"/>
      <w:marTop w:val="0"/>
      <w:marBottom w:val="0"/>
      <w:divBdr>
        <w:top w:val="none" w:sz="0" w:space="0" w:color="auto"/>
        <w:left w:val="none" w:sz="0" w:space="0" w:color="auto"/>
        <w:bottom w:val="none" w:sz="0" w:space="0" w:color="auto"/>
        <w:right w:val="none" w:sz="0" w:space="0" w:color="auto"/>
      </w:divBdr>
    </w:div>
    <w:div w:id="1671371492">
      <w:bodyDiv w:val="1"/>
      <w:marLeft w:val="0"/>
      <w:marRight w:val="0"/>
      <w:marTop w:val="0"/>
      <w:marBottom w:val="0"/>
      <w:divBdr>
        <w:top w:val="none" w:sz="0" w:space="0" w:color="auto"/>
        <w:left w:val="none" w:sz="0" w:space="0" w:color="auto"/>
        <w:bottom w:val="none" w:sz="0" w:space="0" w:color="auto"/>
        <w:right w:val="none" w:sz="0" w:space="0" w:color="auto"/>
      </w:divBdr>
    </w:div>
    <w:div w:id="1762407911">
      <w:bodyDiv w:val="1"/>
      <w:marLeft w:val="0"/>
      <w:marRight w:val="0"/>
      <w:marTop w:val="0"/>
      <w:marBottom w:val="0"/>
      <w:divBdr>
        <w:top w:val="none" w:sz="0" w:space="0" w:color="auto"/>
        <w:left w:val="none" w:sz="0" w:space="0" w:color="auto"/>
        <w:bottom w:val="none" w:sz="0" w:space="0" w:color="auto"/>
        <w:right w:val="none" w:sz="0" w:space="0" w:color="auto"/>
      </w:divBdr>
    </w:div>
    <w:div w:id="1781798733">
      <w:bodyDiv w:val="1"/>
      <w:marLeft w:val="0"/>
      <w:marRight w:val="0"/>
      <w:marTop w:val="0"/>
      <w:marBottom w:val="0"/>
      <w:divBdr>
        <w:top w:val="none" w:sz="0" w:space="0" w:color="auto"/>
        <w:left w:val="none" w:sz="0" w:space="0" w:color="auto"/>
        <w:bottom w:val="none" w:sz="0" w:space="0" w:color="auto"/>
        <w:right w:val="none" w:sz="0" w:space="0" w:color="auto"/>
      </w:divBdr>
      <w:divsChild>
        <w:div w:id="68430218">
          <w:marLeft w:val="0"/>
          <w:marRight w:val="0"/>
          <w:marTop w:val="0"/>
          <w:marBottom w:val="0"/>
          <w:divBdr>
            <w:top w:val="none" w:sz="0" w:space="0" w:color="auto"/>
            <w:left w:val="none" w:sz="0" w:space="0" w:color="auto"/>
            <w:bottom w:val="none" w:sz="0" w:space="0" w:color="auto"/>
            <w:right w:val="none" w:sz="0" w:space="0" w:color="auto"/>
          </w:divBdr>
        </w:div>
        <w:div w:id="5157349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vironment.govt.nz/assets/publications/Measuring-Emissions-Guidance_DetailedGuide_2023_ME176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ca.govt.nz/insights/data-tools/energy-end-use-databa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govt.nz/news/eye-on-electricity/electricity-price-volatility-an-emerging-feature-in-an-increasingly-renewable-mark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29695-8C52-4807-816C-3990A327F7E4}">
  <ds:schemaRefs>
    <ds:schemaRef ds:uri="http://schemas.openxmlformats.org/officeDocument/2006/bibliography"/>
  </ds:schemaRefs>
</ds:datastoreItem>
</file>

<file path=docMetadata/LabelInfo.xml><?xml version="1.0" encoding="utf-8"?>
<clbl:labelList xmlns:clbl="http://schemas.microsoft.com/office/2020/mipLabelMetadata">
  <clbl:label id="{220f5dc3-9452-48e5-9b4f-888df42f7a2d}" enabled="0" method="" siteId="{220f5dc3-9452-48e5-9b4f-888df42f7a2d}" removed="1"/>
</clbl:labelList>
</file>

<file path=docProps/app.xml><?xml version="1.0" encoding="utf-8"?>
<Properties xmlns="http://schemas.openxmlformats.org/officeDocument/2006/extended-properties" xmlns:vt="http://schemas.openxmlformats.org/officeDocument/2006/docPropsVTypes">
  <Template>Chapter.dotx</Template>
  <TotalTime>3</TotalTime>
  <Pages>6</Pages>
  <Words>2487</Words>
  <Characters>14181</Characters>
  <Application>Microsoft Office Word</Application>
  <DocSecurity>0</DocSecurity>
  <Lines>118</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Sauro Pierucci</cp:lastModifiedBy>
  <cp:revision>3</cp:revision>
  <cp:lastPrinted>2004-12-17T09:20:00Z</cp:lastPrinted>
  <dcterms:created xsi:type="dcterms:W3CDTF">2023-12-20T21:26:00Z</dcterms:created>
  <dcterms:modified xsi:type="dcterms:W3CDTF">2024-01-21T15:00:00Z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