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6456DE65" w:rsidR="00DD3D9E" w:rsidRPr="0077661D" w:rsidRDefault="0077661D">
      <w:pPr>
        <w:pStyle w:val="Els-Title"/>
        <w:rPr>
          <w:color w:val="000000" w:themeColor="text1"/>
          <w:lang w:val="en-GB"/>
        </w:rPr>
      </w:pPr>
      <w:r w:rsidRPr="0077661D">
        <w:rPr>
          <w:color w:val="000000" w:themeColor="text1"/>
        </w:rPr>
        <w:t>An Integrated Framework: Inverse Design for Optimal Amine Solvent using Reinforcement Learning and Enhanced CO</w:t>
      </w:r>
      <w:r w:rsidRPr="00104EE1">
        <w:rPr>
          <w:color w:val="000000" w:themeColor="text1"/>
          <w:vertAlign w:val="subscript"/>
        </w:rPr>
        <w:t>2</w:t>
      </w:r>
      <w:r w:rsidRPr="0077661D">
        <w:rPr>
          <w:color w:val="000000" w:themeColor="text1"/>
        </w:rPr>
        <w:t xml:space="preserve"> Chemical Absorption Processes</w:t>
      </w:r>
    </w:p>
    <w:p w14:paraId="144DE680" w14:textId="66C29DD4" w:rsidR="00DD3D9E" w:rsidRDefault="0077661D">
      <w:pPr>
        <w:pStyle w:val="Els-Author"/>
      </w:pPr>
      <w:r w:rsidRPr="0077661D">
        <w:t>Yo</w:t>
      </w:r>
      <w:r>
        <w:t>u</w:t>
      </w:r>
      <w:r w:rsidRPr="0077661D">
        <w:t>hyun Kim</w:t>
      </w:r>
      <w:r w:rsidRPr="0077661D">
        <w:rPr>
          <w:vertAlign w:val="superscript"/>
        </w:rPr>
        <w:t>a,b</w:t>
      </w:r>
      <w:r w:rsidRPr="0077661D">
        <w:t>, Haeyeon Choi</w:t>
      </w:r>
      <w:r w:rsidRPr="0077661D">
        <w:rPr>
          <w:vertAlign w:val="superscript"/>
        </w:rPr>
        <w:t>a,b</w:t>
      </w:r>
      <w:r w:rsidRPr="0077661D">
        <w:t>, Damdae Park</w:t>
      </w:r>
      <w:r w:rsidRPr="0077661D">
        <w:rPr>
          <w:vertAlign w:val="superscript"/>
        </w:rPr>
        <w:t>c</w:t>
      </w:r>
      <w:r w:rsidRPr="0077661D">
        <w:t xml:space="preserve">, </w:t>
      </w:r>
      <w:r>
        <w:t>Kyeongsu Kim</w:t>
      </w:r>
      <w:r w:rsidRPr="0077661D">
        <w:rPr>
          <w:vertAlign w:val="superscript"/>
        </w:rPr>
        <w:t>c</w:t>
      </w:r>
      <w:r>
        <w:t xml:space="preserve">, </w:t>
      </w:r>
      <w:r w:rsidRPr="0077661D">
        <w:t>Jonggeol Na</w:t>
      </w:r>
      <w:r w:rsidRPr="0077661D">
        <w:rPr>
          <w:vertAlign w:val="superscript"/>
        </w:rPr>
        <w:t>a,b</w:t>
      </w:r>
      <w:r w:rsidR="001A5B68">
        <w:rPr>
          <w:vertAlign w:val="superscript"/>
        </w:rPr>
        <w:t>*</w:t>
      </w:r>
    </w:p>
    <w:p w14:paraId="3825D1EE" w14:textId="77777777" w:rsidR="0077661D" w:rsidRDefault="0077661D" w:rsidP="0077661D">
      <w:pPr>
        <w:pStyle w:val="Els-Affiliation"/>
      </w:pPr>
      <w:r w:rsidRPr="0077661D">
        <w:rPr>
          <w:vertAlign w:val="superscript"/>
        </w:rPr>
        <w:t>a</w:t>
      </w:r>
      <w:r>
        <w:t>Department of Chemical Engineering and Materials Science, Ewha Womans University, Seoul 03760, Republic of Korea</w:t>
      </w:r>
    </w:p>
    <w:p w14:paraId="1DF36D08" w14:textId="77777777" w:rsidR="0077661D" w:rsidRDefault="0077661D" w:rsidP="0077661D">
      <w:pPr>
        <w:pStyle w:val="Els-Affiliation"/>
      </w:pPr>
      <w:r w:rsidRPr="0077661D">
        <w:rPr>
          <w:vertAlign w:val="superscript"/>
        </w:rPr>
        <w:t>b</w:t>
      </w:r>
      <w:r>
        <w:t>Graduate Program in System Health Science and Engineering, Ewha Womans University, Seoul 03760, Republic of Korea</w:t>
      </w:r>
    </w:p>
    <w:p w14:paraId="08D381F4" w14:textId="1EAA9005" w:rsidR="0077661D" w:rsidRPr="0077661D" w:rsidRDefault="0077661D" w:rsidP="0077661D">
      <w:pPr>
        <w:pStyle w:val="Els-Affiliation"/>
      </w:pPr>
      <w:r w:rsidRPr="0077661D">
        <w:rPr>
          <w:vertAlign w:val="superscript"/>
        </w:rPr>
        <w:t>c</w:t>
      </w:r>
      <w:r>
        <w:t>Clean Energy Research Center, Korea Institute of Science and Technology, Seoul 02792, Republic of Korea</w:t>
      </w:r>
    </w:p>
    <w:p w14:paraId="144DE683" w14:textId="4549DD1E" w:rsidR="008D2649" w:rsidRPr="0077661D" w:rsidRDefault="0077661D" w:rsidP="008D2649">
      <w:pPr>
        <w:pStyle w:val="Els-Affiliation"/>
        <w:spacing w:after="120"/>
      </w:pPr>
      <w:r w:rsidRPr="0077661D">
        <w:t>jgna@ewha.ac.kr</w:t>
      </w:r>
    </w:p>
    <w:p w14:paraId="144DE684" w14:textId="77777777" w:rsidR="008D2649" w:rsidRDefault="008D2649" w:rsidP="008D2649">
      <w:pPr>
        <w:pStyle w:val="Els-Abstract"/>
      </w:pPr>
      <w:r>
        <w:t>Abstract</w:t>
      </w:r>
    </w:p>
    <w:p w14:paraId="659DCC24" w14:textId="16930083" w:rsidR="00C33470" w:rsidRPr="00C33470" w:rsidRDefault="00C33470" w:rsidP="00C33470">
      <w:pPr>
        <w:pStyle w:val="Els-body-text"/>
      </w:pPr>
      <w:r w:rsidRPr="00C33470">
        <w:t xml:space="preserve">This study proposes an integrated framework that </w:t>
      </w:r>
      <w:r w:rsidR="009346FC">
        <w:t>combines</w:t>
      </w:r>
      <w:r w:rsidRPr="00C33470">
        <w:t xml:space="preserve"> inverse material design via reinforcement learning (RL) and process optimization to determine the optimal solvent for CO</w:t>
      </w:r>
      <w:r w:rsidRPr="00C33470">
        <w:rPr>
          <w:vertAlign w:val="subscript"/>
        </w:rPr>
        <w:t>2</w:t>
      </w:r>
      <w:r w:rsidRPr="00C33470">
        <w:t xml:space="preserve"> chemical absorption process</w:t>
      </w:r>
      <w:r w:rsidR="009346FC">
        <w:t xml:space="preserve"> (</w:t>
      </w:r>
      <w:r w:rsidR="009346FC" w:rsidRPr="00B46CBB">
        <w:rPr>
          <w:b/>
          <w:bCs/>
        </w:rPr>
        <w:t>Figure 1</w:t>
      </w:r>
      <w:r w:rsidR="009346FC">
        <w:t>)</w:t>
      </w:r>
      <w:r w:rsidRPr="00C33470">
        <w:t>. The framework addresses the challenges posed by Computer-Aided Molecular and Process Design (CAMPD) and efficiently explores the design space characterized by infeasible subregions and a highly nonlinear relationship between process and molecular structure.</w:t>
      </w:r>
      <w:r w:rsidR="009346FC">
        <w:t xml:space="preserve"> </w:t>
      </w:r>
      <w:r w:rsidRPr="00C33470">
        <w:t xml:space="preserve">The RL model, when combined with combinatorial chemistry, inversely designs </w:t>
      </w:r>
      <w:r w:rsidR="005F0B14">
        <w:t xml:space="preserve">amine solvent </w:t>
      </w:r>
      <w:r w:rsidRPr="00C33470">
        <w:t>based on target properties</w:t>
      </w:r>
      <w:r w:rsidR="001B00B7">
        <w:t xml:space="preserve"> such as </w:t>
      </w:r>
      <w:r w:rsidR="001B00B7">
        <w:rPr>
          <w:lang w:eastAsia="ko-KR"/>
        </w:rPr>
        <w:t>CO</w:t>
      </w:r>
      <w:r w:rsidR="001B00B7" w:rsidRPr="001B00B7">
        <w:rPr>
          <w:vertAlign w:val="subscript"/>
          <w:lang w:eastAsia="ko-KR"/>
        </w:rPr>
        <w:t>2</w:t>
      </w:r>
      <w:r w:rsidR="001B00B7">
        <w:rPr>
          <w:lang w:eastAsia="ko-KR"/>
        </w:rPr>
        <w:t xml:space="preserve"> absorption capacity and solubility</w:t>
      </w:r>
      <w:r w:rsidRPr="00C33470">
        <w:t>.</w:t>
      </w:r>
      <w:r w:rsidR="001B00B7">
        <w:t xml:space="preserve"> Then, </w:t>
      </w:r>
      <w:r w:rsidR="00E041B2" w:rsidRPr="00D976F2">
        <w:t>conductor-like screening model for real solvents (COSMO-RS)</w:t>
      </w:r>
      <w:r w:rsidR="00E041B2">
        <w:t xml:space="preserve"> </w:t>
      </w:r>
      <w:r w:rsidR="001B00B7" w:rsidRPr="001B00B7">
        <w:t xml:space="preserve">predicts the phase behavior through thermodynamic </w:t>
      </w:r>
      <w:r w:rsidR="00E041B2" w:rsidRPr="001B00B7">
        <w:t>analysis and</w:t>
      </w:r>
      <w:r w:rsidR="001B00B7" w:rsidRPr="001B00B7">
        <w:t xml:space="preserve"> evaluates whether the solvent can achieve the desired CO</w:t>
      </w:r>
      <w:r w:rsidR="001B00B7" w:rsidRPr="008A285A">
        <w:rPr>
          <w:vertAlign w:val="subscript"/>
        </w:rPr>
        <w:t>2</w:t>
      </w:r>
      <w:r w:rsidR="001B00B7" w:rsidRPr="001B00B7">
        <w:t xml:space="preserve"> removal.</w:t>
      </w:r>
      <w:r w:rsidR="001B00B7">
        <w:t xml:space="preserve"> </w:t>
      </w:r>
      <w:r w:rsidRPr="00C33470">
        <w:t xml:space="preserve">This novel approach provides </w:t>
      </w:r>
      <w:r w:rsidR="001B3E85">
        <w:t xml:space="preserve">an </w:t>
      </w:r>
      <w:r w:rsidR="00CF1F03">
        <w:rPr>
          <w:rFonts w:hint="eastAsia"/>
          <w:lang w:eastAsia="ko-KR"/>
        </w:rPr>
        <w:t>e</w:t>
      </w:r>
      <w:r w:rsidR="00CF1F03">
        <w:rPr>
          <w:lang w:eastAsia="ko-KR"/>
        </w:rPr>
        <w:t>fficient</w:t>
      </w:r>
      <w:r w:rsidRPr="00C33470">
        <w:t xml:space="preserve"> and </w:t>
      </w:r>
      <w:r w:rsidR="00CF1F03">
        <w:t>system</w:t>
      </w:r>
      <w:r w:rsidR="001B3E85">
        <w:t>a</w:t>
      </w:r>
      <w:r w:rsidR="00CF1F03">
        <w:t>tic</w:t>
      </w:r>
      <w:r w:rsidRPr="00C33470">
        <w:t xml:space="preserve"> way to design an effective solvent and improve the CO</w:t>
      </w:r>
      <w:r w:rsidRPr="005F0B14">
        <w:rPr>
          <w:vertAlign w:val="subscript"/>
        </w:rPr>
        <w:t>2</w:t>
      </w:r>
      <w:r w:rsidRPr="00C33470">
        <w:t xml:space="preserve"> absorption process.</w:t>
      </w:r>
    </w:p>
    <w:p w14:paraId="144DE687" w14:textId="21D10268" w:rsidR="008D2649" w:rsidRDefault="008D2649" w:rsidP="008D2649">
      <w:pPr>
        <w:pStyle w:val="Els-body-text"/>
        <w:spacing w:after="120"/>
        <w:rPr>
          <w:lang w:val="en-GB"/>
        </w:rPr>
      </w:pPr>
      <w:r>
        <w:rPr>
          <w:b/>
          <w:bCs/>
          <w:lang w:val="en-GB"/>
        </w:rPr>
        <w:t>Keywords</w:t>
      </w:r>
      <w:r>
        <w:rPr>
          <w:lang w:val="en-GB"/>
        </w:rPr>
        <w:t xml:space="preserve">: </w:t>
      </w:r>
      <w:r w:rsidR="00C33470" w:rsidRPr="00C33470">
        <w:rPr>
          <w:lang w:val="en-GB"/>
        </w:rPr>
        <w:t>process and product design, Materials discovery, Amine solvent design, CO</w:t>
      </w:r>
      <w:r w:rsidR="00C33470" w:rsidRPr="005F0B14">
        <w:rPr>
          <w:vertAlign w:val="subscript"/>
          <w:lang w:val="en-GB"/>
        </w:rPr>
        <w:t>2</w:t>
      </w:r>
      <w:r w:rsidR="00C33470" w:rsidRPr="00C33470">
        <w:rPr>
          <w:lang w:val="en-GB"/>
        </w:rPr>
        <w:t xml:space="preserve"> chemical absorption process, Reinforcement learning</w:t>
      </w:r>
    </w:p>
    <w:p w14:paraId="144DE689" w14:textId="4A579065" w:rsidR="008D2649" w:rsidRDefault="001A5B68" w:rsidP="008D2649">
      <w:pPr>
        <w:pStyle w:val="Els-1storder-head"/>
      </w:pPr>
      <w:r>
        <w:t>Introduction</w:t>
      </w:r>
    </w:p>
    <w:p w14:paraId="54000B93" w14:textId="6B36C0EE" w:rsidR="00CC7583" w:rsidRDefault="00777386" w:rsidP="00CC7583">
      <w:pPr>
        <w:pStyle w:val="Els-body-text"/>
      </w:pPr>
      <w:r>
        <w:t xml:space="preserve">Designing a product that satisfies the desired target properties may not always be optimal from </w:t>
      </w:r>
      <w:r w:rsidR="00AF260C">
        <w:t>the perspective of the overall process</w:t>
      </w:r>
      <w:r>
        <w:t xml:space="preserve">. </w:t>
      </w:r>
      <w:r w:rsidR="00EF7C83" w:rsidRPr="00EF7C83">
        <w:t>Process conditions have a considerable influence on solvent performance, and solvent properties directly affect the efficiency and economics of the process. To determine the optimal solvent, it is necessary to consider the interaction between the molecular level and the process level</w:t>
      </w:r>
      <w:r w:rsidR="00A5254A">
        <w:t xml:space="preserve"> (</w:t>
      </w:r>
      <w:r w:rsidR="00A5254A" w:rsidRPr="00A5254A">
        <w:t>Lee et al., 2023)</w:t>
      </w:r>
      <w:r w:rsidR="00EF7C83">
        <w:t xml:space="preserve">. </w:t>
      </w:r>
    </w:p>
    <w:p w14:paraId="7D373DBD" w14:textId="77777777" w:rsidR="00CC7583" w:rsidRDefault="00CC7583" w:rsidP="00CC7583">
      <w:pPr>
        <w:pStyle w:val="Els-body-text"/>
      </w:pPr>
      <w:r w:rsidRPr="002625C6">
        <w:t>Here we introduce an integrated framework that connects inverse material design through reinforcement learning (RL) and process optimization</w:t>
      </w:r>
      <w:r>
        <w:t xml:space="preserve">. The </w:t>
      </w:r>
      <w:r w:rsidRPr="002625C6">
        <w:t>RL model combined with combinatorial chemistry inversely designs molecules for target properties. Our model begins with a randomly chosen initial fragment and proceeds to select the next fragment for combination, considering chemical rules to ensure the generation of valid molecules</w:t>
      </w:r>
      <w:r>
        <w:t xml:space="preserve"> </w:t>
      </w:r>
      <w:r>
        <w:fldChar w:fldCharType="begin"/>
      </w:r>
      <w:r>
        <w:instrText xml:space="preserve"> ADDIN EN.CITE &lt;EndNote&gt;&lt;Cite&gt;&lt;Author&gt;Kim&lt;/Author&gt;&lt;Year&gt;2023&lt;/Year&gt;&lt;RecNum&gt;16&lt;/RecNum&gt;&lt;DisplayText&gt;(H. Kim et al., 2023)&lt;/DisplayText&gt;&lt;record&gt;&lt;rec-number&gt;16&lt;/rec-number&gt;&lt;foreign-keys&gt;&lt;key app="EN" db-id="a2sssd5sy00tfje50sfx0srmtzpar0rzfr5z" timestamp="1701093061" guid="8939eae2-c7f4-4b7e-9beb-8d77a3b4ee4e"&gt;16&lt;/key&gt;&lt;/foreign-keys&gt;&lt;ref-type name="Journal Article"&gt;17&lt;/ref-type&gt;&lt;contributors&gt;&lt;authors&gt;&lt;author&gt;Kim, Hyunseung&lt;/author&gt;&lt;author&gt;Choi, Haeyeon&lt;/author&gt;&lt;author&gt;Kang, Dongju&lt;/author&gt;&lt;author&gt;Lee, Won Bo&lt;/author&gt;&lt;author&gt;Na, Jonggeol&lt;/author&gt;&lt;/authors&gt;&lt;/contributors&gt;&lt;titles&gt;&lt;title&gt;Materials Discovery with Extreme Properties via AI-Driven Combinatorial Chemistry&lt;/title&gt;&lt;secondary-title&gt;arXiv preprint arXiv:2303.11833&lt;/secondary-title&gt;&lt;/titles&gt;&lt;periodical&gt;&lt;full-title&gt;arXiv preprint arXiv:2303.11833&lt;/full-title&gt;&lt;/periodical&gt;&lt;dates&gt;&lt;year&gt;2023&lt;/year&gt;&lt;/dates&gt;&lt;urls&gt;&lt;/urls&gt;&lt;/record&gt;&lt;/Cite&gt;&lt;/EndNote&gt;</w:instrText>
      </w:r>
      <w:r>
        <w:fldChar w:fldCharType="separate"/>
      </w:r>
      <w:r>
        <w:rPr>
          <w:noProof/>
        </w:rPr>
        <w:t>(H. Kim et al., 2023)</w:t>
      </w:r>
      <w:r>
        <w:fldChar w:fldCharType="end"/>
      </w:r>
      <w:r>
        <w:t xml:space="preserve">. </w:t>
      </w:r>
      <w:r w:rsidRPr="002625C6">
        <w:t xml:space="preserve">Then, </w:t>
      </w:r>
      <w:r>
        <w:t xml:space="preserve">the property prediction model </w:t>
      </w:r>
      <w:r w:rsidRPr="00D976F2">
        <w:t>such as the conductor-like screening model for real solvents (COSMO-RS)</w:t>
      </w:r>
      <w:r>
        <w:t xml:space="preserve"> </w:t>
      </w:r>
      <w:r w:rsidRPr="002625C6">
        <w:t xml:space="preserve">calculates the required features in the </w:t>
      </w:r>
    </w:p>
    <w:p w14:paraId="5697C34F" w14:textId="72BDFA48" w:rsidR="005B4124" w:rsidRDefault="007F6F3F" w:rsidP="00CC7583">
      <w:pPr>
        <w:pStyle w:val="Els-body-text"/>
      </w:pPr>
      <w:r w:rsidRPr="007F6F3F">
        <w:rPr>
          <w:noProof/>
        </w:rPr>
        <w:lastRenderedPageBreak/>
        <w:drawing>
          <wp:anchor distT="0" distB="0" distL="114300" distR="114300" simplePos="0" relativeHeight="251689984" behindDoc="1" locked="0" layoutInCell="1" allowOverlap="1" wp14:anchorId="7D3781E8" wp14:editId="1833C682">
            <wp:simplePos x="0" y="0"/>
            <wp:positionH relativeFrom="column">
              <wp:posOffset>1174750</wp:posOffset>
            </wp:positionH>
            <wp:positionV relativeFrom="paragraph">
              <wp:posOffset>0</wp:posOffset>
            </wp:positionV>
            <wp:extent cx="2385060" cy="1471295"/>
            <wp:effectExtent l="0" t="0" r="0" b="0"/>
            <wp:wrapTight wrapText="bothSides">
              <wp:wrapPolygon edited="0">
                <wp:start x="0" y="0"/>
                <wp:lineTo x="0" y="21255"/>
                <wp:lineTo x="21393" y="21255"/>
                <wp:lineTo x="21393" y="0"/>
                <wp:lineTo x="0" y="0"/>
              </wp:wrapPolygon>
            </wp:wrapTight>
            <wp:docPr id="801860627" name="그림 1" descr="텍스트, 스크린샷, 도표, 디자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860627" name="그림 1" descr="텍스트, 스크린샷, 도표, 디자인이(가) 표시된 사진&#10;&#10;자동 생성된 설명"/>
                    <pic:cNvPicPr/>
                  </pic:nvPicPr>
                  <pic:blipFill rotWithShape="1">
                    <a:blip r:embed="rId8" cstate="print">
                      <a:extLst>
                        <a:ext uri="{28A0092B-C50C-407E-A947-70E740481C1C}">
                          <a14:useLocalDpi xmlns:a14="http://schemas.microsoft.com/office/drawing/2010/main" val="0"/>
                        </a:ext>
                      </a:extLst>
                    </a:blip>
                    <a:srcRect t="1" r="98" b="294"/>
                    <a:stretch/>
                  </pic:blipFill>
                  <pic:spPr bwMode="auto">
                    <a:xfrm>
                      <a:off x="0" y="0"/>
                      <a:ext cx="2385060" cy="1471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B68AAD" w14:textId="77777777" w:rsidR="005B4124" w:rsidRDefault="005B4124" w:rsidP="00CC7583">
      <w:pPr>
        <w:pStyle w:val="Els-body-text"/>
      </w:pPr>
    </w:p>
    <w:p w14:paraId="7BF648C1" w14:textId="77777777" w:rsidR="005B4124" w:rsidRDefault="005B4124" w:rsidP="00CC7583">
      <w:pPr>
        <w:pStyle w:val="Els-body-text"/>
      </w:pPr>
    </w:p>
    <w:p w14:paraId="1210371B" w14:textId="77777777" w:rsidR="005B4124" w:rsidRDefault="005B4124" w:rsidP="00CC7583">
      <w:pPr>
        <w:pStyle w:val="Els-body-text"/>
      </w:pPr>
    </w:p>
    <w:p w14:paraId="1F755652" w14:textId="77777777" w:rsidR="005B4124" w:rsidRDefault="005B4124" w:rsidP="00CC7583">
      <w:pPr>
        <w:pStyle w:val="Els-body-text"/>
      </w:pPr>
    </w:p>
    <w:p w14:paraId="275745DE" w14:textId="77777777" w:rsidR="005B4124" w:rsidRDefault="005B4124" w:rsidP="00CC7583">
      <w:pPr>
        <w:pStyle w:val="Els-body-text"/>
      </w:pPr>
    </w:p>
    <w:p w14:paraId="1C8345D9" w14:textId="77777777" w:rsidR="005B4124" w:rsidRDefault="005B4124" w:rsidP="00CC7583">
      <w:pPr>
        <w:pStyle w:val="Els-body-text"/>
      </w:pPr>
    </w:p>
    <w:p w14:paraId="7AE355D5" w14:textId="77777777" w:rsidR="005B4124" w:rsidRDefault="005B4124" w:rsidP="00CC7583">
      <w:pPr>
        <w:pStyle w:val="Els-body-text"/>
      </w:pPr>
    </w:p>
    <w:p w14:paraId="5F59671F" w14:textId="77777777" w:rsidR="005B4124" w:rsidRDefault="005B4124" w:rsidP="00CC7583">
      <w:pPr>
        <w:pStyle w:val="Els-body-text"/>
      </w:pPr>
    </w:p>
    <w:p w14:paraId="6047871D" w14:textId="49F7540F" w:rsidR="00CC7583" w:rsidRDefault="007F6F3F" w:rsidP="00CC7583">
      <w:pPr>
        <w:pStyle w:val="Els-body-text"/>
      </w:pPr>
      <w:r>
        <w:rPr>
          <w:noProof/>
        </w:rPr>
        <mc:AlternateContent>
          <mc:Choice Requires="wps">
            <w:drawing>
              <wp:anchor distT="0" distB="0" distL="114300" distR="114300" simplePos="0" relativeHeight="251670528" behindDoc="1" locked="0" layoutInCell="1" allowOverlap="1" wp14:anchorId="5A62422E" wp14:editId="62760FCF">
                <wp:simplePos x="0" y="0"/>
                <wp:positionH relativeFrom="margin">
                  <wp:align>right</wp:align>
                </wp:positionH>
                <wp:positionV relativeFrom="paragraph">
                  <wp:posOffset>207010</wp:posOffset>
                </wp:positionV>
                <wp:extent cx="4489450" cy="288925"/>
                <wp:effectExtent l="0" t="0" r="6350" b="0"/>
                <wp:wrapTight wrapText="bothSides">
                  <wp:wrapPolygon edited="0">
                    <wp:start x="0" y="0"/>
                    <wp:lineTo x="0" y="19938"/>
                    <wp:lineTo x="21539" y="19938"/>
                    <wp:lineTo x="21539" y="0"/>
                    <wp:lineTo x="0" y="0"/>
                  </wp:wrapPolygon>
                </wp:wrapTight>
                <wp:docPr id="1066584497" name="Text Box 1"/>
                <wp:cNvGraphicFramePr/>
                <a:graphic xmlns:a="http://schemas.openxmlformats.org/drawingml/2006/main">
                  <a:graphicData uri="http://schemas.microsoft.com/office/word/2010/wordprocessingShape">
                    <wps:wsp>
                      <wps:cNvSpPr txBox="1"/>
                      <wps:spPr>
                        <a:xfrm>
                          <a:off x="0" y="0"/>
                          <a:ext cx="4489450" cy="288925"/>
                        </a:xfrm>
                        <a:prstGeom prst="rect">
                          <a:avLst/>
                        </a:prstGeom>
                        <a:solidFill>
                          <a:prstClr val="white"/>
                        </a:solidFill>
                        <a:ln>
                          <a:noFill/>
                        </a:ln>
                      </wps:spPr>
                      <wps:txbx>
                        <w:txbxContent>
                          <w:p w14:paraId="2742BF55" w14:textId="3C0DE1D5" w:rsidR="00C276F1" w:rsidRPr="00D32193" w:rsidRDefault="00C276F1" w:rsidP="006533C8">
                            <w:pPr>
                              <w:pStyle w:val="Els-body-text"/>
                            </w:pPr>
                            <w:r w:rsidRPr="00C276F1">
                              <w:rPr>
                                <w:b/>
                                <w:bCs/>
                              </w:rPr>
                              <w:t xml:space="preserve">Figure </w:t>
                            </w:r>
                            <w:r w:rsidRPr="00C276F1">
                              <w:rPr>
                                <w:b/>
                                <w:bCs/>
                              </w:rPr>
                              <w:fldChar w:fldCharType="begin"/>
                            </w:r>
                            <w:r w:rsidRPr="00C276F1">
                              <w:rPr>
                                <w:b/>
                                <w:bCs/>
                              </w:rPr>
                              <w:instrText xml:space="preserve"> SEQ Figure \* ARABIC </w:instrText>
                            </w:r>
                            <w:r w:rsidRPr="00C276F1">
                              <w:rPr>
                                <w:b/>
                                <w:bCs/>
                              </w:rPr>
                              <w:fldChar w:fldCharType="separate"/>
                            </w:r>
                            <w:r w:rsidR="00AF119F">
                              <w:rPr>
                                <w:b/>
                                <w:bCs/>
                                <w:noProof/>
                              </w:rPr>
                              <w:t>1</w:t>
                            </w:r>
                            <w:r w:rsidRPr="00C276F1">
                              <w:rPr>
                                <w:b/>
                                <w:bCs/>
                              </w:rPr>
                              <w:fldChar w:fldCharType="end"/>
                            </w:r>
                            <w:r>
                              <w:t>. Overall schematic of proposed framework. Simultaneous operation of product design and process optimization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2422E" id="_x0000_t202" coordsize="21600,21600" o:spt="202" path="m,l,21600r21600,l21600,xe">
                <v:stroke joinstyle="miter"/>
                <v:path gradientshapeok="t" o:connecttype="rect"/>
              </v:shapetype>
              <v:shape id="Text Box 1" o:spid="_x0000_s1026" type="#_x0000_t202" style="position:absolute;left:0;text-align:left;margin-left:302.3pt;margin-top:16.3pt;width:353.5pt;height:22.75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" stroked="f">
                <v:textbox inset="0,0,0,0">
                  <w:txbxContent>
                    <w:p w14:paraId="2742BF55" w14:textId="3C0DE1D5" w:rsidR="00C276F1" w:rsidRPr="00D32193" w:rsidRDefault="00C276F1" w:rsidP="006533C8">
                      <w:pPr>
                        <w:pStyle w:val="Els-body-text"/>
                      </w:pPr>
                      <w:r w:rsidRPr="00C276F1">
                        <w:rPr>
                          <w:b/>
                          <w:bCs/>
                        </w:rPr>
                        <w:t xml:space="preserve">Figure </w:t>
                      </w:r>
                      <w:r w:rsidRPr="00C276F1">
                        <w:rPr>
                          <w:b/>
                          <w:bCs/>
                        </w:rPr>
                        <w:fldChar w:fldCharType="begin"/>
                      </w:r>
                      <w:r w:rsidRPr="00C276F1">
                        <w:rPr>
                          <w:b/>
                          <w:bCs/>
                        </w:rPr>
                        <w:instrText xml:space="preserve"> SEQ Figure \* ARABIC </w:instrText>
                      </w:r>
                      <w:r w:rsidRPr="00C276F1">
                        <w:rPr>
                          <w:b/>
                          <w:bCs/>
                        </w:rPr>
                        <w:fldChar w:fldCharType="separate"/>
                      </w:r>
                      <w:r w:rsidR="00AF119F">
                        <w:rPr>
                          <w:b/>
                          <w:bCs/>
                          <w:noProof/>
                        </w:rPr>
                        <w:t>1</w:t>
                      </w:r>
                      <w:r w:rsidRPr="00C276F1">
                        <w:rPr>
                          <w:b/>
                          <w:bCs/>
                        </w:rPr>
                        <w:fldChar w:fldCharType="end"/>
                      </w:r>
                      <w:r>
                        <w:t>. Overall schematic of proposed framework. Simultaneous operation of product design and process optimization</w:t>
                      </w:r>
                    </w:p>
                  </w:txbxContent>
                </v:textbox>
                <w10:wrap type="tight" anchorx="margin"/>
              </v:shape>
            </w:pict>
          </mc:Fallback>
        </mc:AlternateContent>
      </w:r>
    </w:p>
    <w:p w14:paraId="5838FCFF" w14:textId="30818DCB" w:rsidR="009346FC" w:rsidRDefault="00CC7583" w:rsidP="00777386">
      <w:pPr>
        <w:pStyle w:val="Els-body-text"/>
      </w:pPr>
      <w:r w:rsidRPr="002625C6">
        <w:t>process model</w:t>
      </w:r>
      <w:r>
        <w:t>.</w:t>
      </w:r>
      <w:r w:rsidRPr="002625C6">
        <w:t xml:space="preserve"> The process system is converted into a surrogate model by nonlinear programming formulation, and </w:t>
      </w:r>
      <w:r>
        <w:t>DFO algorithm</w:t>
      </w:r>
      <w:r w:rsidRPr="002625C6">
        <w:t xml:space="preserve"> can be used to find the optimal solution in nonconvexity and nonlinearity black-box functions</w:t>
      </w:r>
      <w:r>
        <w:t xml:space="preserve"> </w:t>
      </w:r>
      <w:r>
        <w:fldChar w:fldCharType="begin"/>
      </w:r>
      <w:r>
        <w:instrText xml:space="preserve"> ADDIN EN.CITE &lt;EndNote&gt;&lt;Cite&gt;&lt;Author&gt;Kim&lt;/Author&gt;&lt;Year&gt;2023&lt;/Year&gt;&lt;RecNum&gt;17&lt;/RecNum&gt;&lt;DisplayText&gt;(M. Kim et al., 2023)&lt;/DisplayText&gt;&lt;record&gt;&lt;rec-number&gt;17&lt;/rec-number&gt;&lt;foreign-keys&gt;&lt;key app="EN" db-id="a2sssd5sy00tfje50sfx0srmtzpar0rzfr5z" timestamp="1701093144" guid="13233af6-01b9-4967-815c-98a6a77180d6"&gt;17&lt;/key&gt;&lt;/foreign-keys&gt;&lt;ref-type name="Journal Article"&gt;17&lt;/ref-type&gt;&lt;contributors&gt;&lt;authors&gt;&lt;author&gt;Kim, Minsu&lt;/author&gt;&lt;author&gt;Han, Areum&lt;/author&gt;&lt;author&gt;Lee, Jaewon&lt;/author&gt;&lt;author&gt;Cho, Sunghyun&lt;/author&gt;&lt;author&gt;Moon, Il&lt;/author&gt;&lt;author&gt;Na, Jonggeol&lt;/author&gt;&lt;/authors&gt;&lt;/contributors&gt;&lt;titles&gt;&lt;title&gt;Comparison of Derivative-Free Optimization: Energy Optimization of Steam Methane Reforming Process&lt;/title&gt;&lt;secondary-title&gt;International Journal of Energy Research&lt;/secondary-title&gt;&lt;/titles&gt;&lt;periodical&gt;&lt;full-title&gt;International Journal of Energy Research&lt;/full-title&gt;&lt;/periodical&gt;&lt;volume&gt;2023&lt;/volume&gt;&lt;dates&gt;&lt;year&gt;2023&lt;/year&gt;&lt;/dates&gt;&lt;isbn&gt;0363-907X&lt;/isbn&gt;&lt;urls&gt;&lt;/urls&gt;&lt;/record&gt;&lt;/Cite&gt;&lt;/EndNote&gt;</w:instrText>
      </w:r>
      <w:r>
        <w:fldChar w:fldCharType="separate"/>
      </w:r>
      <w:r>
        <w:rPr>
          <w:noProof/>
        </w:rPr>
        <w:t>(M. Kim et al., 2023)</w:t>
      </w:r>
      <w:r>
        <w:fldChar w:fldCharType="end"/>
      </w:r>
      <w:r w:rsidRPr="002625C6">
        <w:t>.</w:t>
      </w:r>
      <w:r>
        <w:t xml:space="preserve"> </w:t>
      </w:r>
      <w:r w:rsidRPr="002625C6">
        <w:t>The results of process optimization are returned to the target properties, which will be reflected in the setting of boundaries and initial values to serve as meaningful feedback.</w:t>
      </w:r>
      <w:r>
        <w:t xml:space="preserve"> </w:t>
      </w:r>
      <w:r w:rsidRPr="004F14A9">
        <w:t xml:space="preserve">In this research, we will apply the framework to design an effective solvent </w:t>
      </w:r>
      <w:r>
        <w:t xml:space="preserve">and </w:t>
      </w:r>
      <w:r w:rsidRPr="004F14A9">
        <w:t>CO</w:t>
      </w:r>
      <w:r w:rsidRPr="007B61AC">
        <w:rPr>
          <w:vertAlign w:val="subscript"/>
        </w:rPr>
        <w:t>2</w:t>
      </w:r>
      <w:r w:rsidRPr="004F14A9">
        <w:t xml:space="preserve"> chemical absorption process</w:t>
      </w:r>
      <w:r>
        <w:t xml:space="preserve">. </w:t>
      </w:r>
    </w:p>
    <w:p w14:paraId="144DE699" w14:textId="4DA221DF" w:rsidR="008D2649" w:rsidRDefault="007603BD" w:rsidP="008D2649">
      <w:pPr>
        <w:pStyle w:val="Els-1storder-head"/>
        <w:rPr>
          <w:lang w:eastAsia="ko-KR"/>
        </w:rPr>
      </w:pPr>
      <w:r>
        <w:rPr>
          <w:rFonts w:hint="eastAsia"/>
          <w:lang w:eastAsia="ko-KR"/>
        </w:rPr>
        <w:t>M</w:t>
      </w:r>
      <w:r w:rsidR="004F14A9">
        <w:rPr>
          <w:lang w:eastAsia="ko-KR"/>
        </w:rPr>
        <w:t>ethodology</w:t>
      </w:r>
    </w:p>
    <w:p w14:paraId="144DE69A" w14:textId="76A24615" w:rsidR="008D2649" w:rsidRDefault="00D93055" w:rsidP="003B07BF">
      <w:pPr>
        <w:pStyle w:val="Els-2ndorder-head"/>
      </w:pPr>
      <w:r>
        <w:t>Artificial intelligence-driven combinatorial chemistry</w:t>
      </w:r>
    </w:p>
    <w:p w14:paraId="15FDCA81" w14:textId="3C5752CC" w:rsidR="006533C8" w:rsidRDefault="009408C7" w:rsidP="006533C8">
      <w:r>
        <w:rPr>
          <w:rFonts w:hint="eastAsia"/>
          <w:lang w:eastAsia="ko-KR"/>
        </w:rPr>
        <w:t>I</w:t>
      </w:r>
      <w:r>
        <w:t>nverse molecular design is a method to explore molecular structures with desired properties from a starting point. In our previous work, we developed artificial intelligence-driven combinatorial chemistry (AID-CC), which combines</w:t>
      </w:r>
      <w:r w:rsidR="001B3F3D">
        <w:t xml:space="preserve"> RL </w:t>
      </w:r>
      <w:r>
        <w:t>and combinatorial chemistry for inverse molecular design</w:t>
      </w:r>
      <w:r w:rsidR="00F418D1">
        <w:t>.</w:t>
      </w:r>
      <w:r>
        <w:t xml:space="preserve"> </w:t>
      </w:r>
      <w:r w:rsidRPr="009408C7">
        <w:t xml:space="preserve">Combinatorial chemistry is performed with molecular fragments and fragment combination rules. </w:t>
      </w:r>
      <w:r>
        <w:t xml:space="preserve">Since </w:t>
      </w:r>
      <w:r w:rsidRPr="009408C7">
        <w:t>molecular fragments are connected randomly, it is possible to generate molecules with properties that deviate from known data.</w:t>
      </w:r>
      <w:r>
        <w:t xml:space="preserve"> However, when using combinatorial chemistry to generate molecules, it is very expensive to generate molecules that satisfy the desired properties because the fragments are attached completely randomly rather than according to a learned policy</w:t>
      </w:r>
      <w:r w:rsidR="005921C0">
        <w:t xml:space="preserve"> </w:t>
      </w:r>
      <w:r w:rsidR="005921C0">
        <w:fldChar w:fldCharType="begin"/>
      </w:r>
      <w:r w:rsidR="00544A04">
        <w:instrText xml:space="preserve"> ADDIN EN.CITE &lt;EndNote&gt;&lt;Cite&gt;&lt;Author&gt;Furka&lt;/Author&gt;&lt;Year&gt;1982&lt;/Year&gt;&lt;RecNum&gt;19&lt;/RecNum&gt;&lt;DisplayText&gt;(Furka, 1982)&lt;/DisplayText&gt;&lt;record&gt;&lt;rec-number&gt;19&lt;/rec-number&gt;&lt;foreign-keys&gt;&lt;key app="EN" db-id="a2sssd5sy00tfje50sfx0srmtzpar0rzfr5z" timestamp="1701096697" guid="aea71270-8671-4a4c-a8d3-0e88c1122590"&gt;19&lt;/key&gt;&lt;/foreign-keys&gt;&lt;ref-type name="Journal Article"&gt;17&lt;/ref-type&gt;&lt;contributors&gt;&lt;authors&gt;&lt;author&gt;Furka, A&lt;/author&gt;&lt;/authors&gt;&lt;/contributors&gt;&lt;titles&gt;&lt;title&gt;Study on the possibilities of systematic searching for pharmaceutically useful peptides&lt;/title&gt;&lt;secondary-title&gt;Notarized Report (File number 36237/1982, in Hungarian)&lt;/secondary-title&gt;&lt;/titles&gt;&lt;periodical&gt;&lt;full-title&gt;Notarized Report (File number 36237/1982, in Hungarian)&lt;/full-title&gt;&lt;/periodical&gt;&lt;dates&gt;&lt;year&gt;1982&lt;/year&gt;&lt;/dates&gt;&lt;urls&gt;&lt;/urls&gt;&lt;/record&gt;&lt;/Cite&gt;&lt;/EndNote&gt;</w:instrText>
      </w:r>
      <w:r w:rsidR="005921C0">
        <w:fldChar w:fldCharType="separate"/>
      </w:r>
      <w:r w:rsidR="005921C0">
        <w:rPr>
          <w:noProof/>
        </w:rPr>
        <w:t>(Furka, 1982)</w:t>
      </w:r>
      <w:r w:rsidR="005921C0">
        <w:fldChar w:fldCharType="end"/>
      </w:r>
      <w:r>
        <w:t>. In this regard, RL learns in a way that maximizes the reward among selectable actions, so it was possible to combine the two to generate molecules that don't exist in existing databases.</w:t>
      </w:r>
      <w:r w:rsidR="00B90352">
        <w:t xml:space="preserve"> </w:t>
      </w:r>
    </w:p>
    <w:p w14:paraId="6E04FC06" w14:textId="71B2E799" w:rsidR="00BC4A5F" w:rsidRDefault="006533C8" w:rsidP="00D40482">
      <w:r w:rsidRPr="000D5FD7">
        <w:t>The agent starts with a randomly selected molecular fragment. The policy is learned through the Proximal Policy Optimi</w:t>
      </w:r>
      <w:r>
        <w:t>z</w:t>
      </w:r>
      <w:r w:rsidRPr="000D5FD7">
        <w:t>ation (PPO) algorithm</w:t>
      </w:r>
      <w:r w:rsidR="002108A7">
        <w:fldChar w:fldCharType="begin"/>
      </w:r>
      <w:r w:rsidR="002108A7">
        <w:instrText xml:space="preserve"> ADDIN EN.CITE &lt;EndNote&gt;&lt;Cite&gt;&lt;Author&gt;Schulman&lt;/Author&gt;&lt;Year&gt;2017&lt;/Year&gt;&lt;RecNum&gt;31&lt;/RecNum&gt;&lt;DisplayText&gt;(Schulman et al., 2017)&lt;/DisplayText&gt;&lt;record&gt;&lt;rec-number&gt;31&lt;/rec-number&gt;&lt;foreign-keys&gt;&lt;key app="EN" db-id="p59rzarf5z9dare5tx7xwpxqd5peezss525v" timestamp="1704173798"&gt;31&lt;/key&gt;&lt;/foreign-keys&gt;&lt;ref-type name="Journal Article"&gt;17&lt;/ref-type&gt;&lt;contributors&gt;&lt;authors&gt;&lt;author&gt;Schulman, John&lt;/author&gt;&lt;author&gt;Wolski, Filip&lt;/author&gt;&lt;author&gt;Dhariwal, Prafulla&lt;/author&gt;&lt;author&gt;Radford, Alec&lt;/author&gt;&lt;author&gt;Klimov, Oleg&lt;/author&gt;&lt;/authors&gt;&lt;/contributors&gt;&lt;titles&gt;&lt;title&gt;Proximal policy optimization algorithms&lt;/title&gt;&lt;secondary-title&gt;arXiv preprint arXiv:1707.06347&lt;/secondary-title&gt;&lt;/titles&gt;&lt;periodical&gt;&lt;full-title&gt;arXiv preprint arXiv:1707.06347&lt;/full-title&gt;&lt;/periodical&gt;&lt;dates&gt;&lt;year&gt;2017&lt;/year&gt;&lt;/dates&gt;&lt;urls&gt;&lt;/urls&gt;&lt;/record&gt;&lt;/Cite&gt;&lt;/EndNote&gt;</w:instrText>
      </w:r>
      <w:r w:rsidR="002108A7">
        <w:fldChar w:fldCharType="separate"/>
      </w:r>
      <w:r w:rsidR="002108A7">
        <w:rPr>
          <w:noProof/>
        </w:rPr>
        <w:t>(Schulman et al., 2017)</w:t>
      </w:r>
      <w:r w:rsidR="002108A7">
        <w:fldChar w:fldCharType="end"/>
      </w:r>
      <w:r w:rsidRPr="000D5FD7">
        <w:t xml:space="preserve">. PPO is known for its stability, efficiency, scalability, and flexibility in discrete action spaces. </w:t>
      </w:r>
      <w:r>
        <w:t xml:space="preserve">Considering </w:t>
      </w:r>
      <w:r w:rsidRPr="000D5FD7">
        <w:t xml:space="preserve">constraints such as molecular weight and number of fragments, the policy guides the agent to a more efficient exploration of chemical space by giving higher rewards when the properties of the generated molecules more closely match the </w:t>
      </w:r>
      <w:r>
        <w:t>target</w:t>
      </w:r>
      <w:r w:rsidRPr="000D5FD7">
        <w:t xml:space="preserve">. </w:t>
      </w:r>
      <w:r w:rsidRPr="0032387B">
        <w:t xml:space="preserve">The action </w:t>
      </w:r>
      <w:r>
        <w:t xml:space="preserve">is to select </w:t>
      </w:r>
      <w:r w:rsidRPr="0032387B">
        <w:t>a molecular fragment to combine with the current structur</w:t>
      </w:r>
      <w:r>
        <w:t xml:space="preserve">e and the state at </w:t>
      </w:r>
      <w:r w:rsidRPr="0032387B">
        <w:t>each step is represented by the molecular structur</w:t>
      </w:r>
      <w:r>
        <w:t xml:space="preserve">e. </w:t>
      </w:r>
      <w:r w:rsidRPr="000D5FD7">
        <w:t xml:space="preserve">To ensure that only valid chemical structures are generated, the agent uses </w:t>
      </w:r>
      <w:r>
        <w:t>action</w:t>
      </w:r>
      <w:r w:rsidRPr="000D5FD7">
        <w:t xml:space="preserve"> masking, which prevents the selection of incompatible fragments based on the binding </w:t>
      </w:r>
      <w:r>
        <w:t xml:space="preserve">sites </w:t>
      </w:r>
      <w:r w:rsidRPr="000D5FD7">
        <w:t>of the current molecule.</w:t>
      </w:r>
    </w:p>
    <w:p w14:paraId="2639B95E" w14:textId="77777777" w:rsidR="002E0EFA" w:rsidRPr="006533C8" w:rsidRDefault="002E0EFA" w:rsidP="00D40482"/>
    <w:p w14:paraId="7D174D0F" w14:textId="7ECB91B8" w:rsidR="005A0BBB" w:rsidRPr="005A0BBB" w:rsidRDefault="001A40ED" w:rsidP="005A0BBB">
      <w:pPr>
        <w:pStyle w:val="Els-3rdorder-head"/>
        <w:numPr>
          <w:ilvl w:val="1"/>
          <w:numId w:val="23"/>
        </w:numPr>
        <w:rPr>
          <w:lang w:eastAsia="ko-KR"/>
        </w:rPr>
      </w:pPr>
      <w:r>
        <w:rPr>
          <w:rFonts w:hint="eastAsia"/>
          <w:lang w:eastAsia="ko-KR"/>
        </w:rPr>
        <w:t>C</w:t>
      </w:r>
      <w:r>
        <w:rPr>
          <w:lang w:eastAsia="ko-KR"/>
        </w:rPr>
        <w:t>OSMO-RS</w:t>
      </w:r>
    </w:p>
    <w:p w14:paraId="3B9EF68C" w14:textId="2066188E" w:rsidR="001A40ED" w:rsidRDefault="001A40ED" w:rsidP="001A40ED">
      <w:pPr>
        <w:pStyle w:val="Els-body-text"/>
        <w:rPr>
          <w:lang w:val="en-GB" w:eastAsia="ko-KR"/>
        </w:rPr>
      </w:pPr>
      <w:r w:rsidRPr="00502018">
        <w:rPr>
          <w:lang w:val="en-GB" w:eastAsia="ko-KR"/>
        </w:rPr>
        <w:t xml:space="preserve">COSMO-RS is based on the statistical thermodynamics of a simplified model of molecular interactions, in which intermolecular contacts are replaced by contacts that </w:t>
      </w:r>
      <w:r w:rsidRPr="00502018">
        <w:rPr>
          <w:lang w:val="en-GB" w:eastAsia="ko-KR"/>
        </w:rPr>
        <w:lastRenderedPageBreak/>
        <w:t>interact independently in pairs between surface segments of the molecular community</w:t>
      </w:r>
      <w:r>
        <w:rPr>
          <w:lang w:val="en-GB" w:eastAsia="ko-KR"/>
        </w:rPr>
        <w:t xml:space="preserve"> </w:t>
      </w:r>
      <w:r>
        <w:rPr>
          <w:lang w:val="en-GB" w:eastAsia="ko-KR"/>
        </w:rPr>
        <w:fldChar w:fldCharType="begin"/>
      </w:r>
      <w:r>
        <w:rPr>
          <w:lang w:val="en-GB" w:eastAsia="ko-KR"/>
        </w:rPr>
        <w:instrText xml:space="preserve"> ADDIN EN.CITE &lt;EndNote&gt;&lt;Cite&gt;&lt;Author&gt;Gerlach&lt;/Author&gt;&lt;Year&gt;2018&lt;/Year&gt;&lt;RecNum&gt;12&lt;/RecNum&gt;&lt;DisplayText&gt;(Gerlach et al., 2018)&lt;/DisplayText&gt;&lt;record&gt;&lt;rec-number&gt;12&lt;/rec-number&gt;&lt;foreign-keys&gt;&lt;key app="EN" db-id="a2sssd5sy00tfje50sfx0srmtzpar0rzfr5z" timestamp="1699676048" guid="7b16728c-305e-4e7b-b3c3-18506797e73b"&gt;12&lt;/key&gt;&lt;/foreign-keys&gt;&lt;ref-type name="Journal Article"&gt;17&lt;/ref-type&gt;&lt;contributors&gt;&lt;authors&gt;&lt;author&gt;Gerlach, Thomas&lt;/author&gt;&lt;author&gt;Ingram, Thomas&lt;/author&gt;&lt;author&gt;Sieder, Georg&lt;/author&gt;&lt;author&gt;Smirnova, Irina&lt;/author&gt;&lt;/authors&gt;&lt;/contributors&gt;&lt;titles&gt;&lt;title&gt;Modeling the solubility of CO2 in aqueous methyl diethanolamine solutions with an electrolyte model based on COSMO-RS&lt;/title&gt;&lt;secondary-title&gt;Fluid Phase Equilibria&lt;/secondary-title&gt;&lt;/titles&gt;&lt;periodical&gt;&lt;full-title&gt;Fluid Phase Equilibria&lt;/full-title&gt;&lt;/periodical&gt;&lt;pages&gt;39-50&lt;/pages&gt;&lt;volume&gt;461&lt;/volume&gt;&lt;dates&gt;&lt;year&gt;2018&lt;/year&gt;&lt;/dates&gt;&lt;isbn&gt;0378-3812&lt;/isbn&gt;&lt;urls&gt;&lt;/urls&gt;&lt;/record&gt;&lt;/Cite&gt;&lt;/EndNote&gt;</w:instrText>
      </w:r>
      <w:r>
        <w:rPr>
          <w:lang w:val="en-GB" w:eastAsia="ko-KR"/>
        </w:rPr>
        <w:fldChar w:fldCharType="separate"/>
      </w:r>
      <w:r>
        <w:rPr>
          <w:noProof/>
          <w:lang w:val="en-GB" w:eastAsia="ko-KR"/>
        </w:rPr>
        <w:t>(Gerlach et al., 2018)</w:t>
      </w:r>
      <w:r>
        <w:rPr>
          <w:lang w:val="en-GB" w:eastAsia="ko-KR"/>
        </w:rPr>
        <w:fldChar w:fldCharType="end"/>
      </w:r>
      <w:r w:rsidRPr="00502018">
        <w:rPr>
          <w:lang w:val="en-GB" w:eastAsia="ko-KR"/>
        </w:rPr>
        <w:t>. The interaction between segments is described by the screening charge density from the COSMO calculation, and the sigma profile is represented by the probability of finding a specific screening charge density at the molecular surface</w:t>
      </w:r>
      <w:r w:rsidR="00573EA1">
        <w:rPr>
          <w:lang w:val="en-GB" w:eastAsia="ko-KR"/>
        </w:rPr>
        <w:t xml:space="preserve">: </w:t>
      </w:r>
    </w:p>
    <w:tbl>
      <w:tblPr>
        <w:tblStyle w:val="af0"/>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986"/>
      </w:tblGrid>
      <w:tr w:rsidR="00573EA1" w14:paraId="3A8A13CD" w14:textId="77777777" w:rsidTr="00655282">
        <w:trPr>
          <w:trHeight w:val="194"/>
        </w:trPr>
        <w:tc>
          <w:tcPr>
            <w:tcW w:w="6091" w:type="dxa"/>
          </w:tcPr>
          <w:p w14:paraId="0B84E644" w14:textId="77777777" w:rsidR="00573EA1" w:rsidRPr="001F19E4" w:rsidRDefault="00573EA1" w:rsidP="00E851DE">
            <w:pPr>
              <w:rPr>
                <w:sz w:val="12"/>
                <w:szCs w:val="12"/>
              </w:rPr>
            </w:pPr>
          </w:p>
          <w:p w14:paraId="04826479" w14:textId="77777777" w:rsidR="00573EA1" w:rsidRPr="004C3C44" w:rsidRDefault="00000000" w:rsidP="00E851DE">
            <w:pPr>
              <w:rPr>
                <w:iCs/>
              </w:rPr>
            </w:pPr>
            <m:oMathPara>
              <m:oMathParaPr>
                <m:jc m:val="left"/>
              </m:oMathParaPr>
              <m:oMath>
                <m:sSub>
                  <m:sSubPr>
                    <m:ctrlPr>
                      <w:rPr>
                        <w:rFonts w:ascii="Cambria Math" w:hAnsi="Cambria Math"/>
                        <w:i/>
                        <w:iCs/>
                        <w:lang w:val="en-US"/>
                      </w:rPr>
                    </m:ctrlPr>
                  </m:sSubPr>
                  <m:e>
                    <m:r>
                      <w:rPr>
                        <w:rFonts w:ascii="Cambria Math" w:hAnsi="Cambria Math"/>
                      </w:rPr>
                      <m:t>p</m:t>
                    </m:r>
                  </m:e>
                  <m:sub>
                    <m:r>
                      <w:rPr>
                        <w:rFonts w:ascii="Cambria Math" w:hAnsi="Cambria Math"/>
                      </w:rPr>
                      <m:t>s</m:t>
                    </m:r>
                  </m:sub>
                </m:sSub>
                <m:d>
                  <m:dPr>
                    <m:ctrlPr>
                      <w:rPr>
                        <w:rFonts w:ascii="Cambria Math" w:hAnsi="Cambria Math"/>
                        <w:i/>
                        <w:iCs/>
                        <w:lang w:val="en-US"/>
                      </w:rPr>
                    </m:ctrlPr>
                  </m:dPr>
                  <m:e>
                    <m:r>
                      <w:rPr>
                        <w:rFonts w:ascii="Cambria Math" w:hAnsi="Cambria Math"/>
                      </w:rPr>
                      <m:t>σ</m:t>
                    </m:r>
                  </m:e>
                </m:d>
                <m:r>
                  <w:rPr>
                    <w:rFonts w:ascii="Cambria Math" w:hAnsi="Cambria Math"/>
                  </w:rPr>
                  <m:t>=</m:t>
                </m:r>
                <m:nary>
                  <m:naryPr>
                    <m:chr m:val="∑"/>
                    <m:supHide m:val="1"/>
                    <m:ctrlPr>
                      <w:rPr>
                        <w:rFonts w:ascii="Cambria Math" w:hAnsi="Cambria Math"/>
                        <w:i/>
                        <w:iCs/>
                        <w:lang w:val="en-US"/>
                      </w:rPr>
                    </m:ctrlPr>
                  </m:naryPr>
                  <m:sub>
                    <m:r>
                      <w:rPr>
                        <w:rFonts w:ascii="Cambria Math" w:hAnsi="Cambria Math"/>
                      </w:rPr>
                      <m:t>i</m:t>
                    </m:r>
                    <m:r>
                      <w:rPr>
                        <w:rFonts w:ascii="Cambria Math" w:hAnsi="Cambria Math"/>
                        <w:lang w:val="el-GR"/>
                      </w:rPr>
                      <m:t>∈</m:t>
                    </m:r>
                  </m:sub>
                  <m:sup/>
                  <m:e>
                    <m:sSub>
                      <m:sSubPr>
                        <m:ctrlPr>
                          <w:rPr>
                            <w:rFonts w:ascii="Cambria Math" w:hAnsi="Cambria Math"/>
                            <w:i/>
                            <w:iCs/>
                            <w:lang w:val="en-US"/>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iCs/>
                            <w:lang w:val="en-US"/>
                          </w:rPr>
                        </m:ctrlPr>
                      </m:sSubPr>
                      <m:e>
                        <m:r>
                          <w:rPr>
                            <w:rFonts w:ascii="Cambria Math" w:hAnsi="Cambria Math"/>
                          </w:rPr>
                          <m:t>p</m:t>
                        </m:r>
                      </m:e>
                      <m:sub>
                        <m:r>
                          <w:rPr>
                            <w:rFonts w:ascii="Cambria Math" w:hAnsi="Cambria Math"/>
                          </w:rPr>
                          <m:t>i</m:t>
                        </m:r>
                      </m:sub>
                    </m:sSub>
                    <m:d>
                      <m:dPr>
                        <m:ctrlPr>
                          <w:rPr>
                            <w:rFonts w:ascii="Cambria Math" w:hAnsi="Cambria Math"/>
                            <w:i/>
                            <w:iCs/>
                            <w:lang w:val="en-US"/>
                          </w:rPr>
                        </m:ctrlPr>
                      </m:dPr>
                      <m:e>
                        <m:r>
                          <w:rPr>
                            <w:rFonts w:ascii="Cambria Math" w:hAnsi="Cambria Math"/>
                          </w:rPr>
                          <m:t>σ</m:t>
                        </m:r>
                      </m:e>
                    </m:d>
                  </m:e>
                </m:nary>
              </m:oMath>
            </m:oMathPara>
          </w:p>
          <w:p w14:paraId="1955180D" w14:textId="77777777" w:rsidR="00573EA1" w:rsidRPr="007C0C58" w:rsidRDefault="00573EA1" w:rsidP="00E851DE">
            <w:pPr>
              <w:rPr>
                <w:sz w:val="12"/>
                <w:szCs w:val="12"/>
              </w:rPr>
            </w:pPr>
          </w:p>
        </w:tc>
        <w:tc>
          <w:tcPr>
            <w:tcW w:w="986" w:type="dxa"/>
          </w:tcPr>
          <w:p w14:paraId="708876FF" w14:textId="77777777" w:rsidR="00573EA1" w:rsidRPr="00CF76FC" w:rsidRDefault="00573EA1" w:rsidP="00E851DE">
            <w:pPr>
              <w:pStyle w:val="Els-body-text"/>
              <w:ind w:right="400"/>
              <w:jc w:val="right"/>
              <w:rPr>
                <w:lang w:val="en-GB" w:eastAsia="ko-KR"/>
              </w:rPr>
            </w:pPr>
          </w:p>
          <w:p w14:paraId="3E4A1165" w14:textId="14767D6A" w:rsidR="00573EA1" w:rsidRPr="00CF76FC" w:rsidRDefault="00573EA1" w:rsidP="00E851DE">
            <w:pPr>
              <w:pStyle w:val="Els-body-text"/>
              <w:jc w:val="right"/>
              <w:rPr>
                <w:lang w:val="en-GB" w:eastAsia="ko-KR"/>
              </w:rPr>
            </w:pPr>
            <w:r>
              <w:rPr>
                <w:lang w:val="en-GB" w:eastAsia="ko-KR"/>
              </w:rPr>
              <w:t xml:space="preserve"> </w:t>
            </w:r>
            <w:r w:rsidRPr="00CF76FC">
              <w:rPr>
                <w:rFonts w:hint="eastAsia"/>
                <w:lang w:val="en-GB" w:eastAsia="ko-KR"/>
              </w:rPr>
              <w:t>(</w:t>
            </w:r>
            <w:r w:rsidR="00DB5629">
              <w:rPr>
                <w:lang w:val="en-GB" w:eastAsia="ko-KR"/>
              </w:rPr>
              <w:t>1</w:t>
            </w:r>
            <w:r w:rsidRPr="00CF76FC">
              <w:rPr>
                <w:lang w:val="en-GB" w:eastAsia="ko-KR"/>
              </w:rPr>
              <w:t>)</w:t>
            </w:r>
          </w:p>
        </w:tc>
      </w:tr>
    </w:tbl>
    <w:p w14:paraId="797F245F" w14:textId="77777777" w:rsidR="00573EA1" w:rsidRPr="00DB5629" w:rsidRDefault="00573EA1" w:rsidP="001A40ED">
      <w:pPr>
        <w:pStyle w:val="Els-body-text"/>
        <w:rPr>
          <w:sz w:val="2"/>
          <w:szCs w:val="2"/>
          <w:lang w:eastAsia="ko-KR"/>
        </w:rPr>
      </w:pPr>
    </w:p>
    <w:tbl>
      <w:tblPr>
        <w:tblStyle w:val="af0"/>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986"/>
      </w:tblGrid>
      <w:tr w:rsidR="00A537D7" w:rsidRPr="00CF76FC" w14:paraId="29D522EC" w14:textId="77777777" w:rsidTr="00655282">
        <w:trPr>
          <w:trHeight w:val="194"/>
        </w:trPr>
        <w:tc>
          <w:tcPr>
            <w:tcW w:w="6091" w:type="dxa"/>
          </w:tcPr>
          <w:p w14:paraId="70ECBF8D" w14:textId="77777777" w:rsidR="00A537D7" w:rsidRPr="001F19E4" w:rsidRDefault="00A537D7" w:rsidP="00E851DE">
            <w:pPr>
              <w:rPr>
                <w:sz w:val="12"/>
                <w:szCs w:val="12"/>
              </w:rPr>
            </w:pPr>
          </w:p>
          <w:p w14:paraId="457D83E7" w14:textId="77777777" w:rsidR="00A537D7" w:rsidRPr="008F5F33" w:rsidRDefault="00000000" w:rsidP="00E851DE">
            <w:pPr>
              <w:rPr>
                <w:iCs/>
              </w:rPr>
            </w:pPr>
            <m:oMath>
              <m:sSup>
                <m:sSupPr>
                  <m:ctrlPr>
                    <w:rPr>
                      <w:rFonts w:ascii="Cambria Math" w:hAnsi="Cambria Math"/>
                      <w:i/>
                      <w:iCs/>
                      <w:lang w:val="en-US"/>
                    </w:rPr>
                  </m:ctrlPr>
                </m:sSupPr>
                <m:e>
                  <m:r>
                    <w:rPr>
                      <w:rFonts w:ascii="Cambria Math" w:hAnsi="Cambria Math"/>
                    </w:rPr>
                    <m:t>p</m:t>
                  </m:r>
                </m:e>
                <m:sup>
                  <m:r>
                    <w:rPr>
                      <w:rFonts w:ascii="Cambria Math" w:hAnsi="Cambria Math"/>
                    </w:rPr>
                    <m:t>Xi</m:t>
                  </m:r>
                </m:sup>
              </m:sSup>
              <m:d>
                <m:dPr>
                  <m:ctrlPr>
                    <w:rPr>
                      <w:rFonts w:ascii="Cambria Math" w:hAnsi="Cambria Math"/>
                      <w:i/>
                      <w:iCs/>
                      <w:lang w:val="en-US"/>
                    </w:rPr>
                  </m:ctrlPr>
                </m:dPr>
                <m:e>
                  <m:r>
                    <w:rPr>
                      <w:rFonts w:ascii="Cambria Math" w:hAnsi="Cambria Math"/>
                    </w:rPr>
                    <m:t>σ</m:t>
                  </m:r>
                </m:e>
              </m:d>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rPr>
                        <m:t>n</m:t>
                      </m:r>
                    </m:e>
                    <m:sub>
                      <m:r>
                        <w:rPr>
                          <w:rFonts w:ascii="Cambria Math" w:hAnsi="Cambria Math"/>
                        </w:rPr>
                        <m:t>i</m:t>
                      </m:r>
                    </m:sub>
                  </m:sSub>
                  <m:d>
                    <m:dPr>
                      <m:ctrlPr>
                        <w:rPr>
                          <w:rFonts w:ascii="Cambria Math" w:hAnsi="Cambria Math"/>
                          <w:i/>
                          <w:iCs/>
                          <w:lang w:val="en-US"/>
                        </w:rPr>
                      </m:ctrlPr>
                    </m:dPr>
                    <m:e>
                      <m:r>
                        <w:rPr>
                          <w:rFonts w:ascii="Cambria Math" w:hAnsi="Cambria Math"/>
                        </w:rPr>
                        <m:t>σ</m:t>
                      </m:r>
                    </m:e>
                  </m:d>
                </m:num>
                <m:den>
                  <m:sSub>
                    <m:sSubPr>
                      <m:ctrlPr>
                        <w:rPr>
                          <w:rFonts w:ascii="Cambria Math" w:hAnsi="Cambria Math"/>
                          <w:i/>
                          <w:iCs/>
                          <w:lang w:val="en-US"/>
                        </w:rPr>
                      </m:ctrlPr>
                    </m:sSubPr>
                    <m:e>
                      <m:r>
                        <w:rPr>
                          <w:rFonts w:ascii="Cambria Math" w:hAnsi="Cambria Math"/>
                        </w:rPr>
                        <m:t>n</m:t>
                      </m:r>
                    </m:e>
                    <m:sub>
                      <m:r>
                        <w:rPr>
                          <w:rFonts w:ascii="Cambria Math" w:hAnsi="Cambria Math"/>
                        </w:rPr>
                        <m:t>i</m:t>
                      </m:r>
                    </m:sub>
                  </m:sSub>
                </m:den>
              </m:f>
              <m:r>
                <w:rPr>
                  <w:rFonts w:ascii="Cambria Math" w:hAnsi="Cambria Math"/>
                </w:rPr>
                <m:t>=</m:t>
              </m:r>
            </m:oMath>
            <w:r w:rsidR="00A537D7" w:rsidRPr="004C3C44">
              <w:rPr>
                <w:lang w:val="en-US"/>
              </w:rPr>
              <w:t xml:space="preserve"> </w:t>
            </w:r>
            <m:oMath>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rPr>
                        <m:t>A</m:t>
                      </m:r>
                    </m:e>
                    <m:sub>
                      <m:r>
                        <w:rPr>
                          <w:rFonts w:ascii="Cambria Math" w:hAnsi="Cambria Math"/>
                        </w:rPr>
                        <m:t>i</m:t>
                      </m:r>
                    </m:sub>
                  </m:sSub>
                  <m:d>
                    <m:dPr>
                      <m:ctrlPr>
                        <w:rPr>
                          <w:rFonts w:ascii="Cambria Math" w:hAnsi="Cambria Math"/>
                          <w:i/>
                          <w:iCs/>
                          <w:lang w:val="en-US"/>
                        </w:rPr>
                      </m:ctrlPr>
                    </m:dPr>
                    <m:e>
                      <m:r>
                        <w:rPr>
                          <w:rFonts w:ascii="Cambria Math" w:hAnsi="Cambria Math"/>
                        </w:rPr>
                        <m:t>σ</m:t>
                      </m:r>
                    </m:e>
                  </m:d>
                </m:num>
                <m:den>
                  <m:sSub>
                    <m:sSubPr>
                      <m:ctrlPr>
                        <w:rPr>
                          <w:rFonts w:ascii="Cambria Math" w:hAnsi="Cambria Math"/>
                          <w:i/>
                          <w:iCs/>
                          <w:lang w:val="en-US"/>
                        </w:rPr>
                      </m:ctrlPr>
                    </m:sSubPr>
                    <m:e>
                      <m:r>
                        <w:rPr>
                          <w:rFonts w:ascii="Cambria Math" w:hAnsi="Cambria Math"/>
                        </w:rPr>
                        <m:t>A</m:t>
                      </m:r>
                    </m:e>
                    <m:sub>
                      <m:r>
                        <w:rPr>
                          <w:rFonts w:ascii="Cambria Math" w:hAnsi="Cambria Math"/>
                        </w:rPr>
                        <m:t>i</m:t>
                      </m:r>
                    </m:sub>
                  </m:sSub>
                </m:den>
              </m:f>
            </m:oMath>
          </w:p>
          <w:p w14:paraId="7B39FC2C" w14:textId="77777777" w:rsidR="00A537D7" w:rsidRPr="007C0C58" w:rsidRDefault="00A537D7" w:rsidP="00E851DE">
            <w:pPr>
              <w:rPr>
                <w:sz w:val="12"/>
                <w:szCs w:val="12"/>
              </w:rPr>
            </w:pPr>
          </w:p>
        </w:tc>
        <w:tc>
          <w:tcPr>
            <w:tcW w:w="986" w:type="dxa"/>
          </w:tcPr>
          <w:p w14:paraId="7A8C1A38" w14:textId="77777777" w:rsidR="00A537D7" w:rsidRPr="00CF76FC" w:rsidRDefault="00A537D7" w:rsidP="00E851DE">
            <w:pPr>
              <w:pStyle w:val="Els-body-text"/>
              <w:ind w:right="400"/>
              <w:jc w:val="right"/>
              <w:rPr>
                <w:lang w:val="en-GB" w:eastAsia="ko-KR"/>
              </w:rPr>
            </w:pPr>
          </w:p>
          <w:p w14:paraId="6BD6C875" w14:textId="0428B703" w:rsidR="00A537D7" w:rsidRPr="00CF76FC" w:rsidRDefault="00A537D7" w:rsidP="00E851DE">
            <w:pPr>
              <w:pStyle w:val="Els-body-text"/>
              <w:jc w:val="right"/>
              <w:rPr>
                <w:lang w:val="en-GB" w:eastAsia="ko-KR"/>
              </w:rPr>
            </w:pPr>
            <w:r>
              <w:rPr>
                <w:lang w:val="en-GB" w:eastAsia="ko-KR"/>
              </w:rPr>
              <w:t xml:space="preserve"> </w:t>
            </w:r>
            <w:r w:rsidRPr="00CF76FC">
              <w:rPr>
                <w:rFonts w:hint="eastAsia"/>
                <w:lang w:val="en-GB" w:eastAsia="ko-KR"/>
              </w:rPr>
              <w:t>(</w:t>
            </w:r>
            <w:r w:rsidR="00DB5629">
              <w:rPr>
                <w:lang w:val="en-GB" w:eastAsia="ko-KR"/>
              </w:rPr>
              <w:t>2</w:t>
            </w:r>
            <w:r w:rsidRPr="00CF76FC">
              <w:rPr>
                <w:lang w:val="en-GB" w:eastAsia="ko-KR"/>
              </w:rPr>
              <w:t>)</w:t>
            </w:r>
          </w:p>
        </w:tc>
      </w:tr>
    </w:tbl>
    <w:p w14:paraId="25A82324" w14:textId="6226224D" w:rsidR="00573EA1" w:rsidRDefault="00000000" w:rsidP="00A537D7">
      <w:pPr>
        <w:rPr>
          <w:iCs/>
        </w:rPr>
      </w:pPr>
      <m:oMath>
        <m:sSub>
          <m:sSubPr>
            <m:ctrlPr>
              <w:rPr>
                <w:rFonts w:ascii="Cambria Math" w:hAnsi="Cambria Math"/>
                <w:i/>
                <w:iCs/>
                <w:lang w:val="en-US"/>
              </w:rPr>
            </m:ctrlPr>
          </m:sSubPr>
          <m:e>
            <m:r>
              <m:rPr>
                <m:sty m:val="p"/>
              </m:rPr>
              <w:rPr>
                <w:rFonts w:ascii="Cambria Math" w:hAnsi="Cambria Math"/>
              </w:rPr>
              <m:t>where</m:t>
            </m:r>
            <m:r>
              <w:rPr>
                <w:rFonts w:ascii="Cambria Math" w:hAnsi="Cambria Math"/>
              </w:rPr>
              <m:t xml:space="preserve"> x</m:t>
            </m:r>
          </m:e>
          <m:sub>
            <m:r>
              <w:rPr>
                <w:rFonts w:ascii="Cambria Math" w:hAnsi="Cambria Math"/>
              </w:rPr>
              <m:t>i</m:t>
            </m:r>
          </m:sub>
        </m:sSub>
        <m:r>
          <w:rPr>
            <w:rFonts w:ascii="Cambria Math" w:hAnsi="Cambria Math"/>
          </w:rPr>
          <m:t xml:space="preserve">, </m:t>
        </m:r>
        <m:sSup>
          <m:sSupPr>
            <m:ctrlPr>
              <w:rPr>
                <w:rFonts w:ascii="Cambria Math" w:hAnsi="Cambria Math"/>
                <w:i/>
                <w:iCs/>
                <w:lang w:val="en-US"/>
              </w:rPr>
            </m:ctrlPr>
          </m:sSupPr>
          <m:e>
            <m:r>
              <w:rPr>
                <w:rFonts w:ascii="Cambria Math" w:hAnsi="Cambria Math"/>
              </w:rPr>
              <m:t>p</m:t>
            </m:r>
          </m:e>
          <m:sup>
            <m:r>
              <w:rPr>
                <w:rFonts w:ascii="Cambria Math" w:hAnsi="Cambria Math"/>
              </w:rPr>
              <m:t>Xi</m:t>
            </m:r>
          </m:sup>
        </m:sSup>
        <m:d>
          <m:dPr>
            <m:ctrlPr>
              <w:rPr>
                <w:rFonts w:ascii="Cambria Math" w:hAnsi="Cambria Math"/>
                <w:i/>
                <w:iCs/>
                <w:lang w:val="en-US"/>
              </w:rPr>
            </m:ctrlPr>
          </m:dPr>
          <m:e>
            <m:r>
              <w:rPr>
                <w:rFonts w:ascii="Cambria Math" w:hAnsi="Cambria Math"/>
              </w:rPr>
              <m:t>σ</m:t>
            </m:r>
          </m:e>
        </m:d>
        <m:r>
          <m:rPr>
            <m:sty m:val="p"/>
          </m:rPr>
          <w:rPr>
            <w:rFonts w:ascii="Cambria Math" w:hAnsi="Cambria Math"/>
          </w:rPr>
          <m:t xml:space="preserve"> and </m:t>
        </m:r>
        <m:sSub>
          <m:sSubPr>
            <m:ctrlPr>
              <w:rPr>
                <w:rFonts w:ascii="Cambria Math" w:hAnsi="Cambria Math"/>
                <w:i/>
                <w:iCs/>
                <w:lang w:val="en-US"/>
              </w:rPr>
            </m:ctrlPr>
          </m:sSubPr>
          <m:e>
            <m:r>
              <w:rPr>
                <w:rFonts w:ascii="Cambria Math" w:hAnsi="Cambria Math"/>
              </w:rPr>
              <m:t>n</m:t>
            </m:r>
          </m:e>
          <m:sub>
            <m:r>
              <w:rPr>
                <w:rFonts w:ascii="Cambria Math" w:hAnsi="Cambria Math"/>
              </w:rPr>
              <m:t>i</m:t>
            </m:r>
          </m:sub>
        </m:sSub>
        <m:d>
          <m:dPr>
            <m:ctrlPr>
              <w:rPr>
                <w:rFonts w:ascii="Cambria Math" w:hAnsi="Cambria Math"/>
                <w:i/>
                <w:iCs/>
                <w:lang w:val="en-US"/>
              </w:rPr>
            </m:ctrlPr>
          </m:dPr>
          <m:e>
            <m:r>
              <w:rPr>
                <w:rFonts w:ascii="Cambria Math" w:hAnsi="Cambria Math"/>
              </w:rPr>
              <m:t>σ</m:t>
            </m:r>
          </m:e>
        </m:d>
        <m:r>
          <m:rPr>
            <m:sty m:val="p"/>
          </m:rPr>
          <w:rPr>
            <w:rFonts w:ascii="Cambria Math" w:hAnsi="Cambria Math"/>
          </w:rPr>
          <m:t xml:space="preserve"> s</m:t>
        </m:r>
      </m:oMath>
      <w:r w:rsidR="00A537D7" w:rsidRPr="00700A44">
        <w:t>tand for the mole fraction of component “i” in the mixture,</w:t>
      </w:r>
      <w:r w:rsidR="00A537D7">
        <w:t xml:space="preserve"> </w:t>
      </w:r>
      <w:r w:rsidR="00A537D7" w:rsidRPr="00700A44">
        <w:t>the σ profile of any molecule X and the number of distributed segments that has surface charge density σ,</w:t>
      </w:r>
      <w:r w:rsidR="00A537D7">
        <w:t xml:space="preserve"> </w:t>
      </w:r>
      <w:r w:rsidR="00A537D7" w:rsidRPr="00700A44">
        <w:t>respectively.</w:t>
      </w:r>
      <w:r w:rsidR="00A537D7">
        <w:t xml:space="preserve"> </w:t>
      </w:r>
      <m:oMath>
        <m:sSub>
          <m:sSubPr>
            <m:ctrlPr>
              <w:rPr>
                <w:rFonts w:ascii="Cambria Math" w:hAnsi="Cambria Math"/>
                <w:i/>
                <w:iCs/>
                <w:lang w:val="en-US"/>
              </w:rPr>
            </m:ctrlPr>
          </m:sSubPr>
          <m:e>
            <m:r>
              <w:rPr>
                <w:rFonts w:ascii="Cambria Math" w:hAnsi="Cambria Math"/>
              </w:rPr>
              <m:t>A</m:t>
            </m:r>
          </m:e>
          <m:sub>
            <m:r>
              <w:rPr>
                <w:rFonts w:ascii="Cambria Math" w:hAnsi="Cambria Math"/>
              </w:rPr>
              <m:t>i</m:t>
            </m:r>
          </m:sub>
        </m:sSub>
        <m:d>
          <m:dPr>
            <m:ctrlPr>
              <w:rPr>
                <w:rFonts w:ascii="Cambria Math" w:hAnsi="Cambria Math"/>
                <w:i/>
                <w:iCs/>
                <w:lang w:val="en-US"/>
              </w:rPr>
            </m:ctrlPr>
          </m:dPr>
          <m:e>
            <m:r>
              <w:rPr>
                <w:rFonts w:ascii="Cambria Math" w:hAnsi="Cambria Math"/>
              </w:rPr>
              <m:t>σ</m:t>
            </m:r>
          </m:e>
        </m:d>
        <m:r>
          <w:rPr>
            <w:rFonts w:ascii="Cambria Math" w:hAnsi="Cambria Math"/>
          </w:rPr>
          <m:t xml:space="preserve">and </m:t>
        </m:r>
        <m:sSub>
          <m:sSubPr>
            <m:ctrlPr>
              <w:rPr>
                <w:rFonts w:ascii="Cambria Math" w:hAnsi="Cambria Math"/>
                <w:i/>
                <w:iCs/>
                <w:lang w:val="en-US"/>
              </w:rPr>
            </m:ctrlPr>
          </m:sSubPr>
          <m:e>
            <m:r>
              <w:rPr>
                <w:rFonts w:ascii="Cambria Math" w:hAnsi="Cambria Math"/>
              </w:rPr>
              <m:t>A</m:t>
            </m:r>
          </m:e>
          <m:sub>
            <m:r>
              <w:rPr>
                <w:rFonts w:ascii="Cambria Math" w:hAnsi="Cambria Math"/>
              </w:rPr>
              <m:t>i</m:t>
            </m:r>
          </m:sub>
        </m:sSub>
      </m:oMath>
      <w:r w:rsidR="00A537D7">
        <w:rPr>
          <w:iCs/>
        </w:rPr>
        <w:t xml:space="preserve"> </w:t>
      </w:r>
      <w:r w:rsidR="00A537D7" w:rsidRPr="00700A44">
        <w:rPr>
          <w:iCs/>
        </w:rPr>
        <w:t>are the segment surface area that has charge density σ and the area of the whole surface cavity rooted in the medium,</w:t>
      </w:r>
      <w:r w:rsidR="00A537D7">
        <w:rPr>
          <w:iCs/>
        </w:rPr>
        <w:t xml:space="preserve"> </w:t>
      </w:r>
      <w:r w:rsidR="00A537D7" w:rsidRPr="00700A44">
        <w:rPr>
          <w:iCs/>
        </w:rPr>
        <w:t>respectively.</w:t>
      </w:r>
    </w:p>
    <w:p w14:paraId="6D60F812" w14:textId="77777777" w:rsidR="002E0EFA" w:rsidRDefault="002E0EFA" w:rsidP="00A537D7">
      <w:pPr>
        <w:rPr>
          <w:iCs/>
        </w:rPr>
      </w:pPr>
    </w:p>
    <w:p w14:paraId="16C52FE8" w14:textId="57D32CE7" w:rsidR="007C0C58" w:rsidRPr="007C0C58" w:rsidRDefault="004C125E" w:rsidP="007C0C58">
      <w:pPr>
        <w:pStyle w:val="Els-1storder-head"/>
        <w:spacing w:after="120"/>
        <w:rPr>
          <w:lang w:val="en-GB"/>
        </w:rPr>
      </w:pPr>
      <w:r>
        <w:rPr>
          <w:lang w:val="en-GB"/>
        </w:rPr>
        <w:t>Results</w:t>
      </w:r>
    </w:p>
    <w:p w14:paraId="07AF88B6" w14:textId="00621C75" w:rsidR="005A0BBB" w:rsidRDefault="007C0C58" w:rsidP="005A0BBB">
      <w:pPr>
        <w:pStyle w:val="Els-2ndorder-head"/>
        <w:rPr>
          <w:lang w:eastAsia="ko-KR"/>
        </w:rPr>
      </w:pPr>
      <w:r>
        <w:rPr>
          <w:lang w:eastAsia="ko-KR"/>
        </w:rPr>
        <w:t>Application to the discovery of amine solvent for CO</w:t>
      </w:r>
      <w:r w:rsidRPr="005A0BBB">
        <w:rPr>
          <w:vertAlign w:val="subscript"/>
          <w:lang w:eastAsia="ko-KR"/>
        </w:rPr>
        <w:t>2</w:t>
      </w:r>
      <w:r>
        <w:rPr>
          <w:lang w:eastAsia="ko-KR"/>
        </w:rPr>
        <w:t xml:space="preserve"> absorption</w:t>
      </w:r>
    </w:p>
    <w:p w14:paraId="3CAA327A" w14:textId="73838EA2" w:rsidR="002E27FB" w:rsidRPr="002E27FB" w:rsidRDefault="005A0BBB" w:rsidP="001F19E4">
      <w:pPr>
        <w:pStyle w:val="Els-body-text"/>
        <w:rPr>
          <w:lang w:eastAsia="ko-KR"/>
        </w:rPr>
      </w:pPr>
      <w:r w:rsidRPr="00544A04">
        <w:rPr>
          <w:lang w:eastAsia="ko-KR"/>
        </w:rPr>
        <w:t>For a promising CO</w:t>
      </w:r>
      <w:r w:rsidRPr="005A0BBB">
        <w:rPr>
          <w:vertAlign w:val="subscript"/>
          <w:lang w:eastAsia="ko-KR"/>
        </w:rPr>
        <w:t>2</w:t>
      </w:r>
      <w:r w:rsidRPr="00544A04">
        <w:rPr>
          <w:lang w:eastAsia="ko-KR"/>
        </w:rPr>
        <w:t xml:space="preserve"> capture solvent, it </w:t>
      </w:r>
      <w:r>
        <w:rPr>
          <w:lang w:eastAsia="ko-KR"/>
        </w:rPr>
        <w:t>should</w:t>
      </w:r>
      <w:r w:rsidRPr="00544A04">
        <w:rPr>
          <w:lang w:eastAsia="ko-KR"/>
        </w:rPr>
        <w:t xml:space="preserve"> (1) </w:t>
      </w:r>
      <w:r>
        <w:rPr>
          <w:lang w:eastAsia="ko-KR"/>
        </w:rPr>
        <w:t>absorb a large amount of CO</w:t>
      </w:r>
      <w:r>
        <w:rPr>
          <w:vertAlign w:val="subscript"/>
          <w:lang w:eastAsia="ko-KR"/>
        </w:rPr>
        <w:t>2</w:t>
      </w:r>
      <w:r>
        <w:rPr>
          <w:lang w:eastAsia="ko-KR"/>
        </w:rPr>
        <w:t xml:space="preserve"> into solution with efficient absorption rate as an ideal capture agent </w:t>
      </w:r>
      <w:r w:rsidRPr="00544A04">
        <w:rPr>
          <w:lang w:eastAsia="ko-KR"/>
        </w:rPr>
        <w:t>and (2)</w:t>
      </w:r>
      <w:r>
        <w:rPr>
          <w:lang w:eastAsia="ko-KR"/>
        </w:rPr>
        <w:t xml:space="preserve"> make captured CO</w:t>
      </w:r>
      <w:r>
        <w:rPr>
          <w:vertAlign w:val="subscript"/>
          <w:lang w:eastAsia="ko-KR"/>
        </w:rPr>
        <w:t>2</w:t>
      </w:r>
      <w:r>
        <w:rPr>
          <w:lang w:eastAsia="ko-KR"/>
        </w:rPr>
        <w:t xml:space="preserve"> more reactive </w:t>
      </w:r>
      <w:r>
        <w:rPr>
          <w:lang w:eastAsia="ko-KR"/>
        </w:rPr>
        <w:fldChar w:fldCharType="begin"/>
      </w:r>
      <w:r>
        <w:rPr>
          <w:lang w:eastAsia="ko-KR"/>
        </w:rPr>
        <w:instrText xml:space="preserve"> ADDIN EN.CITE &lt;EndNote&gt;&lt;Cite&gt;&lt;Author&gt;Siegel&lt;/Author&gt;&lt;Year&gt;2023&lt;/Year&gt;&lt;RecNum&gt;20&lt;/RecNum&gt;&lt;DisplayText&gt;(Siegel et al., 2023)&lt;/DisplayText&gt;&lt;record&gt;&lt;rec-number&gt;20&lt;/rec-number&gt;&lt;foreign-keys&gt;&lt;key app="EN" db-id="a2sssd5sy00tfje50sfx0srmtzpar0rzfr5z" timestamp="1701098702" guid="d1246798-3d76-4ed8-80f2-e141c59443f5"&gt;20&lt;/key&gt;&lt;/foreign-keys&gt;&lt;ref-type name="Journal Article"&gt;17&lt;/ref-type&gt;&lt;contributors&gt;&lt;authors&gt;&lt;author&gt;Siegel, Rachel E.&lt;/author&gt;&lt;author&gt;Pattanayak, Santanu&lt;/author&gt;&lt;author&gt;Berben, Louise A.&lt;/author&gt;&lt;/authors&gt;&lt;/contributors&gt;&lt;titles&gt;&lt;title&gt;Reactive Capture of CO2: Opportunities and Challenges&lt;/title&gt;&lt;secondary-title&gt;ACS Catalysis&lt;/secondary-title&gt;&lt;/titles&gt;&lt;periodical&gt;&lt;full-title&gt;ACS Catalysis&lt;/full-title&gt;&lt;/periodical&gt;&lt;pages&gt;766-784&lt;/pages&gt;&lt;volume&gt;13&lt;/volume&gt;&lt;number&gt;1&lt;/number&gt;&lt;dates&gt;&lt;year&gt;2023&lt;/year&gt;&lt;pub-dates&gt;&lt;date&gt;2023/01/06&lt;/date&gt;&lt;/pub-dates&gt;&lt;/dates&gt;&lt;publisher&gt;American Chemical Society&lt;/publisher&gt;&lt;urls&gt;&lt;related-urls&gt;&lt;url&gt;https://doi.org/10.1021/acscatal.2c05019&lt;/url&gt;&lt;/related-urls&gt;&lt;/urls&gt;&lt;electronic-resource-num&gt;10.1021/acscatal.2c05019&lt;/electronic-resource-num&gt;&lt;/record&gt;&lt;/Cite&gt;&lt;/EndNote&gt;</w:instrText>
      </w:r>
      <w:r>
        <w:rPr>
          <w:lang w:eastAsia="ko-KR"/>
        </w:rPr>
        <w:fldChar w:fldCharType="separate"/>
      </w:r>
      <w:r>
        <w:rPr>
          <w:noProof/>
          <w:lang w:eastAsia="ko-KR"/>
        </w:rPr>
        <w:t>(Siegel et al., 2023)</w:t>
      </w:r>
      <w:r>
        <w:rPr>
          <w:lang w:eastAsia="ko-KR"/>
        </w:rPr>
        <w:fldChar w:fldCharType="end"/>
      </w:r>
      <w:r w:rsidRPr="00544A04">
        <w:rPr>
          <w:lang w:eastAsia="ko-KR"/>
        </w:rPr>
        <w:t>.</w:t>
      </w:r>
      <w:r>
        <w:rPr>
          <w:lang w:eastAsia="ko-KR"/>
        </w:rPr>
        <w:t xml:space="preserve"> The descriptors of </w:t>
      </w:r>
      <w:proofErr w:type="spellStart"/>
      <w:r>
        <w:rPr>
          <w:lang w:eastAsia="ko-KR"/>
        </w:rPr>
        <w:t>pKa</w:t>
      </w:r>
      <w:proofErr w:type="spellEnd"/>
      <w:r>
        <w:rPr>
          <w:lang w:eastAsia="ko-KR"/>
        </w:rPr>
        <w:t xml:space="preserve">, </w:t>
      </w:r>
      <w:proofErr w:type="spellStart"/>
      <w:r>
        <w:rPr>
          <w:lang w:eastAsia="ko-KR"/>
        </w:rPr>
        <w:t>ePOS</w:t>
      </w:r>
      <w:proofErr w:type="spellEnd"/>
      <w:r>
        <w:rPr>
          <w:lang w:eastAsia="ko-KR"/>
        </w:rPr>
        <w:t xml:space="preserve">, sphericity, amide bond energy, and NCNN pattern can be used to find amine solvents. </w:t>
      </w:r>
      <w:r w:rsidRPr="00544A04">
        <w:rPr>
          <w:lang w:eastAsia="ko-KR"/>
        </w:rPr>
        <w:t>We set the CO</w:t>
      </w:r>
      <w:r w:rsidRPr="00F5313A">
        <w:rPr>
          <w:vertAlign w:val="subscript"/>
          <w:lang w:eastAsia="ko-KR"/>
        </w:rPr>
        <w:t>2</w:t>
      </w:r>
      <w:r w:rsidRPr="00544A04">
        <w:rPr>
          <w:lang w:eastAsia="ko-KR"/>
        </w:rPr>
        <w:t xml:space="preserve"> capture product to methanol and the catalyst to Ru-MACHO. When the amine d</w:t>
      </w:r>
      <w:r>
        <w:rPr>
          <w:lang w:eastAsia="ko-KR"/>
        </w:rPr>
        <w:t xml:space="preserve">etaches the </w:t>
      </w:r>
      <w:r w:rsidRPr="00544A04">
        <w:rPr>
          <w:lang w:eastAsia="ko-KR"/>
        </w:rPr>
        <w:t xml:space="preserve">hydrogen </w:t>
      </w:r>
      <w:r>
        <w:rPr>
          <w:lang w:eastAsia="ko-KR"/>
        </w:rPr>
        <w:t>in</w:t>
      </w:r>
      <w:r w:rsidRPr="00544A04">
        <w:rPr>
          <w:lang w:eastAsia="ko-KR"/>
        </w:rPr>
        <w:t xml:space="preserve"> the catalyst, its </w:t>
      </w:r>
      <w:proofErr w:type="spellStart"/>
      <w:r w:rsidRPr="00544A04">
        <w:rPr>
          <w:lang w:eastAsia="ko-KR"/>
        </w:rPr>
        <w:t>pKa</w:t>
      </w:r>
      <w:proofErr w:type="spellEnd"/>
      <w:r w:rsidRPr="00544A04">
        <w:rPr>
          <w:lang w:eastAsia="ko-KR"/>
        </w:rPr>
        <w:t xml:space="preserve"> </w:t>
      </w:r>
      <w:r>
        <w:rPr>
          <w:lang w:eastAsia="ko-KR"/>
        </w:rPr>
        <w:t>should</w:t>
      </w:r>
      <w:r w:rsidRPr="00544A04">
        <w:rPr>
          <w:lang w:eastAsia="ko-KR"/>
        </w:rPr>
        <w:t xml:space="preserve"> be </w:t>
      </w:r>
      <w:r>
        <w:rPr>
          <w:lang w:eastAsia="ko-KR"/>
        </w:rPr>
        <w:t>larger</w:t>
      </w:r>
      <w:r w:rsidRPr="00544A04">
        <w:rPr>
          <w:lang w:eastAsia="ko-KR"/>
        </w:rPr>
        <w:t xml:space="preserve"> than the catalyst,</w:t>
      </w:r>
      <w:r>
        <w:rPr>
          <w:lang w:eastAsia="ko-KR"/>
        </w:rPr>
        <w:t xml:space="preserve"> </w:t>
      </w:r>
      <w:r w:rsidRPr="00544A04">
        <w:rPr>
          <w:lang w:eastAsia="ko-KR"/>
        </w:rPr>
        <w:t>otherwise carbamate formation may increase. As the amine</w:t>
      </w:r>
      <w:r w:rsidRPr="008E5AC2">
        <w:rPr>
          <w:lang w:eastAsia="ko-KR"/>
        </w:rPr>
        <w:t xml:space="preserve"> </w:t>
      </w:r>
      <w:r>
        <w:rPr>
          <w:lang w:eastAsia="ko-KR"/>
        </w:rPr>
        <w:t>intercepts the CO</w:t>
      </w:r>
      <w:r>
        <w:rPr>
          <w:vertAlign w:val="subscript"/>
          <w:lang w:eastAsia="ko-KR"/>
        </w:rPr>
        <w:t>2</w:t>
      </w:r>
      <w:r>
        <w:rPr>
          <w:lang w:eastAsia="ko-KR"/>
        </w:rPr>
        <w:t xml:space="preserve"> captured in the catalyst</w:t>
      </w:r>
      <w:r w:rsidRPr="00544A04">
        <w:rPr>
          <w:lang w:eastAsia="ko-KR"/>
        </w:rPr>
        <w:t xml:space="preserve">, the target properties should have a charge profile complementary to the Ru-MACHO and a small sphericity. </w:t>
      </w:r>
    </w:p>
    <w:p w14:paraId="63EC20A3" w14:textId="4B27EBE2" w:rsidR="001A25F0" w:rsidRDefault="005A0BBB" w:rsidP="004C125E">
      <w:pPr>
        <w:pStyle w:val="Els-body-text"/>
        <w:rPr>
          <w:lang w:eastAsia="ko-KR"/>
        </w:rPr>
      </w:pPr>
      <w:r>
        <w:rPr>
          <w:lang w:eastAsia="ko-KR"/>
        </w:rPr>
        <w:t xml:space="preserve">To </w:t>
      </w:r>
      <w:r w:rsidRPr="00544A04">
        <w:rPr>
          <w:lang w:eastAsia="ko-KR"/>
        </w:rPr>
        <w:t>react with the electronegative part of Ru-MACHO, the target</w:t>
      </w:r>
      <w:r>
        <w:rPr>
          <w:lang w:eastAsia="ko-KR"/>
        </w:rPr>
        <w:t xml:space="preserve"> amine must have a wide electropositive area to promote solubility and stability of the catalyst in the solvent</w:t>
      </w:r>
      <w:r w:rsidRPr="00544A04">
        <w:rPr>
          <w:lang w:eastAsia="ko-KR"/>
        </w:rPr>
        <w:t xml:space="preserve">. </w:t>
      </w:r>
      <w:r>
        <w:rPr>
          <w:lang w:eastAsia="ko-KR"/>
        </w:rPr>
        <w:t>Smaller sphericity is preferred for CO</w:t>
      </w:r>
      <w:r w:rsidRPr="005A0BBB">
        <w:rPr>
          <w:vertAlign w:val="subscript"/>
          <w:lang w:eastAsia="ko-KR"/>
        </w:rPr>
        <w:t>2</w:t>
      </w:r>
      <w:r>
        <w:rPr>
          <w:lang w:eastAsia="ko-KR"/>
        </w:rPr>
        <w:t xml:space="preserve"> capture solvents.</w:t>
      </w:r>
      <w:r w:rsidR="002E27FB">
        <w:rPr>
          <w:rFonts w:hint="eastAsia"/>
          <w:lang w:eastAsia="ko-KR"/>
        </w:rPr>
        <w:t xml:space="preserve"> </w:t>
      </w:r>
      <w:r w:rsidRPr="00544A04">
        <w:rPr>
          <w:lang w:eastAsia="ko-KR"/>
        </w:rPr>
        <w:t xml:space="preserve">It should also have a low amide bond </w:t>
      </w:r>
      <w:r>
        <w:rPr>
          <w:lang w:eastAsia="ko-KR"/>
        </w:rPr>
        <w:t xml:space="preserve">dissociation </w:t>
      </w:r>
      <w:r w:rsidRPr="00544A04">
        <w:rPr>
          <w:lang w:eastAsia="ko-KR"/>
        </w:rPr>
        <w:t>energy</w:t>
      </w:r>
      <w:r>
        <w:rPr>
          <w:lang w:eastAsia="ko-KR"/>
        </w:rPr>
        <w:t xml:space="preserve"> when the amine bond is broken</w:t>
      </w:r>
      <w:r w:rsidRPr="00544A04">
        <w:rPr>
          <w:lang w:eastAsia="ko-KR"/>
        </w:rPr>
        <w:t xml:space="preserve">. Experimental data also suggested that the NCCN pattern could be a key descriptor </w:t>
      </w:r>
      <w:r>
        <w:rPr>
          <w:lang w:eastAsia="ko-KR"/>
        </w:rPr>
        <w:fldChar w:fldCharType="begin"/>
      </w:r>
      <w:r>
        <w:rPr>
          <w:lang w:eastAsia="ko-KR"/>
        </w:rPr>
        <w:instrText xml:space="preserve"> ADDIN EN.CITE &lt;EndNote&gt;&lt;Cite&gt;&lt;Author&gt;Kar&lt;/Author&gt;&lt;Year&gt;2019&lt;/Year&gt;&lt;RecNum&gt;21&lt;/RecNum&gt;&lt;DisplayText&gt;(Kar et al., 2019)&lt;/DisplayText&gt;&lt;record&gt;&lt;rec-number&gt;21&lt;/rec-number&gt;&lt;foreign-keys&gt;&lt;key app="EN" db-id="a2sssd5sy00tfje50sfx0srmtzpar0rzfr5z" timestamp="1701100008" guid="3ec6a3a1-ea0b-45e1-9009-b4eb2c2ac874"&gt;21&lt;/key&gt;&lt;/foreign-keys&gt;&lt;ref-type name="Journal Article"&gt;17&lt;/ref-type&gt;&lt;contributors&gt;&lt;authors&gt;&lt;author&gt;Kar, Sayan&lt;/author&gt;&lt;author&gt;Sen, Raktim&lt;/author&gt;&lt;author&gt;Kothandaraman, Jotheeswari&lt;/author&gt;&lt;author&gt;Goeppert, Alain&lt;/author&gt;&lt;author&gt;Chowdhury, Ryan&lt;/author&gt;&lt;author&gt;Munoz, Socrates B.&lt;/author&gt;&lt;author&gt;Haiges, Ralf&lt;/author&gt;&lt;author&gt;Prakash, G. K. Surya&lt;/author&gt;&lt;/authors&gt;&lt;/contributors&gt;&lt;titles&gt;&lt;title&gt;Mechanistic Insights into Ruthenium-Pincer-Catalyzed Amine-Assisted Homogeneous Hydrogenation of CO2 to Methanol&lt;/title&gt;&lt;secondary-title&gt;Journal of the American Chemical Society&lt;/secondary-title&gt;&lt;/titles&gt;&lt;periodical&gt;&lt;full-title&gt;Journal of the American Chemical Society&lt;/full-title&gt;&lt;/periodical&gt;&lt;pages&gt;3160-3170&lt;/pages&gt;&lt;volume&gt;141&lt;/volume&gt;&lt;number&gt;7&lt;/number&gt;&lt;dates&gt;&lt;year&gt;2019&lt;/year&gt;&lt;pub-dates&gt;&lt;date&gt;2019/02/20&lt;/date&gt;&lt;/pub-dates&gt;&lt;/dates&gt;&lt;publisher&gt;American Chemical Society&lt;/publisher&gt;&lt;isbn&gt;0002-7863&lt;/isbn&gt;&lt;urls&gt;&lt;related-urls&gt;&lt;url&gt;https://doi.org/10.1021/jacs.8b12763&lt;/url&gt;&lt;/related-urls&gt;&lt;/urls&gt;&lt;electronic-resource-num&gt;10.1021/jacs.8b12763&lt;/electronic-resource-num&gt;&lt;/record&gt;&lt;/Cite&gt;&lt;/EndNote&gt;</w:instrText>
      </w:r>
      <w:r>
        <w:rPr>
          <w:lang w:eastAsia="ko-KR"/>
        </w:rPr>
        <w:fldChar w:fldCharType="separate"/>
      </w:r>
      <w:r>
        <w:rPr>
          <w:noProof/>
          <w:lang w:eastAsia="ko-KR"/>
        </w:rPr>
        <w:t>(Kar et al., 2019)</w:t>
      </w:r>
      <w:r>
        <w:rPr>
          <w:lang w:eastAsia="ko-KR"/>
        </w:rPr>
        <w:fldChar w:fldCharType="end"/>
      </w:r>
      <w:r>
        <w:rPr>
          <w:lang w:eastAsia="ko-KR"/>
        </w:rPr>
        <w:t>.</w:t>
      </w:r>
      <w:r w:rsidR="00B46CBB">
        <w:rPr>
          <w:lang w:eastAsia="ko-KR"/>
        </w:rPr>
        <w:t xml:space="preserve"> Therefore, the reward is defined as in equation (3).</w:t>
      </w:r>
      <w:r w:rsidR="00B46CBB">
        <w:rPr>
          <w:rFonts w:hint="eastAsia"/>
          <w:lang w:eastAsia="ko-KR"/>
        </w:rPr>
        <w:t xml:space="preserve"> </w:t>
      </w:r>
      <w:r w:rsidR="00D811B7" w:rsidRPr="00D811B7">
        <w:t xml:space="preserve">Additionally, synthesizability prediction using </w:t>
      </w:r>
      <w:proofErr w:type="spellStart"/>
      <w:r w:rsidR="00D811B7" w:rsidRPr="00D811B7">
        <w:t>AizynthFinder</w:t>
      </w:r>
      <w:proofErr w:type="spellEnd"/>
      <w:r w:rsidR="00D811B7">
        <w:t xml:space="preserve"> </w:t>
      </w:r>
      <w:r w:rsidR="00D811B7">
        <w:fldChar w:fldCharType="begin"/>
      </w:r>
      <w:r w:rsidR="00D811B7">
        <w:instrText xml:space="preserve"> ADDIN EN.CITE &lt;EndNote&gt;&lt;Cite&gt;&lt;Author&gt;Genheden&lt;/Author&gt;&lt;Year&gt;2020&lt;/Year&gt;&lt;RecNum&gt;27&lt;/RecNum&gt;&lt;DisplayText&gt;(Genheden et al., 2020)&lt;/DisplayText&gt;&lt;record&gt;&lt;rec-number&gt;27&lt;/rec-number&gt;&lt;foreign-keys&gt;&lt;key app="EN" db-id="p59rzarf5z9dare5tx7xwpxqd5peezss525v" timestamp="1701162641"&gt;27&lt;/key&gt;&lt;/foreign-keys&gt;&lt;ref-type name="Journal Article"&gt;17&lt;/ref-type&gt;&lt;contributors&gt;&lt;authors&gt;&lt;author&gt;Genheden, Samuel&lt;/author&gt;&lt;author&gt;Thakkar, Amol&lt;/author&gt;&lt;author&gt;Chadimová, Veronika&lt;/author&gt;&lt;author&gt;Reymond, Jean-Louis&lt;/author&gt;&lt;author&gt;Engkvist, Ola&lt;/author&gt;&lt;author&gt;Bjerrum, Esben&lt;/author&gt;&lt;/authors&gt;&lt;/contributors&gt;&lt;titles&gt;&lt;title&gt;AiZynthFinder: a fast, robust and flexible open-source software for retrosynthetic planning&lt;/title&gt;&lt;secondary-title&gt;Journal of Cheminformatics&lt;/secondary-title&gt;&lt;/titles&gt;&lt;periodical&gt;&lt;full-title&gt;Journal of Cheminformatics&lt;/full-title&gt;&lt;/periodical&gt;&lt;pages&gt;70&lt;/pages&gt;&lt;volume&gt;12&lt;/volume&gt;&lt;number&gt;1&lt;/number&gt;&lt;dates&gt;&lt;year&gt;2020&lt;/year&gt;&lt;pub-dates&gt;&lt;date&gt;2020/11/17&lt;/date&gt;&lt;/pub-dates&gt;&lt;/dates&gt;&lt;isbn&gt;1758-2946&lt;/isbn&gt;&lt;urls&gt;&lt;related-urls&gt;&lt;url&gt;https://doi.org/10.1186/s13321-020-00472-1&lt;/url&gt;&lt;/related-urls&gt;&lt;/urls&gt;&lt;electronic-resource-num&gt;10.1186/s13321-020-00472-1&lt;/electronic-resource-num&gt;&lt;/record&gt;&lt;/Cite&gt;&lt;/EndNote&gt;</w:instrText>
      </w:r>
      <w:r w:rsidR="00D811B7">
        <w:fldChar w:fldCharType="separate"/>
      </w:r>
      <w:r w:rsidR="00D811B7">
        <w:rPr>
          <w:noProof/>
        </w:rPr>
        <w:t>(Genheden et al., 2020)</w:t>
      </w:r>
      <w:r w:rsidR="00D811B7">
        <w:fldChar w:fldCharType="end"/>
      </w:r>
      <w:r w:rsidR="00D811B7" w:rsidRPr="00D811B7">
        <w:t xml:space="preserve"> was also </w:t>
      </w:r>
      <w:r w:rsidR="00B40F8D">
        <w:t>considered</w:t>
      </w:r>
      <w:r w:rsidR="00D811B7" w:rsidRPr="00D811B7">
        <w:t>.</w:t>
      </w:r>
      <w:r w:rsidR="001A25F0">
        <w:rPr>
          <w:rFonts w:hint="eastAsia"/>
          <w:lang w:eastAsia="ko-KR"/>
        </w:rPr>
        <w:t xml:space="preserve"> </w:t>
      </w:r>
    </w:p>
    <w:p w14:paraId="181B3517" w14:textId="77777777" w:rsidR="002E0EFA" w:rsidRDefault="002E0EFA" w:rsidP="004C125E">
      <w:pPr>
        <w:pStyle w:val="Els-body-text"/>
        <w:rPr>
          <w:lang w:eastAsia="ko-KR"/>
        </w:rPr>
      </w:pPr>
    </w:p>
    <w:tbl>
      <w:tblPr>
        <w:tblStyle w:val="af0"/>
        <w:tblpPr w:leftFromText="142" w:rightFromText="142" w:vertAnchor="text" w:horzAnchor="margin" w:tblpY="46"/>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986"/>
      </w:tblGrid>
      <w:tr w:rsidR="00D40482" w14:paraId="6218CE94" w14:textId="77777777" w:rsidTr="00D40482">
        <w:trPr>
          <w:trHeight w:val="194"/>
        </w:trPr>
        <w:tc>
          <w:tcPr>
            <w:tcW w:w="6091" w:type="dxa"/>
          </w:tcPr>
          <w:p w14:paraId="43C1055C" w14:textId="77777777" w:rsidR="00D40482" w:rsidRDefault="00D40482" w:rsidP="00D40482">
            <w:pPr>
              <w:rPr>
                <w:sz w:val="12"/>
                <w:szCs w:val="12"/>
              </w:rPr>
            </w:pPr>
          </w:p>
          <w:p w14:paraId="5EF76234" w14:textId="77777777" w:rsidR="00D40482" w:rsidRDefault="00D40482" w:rsidP="00D40482">
            <m:oMathPara>
              <m:oMathParaPr>
                <m:jc m:val="left"/>
              </m:oMathParaPr>
              <m:oMath>
                <m:r>
                  <w:rPr>
                    <w:rFonts w:ascii="Cambria Math" w:hAnsi="Cambria Math"/>
                  </w:rPr>
                  <m:t>Reward=NCCN-BDE+Sphericity+ePos</m:t>
                </m:r>
              </m:oMath>
            </m:oMathPara>
          </w:p>
          <w:p w14:paraId="537F3F2E" w14:textId="77777777" w:rsidR="00D40482" w:rsidRDefault="00D40482" w:rsidP="00D40482">
            <w:pPr>
              <w:rPr>
                <w:sz w:val="12"/>
                <w:szCs w:val="12"/>
              </w:rPr>
            </w:pPr>
          </w:p>
        </w:tc>
        <w:tc>
          <w:tcPr>
            <w:tcW w:w="986" w:type="dxa"/>
          </w:tcPr>
          <w:p w14:paraId="53A79CD4" w14:textId="77777777" w:rsidR="00D40482" w:rsidRDefault="00D40482" w:rsidP="00D40482">
            <w:pPr>
              <w:pStyle w:val="Els-body-text"/>
              <w:rPr>
                <w:sz w:val="12"/>
                <w:szCs w:val="12"/>
                <w:lang w:val="en-GB" w:eastAsia="ko-KR"/>
              </w:rPr>
            </w:pPr>
          </w:p>
          <w:p w14:paraId="6038580A" w14:textId="77777777" w:rsidR="00D40482" w:rsidRDefault="00D40482" w:rsidP="00D40482">
            <w:pPr>
              <w:pStyle w:val="Els-body-text"/>
              <w:jc w:val="right"/>
              <w:rPr>
                <w:lang w:val="en-GB" w:eastAsia="ko-KR"/>
              </w:rPr>
            </w:pPr>
            <w:r>
              <w:rPr>
                <w:lang w:val="en-GB" w:eastAsia="ko-KR"/>
              </w:rPr>
              <w:t>(3)</w:t>
            </w:r>
          </w:p>
          <w:p w14:paraId="6C966E77" w14:textId="77777777" w:rsidR="00D40482" w:rsidRDefault="00D40482" w:rsidP="00D40482">
            <w:pPr>
              <w:pStyle w:val="Els-body-text"/>
              <w:rPr>
                <w:sz w:val="12"/>
                <w:szCs w:val="12"/>
                <w:lang w:val="en-GB" w:eastAsia="ko-KR"/>
              </w:rPr>
            </w:pPr>
          </w:p>
        </w:tc>
      </w:tr>
    </w:tbl>
    <w:p w14:paraId="4394DBCC" w14:textId="77777777" w:rsidR="006533C8" w:rsidRDefault="006533C8" w:rsidP="006533C8">
      <w:pPr>
        <w:pStyle w:val="Els-body-text"/>
        <w:rPr>
          <w:b/>
          <w:bCs/>
          <w:lang w:eastAsia="ko-KR"/>
        </w:rPr>
      </w:pPr>
    </w:p>
    <w:p w14:paraId="0D5155E5" w14:textId="77777777" w:rsidR="00D40482" w:rsidRPr="001A25F0" w:rsidRDefault="00D40482" w:rsidP="00D40482">
      <w:pPr>
        <w:pStyle w:val="Els-body-text"/>
      </w:pPr>
      <w:r w:rsidRPr="00D53F2A">
        <w:rPr>
          <w:lang w:val="en-GB"/>
        </w:rPr>
        <w:t xml:space="preserve">The molecular structures of the generated amine solvents are presented in </w:t>
      </w:r>
      <w:r w:rsidRPr="00B46CBB">
        <w:rPr>
          <w:b/>
          <w:bCs/>
          <w:lang w:val="en-GB"/>
        </w:rPr>
        <w:t>Table 1</w:t>
      </w:r>
      <w:r w:rsidRPr="00D525D8">
        <w:rPr>
          <w:lang w:val="en-GB"/>
        </w:rPr>
        <w:t>.</w:t>
      </w:r>
    </w:p>
    <w:p w14:paraId="1BA8CC9B" w14:textId="3DCCE099" w:rsidR="002E0EFA" w:rsidRDefault="002E0EFA" w:rsidP="002E0EFA">
      <w:pPr>
        <w:pStyle w:val="Els-body-text"/>
        <w:rPr>
          <w:b/>
          <w:bCs/>
          <w:lang w:eastAsia="ko-KR"/>
        </w:rPr>
      </w:pPr>
    </w:p>
    <w:p w14:paraId="404A9D60" w14:textId="77777777" w:rsidR="00A5254A" w:rsidRDefault="00A5254A" w:rsidP="002E0EFA">
      <w:pPr>
        <w:pStyle w:val="Els-body-text"/>
        <w:rPr>
          <w:b/>
          <w:bCs/>
          <w:lang w:eastAsia="ko-KR"/>
        </w:rPr>
      </w:pPr>
    </w:p>
    <w:tbl>
      <w:tblPr>
        <w:tblStyle w:val="2"/>
        <w:tblpPr w:leftFromText="142" w:rightFromText="142" w:vertAnchor="text" w:horzAnchor="margin" w:tblpY="571"/>
        <w:tblW w:w="7113" w:type="dxa"/>
        <w:tblLayout w:type="fixed"/>
        <w:tblLook w:val="04A0" w:firstRow="1" w:lastRow="0" w:firstColumn="1" w:lastColumn="0" w:noHBand="0" w:noVBand="1"/>
      </w:tblPr>
      <w:tblGrid>
        <w:gridCol w:w="861"/>
        <w:gridCol w:w="2084"/>
        <w:gridCol w:w="2084"/>
        <w:gridCol w:w="2084"/>
      </w:tblGrid>
      <w:tr w:rsidR="002E0EFA" w14:paraId="38ED6F57" w14:textId="77777777" w:rsidTr="002E0EFA">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861" w:type="dxa"/>
            <w:shd w:val="clear" w:color="auto" w:fill="FFFFFF" w:themeFill="background1"/>
          </w:tcPr>
          <w:p w14:paraId="35EF5E85" w14:textId="77777777" w:rsidR="002E0EFA" w:rsidRPr="004C5069" w:rsidRDefault="002E0EFA" w:rsidP="002E0EFA">
            <w:pPr>
              <w:jc w:val="center"/>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D</w:t>
            </w:r>
          </w:p>
        </w:tc>
        <w:tc>
          <w:tcPr>
            <w:tcW w:w="2084" w:type="dxa"/>
            <w:shd w:val="clear" w:color="auto" w:fill="FFFFFF" w:themeFill="background1"/>
          </w:tcPr>
          <w:p w14:paraId="3B09ED08" w14:textId="77777777" w:rsidR="002E0EFA" w:rsidRDefault="002E0EFA" w:rsidP="002E0E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hint="eastAsia"/>
              </w:rPr>
              <w:t>M</w:t>
            </w:r>
            <w:r>
              <w:rPr>
                <w:rFonts w:ascii="Times New Roman" w:hAnsi="Times New Roman" w:cs="Times New Roman"/>
              </w:rPr>
              <w:t>1</w:t>
            </w:r>
          </w:p>
        </w:tc>
        <w:tc>
          <w:tcPr>
            <w:tcW w:w="2084" w:type="dxa"/>
            <w:shd w:val="clear" w:color="auto" w:fill="FFFFFF" w:themeFill="background1"/>
          </w:tcPr>
          <w:p w14:paraId="06D72826" w14:textId="77777777" w:rsidR="002E0EFA" w:rsidRDefault="002E0EFA" w:rsidP="002E0E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hint="eastAsia"/>
              </w:rPr>
              <w:t>M</w:t>
            </w:r>
            <w:r>
              <w:rPr>
                <w:rFonts w:ascii="Times New Roman" w:hAnsi="Times New Roman" w:cs="Times New Roman"/>
              </w:rPr>
              <w:t>2</w:t>
            </w:r>
          </w:p>
        </w:tc>
        <w:tc>
          <w:tcPr>
            <w:tcW w:w="2084" w:type="dxa"/>
            <w:shd w:val="clear" w:color="auto" w:fill="FFFFFF" w:themeFill="background1"/>
          </w:tcPr>
          <w:p w14:paraId="072BDDED" w14:textId="77777777" w:rsidR="002E0EFA" w:rsidRPr="004C5069" w:rsidRDefault="002E0EFA" w:rsidP="002E0E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M3</w:t>
            </w:r>
          </w:p>
        </w:tc>
      </w:tr>
      <w:tr w:rsidR="002E0EFA" w14:paraId="3483BA27" w14:textId="77777777" w:rsidTr="002E0EFA">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861" w:type="dxa"/>
            <w:tcBorders>
              <w:bottom w:val="single" w:sz="2" w:space="0" w:color="auto"/>
            </w:tcBorders>
            <w:shd w:val="clear" w:color="auto" w:fill="FFFFFF" w:themeFill="background1"/>
          </w:tcPr>
          <w:p w14:paraId="07D536D3" w14:textId="77777777" w:rsidR="002E0EFA" w:rsidRPr="004C5069" w:rsidRDefault="002E0EFA" w:rsidP="002E0EFA">
            <w:pPr>
              <w:jc w:val="left"/>
              <w:rPr>
                <w:rFonts w:ascii="Times New Roman" w:hAnsi="Times New Roman" w:cs="Times New Roman"/>
                <w:b w:val="0"/>
                <w:bCs w:val="0"/>
                <w:sz w:val="8"/>
                <w:szCs w:val="10"/>
              </w:rPr>
            </w:pPr>
          </w:p>
          <w:p w14:paraId="19A4E471" w14:textId="77777777" w:rsidR="002E0EFA" w:rsidRPr="007C0C58" w:rsidRDefault="002E0EFA" w:rsidP="002E0EFA">
            <w:pPr>
              <w:jc w:val="center"/>
              <w:rPr>
                <w:rFonts w:ascii="Times New Roman" w:hAnsi="Times New Roman" w:cs="Times New Roman"/>
                <w:b w:val="0"/>
                <w:bCs w:val="0"/>
                <w:sz w:val="14"/>
                <w:szCs w:val="16"/>
              </w:rPr>
            </w:pPr>
            <w:r w:rsidRPr="007C0C58">
              <w:rPr>
                <w:rFonts w:ascii="Times New Roman" w:hAnsi="Times New Roman" w:cs="Times New Roman" w:hint="eastAsia"/>
                <w:sz w:val="14"/>
                <w:szCs w:val="16"/>
              </w:rPr>
              <w:t>M</w:t>
            </w:r>
            <w:r w:rsidRPr="007C0C58">
              <w:rPr>
                <w:rFonts w:ascii="Times New Roman" w:hAnsi="Times New Roman" w:cs="Times New Roman"/>
                <w:sz w:val="14"/>
                <w:szCs w:val="16"/>
              </w:rPr>
              <w:t>olecular</w:t>
            </w:r>
          </w:p>
          <w:p w14:paraId="65DC87D5" w14:textId="52A20F54" w:rsidR="00A5254A" w:rsidRPr="00A5254A" w:rsidRDefault="00A5254A" w:rsidP="00A5254A">
            <w:pPr>
              <w:jc w:val="center"/>
              <w:rPr>
                <w:rFonts w:ascii="Times New Roman" w:hAnsi="Times New Roman" w:cs="Times New Roman"/>
                <w:b w:val="0"/>
                <w:bCs w:val="0"/>
                <w:sz w:val="14"/>
                <w:szCs w:val="16"/>
              </w:rPr>
            </w:pPr>
            <w:r w:rsidRPr="007C0C58">
              <w:rPr>
                <w:rFonts w:ascii="Times New Roman" w:hAnsi="Times New Roman" w:cs="Times New Roman"/>
                <w:sz w:val="14"/>
                <w:szCs w:val="16"/>
              </w:rPr>
              <w:t>S</w:t>
            </w:r>
            <w:r w:rsidR="002E0EFA" w:rsidRPr="007C0C58">
              <w:rPr>
                <w:rFonts w:ascii="Times New Roman" w:hAnsi="Times New Roman" w:cs="Times New Roman"/>
                <w:sz w:val="14"/>
                <w:szCs w:val="16"/>
              </w:rPr>
              <w:t>tructure</w:t>
            </w:r>
          </w:p>
        </w:tc>
        <w:tc>
          <w:tcPr>
            <w:tcW w:w="2084" w:type="dxa"/>
            <w:tcBorders>
              <w:bottom w:val="single" w:sz="2" w:space="0" w:color="auto"/>
            </w:tcBorders>
            <w:shd w:val="clear" w:color="auto" w:fill="FFFFFF" w:themeFill="background1"/>
          </w:tcPr>
          <w:p w14:paraId="5853ECD7" w14:textId="77777777" w:rsidR="002E0EFA" w:rsidRPr="004C5069" w:rsidRDefault="002E0EFA" w:rsidP="002E0E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C5069">
              <w:rPr>
                <w:noProof/>
              </w:rPr>
              <w:drawing>
                <wp:inline distT="0" distB="0" distL="0" distR="0" wp14:anchorId="3C893360" wp14:editId="7684AF1B">
                  <wp:extent cx="1004254" cy="319357"/>
                  <wp:effectExtent l="0" t="0" r="5715" b="5080"/>
                  <wp:docPr id="6844831" name="그림 1" descr="폰트, 라인, 화이트, 도표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4831" name="그림 1" descr="폰트, 라인, 화이트, 도표이(가) 표시된 사진&#10;&#10;자동 생성된 설명"/>
                          <pic:cNvPicPr/>
                        </pic:nvPicPr>
                        <pic:blipFill>
                          <a:blip r:embed="rId9"/>
                          <a:stretch>
                            <a:fillRect/>
                          </a:stretch>
                        </pic:blipFill>
                        <pic:spPr>
                          <a:xfrm>
                            <a:off x="0" y="0"/>
                            <a:ext cx="1129079" cy="359052"/>
                          </a:xfrm>
                          <a:prstGeom prst="rect">
                            <a:avLst/>
                          </a:prstGeom>
                        </pic:spPr>
                      </pic:pic>
                    </a:graphicData>
                  </a:graphic>
                </wp:inline>
              </w:drawing>
            </w:r>
          </w:p>
        </w:tc>
        <w:tc>
          <w:tcPr>
            <w:tcW w:w="2084" w:type="dxa"/>
            <w:tcBorders>
              <w:bottom w:val="single" w:sz="2" w:space="0" w:color="auto"/>
            </w:tcBorders>
            <w:shd w:val="clear" w:color="auto" w:fill="FFFFFF" w:themeFill="background1"/>
          </w:tcPr>
          <w:p w14:paraId="26B1D49D" w14:textId="77777777" w:rsidR="002E0EFA" w:rsidRPr="004C5069" w:rsidRDefault="002E0EFA" w:rsidP="002E0E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078A8">
              <w:rPr>
                <w:noProof/>
              </w:rPr>
              <w:drawing>
                <wp:inline distT="0" distB="0" distL="0" distR="0" wp14:anchorId="5B3E98B7" wp14:editId="0B7592B4">
                  <wp:extent cx="1110630" cy="317133"/>
                  <wp:effectExtent l="0" t="0" r="0" b="6985"/>
                  <wp:docPr id="7" name="그림 6" descr="폰트, 라인, 도표, 화이트이(가) 표시된 사진&#10;&#10;자동 생성된 설명">
                    <a:extLst xmlns:a="http://schemas.openxmlformats.org/drawingml/2006/main">
                      <a:ext uri="{FF2B5EF4-FFF2-40B4-BE49-F238E27FC236}">
                        <a16:creationId xmlns:a16="http://schemas.microsoft.com/office/drawing/2014/main" id="{881CA32C-C062-592F-D9D7-FF2971E17A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descr="폰트, 라인, 도표, 화이트이(가) 표시된 사진&#10;&#10;자동 생성된 설명">
                            <a:extLst>
                              <a:ext uri="{FF2B5EF4-FFF2-40B4-BE49-F238E27FC236}">
                                <a16:creationId xmlns:a16="http://schemas.microsoft.com/office/drawing/2014/main" id="{881CA32C-C062-592F-D9D7-FF2971E17AA1}"/>
                              </a:ext>
                            </a:extLst>
                          </pic:cNvPr>
                          <pic:cNvPicPr>
                            <a:picLocks noChangeAspect="1"/>
                          </pic:cNvPicPr>
                        </pic:nvPicPr>
                        <pic:blipFill rotWithShape="1">
                          <a:blip r:embed="rId10"/>
                          <a:srcRect l="5958" t="17863" r="3426" b="5568"/>
                          <a:stretch/>
                        </pic:blipFill>
                        <pic:spPr>
                          <a:xfrm>
                            <a:off x="0" y="0"/>
                            <a:ext cx="1155698" cy="330002"/>
                          </a:xfrm>
                          <a:prstGeom prst="rect">
                            <a:avLst/>
                          </a:prstGeom>
                        </pic:spPr>
                      </pic:pic>
                    </a:graphicData>
                  </a:graphic>
                </wp:inline>
              </w:drawing>
            </w:r>
          </w:p>
        </w:tc>
        <w:tc>
          <w:tcPr>
            <w:tcW w:w="2084" w:type="dxa"/>
            <w:tcBorders>
              <w:bottom w:val="single" w:sz="2" w:space="0" w:color="auto"/>
            </w:tcBorders>
            <w:shd w:val="clear" w:color="auto" w:fill="FFFFFF" w:themeFill="background1"/>
          </w:tcPr>
          <w:p w14:paraId="0F366314" w14:textId="77777777" w:rsidR="002E0EFA" w:rsidRPr="004C5069" w:rsidRDefault="002E0EFA" w:rsidP="002E0E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078A8">
              <w:rPr>
                <w:noProof/>
              </w:rPr>
              <w:drawing>
                <wp:inline distT="0" distB="0" distL="0" distR="0" wp14:anchorId="3889BE49" wp14:editId="1755C785">
                  <wp:extent cx="1136393" cy="316148"/>
                  <wp:effectExtent l="0" t="0" r="6985" b="8255"/>
                  <wp:docPr id="9" name="그림 8" descr="폰트, 라인, 화이트, 도표이(가) 표시된 사진&#10;&#10;자동 생성된 설명">
                    <a:extLst xmlns:a="http://schemas.openxmlformats.org/drawingml/2006/main">
                      <a:ext uri="{FF2B5EF4-FFF2-40B4-BE49-F238E27FC236}">
                        <a16:creationId xmlns:a16="http://schemas.microsoft.com/office/drawing/2014/main" id="{10F97B6C-9644-9114-A51E-7FBBC14843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8" descr="폰트, 라인, 화이트, 도표이(가) 표시된 사진&#10;&#10;자동 생성된 설명">
                            <a:extLst>
                              <a:ext uri="{FF2B5EF4-FFF2-40B4-BE49-F238E27FC236}">
                                <a16:creationId xmlns:a16="http://schemas.microsoft.com/office/drawing/2014/main" id="{10F97B6C-9644-9114-A51E-7FBBC14843E3}"/>
                              </a:ext>
                            </a:extLst>
                          </pic:cNvPr>
                          <pic:cNvPicPr>
                            <a:picLocks noChangeAspect="1"/>
                          </pic:cNvPicPr>
                        </pic:nvPicPr>
                        <pic:blipFill rotWithShape="1">
                          <a:blip r:embed="rId9"/>
                          <a:srcRect l="2910" t="10383" r="2464" b="10453"/>
                          <a:stretch/>
                        </pic:blipFill>
                        <pic:spPr>
                          <a:xfrm>
                            <a:off x="0" y="0"/>
                            <a:ext cx="1180978" cy="328552"/>
                          </a:xfrm>
                          <a:prstGeom prst="rect">
                            <a:avLst/>
                          </a:prstGeom>
                        </pic:spPr>
                      </pic:pic>
                    </a:graphicData>
                  </a:graphic>
                </wp:inline>
              </w:drawing>
            </w:r>
          </w:p>
        </w:tc>
      </w:tr>
    </w:tbl>
    <w:p w14:paraId="41D5816D" w14:textId="33A8DFD6" w:rsidR="007F6F3F" w:rsidRPr="002E0EFA" w:rsidRDefault="007F6F3F" w:rsidP="004C125E">
      <w:pPr>
        <w:pStyle w:val="Els-body-text"/>
        <w:rPr>
          <w:lang w:eastAsia="ko-KR"/>
        </w:rPr>
      </w:pPr>
    </w:p>
    <w:p w14:paraId="5725B0FB" w14:textId="77777777" w:rsidR="005B4124" w:rsidRDefault="005B4124" w:rsidP="005B4124">
      <w:pPr>
        <w:pStyle w:val="Els-body-text"/>
        <w:rPr>
          <w:lang w:eastAsia="ko-KR"/>
        </w:rPr>
      </w:pPr>
      <w:r w:rsidRPr="007C0C58">
        <w:rPr>
          <w:b/>
          <w:bCs/>
          <w:lang w:eastAsia="ko-KR"/>
        </w:rPr>
        <w:t>Table1.</w:t>
      </w:r>
      <w:r>
        <w:rPr>
          <w:lang w:eastAsia="ko-KR"/>
        </w:rPr>
        <w:t xml:space="preserve"> </w:t>
      </w:r>
      <w:r w:rsidRPr="001F19E4">
        <w:rPr>
          <w:lang w:eastAsia="ko-KR"/>
        </w:rPr>
        <w:t xml:space="preserve">Three molecular examples that were generated by </w:t>
      </w:r>
      <w:r>
        <w:rPr>
          <w:lang w:eastAsia="ko-KR"/>
        </w:rPr>
        <w:t xml:space="preserve">material </w:t>
      </w:r>
      <w:proofErr w:type="gramStart"/>
      <w:r>
        <w:rPr>
          <w:lang w:eastAsia="ko-KR"/>
        </w:rPr>
        <w:t>design</w:t>
      </w:r>
      <w:proofErr w:type="gramEnd"/>
    </w:p>
    <w:p w14:paraId="27696DC9" w14:textId="4527F506" w:rsidR="00E871C2" w:rsidRDefault="00E871C2" w:rsidP="004C125E">
      <w:pPr>
        <w:pStyle w:val="Els-body-text"/>
        <w:rPr>
          <w:b/>
          <w:bCs/>
          <w:lang w:eastAsia="ko-KR"/>
        </w:rPr>
      </w:pPr>
      <w:r w:rsidRPr="006B73F3">
        <w:rPr>
          <w:noProof/>
          <w:lang w:eastAsia="ko-KR"/>
        </w:rPr>
        <w:lastRenderedPageBreak/>
        <w:drawing>
          <wp:anchor distT="0" distB="0" distL="114300" distR="114300" simplePos="0" relativeHeight="251686912" behindDoc="1" locked="0" layoutInCell="1" allowOverlap="1" wp14:anchorId="67FE429D" wp14:editId="2293B9ED">
            <wp:simplePos x="0" y="0"/>
            <wp:positionH relativeFrom="margin">
              <wp:posOffset>812800</wp:posOffset>
            </wp:positionH>
            <wp:positionV relativeFrom="paragraph">
              <wp:posOffset>0</wp:posOffset>
            </wp:positionV>
            <wp:extent cx="2803525" cy="1680210"/>
            <wp:effectExtent l="0" t="0" r="0" b="0"/>
            <wp:wrapTight wrapText="bothSides">
              <wp:wrapPolygon edited="0">
                <wp:start x="0" y="0"/>
                <wp:lineTo x="0" y="21306"/>
                <wp:lineTo x="21429" y="21306"/>
                <wp:lineTo x="21429" y="0"/>
                <wp:lineTo x="0" y="0"/>
              </wp:wrapPolygon>
            </wp:wrapTight>
            <wp:docPr id="1459916938" name="그림 1" descr="도표, 스크린샷, 다채로움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916938" name="그림 1" descr="도표, 스크린샷, 다채로움이(가) 표시된 사진&#10;&#10;자동 생성된 설명"/>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03525" cy="1680210"/>
                    </a:xfrm>
                    <a:prstGeom prst="rect">
                      <a:avLst/>
                    </a:prstGeom>
                  </pic:spPr>
                </pic:pic>
              </a:graphicData>
            </a:graphic>
            <wp14:sizeRelH relativeFrom="margin">
              <wp14:pctWidth>0</wp14:pctWidth>
            </wp14:sizeRelH>
            <wp14:sizeRelV relativeFrom="margin">
              <wp14:pctHeight>0</wp14:pctHeight>
            </wp14:sizeRelV>
          </wp:anchor>
        </w:drawing>
      </w:r>
    </w:p>
    <w:p w14:paraId="7391C556" w14:textId="1C815913" w:rsidR="00E871C2" w:rsidRDefault="00E871C2" w:rsidP="004C125E">
      <w:pPr>
        <w:pStyle w:val="Els-body-text"/>
        <w:rPr>
          <w:b/>
          <w:bCs/>
          <w:lang w:eastAsia="ko-KR"/>
        </w:rPr>
      </w:pPr>
    </w:p>
    <w:p w14:paraId="1DB53DDC" w14:textId="77777777" w:rsidR="00E871C2" w:rsidRDefault="00E871C2" w:rsidP="004C125E">
      <w:pPr>
        <w:pStyle w:val="Els-body-text"/>
        <w:rPr>
          <w:b/>
          <w:bCs/>
          <w:lang w:eastAsia="ko-KR"/>
        </w:rPr>
      </w:pPr>
    </w:p>
    <w:p w14:paraId="68062C3B" w14:textId="77777777" w:rsidR="00E871C2" w:rsidRDefault="00E871C2" w:rsidP="004C125E">
      <w:pPr>
        <w:pStyle w:val="Els-body-text"/>
        <w:rPr>
          <w:b/>
          <w:bCs/>
          <w:lang w:eastAsia="ko-KR"/>
        </w:rPr>
      </w:pPr>
    </w:p>
    <w:p w14:paraId="3D2DDE97" w14:textId="1AC8F236" w:rsidR="00E871C2" w:rsidRDefault="00E871C2" w:rsidP="004C125E">
      <w:pPr>
        <w:pStyle w:val="Els-body-text"/>
        <w:rPr>
          <w:b/>
          <w:bCs/>
          <w:lang w:eastAsia="ko-KR"/>
        </w:rPr>
      </w:pPr>
    </w:p>
    <w:p w14:paraId="4038DF0E" w14:textId="77777777" w:rsidR="00E871C2" w:rsidRDefault="00E871C2" w:rsidP="004C125E">
      <w:pPr>
        <w:pStyle w:val="Els-body-text"/>
        <w:rPr>
          <w:b/>
          <w:bCs/>
          <w:lang w:eastAsia="ko-KR"/>
        </w:rPr>
      </w:pPr>
    </w:p>
    <w:p w14:paraId="72C8ABC6" w14:textId="77777777" w:rsidR="00E871C2" w:rsidRDefault="00E871C2" w:rsidP="004C125E">
      <w:pPr>
        <w:pStyle w:val="Els-body-text"/>
        <w:rPr>
          <w:b/>
          <w:bCs/>
          <w:lang w:eastAsia="ko-KR"/>
        </w:rPr>
      </w:pPr>
    </w:p>
    <w:p w14:paraId="2915D29E" w14:textId="77777777" w:rsidR="00E871C2" w:rsidRDefault="00E871C2" w:rsidP="004C125E">
      <w:pPr>
        <w:pStyle w:val="Els-body-text"/>
        <w:rPr>
          <w:b/>
          <w:bCs/>
          <w:lang w:eastAsia="ko-KR"/>
        </w:rPr>
      </w:pPr>
    </w:p>
    <w:p w14:paraId="605F93C9" w14:textId="0BAB494E" w:rsidR="005B4124" w:rsidRDefault="005B4124" w:rsidP="004C125E">
      <w:pPr>
        <w:pStyle w:val="Els-body-text"/>
        <w:rPr>
          <w:b/>
          <w:bCs/>
          <w:lang w:eastAsia="ko-KR"/>
        </w:rPr>
      </w:pPr>
    </w:p>
    <w:p w14:paraId="15AA56AC" w14:textId="77777777" w:rsidR="00E871C2" w:rsidRDefault="00E871C2" w:rsidP="004C125E">
      <w:pPr>
        <w:pStyle w:val="Els-body-text"/>
        <w:rPr>
          <w:b/>
          <w:bCs/>
          <w:lang w:eastAsia="ko-KR"/>
        </w:rPr>
      </w:pPr>
    </w:p>
    <w:p w14:paraId="3A544988" w14:textId="7D4686B2" w:rsidR="00E871C2" w:rsidRPr="005B4124" w:rsidRDefault="00E871C2" w:rsidP="004C125E">
      <w:pPr>
        <w:pStyle w:val="Els-body-text"/>
        <w:rPr>
          <w:b/>
          <w:bCs/>
          <w:lang w:eastAsia="ko-KR"/>
        </w:rPr>
      </w:pPr>
      <w:r>
        <w:rPr>
          <w:noProof/>
        </w:rPr>
        <mc:AlternateContent>
          <mc:Choice Requires="wps">
            <w:drawing>
              <wp:anchor distT="0" distB="0" distL="114300" distR="114300" simplePos="0" relativeHeight="251675648" behindDoc="1" locked="0" layoutInCell="1" allowOverlap="1" wp14:anchorId="2AE46067" wp14:editId="6263BE28">
                <wp:simplePos x="0" y="0"/>
                <wp:positionH relativeFrom="margin">
                  <wp:posOffset>-20955</wp:posOffset>
                </wp:positionH>
                <wp:positionV relativeFrom="margin">
                  <wp:posOffset>1757680</wp:posOffset>
                </wp:positionV>
                <wp:extent cx="4499610" cy="342900"/>
                <wp:effectExtent l="0" t="0" r="0" b="0"/>
                <wp:wrapTight wrapText="bothSides">
                  <wp:wrapPolygon edited="0">
                    <wp:start x="0" y="0"/>
                    <wp:lineTo x="0" y="20400"/>
                    <wp:lineTo x="21490" y="20400"/>
                    <wp:lineTo x="21490" y="0"/>
                    <wp:lineTo x="0" y="0"/>
                  </wp:wrapPolygon>
                </wp:wrapTight>
                <wp:docPr id="1413479586" name="Text Box 1"/>
                <wp:cNvGraphicFramePr/>
                <a:graphic xmlns:a="http://schemas.openxmlformats.org/drawingml/2006/main">
                  <a:graphicData uri="http://schemas.microsoft.com/office/word/2010/wordprocessingShape">
                    <wps:wsp>
                      <wps:cNvSpPr txBox="1"/>
                      <wps:spPr>
                        <a:xfrm>
                          <a:off x="0" y="0"/>
                          <a:ext cx="4499610" cy="342900"/>
                        </a:xfrm>
                        <a:prstGeom prst="rect">
                          <a:avLst/>
                        </a:prstGeom>
                        <a:solidFill>
                          <a:prstClr val="white"/>
                        </a:solidFill>
                        <a:ln>
                          <a:noFill/>
                        </a:ln>
                      </wps:spPr>
                      <wps:txbx>
                        <w:txbxContent>
                          <w:p w14:paraId="50D7C987" w14:textId="2AAA0C69" w:rsidR="00AF119F" w:rsidRDefault="00AF119F" w:rsidP="00AF119F">
                            <w:pPr>
                              <w:rPr>
                                <w:lang w:eastAsia="ko-KR"/>
                              </w:rPr>
                            </w:pPr>
                            <w:r w:rsidRPr="00AF119F">
                              <w:rPr>
                                <w:b/>
                                <w:bCs/>
                              </w:rPr>
                              <w:t xml:space="preserve">Figure </w:t>
                            </w:r>
                            <w:r w:rsidRPr="00AF119F">
                              <w:rPr>
                                <w:b/>
                                <w:bCs/>
                              </w:rPr>
                              <w:fldChar w:fldCharType="begin"/>
                            </w:r>
                            <w:r w:rsidRPr="00AF119F">
                              <w:rPr>
                                <w:b/>
                                <w:bCs/>
                              </w:rPr>
                              <w:instrText xml:space="preserve"> SEQ Figure \* ARABIC </w:instrText>
                            </w:r>
                            <w:r w:rsidRPr="00AF119F">
                              <w:rPr>
                                <w:b/>
                                <w:bCs/>
                              </w:rPr>
                              <w:fldChar w:fldCharType="separate"/>
                            </w:r>
                            <w:r w:rsidRPr="00AF119F">
                              <w:rPr>
                                <w:b/>
                                <w:bCs/>
                                <w:noProof/>
                              </w:rPr>
                              <w:t>2</w:t>
                            </w:r>
                            <w:r w:rsidRPr="00AF119F">
                              <w:rPr>
                                <w:b/>
                                <w:bCs/>
                              </w:rPr>
                              <w:fldChar w:fldCharType="end"/>
                            </w:r>
                            <w:r>
                              <w:t>.</w:t>
                            </w:r>
                            <w:r>
                              <w:rPr>
                                <w:lang w:eastAsia="ko-KR"/>
                              </w:rPr>
                              <w:t xml:space="preserve"> </w:t>
                            </w:r>
                            <w:proofErr w:type="spellStart"/>
                            <w:r w:rsidRPr="00D525D8">
                              <w:rPr>
                                <w:lang w:eastAsia="ko-KR"/>
                              </w:rPr>
                              <w:t>COSMOtherm</w:t>
                            </w:r>
                            <w:proofErr w:type="spellEnd"/>
                            <w:r w:rsidRPr="00D525D8">
                              <w:rPr>
                                <w:lang w:eastAsia="ko-KR"/>
                              </w:rPr>
                              <w:t xml:space="preserve"> generated σ</w:t>
                            </w:r>
                            <w:r>
                              <w:rPr>
                                <w:lang w:eastAsia="ko-KR"/>
                              </w:rPr>
                              <w:t xml:space="preserve"> </w:t>
                            </w:r>
                            <w:r w:rsidRPr="00D525D8">
                              <w:rPr>
                                <w:lang w:eastAsia="ko-KR"/>
                              </w:rPr>
                              <w:t>profile and σ</w:t>
                            </w:r>
                            <w:r>
                              <w:rPr>
                                <w:lang w:eastAsia="ko-KR"/>
                              </w:rPr>
                              <w:t xml:space="preserve"> surface </w:t>
                            </w:r>
                            <w:r w:rsidRPr="00D525D8">
                              <w:rPr>
                                <w:lang w:eastAsia="ko-KR"/>
                              </w:rPr>
                              <w:t xml:space="preserve">of </w:t>
                            </w:r>
                            <w:r w:rsidRPr="008F5F33">
                              <w:t>MEA, MDEA,</w:t>
                            </w:r>
                            <w:r>
                              <w:t xml:space="preserve"> AMP</w:t>
                            </w:r>
                            <w:r w:rsidRPr="008F5F33">
                              <w:t>, CO</w:t>
                            </w:r>
                            <w:r w:rsidRPr="00675C4C">
                              <w:rPr>
                                <w:vertAlign w:val="subscript"/>
                              </w:rPr>
                              <w:t>2</w:t>
                            </w:r>
                            <w:r w:rsidRPr="008F5F33">
                              <w:t xml:space="preserve"> and </w:t>
                            </w:r>
                            <w:r>
                              <w:t xml:space="preserve">new amine </w:t>
                            </w:r>
                            <w:proofErr w:type="gramStart"/>
                            <w:r>
                              <w:t>solvents</w:t>
                            </w:r>
                            <w:proofErr w:type="gramEnd"/>
                          </w:p>
                          <w:p w14:paraId="4CD6D365" w14:textId="015B1A30" w:rsidR="00AF119F" w:rsidRPr="00AF119F" w:rsidRDefault="00AF119F" w:rsidP="00AF119F">
                            <w:pPr>
                              <w:pStyle w:val="a3"/>
                              <w:rPr>
                                <w:i/>
                                <w:noProof/>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E46067" id="_x0000_s1027" type="#_x0000_t202" style="position:absolute;left:0;text-align:left;margin-left:-1.65pt;margin-top:138.4pt;width:354.3pt;height:27pt;z-index:-25164083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" stroked="f">
                <v:textbox inset="0,0,0,0">
                  <w:txbxContent>
                    <w:p w14:paraId="50D7C987" w14:textId="2AAA0C69" w:rsidR="00AF119F" w:rsidRDefault="00AF119F" w:rsidP="00AF119F">
                      <w:pPr>
                        <w:rPr>
                          <w:lang w:eastAsia="ko-KR"/>
                        </w:rPr>
                      </w:pPr>
                      <w:r w:rsidRPr="00AF119F">
                        <w:rPr>
                          <w:b/>
                          <w:bCs/>
                        </w:rPr>
                        <w:t xml:space="preserve">Figure </w:t>
                      </w:r>
                      <w:r w:rsidRPr="00AF119F">
                        <w:rPr>
                          <w:b/>
                          <w:bCs/>
                        </w:rPr>
                        <w:fldChar w:fldCharType="begin"/>
                      </w:r>
                      <w:r w:rsidRPr="00AF119F">
                        <w:rPr>
                          <w:b/>
                          <w:bCs/>
                        </w:rPr>
                        <w:instrText xml:space="preserve"> SEQ Figure \* ARABIC </w:instrText>
                      </w:r>
                      <w:r w:rsidRPr="00AF119F">
                        <w:rPr>
                          <w:b/>
                          <w:bCs/>
                        </w:rPr>
                        <w:fldChar w:fldCharType="separate"/>
                      </w:r>
                      <w:r w:rsidRPr="00AF119F">
                        <w:rPr>
                          <w:b/>
                          <w:bCs/>
                          <w:noProof/>
                        </w:rPr>
                        <w:t>2</w:t>
                      </w:r>
                      <w:r w:rsidRPr="00AF119F">
                        <w:rPr>
                          <w:b/>
                          <w:bCs/>
                        </w:rPr>
                        <w:fldChar w:fldCharType="end"/>
                      </w:r>
                      <w:r>
                        <w:t>.</w:t>
                      </w:r>
                      <w:r>
                        <w:rPr>
                          <w:lang w:eastAsia="ko-KR"/>
                        </w:rPr>
                        <w:t xml:space="preserve"> </w:t>
                      </w:r>
                      <w:r w:rsidRPr="00D525D8">
                        <w:rPr>
                          <w:lang w:eastAsia="ko-KR"/>
                        </w:rPr>
                        <w:t>COSMOtherm generated σ</w:t>
                      </w:r>
                      <w:r>
                        <w:rPr>
                          <w:lang w:eastAsia="ko-KR"/>
                        </w:rPr>
                        <w:t xml:space="preserve"> </w:t>
                      </w:r>
                      <w:r w:rsidRPr="00D525D8">
                        <w:rPr>
                          <w:lang w:eastAsia="ko-KR"/>
                        </w:rPr>
                        <w:t>profile and σ</w:t>
                      </w:r>
                      <w:r>
                        <w:rPr>
                          <w:lang w:eastAsia="ko-KR"/>
                        </w:rPr>
                        <w:t xml:space="preserve"> surface </w:t>
                      </w:r>
                      <w:r w:rsidRPr="00D525D8">
                        <w:rPr>
                          <w:lang w:eastAsia="ko-KR"/>
                        </w:rPr>
                        <w:t xml:space="preserve">of </w:t>
                      </w:r>
                      <w:r w:rsidRPr="008F5F33">
                        <w:t>MEA, MDEA,</w:t>
                      </w:r>
                      <w:r>
                        <w:t xml:space="preserve"> AMP</w:t>
                      </w:r>
                      <w:r w:rsidRPr="008F5F33">
                        <w:t>, CO</w:t>
                      </w:r>
                      <w:r w:rsidRPr="00675C4C">
                        <w:rPr>
                          <w:vertAlign w:val="subscript"/>
                        </w:rPr>
                        <w:t>2</w:t>
                      </w:r>
                      <w:r w:rsidRPr="008F5F33">
                        <w:t xml:space="preserve"> and </w:t>
                      </w:r>
                      <w:r>
                        <w:t>new amine solvents</w:t>
                      </w:r>
                    </w:p>
                    <w:p w14:paraId="4CD6D365" w14:textId="015B1A30" w:rsidR="00AF119F" w:rsidRPr="00AF119F" w:rsidRDefault="00AF119F" w:rsidP="00AF119F">
                      <w:pPr>
                        <w:pStyle w:val="a3"/>
                        <w:rPr>
                          <w:i/>
                          <w:noProof/>
                          <w:lang w:val="en-GB"/>
                        </w:rPr>
                      </w:pPr>
                    </w:p>
                  </w:txbxContent>
                </v:textbox>
                <w10:wrap type="tight" anchorx="margin" anchory="margin"/>
              </v:shape>
            </w:pict>
          </mc:Fallback>
        </mc:AlternateContent>
      </w:r>
    </w:p>
    <w:p w14:paraId="0D6A8047" w14:textId="6F052814" w:rsidR="005B4124" w:rsidRDefault="005B4124" w:rsidP="005B4124">
      <w:pPr>
        <w:pStyle w:val="Els-2ndorder-head"/>
      </w:pPr>
      <w:r>
        <w:t>σ profile and σ surface analysis by COSMO-RS model</w:t>
      </w:r>
    </w:p>
    <w:p w14:paraId="4893B6A3" w14:textId="42CBCFA3" w:rsidR="00707BF9" w:rsidRPr="00E871C2" w:rsidRDefault="005B4124" w:rsidP="00707BF9">
      <w:pPr>
        <w:pStyle w:val="Els-body-text"/>
        <w:rPr>
          <w:b/>
          <w:bCs/>
          <w:lang w:eastAsia="ko-KR"/>
        </w:rPr>
      </w:pPr>
      <w:r w:rsidRPr="008F5F33">
        <w:t>The interactions between solvents and CO</w:t>
      </w:r>
      <w:r w:rsidRPr="00675C4C">
        <w:rPr>
          <w:vertAlign w:val="subscript"/>
        </w:rPr>
        <w:t>2</w:t>
      </w:r>
      <w:r w:rsidRPr="008F5F33">
        <w:t xml:space="preserve"> significantly contribute to the solubility of CO</w:t>
      </w:r>
      <w:r w:rsidRPr="00120C58">
        <w:rPr>
          <w:vertAlign w:val="subscript"/>
        </w:rPr>
        <w:t>2</w:t>
      </w:r>
      <w:r w:rsidRPr="008F5F33">
        <w:t>.</w:t>
      </w:r>
      <w:r>
        <w:t xml:space="preserve"> </w:t>
      </w:r>
      <w:r w:rsidR="00707BF9" w:rsidRPr="008F5F33">
        <w:t xml:space="preserve">The </w:t>
      </w:r>
      <w:r w:rsidR="00707BF9" w:rsidRPr="008F5F33">
        <w:rPr>
          <w:rFonts w:eastAsia="맑은 고딕"/>
        </w:rPr>
        <w:t>σ</w:t>
      </w:r>
      <w:r w:rsidR="00707BF9">
        <w:rPr>
          <w:rFonts w:eastAsia="맑은 고딕"/>
        </w:rPr>
        <w:t xml:space="preserve"> </w:t>
      </w:r>
      <w:r w:rsidR="00707BF9">
        <w:t xml:space="preserve">profiles </w:t>
      </w:r>
      <w:r w:rsidR="00707BF9" w:rsidRPr="008F5F33">
        <w:t xml:space="preserve">and </w:t>
      </w:r>
      <w:r w:rsidR="00707BF9">
        <w:t>surfaces</w:t>
      </w:r>
      <w:r w:rsidR="00707BF9" w:rsidRPr="008F5F33">
        <w:t xml:space="preserve"> of </w:t>
      </w:r>
      <w:proofErr w:type="spellStart"/>
      <w:r w:rsidR="00707BF9">
        <w:t>monoethanolamine</w:t>
      </w:r>
      <w:proofErr w:type="spellEnd"/>
      <w:r w:rsidR="00707BF9">
        <w:t xml:space="preserve"> (</w:t>
      </w:r>
      <w:r w:rsidR="00707BF9" w:rsidRPr="008F5F33">
        <w:t>MEA</w:t>
      </w:r>
      <w:r w:rsidR="00707BF9">
        <w:t>)</w:t>
      </w:r>
      <w:r w:rsidR="00707BF9" w:rsidRPr="008F5F33">
        <w:t xml:space="preserve">, </w:t>
      </w:r>
      <w:proofErr w:type="spellStart"/>
      <w:r w:rsidR="00707BF9" w:rsidRPr="00675C4C">
        <w:t>Methyldiethanolamine</w:t>
      </w:r>
      <w:proofErr w:type="spellEnd"/>
      <w:r w:rsidR="00707BF9">
        <w:t xml:space="preserve"> (</w:t>
      </w:r>
      <w:r w:rsidR="00707BF9" w:rsidRPr="008F5F33">
        <w:t>MDEA</w:t>
      </w:r>
      <w:r w:rsidR="00707BF9">
        <w:t>)</w:t>
      </w:r>
      <w:r w:rsidR="00707BF9" w:rsidRPr="008F5F33">
        <w:t xml:space="preserve">, </w:t>
      </w:r>
      <w:r w:rsidR="00707BF9">
        <w:t>2</w:t>
      </w:r>
      <w:r w:rsidR="00707BF9" w:rsidRPr="00675C4C">
        <w:t>- amino-2-methyl-1-propanol</w:t>
      </w:r>
      <w:r w:rsidR="00707BF9">
        <w:t xml:space="preserve"> (AMP)</w:t>
      </w:r>
      <w:r w:rsidR="00707BF9" w:rsidRPr="008F5F33">
        <w:t>, CO</w:t>
      </w:r>
      <w:r w:rsidR="00707BF9" w:rsidRPr="00675C4C">
        <w:rPr>
          <w:vertAlign w:val="subscript"/>
        </w:rPr>
        <w:t>2</w:t>
      </w:r>
      <w:r w:rsidR="00707BF9" w:rsidRPr="008F5F33">
        <w:t xml:space="preserve"> and the </w:t>
      </w:r>
      <w:r w:rsidR="00707BF9">
        <w:t xml:space="preserve">generated </w:t>
      </w:r>
      <w:r w:rsidR="00707BF9" w:rsidRPr="008F5F33">
        <w:t>amine are shown in</w:t>
      </w:r>
      <w:r w:rsidR="00707BF9" w:rsidRPr="005F0B14">
        <w:t xml:space="preserve"> </w:t>
      </w:r>
      <w:r w:rsidR="00707BF9" w:rsidRPr="00B46CBB">
        <w:rPr>
          <w:b/>
          <w:bCs/>
        </w:rPr>
        <w:t>Figure 2</w:t>
      </w:r>
      <w:r w:rsidR="00707BF9" w:rsidRPr="008F5F33">
        <w:t>.</w:t>
      </w:r>
      <w:r w:rsidR="00707BF9">
        <w:t xml:space="preserve"> </w:t>
      </w:r>
      <w:r w:rsidR="00707BF9" w:rsidRPr="008F5F33">
        <w:t>Since the highest peak of CO</w:t>
      </w:r>
      <w:r w:rsidR="00707BF9" w:rsidRPr="00675C4C">
        <w:rPr>
          <w:vertAlign w:val="subscript"/>
        </w:rPr>
        <w:t>2</w:t>
      </w:r>
      <w:r w:rsidR="00707BF9" w:rsidRPr="008F5F33">
        <w:t xml:space="preserve"> is present in the positive region, and </w:t>
      </w:r>
      <w:r w:rsidR="00707BF9">
        <w:t>M</w:t>
      </w:r>
      <w:r w:rsidR="00B46CBB">
        <w:t>3</w:t>
      </w:r>
      <w:r w:rsidR="00707BF9">
        <w:t xml:space="preserve"> </w:t>
      </w:r>
      <w:r w:rsidR="00707BF9" w:rsidRPr="008F5F33">
        <w:t>has the highest peak in the negative region, it is predicted to exhibit the best CO</w:t>
      </w:r>
      <w:r w:rsidR="00707BF9" w:rsidRPr="00675C4C">
        <w:rPr>
          <w:vertAlign w:val="subscript"/>
        </w:rPr>
        <w:t>2</w:t>
      </w:r>
      <w:r w:rsidR="00707BF9" w:rsidRPr="008F5F33">
        <w:t xml:space="preserve"> absorption.</w:t>
      </w:r>
    </w:p>
    <w:p w14:paraId="6526AEE9" w14:textId="33BB9B35" w:rsidR="008F5F33" w:rsidRPr="00CB0EDE" w:rsidRDefault="00F318CE" w:rsidP="00CB0EDE">
      <w:pPr>
        <w:pStyle w:val="Els-body-text"/>
        <w:spacing w:after="120"/>
        <w:rPr>
          <w:lang w:val="en-GB"/>
        </w:rPr>
      </w:pPr>
      <w:r w:rsidRPr="00F318CE">
        <w:t xml:space="preserve">The red </w:t>
      </w:r>
      <w:r w:rsidR="00100491">
        <w:t>region o</w:t>
      </w:r>
      <w:r w:rsidRPr="00F318CE">
        <w:t>f the</w:t>
      </w:r>
      <w:r>
        <w:t xml:space="preserve"> </w:t>
      </w:r>
      <w:r w:rsidRPr="008F5F33">
        <w:rPr>
          <w:rFonts w:eastAsia="맑은 고딕"/>
        </w:rPr>
        <w:t>σ</w:t>
      </w:r>
      <w:r w:rsidRPr="00F318CE">
        <w:t xml:space="preserve"> surface </w:t>
      </w:r>
      <w:r w:rsidR="00100491">
        <w:t xml:space="preserve">is </w:t>
      </w:r>
      <w:r w:rsidRPr="00F318CE">
        <w:t xml:space="preserve">hydrogen-bond acceptor; the blue is hydrogen-bond donor; the green is nonpolar </w:t>
      </w:r>
      <w:r w:rsidR="007A652C">
        <w:t>region</w:t>
      </w:r>
      <w:r w:rsidRPr="00F318CE">
        <w:t xml:space="preserve"> of the molecule</w:t>
      </w:r>
      <w:r w:rsidR="00100491">
        <w:t xml:space="preserve">. </w:t>
      </w:r>
      <w:r w:rsidR="00100491" w:rsidRPr="00100491">
        <w:t>Since CO</w:t>
      </w:r>
      <w:r w:rsidR="00100491" w:rsidRPr="00675C4C">
        <w:rPr>
          <w:vertAlign w:val="subscript"/>
        </w:rPr>
        <w:t>2</w:t>
      </w:r>
      <w:r w:rsidR="00100491" w:rsidRPr="00100491">
        <w:t xml:space="preserve"> can act as a hydrogen bond acceptor, in the case of capture solvent, the presence of blue region is advantageous for CO</w:t>
      </w:r>
      <w:r w:rsidR="00100491" w:rsidRPr="00675C4C">
        <w:rPr>
          <w:vertAlign w:val="subscript"/>
        </w:rPr>
        <w:t>2</w:t>
      </w:r>
      <w:r w:rsidR="00100491" w:rsidRPr="00100491">
        <w:t xml:space="preserve"> capture, and the nonpolar interaction between solvent and CO</w:t>
      </w:r>
      <w:r w:rsidR="00100491" w:rsidRPr="00675C4C">
        <w:rPr>
          <w:vertAlign w:val="subscript"/>
        </w:rPr>
        <w:t>2</w:t>
      </w:r>
      <w:r w:rsidR="00100491" w:rsidRPr="00100491">
        <w:t xml:space="preserve"> can increase the solubility of CO</w:t>
      </w:r>
      <w:r w:rsidR="00100491" w:rsidRPr="00675C4C">
        <w:rPr>
          <w:vertAlign w:val="subscript"/>
        </w:rPr>
        <w:t>2</w:t>
      </w:r>
      <w:r w:rsidR="00100491" w:rsidRPr="00100491">
        <w:t>.</w:t>
      </w:r>
    </w:p>
    <w:p w14:paraId="03F6315B" w14:textId="03468175" w:rsidR="00100491" w:rsidRDefault="00100491" w:rsidP="00100491">
      <w:pPr>
        <w:pStyle w:val="Els-2ndorder-head"/>
        <w:numPr>
          <w:ilvl w:val="0"/>
          <w:numId w:val="0"/>
        </w:numPr>
        <w:rPr>
          <w:lang w:eastAsia="ko-KR"/>
        </w:rPr>
      </w:pPr>
      <w:r w:rsidRPr="00100491">
        <w:rPr>
          <w:rFonts w:hint="eastAsia"/>
          <w:i w:val="0"/>
          <w:lang w:eastAsia="ko-KR"/>
        </w:rPr>
        <w:t>3.</w:t>
      </w:r>
      <w:r>
        <w:rPr>
          <w:lang w:eastAsia="ko-KR"/>
        </w:rPr>
        <w:t>3. Modelling of Amine-H</w:t>
      </w:r>
      <w:r w:rsidRPr="00986A1C">
        <w:rPr>
          <w:vertAlign w:val="subscript"/>
          <w:lang w:eastAsia="ko-KR"/>
        </w:rPr>
        <w:t>2</w:t>
      </w:r>
      <w:r>
        <w:rPr>
          <w:lang w:eastAsia="ko-KR"/>
        </w:rPr>
        <w:t>O-CO</w:t>
      </w:r>
      <w:r w:rsidRPr="00986A1C">
        <w:rPr>
          <w:vertAlign w:val="subscript"/>
          <w:lang w:eastAsia="ko-KR"/>
        </w:rPr>
        <w:t>2</w:t>
      </w:r>
    </w:p>
    <w:p w14:paraId="609B0068" w14:textId="7BE8B134" w:rsidR="00100491" w:rsidRDefault="00100491" w:rsidP="00100491">
      <w:pPr>
        <w:pStyle w:val="Els-body-text"/>
        <w:rPr>
          <w:lang w:eastAsia="ko-KR"/>
        </w:rPr>
      </w:pPr>
      <w:r w:rsidRPr="00100491">
        <w:rPr>
          <w:lang w:eastAsia="ko-KR"/>
        </w:rPr>
        <w:t xml:space="preserve">The solubility of </w:t>
      </w:r>
      <w:r w:rsidR="00986A1C">
        <w:rPr>
          <w:lang w:eastAsia="ko-KR"/>
        </w:rPr>
        <w:t>CO</w:t>
      </w:r>
      <w:r w:rsidR="00986A1C" w:rsidRPr="00986A1C">
        <w:rPr>
          <w:vertAlign w:val="subscript"/>
          <w:lang w:eastAsia="ko-KR"/>
        </w:rPr>
        <w:t>2</w:t>
      </w:r>
      <w:r w:rsidR="00986A1C">
        <w:rPr>
          <w:lang w:eastAsia="ko-KR"/>
        </w:rPr>
        <w:t xml:space="preserve"> under</w:t>
      </w:r>
      <w:r w:rsidRPr="00100491">
        <w:rPr>
          <w:lang w:eastAsia="ko-KR"/>
        </w:rPr>
        <w:t xml:space="preserve"> a wide range of thermodynamic conditions is a crucial factor in evaluating the potential of a solvent for CO</w:t>
      </w:r>
      <w:r w:rsidRPr="00986A1C">
        <w:rPr>
          <w:vertAlign w:val="subscript"/>
          <w:lang w:eastAsia="ko-KR"/>
        </w:rPr>
        <w:t>2</w:t>
      </w:r>
      <w:r w:rsidRPr="00100491">
        <w:rPr>
          <w:lang w:eastAsia="ko-KR"/>
        </w:rPr>
        <w:t xml:space="preserve"> capture applications</w:t>
      </w:r>
      <w:r w:rsidR="00986A1C">
        <w:rPr>
          <w:lang w:eastAsia="ko-KR"/>
        </w:rPr>
        <w:t xml:space="preserve"> </w:t>
      </w:r>
      <w:r w:rsidR="00986A1C">
        <w:rPr>
          <w:lang w:eastAsia="ko-KR"/>
        </w:rPr>
        <w:fldChar w:fldCharType="begin"/>
      </w:r>
      <w:r w:rsidR="00986A1C">
        <w:rPr>
          <w:lang w:eastAsia="ko-KR"/>
        </w:rPr>
        <w:instrText xml:space="preserve"> ADDIN EN.CITE &lt;EndNote&gt;&lt;Cite&gt;&lt;Author&gt;Pereira&lt;/Author&gt;&lt;Year&gt;2018&lt;/Year&gt;&lt;RecNum&gt;29&lt;/RecNum&gt;&lt;DisplayText&gt;(Pereira &amp;amp; Vega, 2018)&lt;/DisplayText&gt;&lt;record&gt;&lt;rec-number&gt;29&lt;/rec-number&gt;&lt;foreign-keys&gt;&lt;key app="EN" db-id="p59rzarf5z9dare5tx7xwpxqd5peezss525v" timestamp="1701170023"&gt;29&lt;/key&gt;&lt;/foreign-keys&gt;&lt;ref-type name="Journal Article"&gt;17&lt;/ref-type&gt;&lt;contributors&gt;&lt;authors&gt;&lt;author&gt;Pereira, Luís MC&lt;/author&gt;&lt;author&gt;Vega, Lourdes F&lt;/author&gt;&lt;/authors&gt;&lt;/contributors&gt;&lt;titles&gt;&lt;title&gt;A systematic approach for the thermodynamic modelling of CO2-amine absorption process using molecular-based models&lt;/title&gt;&lt;secondary-title&gt;Applied Energy&lt;/secondary-title&gt;&lt;/titles&gt;&lt;periodical&gt;&lt;full-title&gt;Applied Energy&lt;/full-title&gt;&lt;/periodical&gt;&lt;pages&gt;273-291&lt;/pages&gt;&lt;volume&gt;232&lt;/volume&gt;&lt;dates&gt;&lt;year&gt;2018&lt;/year&gt;&lt;/dates&gt;&lt;isbn&gt;0306-2619&lt;/isbn&gt;&lt;urls&gt;&lt;/urls&gt;&lt;/record&gt;&lt;/Cite&gt;&lt;/EndNote&gt;</w:instrText>
      </w:r>
      <w:r w:rsidR="00986A1C">
        <w:rPr>
          <w:lang w:eastAsia="ko-KR"/>
        </w:rPr>
        <w:fldChar w:fldCharType="separate"/>
      </w:r>
      <w:r w:rsidR="00986A1C">
        <w:rPr>
          <w:noProof/>
          <w:lang w:eastAsia="ko-KR"/>
        </w:rPr>
        <w:t>(Pereira &amp; Vega, 2018)</w:t>
      </w:r>
      <w:r w:rsidR="00986A1C">
        <w:rPr>
          <w:lang w:eastAsia="ko-KR"/>
        </w:rPr>
        <w:fldChar w:fldCharType="end"/>
      </w:r>
      <w:r w:rsidRPr="00100491">
        <w:rPr>
          <w:lang w:eastAsia="ko-KR"/>
        </w:rPr>
        <w:t xml:space="preserve">. </w:t>
      </w:r>
      <w:r w:rsidR="00986A1C">
        <w:rPr>
          <w:lang w:eastAsia="ko-KR"/>
        </w:rPr>
        <w:t xml:space="preserve">To </w:t>
      </w:r>
      <w:r w:rsidRPr="00100491">
        <w:rPr>
          <w:lang w:eastAsia="ko-KR"/>
        </w:rPr>
        <w:t>design absorber</w:t>
      </w:r>
      <w:r w:rsidR="00986A1C">
        <w:rPr>
          <w:lang w:eastAsia="ko-KR"/>
        </w:rPr>
        <w:t xml:space="preserve"> efficiently</w:t>
      </w:r>
      <w:r w:rsidRPr="00100491">
        <w:rPr>
          <w:lang w:eastAsia="ko-KR"/>
        </w:rPr>
        <w:t>, it is necessary to predict the solubility of CO</w:t>
      </w:r>
      <w:r w:rsidRPr="00986A1C">
        <w:rPr>
          <w:vertAlign w:val="subscript"/>
          <w:lang w:eastAsia="ko-KR"/>
        </w:rPr>
        <w:t>2</w:t>
      </w:r>
      <w:r>
        <w:rPr>
          <w:lang w:eastAsia="ko-KR"/>
        </w:rPr>
        <w:t>. In</w:t>
      </w:r>
      <w:r w:rsidRPr="00100491">
        <w:rPr>
          <w:lang w:eastAsia="ko-KR"/>
        </w:rPr>
        <w:t xml:space="preserve"> addition, since the regeneration process of the amine solvent occurs in the stripper, the operating conditions </w:t>
      </w:r>
      <w:r w:rsidR="00986A1C">
        <w:rPr>
          <w:lang w:eastAsia="ko-KR"/>
        </w:rPr>
        <w:t>should consider CO</w:t>
      </w:r>
      <w:r w:rsidR="00986A1C" w:rsidRPr="00986A1C">
        <w:rPr>
          <w:vertAlign w:val="subscript"/>
          <w:lang w:eastAsia="ko-KR"/>
        </w:rPr>
        <w:t>2</w:t>
      </w:r>
      <w:r w:rsidR="00986A1C">
        <w:rPr>
          <w:lang w:eastAsia="ko-KR"/>
        </w:rPr>
        <w:t xml:space="preserve"> solubility</w:t>
      </w:r>
      <w:r w:rsidRPr="00100491">
        <w:rPr>
          <w:lang w:eastAsia="ko-KR"/>
        </w:rPr>
        <w:t xml:space="preserve"> so that the CO</w:t>
      </w:r>
      <w:r w:rsidRPr="00986A1C">
        <w:rPr>
          <w:vertAlign w:val="subscript"/>
          <w:lang w:eastAsia="ko-KR"/>
        </w:rPr>
        <w:t>2</w:t>
      </w:r>
      <w:r w:rsidRPr="00100491">
        <w:rPr>
          <w:lang w:eastAsia="ko-KR"/>
        </w:rPr>
        <w:t xml:space="preserve"> can be easily separated from the solvent Modelling CO</w:t>
      </w:r>
      <w:r w:rsidRPr="00986A1C">
        <w:rPr>
          <w:vertAlign w:val="subscript"/>
          <w:lang w:eastAsia="ko-KR"/>
        </w:rPr>
        <w:t>2</w:t>
      </w:r>
      <w:r w:rsidRPr="00100491">
        <w:rPr>
          <w:lang w:eastAsia="ko-KR"/>
        </w:rPr>
        <w:t xml:space="preserve"> absorption in amine aqueous solutions is a </w:t>
      </w:r>
      <w:r w:rsidR="00986A1C">
        <w:rPr>
          <w:lang w:eastAsia="ko-KR"/>
        </w:rPr>
        <w:t xml:space="preserve">fundamental </w:t>
      </w:r>
      <w:r w:rsidRPr="00100491">
        <w:rPr>
          <w:lang w:eastAsia="ko-KR"/>
        </w:rPr>
        <w:t xml:space="preserve">thermodynamic method. </w:t>
      </w:r>
    </w:p>
    <w:p w14:paraId="2F054D9C" w14:textId="04EC1178" w:rsidR="00D525D8" w:rsidRDefault="00D525D8" w:rsidP="00100491">
      <w:pPr>
        <w:pStyle w:val="Els-body-text"/>
        <w:rPr>
          <w:lang w:eastAsia="ko-KR"/>
        </w:rPr>
      </w:pPr>
    </w:p>
    <w:p w14:paraId="3C7B3B64" w14:textId="7073BDB5" w:rsidR="00675C4C" w:rsidRDefault="00675C4C" w:rsidP="00675C4C">
      <w:pPr>
        <w:pStyle w:val="Els-2ndorder-head"/>
        <w:numPr>
          <w:ilvl w:val="0"/>
          <w:numId w:val="0"/>
        </w:numPr>
        <w:rPr>
          <w:lang w:eastAsia="ko-KR"/>
        </w:rPr>
      </w:pPr>
      <w:r w:rsidRPr="00100491">
        <w:rPr>
          <w:rFonts w:hint="eastAsia"/>
          <w:i w:val="0"/>
          <w:lang w:eastAsia="ko-KR"/>
        </w:rPr>
        <w:t>3.</w:t>
      </w:r>
      <w:r>
        <w:rPr>
          <w:lang w:eastAsia="ko-KR"/>
        </w:rPr>
        <w:t xml:space="preserve">3.1. </w:t>
      </w:r>
      <w:r w:rsidR="000F0E5F">
        <w:rPr>
          <w:rFonts w:hint="eastAsia"/>
          <w:lang w:eastAsia="ko-KR"/>
        </w:rPr>
        <w:t>T</w:t>
      </w:r>
      <w:r w:rsidR="000F0E5F">
        <w:rPr>
          <w:lang w:eastAsia="ko-KR"/>
        </w:rPr>
        <w:t>he phase equilibrium</w:t>
      </w:r>
    </w:p>
    <w:p w14:paraId="7B320DEC" w14:textId="16B9DEB2" w:rsidR="00675C4C" w:rsidRPr="00675C4C" w:rsidRDefault="000F0E5F" w:rsidP="00675C4C">
      <w:pPr>
        <w:pStyle w:val="Els-body-text"/>
        <w:rPr>
          <w:lang w:eastAsia="ko-KR"/>
        </w:rPr>
      </w:pPr>
      <w:r w:rsidRPr="000F0E5F">
        <w:rPr>
          <w:lang w:eastAsia="ko-KR"/>
        </w:rPr>
        <w:t>The concentration of CO</w:t>
      </w:r>
      <w:r w:rsidRPr="00BC4A5F">
        <w:rPr>
          <w:vertAlign w:val="subscript"/>
          <w:lang w:eastAsia="ko-KR"/>
        </w:rPr>
        <w:t>2</w:t>
      </w:r>
      <w:r w:rsidRPr="000F0E5F">
        <w:rPr>
          <w:lang w:eastAsia="ko-KR"/>
        </w:rPr>
        <w:t xml:space="preserve"> in the liquid phase and the partial pressure of CO</w:t>
      </w:r>
      <w:r w:rsidRPr="00BC4A5F">
        <w:rPr>
          <w:vertAlign w:val="subscript"/>
          <w:lang w:eastAsia="ko-KR"/>
        </w:rPr>
        <w:t>2</w:t>
      </w:r>
      <w:r w:rsidRPr="000F0E5F">
        <w:rPr>
          <w:lang w:eastAsia="ko-KR"/>
        </w:rPr>
        <w:t xml:space="preserve"> in the gas phase </w:t>
      </w:r>
      <w:r>
        <w:rPr>
          <w:lang w:eastAsia="ko-KR"/>
        </w:rPr>
        <w:t>can be described by</w:t>
      </w:r>
      <w:r w:rsidRPr="000F0E5F">
        <w:rPr>
          <w:lang w:eastAsia="ko-KR"/>
        </w:rPr>
        <w:t xml:space="preserve"> Henry's and </w:t>
      </w:r>
      <w:proofErr w:type="spellStart"/>
      <w:r w:rsidRPr="000F0E5F">
        <w:rPr>
          <w:lang w:eastAsia="ko-KR"/>
        </w:rPr>
        <w:t>Raoult's</w:t>
      </w:r>
      <w:proofErr w:type="spellEnd"/>
      <w:r w:rsidRPr="000F0E5F">
        <w:rPr>
          <w:lang w:eastAsia="ko-KR"/>
        </w:rPr>
        <w:t xml:space="preserve"> laws</w:t>
      </w:r>
      <w:r>
        <w:rPr>
          <w:lang w:eastAsia="ko-KR"/>
        </w:rPr>
        <w:t xml:space="preserve"> </w:t>
      </w:r>
      <w:r>
        <w:rPr>
          <w:lang w:eastAsia="ko-KR"/>
        </w:rPr>
        <w:fldChar w:fldCharType="begin"/>
      </w:r>
      <w:r w:rsidR="002108A7">
        <w:rPr>
          <w:lang w:eastAsia="ko-KR"/>
        </w:rPr>
        <w:instrText xml:space="preserve"> ADDIN EN.CITE &lt;EndNote&gt;&lt;Cite&gt;&lt;Author&gt;Kim&lt;/Author&gt;&lt;Year&gt;2022&lt;/Year&gt;&lt;RecNum&gt;12&lt;/RecNum&gt;&lt;DisplayText&gt;(Kim et al., 2022)&lt;/DisplayText&gt;&lt;record&gt;&lt;rec-number&gt;12&lt;/rec-number&gt;&lt;foreign-keys&gt;&lt;key app="EN" db-id="p59rzarf5z9dare5tx7xwpxqd5peezss525v" timestamp="1697434749"&gt;12&lt;/key&gt;&lt;/foreign-keys&gt;&lt;ref-type name="Journal Article"&gt;17&lt;/ref-type&gt;&lt;contributors&gt;&lt;authors&gt;&lt;author&gt;Kim, Seung-Mo&lt;/author&gt;&lt;author&gt;Kim, Kyung-Min&lt;/author&gt;&lt;author&gt;Choi, Bong-Keun&lt;/author&gt;&lt;author&gt;Mun, Ji-Hun&lt;/author&gt;&lt;author&gt;Shin, Beom-Ju&lt;/author&gt;&lt;author&gt;Lee, Ugwiyeon&lt;/author&gt;&lt;author&gt;Shin, Chae-Ho&lt;/author&gt;&lt;author&gt;Choi, Jungkyu&lt;/author&gt;&lt;author&gt;Min, Byoung-Moo&lt;/author&gt;&lt;author&gt;Lee, Ung&lt;/author&gt;&lt;author&gt;Moon, Jong-Ho&lt;/author&gt;&lt;/authors&gt;&lt;/contributors&gt;&lt;titles&gt;&lt;title&gt;CO2 absorption mechanism in aqueous ternary solutions of alkanolamines: Experimental and thermodynamic modeling approaches&lt;/title&gt;&lt;secondary-title&gt;Chemical Engineering Journal&lt;/secondary-title&gt;&lt;/titles&gt;&lt;periodical&gt;&lt;full-title&gt;Chemical Engineering Journal&lt;/full-title&gt;&lt;/periodical&gt;&lt;pages&gt;132044&lt;/pages&gt;&lt;volume&gt;428&lt;/volume&gt;&lt;keywords&gt;&lt;keyword&gt;Three-component alkanolamine solution&lt;/keyword&gt;&lt;keyword&gt;Monoethanolamine (MEA)&lt;/keyword&gt;&lt;keyword&gt;Diisopropanolamine (DIPA)&lt;/keyword&gt;&lt;keyword&gt;2-amino-2-methyl-propanol (AMP)&lt;/keyword&gt;&lt;keyword&gt;MDA (MEA–DIPA–AMP)&lt;/keyword&gt;&lt;keyword&gt;Deshmukh–Mather model&lt;/keyword&gt;&lt;/keywords&gt;&lt;dates&gt;&lt;year&gt;2022&lt;/year&gt;&lt;pub-dates&gt;&lt;date&gt;2022/01/15/&lt;/date&gt;&lt;/pub-dates&gt;&lt;/dates&gt;&lt;isbn&gt;1385-8947&lt;/isbn&gt;&lt;urls&gt;&lt;related-urls&gt;&lt;url&gt;https://www.sciencedirect.com/science/article/pii/S1385894721036238&lt;/url&gt;&lt;url&gt;https://www.sciencedirect.com/science/article/pii/S1385894721036238?via%3Dihub&lt;/url&gt;&lt;/related-urls&gt;&lt;/urls&gt;&lt;electronic-resource-num&gt;https://doi.org/10.1016/j.cej.2021.132044&lt;/electronic-resource-num&gt;&lt;/record&gt;&lt;/Cite&gt;&lt;/EndNote&gt;</w:instrText>
      </w:r>
      <w:r>
        <w:rPr>
          <w:lang w:eastAsia="ko-KR"/>
        </w:rPr>
        <w:fldChar w:fldCharType="separate"/>
      </w:r>
      <w:r>
        <w:rPr>
          <w:noProof/>
          <w:lang w:eastAsia="ko-KR"/>
        </w:rPr>
        <w:t>(Kim et al., 2022)</w:t>
      </w:r>
      <w:r>
        <w:rPr>
          <w:lang w:eastAsia="ko-KR"/>
        </w:rPr>
        <w:fldChar w:fldCharType="end"/>
      </w:r>
      <w:r>
        <w:rPr>
          <w:lang w:eastAsia="ko-KR"/>
        </w:rPr>
        <w:t xml:space="preserve">  : </w:t>
      </w:r>
    </w:p>
    <w:tbl>
      <w:tblPr>
        <w:tblStyle w:val="af0"/>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986"/>
      </w:tblGrid>
      <w:tr w:rsidR="00675C4C" w:rsidRPr="00CF76FC" w14:paraId="17CC52DA" w14:textId="77777777" w:rsidTr="00BC4A5F">
        <w:trPr>
          <w:trHeight w:val="194"/>
        </w:trPr>
        <w:tc>
          <w:tcPr>
            <w:tcW w:w="6091" w:type="dxa"/>
          </w:tcPr>
          <w:p w14:paraId="7281A14A" w14:textId="1D4CE289" w:rsidR="00675C4C" w:rsidRPr="001F19E4" w:rsidRDefault="00675C4C" w:rsidP="00386B4F">
            <w:pPr>
              <w:rPr>
                <w:sz w:val="12"/>
                <w:szCs w:val="12"/>
              </w:rPr>
            </w:pPr>
          </w:p>
          <w:p w14:paraId="50FA1E4C" w14:textId="77777777" w:rsidR="00675C4C" w:rsidRPr="005E722F" w:rsidRDefault="00000000" w:rsidP="00675C4C">
            <w:pPr>
              <w:rPr>
                <w:kern w:val="2"/>
                <w:szCs w:val="22"/>
              </w:rPr>
            </w:pPr>
            <m:oMathPara>
              <m:oMathParaPr>
                <m:jc m:val="left"/>
              </m:oMathParaPr>
              <m:oMath>
                <m:sSub>
                  <m:sSubPr>
                    <m:ctrlPr>
                      <w:rPr>
                        <w:rFonts w:ascii="Cambria Math" w:hAnsi="Cambria Math"/>
                        <w:i/>
                        <w:kern w:val="2"/>
                        <w:szCs w:val="22"/>
                      </w:rPr>
                    </m:ctrlPr>
                  </m:sSubPr>
                  <m:e>
                    <m:r>
                      <w:rPr>
                        <w:rFonts w:ascii="Cambria Math" w:hAnsi="Cambria Math"/>
                      </w:rPr>
                      <m:t>ϕ</m:t>
                    </m:r>
                  </m:e>
                  <m:sub>
                    <m:sSub>
                      <m:sSubPr>
                        <m:ctrlPr>
                          <w:rPr>
                            <w:rFonts w:ascii="Cambria Math" w:hAnsi="Cambria Math"/>
                            <w:i/>
                            <w:iCs/>
                            <w:kern w:val="2"/>
                            <w:szCs w:val="22"/>
                          </w:rPr>
                        </m:ctrlPr>
                      </m:sSubPr>
                      <m:e>
                        <m:r>
                          <w:rPr>
                            <w:rFonts w:ascii="Cambria Math" w:hAnsi="Cambria Math"/>
                          </w:rPr>
                          <m:t>CO</m:t>
                        </m:r>
                      </m:e>
                      <m:sub>
                        <m:r>
                          <w:rPr>
                            <w:rFonts w:ascii="Cambria Math" w:hAnsi="Cambria Math"/>
                          </w:rPr>
                          <m:t>2 </m:t>
                        </m:r>
                      </m:sub>
                    </m:sSub>
                  </m:sub>
                </m:sSub>
                <m:sSub>
                  <m:sSubPr>
                    <m:ctrlPr>
                      <w:rPr>
                        <w:rFonts w:ascii="Cambria Math" w:hAnsi="Cambria Math"/>
                        <w:i/>
                        <w:kern w:val="2"/>
                        <w:szCs w:val="22"/>
                      </w:rPr>
                    </m:ctrlPr>
                  </m:sSubPr>
                  <m:e>
                    <m:r>
                      <w:rPr>
                        <w:rFonts w:ascii="Cambria Math" w:hAnsi="Cambria Math"/>
                      </w:rPr>
                      <m:t>y</m:t>
                    </m:r>
                  </m:e>
                  <m:sub>
                    <m:sSub>
                      <m:sSubPr>
                        <m:ctrlPr>
                          <w:rPr>
                            <w:rFonts w:ascii="Cambria Math" w:hAnsi="Cambria Math"/>
                            <w:i/>
                            <w:iCs/>
                            <w:kern w:val="2"/>
                            <w:szCs w:val="22"/>
                          </w:rPr>
                        </m:ctrlPr>
                      </m:sSubPr>
                      <m:e>
                        <m:r>
                          <w:rPr>
                            <w:rFonts w:ascii="Cambria Math" w:hAnsi="Cambria Math"/>
                          </w:rPr>
                          <m:t>CO</m:t>
                        </m:r>
                      </m:e>
                      <m:sub>
                        <m:r>
                          <w:rPr>
                            <w:rFonts w:ascii="Cambria Math" w:hAnsi="Cambria Math"/>
                          </w:rPr>
                          <m:t>2 </m:t>
                        </m:r>
                      </m:sub>
                    </m:sSub>
                  </m:sub>
                </m:sSub>
                <m:sSup>
                  <m:sSupPr>
                    <m:ctrlPr>
                      <w:rPr>
                        <w:rFonts w:ascii="Cambria Math" w:hAnsi="Cambria Math"/>
                        <w:i/>
                        <w:kern w:val="2"/>
                        <w:szCs w:val="22"/>
                      </w:rPr>
                    </m:ctrlPr>
                  </m:sSupPr>
                  <m:e>
                    <m:r>
                      <w:rPr>
                        <w:rFonts w:ascii="Cambria Math" w:hAnsi="Cambria Math"/>
                      </w:rPr>
                      <m:t>P</m:t>
                    </m:r>
                  </m:e>
                  <m:sup>
                    <m:r>
                      <w:rPr>
                        <w:rFonts w:ascii="Cambria Math" w:hAnsi="Cambria Math"/>
                      </w:rPr>
                      <m:t>tot</m:t>
                    </m:r>
                  </m:sup>
                </m:sSup>
                <m:r>
                  <w:rPr>
                    <w:rFonts w:ascii="Cambria Math" w:hAnsi="Cambria Math"/>
                  </w:rPr>
                  <m:t>=</m:t>
                </m:r>
                <m:sSub>
                  <m:sSubPr>
                    <m:ctrlPr>
                      <w:rPr>
                        <w:rFonts w:ascii="Cambria Math" w:hAnsi="Cambria Math"/>
                        <w:i/>
                        <w:kern w:val="2"/>
                        <w:szCs w:val="22"/>
                      </w:rPr>
                    </m:ctrlPr>
                  </m:sSubPr>
                  <m:e>
                    <m:r>
                      <w:rPr>
                        <w:rFonts w:ascii="Cambria Math" w:hAnsi="Cambria Math"/>
                      </w:rPr>
                      <m:t>H</m:t>
                    </m:r>
                  </m:e>
                  <m:sub>
                    <m:sSub>
                      <m:sSubPr>
                        <m:ctrlPr>
                          <w:rPr>
                            <w:rFonts w:ascii="Cambria Math" w:hAnsi="Cambria Math"/>
                            <w:i/>
                            <w:iCs/>
                            <w:kern w:val="2"/>
                            <w:szCs w:val="22"/>
                          </w:rPr>
                        </m:ctrlPr>
                      </m:sSubPr>
                      <m:e>
                        <m:r>
                          <w:rPr>
                            <w:rFonts w:ascii="Cambria Math" w:hAnsi="Cambria Math"/>
                          </w:rPr>
                          <m:t>CO</m:t>
                        </m:r>
                      </m:e>
                      <m:sub>
                        <m:r>
                          <w:rPr>
                            <w:rFonts w:ascii="Cambria Math" w:hAnsi="Cambria Math"/>
                          </w:rPr>
                          <m:t>2 </m:t>
                        </m:r>
                      </m:sub>
                    </m:sSub>
                  </m:sub>
                </m:sSub>
                <m:sSubSup>
                  <m:sSubSupPr>
                    <m:ctrlPr>
                      <w:rPr>
                        <w:rFonts w:ascii="Cambria Math" w:hAnsi="Cambria Math"/>
                        <w:i/>
                        <w:kern w:val="2"/>
                        <w:szCs w:val="22"/>
                      </w:rPr>
                    </m:ctrlPr>
                  </m:sSubSupPr>
                  <m:e>
                    <m:r>
                      <w:rPr>
                        <w:rFonts w:ascii="Cambria Math" w:hAnsi="Cambria Math"/>
                      </w:rPr>
                      <m:t>γ</m:t>
                    </m:r>
                  </m:e>
                  <m:sub>
                    <m:sSub>
                      <m:sSubPr>
                        <m:ctrlPr>
                          <w:rPr>
                            <w:rFonts w:ascii="Cambria Math" w:hAnsi="Cambria Math"/>
                            <w:i/>
                            <w:iCs/>
                            <w:kern w:val="2"/>
                            <w:szCs w:val="22"/>
                          </w:rPr>
                        </m:ctrlPr>
                      </m:sSubPr>
                      <m:e>
                        <m:r>
                          <w:rPr>
                            <w:rFonts w:ascii="Cambria Math" w:hAnsi="Cambria Math"/>
                          </w:rPr>
                          <m:t>CO</m:t>
                        </m:r>
                      </m:e>
                      <m:sub>
                        <m:r>
                          <w:rPr>
                            <w:rFonts w:ascii="Cambria Math" w:hAnsi="Cambria Math"/>
                          </w:rPr>
                          <m:t>2 </m:t>
                        </m:r>
                      </m:sub>
                    </m:sSub>
                  </m:sub>
                  <m:sup>
                    <m:r>
                      <w:rPr>
                        <w:rFonts w:ascii="Cambria Math" w:hAnsi="Cambria Math"/>
                      </w:rPr>
                      <m:t>*</m:t>
                    </m:r>
                  </m:sup>
                </m:sSubSup>
                <m:sSub>
                  <m:sSubPr>
                    <m:ctrlPr>
                      <w:rPr>
                        <w:rFonts w:ascii="Cambria Math" w:hAnsi="Cambria Math"/>
                        <w:i/>
                        <w:kern w:val="2"/>
                        <w:szCs w:val="22"/>
                      </w:rPr>
                    </m:ctrlPr>
                  </m:sSubPr>
                  <m:e>
                    <m:r>
                      <w:rPr>
                        <w:rFonts w:ascii="Cambria Math" w:hAnsi="Cambria Math"/>
                      </w:rPr>
                      <m:t>x</m:t>
                    </m:r>
                  </m:e>
                  <m:sub>
                    <m:sSub>
                      <m:sSubPr>
                        <m:ctrlPr>
                          <w:rPr>
                            <w:rFonts w:ascii="Cambria Math" w:hAnsi="Cambria Math"/>
                            <w:i/>
                            <w:iCs/>
                            <w:kern w:val="2"/>
                            <w:szCs w:val="22"/>
                          </w:rPr>
                        </m:ctrlPr>
                      </m:sSubPr>
                      <m:e>
                        <m:r>
                          <w:rPr>
                            <w:rFonts w:ascii="Cambria Math" w:hAnsi="Cambria Math"/>
                          </w:rPr>
                          <m:t>CO</m:t>
                        </m:r>
                      </m:e>
                      <m:sub>
                        <m:r>
                          <w:rPr>
                            <w:rFonts w:ascii="Cambria Math" w:hAnsi="Cambria Math"/>
                          </w:rPr>
                          <m:t>2 </m:t>
                        </m:r>
                      </m:sub>
                    </m:sSub>
                  </m:sub>
                </m:sSub>
                <m:r>
                  <m:rPr>
                    <m:sty m:val="p"/>
                  </m:rPr>
                  <w:rPr>
                    <w:rFonts w:ascii="Cambria Math" w:hAnsi="Cambria Math"/>
                  </w:rPr>
                  <m:t>exp⁡</m:t>
                </m:r>
                <m:d>
                  <m:dPr>
                    <m:ctrlPr>
                      <w:rPr>
                        <w:rFonts w:ascii="Cambria Math" w:hAnsi="Cambria Math"/>
                        <w:i/>
                        <w:kern w:val="2"/>
                        <w:szCs w:val="22"/>
                      </w:rPr>
                    </m:ctrlPr>
                  </m:dPr>
                  <m:e>
                    <m:f>
                      <m:fPr>
                        <m:ctrlPr>
                          <w:rPr>
                            <w:rFonts w:ascii="Cambria Math" w:hAnsi="Cambria Math"/>
                            <w:i/>
                            <w:kern w:val="2"/>
                            <w:szCs w:val="22"/>
                          </w:rPr>
                        </m:ctrlPr>
                      </m:fPr>
                      <m:num>
                        <m:sSubSup>
                          <m:sSubSupPr>
                            <m:ctrlPr>
                              <w:rPr>
                                <w:rFonts w:ascii="Cambria Math" w:hAnsi="Cambria Math"/>
                                <w:i/>
                                <w:iCs/>
                                <w:kern w:val="2"/>
                                <w:szCs w:val="22"/>
                              </w:rPr>
                            </m:ctrlPr>
                          </m:sSubSupPr>
                          <m:e>
                            <m:r>
                              <w:rPr>
                                <w:rFonts w:ascii="Cambria Math" w:hAnsi="Cambria Math"/>
                              </w:rPr>
                              <m:t>v</m:t>
                            </m:r>
                          </m:e>
                          <m:sub>
                            <m:sSub>
                              <m:sSubPr>
                                <m:ctrlPr>
                                  <w:rPr>
                                    <w:rFonts w:ascii="Cambria Math" w:hAnsi="Cambria Math"/>
                                    <w:i/>
                                    <w:iCs/>
                                    <w:kern w:val="2"/>
                                    <w:szCs w:val="22"/>
                                  </w:rPr>
                                </m:ctrlPr>
                              </m:sSubPr>
                              <m:e>
                                <m:r>
                                  <w:rPr>
                                    <w:rFonts w:ascii="Cambria Math" w:hAnsi="Cambria Math"/>
                                  </w:rPr>
                                  <m:t>CO</m:t>
                                </m:r>
                              </m:e>
                              <m:sub>
                                <m:r>
                                  <w:rPr>
                                    <w:rFonts w:ascii="Cambria Math" w:hAnsi="Cambria Math"/>
                                  </w:rPr>
                                  <m:t>2 </m:t>
                                </m:r>
                              </m:sub>
                            </m:sSub>
                          </m:sub>
                          <m:sup>
                            <m:r>
                              <w:rPr>
                                <w:rFonts w:ascii="Cambria Math" w:hAnsi="Cambria Math"/>
                              </w:rPr>
                              <m:t>∞</m:t>
                            </m:r>
                          </m:sup>
                        </m:sSubSup>
                        <m:d>
                          <m:dPr>
                            <m:ctrlPr>
                              <w:rPr>
                                <w:rFonts w:ascii="Cambria Math" w:hAnsi="Cambria Math"/>
                                <w:i/>
                                <w:iCs/>
                                <w:kern w:val="2"/>
                                <w:szCs w:val="22"/>
                              </w:rPr>
                            </m:ctrlPr>
                          </m:dPr>
                          <m:e>
                            <m:r>
                              <w:rPr>
                                <w:rFonts w:ascii="Cambria Math" w:hAnsi="Cambria Math"/>
                              </w:rPr>
                              <m:t>P-</m:t>
                            </m:r>
                            <m:sSubSup>
                              <m:sSubSupPr>
                                <m:ctrlPr>
                                  <w:rPr>
                                    <w:rFonts w:ascii="Cambria Math" w:hAnsi="Cambria Math"/>
                                    <w:i/>
                                    <w:iCs/>
                                    <w:kern w:val="2"/>
                                    <w:szCs w:val="22"/>
                                  </w:rPr>
                                </m:ctrlPr>
                              </m:sSubSupPr>
                              <m:e>
                                <m:r>
                                  <w:rPr>
                                    <w:rFonts w:ascii="Cambria Math" w:hAnsi="Cambria Math"/>
                                  </w:rPr>
                                  <m:t>P</m:t>
                                </m:r>
                              </m:e>
                              <m:sub>
                                <m:r>
                                  <w:rPr>
                                    <w:rFonts w:ascii="Cambria Math" w:hAnsi="Cambria Math"/>
                                  </w:rPr>
                                  <m:t>w</m:t>
                                </m:r>
                              </m:sub>
                              <m:sup>
                                <m:r>
                                  <w:rPr>
                                    <w:rFonts w:ascii="Cambria Math" w:hAnsi="Cambria Math"/>
                                  </w:rPr>
                                  <m:t>0</m:t>
                                </m:r>
                              </m:sup>
                            </m:sSubSup>
                          </m:e>
                        </m:d>
                      </m:num>
                      <m:den>
                        <m:r>
                          <w:rPr>
                            <w:rFonts w:ascii="Cambria Math" w:hAnsi="Cambria Math"/>
                          </w:rPr>
                          <m:t>RT</m:t>
                        </m:r>
                      </m:den>
                    </m:f>
                  </m:e>
                </m:d>
              </m:oMath>
            </m:oMathPara>
          </w:p>
          <w:p w14:paraId="629B4A21" w14:textId="77777777" w:rsidR="005E722F" w:rsidRDefault="005E722F" w:rsidP="00675C4C">
            <w:pPr>
              <w:rPr>
                <w:lang w:eastAsia="ko-KR"/>
              </w:rPr>
            </w:pPr>
          </w:p>
          <w:p w14:paraId="40B0E3CF" w14:textId="364450DB" w:rsidR="00675C4C" w:rsidRPr="007C0C58" w:rsidRDefault="00675C4C" w:rsidP="00675C4C">
            <w:pPr>
              <w:rPr>
                <w:sz w:val="12"/>
                <w:szCs w:val="12"/>
              </w:rPr>
            </w:pPr>
          </w:p>
        </w:tc>
        <w:tc>
          <w:tcPr>
            <w:tcW w:w="986" w:type="dxa"/>
          </w:tcPr>
          <w:p w14:paraId="5D2051D7" w14:textId="77777777" w:rsidR="00675C4C" w:rsidRPr="00CF76FC" w:rsidRDefault="00675C4C" w:rsidP="00573EA1">
            <w:pPr>
              <w:pStyle w:val="Els-body-text"/>
              <w:ind w:right="700"/>
              <w:jc w:val="right"/>
              <w:rPr>
                <w:lang w:val="en-GB" w:eastAsia="ko-KR"/>
              </w:rPr>
            </w:pPr>
          </w:p>
          <w:p w14:paraId="3BF0968C" w14:textId="483B421B" w:rsidR="00675C4C" w:rsidRPr="00CF76FC" w:rsidRDefault="00675C4C" w:rsidP="00386B4F">
            <w:pPr>
              <w:pStyle w:val="Els-body-text"/>
              <w:jc w:val="right"/>
              <w:rPr>
                <w:lang w:val="en-GB" w:eastAsia="ko-KR"/>
              </w:rPr>
            </w:pPr>
            <w:r>
              <w:rPr>
                <w:lang w:val="en-GB" w:eastAsia="ko-KR"/>
              </w:rPr>
              <w:t xml:space="preserve"> </w:t>
            </w:r>
            <w:r w:rsidRPr="00CF76FC">
              <w:rPr>
                <w:rFonts w:hint="eastAsia"/>
                <w:lang w:val="en-GB" w:eastAsia="ko-KR"/>
              </w:rPr>
              <w:t>(</w:t>
            </w:r>
            <w:r w:rsidR="00DB5629">
              <w:rPr>
                <w:lang w:val="en-GB" w:eastAsia="ko-KR"/>
              </w:rPr>
              <w:t>4</w:t>
            </w:r>
            <w:r w:rsidRPr="00CF76FC">
              <w:rPr>
                <w:lang w:val="en-GB" w:eastAsia="ko-KR"/>
              </w:rPr>
              <w:t>)</w:t>
            </w:r>
          </w:p>
        </w:tc>
      </w:tr>
    </w:tbl>
    <w:p w14:paraId="212D1488" w14:textId="3AF2CE9A" w:rsidR="008F5F33" w:rsidRPr="00AA7663" w:rsidRDefault="00675C4C" w:rsidP="008F5F33">
      <w:pPr>
        <w:rPr>
          <w:iCs/>
          <w:lang w:eastAsia="ko-KR"/>
        </w:rPr>
      </w:pPr>
      <w:r w:rsidRPr="00675C4C">
        <w:t xml:space="preserve">where </w:t>
      </w:r>
      <m:oMath>
        <m:sSub>
          <m:sSubPr>
            <m:ctrlPr>
              <w:rPr>
                <w:rFonts w:ascii="Cambria Math" w:hAnsi="Cambria Math"/>
                <w:i/>
              </w:rPr>
            </m:ctrlPr>
          </m:sSubPr>
          <m:e>
            <m:r>
              <w:rPr>
                <w:rFonts w:ascii="Cambria Math" w:hAnsi="Cambria Math"/>
              </w:rPr>
              <m:t>ϕ</m:t>
            </m:r>
          </m:e>
          <m:sub>
            <m:sSub>
              <m:sSubPr>
                <m:ctrlPr>
                  <w:rPr>
                    <w:rFonts w:ascii="Cambria Math" w:hAnsi="Cambria Math"/>
                    <w:i/>
                    <w:iCs/>
                  </w:rPr>
                </m:ctrlPr>
              </m:sSubPr>
              <m:e>
                <m:r>
                  <w:rPr>
                    <w:rFonts w:ascii="Cambria Math" w:hAnsi="Cambria Math"/>
                  </w:rPr>
                  <m:t>CO</m:t>
                </m:r>
              </m:e>
              <m:sub>
                <m:argPr>
                  <m:argSz m:val="1"/>
                </m:argPr>
                <m:r>
                  <w:rPr>
                    <w:rFonts w:ascii="Cambria Math" w:hAnsi="Cambria Math"/>
                  </w:rPr>
                  <m:t>2 </m:t>
                </m:r>
              </m:sub>
            </m:sSub>
          </m:sub>
        </m:sSub>
        <m:r>
          <w:rPr>
            <w:rFonts w:ascii="Cambria Math" w:hAnsi="Cambria Math"/>
          </w:rPr>
          <m:t xml:space="preserve">, </m:t>
        </m:r>
        <m:sSub>
          <m:sSubPr>
            <m:ctrlPr>
              <w:rPr>
                <w:rFonts w:ascii="Cambria Math" w:hAnsi="Cambria Math"/>
                <w:i/>
              </w:rPr>
            </m:ctrlPr>
          </m:sSubPr>
          <m:e>
            <m:r>
              <w:rPr>
                <w:rFonts w:ascii="Cambria Math" w:hAnsi="Cambria Math"/>
              </w:rPr>
              <m:t>y</m:t>
            </m:r>
          </m:e>
          <m:sub>
            <m:sSub>
              <m:sSubPr>
                <m:ctrlPr>
                  <w:rPr>
                    <w:rFonts w:ascii="Cambria Math" w:hAnsi="Cambria Math"/>
                    <w:i/>
                    <w:iCs/>
                  </w:rPr>
                </m:ctrlPr>
              </m:sSubPr>
              <m:e>
                <m:r>
                  <w:rPr>
                    <w:rFonts w:ascii="Cambria Math" w:hAnsi="Cambria Math"/>
                  </w:rPr>
                  <m:t>CO</m:t>
                </m:r>
              </m:e>
              <m:sub>
                <m:argPr>
                  <m:argSz m:val="1"/>
                </m:argPr>
                <m:r>
                  <w:rPr>
                    <w:rFonts w:ascii="Cambria Math" w:hAnsi="Cambria Math"/>
                  </w:rPr>
                  <m:t>2 </m:t>
                </m:r>
              </m:sub>
            </m:sSub>
          </m:sub>
        </m:sSub>
        <m:r>
          <w:rPr>
            <w:rFonts w:ascii="Cambria Math" w:hAnsi="Cambria Math"/>
          </w:rPr>
          <m:t xml:space="preserve"> </m:t>
        </m:r>
        <m:r>
          <m:rPr>
            <m:sty m:val="p"/>
          </m:rPr>
          <w:rPr>
            <w:rFonts w:ascii="Cambria Math" w:hAnsi="Cambria Math"/>
          </w:rPr>
          <m:t>and</m:t>
        </m:r>
        <m:r>
          <w:rPr>
            <w:rFonts w:ascii="Cambria Math" w:hAnsi="Cambria Math"/>
          </w:rPr>
          <m:t xml:space="preserve"> </m:t>
        </m:r>
        <m:sSup>
          <m:sSupPr>
            <m:ctrlPr>
              <w:rPr>
                <w:rFonts w:ascii="Cambria Math" w:hAnsi="Cambria Math"/>
                <w:i/>
              </w:rPr>
            </m:ctrlPr>
          </m:sSupPr>
          <m:e>
            <m:r>
              <w:rPr>
                <w:rFonts w:ascii="Cambria Math" w:hAnsi="Cambria Math"/>
              </w:rPr>
              <m:t>P</m:t>
            </m:r>
          </m:e>
          <m:sup>
            <m:r>
              <w:rPr>
                <w:rFonts w:ascii="Cambria Math" w:hAnsi="Cambria Math"/>
              </w:rPr>
              <m:t>tot</m:t>
            </m:r>
          </m:sup>
        </m:sSup>
        <m:r>
          <w:rPr>
            <w:rFonts w:ascii="Cambria Math" w:hAnsi="Cambria Math"/>
          </w:rPr>
          <m:t xml:space="preserve"> </m:t>
        </m:r>
      </m:oMath>
      <w:r w:rsidRPr="00675C4C">
        <w:t xml:space="preserve">are the fugacity coefficient, the mole fraction of the vapor phase and the total pressure, respectively. The activity coefficient and Henry’s law constant are represented by </w:t>
      </w:r>
      <m:oMath>
        <m:sSubSup>
          <m:sSubSupPr>
            <m:ctrlPr>
              <w:rPr>
                <w:rFonts w:ascii="Cambria Math" w:hAnsi="Cambria Math"/>
                <w:i/>
              </w:rPr>
            </m:ctrlPr>
          </m:sSubSupPr>
          <m:e>
            <m:r>
              <w:rPr>
                <w:rFonts w:ascii="Cambria Math" w:hAnsi="Cambria Math"/>
              </w:rPr>
              <m:t>γ</m:t>
            </m:r>
          </m:e>
          <m:sub>
            <m:sSub>
              <m:sSubPr>
                <m:ctrlPr>
                  <w:rPr>
                    <w:rFonts w:ascii="Cambria Math" w:hAnsi="Cambria Math"/>
                    <w:i/>
                    <w:iCs/>
                  </w:rPr>
                </m:ctrlPr>
              </m:sSubPr>
              <m:e>
                <m:r>
                  <w:rPr>
                    <w:rFonts w:ascii="Cambria Math" w:hAnsi="Cambria Math"/>
                  </w:rPr>
                  <m:t>CO</m:t>
                </m:r>
              </m:e>
              <m:sub>
                <m:r>
                  <w:rPr>
                    <w:rFonts w:ascii="Cambria Math" w:hAnsi="Cambria Math"/>
                  </w:rPr>
                  <m:t>2 </m:t>
                </m:r>
              </m:sub>
            </m:sSub>
          </m:sub>
          <m:sup>
            <m:r>
              <w:rPr>
                <w:rFonts w:ascii="Cambria Math" w:hAnsi="Cambria Math"/>
              </w:rPr>
              <m:t>*</m:t>
            </m:r>
          </m:sup>
        </m:sSubSup>
        <m:r>
          <w:rPr>
            <w:rFonts w:ascii="Cambria Math" w:hAnsi="Cambria Math"/>
          </w:rPr>
          <m:t xml:space="preserve"> </m:t>
        </m:r>
      </m:oMath>
      <w:r w:rsidRPr="00675C4C">
        <w:t xml:space="preserve">and </w:t>
      </w:r>
      <m:oMath>
        <m:sSub>
          <m:sSubPr>
            <m:ctrlPr>
              <w:rPr>
                <w:rFonts w:ascii="Cambria Math" w:hAnsi="Cambria Math"/>
                <w:i/>
              </w:rPr>
            </m:ctrlPr>
          </m:sSubPr>
          <m:e>
            <m:r>
              <w:rPr>
                <w:rFonts w:ascii="Cambria Math" w:hAnsi="Cambria Math"/>
              </w:rPr>
              <m:t>H</m:t>
            </m:r>
          </m:e>
          <m:sub>
            <m:sSub>
              <m:sSubPr>
                <m:ctrlPr>
                  <w:rPr>
                    <w:rFonts w:ascii="Cambria Math" w:hAnsi="Cambria Math"/>
                    <w:i/>
                    <w:iCs/>
                  </w:rPr>
                </m:ctrlPr>
              </m:sSubPr>
              <m:e>
                <m:r>
                  <w:rPr>
                    <w:rFonts w:ascii="Cambria Math" w:hAnsi="Cambria Math"/>
                  </w:rPr>
                  <m:t>CO</m:t>
                </m:r>
              </m:e>
              <m:sub>
                <m:r>
                  <w:rPr>
                    <w:rFonts w:ascii="Cambria Math" w:hAnsi="Cambria Math"/>
                  </w:rPr>
                  <m:t>2 </m:t>
                </m:r>
              </m:sub>
            </m:sSub>
          </m:sub>
        </m:sSub>
      </m:oMath>
      <w:r w:rsidRPr="00675C4C">
        <w:t>, respectively.</w:t>
      </w:r>
      <m:oMath>
        <m:sSub>
          <m:sSubPr>
            <m:ctrlPr>
              <w:rPr>
                <w:rFonts w:ascii="Cambria Math" w:hAnsi="Cambria Math"/>
                <w:i/>
              </w:rPr>
            </m:ctrlPr>
          </m:sSubPr>
          <m:e>
            <m:r>
              <w:rPr>
                <w:rFonts w:ascii="Cambria Math" w:hAnsi="Cambria Math"/>
              </w:rPr>
              <m:t xml:space="preserve"> x</m:t>
            </m:r>
          </m:e>
          <m:sub>
            <m:sSub>
              <m:sSubPr>
                <m:ctrlPr>
                  <w:rPr>
                    <w:rFonts w:ascii="Cambria Math" w:hAnsi="Cambria Math"/>
                    <w:i/>
                    <w:iCs/>
                  </w:rPr>
                </m:ctrlPr>
              </m:sSubPr>
              <m:e>
                <m:r>
                  <w:rPr>
                    <w:rFonts w:ascii="Cambria Math" w:hAnsi="Cambria Math"/>
                  </w:rPr>
                  <m:t>CO</m:t>
                </m:r>
              </m:e>
              <m:sub>
                <m:r>
                  <w:rPr>
                    <w:rFonts w:ascii="Cambria Math" w:hAnsi="Cambria Math"/>
                  </w:rPr>
                  <m:t>2 </m:t>
                </m:r>
              </m:sub>
            </m:sSub>
          </m:sub>
        </m:sSub>
        <m:r>
          <w:rPr>
            <w:rFonts w:ascii="Cambria Math" w:hAnsi="Cambria Math"/>
          </w:rPr>
          <m:t xml:space="preserve">, </m:t>
        </m:r>
        <m:sSubSup>
          <m:sSubSupPr>
            <m:ctrlPr>
              <w:rPr>
                <w:rFonts w:ascii="Cambria Math" w:hAnsi="Cambria Math"/>
              </w:rPr>
            </m:ctrlPr>
          </m:sSubSupPr>
          <m:e>
            <m:r>
              <m:rPr>
                <m:sty m:val="p"/>
              </m:rPr>
              <w:rPr>
                <w:rFonts w:ascii="Cambria Math" w:hAnsi="Cambria Math"/>
              </w:rPr>
              <m:t>P</m:t>
            </m:r>
          </m:e>
          <m:sub>
            <m:r>
              <m:rPr>
                <m:sty m:val="p"/>
              </m:rPr>
              <w:rPr>
                <w:rFonts w:ascii="Cambria Math" w:hAnsi="Cambria Math"/>
              </w:rPr>
              <m:t>w</m:t>
            </m:r>
          </m:sub>
          <m:sup>
            <m:r>
              <m:rPr>
                <m:sty m:val="p"/>
              </m:rPr>
              <w:rPr>
                <w:rFonts w:ascii="Cambria Math" w:hAnsi="Cambria Math"/>
              </w:rPr>
              <m:t>0</m:t>
            </m:r>
          </m:sup>
        </m:sSubSup>
      </m:oMath>
      <w:r w:rsidRPr="00675C4C">
        <w:t xml:space="preserve"> and </w:t>
      </w:r>
      <m:oMath>
        <m:sSubSup>
          <m:sSubSupPr>
            <m:ctrlPr>
              <w:rPr>
                <w:rFonts w:ascii="Cambria Math" w:hAnsi="Cambria Math"/>
                <w:i/>
                <w:iCs/>
              </w:rPr>
            </m:ctrlPr>
          </m:sSubSupPr>
          <m:e>
            <m:r>
              <w:rPr>
                <w:rFonts w:ascii="Cambria Math" w:hAnsi="Cambria Math"/>
              </w:rPr>
              <m:t>v</m:t>
            </m:r>
          </m:e>
          <m:sub>
            <m:sSub>
              <m:sSubPr>
                <m:ctrlPr>
                  <w:rPr>
                    <w:rFonts w:ascii="Cambria Math" w:hAnsi="Cambria Math"/>
                    <w:i/>
                    <w:iCs/>
                  </w:rPr>
                </m:ctrlPr>
              </m:sSubPr>
              <m:e>
                <m:r>
                  <w:rPr>
                    <w:rFonts w:ascii="Cambria Math" w:hAnsi="Cambria Math"/>
                  </w:rPr>
                  <m:t>CO</m:t>
                </m:r>
              </m:e>
              <m:sub>
                <m:r>
                  <w:rPr>
                    <w:rFonts w:ascii="Cambria Math" w:hAnsi="Cambria Math"/>
                  </w:rPr>
                  <m:t>2 </m:t>
                </m:r>
              </m:sub>
            </m:sSub>
          </m:sub>
          <m:sup>
            <m:r>
              <w:rPr>
                <w:rFonts w:ascii="Cambria Math" w:hAnsi="Cambria Math"/>
              </w:rPr>
              <m:t>∞</m:t>
            </m:r>
          </m:sup>
        </m:sSubSup>
      </m:oMath>
      <w:r w:rsidRPr="00675C4C">
        <w:rPr>
          <w:iCs/>
        </w:rPr>
        <w:t>are the mole</w:t>
      </w:r>
      <w:r w:rsidR="00AA7663">
        <w:rPr>
          <w:iCs/>
        </w:rPr>
        <w:t xml:space="preserve"> </w:t>
      </w:r>
      <w:r w:rsidRPr="00675C4C">
        <w:rPr>
          <w:iCs/>
        </w:rPr>
        <w:t>fraction in the liquid phase, the vapor pressure of water and partial molar volume of</w:t>
      </w:r>
      <w:r w:rsidR="00AA7663">
        <w:rPr>
          <w:iCs/>
        </w:rPr>
        <w:t xml:space="preserve"> </w:t>
      </w:r>
      <w:r w:rsidRPr="00675C4C">
        <w:rPr>
          <w:iCs/>
        </w:rPr>
        <w:t>CO</w:t>
      </w:r>
      <w:r w:rsidRPr="00675C4C">
        <w:rPr>
          <w:iCs/>
          <w:vertAlign w:val="subscript"/>
        </w:rPr>
        <w:t>2</w:t>
      </w:r>
      <w:r w:rsidRPr="00675C4C">
        <w:rPr>
          <w:iCs/>
        </w:rPr>
        <w:t xml:space="preserve"> at infinite dilution in water, respectively</w:t>
      </w:r>
      <w:r w:rsidR="00AA7663">
        <w:rPr>
          <w:rFonts w:hint="eastAsia"/>
          <w:iCs/>
          <w:lang w:eastAsia="ko-KR"/>
        </w:rPr>
        <w:t>.</w:t>
      </w:r>
      <w:r w:rsidR="00AA7663">
        <w:rPr>
          <w:iCs/>
          <w:lang w:eastAsia="ko-KR"/>
        </w:rPr>
        <w:t xml:space="preserve"> </w:t>
      </w:r>
      <w:r w:rsidR="00915545" w:rsidRPr="00915545">
        <w:rPr>
          <w:lang w:eastAsia="ko-KR"/>
        </w:rPr>
        <w:t xml:space="preserve">The phase equilibrium for the solvent </w:t>
      </w:r>
      <w:r w:rsidR="00E041B2">
        <w:rPr>
          <w:lang w:eastAsia="ko-KR"/>
        </w:rPr>
        <w:t>species, amines</w:t>
      </w:r>
      <w:r w:rsidR="00915545">
        <w:rPr>
          <w:lang w:eastAsia="ko-KR"/>
        </w:rPr>
        <w:t xml:space="preserve"> </w:t>
      </w:r>
      <w:r w:rsidR="00915545" w:rsidRPr="00915545">
        <w:rPr>
          <w:lang w:eastAsia="ko-KR"/>
        </w:rPr>
        <w:t xml:space="preserve">and </w:t>
      </w:r>
      <w:r w:rsidR="00915545">
        <w:rPr>
          <w:lang w:eastAsia="ko-KR"/>
        </w:rPr>
        <w:t xml:space="preserve">water is given </w:t>
      </w:r>
      <w:r w:rsidR="00DB5629">
        <w:rPr>
          <w:lang w:eastAsia="ko-KR"/>
        </w:rPr>
        <w:t>by:</w:t>
      </w:r>
    </w:p>
    <w:tbl>
      <w:tblPr>
        <w:tblStyle w:val="af0"/>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986"/>
      </w:tblGrid>
      <w:tr w:rsidR="00915545" w:rsidRPr="00CF76FC" w14:paraId="0F3A3DF9" w14:textId="77777777" w:rsidTr="00E041B2">
        <w:trPr>
          <w:trHeight w:val="194"/>
        </w:trPr>
        <w:tc>
          <w:tcPr>
            <w:tcW w:w="6091" w:type="dxa"/>
          </w:tcPr>
          <w:p w14:paraId="01D6CE93" w14:textId="57A1E952" w:rsidR="00915545" w:rsidRPr="001F19E4" w:rsidRDefault="00915545" w:rsidP="00386B4F">
            <w:pPr>
              <w:rPr>
                <w:sz w:val="12"/>
                <w:szCs w:val="12"/>
              </w:rPr>
            </w:pPr>
          </w:p>
          <w:p w14:paraId="437210AE" w14:textId="77777777" w:rsidR="00915545" w:rsidRDefault="00000000" w:rsidP="00915545">
            <w:pPr>
              <w:rPr>
                <w:lang w:eastAsia="ko-KR"/>
              </w:rPr>
            </w:pPr>
            <m:oMathPara>
              <m:oMathParaPr>
                <m:jc m:val="left"/>
              </m:oMathParaPr>
              <m:oMath>
                <m:sSub>
                  <m:sSubPr>
                    <m:ctrlPr>
                      <w:rPr>
                        <w:rFonts w:ascii="Cambria Math" w:hAnsi="Cambria Math"/>
                        <w:i/>
                        <w:iCs/>
                        <w:kern w:val="2"/>
                        <w:szCs w:val="22"/>
                      </w:rPr>
                    </m:ctrlPr>
                  </m:sSubPr>
                  <m:e>
                    <m:r>
                      <w:rPr>
                        <w:rFonts w:ascii="Cambria Math" w:hAnsi="Cambria Math"/>
                      </w:rPr>
                      <m:t>ϕ</m:t>
                    </m:r>
                  </m:e>
                  <m:sub>
                    <m:r>
                      <w:rPr>
                        <w:rFonts w:ascii="Cambria Math" w:hAnsi="Cambria Math"/>
                      </w:rPr>
                      <m:t>w</m:t>
                    </m:r>
                  </m:sub>
                </m:sSub>
                <m:sSub>
                  <m:sSubPr>
                    <m:ctrlPr>
                      <w:rPr>
                        <w:rFonts w:ascii="Cambria Math" w:hAnsi="Cambria Math"/>
                        <w:i/>
                        <w:iCs/>
                        <w:kern w:val="2"/>
                        <w:szCs w:val="22"/>
                      </w:rPr>
                    </m:ctrlPr>
                  </m:sSubPr>
                  <m:e>
                    <m:r>
                      <w:rPr>
                        <w:rFonts w:ascii="Cambria Math" w:hAnsi="Cambria Math"/>
                      </w:rPr>
                      <m:t>P</m:t>
                    </m:r>
                  </m:e>
                  <m:sub>
                    <m:r>
                      <w:rPr>
                        <w:rFonts w:ascii="Cambria Math" w:hAnsi="Cambria Math"/>
                      </w:rPr>
                      <m:t>w</m:t>
                    </m:r>
                  </m:sub>
                </m:sSub>
                <m:r>
                  <w:rPr>
                    <w:rFonts w:ascii="Cambria Math" w:hAnsi="Cambria Math"/>
                  </w:rPr>
                  <m:t>=</m:t>
                </m:r>
                <m:sSub>
                  <m:sSubPr>
                    <m:ctrlPr>
                      <w:rPr>
                        <w:rFonts w:ascii="Cambria Math" w:hAnsi="Cambria Math"/>
                        <w:i/>
                        <w:iCs/>
                        <w:kern w:val="2"/>
                        <w:szCs w:val="22"/>
                      </w:rPr>
                    </m:ctrlPr>
                  </m:sSubPr>
                  <m:e>
                    <m:r>
                      <w:rPr>
                        <w:rFonts w:ascii="Cambria Math" w:hAnsi="Cambria Math"/>
                      </w:rPr>
                      <m:t>a</m:t>
                    </m:r>
                  </m:e>
                  <m:sub>
                    <m:r>
                      <w:rPr>
                        <w:rFonts w:ascii="Cambria Math" w:hAnsi="Cambria Math"/>
                      </w:rPr>
                      <m:t>w</m:t>
                    </m:r>
                  </m:sub>
                </m:sSub>
                <m:sSubSup>
                  <m:sSubSupPr>
                    <m:ctrlPr>
                      <w:rPr>
                        <w:rFonts w:ascii="Cambria Math" w:hAnsi="Cambria Math"/>
                        <w:i/>
                        <w:iCs/>
                        <w:kern w:val="2"/>
                        <w:szCs w:val="22"/>
                      </w:rPr>
                    </m:ctrlPr>
                  </m:sSubSupPr>
                  <m:e>
                    <m:r>
                      <w:rPr>
                        <w:rFonts w:ascii="Cambria Math" w:hAnsi="Cambria Math"/>
                      </w:rPr>
                      <m:t>ϕ</m:t>
                    </m:r>
                  </m:e>
                  <m:sub>
                    <m:r>
                      <w:rPr>
                        <w:rFonts w:ascii="Cambria Math" w:hAnsi="Cambria Math"/>
                      </w:rPr>
                      <m:t>w</m:t>
                    </m:r>
                  </m:sub>
                  <m:sup>
                    <m:r>
                      <w:rPr>
                        <w:rFonts w:ascii="Cambria Math" w:hAnsi="Cambria Math"/>
                      </w:rPr>
                      <m:t>s</m:t>
                    </m:r>
                  </m:sup>
                </m:sSubSup>
                <m:sSubSup>
                  <m:sSubSupPr>
                    <m:ctrlPr>
                      <w:rPr>
                        <w:rFonts w:ascii="Cambria Math" w:hAnsi="Cambria Math"/>
                        <w:i/>
                        <w:iCs/>
                        <w:kern w:val="2"/>
                        <w:szCs w:val="22"/>
                      </w:rPr>
                    </m:ctrlPr>
                  </m:sSubSupPr>
                  <m:e>
                    <m:r>
                      <w:rPr>
                        <w:rFonts w:ascii="Cambria Math" w:hAnsi="Cambria Math"/>
                      </w:rPr>
                      <m:t>P</m:t>
                    </m:r>
                  </m:e>
                  <m:sub>
                    <m:r>
                      <w:rPr>
                        <w:rFonts w:ascii="Cambria Math" w:hAnsi="Cambria Math"/>
                      </w:rPr>
                      <m:t>w</m:t>
                    </m:r>
                  </m:sub>
                  <m:sup>
                    <m:r>
                      <w:rPr>
                        <w:rFonts w:ascii="Cambria Math" w:hAnsi="Cambria Math"/>
                      </w:rPr>
                      <m:t>s</m:t>
                    </m:r>
                  </m:sup>
                </m:sSubSup>
                <m:r>
                  <m:rPr>
                    <m:sty m:val="p"/>
                  </m:rPr>
                  <w:rPr>
                    <w:rFonts w:ascii="Cambria Math" w:hAnsi="Cambria Math"/>
                  </w:rPr>
                  <m:t>exp</m:t>
                </m:r>
                <m:d>
                  <m:dPr>
                    <m:ctrlPr>
                      <w:rPr>
                        <w:rFonts w:ascii="Cambria Math" w:hAnsi="Cambria Math"/>
                        <w:i/>
                        <w:iCs/>
                        <w:kern w:val="2"/>
                        <w:szCs w:val="22"/>
                      </w:rPr>
                    </m:ctrlPr>
                  </m:dPr>
                  <m:e>
                    <m:f>
                      <m:fPr>
                        <m:ctrlPr>
                          <w:rPr>
                            <w:rFonts w:ascii="Cambria Math" w:hAnsi="Cambria Math"/>
                            <w:i/>
                            <w:iCs/>
                            <w:kern w:val="2"/>
                            <w:szCs w:val="22"/>
                          </w:rPr>
                        </m:ctrlPr>
                      </m:fPr>
                      <m:num>
                        <m:sSub>
                          <m:sSubPr>
                            <m:ctrlPr>
                              <w:rPr>
                                <w:rFonts w:ascii="Cambria Math" w:hAnsi="Cambria Math"/>
                                <w:i/>
                                <w:iCs/>
                                <w:kern w:val="2"/>
                                <w:szCs w:val="22"/>
                              </w:rPr>
                            </m:ctrlPr>
                          </m:sSubPr>
                          <m:e>
                            <m:r>
                              <w:rPr>
                                <w:rFonts w:ascii="Cambria Math" w:hAnsi="Cambria Math"/>
                              </w:rPr>
                              <m:t>v</m:t>
                            </m:r>
                          </m:e>
                          <m:sub>
                            <m:r>
                              <w:rPr>
                                <w:rFonts w:ascii="Cambria Math" w:hAnsi="Cambria Math"/>
                              </w:rPr>
                              <m:t>w</m:t>
                            </m:r>
                          </m:sub>
                        </m:sSub>
                        <m:r>
                          <w:rPr>
                            <w:rFonts w:ascii="Cambria Math" w:hAnsi="Cambria Math"/>
                          </w:rPr>
                          <m:t>(P-</m:t>
                        </m:r>
                        <m:sSubSup>
                          <m:sSubSupPr>
                            <m:ctrlPr>
                              <w:rPr>
                                <w:rFonts w:ascii="Cambria Math" w:hAnsi="Cambria Math"/>
                                <w:i/>
                                <w:iCs/>
                                <w:kern w:val="2"/>
                                <w:szCs w:val="22"/>
                              </w:rPr>
                            </m:ctrlPr>
                          </m:sSubSupPr>
                          <m:e>
                            <m:r>
                              <w:rPr>
                                <w:rFonts w:ascii="Cambria Math" w:hAnsi="Cambria Math"/>
                              </w:rPr>
                              <m:t>P</m:t>
                            </m:r>
                          </m:e>
                          <m:sub>
                            <m:r>
                              <w:rPr>
                                <w:rFonts w:ascii="Cambria Math" w:hAnsi="Cambria Math"/>
                              </w:rPr>
                              <m:t>w</m:t>
                            </m:r>
                          </m:sub>
                          <m:sup>
                            <m:r>
                              <w:rPr>
                                <w:rFonts w:ascii="Cambria Math" w:hAnsi="Cambria Math"/>
                              </w:rPr>
                              <m:t>s</m:t>
                            </m:r>
                          </m:sup>
                        </m:sSubSup>
                        <m:r>
                          <w:rPr>
                            <w:rFonts w:ascii="Cambria Math" w:hAnsi="Cambria Math"/>
                          </w:rPr>
                          <m:t>)</m:t>
                        </m:r>
                      </m:num>
                      <m:den>
                        <m:r>
                          <w:rPr>
                            <w:rFonts w:ascii="Cambria Math" w:hAnsi="Cambria Math"/>
                          </w:rPr>
                          <m:t>RT</m:t>
                        </m:r>
                      </m:den>
                    </m:f>
                  </m:e>
                </m:d>
              </m:oMath>
            </m:oMathPara>
          </w:p>
          <w:p w14:paraId="56EF6761" w14:textId="461C69A1" w:rsidR="00915545" w:rsidRPr="007C0C58" w:rsidRDefault="00915545" w:rsidP="00915545">
            <w:pPr>
              <w:rPr>
                <w:sz w:val="12"/>
                <w:szCs w:val="12"/>
              </w:rPr>
            </w:pPr>
          </w:p>
        </w:tc>
        <w:tc>
          <w:tcPr>
            <w:tcW w:w="986" w:type="dxa"/>
          </w:tcPr>
          <w:p w14:paraId="395DD559" w14:textId="77777777" w:rsidR="00915545" w:rsidRPr="00CF76FC" w:rsidRDefault="00915545" w:rsidP="00386B4F">
            <w:pPr>
              <w:pStyle w:val="Els-body-text"/>
              <w:ind w:right="400"/>
              <w:jc w:val="right"/>
              <w:rPr>
                <w:lang w:val="en-GB" w:eastAsia="ko-KR"/>
              </w:rPr>
            </w:pPr>
          </w:p>
          <w:p w14:paraId="5FCE7A64" w14:textId="25B2FE8C" w:rsidR="00915545" w:rsidRPr="00CF76FC" w:rsidRDefault="00915545" w:rsidP="00386B4F">
            <w:pPr>
              <w:pStyle w:val="Els-body-text"/>
              <w:jc w:val="right"/>
              <w:rPr>
                <w:lang w:val="en-GB" w:eastAsia="ko-KR"/>
              </w:rPr>
            </w:pPr>
            <w:r>
              <w:rPr>
                <w:lang w:val="en-GB" w:eastAsia="ko-KR"/>
              </w:rPr>
              <w:t xml:space="preserve"> </w:t>
            </w:r>
            <w:r w:rsidRPr="00CF76FC">
              <w:rPr>
                <w:rFonts w:hint="eastAsia"/>
                <w:lang w:val="en-GB" w:eastAsia="ko-KR"/>
              </w:rPr>
              <w:t>(</w:t>
            </w:r>
            <w:r w:rsidR="00DB5629">
              <w:rPr>
                <w:lang w:val="en-GB" w:eastAsia="ko-KR"/>
              </w:rPr>
              <w:t>5</w:t>
            </w:r>
            <w:r w:rsidRPr="00CF76FC">
              <w:rPr>
                <w:lang w:val="en-GB" w:eastAsia="ko-KR"/>
              </w:rPr>
              <w:t>)</w:t>
            </w:r>
          </w:p>
        </w:tc>
      </w:tr>
    </w:tbl>
    <w:p w14:paraId="204C412C" w14:textId="1026DDDB" w:rsidR="00915545" w:rsidRDefault="00915545" w:rsidP="008F5F33">
      <w:pPr>
        <w:rPr>
          <w:iCs/>
        </w:rPr>
      </w:pPr>
      <w:r>
        <w:t xml:space="preserve">where subscript W represents water, </w:t>
      </w:r>
      <m:oMath>
        <m:sSubSup>
          <m:sSubSupPr>
            <m:ctrlPr>
              <w:rPr>
                <w:rFonts w:ascii="Cambria Math" w:hAnsi="Cambria Math"/>
                <w:i/>
                <w:iCs/>
                <w:kern w:val="2"/>
                <w:szCs w:val="22"/>
              </w:rPr>
            </m:ctrlPr>
          </m:sSubSupPr>
          <m:e>
            <m:r>
              <w:rPr>
                <w:rFonts w:ascii="Cambria Math" w:hAnsi="Cambria Math"/>
              </w:rPr>
              <m:t>ϕ</m:t>
            </m:r>
          </m:e>
          <m:sub>
            <m:r>
              <w:rPr>
                <w:rFonts w:ascii="Cambria Math" w:hAnsi="Cambria Math"/>
              </w:rPr>
              <m:t>w</m:t>
            </m:r>
          </m:sub>
          <m:sup>
            <m:r>
              <w:rPr>
                <w:rFonts w:ascii="Cambria Math" w:hAnsi="Cambria Math"/>
              </w:rPr>
              <m:t>s</m:t>
            </m:r>
          </m:sup>
        </m:sSubSup>
      </m:oMath>
      <w:r>
        <w:rPr>
          <w:iCs/>
        </w:rPr>
        <w:t xml:space="preserve"> and </w:t>
      </w:r>
      <m:oMath>
        <m:sSub>
          <m:sSubPr>
            <m:ctrlPr>
              <w:rPr>
                <w:rFonts w:ascii="Cambria Math" w:hAnsi="Cambria Math"/>
                <w:i/>
                <w:iCs/>
                <w:kern w:val="2"/>
                <w:szCs w:val="22"/>
              </w:rPr>
            </m:ctrlPr>
          </m:sSubPr>
          <m:e>
            <m:r>
              <w:rPr>
                <w:rFonts w:ascii="Cambria Math" w:hAnsi="Cambria Math"/>
              </w:rPr>
              <m:t>v</m:t>
            </m:r>
          </m:e>
          <m:sub>
            <m:r>
              <w:rPr>
                <w:rFonts w:ascii="Cambria Math" w:hAnsi="Cambria Math"/>
              </w:rPr>
              <m:t>w</m:t>
            </m:r>
          </m:sub>
        </m:sSub>
      </m:oMath>
      <w:r>
        <w:rPr>
          <w:iCs/>
        </w:rPr>
        <w:t xml:space="preserve"> are the fugacity coefficient of water at its vapor pressure and partial molar volume, respectively.</w:t>
      </w:r>
    </w:p>
    <w:p w14:paraId="6F95C51B" w14:textId="519A604E" w:rsidR="00B46CBB" w:rsidRPr="001B00B7" w:rsidRDefault="00B46CBB" w:rsidP="008F5F33">
      <w:pPr>
        <w:rPr>
          <w:iCs/>
          <w:lang w:eastAsia="ko-KR"/>
        </w:rPr>
      </w:pPr>
    </w:p>
    <w:p w14:paraId="42FC0B6B" w14:textId="0DB95131" w:rsidR="001B00B7" w:rsidRDefault="00915545" w:rsidP="00D23A36">
      <w:pPr>
        <w:rPr>
          <w:iCs/>
        </w:rPr>
      </w:pPr>
      <w:r>
        <w:rPr>
          <w:iCs/>
        </w:rPr>
        <w:t xml:space="preserve">In this study, </w:t>
      </w:r>
      <w:r w:rsidR="002E0EFA">
        <w:rPr>
          <w:iCs/>
        </w:rPr>
        <w:t>th</w:t>
      </w:r>
      <w:r w:rsidR="002E0EFA" w:rsidRPr="002E0EFA">
        <w:rPr>
          <w:iCs/>
        </w:rPr>
        <w:t>e chemical reaction of the H</w:t>
      </w:r>
      <w:r w:rsidR="002E0EFA" w:rsidRPr="002E0EFA">
        <w:rPr>
          <w:iCs/>
          <w:vertAlign w:val="subscript"/>
        </w:rPr>
        <w:t>2</w:t>
      </w:r>
      <w:r w:rsidR="002E0EFA" w:rsidRPr="002E0EFA">
        <w:rPr>
          <w:iCs/>
        </w:rPr>
        <w:t>O-Amine-CO</w:t>
      </w:r>
      <w:r w:rsidR="002E0EFA" w:rsidRPr="002E0EFA">
        <w:rPr>
          <w:iCs/>
          <w:vertAlign w:val="subscript"/>
        </w:rPr>
        <w:t>2</w:t>
      </w:r>
      <w:r w:rsidR="002E0EFA" w:rsidRPr="002E0EFA">
        <w:rPr>
          <w:iCs/>
        </w:rPr>
        <w:t xml:space="preserve"> system was also considered.</w:t>
      </w:r>
    </w:p>
    <w:p w14:paraId="7209E50E" w14:textId="28194080" w:rsidR="002E0EFA" w:rsidRDefault="00424309" w:rsidP="00D23A36">
      <w:pPr>
        <w:rPr>
          <w:iCs/>
        </w:rPr>
      </w:pPr>
      <w:r w:rsidRPr="00424309">
        <w:rPr>
          <w:iCs/>
        </w:rPr>
        <w:t xml:space="preserve">Chemical reactions were represented </w:t>
      </w:r>
      <w:r>
        <w:rPr>
          <w:iCs/>
        </w:rPr>
        <w:t>as</w:t>
      </w:r>
      <w:r w:rsidRPr="00424309">
        <w:rPr>
          <w:iCs/>
        </w:rPr>
        <w:t xml:space="preserve"> equilibrium constants, and chemical equilibria were </w:t>
      </w:r>
      <w:r>
        <w:rPr>
          <w:iCs/>
        </w:rPr>
        <w:t xml:space="preserve">modelled </w:t>
      </w:r>
      <w:r w:rsidRPr="00424309">
        <w:rPr>
          <w:iCs/>
        </w:rPr>
        <w:t>by calculating charge balance</w:t>
      </w:r>
      <w:r>
        <w:rPr>
          <w:iCs/>
        </w:rPr>
        <w:t xml:space="preserve"> equation</w:t>
      </w:r>
      <w:r w:rsidRPr="00424309">
        <w:rPr>
          <w:iCs/>
        </w:rPr>
        <w:t xml:space="preserve"> and mass balance equations.</w:t>
      </w:r>
    </w:p>
    <w:p w14:paraId="6FBE7958" w14:textId="73689B7B" w:rsidR="00A401F0" w:rsidRPr="00A04083" w:rsidRDefault="00767DD3" w:rsidP="00A401F0">
      <w:pPr>
        <w:pStyle w:val="Els-2ndorder-head"/>
        <w:numPr>
          <w:ilvl w:val="0"/>
          <w:numId w:val="0"/>
        </w:numPr>
        <w:rPr>
          <w:lang w:eastAsia="ko-KR"/>
        </w:rPr>
      </w:pPr>
      <w:r w:rsidRPr="00430A9E">
        <w:rPr>
          <w:iCs/>
          <w:lang w:eastAsia="ko-KR"/>
        </w:rPr>
        <w:t>3.</w:t>
      </w:r>
      <w:r w:rsidR="002108A7">
        <w:rPr>
          <w:iCs/>
          <w:lang w:eastAsia="ko-KR"/>
        </w:rPr>
        <w:t>3</w:t>
      </w:r>
      <w:r w:rsidR="00A401F0" w:rsidRPr="00430A9E">
        <w:rPr>
          <w:iCs/>
          <w:lang w:eastAsia="ko-KR"/>
        </w:rPr>
        <w:t>.</w:t>
      </w:r>
      <w:r w:rsidR="00A401F0" w:rsidRPr="00A04083">
        <w:rPr>
          <w:lang w:eastAsia="ko-KR"/>
        </w:rPr>
        <w:t xml:space="preserve"> </w:t>
      </w:r>
      <w:r w:rsidR="00A04083" w:rsidRPr="00A04083">
        <w:rPr>
          <w:lang w:eastAsia="ko-KR"/>
        </w:rPr>
        <w:t>Discussion the advantages of the proposed method over other esta</w:t>
      </w:r>
      <w:r w:rsidR="00A04083">
        <w:rPr>
          <w:lang w:eastAsia="ko-KR"/>
        </w:rPr>
        <w:t>blished method</w:t>
      </w:r>
    </w:p>
    <w:p w14:paraId="4104C241" w14:textId="065B9B1B" w:rsidR="00F53B5C" w:rsidRDefault="00430A9E" w:rsidP="006A48CA">
      <w:pPr>
        <w:pStyle w:val="Els-body-text"/>
      </w:pPr>
      <w:r>
        <w:t xml:space="preserve">Computer-Aided Molecular and Process Design (CAMPD) provides a systematic framework for evaluating a wide range of molecular structures in terms of system metrics when considering desirable physicochemical properties and process performance criteria </w:t>
      </w:r>
      <w:r>
        <w:fldChar w:fldCharType="begin"/>
      </w:r>
      <w:r>
        <w:instrText xml:space="preserve"> ADDIN EN.CITE &lt;EndNote&gt;&lt;Cite&gt;&lt;Author&gt;Adjiman&lt;/Author&gt;&lt;Year&gt;2014&lt;/Year&gt;&lt;RecNum&gt;14&lt;/RecNum&gt;&lt;DisplayText&gt;(Adjiman et al., 2014)&lt;/DisplayText&gt;&lt;record&gt;&lt;rec-number&gt;14&lt;/rec-number&gt;&lt;foreign-keys&gt;&lt;key app="EN" db-id="a2sssd5sy00tfje50sfx0srmtzpar0rzfr5z" timestamp="1701091237" guid="34bd5908-aa7a-4701-b45f-3e8cb4129b00"&gt;14&lt;/key&gt;&lt;/foreign-keys&gt;&lt;ref-type name="Book Section"&gt;5&lt;/ref-type&gt;&lt;contributors&gt;&lt;authors&gt;&lt;author&gt;Adjiman, Claire S.&lt;/author&gt;&lt;author&gt;Galindo, Amparo&lt;/author&gt;&lt;author&gt;Jackson, George&lt;/author&gt;&lt;/authors&gt;&lt;secondary-authors&gt;&lt;author&gt;Eden, Mario R.&lt;/author&gt;&lt;author&gt;Siirola, John D.&lt;/author&gt;&lt;author&gt;Towler, Gavin P.&lt;/author&gt;&lt;/secondary-authors&gt;&lt;/contributors&gt;&lt;titles&gt;&lt;title&gt;Molecules Matter: The Expanding Envelope of Process Design&lt;/title&gt;&lt;secondary-title&gt;Computer Aided Chemical Engineering&lt;/secondary-title&gt;&lt;/titles&gt;&lt;pages&gt;55-64&lt;/pages&gt;&lt;volume&gt;34&lt;/volume&gt;&lt;keywords&gt;&lt;keyword&gt;Computer-aided molecular design&lt;/keyword&gt;&lt;keyword&gt;SAFT&lt;/keyword&gt;&lt;keyword&gt;quantum mechanics&lt;/keyword&gt;&lt;keyword&gt;solvent design&lt;/keyword&gt;&lt;/keywords&gt;&lt;dates&gt;&lt;year&gt;2014&lt;/year&gt;&lt;pub-dates&gt;&lt;date&gt;2014/01/01/&lt;/date&gt;&lt;/pub-dates&gt;&lt;/dates&gt;&lt;publisher&gt;Elsevier&lt;/publisher&gt;&lt;isbn&gt;1570-7946&lt;/isbn&gt;&lt;urls&gt;&lt;related-urls&gt;&lt;url&gt;https://www.sciencedirect.com/science/article/pii/B9780444634337500079&lt;/url&gt;&lt;/related-urls&gt;&lt;/urls&gt;&lt;electronic-resource-num&gt;https://doi.org/10.1016/B978-0-444-63433-7.50007-9&lt;/electronic-resource-num&gt;&lt;/record&gt;&lt;/Cite&gt;&lt;/EndNote&gt;</w:instrText>
      </w:r>
      <w:r>
        <w:fldChar w:fldCharType="separate"/>
      </w:r>
      <w:r>
        <w:rPr>
          <w:noProof/>
        </w:rPr>
        <w:t>(Adjiman et al., 2014)</w:t>
      </w:r>
      <w:r>
        <w:fldChar w:fldCharType="end"/>
      </w:r>
      <w:r>
        <w:t>.</w:t>
      </w:r>
      <w:r w:rsidRPr="00EF7133">
        <w:t xml:space="preserve"> In CAMPD, the mathematical models governing the structure-property relationships of molecules and the performance of materials are related to process operating variables and presented as a </w:t>
      </w:r>
      <w:r>
        <w:t>large mixed-integer nonlinear problem (</w:t>
      </w:r>
      <w:r w:rsidRPr="00EF7133">
        <w:t>MINLP</w:t>
      </w:r>
      <w:r>
        <w:t>) formulation</w:t>
      </w:r>
      <w:r w:rsidRPr="00EF7133">
        <w:t>.</w:t>
      </w:r>
      <w:r>
        <w:t xml:space="preserve"> However, many algorithms face challenges in CAMPD problems.</w:t>
      </w:r>
      <w:r w:rsidR="006A48CA">
        <w:t xml:space="preserve"> The design space generated by the integrated product-process model is characterized by the presence of infeasible subregions </w:t>
      </w:r>
      <w:r w:rsidR="006A48CA" w:rsidRPr="002625C6">
        <w:t>and the relationship between process and molecular structure is highly nonlinear,</w:t>
      </w:r>
      <w:r w:rsidR="006A48CA">
        <w:t xml:space="preserve"> making it difficult to find a solution </w:t>
      </w:r>
      <w:bookmarkStart w:id="0" w:name="_Hlk155220046"/>
      <w:r w:rsidR="006A48CA">
        <w:fldChar w:fldCharType="begin"/>
      </w:r>
      <w:r w:rsidR="002108A7">
        <w:instrText xml:space="preserve"> ADDIN EN.CITE &lt;EndNote&gt;&lt;Cite&gt;&lt;Author&gt;Lee&lt;/Author&gt;&lt;Year&gt;2023&lt;/Year&gt;&lt;RecNum&gt;13&lt;/RecNum&gt;&lt;DisplayText&gt;(Lee et al., 2023)&lt;/DisplayText&gt;&lt;record&gt;&lt;rec-number&gt;13&lt;/rec-number&gt;&lt;foreign-keys&gt;&lt;key app="EN" db-id="p59rzarf5z9dare5tx7xwpxqd5peezss525v" timestamp="1697439371"&gt;13&lt;/key&gt;&lt;/foreign-keys&gt;&lt;ref-type name="Journal Article"&gt;17&lt;/ref-type&gt;&lt;contributors&gt;&lt;authors&gt;&lt;author&gt;Lee, Ye Seol&lt;/author&gt;&lt;author&gt;Galindo, Amparo&lt;/author&gt;&lt;author&gt;Jackson, George&lt;/author&gt;&lt;author&gt;Adjiman, Claire S.&lt;/author&gt;&lt;/authors&gt;&lt;/contributors&gt;&lt;titles&gt;&lt;title&gt;Enabling the direct solution of challenging computer-aided molecular and process design problems: Chemical absorption of carbon dioxide&lt;/title&gt;&lt;secondary-title&gt;Computers &amp;amp; Chemical Engineering&lt;/secondary-title&gt;&lt;/titles&gt;&lt;periodical&gt;&lt;full-title&gt;Computers &amp;amp; Chemical Engineering&lt;/full-title&gt;&lt;/periodical&gt;&lt;pages&gt;108204&lt;/pages&gt;&lt;volume&gt;174&lt;/volume&gt;&lt;keywords&gt;&lt;keyword&gt;Computer-aided molecular and process design&lt;/keyword&gt;&lt;keyword&gt;Mixed-integer nonlinear programming&lt;/keyword&gt;&lt;keyword&gt;Amine solvent design&lt;/keyword&gt;&lt;keyword&gt;CO chemical absorption process&lt;/keyword&gt;&lt;keyword&gt;SAFT-γ Mie&lt;/keyword&gt;&lt;/keywords&gt;&lt;dates&gt;&lt;year&gt;2023&lt;/year&gt;&lt;pub-dates&gt;&lt;date&gt;2023/06/01/&lt;/date&gt;&lt;/pub-dates&gt;&lt;/dates&gt;&lt;isbn&gt;0098-1354&lt;/isbn&gt;&lt;urls&gt;&lt;related-urls&gt;&lt;url&gt;https://www.sciencedirect.com/science/article/pii/S009813542300073X&lt;/url&gt;&lt;url&gt;https://www.sciencedirect.com/science/article/pii/S009813542300073X?via%3Dihub&lt;/url&gt;&lt;/related-urls&gt;&lt;/urls&gt;&lt;electronic-resource-num&gt;https://doi.org/10.1016/j.compchemeng.2023.108204&lt;/electronic-resource-num&gt;&lt;/record&gt;&lt;/Cite&gt;&lt;/EndNote&gt;</w:instrText>
      </w:r>
      <w:r w:rsidR="006A48CA">
        <w:fldChar w:fldCharType="separate"/>
      </w:r>
      <w:r w:rsidR="006A48CA">
        <w:rPr>
          <w:noProof/>
        </w:rPr>
        <w:t>(Lee et al., 2023)</w:t>
      </w:r>
      <w:r w:rsidR="006A48CA">
        <w:fldChar w:fldCharType="end"/>
      </w:r>
      <w:bookmarkEnd w:id="0"/>
      <w:r w:rsidR="006A48CA">
        <w:t>.</w:t>
      </w:r>
      <w:r w:rsidR="00F53B5C">
        <w:t xml:space="preserve"> </w:t>
      </w:r>
      <w:r w:rsidR="0026559F">
        <w:t xml:space="preserve">In addition, </w:t>
      </w:r>
      <w:r w:rsidR="0026559F" w:rsidRPr="002625C6">
        <w:t xml:space="preserve">integrating machine learning-based material discovery methodology </w:t>
      </w:r>
      <w:r w:rsidR="0026559F">
        <w:t xml:space="preserve">and </w:t>
      </w:r>
      <w:r w:rsidR="0026559F" w:rsidRPr="002625C6">
        <w:t>Derivative-Free Optimization (DFO) algorithms</w:t>
      </w:r>
      <w:r w:rsidR="0026559F">
        <w:t xml:space="preserve"> </w:t>
      </w:r>
      <w:r w:rsidR="0026559F" w:rsidRPr="002625C6">
        <w:t>within the CAMPD framework proves challenging, particularly due to the complex nature of MINLP</w:t>
      </w:r>
      <w:r w:rsidR="0026559F">
        <w:t xml:space="preserve"> </w:t>
      </w:r>
      <w:r w:rsidR="0026559F" w:rsidRPr="002625C6">
        <w:t>structures.</w:t>
      </w:r>
    </w:p>
    <w:p w14:paraId="238BAFD0" w14:textId="6EE0359C" w:rsidR="002108A7" w:rsidRDefault="00F53B5C" w:rsidP="00F53B5C">
      <w:r w:rsidRPr="00DD1C73">
        <w:t>The proposed method can design the capture solvent considering the process conditions by</w:t>
      </w:r>
      <w:r>
        <w:t xml:space="preserve"> directly</w:t>
      </w:r>
      <w:r w:rsidRPr="00DD1C73">
        <w:t xml:space="preserve"> applying the optimal amine solvent generated through </w:t>
      </w:r>
      <w:r>
        <w:t xml:space="preserve">RL model to </w:t>
      </w:r>
      <w:r w:rsidRPr="00DD1C73">
        <w:t>the process model and reflecting the results as feedback t</w:t>
      </w:r>
      <w:r w:rsidR="002E0EFA">
        <w:t xml:space="preserve">o </w:t>
      </w:r>
      <w:r w:rsidRPr="00DD1C73">
        <w:t>the RL model. Instead of solving the MINLP problem, which many algorithms have difficulty solving, the process model is directly designed using the proposed amine solvent</w:t>
      </w:r>
      <w:r w:rsidR="0026559F">
        <w:t>s</w:t>
      </w:r>
      <w:r w:rsidRPr="00DD1C73">
        <w:t xml:space="preserve">, </w:t>
      </w:r>
      <w:r w:rsidR="0026559F">
        <w:t xml:space="preserve">thus </w:t>
      </w:r>
      <w:r w:rsidRPr="00DD1C73">
        <w:t>avoiding multiple iterations and adjustments. The chemical process is also converted into a surrogate model using the DFO algorithm, which can be optimi</w:t>
      </w:r>
      <w:r>
        <w:t>z</w:t>
      </w:r>
      <w:r w:rsidRPr="00DD1C73">
        <w:t>ed more effectively.</w:t>
      </w:r>
    </w:p>
    <w:p w14:paraId="6571C1F1" w14:textId="77777777" w:rsidR="002108A7" w:rsidRDefault="002108A7" w:rsidP="002108A7">
      <w:pPr>
        <w:pStyle w:val="Els-1storder-head"/>
        <w:spacing w:after="120"/>
        <w:rPr>
          <w:lang w:val="en-GB"/>
        </w:rPr>
      </w:pPr>
      <w:r>
        <w:rPr>
          <w:lang w:val="en-GB"/>
        </w:rPr>
        <w:t>Conclusion and future works</w:t>
      </w:r>
    </w:p>
    <w:p w14:paraId="582A216D" w14:textId="77777777" w:rsidR="002108A7" w:rsidRDefault="002108A7" w:rsidP="002108A7">
      <w:pPr>
        <w:pStyle w:val="Els-body-text"/>
        <w:rPr>
          <w:lang w:val="en-GB"/>
        </w:rPr>
      </w:pPr>
      <w:r w:rsidRPr="00023CB8">
        <w:rPr>
          <w:lang w:val="en-GB"/>
        </w:rPr>
        <w:t>Consequently, this research can provide remarkable opportunities to effectively design a capture solvent that achieves the optimal performance and economic efficiency</w:t>
      </w:r>
      <w:r>
        <w:rPr>
          <w:lang w:val="en-GB"/>
        </w:rPr>
        <w:t>. We generated the optimal amine solvent candidates and predicted CO</w:t>
      </w:r>
      <w:r w:rsidRPr="00A401F0">
        <w:rPr>
          <w:vertAlign w:val="subscript"/>
          <w:lang w:val="en-GB"/>
        </w:rPr>
        <w:t>2</w:t>
      </w:r>
      <w:r>
        <w:rPr>
          <w:lang w:val="en-GB"/>
        </w:rPr>
        <w:t xml:space="preserve"> solubility thorough COSMO-RS to connect with CO</w:t>
      </w:r>
      <w:r w:rsidRPr="00A401F0">
        <w:rPr>
          <w:vertAlign w:val="subscript"/>
          <w:lang w:val="en-GB"/>
        </w:rPr>
        <w:t>2</w:t>
      </w:r>
      <w:r>
        <w:rPr>
          <w:lang w:val="en-GB"/>
        </w:rPr>
        <w:t xml:space="preserve"> absorption process. </w:t>
      </w:r>
      <w:r w:rsidRPr="00023CB8">
        <w:rPr>
          <w:lang w:val="en-GB"/>
        </w:rPr>
        <w:t>The proposed framework that can adapt to variations in process conditions improve process efficiency and expand domain knowledge of the material discovery. This can reduce the vast solvent design space, providing a clear advantage over sequential optimization which involves multiple iterations and adjustments.</w:t>
      </w:r>
      <w:r>
        <w:rPr>
          <w:lang w:val="en-GB"/>
        </w:rPr>
        <w:t xml:space="preserve"> </w:t>
      </w:r>
    </w:p>
    <w:p w14:paraId="66F61C6C" w14:textId="34F8010E" w:rsidR="00424309" w:rsidRDefault="002108A7" w:rsidP="002108A7">
      <w:pPr>
        <w:rPr>
          <w:lang w:eastAsia="ko-KR"/>
        </w:rPr>
      </w:pPr>
      <w:r>
        <w:t xml:space="preserve">In the future, </w:t>
      </w:r>
      <w:r w:rsidR="00B837C4" w:rsidRPr="00B837C4">
        <w:t xml:space="preserve">parameter fitting will be conducted to </w:t>
      </w:r>
      <w:r w:rsidR="00B837C4">
        <w:t>fit</w:t>
      </w:r>
      <w:r w:rsidR="00B837C4" w:rsidRPr="00B837C4">
        <w:t xml:space="preserve"> the expected solubility with experimental data </w:t>
      </w:r>
      <w:r w:rsidR="00B837C4">
        <w:t>to increase accuracy. Therefore, w</w:t>
      </w:r>
      <w:r w:rsidR="00424309">
        <w:t xml:space="preserve">e intend to construct </w:t>
      </w:r>
      <w:r w:rsidR="00B837C4">
        <w:t xml:space="preserve">accuracy and efficient </w:t>
      </w:r>
      <w:r w:rsidR="00424309">
        <w:t>VLE modelling of CO</w:t>
      </w:r>
      <w:r w:rsidR="00424309" w:rsidRPr="00424309">
        <w:rPr>
          <w:vertAlign w:val="subscript"/>
        </w:rPr>
        <w:t>2</w:t>
      </w:r>
      <w:r w:rsidR="00424309">
        <w:t xml:space="preserve"> absorption </w:t>
      </w:r>
      <w:r w:rsidR="00B837C4">
        <w:t>applied to</w:t>
      </w:r>
      <w:r w:rsidR="00424309">
        <w:t xml:space="preserve"> new amine solutions. </w:t>
      </w:r>
      <w:r w:rsidRPr="00EA245A">
        <w:t xml:space="preserve">Based on the </w:t>
      </w:r>
      <w:r w:rsidR="005349CD">
        <w:rPr>
          <w:rFonts w:hint="eastAsia"/>
          <w:lang w:eastAsia="ko-KR"/>
        </w:rPr>
        <w:t>p</w:t>
      </w:r>
      <w:r w:rsidR="005349CD">
        <w:rPr>
          <w:lang w:eastAsia="ko-KR"/>
        </w:rPr>
        <w:t>rediction of CO</w:t>
      </w:r>
      <w:r w:rsidR="005349CD" w:rsidRPr="00424309">
        <w:rPr>
          <w:vertAlign w:val="subscript"/>
          <w:lang w:eastAsia="ko-KR"/>
        </w:rPr>
        <w:t>2</w:t>
      </w:r>
      <w:r w:rsidR="005349CD">
        <w:rPr>
          <w:lang w:eastAsia="ko-KR"/>
        </w:rPr>
        <w:t xml:space="preserve"> chemical absorption derived from thermodynamic analysis, we aim to design the optimal process using DFO algorithms.</w:t>
      </w:r>
      <w:r w:rsidR="00B837C4">
        <w:rPr>
          <w:lang w:eastAsia="ko-KR"/>
        </w:rPr>
        <w:t xml:space="preserve"> </w:t>
      </w:r>
      <w:r w:rsidR="00B837C4">
        <w:t xml:space="preserve">The optimization results </w:t>
      </w:r>
      <w:r w:rsidR="009D1B6E">
        <w:t xml:space="preserve">will </w:t>
      </w:r>
      <w:r w:rsidR="00B837C4">
        <w:t>lead to the expansion of domain knowledge and meaningful feedback to the material design framework</w:t>
      </w:r>
      <w:r w:rsidR="009D1B6E">
        <w:t xml:space="preserve">. </w:t>
      </w:r>
      <w:r w:rsidR="009D1B6E" w:rsidRPr="009D1B6E">
        <w:t xml:space="preserve">It is expected that this framework will be </w:t>
      </w:r>
      <w:r w:rsidR="009D1B6E">
        <w:t xml:space="preserve">applied </w:t>
      </w:r>
      <w:r w:rsidR="009D1B6E" w:rsidRPr="009D1B6E">
        <w:t xml:space="preserve">to </w:t>
      </w:r>
      <w:r w:rsidR="009D1B6E">
        <w:t>design</w:t>
      </w:r>
      <w:r w:rsidR="009D1B6E" w:rsidRPr="009D1B6E">
        <w:t xml:space="preserve"> materials that have </w:t>
      </w:r>
      <w:r w:rsidR="009D1B6E">
        <w:t>superior</w:t>
      </w:r>
      <w:r w:rsidR="009D1B6E" w:rsidRPr="009D1B6E">
        <w:t xml:space="preserve"> properties and economic feasibility.</w:t>
      </w:r>
    </w:p>
    <w:p w14:paraId="3D58A6A5" w14:textId="15F4AF4F" w:rsidR="00707BF9" w:rsidRPr="002108A7" w:rsidRDefault="002E0EFA" w:rsidP="002108A7">
      <w:pPr>
        <w:rPr>
          <w:lang w:eastAsia="ko-KR"/>
        </w:rPr>
      </w:pPr>
      <w:r w:rsidRPr="002E0EFA">
        <w:rPr>
          <w:noProof/>
          <w:lang w:eastAsia="ko-KR"/>
        </w:rPr>
        <w:lastRenderedPageBreak/>
        <w:drawing>
          <wp:anchor distT="0" distB="0" distL="114300" distR="114300" simplePos="0" relativeHeight="251692032" behindDoc="1" locked="0" layoutInCell="1" allowOverlap="1" wp14:anchorId="6234415F" wp14:editId="00A54A84">
            <wp:simplePos x="0" y="0"/>
            <wp:positionH relativeFrom="column">
              <wp:posOffset>2249170</wp:posOffset>
            </wp:positionH>
            <wp:positionV relativeFrom="paragraph">
              <wp:posOffset>0</wp:posOffset>
            </wp:positionV>
            <wp:extent cx="2026920" cy="1707515"/>
            <wp:effectExtent l="0" t="0" r="0" b="6985"/>
            <wp:wrapTight wrapText="bothSides">
              <wp:wrapPolygon edited="0">
                <wp:start x="0" y="0"/>
                <wp:lineTo x="0" y="21447"/>
                <wp:lineTo x="21316" y="21447"/>
                <wp:lineTo x="21316" y="0"/>
                <wp:lineTo x="0" y="0"/>
              </wp:wrapPolygon>
            </wp:wrapTight>
            <wp:docPr id="1463795405" name="그림 1" descr="텍스트, 스크린샷, 라인, 그래프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795405" name="그림 1" descr="텍스트, 스크린샷, 라인, 그래프이(가) 표시된 사진&#10;&#10;자동 생성된 설명"/>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6920" cy="1707515"/>
                    </a:xfrm>
                    <a:prstGeom prst="rect">
                      <a:avLst/>
                    </a:prstGeom>
                  </pic:spPr>
                </pic:pic>
              </a:graphicData>
            </a:graphic>
            <wp14:sizeRelH relativeFrom="margin">
              <wp14:pctWidth>0</wp14:pctWidth>
            </wp14:sizeRelH>
            <wp14:sizeRelV relativeFrom="margin">
              <wp14:pctHeight>0</wp14:pctHeight>
            </wp14:sizeRelV>
          </wp:anchor>
        </w:drawing>
      </w:r>
      <w:r w:rsidR="008B7509" w:rsidRPr="008B7509">
        <w:rPr>
          <w:noProof/>
          <w:lang w:eastAsia="ko-KR"/>
        </w:rPr>
        <w:drawing>
          <wp:anchor distT="0" distB="0" distL="114300" distR="114300" simplePos="0" relativeHeight="251691008" behindDoc="1" locked="0" layoutInCell="1" allowOverlap="1" wp14:anchorId="08B6898A" wp14:editId="7E86E608">
            <wp:simplePos x="0" y="0"/>
            <wp:positionH relativeFrom="margin">
              <wp:posOffset>104775</wp:posOffset>
            </wp:positionH>
            <wp:positionV relativeFrom="paragraph">
              <wp:posOffset>0</wp:posOffset>
            </wp:positionV>
            <wp:extent cx="2014220" cy="1737360"/>
            <wp:effectExtent l="0" t="0" r="5080" b="0"/>
            <wp:wrapTight wrapText="bothSides">
              <wp:wrapPolygon edited="0">
                <wp:start x="0" y="0"/>
                <wp:lineTo x="0" y="21316"/>
                <wp:lineTo x="21450" y="21316"/>
                <wp:lineTo x="21450" y="0"/>
                <wp:lineTo x="0" y="0"/>
              </wp:wrapPolygon>
            </wp:wrapTight>
            <wp:docPr id="1502880034" name="그림 1" descr="텍스트, 라인, 스크린샷, 그래프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880034" name="그림 1" descr="텍스트, 라인, 스크린샷, 그래프이(가) 표시된 사진&#10;&#10;자동 생성된 설명"/>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4220" cy="1737360"/>
                    </a:xfrm>
                    <a:prstGeom prst="rect">
                      <a:avLst/>
                    </a:prstGeom>
                  </pic:spPr>
                </pic:pic>
              </a:graphicData>
            </a:graphic>
            <wp14:sizeRelH relativeFrom="margin">
              <wp14:pctWidth>0</wp14:pctWidth>
            </wp14:sizeRelH>
            <wp14:sizeRelV relativeFrom="margin">
              <wp14:pctHeight>0</wp14:pctHeight>
            </wp14:sizeRelV>
          </wp:anchor>
        </w:drawing>
      </w:r>
      <w:r w:rsidR="005349CD">
        <w:rPr>
          <w:noProof/>
        </w:rPr>
        <mc:AlternateContent>
          <mc:Choice Requires="wps">
            <w:drawing>
              <wp:anchor distT="0" distB="0" distL="114300" distR="114300" simplePos="0" relativeHeight="251672576" behindDoc="1" locked="0" layoutInCell="1" allowOverlap="1" wp14:anchorId="4830F7B4" wp14:editId="0E1A56AA">
                <wp:simplePos x="0" y="0"/>
                <wp:positionH relativeFrom="margin">
                  <wp:posOffset>-1270</wp:posOffset>
                </wp:positionH>
                <wp:positionV relativeFrom="page">
                  <wp:posOffset>3164205</wp:posOffset>
                </wp:positionV>
                <wp:extent cx="4500880" cy="421640"/>
                <wp:effectExtent l="0" t="0" r="0" b="0"/>
                <wp:wrapTight wrapText="bothSides">
                  <wp:wrapPolygon edited="0">
                    <wp:start x="0" y="0"/>
                    <wp:lineTo x="0" y="20494"/>
                    <wp:lineTo x="21484" y="20494"/>
                    <wp:lineTo x="21484" y="0"/>
                    <wp:lineTo x="0" y="0"/>
                  </wp:wrapPolygon>
                </wp:wrapTight>
                <wp:docPr id="2008749598" name="Text Box 1"/>
                <wp:cNvGraphicFramePr/>
                <a:graphic xmlns:a="http://schemas.openxmlformats.org/drawingml/2006/main">
                  <a:graphicData uri="http://schemas.microsoft.com/office/word/2010/wordprocessingShape">
                    <wps:wsp>
                      <wps:cNvSpPr txBox="1"/>
                      <wps:spPr>
                        <a:xfrm>
                          <a:off x="0" y="0"/>
                          <a:ext cx="4500880" cy="421640"/>
                        </a:xfrm>
                        <a:prstGeom prst="rect">
                          <a:avLst/>
                        </a:prstGeom>
                        <a:solidFill>
                          <a:prstClr val="white"/>
                        </a:solidFill>
                        <a:ln>
                          <a:noFill/>
                        </a:ln>
                      </wps:spPr>
                      <wps:txbx>
                        <w:txbxContent>
                          <w:p w14:paraId="4EB69ED7" w14:textId="0596BA32" w:rsidR="00AA7663" w:rsidRPr="002E0EFA" w:rsidRDefault="00AA7663" w:rsidP="00AA7663">
                            <w:pPr>
                              <w:pStyle w:val="a3"/>
                              <w:rPr>
                                <w:sz w:val="20"/>
                                <w:lang w:eastAsia="ko-KR"/>
                              </w:rPr>
                            </w:pPr>
                            <w:r w:rsidRPr="002E0EFA">
                              <w:rPr>
                                <w:b/>
                                <w:bCs/>
                                <w:sz w:val="20"/>
                                <w:lang w:eastAsia="ko-KR"/>
                              </w:rPr>
                              <w:t>Figure 3.</w:t>
                            </w:r>
                            <w:r w:rsidRPr="002E0EFA">
                              <w:rPr>
                                <w:sz w:val="20"/>
                                <w:lang w:eastAsia="ko-KR"/>
                              </w:rPr>
                              <w:t xml:space="preserve"> </w:t>
                            </w:r>
                            <w:r w:rsidR="00750349" w:rsidRPr="002E0EFA">
                              <w:rPr>
                                <w:rFonts w:hint="eastAsia"/>
                                <w:sz w:val="20"/>
                                <w:lang w:eastAsia="ko-KR"/>
                              </w:rPr>
                              <w:t>P</w:t>
                            </w:r>
                            <w:r w:rsidR="00750349" w:rsidRPr="002E0EFA">
                              <w:rPr>
                                <w:sz w:val="20"/>
                                <w:lang w:eastAsia="ko-KR"/>
                              </w:rPr>
                              <w:t>artial pressure of CO</w:t>
                            </w:r>
                            <w:r w:rsidR="00750349" w:rsidRPr="002E0EFA">
                              <w:rPr>
                                <w:sz w:val="20"/>
                                <w:vertAlign w:val="subscript"/>
                                <w:lang w:eastAsia="ko-KR"/>
                              </w:rPr>
                              <w:t>2</w:t>
                            </w:r>
                            <w:r w:rsidR="00750349" w:rsidRPr="002E0EFA">
                              <w:rPr>
                                <w:sz w:val="20"/>
                                <w:lang w:eastAsia="ko-KR"/>
                              </w:rPr>
                              <w:t xml:space="preserve"> as function of CO</w:t>
                            </w:r>
                            <w:r w:rsidR="00750349" w:rsidRPr="002E0EFA">
                              <w:rPr>
                                <w:sz w:val="20"/>
                                <w:vertAlign w:val="subscript"/>
                                <w:lang w:eastAsia="ko-KR"/>
                              </w:rPr>
                              <w:t>2</w:t>
                            </w:r>
                            <w:r w:rsidR="00750349" w:rsidRPr="002E0EFA">
                              <w:rPr>
                                <w:sz w:val="20"/>
                                <w:lang w:eastAsia="ko-KR"/>
                              </w:rPr>
                              <w:t xml:space="preserve"> loading in aqueous solutions of M</w:t>
                            </w:r>
                            <w:r w:rsidR="000064C8">
                              <w:rPr>
                                <w:sz w:val="20"/>
                                <w:lang w:eastAsia="ko-KR"/>
                              </w:rPr>
                              <w:t>D</w:t>
                            </w:r>
                            <w:r w:rsidR="00750349" w:rsidRPr="002E0EFA">
                              <w:rPr>
                                <w:sz w:val="20"/>
                                <w:lang w:eastAsia="ko-KR"/>
                              </w:rPr>
                              <w:t>EA</w:t>
                            </w:r>
                            <w:r w:rsidR="008B7509" w:rsidRPr="002E0EFA">
                              <w:rPr>
                                <w:sz w:val="20"/>
                                <w:lang w:eastAsia="ko-KR"/>
                              </w:rPr>
                              <w:t xml:space="preserve">, </w:t>
                            </w:r>
                            <w:r w:rsidR="000064C8">
                              <w:rPr>
                                <w:sz w:val="20"/>
                                <w:lang w:eastAsia="ko-KR"/>
                              </w:rPr>
                              <w:t>MEA</w:t>
                            </w:r>
                            <w:r w:rsidR="008B7509" w:rsidRPr="002E0EFA">
                              <w:rPr>
                                <w:sz w:val="20"/>
                                <w:lang w:eastAsia="ko-KR"/>
                              </w:rPr>
                              <w:t xml:space="preserve"> and</w:t>
                            </w:r>
                            <w:r w:rsidR="00750349" w:rsidRPr="002E0EFA">
                              <w:rPr>
                                <w:sz w:val="20"/>
                                <w:lang w:eastAsia="ko-KR"/>
                              </w:rPr>
                              <w:t xml:space="preserve"> A</w:t>
                            </w:r>
                            <w:r w:rsidR="000064C8">
                              <w:rPr>
                                <w:sz w:val="20"/>
                                <w:lang w:eastAsia="ko-KR"/>
                              </w:rPr>
                              <w:t>MP</w:t>
                            </w:r>
                            <w:r w:rsidR="00E13275" w:rsidRPr="002E0EFA">
                              <w:rPr>
                                <w:sz w:val="20"/>
                                <w:lang w:eastAsia="ko-KR"/>
                              </w:rPr>
                              <w:t xml:space="preserve"> at different temperatures (a) 313 </w:t>
                            </w:r>
                            <w:r w:rsidR="00E13275" w:rsidRPr="002E0EFA">
                              <w:rPr>
                                <w:rFonts w:hint="eastAsia"/>
                                <w:sz w:val="20"/>
                                <w:lang w:eastAsia="ko-KR"/>
                              </w:rPr>
                              <w:t>K</w:t>
                            </w:r>
                            <w:r w:rsidR="00E13275" w:rsidRPr="002E0EFA">
                              <w:rPr>
                                <w:sz w:val="20"/>
                                <w:lang w:eastAsia="ko-KR"/>
                              </w:rPr>
                              <w:t xml:space="preserve"> (b) 393 </w:t>
                            </w:r>
                            <w:r w:rsidR="00E13275" w:rsidRPr="002E0EFA">
                              <w:rPr>
                                <w:rFonts w:hint="eastAsia"/>
                                <w:sz w:val="20"/>
                                <w:lang w:eastAsia="ko-KR"/>
                              </w:rPr>
                              <w:t>K</w:t>
                            </w:r>
                            <w:r w:rsidR="00F459E9" w:rsidRPr="002E0EFA">
                              <w:rPr>
                                <w:sz w:val="20"/>
                                <w:lang w:eastAsia="ko-KR"/>
                              </w:rPr>
                              <w:t xml:space="preserve"> </w:t>
                            </w:r>
                          </w:p>
                          <w:p w14:paraId="7B25F58C" w14:textId="77777777" w:rsidR="00AF119F" w:rsidRPr="00AF119F" w:rsidRDefault="00AF119F" w:rsidP="00AF119F">
                            <w:pPr>
                              <w:pStyle w:val="Els-caption"/>
                              <w:rPr>
                                <w:lang w:eastAsia="ko-KR"/>
                              </w:rPr>
                            </w:pPr>
                          </w:p>
                          <w:p w14:paraId="5DF8651E" w14:textId="0462369E" w:rsidR="00AF119F" w:rsidRPr="00AF119F" w:rsidRDefault="00AF119F" w:rsidP="00AF119F">
                            <w:pPr>
                              <w:pStyle w:val="Els-caption"/>
                              <w:rPr>
                                <w:lang w:val="en-GB" w:eastAsia="ko-KR"/>
                              </w:rPr>
                            </w:pPr>
                            <w:proofErr w:type="spellStart"/>
                            <w:r>
                              <w:rPr>
                                <w:rFonts w:hint="eastAsia"/>
                                <w:lang w:val="en-GB" w:eastAsia="ko-KR"/>
                              </w:rPr>
                              <w:t>ㄲ</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0F7B4" id="_x0000_s1028" type="#_x0000_t202" style="position:absolute;margin-left:-.1pt;margin-top:249.15pt;width:354.4pt;height:33.2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" stroked="f">
                <v:textbox inset="0,0,0,0">
                  <w:txbxContent>
                    <w:p w14:paraId="4EB69ED7" w14:textId="0596BA32" w:rsidR="00AA7663" w:rsidRPr="002E0EFA" w:rsidRDefault="00AA7663" w:rsidP="00AA7663">
                      <w:pPr>
                        <w:pStyle w:val="a3"/>
                        <w:rPr>
                          <w:sz w:val="20"/>
                          <w:lang w:eastAsia="ko-KR"/>
                        </w:rPr>
                      </w:pPr>
                      <w:r w:rsidRPr="002E0EFA">
                        <w:rPr>
                          <w:b/>
                          <w:bCs/>
                          <w:sz w:val="20"/>
                          <w:lang w:eastAsia="ko-KR"/>
                        </w:rPr>
                        <w:t>Figure 3.</w:t>
                      </w:r>
                      <w:r w:rsidRPr="002E0EFA">
                        <w:rPr>
                          <w:sz w:val="20"/>
                          <w:lang w:eastAsia="ko-KR"/>
                        </w:rPr>
                        <w:t xml:space="preserve"> </w:t>
                      </w:r>
                      <w:r w:rsidR="00750349" w:rsidRPr="002E0EFA">
                        <w:rPr>
                          <w:rFonts w:hint="eastAsia"/>
                          <w:sz w:val="20"/>
                          <w:lang w:eastAsia="ko-KR"/>
                        </w:rPr>
                        <w:t>P</w:t>
                      </w:r>
                      <w:r w:rsidR="00750349" w:rsidRPr="002E0EFA">
                        <w:rPr>
                          <w:sz w:val="20"/>
                          <w:lang w:eastAsia="ko-KR"/>
                        </w:rPr>
                        <w:t>artial pressure of CO</w:t>
                      </w:r>
                      <w:r w:rsidR="00750349" w:rsidRPr="002E0EFA">
                        <w:rPr>
                          <w:sz w:val="20"/>
                          <w:vertAlign w:val="subscript"/>
                          <w:lang w:eastAsia="ko-KR"/>
                        </w:rPr>
                        <w:t>2</w:t>
                      </w:r>
                      <w:r w:rsidR="00750349" w:rsidRPr="002E0EFA">
                        <w:rPr>
                          <w:sz w:val="20"/>
                          <w:lang w:eastAsia="ko-KR"/>
                        </w:rPr>
                        <w:t xml:space="preserve"> as function of CO</w:t>
                      </w:r>
                      <w:r w:rsidR="00750349" w:rsidRPr="002E0EFA">
                        <w:rPr>
                          <w:sz w:val="20"/>
                          <w:vertAlign w:val="subscript"/>
                          <w:lang w:eastAsia="ko-KR"/>
                        </w:rPr>
                        <w:t>2</w:t>
                      </w:r>
                      <w:r w:rsidR="00750349" w:rsidRPr="002E0EFA">
                        <w:rPr>
                          <w:sz w:val="20"/>
                          <w:lang w:eastAsia="ko-KR"/>
                        </w:rPr>
                        <w:t xml:space="preserve"> loading in aqueous solutions of M</w:t>
                      </w:r>
                      <w:r w:rsidR="000064C8">
                        <w:rPr>
                          <w:sz w:val="20"/>
                          <w:lang w:eastAsia="ko-KR"/>
                        </w:rPr>
                        <w:t>D</w:t>
                      </w:r>
                      <w:r w:rsidR="00750349" w:rsidRPr="002E0EFA">
                        <w:rPr>
                          <w:sz w:val="20"/>
                          <w:lang w:eastAsia="ko-KR"/>
                        </w:rPr>
                        <w:t>EA</w:t>
                      </w:r>
                      <w:r w:rsidR="008B7509" w:rsidRPr="002E0EFA">
                        <w:rPr>
                          <w:sz w:val="20"/>
                          <w:lang w:eastAsia="ko-KR"/>
                        </w:rPr>
                        <w:t xml:space="preserve">, </w:t>
                      </w:r>
                      <w:r w:rsidR="000064C8">
                        <w:rPr>
                          <w:sz w:val="20"/>
                          <w:lang w:eastAsia="ko-KR"/>
                        </w:rPr>
                        <w:t>MEA</w:t>
                      </w:r>
                      <w:r w:rsidR="008B7509" w:rsidRPr="002E0EFA">
                        <w:rPr>
                          <w:sz w:val="20"/>
                          <w:lang w:eastAsia="ko-KR"/>
                        </w:rPr>
                        <w:t xml:space="preserve"> and</w:t>
                      </w:r>
                      <w:r w:rsidR="00750349" w:rsidRPr="002E0EFA">
                        <w:rPr>
                          <w:sz w:val="20"/>
                          <w:lang w:eastAsia="ko-KR"/>
                        </w:rPr>
                        <w:t xml:space="preserve"> A</w:t>
                      </w:r>
                      <w:r w:rsidR="000064C8">
                        <w:rPr>
                          <w:sz w:val="20"/>
                          <w:lang w:eastAsia="ko-KR"/>
                        </w:rPr>
                        <w:t>MP</w:t>
                      </w:r>
                      <w:r w:rsidR="00E13275" w:rsidRPr="002E0EFA">
                        <w:rPr>
                          <w:sz w:val="20"/>
                          <w:lang w:eastAsia="ko-KR"/>
                        </w:rPr>
                        <w:t xml:space="preserve"> at different temperatures (a) 313 </w:t>
                      </w:r>
                      <w:r w:rsidR="00E13275" w:rsidRPr="002E0EFA">
                        <w:rPr>
                          <w:rFonts w:hint="eastAsia"/>
                          <w:sz w:val="20"/>
                          <w:lang w:eastAsia="ko-KR"/>
                        </w:rPr>
                        <w:t>K</w:t>
                      </w:r>
                      <w:r w:rsidR="00E13275" w:rsidRPr="002E0EFA">
                        <w:rPr>
                          <w:sz w:val="20"/>
                          <w:lang w:eastAsia="ko-KR"/>
                        </w:rPr>
                        <w:t xml:space="preserve"> (b) 393 </w:t>
                      </w:r>
                      <w:r w:rsidR="00E13275" w:rsidRPr="002E0EFA">
                        <w:rPr>
                          <w:rFonts w:hint="eastAsia"/>
                          <w:sz w:val="20"/>
                          <w:lang w:eastAsia="ko-KR"/>
                        </w:rPr>
                        <w:t>K</w:t>
                      </w:r>
                      <w:r w:rsidR="00F459E9" w:rsidRPr="002E0EFA">
                        <w:rPr>
                          <w:sz w:val="20"/>
                          <w:lang w:eastAsia="ko-KR"/>
                        </w:rPr>
                        <w:t xml:space="preserve"> </w:t>
                      </w:r>
                    </w:p>
                    <w:p w14:paraId="7B25F58C" w14:textId="77777777" w:rsidR="00AF119F" w:rsidRPr="00AF119F" w:rsidRDefault="00AF119F" w:rsidP="00AF119F">
                      <w:pPr>
                        <w:pStyle w:val="Els-caption"/>
                        <w:rPr>
                          <w:lang w:eastAsia="ko-KR"/>
                        </w:rPr>
                      </w:pPr>
                    </w:p>
                    <w:p w14:paraId="5DF8651E" w14:textId="0462369E" w:rsidR="00AF119F" w:rsidRPr="00AF119F" w:rsidRDefault="00AF119F" w:rsidP="00AF119F">
                      <w:pPr>
                        <w:pStyle w:val="Els-caption"/>
                        <w:rPr>
                          <w:lang w:val="en-GB" w:eastAsia="ko-KR"/>
                        </w:rPr>
                      </w:pPr>
                      <w:r>
                        <w:rPr>
                          <w:rFonts w:hint="eastAsia"/>
                          <w:lang w:val="en-GB" w:eastAsia="ko-KR"/>
                        </w:rPr>
                        <w:t>ㄲ</w:t>
                      </w:r>
                    </w:p>
                  </w:txbxContent>
                </v:textbox>
                <w10:wrap type="tight" anchorx="margin" anchory="page"/>
              </v:shape>
            </w:pict>
          </mc:Fallback>
        </mc:AlternateContent>
      </w:r>
    </w:p>
    <w:p w14:paraId="02A34925" w14:textId="560E3ACD" w:rsidR="00707BF9" w:rsidRDefault="009D4D76" w:rsidP="009D4D76">
      <w:pPr>
        <w:pStyle w:val="Els-reference-head"/>
      </w:pPr>
      <w:r>
        <w:t>References</w:t>
      </w:r>
    </w:p>
    <w:p w14:paraId="705702EA" w14:textId="4E1A593B" w:rsidR="002108A7" w:rsidRPr="002108A7" w:rsidRDefault="00D66330" w:rsidP="002108A7">
      <w:pPr>
        <w:pStyle w:val="EndNoteBibliography"/>
        <w:ind w:left="720" w:hanging="720"/>
      </w:pPr>
      <w:r>
        <w:fldChar w:fldCharType="begin"/>
      </w:r>
      <w:r>
        <w:instrText xml:space="preserve"> ADDIN EN.REFLIST </w:instrText>
      </w:r>
      <w:r>
        <w:fldChar w:fldCharType="separate"/>
      </w:r>
      <w:r w:rsidR="002108A7" w:rsidRPr="002108A7">
        <w:t xml:space="preserve">Adjiman, C. S., Galindo, A., &amp; Jackson, G. (2014). Molecules Matter: The Expanding Envelope of Process Design. In M. R. Eden, J. D. Siirola, &amp; G. P. Towler (Eds.), </w:t>
      </w:r>
      <w:r w:rsidR="002108A7" w:rsidRPr="002108A7">
        <w:rPr>
          <w:i/>
        </w:rPr>
        <w:t>Computer Aided Chemical Engineering</w:t>
      </w:r>
      <w:r w:rsidR="002108A7" w:rsidRPr="002108A7">
        <w:t xml:space="preserve"> (Vol. 34, pp. 55-64). Elsevier. </w:t>
      </w:r>
    </w:p>
    <w:p w14:paraId="08DC5668" w14:textId="1D77CF27" w:rsidR="002108A7" w:rsidRPr="002108A7" w:rsidRDefault="002108A7" w:rsidP="002108A7">
      <w:pPr>
        <w:pStyle w:val="EndNoteBibliography"/>
        <w:ind w:left="720" w:hanging="720"/>
      </w:pPr>
      <w:r w:rsidRPr="002108A7">
        <w:t xml:space="preserve">Furka, A. (1982). Study on the possibilities of systematic searching for pharmaceutically useful peptides. </w:t>
      </w:r>
      <w:r w:rsidRPr="002108A7">
        <w:rPr>
          <w:i/>
        </w:rPr>
        <w:t>Notarized Report (File number 36237/1982, in Hungarian)</w:t>
      </w:r>
      <w:r w:rsidRPr="002108A7">
        <w:t xml:space="preserve">. </w:t>
      </w:r>
    </w:p>
    <w:p w14:paraId="08E4C0A1" w14:textId="375C00A2" w:rsidR="002108A7" w:rsidRPr="002108A7" w:rsidRDefault="002108A7" w:rsidP="002108A7">
      <w:pPr>
        <w:pStyle w:val="EndNoteBibliography"/>
        <w:ind w:left="720" w:hanging="720"/>
      </w:pPr>
      <w:r w:rsidRPr="002108A7">
        <w:t xml:space="preserve">Genheden, S., Thakkar, A., Chadimová, V., Reymond, J.-L., Engkvist, O., &amp; Bjerrum, E. (2020). AiZynthFinder: a fast, robust and flexible open-source software for retrosynthetic planning. </w:t>
      </w:r>
      <w:r w:rsidRPr="002108A7">
        <w:rPr>
          <w:i/>
        </w:rPr>
        <w:t>Journal of Cheminformatics</w:t>
      </w:r>
      <w:r w:rsidRPr="002108A7">
        <w:t>,</w:t>
      </w:r>
      <w:r w:rsidRPr="002108A7">
        <w:rPr>
          <w:i/>
        </w:rPr>
        <w:t xml:space="preserve"> 12</w:t>
      </w:r>
      <w:r w:rsidRPr="002108A7">
        <w:t xml:space="preserve">(1), 70. </w:t>
      </w:r>
    </w:p>
    <w:p w14:paraId="06E1CA5E" w14:textId="2BCA72EC" w:rsidR="002108A7" w:rsidRPr="002108A7" w:rsidRDefault="002108A7" w:rsidP="002108A7">
      <w:pPr>
        <w:pStyle w:val="EndNoteBibliography"/>
        <w:ind w:left="720" w:hanging="720"/>
      </w:pPr>
      <w:r w:rsidRPr="002108A7">
        <w:t xml:space="preserve">Gerlach, T., Ingram, T., Sieder, G., &amp; Smirnova, I. (2018). Modeling the solubility of CO2 in aqueous methyl diethanolamine solutions with an electrolyte model based on COSMO-RS. </w:t>
      </w:r>
      <w:r w:rsidRPr="002108A7">
        <w:rPr>
          <w:i/>
        </w:rPr>
        <w:t>Fluid Phase Equilibria</w:t>
      </w:r>
      <w:r w:rsidRPr="002108A7">
        <w:t>,</w:t>
      </w:r>
      <w:r w:rsidRPr="002108A7">
        <w:rPr>
          <w:i/>
        </w:rPr>
        <w:t xml:space="preserve"> 461</w:t>
      </w:r>
      <w:r w:rsidRPr="002108A7">
        <w:t xml:space="preserve">, 39-50. </w:t>
      </w:r>
    </w:p>
    <w:p w14:paraId="65EE1836" w14:textId="5F910D0F" w:rsidR="002108A7" w:rsidRPr="002108A7" w:rsidRDefault="002108A7" w:rsidP="002108A7">
      <w:pPr>
        <w:pStyle w:val="EndNoteBibliography"/>
        <w:ind w:left="720" w:hanging="720"/>
      </w:pPr>
      <w:r w:rsidRPr="002108A7">
        <w:t xml:space="preserve">Kar, S., Sen, R., Kothandaraman, J., Goeppert, A., Chowdhury, R., Munoz, S. B., Haiges, R., &amp; Prakash, G. K. S. (2019). Mechanistic Insights into Ruthenium-Pincer-Catalyzed Amine-Assisted Homogeneous Hydrogenation of CO2 to Methanol. </w:t>
      </w:r>
      <w:r w:rsidRPr="002108A7">
        <w:rPr>
          <w:i/>
        </w:rPr>
        <w:t>Journal of the American Chemical Society</w:t>
      </w:r>
      <w:r w:rsidRPr="002108A7">
        <w:t>,</w:t>
      </w:r>
      <w:r w:rsidRPr="002108A7">
        <w:rPr>
          <w:i/>
        </w:rPr>
        <w:t xml:space="preserve"> 141</w:t>
      </w:r>
      <w:r w:rsidRPr="002108A7">
        <w:t xml:space="preserve">(7), 3160-3170. </w:t>
      </w:r>
    </w:p>
    <w:p w14:paraId="499DEBD5" w14:textId="77777777" w:rsidR="002108A7" w:rsidRPr="002108A7" w:rsidRDefault="002108A7" w:rsidP="002108A7">
      <w:pPr>
        <w:pStyle w:val="EndNoteBibliography"/>
        <w:ind w:left="720" w:hanging="720"/>
      </w:pPr>
      <w:r w:rsidRPr="002108A7">
        <w:t xml:space="preserve">Kim, H., Choi, H., Kang, D., Lee, W. B., &amp; Na, J. (2023). Materials Discovery with Extreme Properties via AI-Driven Combinatorial Chemistry. </w:t>
      </w:r>
      <w:r w:rsidRPr="002108A7">
        <w:rPr>
          <w:i/>
        </w:rPr>
        <w:t>arXiv preprint arXiv:2303.11833</w:t>
      </w:r>
      <w:r w:rsidRPr="002108A7">
        <w:t xml:space="preserve">. </w:t>
      </w:r>
    </w:p>
    <w:p w14:paraId="47742199" w14:textId="77777777" w:rsidR="002108A7" w:rsidRPr="002108A7" w:rsidRDefault="002108A7" w:rsidP="002108A7">
      <w:pPr>
        <w:pStyle w:val="EndNoteBibliography"/>
        <w:ind w:left="720" w:hanging="720"/>
      </w:pPr>
      <w:r w:rsidRPr="002108A7">
        <w:t xml:space="preserve">Kim, M., Han, A., Lee, J., Cho, S., Moon, I., &amp; Na, J. (2023). Comparison of Derivative-Free Optimization: Energy Optimization of Steam Methane Reforming Process. </w:t>
      </w:r>
      <w:r w:rsidRPr="002108A7">
        <w:rPr>
          <w:i/>
        </w:rPr>
        <w:t>International Journal of Energy Research</w:t>
      </w:r>
      <w:r w:rsidRPr="002108A7">
        <w:t>,</w:t>
      </w:r>
      <w:r w:rsidRPr="002108A7">
        <w:rPr>
          <w:i/>
        </w:rPr>
        <w:t xml:space="preserve"> 2023</w:t>
      </w:r>
      <w:r w:rsidRPr="002108A7">
        <w:t xml:space="preserve">. </w:t>
      </w:r>
    </w:p>
    <w:p w14:paraId="075D9C63" w14:textId="5AAED9DB" w:rsidR="002108A7" w:rsidRPr="002108A7" w:rsidRDefault="002108A7" w:rsidP="002108A7">
      <w:pPr>
        <w:pStyle w:val="EndNoteBibliography"/>
        <w:ind w:left="720" w:hanging="720"/>
      </w:pPr>
      <w:r w:rsidRPr="002108A7">
        <w:t xml:space="preserve">Kim, S.-M., Kim, K.-M., Choi, B.-K., Mun, J.-H., Shin, B.-J., Lee, U., Shin, C.-H., Choi, J., Min, B.-M., Lee, U., &amp; Moon, J.-H. (2022). CO2 absorption mechanism in aqueous ternary solutions of alkanolamines: Experimental and thermodynamic modeling approaches. </w:t>
      </w:r>
      <w:r w:rsidRPr="002108A7">
        <w:rPr>
          <w:i/>
        </w:rPr>
        <w:t>Chemical Engineering Journal</w:t>
      </w:r>
      <w:r w:rsidRPr="002108A7">
        <w:t>,</w:t>
      </w:r>
      <w:r w:rsidRPr="002108A7">
        <w:rPr>
          <w:i/>
        </w:rPr>
        <w:t xml:space="preserve"> 428</w:t>
      </w:r>
      <w:r w:rsidRPr="002108A7">
        <w:t xml:space="preserve">, 132044. </w:t>
      </w:r>
    </w:p>
    <w:p w14:paraId="2A6ED7B2" w14:textId="00E8857F" w:rsidR="002108A7" w:rsidRPr="002108A7" w:rsidRDefault="002108A7" w:rsidP="002108A7">
      <w:pPr>
        <w:pStyle w:val="EndNoteBibliography"/>
        <w:ind w:left="720" w:hanging="720"/>
      </w:pPr>
      <w:r w:rsidRPr="002108A7">
        <w:t xml:space="preserve">Lee, Y. S., Galindo, A., Jackson, G., &amp; Adjiman, C. S. (2023). Enabling the direct solution of challenging computer-aided molecular and process design problems: Chemical absorption of carbon dioxide. </w:t>
      </w:r>
      <w:r w:rsidRPr="002108A7">
        <w:rPr>
          <w:i/>
        </w:rPr>
        <w:t>Computers &amp; Chemical Engineering</w:t>
      </w:r>
      <w:r w:rsidRPr="002108A7">
        <w:t>,</w:t>
      </w:r>
      <w:r w:rsidRPr="002108A7">
        <w:rPr>
          <w:i/>
        </w:rPr>
        <w:t xml:space="preserve"> 174</w:t>
      </w:r>
      <w:r w:rsidRPr="002108A7">
        <w:t xml:space="preserve">, 108204. </w:t>
      </w:r>
    </w:p>
    <w:p w14:paraId="5FF75F06" w14:textId="77777777" w:rsidR="002108A7" w:rsidRPr="002108A7" w:rsidRDefault="002108A7" w:rsidP="002108A7">
      <w:pPr>
        <w:pStyle w:val="EndNoteBibliography"/>
        <w:ind w:left="720" w:hanging="720"/>
      </w:pPr>
      <w:r w:rsidRPr="002108A7">
        <w:t xml:space="preserve">Pereira, L. M., &amp; Vega, L. F. (2018). A systematic approach for the thermodynamic modelling of CO2-amine absorption process using molecular-based models. </w:t>
      </w:r>
      <w:r w:rsidRPr="002108A7">
        <w:rPr>
          <w:i/>
        </w:rPr>
        <w:t>Applied Energy</w:t>
      </w:r>
      <w:r w:rsidRPr="002108A7">
        <w:t>,</w:t>
      </w:r>
      <w:r w:rsidRPr="002108A7">
        <w:rPr>
          <w:i/>
        </w:rPr>
        <w:t xml:space="preserve"> 232</w:t>
      </w:r>
      <w:r w:rsidRPr="002108A7">
        <w:t xml:space="preserve">, 273-291. </w:t>
      </w:r>
    </w:p>
    <w:p w14:paraId="1F61E60F" w14:textId="77777777" w:rsidR="002108A7" w:rsidRPr="002108A7" w:rsidRDefault="002108A7" w:rsidP="002108A7">
      <w:pPr>
        <w:pStyle w:val="EndNoteBibliography"/>
        <w:ind w:left="720" w:hanging="720"/>
      </w:pPr>
      <w:r w:rsidRPr="002108A7">
        <w:t xml:space="preserve">Schulman, J., Wolski, F., Dhariwal, P., Radford, A., &amp; Klimov, O. (2017). Proximal policy optimization algorithms. </w:t>
      </w:r>
      <w:r w:rsidRPr="002108A7">
        <w:rPr>
          <w:i/>
        </w:rPr>
        <w:t>arXiv preprint arXiv:1707.06347</w:t>
      </w:r>
      <w:r w:rsidRPr="002108A7">
        <w:t xml:space="preserve">. </w:t>
      </w:r>
    </w:p>
    <w:p w14:paraId="54EF092C" w14:textId="55D46E46" w:rsidR="002108A7" w:rsidRPr="002108A7" w:rsidRDefault="002108A7" w:rsidP="002108A7">
      <w:pPr>
        <w:pStyle w:val="EndNoteBibliography"/>
        <w:ind w:left="720" w:hanging="720"/>
      </w:pPr>
      <w:r w:rsidRPr="002108A7">
        <w:t xml:space="preserve">Siegel, R. E., Pattanayak, S., &amp; Berben, L. A. (2023). Reactive Capture of CO2: Opportunities and Challenges. </w:t>
      </w:r>
      <w:r w:rsidRPr="002108A7">
        <w:rPr>
          <w:i/>
        </w:rPr>
        <w:t>ACS Catalysis</w:t>
      </w:r>
      <w:r w:rsidRPr="002108A7">
        <w:t>,</w:t>
      </w:r>
      <w:r w:rsidRPr="002108A7">
        <w:rPr>
          <w:i/>
        </w:rPr>
        <w:t xml:space="preserve"> 13</w:t>
      </w:r>
      <w:r w:rsidRPr="002108A7">
        <w:t xml:space="preserve">(1), 766-784. </w:t>
      </w:r>
    </w:p>
    <w:p w14:paraId="75905BC9" w14:textId="735611EE" w:rsidR="006A48CA" w:rsidRPr="006A48CA" w:rsidRDefault="00D66330" w:rsidP="002108A7">
      <w:pPr>
        <w:pStyle w:val="EndNoteBibliography"/>
      </w:pPr>
      <w:r>
        <w:fldChar w:fldCharType="end"/>
      </w:r>
    </w:p>
    <w:sectPr w:rsidR="006A48CA" w:rsidRPr="006A48CA" w:rsidSect="00D66330">
      <w:headerReference w:type="even" r:id="rId14"/>
      <w:headerReference w:type="default" r:id="rId15"/>
      <w:head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763F7" w14:textId="77777777" w:rsidR="0035150D" w:rsidRDefault="0035150D">
      <w:r>
        <w:separator/>
      </w:r>
    </w:p>
  </w:endnote>
  <w:endnote w:type="continuationSeparator" w:id="0">
    <w:p w14:paraId="3CA06D16" w14:textId="77777777" w:rsidR="0035150D" w:rsidRDefault="0035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3A9EB" w14:textId="77777777" w:rsidR="0035150D" w:rsidRDefault="0035150D">
      <w:r>
        <w:separator/>
      </w:r>
    </w:p>
  </w:footnote>
  <w:footnote w:type="continuationSeparator" w:id="0">
    <w:p w14:paraId="5546EB8E" w14:textId="77777777" w:rsidR="0035150D" w:rsidRDefault="0035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7E60D32" w:rsidR="00DD3D9E" w:rsidRDefault="00DD3D9E">
    <w:pPr>
      <w:pStyle w:val="a5"/>
      <w:tabs>
        <w:tab w:val="clear" w:pos="7200"/>
        <w:tab w:val="right" w:pos="7088"/>
      </w:tabs>
    </w:pPr>
    <w:r>
      <w:rPr>
        <w:rStyle w:val="aa"/>
      </w:rPr>
      <w:tab/>
    </w:r>
    <w:r>
      <w:rPr>
        <w:rStyle w:val="aa"/>
        <w:i/>
      </w:rPr>
      <w:tab/>
    </w:r>
    <w:r w:rsidR="007A652C">
      <w:rPr>
        <w:rStyle w:val="aa"/>
        <w:rFonts w:hint="eastAsia"/>
        <w:i/>
        <w:lang w:eastAsia="ko-KR"/>
      </w:rPr>
      <w:t>Y</w:t>
    </w:r>
    <w:r w:rsidR="007A652C">
      <w:rPr>
        <w:rStyle w:val="aa"/>
        <w:i/>
        <w:lang w:eastAsia="ko-KR"/>
      </w:rPr>
      <w:t>oohyun Kim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A48FDC5" w:rsidR="00DD3D9E" w:rsidRDefault="007A652C" w:rsidP="007A652C">
    <w:pPr>
      <w:pStyle w:val="a5"/>
      <w:tabs>
        <w:tab w:val="clear" w:pos="7200"/>
        <w:tab w:val="right" w:pos="7088"/>
      </w:tabs>
      <w:jc w:val="both"/>
      <w:rPr>
        <w:sz w:val="24"/>
      </w:rPr>
    </w:pPr>
    <w:r w:rsidRPr="007A652C">
      <w:rPr>
        <w:rStyle w:val="aa"/>
        <w:i/>
        <w:szCs w:val="16"/>
      </w:rPr>
      <w:t>An Integrated Framework: Inverse Design for Optimal Amine Solvent using Reinforcement Learning and Enhanced CO2 Chemical Absorption Processes</w:t>
    </w:r>
    <w:r w:rsidR="00DD3D9E" w:rsidRPr="007A652C">
      <w:rPr>
        <w:rStyle w:val="aa"/>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2058"/>
    <w:multiLevelType w:val="multilevel"/>
    <w:tmpl w:val="0026232E"/>
    <w:lvl w:ilvl="0">
      <w:start w:val="3"/>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166F4A84"/>
    <w:multiLevelType w:val="multilevel"/>
    <w:tmpl w:val="E0DAC3D0"/>
    <w:lvl w:ilvl="0">
      <w:start w:val="2"/>
      <w:numFmt w:val="decimal"/>
      <w:lvlText w:val="%1"/>
      <w:lvlJc w:val="left"/>
      <w:pPr>
        <w:ind w:left="360" w:hanging="360"/>
      </w:pPr>
      <w:rPr>
        <w:rFonts w:hint="default"/>
      </w:rPr>
    </w:lvl>
    <w:lvl w:ilvl="1">
      <w:start w:val="2"/>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4688" w:hanging="72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032" w:hanging="108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376" w:hanging="1440"/>
      </w:pPr>
      <w:rPr>
        <w:rFonts w:hint="default"/>
      </w:rPr>
    </w:lvl>
  </w:abstractNum>
  <w:abstractNum w:abstractNumId="3"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4"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5"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142" w:firstLine="0"/>
      </w:pPr>
      <w:rPr>
        <w:rFonts w:hint="default"/>
      </w:rPr>
    </w:lvl>
    <w:lvl w:ilvl="3">
      <w:start w:val="1"/>
      <w:numFmt w:val="decimal"/>
      <w:pStyle w:val="Els-3rdorder-head"/>
      <w:suff w:val="space"/>
      <w:lvlText w:val="%2.%3.%4."/>
      <w:lvlJc w:val="left"/>
      <w:pPr>
        <w:ind w:left="992"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8"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5B39A7"/>
    <w:multiLevelType w:val="multilevel"/>
    <w:tmpl w:val="09D4471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8E51A9C"/>
    <w:multiLevelType w:val="hybridMultilevel"/>
    <w:tmpl w:val="F10AAA3C"/>
    <w:lvl w:ilvl="0" w:tplc="04090003">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6"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7" w15:restartNumberingAfterBreak="0">
    <w:nsid w:val="5FA349A1"/>
    <w:multiLevelType w:val="multilevel"/>
    <w:tmpl w:val="D43A661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9" w15:restartNumberingAfterBreak="0">
    <w:nsid w:val="731E0E88"/>
    <w:multiLevelType w:val="hybridMultilevel"/>
    <w:tmpl w:val="5E0C4B24"/>
    <w:lvl w:ilvl="0" w:tplc="01067CCC">
      <w:start w:val="1"/>
      <w:numFmt w:val="bullet"/>
      <w:lvlText w:val=""/>
      <w:lvlJc w:val="left"/>
      <w:pPr>
        <w:ind w:left="440" w:hanging="440"/>
      </w:pPr>
      <w:rPr>
        <w:rFonts w:ascii="Wingdings" w:hAnsi="Wingdings" w:hint="default"/>
        <w:vertAlign w:val="superscrip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4"/>
  </w:num>
  <w:num w:numId="2" w16cid:durableId="47382885">
    <w:abstractNumId w:val="14"/>
  </w:num>
  <w:num w:numId="3" w16cid:durableId="967853731">
    <w:abstractNumId w:val="14"/>
  </w:num>
  <w:num w:numId="4" w16cid:durableId="1739282265">
    <w:abstractNumId w:val="14"/>
  </w:num>
  <w:num w:numId="5" w16cid:durableId="698892343">
    <w:abstractNumId w:val="1"/>
  </w:num>
  <w:num w:numId="6" w16cid:durableId="1660883641">
    <w:abstractNumId w:val="8"/>
  </w:num>
  <w:num w:numId="7" w16cid:durableId="1863349795">
    <w:abstractNumId w:val="16"/>
  </w:num>
  <w:num w:numId="8" w16cid:durableId="1750734252">
    <w:abstractNumId w:val="3"/>
  </w:num>
  <w:num w:numId="9" w16cid:durableId="203061615">
    <w:abstractNumId w:val="13"/>
  </w:num>
  <w:num w:numId="10" w16cid:durableId="1478497114">
    <w:abstractNumId w:val="20"/>
  </w:num>
  <w:num w:numId="11" w16cid:durableId="1896693444">
    <w:abstractNumId w:val="18"/>
  </w:num>
  <w:num w:numId="12" w16cid:durableId="774787662">
    <w:abstractNumId w:val="7"/>
  </w:num>
  <w:num w:numId="13" w16cid:durableId="1525900646">
    <w:abstractNumId w:val="11"/>
  </w:num>
  <w:num w:numId="14" w16cid:durableId="1455515963">
    <w:abstractNumId w:val="4"/>
  </w:num>
  <w:num w:numId="15" w16cid:durableId="446657998">
    <w:abstractNumId w:val="9"/>
  </w:num>
  <w:num w:numId="16" w16cid:durableId="322592235">
    <w:abstractNumId w:val="5"/>
  </w:num>
  <w:num w:numId="17" w16cid:durableId="596719075">
    <w:abstractNumId w:val="6"/>
  </w:num>
  <w:num w:numId="18" w16cid:durableId="886648604">
    <w:abstractNumId w:val="12"/>
  </w:num>
  <w:num w:numId="19" w16cid:durableId="281617567">
    <w:abstractNumId w:val="0"/>
  </w:num>
  <w:num w:numId="20" w16cid:durableId="938223790">
    <w:abstractNumId w:val="17"/>
  </w:num>
  <w:num w:numId="21" w16cid:durableId="2120448571">
    <w:abstractNumId w:val="19"/>
  </w:num>
  <w:num w:numId="22" w16cid:durableId="1207566394">
    <w:abstractNumId w:val="2"/>
  </w:num>
  <w:num w:numId="23" w16cid:durableId="2125222025">
    <w:abstractNumId w:val="10"/>
  </w:num>
  <w:num w:numId="24" w16cid:durableId="12430255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59rzarf5z9dare5tx7xwpxqd5peezss525v&quot;&gt;My EndNote Library&lt;record-ids&gt;&lt;item&gt;12&lt;/item&gt;&lt;item&gt;13&lt;/item&gt;&lt;item&gt;27&lt;/item&gt;&lt;item&gt;29&lt;/item&gt;&lt;item&gt;31&lt;/item&gt;&lt;/record-ids&gt;&lt;/item&gt;&lt;/Libraries&gt;"/>
  </w:docVars>
  <w:rsids>
    <w:rsidRoot w:val="00B63237"/>
    <w:rsid w:val="00005870"/>
    <w:rsid w:val="000064C8"/>
    <w:rsid w:val="00023CB8"/>
    <w:rsid w:val="000742A8"/>
    <w:rsid w:val="00085DC5"/>
    <w:rsid w:val="000C07F6"/>
    <w:rsid w:val="000C3707"/>
    <w:rsid w:val="000D3D9B"/>
    <w:rsid w:val="000F0E5F"/>
    <w:rsid w:val="00100491"/>
    <w:rsid w:val="00104EE1"/>
    <w:rsid w:val="00120C58"/>
    <w:rsid w:val="00132F36"/>
    <w:rsid w:val="0016032F"/>
    <w:rsid w:val="00160A0C"/>
    <w:rsid w:val="00182C90"/>
    <w:rsid w:val="001879F6"/>
    <w:rsid w:val="001A0131"/>
    <w:rsid w:val="001A25F0"/>
    <w:rsid w:val="001A40ED"/>
    <w:rsid w:val="001A5B68"/>
    <w:rsid w:val="001B00B7"/>
    <w:rsid w:val="001B3E85"/>
    <w:rsid w:val="001B3F3D"/>
    <w:rsid w:val="001C0148"/>
    <w:rsid w:val="001C757E"/>
    <w:rsid w:val="001D29A2"/>
    <w:rsid w:val="001D463D"/>
    <w:rsid w:val="001F19E4"/>
    <w:rsid w:val="0020390F"/>
    <w:rsid w:val="002108A7"/>
    <w:rsid w:val="00210A97"/>
    <w:rsid w:val="00225799"/>
    <w:rsid w:val="00257C8C"/>
    <w:rsid w:val="002625C6"/>
    <w:rsid w:val="00264926"/>
    <w:rsid w:val="0026559F"/>
    <w:rsid w:val="002739BE"/>
    <w:rsid w:val="002772EE"/>
    <w:rsid w:val="002A14BF"/>
    <w:rsid w:val="002E0EFA"/>
    <w:rsid w:val="002E27FB"/>
    <w:rsid w:val="002F4794"/>
    <w:rsid w:val="00341339"/>
    <w:rsid w:val="003476EF"/>
    <w:rsid w:val="0035150D"/>
    <w:rsid w:val="003700F2"/>
    <w:rsid w:val="003B07BF"/>
    <w:rsid w:val="003B1D98"/>
    <w:rsid w:val="003D0DD9"/>
    <w:rsid w:val="003D1582"/>
    <w:rsid w:val="003D7E4C"/>
    <w:rsid w:val="003E27C6"/>
    <w:rsid w:val="003E41C2"/>
    <w:rsid w:val="003E4D72"/>
    <w:rsid w:val="00416D94"/>
    <w:rsid w:val="00424309"/>
    <w:rsid w:val="00430A9E"/>
    <w:rsid w:val="004910A6"/>
    <w:rsid w:val="0049772C"/>
    <w:rsid w:val="004A7291"/>
    <w:rsid w:val="004B085D"/>
    <w:rsid w:val="004C125E"/>
    <w:rsid w:val="004D36F8"/>
    <w:rsid w:val="004D5EC3"/>
    <w:rsid w:val="004F14A9"/>
    <w:rsid w:val="00500423"/>
    <w:rsid w:val="00523E33"/>
    <w:rsid w:val="005349CD"/>
    <w:rsid w:val="00544A04"/>
    <w:rsid w:val="00552EEB"/>
    <w:rsid w:val="00565053"/>
    <w:rsid w:val="00573EA1"/>
    <w:rsid w:val="00575868"/>
    <w:rsid w:val="005921C0"/>
    <w:rsid w:val="005A0B00"/>
    <w:rsid w:val="005A0BBB"/>
    <w:rsid w:val="005B4124"/>
    <w:rsid w:val="005E722F"/>
    <w:rsid w:val="005F0B14"/>
    <w:rsid w:val="005F6CD4"/>
    <w:rsid w:val="00627981"/>
    <w:rsid w:val="0063119A"/>
    <w:rsid w:val="00631C1C"/>
    <w:rsid w:val="00646A3D"/>
    <w:rsid w:val="006533C8"/>
    <w:rsid w:val="00655282"/>
    <w:rsid w:val="00655D34"/>
    <w:rsid w:val="006630C4"/>
    <w:rsid w:val="00673107"/>
    <w:rsid w:val="00675C4C"/>
    <w:rsid w:val="006943FA"/>
    <w:rsid w:val="006A48CA"/>
    <w:rsid w:val="006A69BF"/>
    <w:rsid w:val="006B1C3D"/>
    <w:rsid w:val="006B49BF"/>
    <w:rsid w:val="006B73F3"/>
    <w:rsid w:val="006C2993"/>
    <w:rsid w:val="00701DA6"/>
    <w:rsid w:val="00707BF9"/>
    <w:rsid w:val="00711DF4"/>
    <w:rsid w:val="00716BF7"/>
    <w:rsid w:val="00750349"/>
    <w:rsid w:val="007603BD"/>
    <w:rsid w:val="00760534"/>
    <w:rsid w:val="00767DD3"/>
    <w:rsid w:val="00775F79"/>
    <w:rsid w:val="0077661D"/>
    <w:rsid w:val="00777386"/>
    <w:rsid w:val="007A652C"/>
    <w:rsid w:val="007B61AC"/>
    <w:rsid w:val="007C0C58"/>
    <w:rsid w:val="007D70A1"/>
    <w:rsid w:val="007E1EFC"/>
    <w:rsid w:val="007F4101"/>
    <w:rsid w:val="007F6F3F"/>
    <w:rsid w:val="007F7C4E"/>
    <w:rsid w:val="008132E8"/>
    <w:rsid w:val="00823407"/>
    <w:rsid w:val="008867B5"/>
    <w:rsid w:val="008941FA"/>
    <w:rsid w:val="008A285A"/>
    <w:rsid w:val="008A4808"/>
    <w:rsid w:val="008B0184"/>
    <w:rsid w:val="008B7509"/>
    <w:rsid w:val="008C5129"/>
    <w:rsid w:val="008C5D02"/>
    <w:rsid w:val="008D2649"/>
    <w:rsid w:val="008E5AC2"/>
    <w:rsid w:val="008F077D"/>
    <w:rsid w:val="008F1D3A"/>
    <w:rsid w:val="008F5F33"/>
    <w:rsid w:val="0090568D"/>
    <w:rsid w:val="009125C9"/>
    <w:rsid w:val="00913879"/>
    <w:rsid w:val="009151BD"/>
    <w:rsid w:val="00915545"/>
    <w:rsid w:val="00917661"/>
    <w:rsid w:val="0092103D"/>
    <w:rsid w:val="00926DAA"/>
    <w:rsid w:val="009346FC"/>
    <w:rsid w:val="00936EE4"/>
    <w:rsid w:val="009408C7"/>
    <w:rsid w:val="0094605A"/>
    <w:rsid w:val="00970E5D"/>
    <w:rsid w:val="0097701C"/>
    <w:rsid w:val="00980A65"/>
    <w:rsid w:val="00986A1C"/>
    <w:rsid w:val="009C113B"/>
    <w:rsid w:val="009D1B6E"/>
    <w:rsid w:val="009D4D76"/>
    <w:rsid w:val="009E2F99"/>
    <w:rsid w:val="00A04083"/>
    <w:rsid w:val="00A25E70"/>
    <w:rsid w:val="00A33765"/>
    <w:rsid w:val="00A401F0"/>
    <w:rsid w:val="00A5254A"/>
    <w:rsid w:val="00A537D7"/>
    <w:rsid w:val="00A63269"/>
    <w:rsid w:val="00A72CB1"/>
    <w:rsid w:val="00A92377"/>
    <w:rsid w:val="00AA3D3D"/>
    <w:rsid w:val="00AA7663"/>
    <w:rsid w:val="00AB29ED"/>
    <w:rsid w:val="00AD1AD4"/>
    <w:rsid w:val="00AD74FC"/>
    <w:rsid w:val="00AE4BD8"/>
    <w:rsid w:val="00AF119F"/>
    <w:rsid w:val="00AF260C"/>
    <w:rsid w:val="00B40F8D"/>
    <w:rsid w:val="00B4388F"/>
    <w:rsid w:val="00B45791"/>
    <w:rsid w:val="00B46CBB"/>
    <w:rsid w:val="00B63237"/>
    <w:rsid w:val="00B6357C"/>
    <w:rsid w:val="00B837C4"/>
    <w:rsid w:val="00B8553A"/>
    <w:rsid w:val="00B90352"/>
    <w:rsid w:val="00BC4A5F"/>
    <w:rsid w:val="00BD295D"/>
    <w:rsid w:val="00BE545C"/>
    <w:rsid w:val="00C17FB5"/>
    <w:rsid w:val="00C276F1"/>
    <w:rsid w:val="00C33470"/>
    <w:rsid w:val="00C960DC"/>
    <w:rsid w:val="00CB0EDE"/>
    <w:rsid w:val="00CC664F"/>
    <w:rsid w:val="00CC7583"/>
    <w:rsid w:val="00CE6F1F"/>
    <w:rsid w:val="00CE7855"/>
    <w:rsid w:val="00CF1F03"/>
    <w:rsid w:val="00CF76FC"/>
    <w:rsid w:val="00D01770"/>
    <w:rsid w:val="00D02C75"/>
    <w:rsid w:val="00D03805"/>
    <w:rsid w:val="00D10E22"/>
    <w:rsid w:val="00D13D2C"/>
    <w:rsid w:val="00D23A36"/>
    <w:rsid w:val="00D40482"/>
    <w:rsid w:val="00D525D8"/>
    <w:rsid w:val="00D53F2A"/>
    <w:rsid w:val="00D62198"/>
    <w:rsid w:val="00D66330"/>
    <w:rsid w:val="00D811B7"/>
    <w:rsid w:val="00D93055"/>
    <w:rsid w:val="00D976F2"/>
    <w:rsid w:val="00DB5629"/>
    <w:rsid w:val="00DC0DE6"/>
    <w:rsid w:val="00DC2F94"/>
    <w:rsid w:val="00DD3D9E"/>
    <w:rsid w:val="00DD7908"/>
    <w:rsid w:val="00E041B2"/>
    <w:rsid w:val="00E13275"/>
    <w:rsid w:val="00E44094"/>
    <w:rsid w:val="00E57533"/>
    <w:rsid w:val="00E82297"/>
    <w:rsid w:val="00E871C2"/>
    <w:rsid w:val="00E94690"/>
    <w:rsid w:val="00EA245A"/>
    <w:rsid w:val="00EB5FB9"/>
    <w:rsid w:val="00ED5A67"/>
    <w:rsid w:val="00EF39FD"/>
    <w:rsid w:val="00EF7133"/>
    <w:rsid w:val="00EF7C83"/>
    <w:rsid w:val="00F06842"/>
    <w:rsid w:val="00F107FD"/>
    <w:rsid w:val="00F27ABB"/>
    <w:rsid w:val="00F318CE"/>
    <w:rsid w:val="00F418D1"/>
    <w:rsid w:val="00F459E9"/>
    <w:rsid w:val="00F5313A"/>
    <w:rsid w:val="00F53B5C"/>
    <w:rsid w:val="00F60769"/>
    <w:rsid w:val="00F62F80"/>
    <w:rsid w:val="00F73F8C"/>
    <w:rsid w:val="00FB64A8"/>
    <w:rsid w:val="00FD1205"/>
    <w:rsid w:val="00FE1455"/>
    <w:rsid w:val="00FE1924"/>
    <w:rsid w:val="00FF7E9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184"/>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Char"/>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ind w:left="0"/>
    </w:pPr>
    <w:rPr>
      <w:i/>
    </w:rPr>
  </w:style>
  <w:style w:type="paragraph" w:customStyle="1" w:styleId="Els-3rdorder-head">
    <w:name w:val="Els-3rdorder-head"/>
    <w:basedOn w:val="Els-body-text"/>
    <w:next w:val="Els-body-text"/>
    <w:rsid w:val="008B0184"/>
    <w:pPr>
      <w:keepNext/>
      <w:numPr>
        <w:ilvl w:val="3"/>
        <w:numId w:val="17"/>
      </w:numPr>
      <w:suppressAutoHyphens/>
      <w:spacing w:before="60"/>
      <w:ind w:left="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semiHidden/>
    <w:rsid w:val="008B0184"/>
  </w:style>
  <w:style w:type="paragraph" w:styleId="ad">
    <w:name w:val="annotation subject"/>
    <w:basedOn w:val="ac"/>
    <w:next w:val="ac"/>
    <w:semiHidden/>
    <w:rsid w:val="008B0184"/>
    <w:rPr>
      <w:b/>
      <w:bCs/>
    </w:rPr>
  </w:style>
  <w:style w:type="paragraph" w:styleId="ae">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paragraph" w:customStyle="1" w:styleId="EndNoteBibliographyTitle">
    <w:name w:val="EndNote Bibliography Title"/>
    <w:basedOn w:val="a"/>
    <w:link w:val="EndNoteBibliographyTitleChar"/>
    <w:rsid w:val="00D66330"/>
    <w:pPr>
      <w:jc w:val="center"/>
    </w:pPr>
    <w:rPr>
      <w:noProof/>
      <w:sz w:val="18"/>
      <w:lang w:val="en-US"/>
    </w:rPr>
  </w:style>
  <w:style w:type="character" w:customStyle="1" w:styleId="Els-body-textChar">
    <w:name w:val="Els-body-text Char"/>
    <w:basedOn w:val="a0"/>
    <w:link w:val="Els-body-text"/>
    <w:rsid w:val="00D66330"/>
    <w:rPr>
      <w:lang w:val="en-US" w:eastAsia="en-US"/>
    </w:rPr>
  </w:style>
  <w:style w:type="character" w:customStyle="1" w:styleId="EndNoteBibliographyTitleChar">
    <w:name w:val="EndNote Bibliography Title Char"/>
    <w:basedOn w:val="Els-body-textChar"/>
    <w:link w:val="EndNoteBibliographyTitle"/>
    <w:rsid w:val="00D66330"/>
    <w:rPr>
      <w:noProof/>
      <w:sz w:val="18"/>
      <w:lang w:val="en-US" w:eastAsia="en-US"/>
    </w:rPr>
  </w:style>
  <w:style w:type="paragraph" w:customStyle="1" w:styleId="EndNoteBibliography">
    <w:name w:val="EndNote Bibliography"/>
    <w:basedOn w:val="a"/>
    <w:link w:val="EndNoteBibliographyChar"/>
    <w:rsid w:val="00D66330"/>
    <w:rPr>
      <w:noProof/>
      <w:sz w:val="18"/>
      <w:lang w:val="en-US"/>
    </w:rPr>
  </w:style>
  <w:style w:type="character" w:customStyle="1" w:styleId="EndNoteBibliographyChar">
    <w:name w:val="EndNote Bibliography Char"/>
    <w:basedOn w:val="Els-body-textChar"/>
    <w:link w:val="EndNoteBibliography"/>
    <w:rsid w:val="00D66330"/>
    <w:rPr>
      <w:noProof/>
      <w:sz w:val="18"/>
      <w:lang w:val="en-US" w:eastAsia="en-US"/>
    </w:rPr>
  </w:style>
  <w:style w:type="character" w:styleId="af">
    <w:name w:val="Unresolved Mention"/>
    <w:basedOn w:val="a0"/>
    <w:uiPriority w:val="99"/>
    <w:semiHidden/>
    <w:unhideWhenUsed/>
    <w:rsid w:val="00D66330"/>
    <w:rPr>
      <w:color w:val="605E5C"/>
      <w:shd w:val="clear" w:color="auto" w:fill="E1DFDD"/>
    </w:rPr>
  </w:style>
  <w:style w:type="table" w:styleId="af0">
    <w:name w:val="Table Grid"/>
    <w:basedOn w:val="a1"/>
    <w:rsid w:val="00655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st Table 2"/>
    <w:basedOn w:val="a1"/>
    <w:uiPriority w:val="47"/>
    <w:rsid w:val="00D53F2A"/>
    <w:pPr>
      <w:jc w:val="both"/>
    </w:pPr>
    <w:rPr>
      <w:rFonts w:asciiTheme="minorHAnsi" w:hAnsiTheme="minorHAnsi" w:cstheme="minorBidi"/>
      <w:kern w:val="2"/>
      <w:szCs w:val="22"/>
      <w:lang w:val="en-US" w:eastAsia="ko-KR"/>
    </w:rPr>
    <w:tblPr>
      <w:tblStyleRowBandSize w:val="1"/>
      <w:tblStyleColBandSize w:val="1"/>
      <w:tblBorders>
        <w:top w:val="single" w:sz="2" w:space="0" w:color="auto"/>
        <w:bottom w:val="single" w:sz="2" w:space="0" w:color="auto"/>
        <w:insideH w:val="single" w:sz="2" w:space="0" w:color="auto"/>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
    <w:name w:val="목록 표 21"/>
    <w:basedOn w:val="a1"/>
    <w:uiPriority w:val="47"/>
    <w:rsid w:val="00AA7663"/>
    <w:pPr>
      <w:jc w:val="both"/>
    </w:pPr>
    <w:rPr>
      <w:rFonts w:asciiTheme="minorHAnsi" w:eastAsia="Times New Roman" w:hAnsiTheme="minorHAnsi" w:cstheme="minorBidi"/>
      <w:kern w:val="2"/>
      <w:szCs w:val="22"/>
    </w:rPr>
    <w:tblPr>
      <w:tblStyleRowBandSize w:val="1"/>
      <w:tblStyleColBandSize w:val="1"/>
      <w:tblInd w:w="0" w:type="nil"/>
      <w:tblBorders>
        <w:top w:val="single" w:sz="2" w:space="0" w:color="auto"/>
        <w:bottom w:val="single" w:sz="2" w:space="0" w:color="auto"/>
        <w:insideH w:val="single" w:sz="2" w:space="0" w:color="auto"/>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1">
    <w:name w:val="List Paragraph"/>
    <w:basedOn w:val="a"/>
    <w:uiPriority w:val="34"/>
    <w:qFormat/>
    <w:rsid w:val="00182C90"/>
    <w:pPr>
      <w:ind w:leftChars="400" w:left="800"/>
    </w:pPr>
  </w:style>
  <w:style w:type="table" w:customStyle="1" w:styleId="ListTable21">
    <w:name w:val="List Table 21"/>
    <w:basedOn w:val="a1"/>
    <w:uiPriority w:val="47"/>
    <w:rsid w:val="00631C1C"/>
    <w:pPr>
      <w:jc w:val="both"/>
    </w:pPr>
    <w:rPr>
      <w:rFonts w:ascii="Calibri" w:eastAsia="Times New Roman" w:hAnsi="Calibri"/>
      <w:kern w:val="2"/>
      <w:szCs w:val="22"/>
    </w:rPr>
    <w:tblPr>
      <w:tblStyleRowBandSize w:val="1"/>
      <w:tblStyleColBandSize w:val="1"/>
      <w:tblInd w:w="0" w:type="nil"/>
      <w:tblBorders>
        <w:top w:val="single" w:sz="2" w:space="0" w:color="auto"/>
        <w:bottom w:val="single" w:sz="2" w:space="0" w:color="auto"/>
        <w:insideH w:val="single" w:sz="2" w:space="0" w:color="auto"/>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f2">
    <w:name w:val="Placeholder Text"/>
    <w:basedOn w:val="a0"/>
    <w:uiPriority w:val="99"/>
    <w:semiHidden/>
    <w:rsid w:val="00707BF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2655">
      <w:bodyDiv w:val="1"/>
      <w:marLeft w:val="0"/>
      <w:marRight w:val="0"/>
      <w:marTop w:val="0"/>
      <w:marBottom w:val="0"/>
      <w:divBdr>
        <w:top w:val="none" w:sz="0" w:space="0" w:color="auto"/>
        <w:left w:val="none" w:sz="0" w:space="0" w:color="auto"/>
        <w:bottom w:val="none" w:sz="0" w:space="0" w:color="auto"/>
        <w:right w:val="none" w:sz="0" w:space="0" w:color="auto"/>
      </w:divBdr>
    </w:div>
    <w:div w:id="136843434">
      <w:bodyDiv w:val="1"/>
      <w:marLeft w:val="0"/>
      <w:marRight w:val="0"/>
      <w:marTop w:val="0"/>
      <w:marBottom w:val="0"/>
      <w:divBdr>
        <w:top w:val="none" w:sz="0" w:space="0" w:color="auto"/>
        <w:left w:val="none" w:sz="0" w:space="0" w:color="auto"/>
        <w:bottom w:val="none" w:sz="0" w:space="0" w:color="auto"/>
        <w:right w:val="none" w:sz="0" w:space="0" w:color="auto"/>
      </w:divBdr>
    </w:div>
    <w:div w:id="352151200">
      <w:bodyDiv w:val="1"/>
      <w:marLeft w:val="0"/>
      <w:marRight w:val="0"/>
      <w:marTop w:val="0"/>
      <w:marBottom w:val="0"/>
      <w:divBdr>
        <w:top w:val="none" w:sz="0" w:space="0" w:color="auto"/>
        <w:left w:val="none" w:sz="0" w:space="0" w:color="auto"/>
        <w:bottom w:val="none" w:sz="0" w:space="0" w:color="auto"/>
        <w:right w:val="none" w:sz="0" w:space="0" w:color="auto"/>
      </w:divBdr>
    </w:div>
    <w:div w:id="353769139">
      <w:bodyDiv w:val="1"/>
      <w:marLeft w:val="0"/>
      <w:marRight w:val="0"/>
      <w:marTop w:val="0"/>
      <w:marBottom w:val="0"/>
      <w:divBdr>
        <w:top w:val="none" w:sz="0" w:space="0" w:color="auto"/>
        <w:left w:val="none" w:sz="0" w:space="0" w:color="auto"/>
        <w:bottom w:val="none" w:sz="0" w:space="0" w:color="auto"/>
        <w:right w:val="none" w:sz="0" w:space="0" w:color="auto"/>
      </w:divBdr>
    </w:div>
    <w:div w:id="358091623">
      <w:bodyDiv w:val="1"/>
      <w:marLeft w:val="0"/>
      <w:marRight w:val="0"/>
      <w:marTop w:val="0"/>
      <w:marBottom w:val="0"/>
      <w:divBdr>
        <w:top w:val="none" w:sz="0" w:space="0" w:color="auto"/>
        <w:left w:val="none" w:sz="0" w:space="0" w:color="auto"/>
        <w:bottom w:val="none" w:sz="0" w:space="0" w:color="auto"/>
        <w:right w:val="none" w:sz="0" w:space="0" w:color="auto"/>
      </w:divBdr>
    </w:div>
    <w:div w:id="425813148">
      <w:bodyDiv w:val="1"/>
      <w:marLeft w:val="0"/>
      <w:marRight w:val="0"/>
      <w:marTop w:val="0"/>
      <w:marBottom w:val="0"/>
      <w:divBdr>
        <w:top w:val="none" w:sz="0" w:space="0" w:color="auto"/>
        <w:left w:val="none" w:sz="0" w:space="0" w:color="auto"/>
        <w:bottom w:val="none" w:sz="0" w:space="0" w:color="auto"/>
        <w:right w:val="none" w:sz="0" w:space="0" w:color="auto"/>
      </w:divBdr>
    </w:div>
    <w:div w:id="478772509">
      <w:bodyDiv w:val="1"/>
      <w:marLeft w:val="0"/>
      <w:marRight w:val="0"/>
      <w:marTop w:val="0"/>
      <w:marBottom w:val="0"/>
      <w:divBdr>
        <w:top w:val="none" w:sz="0" w:space="0" w:color="auto"/>
        <w:left w:val="none" w:sz="0" w:space="0" w:color="auto"/>
        <w:bottom w:val="none" w:sz="0" w:space="0" w:color="auto"/>
        <w:right w:val="none" w:sz="0" w:space="0" w:color="auto"/>
      </w:divBdr>
    </w:div>
    <w:div w:id="488517891">
      <w:bodyDiv w:val="1"/>
      <w:marLeft w:val="0"/>
      <w:marRight w:val="0"/>
      <w:marTop w:val="0"/>
      <w:marBottom w:val="0"/>
      <w:divBdr>
        <w:top w:val="none" w:sz="0" w:space="0" w:color="auto"/>
        <w:left w:val="none" w:sz="0" w:space="0" w:color="auto"/>
        <w:bottom w:val="none" w:sz="0" w:space="0" w:color="auto"/>
        <w:right w:val="none" w:sz="0" w:space="0" w:color="auto"/>
      </w:divBdr>
    </w:div>
    <w:div w:id="535197523">
      <w:bodyDiv w:val="1"/>
      <w:marLeft w:val="0"/>
      <w:marRight w:val="0"/>
      <w:marTop w:val="0"/>
      <w:marBottom w:val="0"/>
      <w:divBdr>
        <w:top w:val="none" w:sz="0" w:space="0" w:color="auto"/>
        <w:left w:val="none" w:sz="0" w:space="0" w:color="auto"/>
        <w:bottom w:val="none" w:sz="0" w:space="0" w:color="auto"/>
        <w:right w:val="none" w:sz="0" w:space="0" w:color="auto"/>
      </w:divBdr>
    </w:div>
    <w:div w:id="651326830">
      <w:bodyDiv w:val="1"/>
      <w:marLeft w:val="0"/>
      <w:marRight w:val="0"/>
      <w:marTop w:val="0"/>
      <w:marBottom w:val="0"/>
      <w:divBdr>
        <w:top w:val="none" w:sz="0" w:space="0" w:color="auto"/>
        <w:left w:val="none" w:sz="0" w:space="0" w:color="auto"/>
        <w:bottom w:val="none" w:sz="0" w:space="0" w:color="auto"/>
        <w:right w:val="none" w:sz="0" w:space="0" w:color="auto"/>
      </w:divBdr>
    </w:div>
    <w:div w:id="660155321">
      <w:bodyDiv w:val="1"/>
      <w:marLeft w:val="0"/>
      <w:marRight w:val="0"/>
      <w:marTop w:val="0"/>
      <w:marBottom w:val="0"/>
      <w:divBdr>
        <w:top w:val="none" w:sz="0" w:space="0" w:color="auto"/>
        <w:left w:val="none" w:sz="0" w:space="0" w:color="auto"/>
        <w:bottom w:val="none" w:sz="0" w:space="0" w:color="auto"/>
        <w:right w:val="none" w:sz="0" w:space="0" w:color="auto"/>
      </w:divBdr>
    </w:div>
    <w:div w:id="726222192">
      <w:bodyDiv w:val="1"/>
      <w:marLeft w:val="0"/>
      <w:marRight w:val="0"/>
      <w:marTop w:val="0"/>
      <w:marBottom w:val="0"/>
      <w:divBdr>
        <w:top w:val="none" w:sz="0" w:space="0" w:color="auto"/>
        <w:left w:val="none" w:sz="0" w:space="0" w:color="auto"/>
        <w:bottom w:val="none" w:sz="0" w:space="0" w:color="auto"/>
        <w:right w:val="none" w:sz="0" w:space="0" w:color="auto"/>
      </w:divBdr>
    </w:div>
    <w:div w:id="783161364">
      <w:bodyDiv w:val="1"/>
      <w:marLeft w:val="0"/>
      <w:marRight w:val="0"/>
      <w:marTop w:val="0"/>
      <w:marBottom w:val="0"/>
      <w:divBdr>
        <w:top w:val="none" w:sz="0" w:space="0" w:color="auto"/>
        <w:left w:val="none" w:sz="0" w:space="0" w:color="auto"/>
        <w:bottom w:val="none" w:sz="0" w:space="0" w:color="auto"/>
        <w:right w:val="none" w:sz="0" w:space="0" w:color="auto"/>
      </w:divBdr>
    </w:div>
    <w:div w:id="894975436">
      <w:bodyDiv w:val="1"/>
      <w:marLeft w:val="0"/>
      <w:marRight w:val="0"/>
      <w:marTop w:val="0"/>
      <w:marBottom w:val="0"/>
      <w:divBdr>
        <w:top w:val="none" w:sz="0" w:space="0" w:color="auto"/>
        <w:left w:val="none" w:sz="0" w:space="0" w:color="auto"/>
        <w:bottom w:val="none" w:sz="0" w:space="0" w:color="auto"/>
        <w:right w:val="none" w:sz="0" w:space="0" w:color="auto"/>
      </w:divBdr>
    </w:div>
    <w:div w:id="961305483">
      <w:bodyDiv w:val="1"/>
      <w:marLeft w:val="0"/>
      <w:marRight w:val="0"/>
      <w:marTop w:val="0"/>
      <w:marBottom w:val="0"/>
      <w:divBdr>
        <w:top w:val="none" w:sz="0" w:space="0" w:color="auto"/>
        <w:left w:val="none" w:sz="0" w:space="0" w:color="auto"/>
        <w:bottom w:val="none" w:sz="0" w:space="0" w:color="auto"/>
        <w:right w:val="none" w:sz="0" w:space="0" w:color="auto"/>
      </w:divBdr>
    </w:div>
    <w:div w:id="1025908209">
      <w:bodyDiv w:val="1"/>
      <w:marLeft w:val="0"/>
      <w:marRight w:val="0"/>
      <w:marTop w:val="0"/>
      <w:marBottom w:val="0"/>
      <w:divBdr>
        <w:top w:val="none" w:sz="0" w:space="0" w:color="auto"/>
        <w:left w:val="none" w:sz="0" w:space="0" w:color="auto"/>
        <w:bottom w:val="none" w:sz="0" w:space="0" w:color="auto"/>
        <w:right w:val="none" w:sz="0" w:space="0" w:color="auto"/>
      </w:divBdr>
    </w:div>
    <w:div w:id="1329551369">
      <w:bodyDiv w:val="1"/>
      <w:marLeft w:val="0"/>
      <w:marRight w:val="0"/>
      <w:marTop w:val="0"/>
      <w:marBottom w:val="0"/>
      <w:divBdr>
        <w:top w:val="none" w:sz="0" w:space="0" w:color="auto"/>
        <w:left w:val="none" w:sz="0" w:space="0" w:color="auto"/>
        <w:bottom w:val="none" w:sz="0" w:space="0" w:color="auto"/>
        <w:right w:val="none" w:sz="0" w:space="0" w:color="auto"/>
      </w:divBdr>
    </w:div>
    <w:div w:id="1350064261">
      <w:bodyDiv w:val="1"/>
      <w:marLeft w:val="0"/>
      <w:marRight w:val="0"/>
      <w:marTop w:val="0"/>
      <w:marBottom w:val="0"/>
      <w:divBdr>
        <w:top w:val="none" w:sz="0" w:space="0" w:color="auto"/>
        <w:left w:val="none" w:sz="0" w:space="0" w:color="auto"/>
        <w:bottom w:val="none" w:sz="0" w:space="0" w:color="auto"/>
        <w:right w:val="none" w:sz="0" w:space="0" w:color="auto"/>
      </w:divBdr>
    </w:div>
    <w:div w:id="1397169420">
      <w:bodyDiv w:val="1"/>
      <w:marLeft w:val="0"/>
      <w:marRight w:val="0"/>
      <w:marTop w:val="0"/>
      <w:marBottom w:val="0"/>
      <w:divBdr>
        <w:top w:val="none" w:sz="0" w:space="0" w:color="auto"/>
        <w:left w:val="none" w:sz="0" w:space="0" w:color="auto"/>
        <w:bottom w:val="none" w:sz="0" w:space="0" w:color="auto"/>
        <w:right w:val="none" w:sz="0" w:space="0" w:color="auto"/>
      </w:divBdr>
    </w:div>
    <w:div w:id="1452237117">
      <w:bodyDiv w:val="1"/>
      <w:marLeft w:val="0"/>
      <w:marRight w:val="0"/>
      <w:marTop w:val="0"/>
      <w:marBottom w:val="0"/>
      <w:divBdr>
        <w:top w:val="none" w:sz="0" w:space="0" w:color="auto"/>
        <w:left w:val="none" w:sz="0" w:space="0" w:color="auto"/>
        <w:bottom w:val="none" w:sz="0" w:space="0" w:color="auto"/>
        <w:right w:val="none" w:sz="0" w:space="0" w:color="auto"/>
      </w:divBdr>
    </w:div>
    <w:div w:id="1523938533">
      <w:bodyDiv w:val="1"/>
      <w:marLeft w:val="0"/>
      <w:marRight w:val="0"/>
      <w:marTop w:val="0"/>
      <w:marBottom w:val="0"/>
      <w:divBdr>
        <w:top w:val="none" w:sz="0" w:space="0" w:color="auto"/>
        <w:left w:val="none" w:sz="0" w:space="0" w:color="auto"/>
        <w:bottom w:val="none" w:sz="0" w:space="0" w:color="auto"/>
        <w:right w:val="none" w:sz="0" w:space="0" w:color="auto"/>
      </w:divBdr>
    </w:div>
    <w:div w:id="1539901167">
      <w:bodyDiv w:val="1"/>
      <w:marLeft w:val="0"/>
      <w:marRight w:val="0"/>
      <w:marTop w:val="0"/>
      <w:marBottom w:val="0"/>
      <w:divBdr>
        <w:top w:val="none" w:sz="0" w:space="0" w:color="auto"/>
        <w:left w:val="none" w:sz="0" w:space="0" w:color="auto"/>
        <w:bottom w:val="none" w:sz="0" w:space="0" w:color="auto"/>
        <w:right w:val="none" w:sz="0" w:space="0" w:color="auto"/>
      </w:divBdr>
    </w:div>
    <w:div w:id="1578785293">
      <w:bodyDiv w:val="1"/>
      <w:marLeft w:val="0"/>
      <w:marRight w:val="0"/>
      <w:marTop w:val="0"/>
      <w:marBottom w:val="0"/>
      <w:divBdr>
        <w:top w:val="none" w:sz="0" w:space="0" w:color="auto"/>
        <w:left w:val="none" w:sz="0" w:space="0" w:color="auto"/>
        <w:bottom w:val="none" w:sz="0" w:space="0" w:color="auto"/>
        <w:right w:val="none" w:sz="0" w:space="0" w:color="auto"/>
      </w:divBdr>
    </w:div>
    <w:div w:id="1614437147">
      <w:bodyDiv w:val="1"/>
      <w:marLeft w:val="0"/>
      <w:marRight w:val="0"/>
      <w:marTop w:val="0"/>
      <w:marBottom w:val="0"/>
      <w:divBdr>
        <w:top w:val="none" w:sz="0" w:space="0" w:color="auto"/>
        <w:left w:val="none" w:sz="0" w:space="0" w:color="auto"/>
        <w:bottom w:val="none" w:sz="0" w:space="0" w:color="auto"/>
        <w:right w:val="none" w:sz="0" w:space="0" w:color="auto"/>
      </w:divBdr>
    </w:div>
    <w:div w:id="1694108475">
      <w:bodyDiv w:val="1"/>
      <w:marLeft w:val="0"/>
      <w:marRight w:val="0"/>
      <w:marTop w:val="0"/>
      <w:marBottom w:val="0"/>
      <w:divBdr>
        <w:top w:val="none" w:sz="0" w:space="0" w:color="auto"/>
        <w:left w:val="none" w:sz="0" w:space="0" w:color="auto"/>
        <w:bottom w:val="none" w:sz="0" w:space="0" w:color="auto"/>
        <w:right w:val="none" w:sz="0" w:space="0" w:color="auto"/>
      </w:divBdr>
    </w:div>
    <w:div w:id="1714112208">
      <w:bodyDiv w:val="1"/>
      <w:marLeft w:val="0"/>
      <w:marRight w:val="0"/>
      <w:marTop w:val="0"/>
      <w:marBottom w:val="0"/>
      <w:divBdr>
        <w:top w:val="none" w:sz="0" w:space="0" w:color="auto"/>
        <w:left w:val="none" w:sz="0" w:space="0" w:color="auto"/>
        <w:bottom w:val="none" w:sz="0" w:space="0" w:color="auto"/>
        <w:right w:val="none" w:sz="0" w:space="0" w:color="auto"/>
      </w:divBdr>
    </w:div>
    <w:div w:id="1785885573">
      <w:bodyDiv w:val="1"/>
      <w:marLeft w:val="0"/>
      <w:marRight w:val="0"/>
      <w:marTop w:val="0"/>
      <w:marBottom w:val="0"/>
      <w:divBdr>
        <w:top w:val="none" w:sz="0" w:space="0" w:color="auto"/>
        <w:left w:val="none" w:sz="0" w:space="0" w:color="auto"/>
        <w:bottom w:val="none" w:sz="0" w:space="0" w:color="auto"/>
        <w:right w:val="none" w:sz="0" w:space="0" w:color="auto"/>
      </w:divBdr>
    </w:div>
    <w:div w:id="1810051296">
      <w:bodyDiv w:val="1"/>
      <w:marLeft w:val="0"/>
      <w:marRight w:val="0"/>
      <w:marTop w:val="0"/>
      <w:marBottom w:val="0"/>
      <w:divBdr>
        <w:top w:val="none" w:sz="0" w:space="0" w:color="auto"/>
        <w:left w:val="none" w:sz="0" w:space="0" w:color="auto"/>
        <w:bottom w:val="none" w:sz="0" w:space="0" w:color="auto"/>
        <w:right w:val="none" w:sz="0" w:space="0" w:color="auto"/>
      </w:divBdr>
    </w:div>
    <w:div w:id="1886989744">
      <w:bodyDiv w:val="1"/>
      <w:marLeft w:val="0"/>
      <w:marRight w:val="0"/>
      <w:marTop w:val="0"/>
      <w:marBottom w:val="0"/>
      <w:divBdr>
        <w:top w:val="none" w:sz="0" w:space="0" w:color="auto"/>
        <w:left w:val="none" w:sz="0" w:space="0" w:color="auto"/>
        <w:bottom w:val="none" w:sz="0" w:space="0" w:color="auto"/>
        <w:right w:val="none" w:sz="0" w:space="0" w:color="auto"/>
      </w:divBdr>
    </w:div>
    <w:div w:id="1954894874">
      <w:bodyDiv w:val="1"/>
      <w:marLeft w:val="0"/>
      <w:marRight w:val="0"/>
      <w:marTop w:val="0"/>
      <w:marBottom w:val="0"/>
      <w:divBdr>
        <w:top w:val="none" w:sz="0" w:space="0" w:color="auto"/>
        <w:left w:val="none" w:sz="0" w:space="0" w:color="auto"/>
        <w:bottom w:val="none" w:sz="0" w:space="0" w:color="auto"/>
        <w:right w:val="none" w:sz="0" w:space="0" w:color="auto"/>
      </w:divBdr>
    </w:div>
    <w:div w:id="212469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TotalTime>
  <Pages>6</Pages>
  <Words>4501</Words>
  <Characters>25656</Characters>
  <Application>Microsoft Office Word</Application>
  <DocSecurity>0</DocSecurity>
  <Lines>213</Lines>
  <Paragraphs>60</Paragraphs>
  <ScaleCrop>false</ScaleCrop>
  <HeadingPairs>
    <vt:vector size="6" baseType="variant">
      <vt:variant>
        <vt:lpstr>제목</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30097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김유현(화공신소재공학전공)</cp:lastModifiedBy>
  <cp:revision>2</cp:revision>
  <cp:lastPrinted>2004-12-17T09:20:00Z</cp:lastPrinted>
  <dcterms:created xsi:type="dcterms:W3CDTF">2024-01-03T15:25:00Z</dcterms:created>
  <dcterms:modified xsi:type="dcterms:W3CDTF">2024-01-03T15:25:00Z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