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40C0DBD6" w:rsidR="00DD3D9E" w:rsidRPr="00B4388F" w:rsidRDefault="00BC4E81">
      <w:pPr>
        <w:pStyle w:val="Els-Title"/>
        <w:rPr>
          <w:color w:val="000000" w:themeColor="text1"/>
        </w:rPr>
      </w:pPr>
      <w:r w:rsidRPr="00BC4E81">
        <w:rPr>
          <w:color w:val="000000" w:themeColor="text1"/>
        </w:rPr>
        <w:t>Dynamic Modeling of Precipitation in Electrolyte Systems</w:t>
      </w:r>
    </w:p>
    <w:p w14:paraId="144DE680" w14:textId="0A33B5FD" w:rsidR="00DD3D9E" w:rsidRPr="002B2E00" w:rsidRDefault="00BC4E81">
      <w:pPr>
        <w:pStyle w:val="Els-Author"/>
        <w:rPr>
          <w:lang w:val="de-DE"/>
        </w:rPr>
      </w:pPr>
      <w:r w:rsidRPr="002B2E00">
        <w:rPr>
          <w:lang w:val="de-DE"/>
        </w:rPr>
        <w:t>Niklas Kemmerling,</w:t>
      </w:r>
      <w:r w:rsidRPr="002B2E00">
        <w:rPr>
          <w:vertAlign w:val="superscript"/>
          <w:lang w:val="de-DE"/>
        </w:rPr>
        <w:t>a</w:t>
      </w:r>
      <w:r w:rsidRPr="002B2E00">
        <w:rPr>
          <w:lang w:val="de-DE"/>
        </w:rPr>
        <w:t xml:space="preserve"> Sergio Lucia</w:t>
      </w:r>
      <w:r w:rsidRPr="002B2E00">
        <w:rPr>
          <w:vertAlign w:val="superscript"/>
          <w:lang w:val="de-DE"/>
        </w:rPr>
        <w:t>a</w:t>
      </w:r>
    </w:p>
    <w:p w14:paraId="144DE681" w14:textId="6360E2E3" w:rsidR="00DD3D9E" w:rsidRPr="00BC4E81" w:rsidRDefault="00BC4E81">
      <w:pPr>
        <w:pStyle w:val="Els-Affiliation"/>
        <w:rPr>
          <w:lang w:val="de-DE"/>
        </w:rPr>
      </w:pPr>
      <w:r w:rsidRPr="00BC4E81">
        <w:rPr>
          <w:vertAlign w:val="superscript"/>
          <w:lang w:val="de-DE"/>
        </w:rPr>
        <w:t>a</w:t>
      </w:r>
      <w:r w:rsidRPr="00BC4E81">
        <w:rPr>
          <w:lang w:val="de-DE"/>
        </w:rPr>
        <w:t xml:space="preserve">TU Dortmund, Emil-Figge Str. </w:t>
      </w:r>
      <w:r>
        <w:rPr>
          <w:lang w:val="de-DE"/>
        </w:rPr>
        <w:t xml:space="preserve">70, Dortmund </w:t>
      </w:r>
      <w:r w:rsidRPr="00BC4E81">
        <w:rPr>
          <w:lang w:val="de-DE"/>
        </w:rPr>
        <w:t>44227</w:t>
      </w:r>
      <w:r>
        <w:rPr>
          <w:lang w:val="de-DE"/>
        </w:rPr>
        <w:t>, Germany</w:t>
      </w:r>
    </w:p>
    <w:p w14:paraId="144DE683" w14:textId="00AABDCE" w:rsidR="008D2649" w:rsidRPr="002B2E00" w:rsidRDefault="00BC4E81" w:rsidP="008D2649">
      <w:pPr>
        <w:pStyle w:val="Els-Affiliation"/>
        <w:spacing w:after="120"/>
        <w:rPr>
          <w:lang w:val="de-DE"/>
        </w:rPr>
      </w:pPr>
      <w:r w:rsidRPr="002B2E00">
        <w:rPr>
          <w:lang w:val="de-DE"/>
        </w:rPr>
        <w:t>niklas.kemmerling@tu-dortmund.de</w:t>
      </w:r>
    </w:p>
    <w:p w14:paraId="144DE684" w14:textId="77777777" w:rsidR="008D2649" w:rsidRPr="002B2E00" w:rsidRDefault="008D2649" w:rsidP="008D2649">
      <w:pPr>
        <w:pStyle w:val="Els-Abstract"/>
        <w:rPr>
          <w:lang w:val="de-DE"/>
        </w:rPr>
      </w:pPr>
      <w:r w:rsidRPr="002B2E00">
        <w:rPr>
          <w:lang w:val="de-DE"/>
        </w:rPr>
        <w:t>Abstract</w:t>
      </w:r>
    </w:p>
    <w:p w14:paraId="49D94EEF" w14:textId="06852A1E" w:rsidR="00BC4E81" w:rsidRDefault="009E308A" w:rsidP="008D2649">
      <w:pPr>
        <w:pStyle w:val="Els-body-text"/>
        <w:spacing w:after="120"/>
        <w:rPr>
          <w:lang w:val="en-GB"/>
        </w:rPr>
      </w:pPr>
      <w:r w:rsidRPr="009E308A">
        <w:rPr>
          <w:lang w:val="en-GB"/>
        </w:rPr>
        <w:t xml:space="preserve">This study presents a dynamic modeling approach for precipitation in electrolyte systems, focusing on the crystallization of an aromatic amine through continuous processes. A novel model, integrating equilibrium and crystallization kinetics, is formulated and applied to a </w:t>
      </w:r>
      <w:r w:rsidR="00FA2C57">
        <w:rPr>
          <w:lang w:val="en-GB"/>
        </w:rPr>
        <w:t>c</w:t>
      </w:r>
      <w:r w:rsidRPr="009E308A">
        <w:rPr>
          <w:lang w:val="en-GB"/>
        </w:rPr>
        <w:t xml:space="preserve">ontinuous </w:t>
      </w:r>
      <w:r w:rsidR="00FA2C57">
        <w:rPr>
          <w:lang w:val="en-GB"/>
        </w:rPr>
        <w:t>o</w:t>
      </w:r>
      <w:r w:rsidRPr="009E308A">
        <w:rPr>
          <w:lang w:val="en-GB"/>
        </w:rPr>
        <w:t xml:space="preserve">scillatory </w:t>
      </w:r>
      <w:r w:rsidR="00FA2C57">
        <w:rPr>
          <w:lang w:val="en-GB"/>
        </w:rPr>
        <w:t>b</w:t>
      </w:r>
      <w:r w:rsidRPr="009E308A">
        <w:rPr>
          <w:lang w:val="en-GB"/>
        </w:rPr>
        <w:t xml:space="preserve">affled </w:t>
      </w:r>
      <w:r w:rsidR="00FA2C57">
        <w:rPr>
          <w:lang w:val="en-GB"/>
        </w:rPr>
        <w:t>r</w:t>
      </w:r>
      <w:r w:rsidRPr="009E308A">
        <w:rPr>
          <w:lang w:val="en-GB"/>
        </w:rPr>
        <w:t xml:space="preserve">eactor. The approach assumes rapid equilibrium establishment and </w:t>
      </w:r>
      <w:r>
        <w:rPr>
          <w:lang w:val="en-GB"/>
        </w:rPr>
        <w:t>is formulated as a set of</w:t>
      </w:r>
      <w:r w:rsidRPr="009E308A">
        <w:rPr>
          <w:lang w:val="en-GB"/>
        </w:rPr>
        <w:t xml:space="preserve"> differential algebraic equations. Key features include a population balance equation</w:t>
      </w:r>
      <w:r w:rsidR="00DF6867">
        <w:rPr>
          <w:lang w:val="en-GB"/>
        </w:rPr>
        <w:t xml:space="preserve"> model to describe the</w:t>
      </w:r>
      <w:r w:rsidRPr="009E308A">
        <w:rPr>
          <w:lang w:val="en-GB"/>
        </w:rPr>
        <w:t xml:space="preserve"> particle size distribution and</w:t>
      </w:r>
      <w:r w:rsidR="00522BB1">
        <w:rPr>
          <w:lang w:val="en-GB"/>
        </w:rPr>
        <w:t xml:space="preserve"> the modeling of</w:t>
      </w:r>
      <w:r w:rsidRPr="009E308A">
        <w:rPr>
          <w:lang w:val="en-GB"/>
        </w:rPr>
        <w:t xml:space="preserve"> </w:t>
      </w:r>
      <w:r>
        <w:rPr>
          <w:lang w:val="en-GB"/>
        </w:rPr>
        <w:t>dynamically changing equilibria.</w:t>
      </w:r>
      <w:r w:rsidR="003C60CC">
        <w:rPr>
          <w:lang w:val="en-GB"/>
        </w:rPr>
        <w:t xml:space="preserve"> </w:t>
      </w:r>
      <w:r w:rsidR="003C60CC" w:rsidRPr="003C60CC">
        <w:rPr>
          <w:lang w:val="en-GB"/>
        </w:rPr>
        <w:t>The predictions of the dynamic model show good agreement with the available experimental measurements</w:t>
      </w:r>
      <w:r w:rsidR="003C60CC">
        <w:rPr>
          <w:lang w:val="en-GB"/>
        </w:rPr>
        <w:t>.</w:t>
      </w:r>
      <w:r>
        <w:rPr>
          <w:lang w:val="en-GB"/>
        </w:rPr>
        <w:t xml:space="preserve"> The model is aimed at aiding </w:t>
      </w:r>
      <w:r w:rsidR="00624F3C">
        <w:rPr>
          <w:lang w:val="en-GB"/>
        </w:rPr>
        <w:t xml:space="preserve">the transition from </w:t>
      </w:r>
      <w:r>
        <w:rPr>
          <w:lang w:val="en-GB"/>
        </w:rPr>
        <w:t>a batch process to continuous process by forming the basis for numerical optimization and advanced control</w:t>
      </w:r>
      <w:r w:rsidR="00BC4E81" w:rsidRPr="00BC4E81">
        <w:rPr>
          <w:lang w:val="en-GB"/>
        </w:rPr>
        <w:t>.</w:t>
      </w:r>
    </w:p>
    <w:p w14:paraId="452B060C" w14:textId="45D66D40" w:rsidR="00AB29ED" w:rsidRPr="00BC4E81" w:rsidRDefault="008D2649" w:rsidP="008D2649">
      <w:pPr>
        <w:pStyle w:val="Els-body-text"/>
        <w:spacing w:after="120"/>
        <w:rPr>
          <w:lang w:val="en-GB"/>
        </w:rPr>
      </w:pPr>
      <w:r>
        <w:rPr>
          <w:b/>
          <w:bCs/>
          <w:lang w:val="en-GB"/>
        </w:rPr>
        <w:t>Keywords</w:t>
      </w:r>
      <w:r>
        <w:rPr>
          <w:lang w:val="en-GB"/>
        </w:rPr>
        <w:t xml:space="preserve">: </w:t>
      </w:r>
      <w:r w:rsidR="00BC4E81" w:rsidRPr="00BC4E81">
        <w:rPr>
          <w:lang w:val="en-GB"/>
        </w:rPr>
        <w:t xml:space="preserve">dynamic modeling, reaction model, continuous crystallization, Continuous Oscillatory Baffled Reactor, </w:t>
      </w:r>
      <w:r w:rsidR="00BC4E81">
        <w:rPr>
          <w:lang w:val="en-GB"/>
        </w:rPr>
        <w:t>reactive crystalization</w:t>
      </w:r>
      <w:r>
        <w:rPr>
          <w:lang w:val="en-GB"/>
        </w:rPr>
        <w:t>.</w:t>
      </w:r>
    </w:p>
    <w:p w14:paraId="5E3F1B41" w14:textId="19ADF4DD" w:rsidR="00E10CB6" w:rsidRPr="00E10CB6" w:rsidRDefault="00B70E33" w:rsidP="00E10CB6">
      <w:pPr>
        <w:pStyle w:val="Els-1storder-head"/>
      </w:pPr>
      <w:r>
        <w:t>Introduction</w:t>
      </w:r>
    </w:p>
    <w:p w14:paraId="5291C2CD" w14:textId="2FCC45DF" w:rsidR="008A2990" w:rsidRDefault="009018BF" w:rsidP="008A2990">
      <w:pPr>
        <w:pStyle w:val="Els-body-text"/>
        <w:spacing w:after="120"/>
        <w:rPr>
          <w:lang w:val="en-GB"/>
        </w:rPr>
      </w:pPr>
      <w:r w:rsidRPr="009018BF">
        <w:t>Precipitation processes in electrolytic so</w:t>
      </w:r>
      <w:r w:rsidR="00AA25E6">
        <w:t>lutions are integral to various parts of the chemical industry</w:t>
      </w:r>
      <w:r w:rsidRPr="009018BF">
        <w:t xml:space="preserve">, including water treatment and pharmaceutical production. These processes are characterized by dynamic changes in reactions and equilibria, necessitating sophisticated modeling to enhance production efficiency and quality. In these </w:t>
      </w:r>
      <w:r w:rsidR="00AA25E6">
        <w:t>processes</w:t>
      </w:r>
      <w:r w:rsidRPr="009018BF">
        <w:t>, changes in variables like compound concentration, temperature, or pressure shift electrolytic equilibria, leading to the precipitation of insoluble compounds</w:t>
      </w:r>
      <w:r w:rsidR="003E093A">
        <w:t xml:space="preserve"> due to a supersaturation of the solution</w:t>
      </w:r>
      <w:r w:rsidRPr="009018BF">
        <w:t>. The dynamics of supersaturation play a crucial role in defining the nature and characteristics of the resulting crystals.</w:t>
      </w:r>
      <w:r w:rsidR="008A2990" w:rsidRPr="008A2990">
        <w:rPr>
          <w:lang w:val="en-GB"/>
        </w:rPr>
        <w:t xml:space="preserve"> </w:t>
      </w:r>
    </w:p>
    <w:p w14:paraId="77FC10FB" w14:textId="712A7C0C" w:rsidR="008A2990" w:rsidRDefault="001F438B" w:rsidP="008A2990">
      <w:pPr>
        <w:pStyle w:val="Els-body-text"/>
        <w:spacing w:after="120"/>
        <w:rPr>
          <w:lang w:val="en-GB"/>
        </w:rPr>
      </w:pPr>
      <w:r w:rsidRPr="001F438B">
        <w:t xml:space="preserve">This </w:t>
      </w:r>
      <w:r w:rsidR="00AA25E6">
        <w:t>work</w:t>
      </w:r>
      <w:r w:rsidRPr="001F438B">
        <w:t xml:space="preserve"> builds upon the dynamic modeling approach for systems with various equilibria, as initially established b</w:t>
      </w:r>
      <w:r w:rsidR="0084745B">
        <w:t>y Moe et al.</w:t>
      </w:r>
      <w:r w:rsidR="0061166A" w:rsidRPr="0061166A">
        <w:t xml:space="preserve"> </w:t>
      </w:r>
      <w:r w:rsidR="004B5353">
        <w:t>(</w:t>
      </w:r>
      <w:r w:rsidR="0061166A" w:rsidRPr="0061166A">
        <w:t>1995</w:t>
      </w:r>
      <w:r w:rsidR="004B5353">
        <w:t>)</w:t>
      </w:r>
      <w:r w:rsidRPr="001F438B">
        <w:t>. The applicability of this methodology is demonstrated through its adoption by Kakhu et al.</w:t>
      </w:r>
      <w:r w:rsidR="00F112D9">
        <w:t xml:space="preserve"> </w:t>
      </w:r>
      <w:r w:rsidR="004B5353">
        <w:t>(</w:t>
      </w:r>
      <w:r w:rsidR="00F112D9">
        <w:t>2003</w:t>
      </w:r>
      <w:r w:rsidR="004B5353">
        <w:t>)</w:t>
      </w:r>
      <w:r w:rsidRPr="001F438B">
        <w:t>, who incorporated phase appearance and disappearance using state-transition networks, and by Bremen et al.</w:t>
      </w:r>
      <w:r w:rsidR="00F112D9">
        <w:t xml:space="preserve"> </w:t>
      </w:r>
      <w:r w:rsidR="004B5353">
        <w:t>(</w:t>
      </w:r>
      <w:r w:rsidR="00F112D9">
        <w:t>2022</w:t>
      </w:r>
      <w:r w:rsidR="004B5353">
        <w:t>)</w:t>
      </w:r>
      <w:r w:rsidRPr="001F438B">
        <w:t xml:space="preserve">, who integrated </w:t>
      </w:r>
      <w:r>
        <w:t>this concept</w:t>
      </w:r>
      <w:r w:rsidRPr="001F438B">
        <w:t xml:space="preserve"> into an open-source Modelica library. The approach presented here combines Moe et al.’s method with a population balance model.</w:t>
      </w:r>
      <w:r w:rsidR="008A2990" w:rsidRPr="008A2990">
        <w:rPr>
          <w:lang w:val="en-GB"/>
        </w:rPr>
        <w:t xml:space="preserve"> </w:t>
      </w:r>
    </w:p>
    <w:p w14:paraId="25C44A99" w14:textId="6923D735" w:rsidR="00624F3C" w:rsidRDefault="002B2E00" w:rsidP="008D2649">
      <w:pPr>
        <w:pStyle w:val="Els-body-text"/>
      </w:pPr>
      <w:r w:rsidRPr="002B2E00">
        <w:rPr>
          <w:lang w:val="en-GB"/>
        </w:rPr>
        <w:t>This work's main objective is to develop</w:t>
      </w:r>
      <w:r w:rsidR="00FA2C57">
        <w:rPr>
          <w:lang w:val="en-GB"/>
        </w:rPr>
        <w:t xml:space="preserve"> a dynamic model that will be the basis for the optimization and model-based control </w:t>
      </w:r>
      <w:r w:rsidR="00FA2C57">
        <w:t xml:space="preserve">for </w:t>
      </w:r>
      <w:r w:rsidR="00624F3C">
        <w:t>a</w:t>
      </w:r>
      <w:r w:rsidR="00195498">
        <w:t xml:space="preserve"> large-scale production</w:t>
      </w:r>
      <w:r w:rsidR="009018BF">
        <w:t xml:space="preserve"> of an aromatic amine</w:t>
      </w:r>
      <w:r w:rsidR="00195498">
        <w:t xml:space="preserve"> in a </w:t>
      </w:r>
      <w:r w:rsidR="00FA2C57">
        <w:t>continuous oscillatory baffled reactor (</w:t>
      </w:r>
      <w:r w:rsidR="009018BF">
        <w:t>COBR</w:t>
      </w:r>
      <w:r w:rsidR="00FA2C57">
        <w:t>)</w:t>
      </w:r>
      <w:r w:rsidR="00DB02A8">
        <w:t>.</w:t>
      </w:r>
    </w:p>
    <w:p w14:paraId="01096D68" w14:textId="38B15C7E" w:rsidR="001F438B" w:rsidRDefault="00391AAC" w:rsidP="001F438B">
      <w:pPr>
        <w:pStyle w:val="Els-1storder-head"/>
      </w:pPr>
      <w:r>
        <w:t>Model</w:t>
      </w:r>
    </w:p>
    <w:p w14:paraId="73B36C14" w14:textId="19FDE879" w:rsidR="00AA25E6" w:rsidRDefault="00AA25E6" w:rsidP="008D2649">
      <w:pPr>
        <w:pStyle w:val="Els-body-text"/>
      </w:pPr>
      <w:r>
        <w:t xml:space="preserve">A key complexity in modeling electrolyte systems lies in determining the complete set of concentrations of all species present in the system. </w:t>
      </w:r>
      <w:r w:rsidR="002708A3" w:rsidRPr="002708A3">
        <w:t xml:space="preserve">The concentrations in these systems </w:t>
      </w:r>
      <w:r w:rsidR="002708A3" w:rsidRPr="002708A3">
        <w:lastRenderedPageBreak/>
        <w:t xml:space="preserve">are primarily determined by equilibrium reactions, commonly </w:t>
      </w:r>
      <w:r w:rsidR="00FA2C57">
        <w:t>assumed</w:t>
      </w:r>
      <w:r w:rsidR="00FA2C57" w:rsidRPr="002708A3">
        <w:t xml:space="preserve"> </w:t>
      </w:r>
      <w:r w:rsidR="002708A3" w:rsidRPr="002708A3">
        <w:t>as rapid and reversible processes.</w:t>
      </w:r>
      <w:r w:rsidR="002708A3">
        <w:t xml:space="preserve"> </w:t>
      </w:r>
      <w:r>
        <w:t xml:space="preserve">In aqueous systems, the </w:t>
      </w:r>
      <w:r w:rsidR="002841E3" w:rsidRPr="002841E3">
        <w:t>autoprotolysis</w:t>
      </w:r>
      <w:r w:rsidR="002841E3">
        <w:t xml:space="preserve"> </w:t>
      </w:r>
      <w:r>
        <w:t>of water must be accounted for, represented by the equilibrium:</w:t>
      </w:r>
      <m:oMath>
        <m:r>
          <w:rPr>
            <w:rFonts w:ascii="Cambria Math" w:hAnsi="Cambria Math"/>
          </w:rPr>
          <m:t xml:space="preserve"> 2</m:t>
        </m:r>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3</m:t>
            </m:r>
          </m:sub>
        </m:sSub>
        <m:sSup>
          <m:sSupPr>
            <m:ctrlPr>
              <w:rPr>
                <w:rFonts w:ascii="Cambria Math" w:hAnsi="Cambria Math"/>
              </w:rPr>
            </m:ctrlPr>
          </m:sSupPr>
          <m:e>
            <m:r>
              <w:rPr>
                <w:rFonts w:ascii="Cambria Math" w:hAnsi="Cambria Math"/>
              </w:rPr>
              <m:t>O</m:t>
            </m:r>
          </m:e>
          <m:sup>
            <m:r>
              <m:rPr>
                <m:sty m:val="p"/>
              </m:rPr>
              <w:rPr>
                <w:rFonts w:ascii="Cambria Math" w:hAnsi="Cambria Math"/>
              </w:rPr>
              <m:t>+</m:t>
            </m:r>
          </m:sup>
        </m:sSup>
        <m:r>
          <m:rPr>
            <m:sty m:val="p"/>
          </m:rPr>
          <w:rPr>
            <w:rFonts w:ascii="Cambria Math" w:hAnsi="Cambria Math"/>
          </w:rPr>
          <m:t>+</m:t>
        </m:r>
        <m:r>
          <w:rPr>
            <w:rFonts w:ascii="Cambria Math" w:hAnsi="Cambria Math"/>
          </w:rPr>
          <m:t>O</m:t>
        </m:r>
        <m:sSup>
          <m:sSupPr>
            <m:ctrlPr>
              <w:rPr>
                <w:rFonts w:ascii="Cambria Math" w:hAnsi="Cambria Math"/>
              </w:rPr>
            </m:ctrlPr>
          </m:sSupPr>
          <m:e>
            <m:r>
              <w:rPr>
                <w:rFonts w:ascii="Cambria Math" w:hAnsi="Cambria Math"/>
              </w:rPr>
              <m:t>H</m:t>
            </m:r>
          </m:e>
          <m:sup>
            <m:r>
              <m:rPr>
                <m:sty m:val="p"/>
              </m:rPr>
              <w:rPr>
                <w:rFonts w:ascii="Cambria Math" w:hAnsi="Cambria Math"/>
              </w:rPr>
              <m:t>-</m:t>
            </m:r>
          </m:sup>
        </m:sSup>
      </m:oMath>
      <w:r>
        <w:t xml:space="preserve">. Commonly, for simplification, this reaction is </w:t>
      </w:r>
      <w:r w:rsidR="002841E3">
        <w:t>exchanged</w:t>
      </w:r>
      <w:r>
        <w:t xml:space="preserve"> by assuming the formation of free protons (</w:t>
      </w:r>
      <m:oMath>
        <m:sSup>
          <m:sSupPr>
            <m:ctrlPr>
              <w:rPr>
                <w:rFonts w:ascii="Cambria Math" w:hAnsi="Cambria Math"/>
              </w:rPr>
            </m:ctrlPr>
          </m:sSupPr>
          <m:e>
            <m:r>
              <w:rPr>
                <w:rFonts w:ascii="Cambria Math" w:hAnsi="Cambria Math"/>
              </w:rPr>
              <m:t>H</m:t>
            </m:r>
          </m:e>
          <m:sup>
            <m:r>
              <m:rPr>
                <m:sty m:val="p"/>
              </m:rPr>
              <w:rPr>
                <w:rFonts w:ascii="Cambria Math" w:hAnsi="Cambria Math"/>
              </w:rPr>
              <m:t>+</m:t>
            </m:r>
          </m:sup>
        </m:sSup>
      </m:oMath>
      <w:r>
        <w:t>) instead of the hydronium ion. The dissociation of acids and bases then follows the equilibrium reactions:</w:t>
      </w:r>
      <m:oMath>
        <m:r>
          <w:rPr>
            <w:rFonts w:ascii="Cambria Math" w:hAnsi="Cambria Math"/>
          </w:rPr>
          <m:t>HA</m:t>
        </m:r>
        <m:r>
          <m:rPr>
            <m:sty m:val="p"/>
          </m:rPr>
          <w:rPr>
            <w:rFonts w:ascii="Cambria Math" w:hAnsi="Cambria Math"/>
          </w:rPr>
          <m:t>⥨</m:t>
        </m:r>
        <m:sSup>
          <m:sSupPr>
            <m:ctrlPr>
              <w:rPr>
                <w:rFonts w:ascii="Cambria Math" w:hAnsi="Cambria Math"/>
              </w:rPr>
            </m:ctrlPr>
          </m:sSupPr>
          <m:e>
            <m:r>
              <w:rPr>
                <w:rFonts w:ascii="Cambria Math" w:hAnsi="Cambria Math"/>
              </w:rPr>
              <m:t>H</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r>
          <w:rPr>
            <w:rFonts w:ascii="Cambria Math" w:eastAsiaTheme="minorEastAsia" w:hAnsi="Cambria Math"/>
          </w:rPr>
          <m:t xml:space="preserve">; </m:t>
        </m:r>
        <m:r>
          <w:rPr>
            <w:rFonts w:ascii="Cambria Math" w:hAnsi="Cambria Math"/>
          </w:rPr>
          <m:t>OHB</m:t>
        </m:r>
        <m:r>
          <m:rPr>
            <m:sty m:val="p"/>
          </m:rPr>
          <w:rPr>
            <w:rFonts w:ascii="Cambria Math" w:hAnsi="Cambria Math"/>
          </w:rPr>
          <m:t>⥨</m:t>
        </m:r>
        <m:r>
          <w:rPr>
            <w:rFonts w:ascii="Cambria Math" w:hAnsi="Cambria Math"/>
          </w:rPr>
          <m:t>O</m:t>
        </m:r>
        <m:sSup>
          <m:sSupPr>
            <m:ctrlPr>
              <w:rPr>
                <w:rFonts w:ascii="Cambria Math" w:hAnsi="Cambria Math"/>
              </w:rPr>
            </m:ctrlPr>
          </m:sSupPr>
          <m:e>
            <m:r>
              <w:rPr>
                <w:rFonts w:ascii="Cambria Math" w:hAnsi="Cambria Math"/>
              </w:rPr>
              <m:t>H</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sup>
        </m:sSup>
      </m:oMath>
      <w:r w:rsidR="00E67E55">
        <w:rPr>
          <w:rFonts w:eastAsiaTheme="minorEastAsia"/>
        </w:rPr>
        <w:t>.</w:t>
      </w:r>
      <w:r w:rsidR="00E67E55">
        <w:t xml:space="preserve"> </w:t>
      </w:r>
      <w:r w:rsidRPr="00AA25E6">
        <w:t>The species involved in these equilibrium reactions conform to the equilibria according to the formula:</w:t>
      </w:r>
    </w:p>
    <w:tbl>
      <w:tblPr>
        <w:tblW w:w="7087" w:type="dxa"/>
        <w:tblLook w:val="04A0" w:firstRow="1" w:lastRow="0" w:firstColumn="1" w:lastColumn="0" w:noHBand="0" w:noVBand="1"/>
      </w:tblPr>
      <w:tblGrid>
        <w:gridCol w:w="6121"/>
        <w:gridCol w:w="966"/>
      </w:tblGrid>
      <w:tr w:rsidR="007A77CA" w:rsidRPr="00A94774" w14:paraId="4A70CB5F" w14:textId="77777777" w:rsidTr="00F561EF">
        <w:tc>
          <w:tcPr>
            <w:tcW w:w="6121" w:type="dxa"/>
            <w:shd w:val="clear" w:color="auto" w:fill="auto"/>
            <w:vAlign w:val="center"/>
          </w:tcPr>
          <w:p w14:paraId="6594EC8D" w14:textId="65F2A5BA" w:rsidR="007A77CA" w:rsidRPr="0050635D" w:rsidRDefault="007A77CA" w:rsidP="0087540F">
            <w:pPr>
              <w:pStyle w:val="Textkrper"/>
              <w:rPr>
                <w:sz w:val="20"/>
                <w:szCs w:val="20"/>
              </w:rPr>
            </w:pPr>
            <m:oMath>
              <m:r>
                <w:rPr>
                  <w:rFonts w:ascii="Cambria Math" w:hAnsi="Cambria Math"/>
                  <w:sz w:val="20"/>
                  <w:szCs w:val="20"/>
                </w:rPr>
                <m:t>ln</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j</m:t>
                      </m:r>
                    </m:sub>
                  </m:sSub>
                </m:e>
              </m:d>
              <m:r>
                <m:rPr>
                  <m:sty m:val="p"/>
                </m:rP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r>
                    <m:rPr>
                      <m:scr m:val="script"/>
                      <m:sty m:val="p"/>
                    </m:rPr>
                    <w:rPr>
                      <w:rFonts w:ascii="Cambria Math" w:hAnsi="Cambria Math"/>
                      <w:sz w:val="20"/>
                      <w:szCs w:val="20"/>
                    </w:rPr>
                    <m:t>∈R</m:t>
                  </m:r>
                </m:sub>
                <m:sup>
                  <m:r>
                    <w:rPr>
                      <w:rFonts w:ascii="Cambria Math" w:hAnsi="Cambria Math"/>
                      <w:sz w:val="20"/>
                      <w:szCs w:val="20"/>
                    </w:rPr>
                    <m:t>​</m:t>
                  </m:r>
                </m:sup>
                <m:e>
                  <m:sSub>
                    <m:sSubPr>
                      <m:ctrlPr>
                        <w:rPr>
                          <w:rFonts w:ascii="Cambria Math" w:hAnsi="Cambria Math"/>
                          <w:sz w:val="20"/>
                          <w:szCs w:val="20"/>
                        </w:rPr>
                      </m:ctrlPr>
                    </m:sSubPr>
                    <m:e>
                      <m:r>
                        <w:rPr>
                          <w:rFonts w:ascii="Cambria Math" w:hAnsi="Cambria Math"/>
                          <w:sz w:val="20"/>
                          <w:szCs w:val="20"/>
                        </w:rPr>
                        <m:t>ν</m:t>
                      </m:r>
                    </m:e>
                    <m:sub>
                      <m:r>
                        <w:rPr>
                          <w:rFonts w:ascii="Cambria Math" w:hAnsi="Cambria Math"/>
                          <w:sz w:val="20"/>
                          <w:szCs w:val="20"/>
                        </w:rPr>
                        <m:t>ij</m:t>
                      </m:r>
                    </m:sub>
                  </m:sSub>
                  <m:r>
                    <w:rPr>
                      <w:rFonts w:ascii="Cambria Math" w:hAnsi="Cambria Math"/>
                      <w:sz w:val="20"/>
                      <w:szCs w:val="20"/>
                    </w:rPr>
                    <m:t xml:space="preserve"> ln</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a</m:t>
                          </m:r>
                        </m:e>
                        <m:sub>
                          <m:r>
                            <w:rPr>
                              <w:rFonts w:ascii="Cambria Math" w:hAnsi="Cambria Math"/>
                              <w:sz w:val="20"/>
                              <w:szCs w:val="20"/>
                            </w:rPr>
                            <m:t>i</m:t>
                          </m:r>
                        </m:sub>
                      </m:sSub>
                    </m:e>
                  </m:d>
                </m:e>
              </m:nary>
            </m:oMath>
            <w:r w:rsidR="00FA2C57">
              <w:rPr>
                <w:rFonts w:eastAsiaTheme="minorEastAsia"/>
                <w:sz w:val="20"/>
                <w:szCs w:val="20"/>
              </w:rPr>
              <w:t>,</w:t>
            </w:r>
          </w:p>
        </w:tc>
        <w:tc>
          <w:tcPr>
            <w:tcW w:w="966" w:type="dxa"/>
            <w:shd w:val="clear" w:color="auto" w:fill="auto"/>
            <w:vAlign w:val="center"/>
          </w:tcPr>
          <w:p w14:paraId="1D43BB2F" w14:textId="745C37E8" w:rsidR="007A77CA" w:rsidRPr="00A94774" w:rsidRDefault="00B75CB9" w:rsidP="00F561EF">
            <w:pPr>
              <w:pStyle w:val="Els-body-text"/>
              <w:spacing w:before="120" w:after="120" w:line="264" w:lineRule="auto"/>
              <w:jc w:val="right"/>
              <w:rPr>
                <w:lang w:val="en-GB"/>
              </w:rPr>
            </w:pPr>
            <w:r>
              <w:rPr>
                <w:lang w:val="en-GB"/>
              </w:rPr>
              <w:t>(</w:t>
            </w:r>
            <w:r w:rsidR="008E64FB">
              <w:rPr>
                <w:lang w:val="en-GB"/>
              </w:rPr>
              <w:t>1</w:t>
            </w:r>
            <w:r>
              <w:rPr>
                <w:lang w:val="en-GB"/>
              </w:rPr>
              <w:t>)</w:t>
            </w:r>
          </w:p>
        </w:tc>
      </w:tr>
    </w:tbl>
    <w:p w14:paraId="379137EA" w14:textId="7EF25A83" w:rsidR="008A2990" w:rsidRDefault="00AA25E6" w:rsidP="008A2990">
      <w:pPr>
        <w:pStyle w:val="Els-body-text"/>
        <w:spacing w:after="120"/>
        <w:rPr>
          <w:lang w:val="en-GB"/>
        </w:rPr>
      </w:pPr>
      <w:r w:rsidRPr="00AA25E6">
        <w:rPr>
          <w:lang w:val="en-GB"/>
        </w:rPr>
        <w:t xml:space="preserve">where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j</m:t>
            </m:r>
          </m:sub>
        </m:sSub>
      </m:oMath>
      <w:r w:rsidRPr="00AA25E6">
        <w:rPr>
          <w:lang w:val="en-GB"/>
        </w:rPr>
        <w:t xml:space="preserve"> is the equilibrium constant for </w:t>
      </w:r>
      <w:r w:rsidR="002B2E00">
        <w:rPr>
          <w:lang w:val="en-GB"/>
        </w:rPr>
        <w:t>equilibrium</w:t>
      </w:r>
      <w:r w:rsidRPr="00AA25E6">
        <w:rPr>
          <w:lang w:val="en-GB"/>
        </w:rPr>
        <w:t xml:space="preserve"> </w:t>
      </w:r>
      <m:oMath>
        <m:r>
          <w:rPr>
            <w:rFonts w:ascii="Cambria Math" w:hAnsi="Cambria Math"/>
            <w:lang w:val="en-GB"/>
          </w:rPr>
          <m:t>j</m:t>
        </m:r>
      </m:oMath>
      <w:r w:rsidRPr="00AA25E6">
        <w:rPr>
          <w:lang w:val="en-GB"/>
        </w:rPr>
        <w:t xml:space="preserve">, with </w:t>
      </w:r>
      <m:oMath>
        <m:r>
          <m:rPr>
            <m:scr m:val="script"/>
            <m:sty m:val="p"/>
          </m:rPr>
          <w:rPr>
            <w:rFonts w:ascii="Cambria Math" w:hAnsi="Cambria Math"/>
          </w:rPr>
          <m:t>R</m:t>
        </m:r>
      </m:oMath>
      <w:r w:rsidRPr="00AA25E6">
        <w:rPr>
          <w:lang w:val="en-GB"/>
        </w:rPr>
        <w:t xml:space="preserve"> repre</w:t>
      </w:r>
      <w:r w:rsidR="0087540F">
        <w:rPr>
          <w:lang w:val="en-GB"/>
        </w:rPr>
        <w:t>senting the set of reactants</w:t>
      </w:r>
      <w:r w:rsidRPr="00AA25E6">
        <w:rPr>
          <w:lang w:val="en-GB"/>
        </w:rPr>
        <w:t xml:space="preserve">, </w:t>
      </w:r>
      <m:oMath>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i</m:t>
            </m:r>
          </m:sub>
        </m:sSub>
      </m:oMath>
      <w:r w:rsidRPr="00AA25E6">
        <w:rPr>
          <w:lang w:val="en-GB"/>
        </w:rPr>
        <w:t xml:space="preserve"> is the activity of species </w:t>
      </w:r>
      <m:oMath>
        <m:r>
          <w:rPr>
            <w:rFonts w:ascii="Cambria Math" w:hAnsi="Cambria Math"/>
            <w:lang w:val="en-GB"/>
          </w:rPr>
          <m:t>i</m:t>
        </m:r>
      </m:oMath>
      <w:r w:rsidR="00DA11DB">
        <w:rPr>
          <w:lang w:val="en-GB"/>
        </w:rPr>
        <w:t>, which</w:t>
      </w:r>
      <w:r w:rsidR="00D701F4">
        <w:rPr>
          <w:lang w:val="en-GB"/>
        </w:rPr>
        <w:t xml:space="preserve"> is usually modelled using activity coefficient models</w:t>
      </w:r>
      <w:r w:rsidRPr="00AA25E6">
        <w:rPr>
          <w:lang w:val="en-GB"/>
        </w:rPr>
        <w:t xml:space="preserve">, and </w:t>
      </w:r>
      <m:oMath>
        <m:sSub>
          <m:sSubPr>
            <m:ctrlPr>
              <w:rPr>
                <w:rFonts w:ascii="Cambria Math" w:hAnsi="Cambria Math"/>
                <w:lang w:val="en-GB"/>
              </w:rPr>
            </m:ctrlPr>
          </m:sSubPr>
          <m:e>
            <m:r>
              <w:rPr>
                <w:rFonts w:ascii="Cambria Math" w:hAnsi="Cambria Math"/>
                <w:lang w:val="en-GB"/>
              </w:rPr>
              <m:t>ν</m:t>
            </m:r>
          </m:e>
          <m:sub>
            <m:r>
              <w:rPr>
                <w:rFonts w:ascii="Cambria Math" w:hAnsi="Cambria Math"/>
                <w:lang w:val="en-GB"/>
              </w:rPr>
              <m:t>ij</m:t>
            </m:r>
          </m:sub>
        </m:sSub>
      </m:oMath>
      <w:r w:rsidRPr="00AA25E6">
        <w:rPr>
          <w:lang w:val="en-GB"/>
        </w:rPr>
        <w:t xml:space="preserve"> is the stoichiometric coefficient of species </w:t>
      </w:r>
      <m:oMath>
        <m:r>
          <w:rPr>
            <w:rFonts w:ascii="Cambria Math" w:hAnsi="Cambria Math"/>
            <w:lang w:val="en-GB"/>
          </w:rPr>
          <m:t>i</m:t>
        </m:r>
      </m:oMath>
      <w:r w:rsidRPr="00AA25E6">
        <w:rPr>
          <w:lang w:val="en-GB"/>
        </w:rPr>
        <w:t xml:space="preserve"> in reaction </w:t>
      </w:r>
      <m:oMath>
        <m:r>
          <w:rPr>
            <w:rFonts w:ascii="Cambria Math" w:hAnsi="Cambria Math"/>
            <w:lang w:val="en-GB"/>
          </w:rPr>
          <m:t>j</m:t>
        </m:r>
      </m:oMath>
      <w:r w:rsidRPr="00AA25E6">
        <w:rPr>
          <w:lang w:val="en-GB"/>
        </w:rPr>
        <w:t>.</w:t>
      </w:r>
      <w:r w:rsidR="008A2990" w:rsidRPr="008A2990">
        <w:rPr>
          <w:lang w:val="en-GB"/>
        </w:rPr>
        <w:t xml:space="preserve"> </w:t>
      </w:r>
    </w:p>
    <w:p w14:paraId="41C541C3" w14:textId="5666D035" w:rsidR="00BF781E" w:rsidRDefault="003049A7" w:rsidP="00E169BD">
      <w:pPr>
        <w:pStyle w:val="Els-body-text"/>
        <w:rPr>
          <w:lang w:val="en-GB"/>
        </w:rPr>
      </w:pPr>
      <w:r w:rsidRPr="003049A7">
        <w:rPr>
          <w:lang w:val="en-GB"/>
        </w:rPr>
        <w:t xml:space="preserve">The second key aspect in describing precipitation in electrolyte solutions involves modeling the particulate system of crystals and their characteristics. This is achieved </w:t>
      </w:r>
      <w:r w:rsidR="002B2E00">
        <w:rPr>
          <w:lang w:val="en-GB"/>
        </w:rPr>
        <w:t>using</w:t>
      </w:r>
      <w:r w:rsidRPr="003049A7">
        <w:rPr>
          <w:lang w:val="en-GB"/>
        </w:rPr>
        <w:t xml:space="preserve"> a population balance equation (PBE)</w:t>
      </w:r>
      <w:r w:rsidR="002B2E00">
        <w:rPr>
          <w:lang w:val="en-GB"/>
        </w:rPr>
        <w:t xml:space="preserve"> model</w:t>
      </w:r>
      <w:r w:rsidRPr="003049A7">
        <w:rPr>
          <w:lang w:val="en-GB"/>
        </w:rPr>
        <w:t>, which describes the evolution of the particle size distribution. The PBE is expressed as:</w:t>
      </w:r>
    </w:p>
    <w:tbl>
      <w:tblPr>
        <w:tblW w:w="7087" w:type="dxa"/>
        <w:tblLook w:val="04A0" w:firstRow="1" w:lastRow="0" w:firstColumn="1" w:lastColumn="0" w:noHBand="0" w:noVBand="1"/>
      </w:tblPr>
      <w:tblGrid>
        <w:gridCol w:w="6121"/>
        <w:gridCol w:w="966"/>
      </w:tblGrid>
      <w:tr w:rsidR="0050635D" w:rsidRPr="00A94774" w14:paraId="0B690396" w14:textId="77777777" w:rsidTr="00F561EF">
        <w:tc>
          <w:tcPr>
            <w:tcW w:w="6121" w:type="dxa"/>
            <w:shd w:val="clear" w:color="auto" w:fill="auto"/>
            <w:vAlign w:val="center"/>
          </w:tcPr>
          <w:p w14:paraId="5B98AA7A" w14:textId="03DBCDA3" w:rsidR="0050635D" w:rsidRPr="0050635D" w:rsidRDefault="003C0672" w:rsidP="00B209B7">
            <w:pPr>
              <w:pStyle w:val="Textkrper"/>
              <w:rPr>
                <w:sz w:val="20"/>
                <w:szCs w:val="20"/>
              </w:rPr>
            </w:pPr>
            <m:oMathPara>
              <m:oMathParaPr>
                <m:jc m:val="left"/>
              </m:oMathParaPr>
              <m:oMath>
                <m:f>
                  <m:fPr>
                    <m:ctrlPr>
                      <w:rPr>
                        <w:rFonts w:ascii="Cambria Math" w:hAnsi="Cambria Math"/>
                        <w:sz w:val="20"/>
                        <w:szCs w:val="20"/>
                      </w:rPr>
                    </m:ctrlPr>
                  </m:fPr>
                  <m:num>
                    <m:r>
                      <m:rPr>
                        <m:sty m:val="p"/>
                      </m:rPr>
                      <w:rPr>
                        <w:rFonts w:ascii="Cambria Math" w:hAnsi="Cambria Math"/>
                        <w:sz w:val="20"/>
                        <w:szCs w:val="20"/>
                      </w:rPr>
                      <m:t>∂</m:t>
                    </m:r>
                    <m:r>
                      <w:rPr>
                        <w:rFonts w:ascii="Cambria Math" w:hAnsi="Cambria Math"/>
                        <w:sz w:val="20"/>
                        <w:szCs w:val="20"/>
                      </w:rPr>
                      <m:t>f</m:t>
                    </m:r>
                  </m:num>
                  <m:den>
                    <m:r>
                      <m:rPr>
                        <m:sty m:val="p"/>
                      </m:rPr>
                      <w:rPr>
                        <w:rFonts w:ascii="Cambria Math" w:hAnsi="Cambria Math"/>
                        <w:sz w:val="20"/>
                        <w:szCs w:val="20"/>
                      </w:rPr>
                      <m:t>∂</m:t>
                    </m:r>
                    <m:r>
                      <w:rPr>
                        <w:rFonts w:ascii="Cambria Math" w:hAnsi="Cambria Math"/>
                        <w:sz w:val="20"/>
                        <w:szCs w:val="20"/>
                      </w:rPr>
                      <m:t>t</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m:t>
                    </m:r>
                    <m:r>
                      <w:rPr>
                        <w:rFonts w:ascii="Cambria Math" w:hAnsi="Cambria Math"/>
                        <w:sz w:val="20"/>
                        <w:szCs w:val="20"/>
                      </w:rPr>
                      <m:t>Gf</m:t>
                    </m:r>
                  </m:num>
                  <m:den>
                    <m:r>
                      <m:rPr>
                        <m:sty m:val="p"/>
                      </m:rPr>
                      <w:rPr>
                        <w:rFonts w:ascii="Cambria Math" w:hAnsi="Cambria Math"/>
                        <w:sz w:val="20"/>
                        <w:szCs w:val="20"/>
                      </w:rPr>
                      <m:t>∂</m:t>
                    </m:r>
                    <m:r>
                      <w:rPr>
                        <w:rFonts w:ascii="Cambria Math" w:hAnsi="Cambria Math"/>
                        <w:sz w:val="20"/>
                        <w:szCs w:val="20"/>
                      </w:rPr>
                      <m:t>L</m:t>
                    </m:r>
                  </m:den>
                </m:f>
                <m:r>
                  <m:rPr>
                    <m:sty m:val="p"/>
                  </m:rPr>
                  <w:rPr>
                    <w:rFonts w:ascii="Cambria Math" w:hAnsi="Cambria Math"/>
                    <w:sz w:val="20"/>
                    <w:szCs w:val="20"/>
                  </w:rPr>
                  <m:t>=</m:t>
                </m:r>
                <m:r>
                  <w:rPr>
                    <w:rFonts w:ascii="Cambria Math" w:hAnsi="Cambria Math"/>
                    <w:sz w:val="20"/>
                    <w:szCs w:val="20"/>
                  </w:rPr>
                  <m:t>B.</m:t>
                </m:r>
              </m:oMath>
            </m:oMathPara>
          </w:p>
        </w:tc>
        <w:tc>
          <w:tcPr>
            <w:tcW w:w="966" w:type="dxa"/>
            <w:shd w:val="clear" w:color="auto" w:fill="auto"/>
            <w:vAlign w:val="center"/>
          </w:tcPr>
          <w:p w14:paraId="0AD0E836" w14:textId="10D9AB1B" w:rsidR="0050635D" w:rsidRPr="00A94774" w:rsidRDefault="00B75CB9" w:rsidP="0050635D">
            <w:pPr>
              <w:pStyle w:val="Els-body-text"/>
              <w:spacing w:before="120" w:after="120" w:line="264" w:lineRule="auto"/>
              <w:jc w:val="right"/>
              <w:rPr>
                <w:lang w:val="en-GB"/>
              </w:rPr>
            </w:pPr>
            <w:r>
              <w:rPr>
                <w:lang w:val="en-GB"/>
              </w:rPr>
              <w:t>(</w:t>
            </w:r>
            <w:r w:rsidR="008E64FB">
              <w:rPr>
                <w:lang w:val="en-GB"/>
              </w:rPr>
              <w:t>2</w:t>
            </w:r>
            <w:r>
              <w:rPr>
                <w:lang w:val="en-GB"/>
              </w:rPr>
              <w:t>)</w:t>
            </w:r>
          </w:p>
        </w:tc>
      </w:tr>
    </w:tbl>
    <w:p w14:paraId="15641079" w14:textId="5497D899" w:rsidR="007A77CA" w:rsidRDefault="003049A7" w:rsidP="008D2649">
      <w:pPr>
        <w:pStyle w:val="Els-body-text"/>
      </w:pPr>
      <w:r w:rsidRPr="003049A7">
        <w:rPr>
          <w:lang w:val="en-GB"/>
        </w:rPr>
        <w:t xml:space="preserve">In this equation, </w:t>
      </w:r>
      <m:oMath>
        <m:r>
          <w:rPr>
            <w:rFonts w:ascii="Cambria Math" w:hAnsi="Cambria Math"/>
            <w:lang w:val="en-GB"/>
          </w:rPr>
          <m:t>f</m:t>
        </m:r>
      </m:oMath>
      <w:r w:rsidRPr="003049A7">
        <w:rPr>
          <w:lang w:val="en-GB"/>
        </w:rPr>
        <w:t xml:space="preserve"> represents the number density function of the particles, </w:t>
      </w:r>
      <m:oMath>
        <m:r>
          <w:rPr>
            <w:rFonts w:ascii="Cambria Math" w:hAnsi="Cambria Math"/>
            <w:lang w:val="en-GB"/>
          </w:rPr>
          <m:t>L</m:t>
        </m:r>
      </m:oMath>
      <w:r w:rsidRPr="003049A7">
        <w:rPr>
          <w:lang w:val="en-GB"/>
        </w:rPr>
        <w:t xml:space="preserve"> is the characteristic length of the crystals, </w:t>
      </w:r>
      <m:oMath>
        <m:r>
          <w:rPr>
            <w:rFonts w:ascii="Cambria Math" w:hAnsi="Cambria Math"/>
            <w:lang w:val="en-GB"/>
          </w:rPr>
          <m:t>G</m:t>
        </m:r>
      </m:oMath>
      <w:r w:rsidRPr="003049A7">
        <w:rPr>
          <w:lang w:val="en-GB"/>
        </w:rPr>
        <w:t xml:space="preserve"> is the crystal growth rate, and </w:t>
      </w:r>
      <m:oMath>
        <m:r>
          <w:rPr>
            <w:rFonts w:ascii="Cambria Math" w:hAnsi="Cambria Math"/>
            <w:lang w:val="en-GB"/>
          </w:rPr>
          <m:t>B</m:t>
        </m:r>
      </m:oMath>
      <w:r w:rsidRPr="003049A7">
        <w:rPr>
          <w:lang w:val="en-GB"/>
        </w:rPr>
        <w:t xml:space="preserve"> is the nucleation rate for crystals of infinitesimal size. Employing</w:t>
      </w:r>
      <w:r w:rsidR="008650FD">
        <w:rPr>
          <w:lang w:val="en-GB"/>
        </w:rPr>
        <w:t xml:space="preserve"> a</w:t>
      </w:r>
      <w:r w:rsidRPr="003049A7">
        <w:rPr>
          <w:lang w:val="en-GB"/>
        </w:rPr>
        <w:t xml:space="preserve"> </w:t>
      </w:r>
      <w:r w:rsidR="009F45D6">
        <w:rPr>
          <w:lang w:val="en-GB"/>
        </w:rPr>
        <w:t>PBE</w:t>
      </w:r>
      <w:r w:rsidRPr="003049A7">
        <w:rPr>
          <w:lang w:val="en-GB"/>
        </w:rPr>
        <w:t xml:space="preserve"> </w:t>
      </w:r>
      <w:r w:rsidR="008650FD">
        <w:rPr>
          <w:lang w:val="en-GB"/>
        </w:rPr>
        <w:t xml:space="preserve">model, </w:t>
      </w:r>
      <w:r w:rsidRPr="003049A7">
        <w:rPr>
          <w:lang w:val="en-GB"/>
        </w:rPr>
        <w:t xml:space="preserve">the rate at which the crystallizing compound precipitates out of </w:t>
      </w:r>
      <w:r w:rsidR="00102128">
        <w:rPr>
          <w:lang w:val="en-GB"/>
        </w:rPr>
        <w:t xml:space="preserve">the </w:t>
      </w:r>
      <w:r w:rsidRPr="003049A7">
        <w:rPr>
          <w:lang w:val="en-GB"/>
        </w:rPr>
        <w:t>solution can be determined as</w:t>
      </w:r>
      <w:r w:rsidR="00A808D0">
        <w:rPr>
          <w:lang w:val="en-GB"/>
        </w:rPr>
        <w:t xml:space="preserve"> (</w:t>
      </w:r>
      <w:r w:rsidR="00A808D0">
        <w:t>Jha et al. (2017)</w:t>
      </w:r>
      <w:r w:rsidR="00A808D0">
        <w:rPr>
          <w:lang w:val="en-GB"/>
        </w:rPr>
        <w:t>)</w:t>
      </w:r>
      <w:r w:rsidRPr="003049A7">
        <w:rPr>
          <w:lang w:val="en-GB"/>
        </w:rPr>
        <w:t>:</w:t>
      </w:r>
    </w:p>
    <w:tbl>
      <w:tblPr>
        <w:tblW w:w="7087" w:type="dxa"/>
        <w:tblLook w:val="04A0" w:firstRow="1" w:lastRow="0" w:firstColumn="1" w:lastColumn="0" w:noHBand="0" w:noVBand="1"/>
      </w:tblPr>
      <w:tblGrid>
        <w:gridCol w:w="6121"/>
        <w:gridCol w:w="966"/>
      </w:tblGrid>
      <w:tr w:rsidR="0050635D" w:rsidRPr="00A94774" w14:paraId="2535C466" w14:textId="77777777" w:rsidTr="00F561EF">
        <w:tc>
          <w:tcPr>
            <w:tcW w:w="6121" w:type="dxa"/>
            <w:shd w:val="clear" w:color="auto" w:fill="auto"/>
            <w:vAlign w:val="center"/>
          </w:tcPr>
          <w:p w14:paraId="1ACD9994" w14:textId="133A128F" w:rsidR="0050635D" w:rsidRPr="004B5418" w:rsidRDefault="003C0672" w:rsidP="004B5418">
            <w:pPr>
              <w:pStyle w:val="Textkrper"/>
              <w:rPr>
                <w:rFonts w:ascii="Cambria Math" w:hAnsi="Cambria Math"/>
                <w:i/>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c</m:t>
                  </m:r>
                </m:sub>
              </m:sSub>
              <m:r>
                <w:rPr>
                  <w:rFonts w:ascii="Cambria Math" w:hAnsi="Cambria Math"/>
                  <w:sz w:val="20"/>
                  <w:szCs w:val="20"/>
                </w:rPr>
                <m:t>=3</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c</m:t>
                      </m:r>
                    </m:sub>
                  </m:sSub>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v</m:t>
                      </m:r>
                    </m:sub>
                  </m:sSub>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m:t>
                      </m:r>
                    </m:sub>
                  </m:sSub>
                </m:den>
              </m:f>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m:t>
                  </m:r>
                </m:sup>
                <m:e>
                  <m:r>
                    <w:rPr>
                      <w:rFonts w:ascii="Cambria Math" w:hAnsi="Cambria Math"/>
                      <w:sz w:val="20"/>
                      <w:szCs w:val="20"/>
                    </w:rPr>
                    <m:t>G</m:t>
                  </m:r>
                </m:e>
              </m:nary>
              <m:r>
                <w:rPr>
                  <w:rFonts w:ascii="Cambria Math" w:hAnsi="Cambria Math"/>
                  <w:sz w:val="20"/>
                  <w:szCs w:val="20"/>
                </w:rPr>
                <m:t>f</m:t>
              </m:r>
              <m:sSup>
                <m:sSupPr>
                  <m:ctrlPr>
                    <w:rPr>
                      <w:rFonts w:ascii="Cambria Math" w:hAnsi="Cambria Math"/>
                      <w:i/>
                      <w:sz w:val="20"/>
                      <w:szCs w:val="20"/>
                    </w:rPr>
                  </m:ctrlPr>
                </m:sSupPr>
                <m:e>
                  <m:r>
                    <w:rPr>
                      <w:rFonts w:ascii="Cambria Math" w:hAnsi="Cambria Math"/>
                      <w:sz w:val="20"/>
                      <w:szCs w:val="20"/>
                    </w:rPr>
                    <m:t>L</m:t>
                  </m:r>
                </m:e>
                <m:sup>
                  <m:r>
                    <w:rPr>
                      <w:rFonts w:ascii="Cambria Math" w:hAnsi="Cambria Math"/>
                      <w:sz w:val="20"/>
                      <w:szCs w:val="20"/>
                    </w:rPr>
                    <m:t>2</m:t>
                  </m:r>
                </m:sup>
              </m:sSup>
              <m:r>
                <w:rPr>
                  <w:rFonts w:ascii="Cambria Math" w:hAnsi="Cambria Math"/>
                  <w:sz w:val="20"/>
                  <w:szCs w:val="20"/>
                </w:rPr>
                <m:t>dL</m:t>
              </m:r>
            </m:oMath>
            <w:r w:rsidR="00FA2C57">
              <w:rPr>
                <w:rFonts w:ascii="Cambria Math" w:eastAsiaTheme="minorEastAsia" w:hAnsi="Cambria Math"/>
                <w:i/>
                <w:sz w:val="20"/>
                <w:szCs w:val="20"/>
              </w:rPr>
              <w:t>.</w:t>
            </w:r>
          </w:p>
        </w:tc>
        <w:tc>
          <w:tcPr>
            <w:tcW w:w="966" w:type="dxa"/>
            <w:shd w:val="clear" w:color="auto" w:fill="auto"/>
            <w:vAlign w:val="center"/>
          </w:tcPr>
          <w:p w14:paraId="5C899569" w14:textId="0985ECF9" w:rsidR="0050635D" w:rsidRPr="00A94774" w:rsidRDefault="00B75CB9" w:rsidP="00F561EF">
            <w:pPr>
              <w:pStyle w:val="Els-body-text"/>
              <w:spacing w:before="120" w:after="120" w:line="264" w:lineRule="auto"/>
              <w:jc w:val="right"/>
              <w:rPr>
                <w:lang w:val="en-GB"/>
              </w:rPr>
            </w:pPr>
            <w:r>
              <w:rPr>
                <w:lang w:val="en-GB"/>
              </w:rPr>
              <w:t>(</w:t>
            </w:r>
            <w:r w:rsidR="008E64FB">
              <w:rPr>
                <w:lang w:val="en-GB"/>
              </w:rPr>
              <w:t>3</w:t>
            </w:r>
            <w:r>
              <w:rPr>
                <w:lang w:val="en-GB"/>
              </w:rPr>
              <w:t>)</w:t>
            </w:r>
          </w:p>
        </w:tc>
      </w:tr>
    </w:tbl>
    <w:p w14:paraId="42594F29" w14:textId="62F39D3E" w:rsidR="0050635D" w:rsidRDefault="003049A7" w:rsidP="008D2649">
      <w:pPr>
        <w:pStyle w:val="Els-body-text"/>
      </w:pPr>
      <w:r w:rsidRPr="003049A7">
        <w:rPr>
          <w:lang w:val="en-GB"/>
        </w:rPr>
        <w:t xml:space="preserve">Here, </w:t>
      </w:r>
      <m:oMath>
        <m:sSub>
          <m:sSubPr>
            <m:ctrlPr>
              <w:rPr>
                <w:rFonts w:ascii="Cambria Math" w:hAnsi="Cambria Math"/>
                <w:lang w:val="en-GB"/>
              </w:rPr>
            </m:ctrlPr>
          </m:sSubPr>
          <m:e>
            <m:r>
              <w:rPr>
                <w:rFonts w:ascii="Cambria Math" w:hAnsi="Cambria Math"/>
                <w:lang w:val="en-GB"/>
              </w:rPr>
              <m:t>ρ</m:t>
            </m:r>
          </m:e>
          <m:sub>
            <m:r>
              <w:rPr>
                <w:rFonts w:ascii="Cambria Math" w:hAnsi="Cambria Math"/>
                <w:lang w:val="en-GB"/>
              </w:rPr>
              <m:t>c</m:t>
            </m:r>
          </m:sub>
        </m:sSub>
      </m:oMath>
      <w:r w:rsidRPr="003049A7">
        <w:rPr>
          <w:lang w:val="en-GB"/>
        </w:rPr>
        <w:t xml:space="preserve"> denotes the density of the crystals,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v</m:t>
            </m:r>
          </m:sub>
        </m:sSub>
      </m:oMath>
      <w:r w:rsidRPr="003049A7">
        <w:rPr>
          <w:lang w:val="en-GB"/>
        </w:rPr>
        <w:t xml:space="preserve"> is the volumetric shape factor, and </w:t>
      </w:r>
      <m:oMath>
        <m:sSub>
          <m:sSubPr>
            <m:ctrlPr>
              <w:rPr>
                <w:rFonts w:ascii="Cambria Math" w:hAnsi="Cambria Math"/>
                <w:lang w:val="en-GB"/>
              </w:rPr>
            </m:ctrlPr>
          </m:sSubPr>
          <m:e>
            <m:r>
              <w:rPr>
                <w:rFonts w:ascii="Cambria Math" w:hAnsi="Cambria Math"/>
                <w:lang w:val="en-GB"/>
              </w:rPr>
              <m:t>M</m:t>
            </m:r>
          </m:e>
          <m:sub>
            <m:r>
              <w:rPr>
                <w:rFonts w:ascii="Cambria Math" w:hAnsi="Cambria Math"/>
                <w:lang w:val="en-GB"/>
              </w:rPr>
              <m:t>c</m:t>
            </m:r>
          </m:sub>
        </m:sSub>
      </m:oMath>
      <w:r w:rsidRPr="003049A7">
        <w:rPr>
          <w:lang w:val="en-GB"/>
        </w:rPr>
        <w:t xml:space="preserve"> is the molar mass of the crystallizing compound. The combination of both the </w:t>
      </w:r>
      <w:r w:rsidR="007A73F0">
        <w:rPr>
          <w:lang w:val="en-GB"/>
        </w:rPr>
        <w:t>electrolyte</w:t>
      </w:r>
      <w:r w:rsidRPr="003049A7">
        <w:rPr>
          <w:lang w:val="en-GB"/>
        </w:rPr>
        <w:t xml:space="preserve"> and particulate systems is achieved by considering the component balances of the electrolytic species present as:</w:t>
      </w:r>
    </w:p>
    <w:tbl>
      <w:tblPr>
        <w:tblW w:w="7087" w:type="dxa"/>
        <w:tblLook w:val="04A0" w:firstRow="1" w:lastRow="0" w:firstColumn="1" w:lastColumn="0" w:noHBand="0" w:noVBand="1"/>
      </w:tblPr>
      <w:tblGrid>
        <w:gridCol w:w="6121"/>
        <w:gridCol w:w="966"/>
      </w:tblGrid>
      <w:tr w:rsidR="004B5418" w:rsidRPr="00A94774" w14:paraId="5848DAA3" w14:textId="77777777" w:rsidTr="00F561EF">
        <w:tc>
          <w:tcPr>
            <w:tcW w:w="6121" w:type="dxa"/>
            <w:shd w:val="clear" w:color="auto" w:fill="auto"/>
            <w:vAlign w:val="center"/>
          </w:tcPr>
          <w:p w14:paraId="2CF09FC6" w14:textId="63EDC881" w:rsidR="004B5418" w:rsidRPr="003049A7" w:rsidRDefault="003C0672" w:rsidP="00F561EF">
            <w:pPr>
              <w:pStyle w:val="Textkrper"/>
              <w:rPr>
                <w:rFonts w:ascii="Cambria Math" w:hAnsi="Cambria Math"/>
                <w:i/>
                <w:sz w:val="20"/>
                <w:szCs w:val="20"/>
              </w:rPr>
            </w:pPr>
            <m:oMath>
              <m:f>
                <m:fPr>
                  <m:ctrlPr>
                    <w:rPr>
                      <w:rFonts w:ascii="Cambria Math" w:hAnsi="Cambria Math"/>
                      <w:i/>
                      <w:sz w:val="20"/>
                      <w:szCs w:val="20"/>
                    </w:rPr>
                  </m:ctrlPr>
                </m:fPr>
                <m:num>
                  <m:r>
                    <w:rPr>
                      <w:rFonts w:ascii="Cambria Math" w:hAnsi="Cambria Math"/>
                      <w:sz w:val="20"/>
                      <w:szCs w:val="20"/>
                    </w:rPr>
                    <m:t>d</m:t>
                  </m:r>
                  <m:acc>
                    <m:accPr>
                      <m:chr m:val="‾"/>
                      <m:ctrlPr>
                        <w:rPr>
                          <w:rFonts w:ascii="Cambria Math" w:hAnsi="Cambria Math"/>
                          <w:i/>
                          <w:sz w:val="20"/>
                          <w:szCs w:val="20"/>
                        </w:rPr>
                      </m:ctrlPr>
                    </m:accPr>
                    <m:e>
                      <m:r>
                        <w:rPr>
                          <w:rFonts w:ascii="Cambria Math" w:hAnsi="Cambria Math"/>
                          <w:sz w:val="20"/>
                          <w:szCs w:val="20"/>
                        </w:rPr>
                        <m:t>n</m:t>
                      </m:r>
                    </m:e>
                  </m:acc>
                </m:num>
                <m:den>
                  <m:r>
                    <w:rPr>
                      <w:rFonts w:ascii="Cambria Math" w:hAnsi="Cambria Math"/>
                      <w:sz w:val="20"/>
                      <w:szCs w:val="20"/>
                    </w:rPr>
                    <m:t>dt</m:t>
                  </m:r>
                </m:den>
              </m:f>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acc>
                        <m:accPr>
                          <m:chr m:val="‾"/>
                          <m:ctrlPr>
                            <w:rPr>
                              <w:rFonts w:ascii="Cambria Math" w:hAnsi="Cambria Math"/>
                              <w:i/>
                              <w:sz w:val="20"/>
                              <w:szCs w:val="20"/>
                            </w:rPr>
                          </m:ctrlPr>
                        </m:accPr>
                        <m:e>
                          <m:r>
                            <w:rPr>
                              <w:rFonts w:ascii="Cambria Math" w:hAnsi="Cambria Math"/>
                              <w:sz w:val="20"/>
                              <w:szCs w:val="20"/>
                            </w:rPr>
                            <m:t>n</m:t>
                          </m:r>
                        </m:e>
                      </m:acc>
                    </m:e>
                  </m:acc>
                </m:e>
                <m:sub>
                  <m:r>
                    <w:rPr>
                      <w:rFonts w:ascii="Cambria Math" w:hAnsi="Cambria Math"/>
                      <w:sz w:val="20"/>
                      <w:szCs w:val="20"/>
                    </w:rPr>
                    <m:t>in</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acc>
                        <m:accPr>
                          <m:chr m:val="‾"/>
                          <m:ctrlPr>
                            <w:rPr>
                              <w:rFonts w:ascii="Cambria Math" w:hAnsi="Cambria Math"/>
                              <w:i/>
                              <w:sz w:val="20"/>
                              <w:szCs w:val="20"/>
                            </w:rPr>
                          </m:ctrlPr>
                        </m:accPr>
                        <m:e>
                          <m:r>
                            <w:rPr>
                              <w:rFonts w:ascii="Cambria Math" w:hAnsi="Cambria Math"/>
                              <w:sz w:val="20"/>
                              <w:szCs w:val="20"/>
                            </w:rPr>
                            <m:t>n</m:t>
                          </m:r>
                        </m:e>
                      </m:acc>
                    </m:e>
                  </m:acc>
                </m:e>
                <m:sub>
                  <m:r>
                    <w:rPr>
                      <w:rFonts w:ascii="Cambria Math" w:hAnsi="Cambria Math"/>
                      <w:sz w:val="20"/>
                      <w:szCs w:val="20"/>
                    </w:rPr>
                    <m:t>out</m:t>
                  </m:r>
                </m:sub>
              </m:sSub>
              <m:r>
                <w:rPr>
                  <w:rFonts w:ascii="Cambria Math" w:hAnsi="Cambria Math"/>
                  <w:sz w:val="20"/>
                  <w:szCs w:val="20"/>
                </w:rPr>
                <m:t>+V</m:t>
              </m:r>
              <m:d>
                <m:dPr>
                  <m:ctrlPr>
                    <w:rPr>
                      <w:rFonts w:ascii="Cambria Math" w:hAnsi="Cambria Math"/>
                      <w:i/>
                      <w:sz w:val="20"/>
                      <w:szCs w:val="20"/>
                    </w:rPr>
                  </m:ctrlPr>
                </m:dPr>
                <m:e>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ν</m:t>
                          </m:r>
                        </m:e>
                      </m:acc>
                    </m:e>
                    <m:sub>
                      <m:r>
                        <w:rPr>
                          <w:rFonts w:ascii="Cambria Math" w:hAnsi="Cambria Math"/>
                          <w:sz w:val="20"/>
                          <w:szCs w:val="20"/>
                        </w:rPr>
                        <m:t>eq</m:t>
                      </m:r>
                    </m:sub>
                    <m:sup>
                      <m:r>
                        <w:rPr>
                          <w:rFonts w:ascii="Cambria Math" w:hAnsi="Cambria Math"/>
                          <w:sz w:val="20"/>
                          <w:szCs w:val="20"/>
                        </w:rPr>
                        <m:t>T</m:t>
                      </m:r>
                    </m:sup>
                  </m:sSubSup>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eq</m:t>
                      </m:r>
                    </m:sub>
                  </m:sSub>
                  <m:r>
                    <w:rPr>
                      <w:rFonts w:ascii="Cambria Math" w:hAnsi="Cambria Math"/>
                      <w:sz w:val="20"/>
                      <w:szCs w:val="20"/>
                    </w:rPr>
                    <m:t>+</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ν</m:t>
                          </m:r>
                        </m:e>
                      </m:acc>
                    </m:e>
                    <m:sub>
                      <m:r>
                        <w:rPr>
                          <w:rFonts w:ascii="Cambria Math" w:hAnsi="Cambria Math"/>
                          <w:sz w:val="20"/>
                          <w:szCs w:val="20"/>
                        </w:rPr>
                        <m:t>r</m:t>
                      </m:r>
                    </m:sub>
                    <m:sup>
                      <m:r>
                        <w:rPr>
                          <w:rFonts w:ascii="Cambria Math" w:hAnsi="Cambria Math"/>
                          <w:sz w:val="20"/>
                          <w:szCs w:val="20"/>
                        </w:rPr>
                        <m:t>T</m:t>
                      </m:r>
                    </m:sup>
                  </m:sSubSup>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m:t>
                      </m:r>
                    </m:sub>
                  </m:sSub>
                </m:e>
              </m:d>
            </m:oMath>
            <w:bookmarkStart w:id="0" w:name="_GoBack"/>
            <w:r w:rsidR="00765537">
              <w:rPr>
                <w:rFonts w:ascii="Cambria Math" w:eastAsiaTheme="minorEastAsia" w:hAnsi="Cambria Math"/>
                <w:i/>
                <w:sz w:val="20"/>
                <w:szCs w:val="20"/>
              </w:rPr>
              <w:t>.</w:t>
            </w:r>
            <w:bookmarkEnd w:id="0"/>
          </w:p>
        </w:tc>
        <w:tc>
          <w:tcPr>
            <w:tcW w:w="966" w:type="dxa"/>
            <w:shd w:val="clear" w:color="auto" w:fill="auto"/>
            <w:vAlign w:val="center"/>
          </w:tcPr>
          <w:p w14:paraId="262E463A" w14:textId="71E0CED7" w:rsidR="004B5418" w:rsidRPr="00A94774" w:rsidRDefault="00B75CB9" w:rsidP="00F561EF">
            <w:pPr>
              <w:pStyle w:val="Els-body-text"/>
              <w:spacing w:before="120" w:after="120" w:line="264" w:lineRule="auto"/>
              <w:jc w:val="right"/>
              <w:rPr>
                <w:lang w:val="en-GB"/>
              </w:rPr>
            </w:pPr>
            <w:r>
              <w:rPr>
                <w:lang w:val="en-GB"/>
              </w:rPr>
              <w:t>(</w:t>
            </w:r>
            <w:r w:rsidR="008E64FB">
              <w:rPr>
                <w:lang w:val="en-GB"/>
              </w:rPr>
              <w:t>4</w:t>
            </w:r>
            <w:r>
              <w:rPr>
                <w:lang w:val="en-GB"/>
              </w:rPr>
              <w:t>)</w:t>
            </w:r>
          </w:p>
        </w:tc>
      </w:tr>
    </w:tbl>
    <w:p w14:paraId="211FBC7A" w14:textId="6587DF8D" w:rsidR="00BF781E" w:rsidRDefault="003049A7" w:rsidP="008D2649">
      <w:pPr>
        <w:pStyle w:val="Els-body-text"/>
      </w:pPr>
      <w:r w:rsidRPr="003049A7">
        <w:t xml:space="preserve">In this balance, </w:t>
      </w:r>
      <m:oMath>
        <m:acc>
          <m:accPr>
            <m:chr m:val="‾"/>
            <m:ctrlPr>
              <w:rPr>
                <w:rFonts w:ascii="Cambria Math" w:hAnsi="Cambria Math"/>
              </w:rPr>
            </m:ctrlPr>
          </m:accPr>
          <m:e>
            <m:r>
              <w:rPr>
                <w:rFonts w:ascii="Cambria Math" w:hAnsi="Cambria Math"/>
              </w:rPr>
              <m:t>n</m:t>
            </m:r>
          </m:e>
        </m:acc>
      </m:oMath>
      <w:r w:rsidRPr="003049A7">
        <w:t xml:space="preserve"> is the vector of moles of components in the systems and </w:t>
      </w: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r>
                      <w:rPr>
                        <w:rFonts w:ascii="Cambria Math" w:hAnsi="Cambria Math"/>
                      </w:rPr>
                      <m:t>n</m:t>
                    </m:r>
                  </m:e>
                </m:acc>
              </m:e>
            </m:acc>
          </m:e>
          <m:sub>
            <m:r>
              <w:rPr>
                <w:rFonts w:ascii="Cambria Math" w:hAnsi="Cambria Math"/>
              </w:rPr>
              <m:t>in</m:t>
            </m:r>
          </m:sub>
        </m:sSub>
      </m:oMath>
      <w:r w:rsidRPr="003049A7">
        <w:t xml:space="preserve"> and </w:t>
      </w:r>
      <m:oMath>
        <m:sSub>
          <m:sSubPr>
            <m:ctrlPr>
              <w:rPr>
                <w:rFonts w:ascii="Cambria Math" w:hAnsi="Cambria Math"/>
              </w:rPr>
            </m:ctrlPr>
          </m:sSubPr>
          <m:e>
            <m:acc>
              <m:accPr>
                <m:chr m:val="̇"/>
                <m:ctrlPr>
                  <w:rPr>
                    <w:rFonts w:ascii="Cambria Math" w:hAnsi="Cambria Math"/>
                    <w:i/>
                    <w:lang w:val="en-GB"/>
                  </w:rPr>
                </m:ctrlPr>
              </m:accPr>
              <m:e>
                <m:acc>
                  <m:accPr>
                    <m:chr m:val="‾"/>
                    <m:ctrlPr>
                      <w:rPr>
                        <w:rFonts w:ascii="Cambria Math" w:hAnsi="Cambria Math"/>
                        <w:i/>
                        <w:lang w:val="en-GB"/>
                      </w:rPr>
                    </m:ctrlPr>
                  </m:accPr>
                  <m:e>
                    <m:r>
                      <w:rPr>
                        <w:rFonts w:ascii="Cambria Math" w:hAnsi="Cambria Math"/>
                        <w:lang w:val="en-GB"/>
                      </w:rPr>
                      <m:t>n</m:t>
                    </m:r>
                  </m:e>
                </m:acc>
              </m:e>
            </m:acc>
          </m:e>
          <m:sub>
            <m:r>
              <w:rPr>
                <w:rFonts w:ascii="Cambria Math" w:hAnsi="Cambria Math"/>
              </w:rPr>
              <m:t>out</m:t>
            </m:r>
          </m:sub>
        </m:sSub>
      </m:oMath>
      <w:r w:rsidRPr="003049A7">
        <w:t xml:space="preserve"> represent the rates of flow entering and exiting the system, respectively. The second term on the right-hand side accounts for the equilibrium reactions (denoted by the subscript </w:t>
      </w:r>
      <m:oMath>
        <m:r>
          <w:rPr>
            <w:rFonts w:ascii="Cambria Math" w:hAnsi="Cambria Math"/>
          </w:rPr>
          <m:t>eq</m:t>
        </m:r>
      </m:oMath>
      <w:r w:rsidRPr="003049A7">
        <w:t xml:space="preserve">) and rate terms for slow processes (denoted by the subscript </w:t>
      </w:r>
      <m:oMath>
        <m:r>
          <w:rPr>
            <w:rFonts w:ascii="Cambria Math" w:hAnsi="Cambria Math"/>
          </w:rPr>
          <m:t>r</m:t>
        </m:r>
      </m:oMath>
      <w:r w:rsidRPr="003049A7">
        <w:t xml:space="preserve">), such as crystallization, where </w:t>
      </w:r>
      <m:oMath>
        <m:acc>
          <m:accPr>
            <m:chr m:val="‾"/>
            <m:ctrlPr>
              <w:rPr>
                <w:rFonts w:ascii="Cambria Math" w:eastAsiaTheme="minorHAnsi" w:hAnsi="Cambria Math" w:cstheme="minorBidi"/>
                <w:i/>
              </w:rPr>
            </m:ctrlPr>
          </m:accPr>
          <m:e>
            <m:r>
              <w:rPr>
                <w:rFonts w:ascii="Cambria Math" w:hAnsi="Cambria Math"/>
              </w:rPr>
              <m:t>ν</m:t>
            </m:r>
          </m:e>
        </m:acc>
      </m:oMath>
      <w:r w:rsidRPr="003049A7">
        <w:t xml:space="preserve"> are matricies of stoiciometric coefficients and </w:t>
      </w:r>
      <m:oMath>
        <m:acc>
          <m:accPr>
            <m:chr m:val="‾"/>
            <m:ctrlPr>
              <w:rPr>
                <w:rFonts w:ascii="Cambria Math" w:eastAsiaTheme="minorHAnsi" w:hAnsi="Cambria Math" w:cstheme="minorBidi"/>
                <w:i/>
              </w:rPr>
            </m:ctrlPr>
          </m:accPr>
          <m:e>
            <m:r>
              <w:rPr>
                <w:rFonts w:ascii="Cambria Math" w:hAnsi="Cambria Math"/>
              </w:rPr>
              <m:t>r</m:t>
            </m:r>
          </m:e>
        </m:acc>
      </m:oMath>
      <w:r w:rsidRPr="003049A7">
        <w:t xml:space="preserve"> are the vectors of volume specific reactions rates. This balance is lumped over the entire reaction volume </w:t>
      </w:r>
      <m:oMath>
        <m:r>
          <w:rPr>
            <w:rFonts w:ascii="Cambria Math" w:hAnsi="Cambria Math"/>
          </w:rPr>
          <m:t>V</m:t>
        </m:r>
      </m:oMath>
      <w:r w:rsidRPr="003049A7">
        <w:t>.</w:t>
      </w:r>
    </w:p>
    <w:p w14:paraId="79FC0C99" w14:textId="592B1387" w:rsidR="00B209B7" w:rsidRDefault="00054807" w:rsidP="008D2649">
      <w:pPr>
        <w:pStyle w:val="Els-2ndorder-head"/>
      </w:pPr>
      <w:r>
        <w:t>Index reduction</w:t>
      </w:r>
    </w:p>
    <w:p w14:paraId="4D34749E" w14:textId="35864EA3" w:rsidR="004B5418" w:rsidRDefault="003049A7" w:rsidP="008D2649">
      <w:pPr>
        <w:pStyle w:val="Els-body-text"/>
      </w:pPr>
      <w:r w:rsidRPr="003049A7">
        <w:rPr>
          <w:lang w:val="en-GB"/>
        </w:rPr>
        <w:t>Addressing the high i</w:t>
      </w:r>
      <w:r w:rsidR="00054807">
        <w:rPr>
          <w:lang w:val="en-GB"/>
        </w:rPr>
        <w:t>n</w:t>
      </w:r>
      <w:r w:rsidRPr="003049A7">
        <w:rPr>
          <w:lang w:val="en-GB"/>
        </w:rPr>
        <w:t xml:space="preserve">dex </w:t>
      </w:r>
      <w:r w:rsidR="000E2438">
        <w:rPr>
          <w:lang w:val="en-GB"/>
        </w:rPr>
        <w:t xml:space="preserve">of the </w:t>
      </w:r>
      <w:r w:rsidRPr="003049A7">
        <w:rPr>
          <w:lang w:val="en-GB"/>
        </w:rPr>
        <w:t>set of differential algebraic equations derived from the equilibrium equations</w:t>
      </w:r>
      <w:r w:rsidR="002B2E00">
        <w:rPr>
          <w:lang w:val="en-GB"/>
        </w:rPr>
        <w:t xml:space="preserve"> </w:t>
      </w:r>
      <w:r w:rsidR="00D50721">
        <w:t xml:space="preserve">Eq. </w:t>
      </w:r>
      <w:r w:rsidR="001E5BC9">
        <w:rPr>
          <w:lang w:val="en-GB"/>
        </w:rPr>
        <w:t>1</w:t>
      </w:r>
      <w:r w:rsidRPr="003049A7">
        <w:rPr>
          <w:lang w:val="en-GB"/>
        </w:rPr>
        <w:t xml:space="preserve"> and the component balance equations</w:t>
      </w:r>
      <w:r w:rsidR="00FA2C57">
        <w:rPr>
          <w:lang w:val="en-GB"/>
        </w:rPr>
        <w:t xml:space="preserve"> </w:t>
      </w:r>
      <w:r w:rsidR="00D50721">
        <w:t xml:space="preserve">Eq. </w:t>
      </w:r>
      <w:r w:rsidR="001E5BC9">
        <w:rPr>
          <w:lang w:val="en-GB"/>
        </w:rPr>
        <w:t>4</w:t>
      </w:r>
      <w:r w:rsidRPr="003049A7">
        <w:rPr>
          <w:lang w:val="en-GB"/>
        </w:rPr>
        <w:t>, an index reduction strategy is employed to formulate a semi-explicit system with index one. This approach introduces reaction invariants relate</w:t>
      </w:r>
      <w:r w:rsidR="001F021F">
        <w:rPr>
          <w:lang w:val="en-GB"/>
        </w:rPr>
        <w:t>d to the equilibrium reactions,</w:t>
      </w:r>
      <w:r w:rsidR="001F021F" w:rsidRPr="001F021F">
        <w:rPr>
          <w:lang w:val="en-GB"/>
        </w:rPr>
        <w:t xml:space="preserve"> initia</w:t>
      </w:r>
      <w:r w:rsidR="000A781E">
        <w:rPr>
          <w:lang w:val="en-GB"/>
        </w:rPr>
        <w:t xml:space="preserve">lly </w:t>
      </w:r>
      <w:r w:rsidR="000E2438">
        <w:rPr>
          <w:lang w:val="en-GB"/>
        </w:rPr>
        <w:t xml:space="preserve">presented </w:t>
      </w:r>
      <w:r w:rsidR="000A781E">
        <w:rPr>
          <w:lang w:val="en-GB"/>
        </w:rPr>
        <w:t xml:space="preserve">by Asbjørnsen and Field </w:t>
      </w:r>
      <w:r w:rsidR="000A781E" w:rsidRPr="000A781E">
        <w:rPr>
          <w:lang w:val="en-GB"/>
        </w:rPr>
        <w:t>1970</w:t>
      </w:r>
      <w:r w:rsidR="001F021F" w:rsidRPr="001F021F">
        <w:rPr>
          <w:lang w:val="en-GB"/>
        </w:rPr>
        <w:t xml:space="preserve"> and later applied by Moe et al</w:t>
      </w:r>
      <w:r w:rsidR="006B6A76">
        <w:rPr>
          <w:lang w:val="en-GB"/>
        </w:rPr>
        <w:t>. 1995</w:t>
      </w:r>
      <w:r w:rsidR="001F021F" w:rsidRPr="001F021F">
        <w:rPr>
          <w:lang w:val="en-GB"/>
        </w:rPr>
        <w:t xml:space="preserve">. In the first </w:t>
      </w:r>
      <w:r w:rsidR="001F021F" w:rsidRPr="001F021F">
        <w:rPr>
          <w:lang w:val="en-GB"/>
        </w:rPr>
        <w:lastRenderedPageBreak/>
        <w:t>step, it involves determining the basis vectors for the nullspace</w:t>
      </w:r>
      <w:r w:rsidR="00D50721">
        <w:rPr>
          <w:lang w:val="en-GB"/>
        </w:rPr>
        <w:t xml:space="preserve">, </w:t>
      </w:r>
      <m:oMath>
        <m:sSub>
          <m:sSubPr>
            <m:ctrlPr>
              <w:rPr>
                <w:rFonts w:ascii="Cambria Math" w:hAnsi="Cambria Math"/>
                <w:i/>
              </w:rPr>
            </m:ctrlPr>
          </m:sSubPr>
          <m:e>
            <m:r>
              <w:rPr>
                <w:rFonts w:ascii="Cambria Math" w:hAnsi="Cambria Math"/>
              </w:rPr>
              <m:t>λ</m:t>
            </m:r>
          </m:e>
          <m:sub>
            <m:r>
              <w:rPr>
                <w:rFonts w:ascii="Cambria Math" w:hAnsi="Cambria Math"/>
              </w:rPr>
              <m:t>k</m:t>
            </m:r>
          </m:sub>
        </m:sSub>
      </m:oMath>
      <w:r w:rsidR="000502E6">
        <w:t>,</w:t>
      </w:r>
      <w:r w:rsidR="001F021F" w:rsidRPr="001F021F">
        <w:rPr>
          <w:lang w:val="en-GB"/>
        </w:rPr>
        <w:t xml:space="preserve"> corresponding to the stoichiometric</w:t>
      </w:r>
      <w:r w:rsidR="009B015D">
        <w:rPr>
          <w:lang w:val="en-GB"/>
        </w:rPr>
        <w:t xml:space="preserve"> coefficient</w:t>
      </w:r>
      <w:r w:rsidR="001F021F" w:rsidRPr="001F021F">
        <w:rPr>
          <w:lang w:val="en-GB"/>
        </w:rPr>
        <w:t xml:space="preserve"> matrix associated with these equilibrium reactions</w:t>
      </w:r>
      <w:r w:rsidR="001F021F">
        <w:rPr>
          <w:lang w:val="en-GB"/>
        </w:rPr>
        <w:t>:</w:t>
      </w:r>
    </w:p>
    <w:tbl>
      <w:tblPr>
        <w:tblW w:w="7087" w:type="dxa"/>
        <w:tblLook w:val="04A0" w:firstRow="1" w:lastRow="0" w:firstColumn="1" w:lastColumn="0" w:noHBand="0" w:noVBand="1"/>
      </w:tblPr>
      <w:tblGrid>
        <w:gridCol w:w="6121"/>
        <w:gridCol w:w="966"/>
      </w:tblGrid>
      <w:tr w:rsidR="00C91A93" w:rsidRPr="00A94774" w14:paraId="42B96FA4" w14:textId="77777777" w:rsidTr="00F561EF">
        <w:tc>
          <w:tcPr>
            <w:tcW w:w="6121" w:type="dxa"/>
            <w:shd w:val="clear" w:color="auto" w:fill="auto"/>
            <w:vAlign w:val="center"/>
          </w:tcPr>
          <w:p w14:paraId="0A0ED5BA" w14:textId="6702FBFA" w:rsidR="00C91A93" w:rsidRPr="003049A7" w:rsidRDefault="003C0672" w:rsidP="00F561EF">
            <w:pPr>
              <w:pStyle w:val="Textkrper"/>
              <w:rPr>
                <w:rFonts w:ascii="Cambria Math" w:hAnsi="Cambria Math"/>
                <w:i/>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ν</m:t>
                      </m:r>
                    </m:e>
                  </m:acc>
                </m:e>
                <m:sub>
                  <m:r>
                    <w:rPr>
                      <w:rFonts w:ascii="Cambria Math" w:hAnsi="Cambria Math"/>
                      <w:sz w:val="20"/>
                      <w:szCs w:val="20"/>
                    </w:rPr>
                    <m:t>eq</m:t>
                  </m:r>
                </m:sub>
              </m:sSub>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k</m:t>
                  </m:r>
                </m:sub>
              </m:sSub>
              <m:r>
                <w:rPr>
                  <w:rFonts w:ascii="Cambria Math" w:hAnsi="Cambria Math"/>
                  <w:sz w:val="20"/>
                  <w:szCs w:val="20"/>
                </w:rPr>
                <m:t>=0 </m:t>
              </m:r>
              <m:r>
                <m:rPr>
                  <m:nor/>
                </m:rPr>
                <w:rPr>
                  <w:rFonts w:ascii="Cambria Math" w:hAnsi="Cambria Math"/>
                  <w:i/>
                  <w:sz w:val="20"/>
                  <w:szCs w:val="20"/>
                </w:rPr>
                <m:t xml:space="preserve">for  </m:t>
              </m:r>
              <m:r>
                <w:rPr>
                  <w:rFonts w:ascii="Cambria Math" w:hAnsi="Cambria Math"/>
                  <w:sz w:val="20"/>
                  <w:szCs w:val="20"/>
                </w:rPr>
                <m:t>k=1,…,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comp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eq</m:t>
                  </m:r>
                </m:sub>
              </m:sSub>
            </m:oMath>
            <w:r w:rsidR="000E2438">
              <w:rPr>
                <w:rFonts w:ascii="Cambria Math" w:eastAsiaTheme="minorEastAsia" w:hAnsi="Cambria Math"/>
                <w:i/>
                <w:sz w:val="20"/>
                <w:szCs w:val="20"/>
              </w:rPr>
              <w:t>,</w:t>
            </w:r>
          </w:p>
        </w:tc>
        <w:tc>
          <w:tcPr>
            <w:tcW w:w="966" w:type="dxa"/>
            <w:shd w:val="clear" w:color="auto" w:fill="auto"/>
            <w:vAlign w:val="center"/>
          </w:tcPr>
          <w:p w14:paraId="7629F56E" w14:textId="586C0BC2" w:rsidR="00C91A93" w:rsidRPr="00A94774" w:rsidRDefault="00B75CB9" w:rsidP="00F561EF">
            <w:pPr>
              <w:pStyle w:val="Els-body-text"/>
              <w:spacing w:before="120" w:after="120" w:line="264" w:lineRule="auto"/>
              <w:jc w:val="right"/>
              <w:rPr>
                <w:lang w:val="en-GB"/>
              </w:rPr>
            </w:pPr>
            <w:r>
              <w:rPr>
                <w:lang w:val="en-GB"/>
              </w:rPr>
              <w:t>(</w:t>
            </w:r>
            <w:r w:rsidR="008E64FB">
              <w:rPr>
                <w:lang w:val="en-GB"/>
              </w:rPr>
              <w:t>5</w:t>
            </w:r>
            <w:r>
              <w:rPr>
                <w:lang w:val="en-GB"/>
              </w:rPr>
              <w:t>)</w:t>
            </w:r>
          </w:p>
        </w:tc>
      </w:tr>
    </w:tbl>
    <w:p w14:paraId="15CAFAF6" w14:textId="17CDDE99" w:rsidR="003049A7" w:rsidRDefault="003049A7" w:rsidP="00DE265C">
      <w:pPr>
        <w:pStyle w:val="Els-body-text"/>
        <w:spacing w:after="120"/>
      </w:pPr>
      <w:r w:rsidRPr="003049A7">
        <w:rPr>
          <w:lang w:val="en-GB"/>
        </w:rPr>
        <w:t xml:space="preserve">where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comp</m:t>
            </m:r>
          </m:sub>
        </m:sSub>
      </m:oMath>
      <w:r w:rsidRPr="003049A7">
        <w:rPr>
          <w:lang w:val="en-GB"/>
        </w:rPr>
        <w:t xml:space="preserve"> represents the total number of species in the equilibria, and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eq</m:t>
            </m:r>
          </m:sub>
        </m:sSub>
      </m:oMath>
      <w:r w:rsidRPr="003049A7">
        <w:rPr>
          <w:lang w:val="en-GB"/>
        </w:rPr>
        <w:t xml:space="preserve"> is the count of </w:t>
      </w:r>
      <w:r w:rsidR="00054807" w:rsidRPr="003049A7">
        <w:rPr>
          <w:lang w:val="en-GB"/>
        </w:rPr>
        <w:t xml:space="preserve">equilibria </w:t>
      </w:r>
      <w:r w:rsidRPr="003049A7">
        <w:rPr>
          <w:lang w:val="en-GB"/>
        </w:rPr>
        <w:t>considered.</w:t>
      </w:r>
      <w:r w:rsidR="008A2990" w:rsidRPr="008A2990">
        <w:rPr>
          <w:lang w:val="en-GB"/>
        </w:rPr>
        <w:t xml:space="preserve"> </w:t>
      </w:r>
      <w:r w:rsidRPr="003049A7">
        <w:t xml:space="preserve">The equilibrium reaction invariant states, denoted as </w:t>
      </w:r>
      <m:oMath>
        <m:acc>
          <m:accPr>
            <m:chr m:val="̃"/>
            <m:ctrlPr>
              <w:rPr>
                <w:rFonts w:ascii="Cambria Math" w:hAnsi="Cambria Math"/>
              </w:rPr>
            </m:ctrlPr>
          </m:accPr>
          <m:e>
            <m:r>
              <w:rPr>
                <w:rFonts w:ascii="Cambria Math" w:hAnsi="Cambria Math"/>
              </w:rPr>
              <m:t>n</m:t>
            </m:r>
          </m:e>
        </m:acc>
      </m:oMath>
      <w:r w:rsidRPr="003049A7">
        <w:t>, are subsequently defined through:</w:t>
      </w:r>
    </w:p>
    <w:tbl>
      <w:tblPr>
        <w:tblW w:w="7087" w:type="dxa"/>
        <w:tblLook w:val="04A0" w:firstRow="1" w:lastRow="0" w:firstColumn="1" w:lastColumn="0" w:noHBand="0" w:noVBand="1"/>
      </w:tblPr>
      <w:tblGrid>
        <w:gridCol w:w="6121"/>
        <w:gridCol w:w="966"/>
      </w:tblGrid>
      <w:tr w:rsidR="00C91A93" w:rsidRPr="00A94774" w14:paraId="3948FFBE" w14:textId="77777777" w:rsidTr="00F561EF">
        <w:tc>
          <w:tcPr>
            <w:tcW w:w="6121" w:type="dxa"/>
            <w:shd w:val="clear" w:color="auto" w:fill="auto"/>
            <w:vAlign w:val="center"/>
          </w:tcPr>
          <w:p w14:paraId="41DEFB92" w14:textId="78899922" w:rsidR="00C91A93" w:rsidRPr="003049A7" w:rsidRDefault="003C0672" w:rsidP="00F561EF">
            <w:pPr>
              <w:pStyle w:val="Textkrper"/>
              <w:rPr>
                <w:rFonts w:ascii="Cambria Math" w:hAnsi="Cambria Math"/>
                <w:i/>
                <w:sz w:val="20"/>
                <w:szCs w:val="20"/>
              </w:rPr>
            </w:pPr>
            <m:oMath>
              <m:acc>
                <m:accPr>
                  <m:chr m:val="̃"/>
                  <m:ctrlPr>
                    <w:rPr>
                      <w:rFonts w:ascii="Cambria Math" w:hAnsi="Cambria Math"/>
                      <w:i/>
                      <w:sz w:val="20"/>
                      <w:szCs w:val="20"/>
                    </w:rPr>
                  </m:ctrlPr>
                </m:accPr>
                <m:e>
                  <m:r>
                    <w:rPr>
                      <w:rFonts w:ascii="Cambria Math" w:hAnsi="Cambria Math"/>
                      <w:sz w:val="20"/>
                      <w:szCs w:val="20"/>
                    </w:rPr>
                    <m:t>n</m:t>
                  </m:r>
                </m:e>
              </m:acc>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k</m:t>
                      </m:r>
                    </m:sub>
                  </m:sSub>
                </m:e>
                <m:sup>
                  <m:r>
                    <w:rPr>
                      <w:rFonts w:ascii="Cambria Math" w:hAnsi="Cambria Math"/>
                      <w:sz w:val="20"/>
                      <w:szCs w:val="20"/>
                    </w:rPr>
                    <m:t>T</m:t>
                  </m:r>
                </m:sup>
              </m:sSup>
              <m:acc>
                <m:accPr>
                  <m:chr m:val="‾"/>
                  <m:ctrlPr>
                    <w:rPr>
                      <w:rFonts w:ascii="Cambria Math" w:hAnsi="Cambria Math"/>
                      <w:i/>
                      <w:sz w:val="20"/>
                      <w:szCs w:val="20"/>
                    </w:rPr>
                  </m:ctrlPr>
                </m:accPr>
                <m:e>
                  <m:r>
                    <w:rPr>
                      <w:rFonts w:ascii="Cambria Math" w:hAnsi="Cambria Math"/>
                      <w:sz w:val="20"/>
                      <w:szCs w:val="20"/>
                    </w:rPr>
                    <m:t>n</m:t>
                  </m:r>
                </m:e>
              </m:acc>
              <m:r>
                <w:rPr>
                  <w:rFonts w:ascii="Cambria Math" w:hAnsi="Cambria Math"/>
                  <w:sz w:val="20"/>
                  <w:szCs w:val="20"/>
                </w:rPr>
                <m:t> </m:t>
              </m:r>
              <m:r>
                <m:rPr>
                  <m:nor/>
                </m:rPr>
                <w:rPr>
                  <w:rFonts w:ascii="Cambria Math" w:hAnsi="Cambria Math"/>
                  <w:i/>
                  <w:sz w:val="20"/>
                  <w:szCs w:val="20"/>
                </w:rPr>
                <m:t xml:space="preserve">for  </m:t>
              </m:r>
              <m:r>
                <w:rPr>
                  <w:rFonts w:ascii="Cambria Math" w:hAnsi="Cambria Math"/>
                  <w:sz w:val="20"/>
                  <w:szCs w:val="20"/>
                </w:rPr>
                <m:t>k=1,…,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comp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eq</m:t>
                  </m:r>
                </m:sub>
              </m:sSub>
            </m:oMath>
            <w:r w:rsidR="000E2438">
              <w:rPr>
                <w:rFonts w:ascii="Cambria Math" w:eastAsiaTheme="minorEastAsia" w:hAnsi="Cambria Math"/>
                <w:i/>
                <w:sz w:val="20"/>
                <w:szCs w:val="20"/>
              </w:rPr>
              <w:t>.</w:t>
            </w:r>
          </w:p>
        </w:tc>
        <w:tc>
          <w:tcPr>
            <w:tcW w:w="966" w:type="dxa"/>
            <w:shd w:val="clear" w:color="auto" w:fill="auto"/>
            <w:vAlign w:val="center"/>
          </w:tcPr>
          <w:p w14:paraId="2265DFD7" w14:textId="440C02D8" w:rsidR="00C91A93" w:rsidRPr="00A94774" w:rsidRDefault="00C91A93" w:rsidP="00F561EF">
            <w:pPr>
              <w:pStyle w:val="Els-body-text"/>
              <w:spacing w:before="120" w:after="120" w:line="264" w:lineRule="auto"/>
              <w:jc w:val="right"/>
              <w:rPr>
                <w:lang w:val="en-GB"/>
              </w:rPr>
            </w:pPr>
            <w:r>
              <w:rPr>
                <w:lang w:val="en-GB"/>
              </w:rPr>
              <w:t>(</w:t>
            </w:r>
            <w:r w:rsidR="008E64FB">
              <w:rPr>
                <w:lang w:val="en-GB"/>
              </w:rPr>
              <w:t>6</w:t>
            </w:r>
            <w:r w:rsidRPr="00A94774">
              <w:rPr>
                <w:lang w:val="en-GB"/>
              </w:rPr>
              <w:t>)</w:t>
            </w:r>
          </w:p>
        </w:tc>
      </w:tr>
    </w:tbl>
    <w:p w14:paraId="44B0DB70" w14:textId="1505D623" w:rsidR="00C91A93" w:rsidRDefault="003049A7" w:rsidP="008D2649">
      <w:pPr>
        <w:pStyle w:val="Els-body-text"/>
      </w:pPr>
      <w:r w:rsidRPr="003049A7">
        <w:t>The dynamics governing these invariant states are captured by differential equations:</w:t>
      </w:r>
    </w:p>
    <w:tbl>
      <w:tblPr>
        <w:tblW w:w="7087" w:type="dxa"/>
        <w:tblLook w:val="04A0" w:firstRow="1" w:lastRow="0" w:firstColumn="1" w:lastColumn="0" w:noHBand="0" w:noVBand="1"/>
      </w:tblPr>
      <w:tblGrid>
        <w:gridCol w:w="6121"/>
        <w:gridCol w:w="966"/>
      </w:tblGrid>
      <w:tr w:rsidR="003049A7" w:rsidRPr="00A94774" w14:paraId="25C6FEB5" w14:textId="77777777" w:rsidTr="00F561EF">
        <w:tc>
          <w:tcPr>
            <w:tcW w:w="6121" w:type="dxa"/>
            <w:shd w:val="clear" w:color="auto" w:fill="auto"/>
            <w:vAlign w:val="center"/>
          </w:tcPr>
          <w:p w14:paraId="10555AEE" w14:textId="21426703" w:rsidR="003049A7" w:rsidRPr="00054807" w:rsidRDefault="003C0672" w:rsidP="00054807">
            <w:pPr>
              <w:pStyle w:val="Textkrper"/>
              <w:rPr>
                <w:rFonts w:ascii="Cambria Math" w:hAnsi="Cambria Math"/>
                <w:i/>
                <w:sz w:val="20"/>
                <w:szCs w:val="20"/>
              </w:rPr>
            </w:pPr>
            <m:oMath>
              <m:f>
                <m:fPr>
                  <m:ctrlPr>
                    <w:rPr>
                      <w:rFonts w:ascii="Cambria Math" w:hAnsi="Cambria Math"/>
                      <w:i/>
                      <w:sz w:val="20"/>
                      <w:szCs w:val="20"/>
                    </w:rPr>
                  </m:ctrlPr>
                </m:fPr>
                <m:num>
                  <m:r>
                    <w:rPr>
                      <w:rFonts w:ascii="Cambria Math" w:hAnsi="Cambria Math"/>
                      <w:sz w:val="20"/>
                      <w:szCs w:val="20"/>
                    </w:rPr>
                    <m:t>d</m:t>
                  </m:r>
                  <m:acc>
                    <m:accPr>
                      <m:chr m:val="̃"/>
                      <m:ctrlPr>
                        <w:rPr>
                          <w:rFonts w:ascii="Cambria Math" w:hAnsi="Cambria Math"/>
                          <w:i/>
                          <w:sz w:val="20"/>
                          <w:szCs w:val="20"/>
                        </w:rPr>
                      </m:ctrlPr>
                    </m:accPr>
                    <m:e>
                      <m:r>
                        <w:rPr>
                          <w:rFonts w:ascii="Cambria Math" w:hAnsi="Cambria Math"/>
                          <w:sz w:val="20"/>
                          <w:szCs w:val="20"/>
                        </w:rPr>
                        <m:t>n</m:t>
                      </m:r>
                    </m:e>
                  </m:acc>
                </m:num>
                <m:den>
                  <m:r>
                    <w:rPr>
                      <w:rFonts w:ascii="Cambria Math" w:hAnsi="Cambria Math"/>
                      <w:sz w:val="20"/>
                      <w:szCs w:val="20"/>
                    </w:rPr>
                    <m:t>dt</m:t>
                  </m:r>
                </m:den>
              </m:f>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k</m:t>
                      </m:r>
                    </m:sub>
                  </m:sSub>
                </m:e>
                <m:sup>
                  <m:r>
                    <w:rPr>
                      <w:rFonts w:ascii="Cambria Math" w:hAnsi="Cambria Math"/>
                      <w:sz w:val="20"/>
                      <w:szCs w:val="20"/>
                    </w:rPr>
                    <m:t>T</m:t>
                  </m:r>
                </m:sup>
              </m:sSup>
              <m:d>
                <m:dPr>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acc>
                            <m:accPr>
                              <m:chr m:val="‾"/>
                              <m:ctrlPr>
                                <w:rPr>
                                  <w:rFonts w:ascii="Cambria Math" w:hAnsi="Cambria Math"/>
                                  <w:i/>
                                  <w:sz w:val="20"/>
                                  <w:szCs w:val="20"/>
                                </w:rPr>
                              </m:ctrlPr>
                            </m:accPr>
                            <m:e>
                              <m:r>
                                <w:rPr>
                                  <w:rFonts w:ascii="Cambria Math" w:hAnsi="Cambria Math"/>
                                  <w:sz w:val="20"/>
                                  <w:szCs w:val="20"/>
                                </w:rPr>
                                <m:t>n</m:t>
                              </m:r>
                            </m:e>
                          </m:acc>
                        </m:e>
                      </m:acc>
                    </m:e>
                    <m:sub>
                      <m:r>
                        <w:rPr>
                          <w:rFonts w:ascii="Cambria Math" w:hAnsi="Cambria Math"/>
                          <w:sz w:val="20"/>
                          <w:szCs w:val="20"/>
                        </w:rPr>
                        <m:t>in</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acc>
                            <m:accPr>
                              <m:chr m:val="‾"/>
                              <m:ctrlPr>
                                <w:rPr>
                                  <w:rFonts w:ascii="Cambria Math" w:hAnsi="Cambria Math"/>
                                  <w:i/>
                                  <w:sz w:val="20"/>
                                  <w:szCs w:val="20"/>
                                </w:rPr>
                              </m:ctrlPr>
                            </m:accPr>
                            <m:e>
                              <m:r>
                                <w:rPr>
                                  <w:rFonts w:ascii="Cambria Math" w:hAnsi="Cambria Math"/>
                                  <w:sz w:val="20"/>
                                  <w:szCs w:val="20"/>
                                </w:rPr>
                                <m:t>n</m:t>
                              </m:r>
                            </m:e>
                          </m:acc>
                        </m:e>
                      </m:acc>
                    </m:e>
                    <m:sub>
                      <m:r>
                        <w:rPr>
                          <w:rFonts w:ascii="Cambria Math" w:hAnsi="Cambria Math"/>
                          <w:sz w:val="20"/>
                          <w:szCs w:val="20"/>
                        </w:rPr>
                        <m:t>out</m:t>
                      </m:r>
                    </m:sub>
                  </m:sSub>
                  <m:r>
                    <w:rPr>
                      <w:rFonts w:ascii="Cambria Math" w:hAnsi="Cambria Math"/>
                      <w:sz w:val="20"/>
                      <w:szCs w:val="20"/>
                    </w:rPr>
                    <m:t>+</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ν</m:t>
                          </m:r>
                        </m:e>
                      </m:acc>
                    </m:e>
                    <m:sub>
                      <m:r>
                        <w:rPr>
                          <w:rFonts w:ascii="Cambria Math" w:hAnsi="Cambria Math"/>
                          <w:sz w:val="20"/>
                          <w:szCs w:val="20"/>
                        </w:rPr>
                        <m:t>r</m:t>
                      </m:r>
                    </m:sub>
                    <m:sup>
                      <m:r>
                        <w:rPr>
                          <w:rFonts w:ascii="Cambria Math" w:hAnsi="Cambria Math"/>
                          <w:sz w:val="20"/>
                          <w:szCs w:val="20"/>
                        </w:rPr>
                        <m:t>T</m:t>
                      </m:r>
                    </m:sup>
                  </m:sSubSup>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m:t>
                      </m:r>
                    </m:sub>
                  </m:sSub>
                  <m:r>
                    <w:rPr>
                      <w:rFonts w:ascii="Cambria Math" w:hAnsi="Cambria Math"/>
                      <w:sz w:val="20"/>
                      <w:szCs w:val="20"/>
                    </w:rPr>
                    <m:t>V</m:t>
                  </m:r>
                </m:e>
              </m:d>
              <m:r>
                <w:rPr>
                  <w:rFonts w:ascii="Cambria Math" w:hAnsi="Cambria Math"/>
                  <w:sz w:val="20"/>
                  <w:szCs w:val="20"/>
                </w:rPr>
                <m:t> </m:t>
              </m:r>
              <m:r>
                <m:rPr>
                  <m:nor/>
                </m:rPr>
                <w:rPr>
                  <w:rFonts w:ascii="Cambria Math" w:hAnsi="Cambria Math"/>
                  <w:i/>
                  <w:sz w:val="20"/>
                  <w:szCs w:val="20"/>
                </w:rPr>
                <m:t xml:space="preserve">for  </m:t>
              </m:r>
              <m:r>
                <w:rPr>
                  <w:rFonts w:ascii="Cambria Math" w:hAnsi="Cambria Math"/>
                  <w:sz w:val="20"/>
                  <w:szCs w:val="20"/>
                </w:rPr>
                <m:t>k=1,…,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comp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eq</m:t>
                  </m:r>
                </m:sub>
              </m:sSub>
            </m:oMath>
            <w:r w:rsidR="007573BF">
              <w:rPr>
                <w:rFonts w:ascii="Cambria Math" w:eastAsiaTheme="minorEastAsia" w:hAnsi="Cambria Math"/>
                <w:i/>
                <w:sz w:val="20"/>
                <w:szCs w:val="20"/>
              </w:rPr>
              <w:t>.</w:t>
            </w:r>
          </w:p>
        </w:tc>
        <w:tc>
          <w:tcPr>
            <w:tcW w:w="966" w:type="dxa"/>
            <w:shd w:val="clear" w:color="auto" w:fill="auto"/>
            <w:vAlign w:val="center"/>
          </w:tcPr>
          <w:p w14:paraId="358E0E4A" w14:textId="1BD5EB7E" w:rsidR="003049A7" w:rsidRPr="00A94774" w:rsidRDefault="003049A7" w:rsidP="00F561EF">
            <w:pPr>
              <w:pStyle w:val="Els-body-text"/>
              <w:spacing w:before="120" w:after="120" w:line="264" w:lineRule="auto"/>
              <w:jc w:val="right"/>
              <w:rPr>
                <w:lang w:val="en-GB"/>
              </w:rPr>
            </w:pPr>
            <w:r>
              <w:rPr>
                <w:lang w:val="en-GB"/>
              </w:rPr>
              <w:t>(</w:t>
            </w:r>
            <w:r w:rsidR="008E64FB">
              <w:rPr>
                <w:lang w:val="en-GB"/>
              </w:rPr>
              <w:t>7</w:t>
            </w:r>
            <w:r w:rsidRPr="00A94774">
              <w:rPr>
                <w:lang w:val="en-GB"/>
              </w:rPr>
              <w:t>)</w:t>
            </w:r>
          </w:p>
        </w:tc>
      </w:tr>
    </w:tbl>
    <w:p w14:paraId="0E4650DD" w14:textId="45A52CD7" w:rsidR="003049A7" w:rsidRDefault="00054807" w:rsidP="008D2649">
      <w:pPr>
        <w:pStyle w:val="Els-body-text"/>
      </w:pPr>
      <w:r>
        <w:t xml:space="preserve">By maintaining </w:t>
      </w:r>
      <w:r w:rsidR="003E57B4">
        <w:t xml:space="preserve">Eq. </w:t>
      </w:r>
      <w:r w:rsidR="002A0DA1">
        <w:t>1</w:t>
      </w:r>
      <w:r w:rsidRPr="00054807">
        <w:t>, alongsid</w:t>
      </w:r>
      <w:r>
        <w:t xml:space="preserve">e </w:t>
      </w:r>
      <w:r w:rsidR="003E57B4">
        <w:t xml:space="preserve">Eq. </w:t>
      </w:r>
      <w:r w:rsidR="002A0DA1">
        <w:t>6</w:t>
      </w:r>
      <w:r w:rsidRPr="00054807">
        <w:t>, and</w:t>
      </w:r>
      <w:r>
        <w:t xml:space="preserve"> </w:t>
      </w:r>
      <w:r w:rsidR="003E57B4">
        <w:t xml:space="preserve">Eq. </w:t>
      </w:r>
      <w:r w:rsidR="002A0DA1">
        <w:t>7</w:t>
      </w:r>
      <w:r w:rsidRPr="00054807">
        <w:t xml:space="preserve"> where </w:t>
      </w:r>
      <m:oMath>
        <m:acc>
          <m:accPr>
            <m:chr m:val="‾"/>
            <m:ctrlPr>
              <w:rPr>
                <w:rFonts w:ascii="Cambria Math" w:hAnsi="Cambria Math"/>
              </w:rPr>
            </m:ctrlPr>
          </m:accPr>
          <m:e>
            <m:r>
              <w:rPr>
                <w:rFonts w:ascii="Cambria Math" w:hAnsi="Cambria Math"/>
              </w:rPr>
              <m:t>n</m:t>
            </m:r>
          </m:e>
        </m:acc>
      </m:oMath>
      <w:r w:rsidRPr="00054807">
        <w:t xml:space="preserve"> are co</w:t>
      </w:r>
      <w:r>
        <w:t xml:space="preserve">nsidered as algebraic variables, the desired index reduction is achieved, while maintaining the component balances </w:t>
      </w:r>
      <w:r w:rsidR="00234055">
        <w:t xml:space="preserve">and equilibria </w:t>
      </w:r>
      <w:r>
        <w:t xml:space="preserve">and disregarding the </w:t>
      </w:r>
      <w:r w:rsidR="00234055">
        <w:t>dynamics of the equilibrium reactions.</w:t>
      </w:r>
    </w:p>
    <w:p w14:paraId="19057F52" w14:textId="732F565F" w:rsidR="00B209B7" w:rsidRDefault="00B209B7" w:rsidP="00B209B7">
      <w:pPr>
        <w:pStyle w:val="Els-2ndorder-head"/>
      </w:pPr>
      <w:r>
        <w:t>Method of moments</w:t>
      </w:r>
    </w:p>
    <w:p w14:paraId="10D84F05" w14:textId="2E2E666F" w:rsidR="00B209B7" w:rsidRDefault="00A52E48" w:rsidP="008D2649">
      <w:pPr>
        <w:pStyle w:val="Els-body-text"/>
      </w:pPr>
      <w:r w:rsidRPr="00A52E48">
        <w:rPr>
          <w:lang w:val="en-GB"/>
        </w:rPr>
        <w:t>Considering the partial differential PBE to describe the particulate system often becomes computationally intractable. Even in its discretized form, the complete model is likely not feasible for real-time application, particularly in a distributed reaction system like a COBR. This is the reason for employing the method of moments, which introduces moments</w:t>
      </w:r>
      <w:r w:rsidR="00F229CD">
        <w:rPr>
          <w:lang w:val="en-GB"/>
        </w:rPr>
        <w:t xml:space="preserve"> of order </w:t>
      </w:r>
      <m:oMath>
        <m:r>
          <w:rPr>
            <w:rFonts w:ascii="Cambria Math" w:hAnsi="Cambria Math"/>
          </w:rPr>
          <m:t>p</m:t>
        </m:r>
      </m:oMath>
      <w:r w:rsidR="00F229CD">
        <w:rPr>
          <w:lang w:val="en-GB"/>
        </w:rPr>
        <w:t xml:space="preserve">, </w:t>
      </w:r>
      <m:oMath>
        <m:sSub>
          <m:sSubPr>
            <m:ctrlPr>
              <w:rPr>
                <w:rFonts w:ascii="Cambria Math" w:hAnsi="Cambria Math"/>
              </w:rPr>
            </m:ctrlPr>
          </m:sSubPr>
          <m:e>
            <m:r>
              <w:rPr>
                <w:rFonts w:ascii="Cambria Math" w:hAnsi="Cambria Math"/>
              </w:rPr>
              <m:t>μ</m:t>
            </m:r>
          </m:e>
          <m:sub>
            <m:r>
              <w:rPr>
                <w:rFonts w:ascii="Cambria Math" w:hAnsi="Cambria Math"/>
              </w:rPr>
              <m:t>p</m:t>
            </m:r>
          </m:sub>
        </m:sSub>
      </m:oMath>
      <w:r w:rsidR="00F229CD">
        <w:t>,</w:t>
      </w:r>
      <w:r w:rsidRPr="00A52E48">
        <w:rPr>
          <w:lang w:val="en-GB"/>
        </w:rPr>
        <w:t xml:space="preserve"> as differential states, defined as:</w:t>
      </w:r>
    </w:p>
    <w:tbl>
      <w:tblPr>
        <w:tblW w:w="7087" w:type="dxa"/>
        <w:tblLook w:val="04A0" w:firstRow="1" w:lastRow="0" w:firstColumn="1" w:lastColumn="0" w:noHBand="0" w:noVBand="1"/>
      </w:tblPr>
      <w:tblGrid>
        <w:gridCol w:w="6121"/>
        <w:gridCol w:w="966"/>
      </w:tblGrid>
      <w:tr w:rsidR="00C91A93" w:rsidRPr="00A94774" w14:paraId="3B393D63" w14:textId="77777777" w:rsidTr="00F561EF">
        <w:tc>
          <w:tcPr>
            <w:tcW w:w="6121" w:type="dxa"/>
            <w:shd w:val="clear" w:color="auto" w:fill="auto"/>
            <w:vAlign w:val="center"/>
          </w:tcPr>
          <w:p w14:paraId="07D70950" w14:textId="437742C3" w:rsidR="00C91A93" w:rsidRPr="00534664" w:rsidRDefault="003C0672" w:rsidP="007573BF">
            <w:pPr>
              <w:pStyle w:val="Textkrper"/>
              <w:rPr>
                <w:sz w:val="20"/>
                <w:szCs w:val="20"/>
              </w:rPr>
            </w:pPr>
            <m:oMath>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p</m:t>
                  </m:r>
                </m:sub>
              </m:sSub>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0</m:t>
                  </m:r>
                </m:sub>
                <m:sup>
                  <m:r>
                    <m:rPr>
                      <m:sty m:val="p"/>
                    </m:rPr>
                    <w:rPr>
                      <w:rFonts w:ascii="Cambria Math" w:hAnsi="Cambria Math"/>
                      <w:sz w:val="20"/>
                      <w:szCs w:val="20"/>
                    </w:rPr>
                    <m:t>∞</m:t>
                  </m:r>
                </m:sup>
                <m:e>
                  <m:sSup>
                    <m:sSupPr>
                      <m:ctrlPr>
                        <w:rPr>
                          <w:rFonts w:ascii="Cambria Math" w:hAnsi="Cambria Math"/>
                          <w:sz w:val="20"/>
                          <w:szCs w:val="20"/>
                        </w:rPr>
                      </m:ctrlPr>
                    </m:sSupPr>
                    <m:e>
                      <m:r>
                        <w:rPr>
                          <w:rFonts w:ascii="Cambria Math" w:hAnsi="Cambria Math"/>
                          <w:sz w:val="20"/>
                          <w:szCs w:val="20"/>
                        </w:rPr>
                        <m:t>L</m:t>
                      </m:r>
                    </m:e>
                    <m:sup>
                      <m:r>
                        <w:rPr>
                          <w:rFonts w:ascii="Cambria Math" w:hAnsi="Cambria Math"/>
                          <w:sz w:val="20"/>
                          <w:szCs w:val="20"/>
                        </w:rPr>
                        <m:t>p</m:t>
                      </m:r>
                    </m:sup>
                  </m:sSup>
                </m:e>
              </m:nary>
              <m:r>
                <w:rPr>
                  <w:rFonts w:ascii="Cambria Math" w:hAnsi="Cambria Math"/>
                  <w:sz w:val="20"/>
                  <w:szCs w:val="20"/>
                </w:rPr>
                <m:t>fdL</m:t>
              </m:r>
            </m:oMath>
            <w:r w:rsidR="007573BF">
              <w:rPr>
                <w:rFonts w:ascii="Times New Roman" w:eastAsia="Times New Roman" w:hAnsi="Times New Roman" w:cs="Times New Roman"/>
                <w:sz w:val="20"/>
                <w:szCs w:val="20"/>
              </w:rPr>
              <w:t>.</w:t>
            </w:r>
          </w:p>
        </w:tc>
        <w:tc>
          <w:tcPr>
            <w:tcW w:w="966" w:type="dxa"/>
            <w:shd w:val="clear" w:color="auto" w:fill="auto"/>
            <w:vAlign w:val="center"/>
          </w:tcPr>
          <w:p w14:paraId="5F8CE4FA" w14:textId="6CB61B5B" w:rsidR="00C91A93" w:rsidRPr="00A94774" w:rsidRDefault="00B75CB9" w:rsidP="00F561EF">
            <w:pPr>
              <w:pStyle w:val="Els-body-text"/>
              <w:spacing w:before="120" w:after="120" w:line="264" w:lineRule="auto"/>
              <w:jc w:val="right"/>
              <w:rPr>
                <w:lang w:val="en-GB"/>
              </w:rPr>
            </w:pPr>
            <w:r>
              <w:rPr>
                <w:lang w:val="en-GB"/>
              </w:rPr>
              <w:t>(</w:t>
            </w:r>
            <w:r w:rsidR="008E64FB">
              <w:rPr>
                <w:lang w:val="en-GB"/>
              </w:rPr>
              <w:t>8</w:t>
            </w:r>
            <w:r>
              <w:rPr>
                <w:lang w:val="en-GB"/>
              </w:rPr>
              <w:t>)</w:t>
            </w:r>
          </w:p>
        </w:tc>
      </w:tr>
    </w:tbl>
    <w:p w14:paraId="081D9C58" w14:textId="7618B310" w:rsidR="00C91A93" w:rsidRDefault="00A52E48" w:rsidP="008D2649">
      <w:pPr>
        <w:pStyle w:val="Els-body-text"/>
        <w:rPr>
          <w:lang w:val="en-GB"/>
        </w:rPr>
      </w:pPr>
      <w:r w:rsidRPr="00A52E48">
        <w:rPr>
          <w:lang w:val="en-GB"/>
        </w:rPr>
        <w:t xml:space="preserve">Assuming that the growth rate, </w:t>
      </w:r>
      <m:oMath>
        <m:r>
          <w:rPr>
            <w:rFonts w:ascii="Cambria Math" w:hAnsi="Cambria Math"/>
            <w:lang w:val="en-GB"/>
          </w:rPr>
          <m:t>G</m:t>
        </m:r>
      </m:oMath>
      <w:r w:rsidRPr="00A52E48">
        <w:rPr>
          <w:lang w:val="en-GB"/>
        </w:rPr>
        <w:t>, is independent of particle size, and that there is no particle agglomeration or breakage, the resulting moment balances are:</w:t>
      </w:r>
    </w:p>
    <w:tbl>
      <w:tblPr>
        <w:tblW w:w="7087" w:type="dxa"/>
        <w:tblLook w:val="04A0" w:firstRow="1" w:lastRow="0" w:firstColumn="1" w:lastColumn="0" w:noHBand="0" w:noVBand="1"/>
      </w:tblPr>
      <w:tblGrid>
        <w:gridCol w:w="6121"/>
        <w:gridCol w:w="966"/>
      </w:tblGrid>
      <w:tr w:rsidR="00A52E48" w:rsidRPr="00A94774" w14:paraId="14D7D437" w14:textId="77777777" w:rsidTr="00F561EF">
        <w:tc>
          <w:tcPr>
            <w:tcW w:w="6121" w:type="dxa"/>
            <w:shd w:val="clear" w:color="auto" w:fill="auto"/>
            <w:vAlign w:val="center"/>
          </w:tcPr>
          <w:p w14:paraId="56361F2B" w14:textId="0B7694F1" w:rsidR="00A52E48" w:rsidRPr="00274581" w:rsidRDefault="003C0672" w:rsidP="00F561EF">
            <w:pPr>
              <w:pStyle w:val="Textkrper"/>
              <w:rPr>
                <w:rFonts w:ascii="Cambria Math" w:hAnsi="Cambria Math"/>
                <w:i/>
                <w:sz w:val="20"/>
                <w:szCs w:val="20"/>
                <w:lang w:val="en-GB"/>
              </w:rPr>
            </w:pPr>
            <m:oMath>
              <m:f>
                <m:fPr>
                  <m:ctrlPr>
                    <w:rPr>
                      <w:rFonts w:ascii="Cambria Math" w:hAnsi="Cambria Math"/>
                      <w:sz w:val="20"/>
                      <w:szCs w:val="20"/>
                    </w:rPr>
                  </m:ctrlPr>
                </m:fPr>
                <m:num>
                  <m:r>
                    <w:rPr>
                      <w:rFonts w:ascii="Cambria Math" w:hAnsi="Cambria Math"/>
                      <w:sz w:val="20"/>
                      <w:szCs w:val="20"/>
                    </w:rPr>
                    <m:t>d</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0</m:t>
                      </m:r>
                    </m:sub>
                  </m:sSub>
                </m:num>
                <m:den>
                  <m:r>
                    <w:rPr>
                      <w:rFonts w:ascii="Cambria Math" w:hAnsi="Cambria Math"/>
                      <w:sz w:val="20"/>
                      <w:szCs w:val="20"/>
                    </w:rPr>
                    <m:t>dt</m:t>
                  </m:r>
                </m:den>
              </m:f>
              <m:r>
                <m:rPr>
                  <m:sty m:val="p"/>
                </m:rPr>
                <w:rPr>
                  <w:rFonts w:ascii="Cambria Math" w:hAnsi="Cambria Math"/>
                  <w:sz w:val="20"/>
                  <w:szCs w:val="20"/>
                </w:rPr>
                <m:t>=</m:t>
              </m:r>
              <m:r>
                <w:rPr>
                  <w:rFonts w:ascii="Cambria Math" w:hAnsi="Cambria Math"/>
                  <w:sz w:val="20"/>
                  <w:szCs w:val="20"/>
                </w:rPr>
                <m:t xml:space="preserve">B; </m:t>
              </m:r>
              <m:f>
                <m:fPr>
                  <m:ctrlPr>
                    <w:rPr>
                      <w:rFonts w:ascii="Cambria Math" w:hAnsi="Cambria Math"/>
                      <w:i/>
                      <w:sz w:val="20"/>
                      <w:szCs w:val="20"/>
                      <w:lang w:val="en-GB"/>
                    </w:rPr>
                  </m:ctrlPr>
                </m:fPr>
                <m:num>
                  <m:r>
                    <w:rPr>
                      <w:rFonts w:ascii="Cambria Math" w:hAnsi="Cambria Math"/>
                      <w:sz w:val="20"/>
                      <w:szCs w:val="20"/>
                      <w:lang w:val="en-GB"/>
                    </w:rPr>
                    <m:t>d</m:t>
                  </m:r>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m:t>
                      </m:r>
                    </m:sub>
                  </m:sSub>
                </m:num>
                <m:den>
                  <m:r>
                    <w:rPr>
                      <w:rFonts w:ascii="Cambria Math" w:hAnsi="Cambria Math"/>
                      <w:sz w:val="20"/>
                      <w:szCs w:val="20"/>
                      <w:lang w:val="en-GB"/>
                    </w:rPr>
                    <m:t>dt</m:t>
                  </m:r>
                </m:den>
              </m:f>
              <m:r>
                <w:rPr>
                  <w:rFonts w:ascii="Cambria Math" w:hAnsi="Cambria Math"/>
                  <w:sz w:val="20"/>
                  <w:szCs w:val="20"/>
                  <w:lang w:val="en-GB"/>
                </w:rPr>
                <m:t>=pG</m:t>
              </m:r>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p-1</m:t>
                  </m:r>
                </m:sub>
              </m:sSub>
              <m:r>
                <w:rPr>
                  <w:rFonts w:ascii="Cambria Math" w:hAnsi="Cambria Math"/>
                  <w:sz w:val="20"/>
                  <w:szCs w:val="20"/>
                  <w:lang w:val="en-GB"/>
                </w:rPr>
                <m:t> </m:t>
              </m:r>
              <m:r>
                <m:rPr>
                  <m:nor/>
                </m:rPr>
                <w:rPr>
                  <w:rFonts w:ascii="Cambria Math" w:hAnsi="Cambria Math"/>
                  <w:i/>
                  <w:sz w:val="20"/>
                  <w:szCs w:val="20"/>
                  <w:lang w:val="en-GB"/>
                </w:rPr>
                <m:t xml:space="preserve">for  </m:t>
              </m:r>
              <m:r>
                <w:rPr>
                  <w:rFonts w:ascii="Cambria Math" w:hAnsi="Cambria Math"/>
                  <w:sz w:val="20"/>
                  <w:szCs w:val="20"/>
                  <w:lang w:val="en-GB"/>
                </w:rPr>
                <m:t>p∈</m:t>
              </m:r>
              <m:sSup>
                <m:sSupPr>
                  <m:ctrlPr>
                    <w:rPr>
                      <w:rFonts w:ascii="Cambria Math" w:hAnsi="Cambria Math"/>
                      <w:i/>
                      <w:sz w:val="20"/>
                      <w:szCs w:val="20"/>
                      <w:lang w:val="en-GB"/>
                    </w:rPr>
                  </m:ctrlPr>
                </m:sSupPr>
                <m:e>
                  <m:r>
                    <m:rPr>
                      <m:scr m:val="double-struck"/>
                    </m:rPr>
                    <w:rPr>
                      <w:rFonts w:ascii="Cambria Math" w:hAnsi="Cambria Math"/>
                      <w:sz w:val="20"/>
                      <w:szCs w:val="20"/>
                      <w:lang w:val="en-GB"/>
                    </w:rPr>
                    <m:t>Z</m:t>
                  </m:r>
                </m:e>
                <m:sup>
                  <m:r>
                    <w:rPr>
                      <w:rFonts w:ascii="Cambria Math" w:hAnsi="Cambria Math"/>
                      <w:sz w:val="20"/>
                      <w:szCs w:val="20"/>
                      <w:lang w:val="en-GB"/>
                    </w:rPr>
                    <m:t>+</m:t>
                  </m:r>
                </m:sup>
              </m:sSup>
              <m:r>
                <w:rPr>
                  <w:rFonts w:ascii="Cambria Math" w:hAnsi="Cambria Math"/>
                  <w:sz w:val="20"/>
                  <w:szCs w:val="20"/>
                  <w:lang w:val="en-GB"/>
                </w:rPr>
                <m:t>\{0}</m:t>
              </m:r>
            </m:oMath>
            <w:r w:rsidR="007573BF">
              <w:rPr>
                <w:rFonts w:ascii="Cambria Math" w:eastAsiaTheme="minorEastAsia" w:hAnsi="Cambria Math"/>
                <w:i/>
                <w:sz w:val="20"/>
                <w:szCs w:val="20"/>
                <w:lang w:val="en-GB"/>
              </w:rPr>
              <w:t>.</w:t>
            </w:r>
          </w:p>
        </w:tc>
        <w:tc>
          <w:tcPr>
            <w:tcW w:w="966" w:type="dxa"/>
            <w:shd w:val="clear" w:color="auto" w:fill="auto"/>
            <w:vAlign w:val="center"/>
          </w:tcPr>
          <w:p w14:paraId="75568FCE" w14:textId="55DB3462" w:rsidR="00A52E48" w:rsidRPr="00A94774" w:rsidRDefault="00B75CB9" w:rsidP="00F561EF">
            <w:pPr>
              <w:pStyle w:val="Els-body-text"/>
              <w:spacing w:before="120" w:after="120" w:line="264" w:lineRule="auto"/>
              <w:jc w:val="right"/>
              <w:rPr>
                <w:lang w:val="en-GB"/>
              </w:rPr>
            </w:pPr>
            <w:r>
              <w:rPr>
                <w:lang w:val="en-GB"/>
              </w:rPr>
              <w:t>(</w:t>
            </w:r>
            <w:r w:rsidR="008E64FB">
              <w:rPr>
                <w:lang w:val="en-GB"/>
              </w:rPr>
              <w:t>9</w:t>
            </w:r>
            <w:r>
              <w:rPr>
                <w:lang w:val="en-GB"/>
              </w:rPr>
              <w:t>)</w:t>
            </w:r>
          </w:p>
        </w:tc>
      </w:tr>
    </w:tbl>
    <w:p w14:paraId="0F99B2A1" w14:textId="4DAFBB3E" w:rsidR="00274581" w:rsidRPr="00274581" w:rsidRDefault="00274581" w:rsidP="00274581">
      <w:pPr>
        <w:pStyle w:val="Els-body-text"/>
        <w:rPr>
          <w:lang w:val="en-GB"/>
        </w:rPr>
      </w:pPr>
      <w:r w:rsidRPr="00274581">
        <w:rPr>
          <w:lang w:val="en-GB"/>
        </w:rPr>
        <w:t xml:space="preserve">To model the dependence of the growth rate </w:t>
      </w:r>
      <m:oMath>
        <m:r>
          <w:rPr>
            <w:rFonts w:ascii="Cambria Math" w:hAnsi="Cambria Math"/>
            <w:lang w:val="en-GB"/>
          </w:rPr>
          <m:t>G</m:t>
        </m:r>
      </m:oMath>
      <w:r w:rsidRPr="00274581">
        <w:rPr>
          <w:lang w:val="en-GB"/>
        </w:rPr>
        <w:t xml:space="preserve"> and nucleation rate </w:t>
      </w:r>
      <m:oMath>
        <m:r>
          <w:rPr>
            <w:rFonts w:ascii="Cambria Math" w:hAnsi="Cambria Math"/>
            <w:lang w:val="en-GB"/>
          </w:rPr>
          <m:t>B</m:t>
        </m:r>
      </m:oMath>
      <w:r w:rsidRPr="00274581">
        <w:rPr>
          <w:lang w:val="en-GB"/>
        </w:rPr>
        <w:t xml:space="preserve"> on supersaturation, the following exponential relationships are introduced:</w:t>
      </w:r>
    </w:p>
    <w:tbl>
      <w:tblPr>
        <w:tblW w:w="7087" w:type="dxa"/>
        <w:tblLook w:val="04A0" w:firstRow="1" w:lastRow="0" w:firstColumn="1" w:lastColumn="0" w:noHBand="0" w:noVBand="1"/>
      </w:tblPr>
      <w:tblGrid>
        <w:gridCol w:w="6121"/>
        <w:gridCol w:w="966"/>
      </w:tblGrid>
      <w:tr w:rsidR="0050635D" w:rsidRPr="00A94774" w14:paraId="427E6242" w14:textId="77777777" w:rsidTr="00F561EF">
        <w:tc>
          <w:tcPr>
            <w:tcW w:w="6121" w:type="dxa"/>
            <w:shd w:val="clear" w:color="auto" w:fill="auto"/>
            <w:vAlign w:val="center"/>
          </w:tcPr>
          <w:p w14:paraId="1927F8FB" w14:textId="0C24748F" w:rsidR="0050635D" w:rsidRPr="00534664" w:rsidRDefault="00534664" w:rsidP="00F561EF">
            <w:pPr>
              <w:pStyle w:val="Textkrper"/>
              <w:rPr>
                <w:sz w:val="20"/>
                <w:szCs w:val="20"/>
              </w:rPr>
            </w:pPr>
            <m:oMath>
              <m:r>
                <w:rPr>
                  <w:rFonts w:ascii="Cambria Math" w:hAnsi="Cambria Math"/>
                  <w:sz w:val="20"/>
                  <w:szCs w:val="20"/>
                </w:rPr>
                <m:t>G</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g</m:t>
                  </m:r>
                </m:sub>
              </m:sSub>
              <m:sSup>
                <m:sSupPr>
                  <m:ctrlPr>
                    <w:rPr>
                      <w:rFonts w:ascii="Cambria Math" w:hAnsi="Cambria Math"/>
                      <w:sz w:val="20"/>
                      <w:szCs w:val="20"/>
                    </w:rPr>
                  </m:ctrlPr>
                </m:sSupPr>
                <m:e>
                  <m:r>
                    <w:rPr>
                      <w:rFonts w:ascii="Cambria Math" w:hAnsi="Cambria Math"/>
                      <w:sz w:val="20"/>
                      <w:szCs w:val="20"/>
                    </w:rPr>
                    <m:t>S</m:t>
                  </m:r>
                </m:e>
                <m:sup>
                  <m:sSub>
                    <m:sSubPr>
                      <m:ctrlPr>
                        <w:rPr>
                          <w:rFonts w:ascii="Cambria Math" w:hAnsi="Cambria Math"/>
                          <w:sz w:val="20"/>
                          <w:szCs w:val="20"/>
                        </w:rPr>
                      </m:ctrlPr>
                    </m:sSubPr>
                    <m:e>
                      <m:r>
                        <w:rPr>
                          <w:rFonts w:ascii="Cambria Math" w:hAnsi="Cambria Math"/>
                          <w:sz w:val="20"/>
                          <w:szCs w:val="20"/>
                        </w:rPr>
                        <m:t>σ</m:t>
                      </m:r>
                    </m:e>
                    <m:sub>
                      <m:r>
                        <w:rPr>
                          <w:rFonts w:ascii="Cambria Math" w:hAnsi="Cambria Math"/>
                          <w:sz w:val="20"/>
                          <w:szCs w:val="20"/>
                        </w:rPr>
                        <m:t>g</m:t>
                      </m:r>
                    </m:sub>
                  </m:sSub>
                </m:sup>
              </m:sSup>
              <m:r>
                <w:rPr>
                  <w:rFonts w:ascii="Cambria Math" w:eastAsiaTheme="minorEastAsia" w:hAnsi="Cambria Math"/>
                  <w:sz w:val="20"/>
                  <w:szCs w:val="20"/>
                </w:rPr>
                <m:t xml:space="preserve">; </m:t>
              </m:r>
              <m:r>
                <w:rPr>
                  <w:rFonts w:ascii="Cambria Math" w:hAnsi="Cambria Math"/>
                  <w:sz w:val="20"/>
                  <w:szCs w:val="20"/>
                </w:rPr>
                <m:t>B</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b</m:t>
                  </m:r>
                </m:sub>
              </m:sSub>
              <m:sSup>
                <m:sSupPr>
                  <m:ctrlPr>
                    <w:rPr>
                      <w:rFonts w:ascii="Cambria Math" w:hAnsi="Cambria Math"/>
                      <w:sz w:val="20"/>
                      <w:szCs w:val="20"/>
                    </w:rPr>
                  </m:ctrlPr>
                </m:sSupPr>
                <m:e>
                  <m:r>
                    <w:rPr>
                      <w:rFonts w:ascii="Cambria Math" w:hAnsi="Cambria Math"/>
                      <w:sz w:val="20"/>
                      <w:szCs w:val="20"/>
                    </w:rPr>
                    <m:t>S</m:t>
                  </m:r>
                </m:e>
                <m:sup>
                  <m:sSub>
                    <m:sSubPr>
                      <m:ctrlPr>
                        <w:rPr>
                          <w:rFonts w:ascii="Cambria Math" w:hAnsi="Cambria Math"/>
                          <w:sz w:val="20"/>
                          <w:szCs w:val="20"/>
                        </w:rPr>
                      </m:ctrlPr>
                    </m:sSubPr>
                    <m:e>
                      <m:r>
                        <w:rPr>
                          <w:rFonts w:ascii="Cambria Math" w:hAnsi="Cambria Math"/>
                          <w:sz w:val="20"/>
                          <w:szCs w:val="20"/>
                        </w:rPr>
                        <m:t>σ</m:t>
                      </m:r>
                    </m:e>
                    <m:sub>
                      <m:r>
                        <w:rPr>
                          <w:rFonts w:ascii="Cambria Math" w:hAnsi="Cambria Math"/>
                          <w:sz w:val="20"/>
                          <w:szCs w:val="20"/>
                        </w:rPr>
                        <m:t>b</m:t>
                      </m:r>
                    </m:sub>
                  </m:sSub>
                </m:sup>
              </m:sSup>
            </m:oMath>
            <w:r w:rsidR="007573BF">
              <w:rPr>
                <w:rFonts w:eastAsiaTheme="minorEastAsia"/>
                <w:sz w:val="20"/>
                <w:szCs w:val="20"/>
              </w:rPr>
              <w:t>.</w:t>
            </w:r>
          </w:p>
        </w:tc>
        <w:tc>
          <w:tcPr>
            <w:tcW w:w="966" w:type="dxa"/>
            <w:shd w:val="clear" w:color="auto" w:fill="auto"/>
            <w:vAlign w:val="center"/>
          </w:tcPr>
          <w:p w14:paraId="2D878176" w14:textId="188F1036" w:rsidR="0050635D" w:rsidRPr="00A94774" w:rsidRDefault="00B75CB9" w:rsidP="00F561EF">
            <w:pPr>
              <w:pStyle w:val="Els-body-text"/>
              <w:spacing w:before="120" w:after="120" w:line="264" w:lineRule="auto"/>
              <w:jc w:val="right"/>
              <w:rPr>
                <w:lang w:val="en-GB"/>
              </w:rPr>
            </w:pPr>
            <w:r>
              <w:rPr>
                <w:lang w:val="en-GB"/>
              </w:rPr>
              <w:t>(</w:t>
            </w:r>
            <w:r w:rsidR="008E64FB">
              <w:rPr>
                <w:lang w:val="en-GB"/>
              </w:rPr>
              <w:t>10</w:t>
            </w:r>
            <w:r>
              <w:rPr>
                <w:lang w:val="en-GB"/>
              </w:rPr>
              <w:t>)</w:t>
            </w:r>
          </w:p>
        </w:tc>
      </w:tr>
    </w:tbl>
    <w:p w14:paraId="0DA3B82C" w14:textId="2693A2CD" w:rsidR="00274581" w:rsidRPr="00274581" w:rsidRDefault="00274581" w:rsidP="00274581">
      <w:pPr>
        <w:pStyle w:val="Els-body-text"/>
        <w:rPr>
          <w:lang w:val="en-GB"/>
        </w:rPr>
      </w:pPr>
      <w:r w:rsidRPr="00274581">
        <w:rPr>
          <w:lang w:val="en-GB"/>
        </w:rPr>
        <w:t xml:space="preserve">The supersaturation, </w:t>
      </w:r>
      <m:oMath>
        <m:r>
          <w:rPr>
            <w:rFonts w:ascii="Cambria Math" w:hAnsi="Cambria Math"/>
            <w:lang w:val="en-GB"/>
          </w:rPr>
          <m:t>S</m:t>
        </m:r>
      </m:oMath>
      <w:r w:rsidRPr="00274581">
        <w:rPr>
          <w:lang w:val="en-GB"/>
        </w:rPr>
        <w:t>, is defined as:</w:t>
      </w:r>
    </w:p>
    <w:tbl>
      <w:tblPr>
        <w:tblW w:w="7087" w:type="dxa"/>
        <w:tblLook w:val="04A0" w:firstRow="1" w:lastRow="0" w:firstColumn="1" w:lastColumn="0" w:noHBand="0" w:noVBand="1"/>
      </w:tblPr>
      <w:tblGrid>
        <w:gridCol w:w="6121"/>
        <w:gridCol w:w="966"/>
      </w:tblGrid>
      <w:tr w:rsidR="00534664" w:rsidRPr="00A94774" w14:paraId="539DB7B0" w14:textId="77777777" w:rsidTr="00F561EF">
        <w:tc>
          <w:tcPr>
            <w:tcW w:w="6121" w:type="dxa"/>
            <w:shd w:val="clear" w:color="auto" w:fill="auto"/>
            <w:vAlign w:val="center"/>
          </w:tcPr>
          <w:p w14:paraId="318F1165" w14:textId="6FA7D66E" w:rsidR="00534664" w:rsidRPr="00B75CB9" w:rsidRDefault="00B75CB9" w:rsidP="00F561EF">
            <w:pPr>
              <w:pStyle w:val="Textkrper"/>
              <w:rPr>
                <w:sz w:val="20"/>
                <w:szCs w:val="20"/>
              </w:rPr>
            </w:pPr>
            <m:oMath>
              <m:r>
                <w:rPr>
                  <w:rFonts w:ascii="Cambria Math" w:hAnsi="Cambria Math"/>
                  <w:sz w:val="20"/>
                  <w:szCs w:val="20"/>
                </w:rPr>
                <m:t>S</m:t>
              </m:r>
              <m:r>
                <m:rPr>
                  <m:sty m:val="p"/>
                </m:rPr>
                <w:rPr>
                  <w:rFonts w:ascii="Cambria Math" w:hAnsi="Cambria Math"/>
                  <w:sz w:val="20"/>
                  <w:szCs w:val="20"/>
                </w:rPr>
                <m:t>=</m:t>
              </m:r>
              <m:r>
                <w:rPr>
                  <w:rFonts w:ascii="Cambria Math" w:hAnsi="Cambria Math"/>
                  <w:sz w:val="20"/>
                  <w:szCs w:val="20"/>
                </w:rPr>
                <m:t>max</m:t>
              </m:r>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C</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sol</m:t>
                          </m:r>
                        </m:sub>
                      </m:sSub>
                    </m:num>
                    <m:den>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sol</m:t>
                          </m:r>
                        </m:sub>
                      </m:sSub>
                    </m:den>
                  </m:f>
                  <m:r>
                    <m:rPr>
                      <m:sty m:val="p"/>
                    </m:rPr>
                    <w:rPr>
                      <w:rFonts w:ascii="Cambria Math" w:hAnsi="Cambria Math"/>
                      <w:sz w:val="20"/>
                      <w:szCs w:val="20"/>
                    </w:rPr>
                    <m:t>,</m:t>
                  </m:r>
                  <m:r>
                    <w:rPr>
                      <w:rFonts w:ascii="Cambria Math" w:hAnsi="Cambria Math"/>
                      <w:sz w:val="20"/>
                      <w:szCs w:val="20"/>
                    </w:rPr>
                    <m:t>0</m:t>
                  </m:r>
                </m:e>
              </m:d>
            </m:oMath>
            <w:r w:rsidR="007573BF">
              <w:rPr>
                <w:rFonts w:eastAsiaTheme="minorEastAsia"/>
                <w:sz w:val="20"/>
                <w:szCs w:val="20"/>
              </w:rPr>
              <w:t>.</w:t>
            </w:r>
          </w:p>
        </w:tc>
        <w:tc>
          <w:tcPr>
            <w:tcW w:w="966" w:type="dxa"/>
            <w:shd w:val="clear" w:color="auto" w:fill="auto"/>
            <w:vAlign w:val="center"/>
          </w:tcPr>
          <w:p w14:paraId="589B29C1" w14:textId="436DAE80" w:rsidR="00534664" w:rsidRPr="00A94774" w:rsidRDefault="00B75CB9" w:rsidP="00F561EF">
            <w:pPr>
              <w:pStyle w:val="Els-body-text"/>
              <w:spacing w:before="120" w:after="120" w:line="264" w:lineRule="auto"/>
              <w:jc w:val="right"/>
              <w:rPr>
                <w:lang w:val="en-GB"/>
              </w:rPr>
            </w:pPr>
            <w:r>
              <w:rPr>
                <w:lang w:val="en-GB"/>
              </w:rPr>
              <w:t>(1</w:t>
            </w:r>
            <w:r w:rsidR="008E64FB">
              <w:rPr>
                <w:lang w:val="en-GB"/>
              </w:rPr>
              <w:t>1</w:t>
            </w:r>
            <w:r>
              <w:rPr>
                <w:lang w:val="en-GB"/>
              </w:rPr>
              <w:t>)</w:t>
            </w:r>
          </w:p>
        </w:tc>
      </w:tr>
    </w:tbl>
    <w:p w14:paraId="732410C7" w14:textId="27C67A7A" w:rsidR="00534664" w:rsidRDefault="00274581" w:rsidP="008D2649">
      <w:pPr>
        <w:pStyle w:val="Els-body-text"/>
      </w:pPr>
      <w:r w:rsidRPr="00274581">
        <w:rPr>
          <w:lang w:val="en-GB"/>
        </w:rPr>
        <w:t xml:space="preserve">Here, </w:t>
      </w:r>
      <m:oMath>
        <m:r>
          <w:rPr>
            <w:rFonts w:ascii="Cambria Math" w:hAnsi="Cambria Math"/>
            <w:lang w:val="en-GB"/>
          </w:rPr>
          <m:t>C</m:t>
        </m:r>
      </m:oMath>
      <w:r w:rsidRPr="00274581">
        <w:rPr>
          <w:lang w:val="en-GB"/>
        </w:rPr>
        <w:t xml:space="preserve"> is the concentration of the precipitating solute, and </w:t>
      </w:r>
      <m:oMath>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sol</m:t>
            </m:r>
          </m:sub>
        </m:sSub>
      </m:oMath>
      <w:r w:rsidRPr="00274581">
        <w:rPr>
          <w:lang w:val="en-GB"/>
        </w:rPr>
        <w:t xml:space="preserve"> is its concentration at equilibrium</w:t>
      </w:r>
      <w:r w:rsidR="00D369A1">
        <w:rPr>
          <w:lang w:val="en-GB"/>
        </w:rPr>
        <w:t>, which is a function of the system state</w:t>
      </w:r>
      <w:r w:rsidRPr="00274581">
        <w:rPr>
          <w:lang w:val="en-GB"/>
        </w:rPr>
        <w:t>. While the use of the max</w:t>
      </w:r>
      <w:r w:rsidR="00D369A1">
        <w:rPr>
          <w:lang w:val="en-GB"/>
        </w:rPr>
        <w:t>imum</w:t>
      </w:r>
      <w:r w:rsidR="00BB3FA5">
        <w:rPr>
          <w:lang w:val="en-GB"/>
        </w:rPr>
        <w:t>-</w:t>
      </w:r>
      <w:r w:rsidRPr="00274581">
        <w:rPr>
          <w:lang w:val="en-GB"/>
        </w:rPr>
        <w:t xml:space="preserve">function in the definition of supersaturation is important for parameter estimation to avoid negative values, it introduces non-smoothness in the solution of the model. To address this, the </w:t>
      </w:r>
      <w:r w:rsidR="00B75CB9">
        <w:rPr>
          <w:lang w:val="en-GB"/>
        </w:rPr>
        <w:t>function</w:t>
      </w:r>
      <w:r w:rsidRPr="00274581">
        <w:rPr>
          <w:lang w:val="en-GB"/>
        </w:rPr>
        <w:t xml:space="preserve"> is approximated as follows:</w:t>
      </w:r>
    </w:p>
    <w:tbl>
      <w:tblPr>
        <w:tblW w:w="7087" w:type="dxa"/>
        <w:tblLook w:val="04A0" w:firstRow="1" w:lastRow="0" w:firstColumn="1" w:lastColumn="0" w:noHBand="0" w:noVBand="1"/>
      </w:tblPr>
      <w:tblGrid>
        <w:gridCol w:w="6121"/>
        <w:gridCol w:w="966"/>
      </w:tblGrid>
      <w:tr w:rsidR="00B75CB9" w:rsidRPr="00A94774" w14:paraId="0763AB4B" w14:textId="77777777" w:rsidTr="00F561EF">
        <w:tc>
          <w:tcPr>
            <w:tcW w:w="6121" w:type="dxa"/>
            <w:shd w:val="clear" w:color="auto" w:fill="auto"/>
            <w:vAlign w:val="center"/>
          </w:tcPr>
          <w:p w14:paraId="2E8F9F2C" w14:textId="356181D1" w:rsidR="00B75CB9" w:rsidRPr="00B75CB9" w:rsidRDefault="00B75CB9" w:rsidP="00F561EF">
            <w:pPr>
              <w:pStyle w:val="Textkrper"/>
              <w:rPr>
                <w:rFonts w:ascii="Cambria Math" w:hAnsi="Cambria Math"/>
                <w:i/>
                <w:sz w:val="20"/>
                <w:szCs w:val="20"/>
              </w:rPr>
            </w:pPr>
            <m:oMath>
              <m:r>
                <w:rPr>
                  <w:rFonts w:ascii="Cambria Math" w:hAnsi="Cambria Math"/>
                  <w:sz w:val="20"/>
                  <w:szCs w:val="20"/>
                </w:rPr>
                <m:t>max</m:t>
              </m:r>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x+y+</m:t>
                  </m:r>
                  <m:rad>
                    <m:radPr>
                      <m:degHide m:val="1"/>
                      <m:ctrlPr>
                        <w:rPr>
                          <w:rFonts w:ascii="Cambria Math" w:hAnsi="Cambria Math"/>
                          <w:i/>
                          <w:sz w:val="20"/>
                          <w:szCs w:val="20"/>
                        </w:rPr>
                      </m:ctrlPr>
                    </m:radPr>
                    <m:deg/>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x-y</m:t>
                              </m:r>
                            </m:e>
                          </m:d>
                        </m:e>
                        <m:sup>
                          <m:r>
                            <w:rPr>
                              <w:rFonts w:ascii="Cambria Math" w:hAnsi="Cambria Math"/>
                              <w:sz w:val="20"/>
                              <w:szCs w:val="20"/>
                            </w:rPr>
                            <m:t>2</m:t>
                          </m:r>
                        </m:sup>
                      </m:sSup>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k</m:t>
                          </m:r>
                        </m:e>
                        <m:sup>
                          <m:r>
                            <w:rPr>
                              <w:rFonts w:ascii="Cambria Math" w:hAnsi="Cambria Math"/>
                              <w:sz w:val="20"/>
                              <w:szCs w:val="20"/>
                            </w:rPr>
                            <m:t>2</m:t>
                          </m:r>
                        </m:sup>
                      </m:sSup>
                    </m:e>
                  </m:rad>
                </m:num>
                <m:den>
                  <m:r>
                    <w:rPr>
                      <w:rFonts w:ascii="Cambria Math" w:hAnsi="Cambria Math"/>
                      <w:sz w:val="20"/>
                      <w:szCs w:val="20"/>
                    </w:rPr>
                    <m:t>2</m:t>
                  </m:r>
                </m:den>
              </m:f>
            </m:oMath>
            <w:r w:rsidR="007573BF">
              <w:rPr>
                <w:rFonts w:ascii="Cambria Math" w:eastAsiaTheme="minorEastAsia" w:hAnsi="Cambria Math"/>
                <w:i/>
                <w:sz w:val="20"/>
                <w:szCs w:val="20"/>
              </w:rPr>
              <w:t>.</w:t>
            </w:r>
          </w:p>
        </w:tc>
        <w:tc>
          <w:tcPr>
            <w:tcW w:w="966" w:type="dxa"/>
            <w:shd w:val="clear" w:color="auto" w:fill="auto"/>
            <w:vAlign w:val="center"/>
          </w:tcPr>
          <w:p w14:paraId="56DA14FA" w14:textId="61CC37E5" w:rsidR="00B75CB9" w:rsidRPr="00A94774" w:rsidRDefault="00B75CB9" w:rsidP="00F561EF">
            <w:pPr>
              <w:pStyle w:val="Els-body-text"/>
              <w:spacing w:before="120" w:after="120" w:line="264" w:lineRule="auto"/>
              <w:jc w:val="right"/>
              <w:rPr>
                <w:lang w:val="en-GB"/>
              </w:rPr>
            </w:pPr>
            <w:r>
              <w:rPr>
                <w:lang w:val="en-GB"/>
              </w:rPr>
              <w:t>(1</w:t>
            </w:r>
            <w:r w:rsidR="008E64FB">
              <w:rPr>
                <w:lang w:val="en-GB"/>
              </w:rPr>
              <w:t>2</w:t>
            </w:r>
            <w:r>
              <w:rPr>
                <w:lang w:val="en-GB"/>
              </w:rPr>
              <w:t>)</w:t>
            </w:r>
          </w:p>
        </w:tc>
      </w:tr>
    </w:tbl>
    <w:p w14:paraId="0C3C9F67" w14:textId="0289652B" w:rsidR="00B75CB9" w:rsidRDefault="00B75CB9" w:rsidP="00B75CB9">
      <w:pPr>
        <w:pStyle w:val="Els-body-text"/>
      </w:pPr>
      <w:r w:rsidRPr="00B75CB9">
        <w:lastRenderedPageBreak/>
        <w:t xml:space="preserve">In this approximation, </w:t>
      </w:r>
      <m:oMath>
        <m:r>
          <w:rPr>
            <w:rFonts w:ascii="Cambria Math" w:hAnsi="Cambria Math"/>
          </w:rPr>
          <m:t>k</m:t>
        </m:r>
      </m:oMath>
      <w:r w:rsidRPr="00B75CB9">
        <w:t xml:space="preserve"> acts as a smoothing parameter, such that </w:t>
      </w:r>
      <w:r w:rsidR="00E6033F" w:rsidRPr="00B75CB9">
        <w:t>as</w:t>
      </w:r>
      <w:r w:rsidR="00E6033F">
        <w:t xml:space="preserve"> </w:t>
      </w:r>
      <m:oMath>
        <m:r>
          <w:rPr>
            <w:rFonts w:ascii="Cambria Math" w:hAnsi="Cambria Math"/>
          </w:rPr>
          <m:t>k</m:t>
        </m:r>
        <m:r>
          <m:rPr>
            <m:sty m:val="p"/>
          </m:rPr>
          <w:rPr>
            <w:rFonts w:ascii="Cambria Math" w:hAnsi="Cambria Math"/>
          </w:rPr>
          <m:t>→</m:t>
        </m:r>
        <m:r>
          <w:rPr>
            <w:rFonts w:ascii="Cambria Math" w:hAnsi="Cambria Math"/>
          </w:rPr>
          <m:t>0</m:t>
        </m:r>
      </m:oMath>
      <w:r w:rsidRPr="00B75CB9">
        <w:t>, the max</w:t>
      </w:r>
      <w:r w:rsidR="00BB3FA5">
        <w:t>imum-</w:t>
      </w:r>
      <w:r w:rsidRPr="00B75CB9">
        <w:t>function is accurately approximated.</w:t>
      </w:r>
    </w:p>
    <w:p w14:paraId="612CAB57" w14:textId="5E4C3A94" w:rsidR="00A3590D" w:rsidRDefault="00902C08" w:rsidP="00A3590D">
      <w:pPr>
        <w:pStyle w:val="Els-2ndorder-head"/>
      </w:pPr>
      <w:r w:rsidRPr="00DF1283">
        <w:rPr>
          <w:noProof/>
        </w:rPr>
        <w:drawing>
          <wp:anchor distT="0" distB="0" distL="114300" distR="114300" simplePos="0" relativeHeight="251658240" behindDoc="1" locked="0" layoutInCell="1" allowOverlap="1" wp14:anchorId="5143079E" wp14:editId="79B662B9">
            <wp:simplePos x="0" y="0"/>
            <wp:positionH relativeFrom="margin">
              <wp:align>right</wp:align>
            </wp:positionH>
            <wp:positionV relativeFrom="paragraph">
              <wp:posOffset>57745</wp:posOffset>
            </wp:positionV>
            <wp:extent cx="1592580" cy="1674495"/>
            <wp:effectExtent l="0" t="0" r="0" b="1905"/>
            <wp:wrapTight wrapText="bothSides">
              <wp:wrapPolygon edited="0">
                <wp:start x="3876" y="246"/>
                <wp:lineTo x="0" y="1966"/>
                <wp:lineTo x="517" y="10075"/>
                <wp:lineTo x="5943" y="12532"/>
                <wp:lineTo x="1033" y="12532"/>
                <wp:lineTo x="0" y="13024"/>
                <wp:lineTo x="1033" y="20396"/>
                <wp:lineTo x="2842" y="21379"/>
                <wp:lineTo x="21187" y="21379"/>
                <wp:lineTo x="20411" y="13761"/>
                <wp:lineTo x="19895" y="12532"/>
                <wp:lineTo x="13177" y="8601"/>
                <wp:lineTo x="17053" y="8601"/>
                <wp:lineTo x="20928" y="6635"/>
                <wp:lineTo x="20928" y="3932"/>
                <wp:lineTo x="19636" y="2457"/>
                <wp:lineTo x="16536" y="246"/>
                <wp:lineTo x="3876" y="246"/>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ocuments\SIMPLI-DEMO\COB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92580" cy="167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590D" w:rsidRPr="00BC4E81">
        <w:rPr>
          <w:lang w:val="en-GB"/>
        </w:rPr>
        <w:t>Continuous Oscillatory Baffled Reactor</w:t>
      </w:r>
      <w:r w:rsidR="00A3590D">
        <w:rPr>
          <w:lang w:val="en-GB"/>
        </w:rPr>
        <w:t xml:space="preserve"> Model</w:t>
      </w:r>
    </w:p>
    <w:p w14:paraId="532F85CB" w14:textId="61B2C1D8" w:rsidR="00A3590D" w:rsidRPr="00DE265C" w:rsidRDefault="00902C08" w:rsidP="00DE265C">
      <w:pPr>
        <w:jc w:val="both"/>
      </w:pPr>
      <w:r>
        <w:rPr>
          <w:noProof/>
          <w:lang w:val="en-US"/>
        </w:rPr>
        <mc:AlternateContent>
          <mc:Choice Requires="wps">
            <w:drawing>
              <wp:anchor distT="0" distB="0" distL="114300" distR="114300" simplePos="0" relativeHeight="251659264" behindDoc="0" locked="0" layoutInCell="1" allowOverlap="1" wp14:anchorId="62D0D04E" wp14:editId="48CF4717">
                <wp:simplePos x="0" y="0"/>
                <wp:positionH relativeFrom="margin">
                  <wp:align>right</wp:align>
                </wp:positionH>
                <wp:positionV relativeFrom="paragraph">
                  <wp:posOffset>1503045</wp:posOffset>
                </wp:positionV>
                <wp:extent cx="1468755" cy="34861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1468755" cy="348615"/>
                        </a:xfrm>
                        <a:prstGeom prst="rect">
                          <a:avLst/>
                        </a:prstGeom>
                        <a:solidFill>
                          <a:prstClr val="white"/>
                        </a:solidFill>
                        <a:ln>
                          <a:noFill/>
                        </a:ln>
                      </wps:spPr>
                      <wps:txbx>
                        <w:txbxContent>
                          <w:p w14:paraId="4868FA30" w14:textId="21C3748E" w:rsidR="00FB200F" w:rsidRPr="007C40DA" w:rsidRDefault="00FB200F" w:rsidP="00DE265C">
                            <w:pPr>
                              <w:pStyle w:val="Beschriftung"/>
                              <w:rPr>
                                <w:i/>
                                <w:noProof/>
                                <w:sz w:val="20"/>
                              </w:rPr>
                            </w:pPr>
                            <w:r>
                              <w:t xml:space="preserve">Figure </w:t>
                            </w:r>
                            <w:r>
                              <w:fldChar w:fldCharType="begin"/>
                            </w:r>
                            <w:r>
                              <w:instrText xml:space="preserve"> SEQ Figure \* ARABIC </w:instrText>
                            </w:r>
                            <w:r>
                              <w:fldChar w:fldCharType="separate"/>
                            </w:r>
                            <w:r>
                              <w:rPr>
                                <w:noProof/>
                              </w:rPr>
                              <w:t>1</w:t>
                            </w:r>
                            <w:r>
                              <w:fldChar w:fldCharType="end"/>
                            </w:r>
                            <w:r>
                              <w:t>: COBR with acid side injections.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0D04E" id="_x0000_t202" coordsize="21600,21600" o:spt="202" path="m,l,21600r21600,l21600,xe">
                <v:stroke joinstyle="miter"/>
                <v:path gradientshapeok="t" o:connecttype="rect"/>
              </v:shapetype>
              <v:shape id="Textfeld 7" o:spid="_x0000_s1026" type="#_x0000_t202" style="position:absolute;left:0;text-align:left;margin-left:64.45pt;margin-top:118.35pt;width:115.65pt;height:2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" stroked="f">
                <v:textbox inset="0,0,0,0">
                  <w:txbxContent>
                    <w:p w14:paraId="4868FA30" w14:textId="21C3748E" w:rsidR="00FB200F" w:rsidRPr="007C40DA" w:rsidRDefault="00FB200F" w:rsidP="00DE265C">
                      <w:pPr>
                        <w:pStyle w:val="Beschriftung"/>
                        <w:rPr>
                          <w:i/>
                          <w:noProof/>
                          <w:sz w:val="20"/>
                        </w:rPr>
                      </w:pPr>
                      <w:r>
                        <w:t xml:space="preserve">Figure </w:t>
                      </w:r>
                      <w:r>
                        <w:fldChar w:fldCharType="begin"/>
                      </w:r>
                      <w:r>
                        <w:instrText xml:space="preserve"> SEQ Figure \* ARABIC </w:instrText>
                      </w:r>
                      <w:r>
                        <w:fldChar w:fldCharType="separate"/>
                      </w:r>
                      <w:r>
                        <w:rPr>
                          <w:noProof/>
                        </w:rPr>
                        <w:t>1</w:t>
                      </w:r>
                      <w:r>
                        <w:fldChar w:fldCharType="end"/>
                      </w:r>
                      <w:r>
                        <w:t>: COBR with acid side injections.</w:t>
                      </w:r>
                    </w:p>
                  </w:txbxContent>
                </v:textbox>
                <w10:wrap type="square" anchorx="margin"/>
              </v:shape>
            </w:pict>
          </mc:Fallback>
        </mc:AlternateContent>
      </w:r>
      <w:r w:rsidR="00E5152B">
        <w:t>I</w:t>
      </w:r>
      <w:r w:rsidR="00A3590D">
        <w:t xml:space="preserve">n </w:t>
      </w:r>
      <w:r w:rsidR="00A3590D">
        <w:t>modeling</w:t>
      </w:r>
      <w:r w:rsidR="00A3590D">
        <w:t xml:space="preserve"> </w:t>
      </w:r>
      <w:r w:rsidR="003B48AE">
        <w:t xml:space="preserve">precipitation </w:t>
      </w:r>
      <w:r w:rsidR="00A3590D">
        <w:t>within a COBR,</w:t>
      </w:r>
      <w:r w:rsidR="003731F4">
        <w:t xml:space="preserve"> </w:t>
      </w:r>
      <w:r w:rsidR="00A3590D">
        <w:t>a plug flow reactor model</w:t>
      </w:r>
      <w:r w:rsidR="003731F4">
        <w:t xml:space="preserve"> is assumed</w:t>
      </w:r>
      <w:r w:rsidR="00A3590D">
        <w:t>, based on the</w:t>
      </w:r>
      <w:r w:rsidR="00647496">
        <w:t xml:space="preserve"> </w:t>
      </w:r>
      <w:r w:rsidR="00A3590D">
        <w:t>COBR'</w:t>
      </w:r>
      <w:r w:rsidR="00647496">
        <w:t>s</w:t>
      </w:r>
      <w:r w:rsidR="00A3590D">
        <w:t xml:space="preserve"> effective mixing characteristics</w:t>
      </w:r>
      <w:r w:rsidR="00B42AD3">
        <w:t xml:space="preserve"> </w:t>
      </w:r>
      <w:r w:rsidR="007B00CF" w:rsidRPr="00DE265C">
        <w:t>(</w:t>
      </w:r>
      <w:r w:rsidR="007B00CF" w:rsidRPr="00DE265C">
        <w:rPr>
          <w:lang w:val="en-US"/>
        </w:rPr>
        <w:t>Stonestreet</w:t>
      </w:r>
      <w:r w:rsidR="003B3DFF" w:rsidRPr="00DE265C">
        <w:rPr>
          <w:lang w:val="en-US"/>
        </w:rPr>
        <w:t xml:space="preserve"> and</w:t>
      </w:r>
      <w:r w:rsidR="007B00CF" w:rsidRPr="00DE265C">
        <w:rPr>
          <w:lang w:val="en-US"/>
        </w:rPr>
        <w:t xml:space="preserve"> Van Der Veeken</w:t>
      </w:r>
      <w:r w:rsidR="007621BA" w:rsidRPr="00DE265C">
        <w:rPr>
          <w:lang w:val="en-US"/>
        </w:rPr>
        <w:t>,</w:t>
      </w:r>
      <w:r w:rsidR="007B00CF" w:rsidRPr="00DE265C">
        <w:rPr>
          <w:lang w:val="en-US"/>
        </w:rPr>
        <w:t xml:space="preserve"> 1999</w:t>
      </w:r>
      <w:r w:rsidR="007B00CF" w:rsidRPr="00DE265C">
        <w:t>)</w:t>
      </w:r>
      <w:r w:rsidR="00647496">
        <w:t xml:space="preserve">, which lead to the assumption of </w:t>
      </w:r>
      <w:r w:rsidR="00F04D08">
        <w:t>negligible backmixing</w:t>
      </w:r>
      <w:r w:rsidR="00A3590D" w:rsidRPr="00DE265C">
        <w:t xml:space="preserve">. </w:t>
      </w:r>
      <w:r w:rsidR="00A3590D">
        <w:t xml:space="preserve">The model is discretized using a backward difference scheme, effectively transforming it into a </w:t>
      </w:r>
      <w:r w:rsidR="007573BF">
        <w:t xml:space="preserve">sequence </w:t>
      </w:r>
      <w:r w:rsidR="00A3590D">
        <w:t>of small; in-series connected continuously stirred tank reactors</w:t>
      </w:r>
      <w:r w:rsidR="00A3590D" w:rsidRPr="00094A40">
        <w:t>.</w:t>
      </w:r>
      <w:r w:rsidR="009037F7">
        <w:t xml:space="preserve"> Side-injection</w:t>
      </w:r>
      <w:r w:rsidR="00D6061A">
        <w:t>s</w:t>
      </w:r>
      <w:r w:rsidR="009037F7">
        <w:t xml:space="preserve"> </w:t>
      </w:r>
      <w:r w:rsidR="00A3590D">
        <w:t>are modelled as feed streams</w:t>
      </w:r>
      <w:r w:rsidR="00A3590D" w:rsidRPr="0029178B">
        <w:t xml:space="preserve"> </w:t>
      </w:r>
      <w:r w:rsidR="00A3590D">
        <w:t>into</w:t>
      </w:r>
      <w:r w:rsidR="00A3590D" w:rsidRPr="0029178B">
        <w:t xml:space="preserve"> </w:t>
      </w:r>
      <w:r w:rsidR="00A3590D">
        <w:t xml:space="preserve">single </w:t>
      </w:r>
      <w:r w:rsidR="00A3590D" w:rsidRPr="0029178B">
        <w:t>reactor element</w:t>
      </w:r>
      <w:r w:rsidR="00A3590D">
        <w:t>s.</w:t>
      </w:r>
      <w:r w:rsidR="00DF1283" w:rsidRPr="00DF1283">
        <w:rPr>
          <w:noProof/>
        </w:rPr>
        <w:t xml:space="preserve"> </w:t>
      </w:r>
      <w:r w:rsidR="00DA68A0">
        <w:rPr>
          <w:noProof/>
        </w:rPr>
        <w:t>A schematic vi</w:t>
      </w:r>
      <w:r w:rsidR="00D6061A">
        <w:rPr>
          <w:noProof/>
        </w:rPr>
        <w:t>e</w:t>
      </w:r>
      <w:r w:rsidR="00DA68A0">
        <w:rPr>
          <w:noProof/>
        </w:rPr>
        <w:t>w of the modelled COBR is depicted in Figure 1</w:t>
      </w:r>
      <w:r w:rsidR="00D6061A">
        <w:rPr>
          <w:noProof/>
        </w:rPr>
        <w:t>.</w:t>
      </w:r>
    </w:p>
    <w:p w14:paraId="710609C3" w14:textId="2E27A4F4" w:rsidR="00391AAC" w:rsidRDefault="00391AAC" w:rsidP="00391AAC">
      <w:pPr>
        <w:pStyle w:val="Els-1storder-head"/>
      </w:pPr>
      <w:r>
        <w:t>Case Study</w:t>
      </w:r>
    </w:p>
    <w:p w14:paraId="4DA8CEFE" w14:textId="68496783" w:rsidR="00C1117B" w:rsidRPr="00C1117B" w:rsidRDefault="00870F7D" w:rsidP="00C1117B">
      <w:pPr>
        <w:pStyle w:val="Els-body-text"/>
        <w:spacing w:after="120"/>
        <w:rPr>
          <w:lang w:val="en-GB"/>
        </w:rPr>
      </w:pPr>
      <w:r>
        <w:rPr>
          <w:lang w:val="en-GB"/>
        </w:rPr>
        <w:t>The</w:t>
      </w:r>
      <w:r w:rsidR="00574314" w:rsidRPr="00574314">
        <w:rPr>
          <w:lang w:val="en-GB"/>
        </w:rPr>
        <w:t xml:space="preserve"> case study explores the industrial crystallization of an aromatic amine. Initially, the amine is dissolved in a basic solution. The addition of acid neutralizes this solution, leading to the protonation of the amine, which then precipitates due to its low solubility in its protonated form. The primary objective is to enhance manufacturing efficiency by shifting from batch processing to continuous production methods. This change aims to achieve greater space efficiency, environmental sustainability, and cost reduction. A crucial part of this study is the optimization of the crystallization process. Key factors influencing this include the acid addition, which causes solution supersaturation, and the control of process variables like temperature. </w:t>
      </w:r>
    </w:p>
    <w:p w14:paraId="65EC12C8" w14:textId="547E95BE" w:rsidR="00140973" w:rsidRDefault="00605521" w:rsidP="00C1117B">
      <w:pPr>
        <w:pStyle w:val="Els-body-text"/>
        <w:spacing w:after="120"/>
        <w:rPr>
          <w:lang w:val="en-GB"/>
        </w:rPr>
      </w:pPr>
      <w:r w:rsidRPr="00605521">
        <w:rPr>
          <w:lang w:val="en-GB"/>
        </w:rPr>
        <w:t xml:space="preserve">For simplification, </w:t>
      </w:r>
      <w:r w:rsidR="005D4704">
        <w:rPr>
          <w:lang w:val="en-GB"/>
        </w:rPr>
        <w:t xml:space="preserve">it is assumed </w:t>
      </w:r>
      <w:r w:rsidRPr="00605521">
        <w:rPr>
          <w:lang w:val="en-GB"/>
        </w:rPr>
        <w:t xml:space="preserve">that strong acids and bases fully dissociate and salts completely dissolve in </w:t>
      </w:r>
      <w:r w:rsidR="005D4704">
        <w:rPr>
          <w:lang w:val="en-GB"/>
        </w:rPr>
        <w:t xml:space="preserve">the </w:t>
      </w:r>
      <w:r w:rsidRPr="00605521">
        <w:rPr>
          <w:lang w:val="en-GB"/>
        </w:rPr>
        <w:t>solution, predominantly forming ionic species. Thus, adding hydrochloric acid is treated as directly producing hydronium and chloride ions, enabling the disregard of equilibrium equations for these reactions.</w:t>
      </w:r>
      <w:r w:rsidR="00067960">
        <w:rPr>
          <w:lang w:val="en-GB"/>
        </w:rPr>
        <w:t xml:space="preserve"> Additionally</w:t>
      </w:r>
      <w:r w:rsidR="00417EB8">
        <w:rPr>
          <w:lang w:val="en-GB"/>
        </w:rPr>
        <w:t>,</w:t>
      </w:r>
      <w:r w:rsidR="00275ADB">
        <w:rPr>
          <w:lang w:val="en-GB"/>
        </w:rPr>
        <w:t xml:space="preserve"> due to current unavailability of thermodynamic data, the activities of the components are assumed to be represented by the</w:t>
      </w:r>
      <w:r w:rsidR="00515118">
        <w:rPr>
          <w:lang w:val="en-GB"/>
        </w:rPr>
        <w:t>ir</w:t>
      </w:r>
      <w:r w:rsidR="00275ADB">
        <w:rPr>
          <w:lang w:val="en-GB"/>
        </w:rPr>
        <w:t xml:space="preserve"> concentrations</w:t>
      </w:r>
      <w:r w:rsidR="005D4704">
        <w:rPr>
          <w:lang w:val="en-GB"/>
        </w:rPr>
        <w:t>.</w:t>
      </w:r>
      <w:r w:rsidR="007815DD">
        <w:rPr>
          <w:lang w:val="en-GB"/>
        </w:rPr>
        <w:t xml:space="preserve"> </w:t>
      </w:r>
      <w:r w:rsidR="005D4704">
        <w:rPr>
          <w:lang w:val="en-GB"/>
        </w:rPr>
        <w:t>T</w:t>
      </w:r>
      <w:r w:rsidR="00417EB8">
        <w:rPr>
          <w:lang w:val="en-GB"/>
        </w:rPr>
        <w:t>he equilibrium constant of the acid</w:t>
      </w:r>
      <w:r w:rsidR="00467535">
        <w:rPr>
          <w:lang w:val="en-GB"/>
        </w:rPr>
        <w:t>ic and basic components of the system</w:t>
      </w:r>
      <w:r w:rsidR="00417EB8">
        <w:rPr>
          <w:lang w:val="en-GB"/>
        </w:rPr>
        <w:t xml:space="preserve"> are derived from known pKa </w:t>
      </w:r>
      <w:r w:rsidR="00467535">
        <w:rPr>
          <w:lang w:val="en-GB"/>
        </w:rPr>
        <w:t>and pKb values.</w:t>
      </w:r>
    </w:p>
    <w:p w14:paraId="29E2EFBB" w14:textId="756D9FD9" w:rsidR="009F45D6" w:rsidRPr="007A73F0" w:rsidRDefault="00986E09" w:rsidP="00C1117B">
      <w:pPr>
        <w:pStyle w:val="Els-body-text"/>
        <w:spacing w:after="120"/>
        <w:rPr>
          <w:lang w:val="en-GB"/>
        </w:rPr>
      </w:pPr>
      <w:r>
        <w:rPr>
          <w:lang w:val="en-GB"/>
        </w:rPr>
        <w:t>The model is</w:t>
      </w:r>
      <w:r w:rsidR="009F45D6" w:rsidRPr="001F438B">
        <w:t xml:space="preserve"> implemented in the open-source Python li</w:t>
      </w:r>
      <w:r w:rsidR="009F45D6">
        <w:t xml:space="preserve">brary </w:t>
      </w:r>
      <w:r w:rsidR="009F45D6" w:rsidRPr="007815DD">
        <w:rPr>
          <w:i/>
        </w:rPr>
        <w:t>Pyomo</w:t>
      </w:r>
      <w:r w:rsidR="009F45D6">
        <w:t xml:space="preserve">, </w:t>
      </w:r>
      <w:r w:rsidR="009F45D6" w:rsidRPr="001F438B">
        <w:t xml:space="preserve">utilizing its modules, </w:t>
      </w:r>
      <w:r w:rsidR="009F45D6" w:rsidRPr="007815DD">
        <w:rPr>
          <w:i/>
        </w:rPr>
        <w:t>pyomo.dae</w:t>
      </w:r>
      <w:r w:rsidR="009F45D6" w:rsidRPr="00DE265C">
        <w:t xml:space="preserve"> (</w:t>
      </w:r>
      <w:r w:rsidR="009F45D6" w:rsidRPr="00DE265C">
        <w:rPr>
          <w:noProof/>
        </w:rPr>
        <w:t>Nicholson et. al, 2018</w:t>
      </w:r>
      <w:r w:rsidR="009F45D6" w:rsidRPr="00DE265C">
        <w:t>) and</w:t>
      </w:r>
      <w:r w:rsidR="009F45D6" w:rsidRPr="001F438B">
        <w:t xml:space="preserve"> </w:t>
      </w:r>
      <w:r w:rsidR="009F45D6" w:rsidRPr="007815DD">
        <w:rPr>
          <w:i/>
        </w:rPr>
        <w:t>pyomo.paramest</w:t>
      </w:r>
      <w:r w:rsidR="009F45D6">
        <w:t xml:space="preserve"> (</w:t>
      </w:r>
      <w:r w:rsidR="009F45D6" w:rsidRPr="00DE265C">
        <w:rPr>
          <w:noProof/>
        </w:rPr>
        <w:t>Klise et. al, 2019</w:t>
      </w:r>
      <w:r w:rsidR="009F45D6">
        <w:t>)</w:t>
      </w:r>
      <w:r>
        <w:t>.</w:t>
      </w:r>
    </w:p>
    <w:p w14:paraId="579ADBF0" w14:textId="11E54EE4" w:rsidR="00D76A1B" w:rsidRDefault="00400843" w:rsidP="00E169BD">
      <w:pPr>
        <w:jc w:val="both"/>
      </w:pPr>
      <w:r>
        <w:t>Parameter estimation for the model is conducted using data from isothermal semi-batch experiments where hydrochloric acid is continuously added to the process solution. A solubility function specific to the neutralized form of the amine is used to calculate the supersaturation. The model is discretized using orthogonal collocation</w:t>
      </w:r>
      <w:r w:rsidR="007815DD">
        <w:t xml:space="preserve"> on finite elements</w:t>
      </w:r>
      <w:r>
        <w:t xml:space="preserve">. The parameter estimation problem is structured using a </w:t>
      </w:r>
      <w:r w:rsidR="00B77FF9">
        <w:t>least squares</w:t>
      </w:r>
      <w:r>
        <w:t xml:space="preserve"> objective function, aiming to minimize the difference between the model's predicted and the experimentally measured time-dependent concentration of the amine in </w:t>
      </w:r>
      <w:r w:rsidR="005D4704">
        <w:t xml:space="preserve">the </w:t>
      </w:r>
      <w:r>
        <w:t>solution. The parameters to be determined include the equilibrium constant for the amine's protona</w:t>
      </w:r>
      <w:r w:rsidR="00783D46">
        <w:t>tion and the parameters that</w:t>
      </w:r>
      <w:r>
        <w:t xml:space="preserve"> describe the crystallization kinetics, as indicated in Eq. 1</w:t>
      </w:r>
      <w:r w:rsidR="002A0DA1">
        <w:t>0</w:t>
      </w:r>
      <w:r w:rsidR="00EB33F0">
        <w:t>.</w:t>
      </w:r>
      <w:r w:rsidR="00BF2BAC">
        <w:t xml:space="preserve"> </w:t>
      </w:r>
      <w:r w:rsidR="00854A83" w:rsidRPr="00854A83">
        <w:t>Given the highly non-linear nature of the optimization problem and the lack of a solver with global guarantees, the parameters are initially set to random values within a predefined range, and the optimization process i</w:t>
      </w:r>
      <w:r w:rsidR="00144D72">
        <w:t>s repeated 5000 times to ensure a good fit.</w:t>
      </w:r>
    </w:p>
    <w:p w14:paraId="2FB7D087" w14:textId="67B3FF14" w:rsidR="009E308A" w:rsidRDefault="009E308A" w:rsidP="009E308A">
      <w:pPr>
        <w:pStyle w:val="Els-1storder-head"/>
      </w:pPr>
      <w:r>
        <w:lastRenderedPageBreak/>
        <w:t>Results</w:t>
      </w:r>
    </w:p>
    <w:p w14:paraId="4CFEA82C" w14:textId="48F09A27" w:rsidR="00BE726D" w:rsidRDefault="00BE726D" w:rsidP="00BE726D">
      <w:pPr>
        <w:pStyle w:val="Els-2ndorder-head"/>
        <w:rPr>
          <w:lang w:val="en-GB"/>
        </w:rPr>
      </w:pPr>
      <w:r>
        <w:rPr>
          <w:lang w:val="en-GB"/>
        </w:rPr>
        <w:t>Parameter</w:t>
      </w:r>
      <w:r w:rsidR="003809EB">
        <w:rPr>
          <w:lang w:val="en-GB"/>
        </w:rPr>
        <w:t xml:space="preserve"> Estimation</w:t>
      </w:r>
    </w:p>
    <w:p w14:paraId="22C67CBB" w14:textId="7D1BC5BA" w:rsidR="003D32E8" w:rsidRDefault="00927031" w:rsidP="00494AE1">
      <w:pPr>
        <w:pStyle w:val="Els-body-text"/>
        <w:keepNext/>
        <w:rPr>
          <w:noProof/>
        </w:rPr>
      </w:pPr>
      <w:r w:rsidRPr="00927031">
        <w:t xml:space="preserve">The parameter estimation process results in a model that closely matches the experimental data, with an average relative error of 8%. Figure </w:t>
      </w:r>
      <w:r w:rsidR="00DA68A0">
        <w:t>2</w:t>
      </w:r>
      <w:r w:rsidRPr="00927031">
        <w:t xml:space="preserve"> shows </w:t>
      </w:r>
      <w:r w:rsidR="00AB0373">
        <w:t xml:space="preserve">the normalized results for </w:t>
      </w:r>
      <w:r w:rsidRPr="00927031">
        <w:t>one of the ten experiments conducted. The lower section of the figure illustrates the concentration of free protons, highlighting the</w:t>
      </w:r>
      <w:r w:rsidR="005D6317">
        <w:t xml:space="preserve"> pH change during</w:t>
      </w:r>
      <w:r w:rsidR="00073C69">
        <w:t xml:space="preserve"> the acidification and</w:t>
      </w:r>
      <w:r w:rsidR="005D6317">
        <w:t xml:space="preserve"> precipitation</w:t>
      </w:r>
      <w:r w:rsidR="00E72F0E">
        <w:t>.</w:t>
      </w:r>
      <w:r w:rsidR="00E72F0E" w:rsidRPr="00E72F0E">
        <w:rPr>
          <w:noProof/>
        </w:rPr>
        <w:t xml:space="preserve"> </w:t>
      </w:r>
    </w:p>
    <w:p w14:paraId="41499734" w14:textId="77777777" w:rsidR="00494AE1" w:rsidRDefault="00494AE1" w:rsidP="00494AE1">
      <w:pPr>
        <w:pStyle w:val="Els-body-text"/>
        <w:keepNext/>
        <w:rPr>
          <w:noProof/>
        </w:rPr>
      </w:pPr>
    </w:p>
    <w:p w14:paraId="7D6A8EB1" w14:textId="77777777" w:rsidR="00E66FFD" w:rsidRDefault="00E66FFD" w:rsidP="005A39F9">
      <w:pPr>
        <w:pStyle w:val="Els-body-text"/>
        <w:keepNext/>
        <w:jc w:val="center"/>
      </w:pPr>
      <w:r w:rsidRPr="00E66FFD">
        <w:rPr>
          <w:noProof/>
        </w:rPr>
        <w:drawing>
          <wp:inline distT="0" distB="0" distL="0" distR="0" wp14:anchorId="2B690412" wp14:editId="396B49F5">
            <wp:extent cx="3430322" cy="1808347"/>
            <wp:effectExtent l="0" t="0" r="0" b="1905"/>
            <wp:docPr id="1" name="Grafik 1" descr="Z:\Documents\Github\Amine_Crystalizer_GEHC\plots\combined_pl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Github\Amine_Crystalizer_GEHC\plots\combined_plo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2887" cy="1983664"/>
                    </a:xfrm>
                    <a:prstGeom prst="rect">
                      <a:avLst/>
                    </a:prstGeom>
                    <a:noFill/>
                    <a:ln>
                      <a:noFill/>
                    </a:ln>
                  </pic:spPr>
                </pic:pic>
              </a:graphicData>
            </a:graphic>
          </wp:inline>
        </w:drawing>
      </w:r>
    </w:p>
    <w:p w14:paraId="51B99177" w14:textId="624B3557" w:rsidR="00597627" w:rsidRDefault="00E66FFD" w:rsidP="00DE265C">
      <w:pPr>
        <w:pStyle w:val="Beschriftung"/>
        <w:jc w:val="center"/>
      </w:pPr>
      <w:r>
        <w:t xml:space="preserve">Figure </w:t>
      </w:r>
      <w:r>
        <w:fldChar w:fldCharType="begin"/>
      </w:r>
      <w:r>
        <w:instrText xml:space="preserve"> SEQ Figure \* ARABIC </w:instrText>
      </w:r>
      <w:r>
        <w:fldChar w:fldCharType="separate"/>
      </w:r>
      <w:r w:rsidR="00FC2A18">
        <w:rPr>
          <w:noProof/>
        </w:rPr>
        <w:t>2</w:t>
      </w:r>
      <w:r>
        <w:fldChar w:fldCharType="end"/>
      </w:r>
      <w:r>
        <w:t>:</w:t>
      </w:r>
      <w:r w:rsidRPr="00E66FFD">
        <w:t xml:space="preserve"> </w:t>
      </w:r>
      <w:r w:rsidRPr="00597627">
        <w:t>Relative Concentration profiles of the aromatic amine in the process solution (top) and the free proton</w:t>
      </w:r>
      <w:r w:rsidR="00AB0373">
        <w:t>s</w:t>
      </w:r>
      <w:r w:rsidRPr="00597627">
        <w:t xml:space="preserve"> (bottom).</w:t>
      </w:r>
    </w:p>
    <w:p w14:paraId="00E3BAE4" w14:textId="1A8D95D4" w:rsidR="009E17C1" w:rsidRPr="00BB12A2" w:rsidRDefault="009E3E71" w:rsidP="00E169BD">
      <w:pPr>
        <w:pStyle w:val="Els-caption"/>
        <w:jc w:val="both"/>
        <w:rPr>
          <w:sz w:val="20"/>
        </w:rPr>
      </w:pPr>
      <w:r w:rsidRPr="009E3E71">
        <w:rPr>
          <w:sz w:val="20"/>
        </w:rPr>
        <w:t>While the model effectively captures the overall trend of the measurements, it deviates towards the end of the trajectory, predicting lower amine concentrations than observed. This discrepancy could be attributed to a potential inaccuracy in the solubility function, which may estimate a lower solubility than what act</w:t>
      </w:r>
      <w:r>
        <w:rPr>
          <w:sz w:val="20"/>
        </w:rPr>
        <w:t>ually occurs in the experiments</w:t>
      </w:r>
      <w:r w:rsidR="00927031">
        <w:rPr>
          <w:sz w:val="20"/>
        </w:rPr>
        <w:t>.</w:t>
      </w:r>
    </w:p>
    <w:p w14:paraId="33421496" w14:textId="147C3CF3" w:rsidR="00B77EBB" w:rsidRDefault="00BE527D" w:rsidP="00F561EF">
      <w:pPr>
        <w:pStyle w:val="Els-2ndorder-head"/>
        <w:jc w:val="left"/>
        <w:rPr>
          <w:lang w:val="en-GB"/>
        </w:rPr>
      </w:pPr>
      <w:r w:rsidRPr="00BC4E81">
        <w:rPr>
          <w:lang w:val="en-GB"/>
        </w:rPr>
        <w:t>Continuous Oscillatory Baffled Reactor</w:t>
      </w:r>
      <w:r>
        <w:rPr>
          <w:lang w:val="en-GB"/>
        </w:rPr>
        <w:t xml:space="preserve"> Simulation</w:t>
      </w:r>
    </w:p>
    <w:p w14:paraId="4A52D257" w14:textId="1819B590" w:rsidR="00EE7488" w:rsidRDefault="003542E8" w:rsidP="00EE7488">
      <w:pPr>
        <w:pStyle w:val="Els-body-text"/>
        <w:rPr>
          <w:lang w:val="en-GB"/>
        </w:rPr>
      </w:pPr>
      <w:r w:rsidRPr="003542E8">
        <w:rPr>
          <w:lang w:val="en-GB"/>
        </w:rPr>
        <w:t xml:space="preserve">In the </w:t>
      </w:r>
      <w:r>
        <w:rPr>
          <w:lang w:val="en-GB"/>
        </w:rPr>
        <w:t>COBR</w:t>
      </w:r>
      <w:r w:rsidRPr="003542E8">
        <w:rPr>
          <w:lang w:val="en-GB"/>
        </w:rPr>
        <w:t xml:space="preserve"> simulation,</w:t>
      </w:r>
      <w:r w:rsidR="007C26E6">
        <w:rPr>
          <w:lang w:val="en-GB"/>
        </w:rPr>
        <w:t xml:space="preserve"> </w:t>
      </w:r>
      <w:r w:rsidR="00CA186B">
        <w:rPr>
          <w:lang w:val="en-GB"/>
        </w:rPr>
        <w:t>six</w:t>
      </w:r>
      <w:r w:rsidR="00CA186B" w:rsidRPr="003542E8">
        <w:rPr>
          <w:lang w:val="en-GB"/>
        </w:rPr>
        <w:t xml:space="preserve"> </w:t>
      </w:r>
      <w:r w:rsidRPr="003542E8">
        <w:rPr>
          <w:lang w:val="en-GB"/>
        </w:rPr>
        <w:t xml:space="preserve">hydrochloric acid </w:t>
      </w:r>
      <w:r w:rsidR="003858FE">
        <w:rPr>
          <w:lang w:val="en-GB"/>
        </w:rPr>
        <w:t>addition</w:t>
      </w:r>
      <w:r w:rsidRPr="003542E8">
        <w:rPr>
          <w:lang w:val="en-GB"/>
        </w:rPr>
        <w:t xml:space="preserve"> flows </w:t>
      </w:r>
      <w:r w:rsidR="007C26E6">
        <w:rPr>
          <w:lang w:val="en-GB"/>
        </w:rPr>
        <w:t xml:space="preserve">are chosen </w:t>
      </w:r>
      <w:r w:rsidRPr="003542E8">
        <w:rPr>
          <w:lang w:val="en-GB"/>
        </w:rPr>
        <w:t xml:space="preserve">to maintain consistent supersaturation and ensure complete conversion of the aromatic amine. The </w:t>
      </w:r>
      <w:r w:rsidR="007C26E6">
        <w:rPr>
          <w:lang w:val="en-GB"/>
        </w:rPr>
        <w:t>simulation results</w:t>
      </w:r>
      <w:r w:rsidR="00EF086A">
        <w:rPr>
          <w:lang w:val="en-GB"/>
        </w:rPr>
        <w:t xml:space="preserve"> </w:t>
      </w:r>
      <w:r w:rsidRPr="003542E8">
        <w:rPr>
          <w:lang w:val="en-GB"/>
        </w:rPr>
        <w:t xml:space="preserve">are illustrated in Figure </w:t>
      </w:r>
      <w:r w:rsidR="008E64FB">
        <w:rPr>
          <w:lang w:val="en-GB"/>
        </w:rPr>
        <w:t>3</w:t>
      </w:r>
      <w:r w:rsidRPr="003542E8">
        <w:rPr>
          <w:lang w:val="en-GB"/>
        </w:rPr>
        <w:t xml:space="preserve">. This figure is generated from a simulation where the COBR operates until it reaches a steady state, </w:t>
      </w:r>
      <w:r w:rsidR="00AB0373">
        <w:rPr>
          <w:lang w:val="en-GB"/>
        </w:rPr>
        <w:t>where</w:t>
      </w:r>
      <w:r w:rsidR="00AB0373" w:rsidRPr="003542E8">
        <w:rPr>
          <w:lang w:val="en-GB"/>
        </w:rPr>
        <w:t xml:space="preserve"> </w:t>
      </w:r>
      <w:r w:rsidRPr="003542E8">
        <w:rPr>
          <w:lang w:val="en-GB"/>
        </w:rPr>
        <w:t xml:space="preserve">most of the aromatic amine </w:t>
      </w:r>
      <w:r w:rsidR="00AB0373">
        <w:rPr>
          <w:lang w:val="en-GB"/>
        </w:rPr>
        <w:t xml:space="preserve">is </w:t>
      </w:r>
      <w:r w:rsidRPr="003542E8">
        <w:rPr>
          <w:lang w:val="en-GB"/>
        </w:rPr>
        <w:t>precipitated from the solution.</w:t>
      </w:r>
    </w:p>
    <w:p w14:paraId="5A18183D" w14:textId="3F13E9CD" w:rsidR="00C66EF1" w:rsidRPr="001C4ED7" w:rsidRDefault="00C66EF1" w:rsidP="001C4ED7">
      <w:pPr>
        <w:pStyle w:val="Els-caption"/>
        <w:jc w:val="both"/>
        <w:rPr>
          <w:sz w:val="20"/>
          <w:lang w:val="en-GB"/>
        </w:rPr>
      </w:pPr>
      <w:r w:rsidRPr="00F62C9E">
        <w:rPr>
          <w:sz w:val="20"/>
          <w:lang w:val="en-GB"/>
        </w:rPr>
        <w:t xml:space="preserve">The profile for adding hydrochloric acid is designed to initially introduce approximately 40% of the total acid </w:t>
      </w:r>
      <w:r>
        <w:rPr>
          <w:sz w:val="20"/>
          <w:lang w:val="en-GB"/>
        </w:rPr>
        <w:t>flow</w:t>
      </w:r>
      <w:r w:rsidR="0008473F">
        <w:rPr>
          <w:sz w:val="20"/>
          <w:lang w:val="en-GB"/>
        </w:rPr>
        <w:t>,</w:t>
      </w:r>
      <w:r>
        <w:rPr>
          <w:sz w:val="20"/>
          <w:lang w:val="en-GB"/>
        </w:rPr>
        <w:t xml:space="preserve"> to achieve a desired level of supersaturation</w:t>
      </w:r>
      <w:r w:rsidRPr="00F62C9E">
        <w:rPr>
          <w:sz w:val="20"/>
          <w:lang w:val="en-GB"/>
        </w:rPr>
        <w:t>, followed by a period of reduced addition</w:t>
      </w:r>
      <w:r>
        <w:rPr>
          <w:sz w:val="20"/>
          <w:lang w:val="en-GB"/>
        </w:rPr>
        <w:t>, to maintain the desired level</w:t>
      </w:r>
      <w:r w:rsidRPr="00F62C9E">
        <w:rPr>
          <w:sz w:val="20"/>
          <w:lang w:val="en-GB"/>
        </w:rPr>
        <w:t>. Towards the end of the process, the acid feed rate is significantly increased. This change corresponds to the increasing rate of precipitation, which is influenced by the growing surface area of the forming and expanding crystals. The crystallization process inherently leads to sharp peaks in supersaturation. These peaks can cause scaling on certain sections of the reactor walls, a challenge that has also been observed in laboratory experiments. This aspect is a critical consideration in the design of the ac</w:t>
      </w:r>
      <w:r>
        <w:rPr>
          <w:sz w:val="20"/>
          <w:lang w:val="en-GB"/>
        </w:rPr>
        <w:t>id feed profile for the reactor</w:t>
      </w:r>
      <w:r w:rsidRPr="00F62C9E">
        <w:rPr>
          <w:sz w:val="20"/>
          <w:lang w:val="en-GB"/>
        </w:rPr>
        <w:t>.</w:t>
      </w:r>
    </w:p>
    <w:p w14:paraId="06EC6D9A" w14:textId="77777777" w:rsidR="00FC2A18" w:rsidRDefault="00FC2A18" w:rsidP="00FC2A18">
      <w:pPr>
        <w:pStyle w:val="Els-body-text"/>
        <w:keepNext/>
        <w:jc w:val="center"/>
      </w:pPr>
      <w:r w:rsidRPr="00FC2A18">
        <w:rPr>
          <w:noProof/>
        </w:rPr>
        <w:lastRenderedPageBreak/>
        <w:drawing>
          <wp:inline distT="0" distB="0" distL="0" distR="0" wp14:anchorId="41A201B4" wp14:editId="1109552F">
            <wp:extent cx="3329396" cy="1828800"/>
            <wp:effectExtent l="0" t="0" r="4445" b="0"/>
            <wp:docPr id="8" name="Grafik 8" descr="Z:\Documents\Github\Amine_Crystalizer_GEHC\plots\axial_pro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ocuments\Github\Amine_Crystalizer_GEHC\plots\axial_profil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0694" cy="1856978"/>
                    </a:xfrm>
                    <a:prstGeom prst="rect">
                      <a:avLst/>
                    </a:prstGeom>
                    <a:noFill/>
                    <a:ln>
                      <a:noFill/>
                    </a:ln>
                  </pic:spPr>
                </pic:pic>
              </a:graphicData>
            </a:graphic>
          </wp:inline>
        </w:drawing>
      </w:r>
    </w:p>
    <w:p w14:paraId="373565BE" w14:textId="3B753D43" w:rsidR="00FC2A18" w:rsidRDefault="00FC2A18" w:rsidP="00361D47">
      <w:pPr>
        <w:pStyle w:val="Beschriftung"/>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sidRPr="002848BD">
        <w:t>Relative concentration profiles of the aromatic amine along the reactor of length L at steady state (top) and the hydrochloric acid side feed flows (bottom).</w:t>
      </w:r>
    </w:p>
    <w:p w14:paraId="144DE6BA" w14:textId="326BCEEC" w:rsidR="008D2649" w:rsidRPr="00A94774" w:rsidRDefault="002848BD" w:rsidP="008D2649">
      <w:pPr>
        <w:pStyle w:val="Els-1storder-head"/>
        <w:spacing w:after="120"/>
        <w:rPr>
          <w:lang w:val="en-GB"/>
        </w:rPr>
      </w:pPr>
      <w:r>
        <w:rPr>
          <w:lang w:val="en-GB"/>
        </w:rPr>
        <w:t>Conclusion</w:t>
      </w:r>
    </w:p>
    <w:p w14:paraId="144DE6BB" w14:textId="7972835A" w:rsidR="008D2649" w:rsidRDefault="00C66D7C" w:rsidP="00C66D7C">
      <w:pPr>
        <w:pStyle w:val="Els-body-text"/>
        <w:spacing w:after="120"/>
        <w:rPr>
          <w:lang w:val="en-GB"/>
        </w:rPr>
      </w:pPr>
      <w:r w:rsidRPr="00C66D7C">
        <w:rPr>
          <w:lang w:val="en-GB"/>
        </w:rPr>
        <w:t>This study successfully develop</w:t>
      </w:r>
      <w:r w:rsidR="0008473F">
        <w:rPr>
          <w:lang w:val="en-GB"/>
        </w:rPr>
        <w:t>ed</w:t>
      </w:r>
      <w:r w:rsidRPr="00C66D7C">
        <w:rPr>
          <w:lang w:val="en-GB"/>
        </w:rPr>
        <w:t xml:space="preserve"> a dynamic model for the </w:t>
      </w:r>
      <w:r w:rsidR="00BA65F2">
        <w:rPr>
          <w:lang w:val="en-GB"/>
        </w:rPr>
        <w:t>precipitation</w:t>
      </w:r>
      <w:r w:rsidRPr="00C66D7C">
        <w:rPr>
          <w:lang w:val="en-GB"/>
        </w:rPr>
        <w:t xml:space="preserve"> in</w:t>
      </w:r>
      <w:r w:rsidR="00BA65F2">
        <w:rPr>
          <w:lang w:val="en-GB"/>
        </w:rPr>
        <w:t xml:space="preserve"> electrolyte system</w:t>
      </w:r>
      <w:r w:rsidR="004555B5">
        <w:rPr>
          <w:lang w:val="en-GB"/>
        </w:rPr>
        <w:t>s</w:t>
      </w:r>
      <w:r w:rsidR="00BA65F2">
        <w:rPr>
          <w:lang w:val="en-GB"/>
        </w:rPr>
        <w:t xml:space="preserve">, </w:t>
      </w:r>
      <w:r w:rsidR="005A39F9">
        <w:rPr>
          <w:lang w:val="en-GB"/>
        </w:rPr>
        <w:t xml:space="preserve">which is </w:t>
      </w:r>
      <w:r w:rsidR="00786930">
        <w:rPr>
          <w:lang w:val="en-GB"/>
        </w:rPr>
        <w:t>applied</w:t>
      </w:r>
      <w:r w:rsidR="005A39F9">
        <w:rPr>
          <w:lang w:val="en-GB"/>
        </w:rPr>
        <w:t xml:space="preserve"> in a batch reactor and COBR</w:t>
      </w:r>
      <w:r w:rsidRPr="00C66D7C">
        <w:rPr>
          <w:lang w:val="en-GB"/>
        </w:rPr>
        <w:t>. The model, which effectively integrates equilibrium reactions and crystallization kinetics, demonstrates strong ag</w:t>
      </w:r>
      <w:r w:rsidR="00636612">
        <w:rPr>
          <w:lang w:val="en-GB"/>
        </w:rPr>
        <w:t xml:space="preserve">reement with experimental data. </w:t>
      </w:r>
      <w:r w:rsidRPr="00C66D7C">
        <w:rPr>
          <w:lang w:val="en-GB"/>
        </w:rPr>
        <w:t>The application of th</w:t>
      </w:r>
      <w:r w:rsidR="00157BB3">
        <w:rPr>
          <w:lang w:val="en-GB"/>
        </w:rPr>
        <w:t>e</w:t>
      </w:r>
      <w:r w:rsidRPr="00C66D7C">
        <w:rPr>
          <w:lang w:val="en-GB"/>
        </w:rPr>
        <w:t xml:space="preserve"> model in the COBR simulation highlights its potential for optimizing</w:t>
      </w:r>
      <w:r w:rsidR="00157BB3">
        <w:rPr>
          <w:lang w:val="en-GB"/>
        </w:rPr>
        <w:t xml:space="preserve"> and</w:t>
      </w:r>
      <w:r w:rsidRPr="00C66D7C">
        <w:rPr>
          <w:lang w:val="en-GB"/>
        </w:rPr>
        <w:t xml:space="preserve"> </w:t>
      </w:r>
      <w:r w:rsidR="00DD5A42">
        <w:rPr>
          <w:lang w:val="en-GB"/>
        </w:rPr>
        <w:t xml:space="preserve">controlling </w:t>
      </w:r>
      <w:r w:rsidR="00632377">
        <w:rPr>
          <w:lang w:val="en-GB"/>
        </w:rPr>
        <w:t xml:space="preserve">a </w:t>
      </w:r>
      <w:r w:rsidRPr="00C66D7C">
        <w:rPr>
          <w:lang w:val="en-GB"/>
        </w:rPr>
        <w:t xml:space="preserve">continuous production process. The insights gained, particularly in controlling </w:t>
      </w:r>
      <w:r w:rsidR="0008473F">
        <w:rPr>
          <w:lang w:val="en-GB"/>
        </w:rPr>
        <w:t xml:space="preserve">the </w:t>
      </w:r>
      <w:r w:rsidRPr="00C66D7C">
        <w:rPr>
          <w:lang w:val="en-GB"/>
        </w:rPr>
        <w:t>acid addition and addressing scaling issues, provide valuable guidance for enhancing manufacturing efficiency and environmental sustainability in larg</w:t>
      </w:r>
      <w:r>
        <w:rPr>
          <w:lang w:val="en-GB"/>
        </w:rPr>
        <w:t>e-scale industrial applications</w:t>
      </w:r>
      <w:r w:rsidR="008D2649" w:rsidRPr="00A94774">
        <w:rPr>
          <w:lang w:val="en-GB"/>
        </w:rPr>
        <w:t>.</w:t>
      </w:r>
    </w:p>
    <w:p w14:paraId="056A23C7" w14:textId="5A797A46" w:rsidR="00CF2148" w:rsidRDefault="00CE56AA" w:rsidP="00CF2148">
      <w:pPr>
        <w:pStyle w:val="Els-reference-head"/>
      </w:pPr>
      <w:r>
        <w:t>Acknowledgement</w:t>
      </w:r>
      <w:r w:rsidR="00CF2148">
        <w:t xml:space="preserve"> </w:t>
      </w:r>
    </w:p>
    <w:p w14:paraId="0DF73378" w14:textId="2ADC3B1F" w:rsidR="00977345" w:rsidRPr="00DE265C" w:rsidRDefault="00977345" w:rsidP="00CE56AA">
      <w:pPr>
        <w:pStyle w:val="Els-referenceno-number"/>
        <w:rPr>
          <w:sz w:val="20"/>
          <w:lang w:val="en-US"/>
        </w:rPr>
      </w:pPr>
      <w:r w:rsidRPr="00DE265C">
        <w:rPr>
          <w:sz w:val="20"/>
          <w:lang w:val="en-US"/>
        </w:rPr>
        <w:t>The project leading to this publication has received funding from the European Union’s Horizon</w:t>
      </w:r>
      <w:r w:rsidR="00CE56AA" w:rsidRPr="00DE265C">
        <w:rPr>
          <w:sz w:val="20"/>
          <w:lang w:val="en-US"/>
        </w:rPr>
        <w:t xml:space="preserve"> </w:t>
      </w:r>
      <w:r w:rsidRPr="00DE265C">
        <w:rPr>
          <w:sz w:val="20"/>
          <w:lang w:val="en-US"/>
        </w:rPr>
        <w:t>research and innovation programme under grant agreement No 101058279.</w:t>
      </w:r>
    </w:p>
    <w:p w14:paraId="144DE6BF" w14:textId="608D0AD6" w:rsidR="008D2649" w:rsidRDefault="008D2649" w:rsidP="008D2649">
      <w:pPr>
        <w:pStyle w:val="Els-reference-head"/>
      </w:pPr>
      <w:r>
        <w:t>References</w:t>
      </w:r>
    </w:p>
    <w:p w14:paraId="50E12E88" w14:textId="5A67FE2B" w:rsidR="008209EF" w:rsidRPr="008062B7" w:rsidRDefault="002C7825" w:rsidP="008062B7">
      <w:pPr>
        <w:pStyle w:val="Els-referenceno-number"/>
        <w:rPr>
          <w:lang w:val="en-US"/>
        </w:rPr>
      </w:pPr>
      <w:r w:rsidRPr="00DF105D">
        <w:t>Asbjørnsen</w:t>
      </w:r>
      <w:r>
        <w:t xml:space="preserve"> </w:t>
      </w:r>
      <w:r w:rsidR="00DF105D">
        <w:t>O. A.</w:t>
      </w:r>
      <w:r w:rsidR="00DF105D" w:rsidRPr="00DF105D">
        <w:t xml:space="preserve">, </w:t>
      </w:r>
      <w:r>
        <w:t xml:space="preserve">Field </w:t>
      </w:r>
      <w:r w:rsidR="00DF105D">
        <w:t>M., 1970,</w:t>
      </w:r>
      <w:r w:rsidR="00DF105D" w:rsidRPr="00DF105D">
        <w:t xml:space="preserve"> Response modes of continuous stirred tank reactors. </w:t>
      </w:r>
      <w:r w:rsidR="00DF105D" w:rsidRPr="0025029F">
        <w:rPr>
          <w:iCs/>
        </w:rPr>
        <w:t>Chemical Engineering Science</w:t>
      </w:r>
      <w:r w:rsidR="00DF105D" w:rsidRPr="00DF105D">
        <w:t>, </w:t>
      </w:r>
      <w:r w:rsidR="00DF105D" w:rsidRPr="00DF105D">
        <w:rPr>
          <w:i/>
          <w:iCs/>
        </w:rPr>
        <w:t>25</w:t>
      </w:r>
      <w:r w:rsidR="00DF105D" w:rsidRPr="00DF105D">
        <w:t>(11), 1627-1636.</w:t>
      </w:r>
    </w:p>
    <w:p w14:paraId="1967FF73" w14:textId="5C52E96A" w:rsidR="00EC4469" w:rsidRDefault="004626F9" w:rsidP="004626F9">
      <w:pPr>
        <w:pStyle w:val="Els-referenceno-number"/>
        <w:rPr>
          <w:lang w:val="en-US"/>
        </w:rPr>
      </w:pPr>
      <w:r w:rsidRPr="00DE265C">
        <w:rPr>
          <w:lang w:val="en-US"/>
        </w:rPr>
        <w:t>Bremen, A.M., Ebeling, K.M., Schulte, V., Pavšek, J., Mitsos, A., 2022</w:t>
      </w:r>
      <w:r w:rsidR="00FB200F">
        <w:rPr>
          <w:lang w:val="en-US"/>
        </w:rPr>
        <w:t>,</w:t>
      </w:r>
      <w:r w:rsidRPr="00DE265C">
        <w:rPr>
          <w:lang w:val="en-US"/>
        </w:rPr>
        <w:t xml:space="preserve"> </w:t>
      </w:r>
      <w:r w:rsidRPr="004626F9">
        <w:rPr>
          <w:lang w:val="en-US"/>
        </w:rPr>
        <w:t>Dynamic modeling of aqueous electrolyte systems in Modelica</w:t>
      </w:r>
      <w:r w:rsidR="00FB200F">
        <w:rPr>
          <w:lang w:val="en-US"/>
        </w:rPr>
        <w:t>,</w:t>
      </w:r>
      <w:r w:rsidRPr="004626F9">
        <w:rPr>
          <w:lang w:val="en-US"/>
        </w:rPr>
        <w:t xml:space="preserve"> Computers &amp; Chemical Engineering 166</w:t>
      </w:r>
      <w:r w:rsidR="0025029F">
        <w:rPr>
          <w:lang w:val="en-US"/>
        </w:rPr>
        <w:t>.</w:t>
      </w:r>
    </w:p>
    <w:p w14:paraId="36274F03" w14:textId="73D181DD" w:rsidR="00387A56" w:rsidRDefault="00387A56" w:rsidP="00DE265C">
      <w:pPr>
        <w:pStyle w:val="Els-referenceno-number"/>
        <w:rPr>
          <w:lang w:val="en-US"/>
        </w:rPr>
      </w:pPr>
      <w:r>
        <w:rPr>
          <w:lang w:val="en-US"/>
        </w:rPr>
        <w:t>Jha</w:t>
      </w:r>
      <w:r w:rsidRPr="00473651">
        <w:rPr>
          <w:lang w:val="en-US"/>
        </w:rPr>
        <w:t xml:space="preserve"> S.K.</w:t>
      </w:r>
      <w:r>
        <w:rPr>
          <w:lang w:val="en-US"/>
        </w:rPr>
        <w:t>, Karthika S., Radhakrishnan</w:t>
      </w:r>
      <w:r w:rsidRPr="00473651">
        <w:rPr>
          <w:lang w:val="en-US"/>
        </w:rPr>
        <w:t xml:space="preserve"> T.K., 2017. Modelling and control of crystallization process</w:t>
      </w:r>
      <w:r w:rsidR="00FB200F">
        <w:rPr>
          <w:lang w:val="en-US"/>
        </w:rPr>
        <w:t>,</w:t>
      </w:r>
      <w:r w:rsidRPr="00473651">
        <w:rPr>
          <w:lang w:val="en-US"/>
        </w:rPr>
        <w:t xml:space="preserve"> Resource-Efficient Technologies 3, 94–100.</w:t>
      </w:r>
    </w:p>
    <w:p w14:paraId="5962FFB4" w14:textId="2BDF354D" w:rsidR="00D2040C" w:rsidRPr="00D2040C" w:rsidRDefault="00D2040C" w:rsidP="00D2040C">
      <w:pPr>
        <w:pStyle w:val="Els-referenceno-number"/>
        <w:rPr>
          <w:lang w:val="en-US"/>
        </w:rPr>
      </w:pPr>
      <w:r w:rsidRPr="00D2040C">
        <w:rPr>
          <w:lang w:val="en-US"/>
        </w:rPr>
        <w:t>Klise K.A., Nicholson B.L., Staid A., Woodruff D.L., 2019</w:t>
      </w:r>
      <w:r w:rsidR="00FB200F">
        <w:rPr>
          <w:lang w:val="en-US"/>
        </w:rPr>
        <w:t>,</w:t>
      </w:r>
      <w:r w:rsidRPr="00D2040C">
        <w:rPr>
          <w:lang w:val="en-US"/>
        </w:rPr>
        <w:t xml:space="preserve"> Parmest: Parameter Estimation Via Pyomo,  Computer Aided Chemical Engineering. Elsevier, pp. 41–46.</w:t>
      </w:r>
    </w:p>
    <w:p w14:paraId="41455A9C" w14:textId="2D0CA257" w:rsidR="007D1451" w:rsidRDefault="007D1451" w:rsidP="007D1451">
      <w:pPr>
        <w:pStyle w:val="Els-referenceno-number"/>
        <w:rPr>
          <w:lang w:val="en-US"/>
        </w:rPr>
      </w:pPr>
      <w:r w:rsidRPr="008062B7">
        <w:rPr>
          <w:lang w:val="en-US"/>
        </w:rPr>
        <w:t>Kakhu A.I., Pantelides, C.C., 2003. Dynamic modelling of aqueous electrolyte systems</w:t>
      </w:r>
      <w:r w:rsidR="00FB200F">
        <w:rPr>
          <w:lang w:val="en-US"/>
        </w:rPr>
        <w:t>,</w:t>
      </w:r>
      <w:r w:rsidRPr="008062B7">
        <w:rPr>
          <w:lang w:val="en-US"/>
        </w:rPr>
        <w:t xml:space="preserve"> Computers &amp; Chemical Engineering 27, 869–882.</w:t>
      </w:r>
    </w:p>
    <w:p w14:paraId="11185669" w14:textId="5A8BDDCB" w:rsidR="007D1451" w:rsidRPr="008209EF" w:rsidRDefault="007D1451" w:rsidP="007D1451">
      <w:pPr>
        <w:pStyle w:val="Els-referenceno-number"/>
        <w:rPr>
          <w:lang w:val="en-US"/>
        </w:rPr>
      </w:pPr>
      <w:r w:rsidRPr="00624F3C">
        <w:rPr>
          <w:lang w:val="en-US"/>
        </w:rPr>
        <w:t>Moe H.I., Hauan S., Lien K.M.</w:t>
      </w:r>
      <w:r w:rsidR="0061166A" w:rsidRPr="00624F3C">
        <w:rPr>
          <w:lang w:val="en-US"/>
        </w:rPr>
        <w:t>, Hertzberg T., 1995</w:t>
      </w:r>
      <w:r w:rsidR="00FB200F">
        <w:rPr>
          <w:lang w:val="en-US"/>
        </w:rPr>
        <w:t>,</w:t>
      </w:r>
      <w:r w:rsidRPr="00624F3C">
        <w:rPr>
          <w:lang w:val="en-US"/>
        </w:rPr>
        <w:t xml:space="preserve"> </w:t>
      </w:r>
      <w:r>
        <w:rPr>
          <w:lang w:val="en-US"/>
        </w:rPr>
        <w:t>Dynamic model of a system with phase- and reaction equilibrium</w:t>
      </w:r>
      <w:r w:rsidR="00FB200F">
        <w:rPr>
          <w:lang w:val="en-US"/>
        </w:rPr>
        <w:t>,</w:t>
      </w:r>
      <w:r w:rsidRPr="008209EF">
        <w:rPr>
          <w:lang w:val="en-US"/>
        </w:rPr>
        <w:t xml:space="preserve"> European Symposium on Computer Aided Process Engineering.</w:t>
      </w:r>
    </w:p>
    <w:p w14:paraId="6DEB405D" w14:textId="253AC956" w:rsidR="00D2040C" w:rsidRPr="004626F9" w:rsidRDefault="007D1451" w:rsidP="007D1451">
      <w:pPr>
        <w:pStyle w:val="Els-referenceno-number"/>
        <w:rPr>
          <w:lang w:val="en-US"/>
        </w:rPr>
      </w:pPr>
      <w:r w:rsidRPr="00EC4469">
        <w:rPr>
          <w:lang w:val="en-US"/>
        </w:rPr>
        <w:t>Nicholson B., Siirola J.D., Watson J.-P., Zavala V.M., Biegler L.T., 2018</w:t>
      </w:r>
      <w:r w:rsidR="00FB200F">
        <w:rPr>
          <w:lang w:val="en-US"/>
        </w:rPr>
        <w:t>,</w:t>
      </w:r>
      <w:r w:rsidRPr="00EC4469">
        <w:rPr>
          <w:lang w:val="en-US"/>
        </w:rPr>
        <w:t xml:space="preserve"> pyomo.dae: a modeling and automatic discretization framework for optimization with differential and algebraic equations</w:t>
      </w:r>
      <w:r w:rsidR="0043245B">
        <w:rPr>
          <w:lang w:val="en-US"/>
        </w:rPr>
        <w:t>,</w:t>
      </w:r>
      <w:r w:rsidRPr="00EC4469">
        <w:rPr>
          <w:lang w:val="en-US"/>
        </w:rPr>
        <w:t xml:space="preserve"> Math. Prog. Comp. 10, 187–223. </w:t>
      </w:r>
    </w:p>
    <w:p w14:paraId="144DE6C3" w14:textId="5A5B5B76" w:rsidR="008D2649" w:rsidRDefault="007D1451" w:rsidP="00D820B6">
      <w:pPr>
        <w:pStyle w:val="Els-referenceno-number"/>
        <w:rPr>
          <w:lang w:val="en-US"/>
        </w:rPr>
      </w:pPr>
      <w:r w:rsidRPr="008062B7">
        <w:rPr>
          <w:lang w:val="en-US"/>
        </w:rPr>
        <w:t>Ramkrishna D., 2000</w:t>
      </w:r>
      <w:r w:rsidR="0043245B">
        <w:rPr>
          <w:lang w:val="en-US"/>
        </w:rPr>
        <w:t>,</w:t>
      </w:r>
      <w:r w:rsidRPr="008062B7">
        <w:rPr>
          <w:lang w:val="en-US"/>
        </w:rPr>
        <w:t xml:space="preserve"> Population balances: theory and applications to particulate systems in engineering</w:t>
      </w:r>
      <w:r w:rsidR="0043245B">
        <w:rPr>
          <w:lang w:val="en-US"/>
        </w:rPr>
        <w:t>,</w:t>
      </w:r>
      <w:r w:rsidRPr="008062B7">
        <w:rPr>
          <w:lang w:val="en-US"/>
        </w:rPr>
        <w:t xml:space="preserve"> Academic Press, San Diego, CA.</w:t>
      </w:r>
    </w:p>
    <w:p w14:paraId="19530FA2" w14:textId="46644BE9" w:rsidR="00AB0373" w:rsidRDefault="00AD0719" w:rsidP="00AB0373">
      <w:pPr>
        <w:pStyle w:val="Els-referenceno-number"/>
        <w:rPr>
          <w:lang w:val="en-US"/>
        </w:rPr>
      </w:pPr>
      <w:r w:rsidRPr="00AD0719">
        <w:rPr>
          <w:lang w:val="en-US"/>
        </w:rPr>
        <w:t xml:space="preserve">Stonestreet P., </w:t>
      </w:r>
      <w:r>
        <w:rPr>
          <w:lang w:val="en-US"/>
        </w:rPr>
        <w:t>Van Der Veeken</w:t>
      </w:r>
      <w:r w:rsidRPr="00AD0719">
        <w:rPr>
          <w:lang w:val="en-US"/>
        </w:rPr>
        <w:t xml:space="preserve"> P.M.J., 1999</w:t>
      </w:r>
      <w:r w:rsidR="0043245B">
        <w:rPr>
          <w:lang w:val="en-US"/>
        </w:rPr>
        <w:t>,</w:t>
      </w:r>
      <w:r w:rsidRPr="00AD0719">
        <w:rPr>
          <w:lang w:val="en-US"/>
        </w:rPr>
        <w:t xml:space="preserve"> The Effects of Oscillatory Flow and Bulk Flow Components on Residence Time Distribution in Baffled Tube Reactors</w:t>
      </w:r>
      <w:r w:rsidR="0043245B">
        <w:rPr>
          <w:lang w:val="en-US"/>
        </w:rPr>
        <w:t>,</w:t>
      </w:r>
      <w:r w:rsidRPr="00AD0719">
        <w:rPr>
          <w:lang w:val="en-US"/>
        </w:rPr>
        <w:t xml:space="preserve"> Chemical Engineering Research and Design 77, 671–684.</w:t>
      </w:r>
    </w:p>
    <w:sectPr w:rsidR="00AB0373"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97412D" w16cex:dateUtc="2023-11-27T10:33:00Z"/>
  <w16cex:commentExtensible w16cex:durableId="0DBDB6E7" w16cex:dateUtc="2023-11-27T10:34:00Z"/>
  <w16cex:commentExtensible w16cex:durableId="3E6B85F6" w16cex:dateUtc="2023-11-27T10:36:00Z"/>
  <w16cex:commentExtensible w16cex:durableId="2B286784" w16cex:dateUtc="2023-11-27T10:42:00Z"/>
  <w16cex:commentExtensible w16cex:durableId="26642229" w16cex:dateUtc="2023-11-27T10:37:00Z"/>
  <w16cex:commentExtensible w16cex:durableId="08ABC4CF" w16cex:dateUtc="2023-11-27T10:40:00Z"/>
  <w16cex:commentExtensible w16cex:durableId="4CCEAFAC" w16cex:dateUtc="2023-11-27T10:41:00Z"/>
  <w16cex:commentExtensible w16cex:durableId="3EB5C509" w16cex:dateUtc="2023-11-27T10:43:00Z"/>
  <w16cex:commentExtensible w16cex:durableId="127A98F3" w16cex:dateUtc="2023-11-27T10:44:00Z"/>
  <w16cex:commentExtensible w16cex:durableId="0426E872" w16cex:dateUtc="2023-11-28T23:54:00Z"/>
  <w16cex:commentExtensible w16cex:durableId="497FCE75" w16cex:dateUtc="2023-11-28T23:55:00Z"/>
  <w16cex:commentExtensible w16cex:durableId="6B57C726" w16cex:dateUtc="2023-11-28T23:55:00Z"/>
  <w16cex:commentExtensible w16cex:durableId="26899D62" w16cex:dateUtc="2023-11-28T23:56:00Z"/>
  <w16cex:commentExtensible w16cex:durableId="56A65299" w16cex:dateUtc="2023-11-28T23:59:00Z"/>
  <w16cex:commentExtensible w16cex:durableId="5A003C28" w16cex:dateUtc="2023-11-28T23:57:00Z"/>
  <w16cex:commentExtensible w16cex:durableId="6E50B724" w16cex:dateUtc="2023-11-28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C3AF7" w16cid:durableId="3197412D"/>
  <w16cid:commentId w16cid:paraId="55A22898" w16cid:durableId="0DBDB6E7"/>
  <w16cid:commentId w16cid:paraId="27C96B3F" w16cid:durableId="3E6B85F6"/>
  <w16cid:commentId w16cid:paraId="319E31F0" w16cid:durableId="2B286784"/>
  <w16cid:commentId w16cid:paraId="2B6AD33D" w16cid:durableId="26642229"/>
  <w16cid:commentId w16cid:paraId="2C37BE0F" w16cid:durableId="08ABC4CF"/>
  <w16cid:commentId w16cid:paraId="54F402E8" w16cid:durableId="4CCEAFAC"/>
  <w16cid:commentId w16cid:paraId="087D46A1" w16cid:durableId="3EB5C509"/>
  <w16cid:commentId w16cid:paraId="29D4F603" w16cid:durableId="127A98F3"/>
  <w16cid:commentId w16cid:paraId="4C3D8505" w16cid:durableId="0426E872"/>
  <w16cid:commentId w16cid:paraId="6744656F" w16cid:durableId="497FCE75"/>
  <w16cid:commentId w16cid:paraId="287E7BCA" w16cid:durableId="6B57C726"/>
  <w16cid:commentId w16cid:paraId="6B34D182" w16cid:durableId="26899D62"/>
  <w16cid:commentId w16cid:paraId="52190DD6" w16cid:durableId="56A65299"/>
  <w16cid:commentId w16cid:paraId="381E6A53" w16cid:durableId="5A003C28"/>
  <w16cid:commentId w16cid:paraId="4A28D67D" w16cid:durableId="6E50B7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D77F0" w14:textId="77777777" w:rsidR="00560CED" w:rsidRDefault="00560CED">
      <w:r>
        <w:separator/>
      </w:r>
    </w:p>
  </w:endnote>
  <w:endnote w:type="continuationSeparator" w:id="0">
    <w:p w14:paraId="4AD5427E" w14:textId="77777777" w:rsidR="00560CED" w:rsidRDefault="0056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6E80E" w14:textId="77777777" w:rsidR="00560CED" w:rsidRDefault="00560CED">
      <w:r>
        <w:separator/>
      </w:r>
    </w:p>
  </w:footnote>
  <w:footnote w:type="continuationSeparator" w:id="0">
    <w:p w14:paraId="53ED2397" w14:textId="77777777" w:rsidR="00560CED" w:rsidRDefault="0056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CEFACC5" w:rsidR="00FB200F" w:rsidRDefault="00FB200F">
    <w:pPr>
      <w:pStyle w:val="Kopfzeile"/>
      <w:tabs>
        <w:tab w:val="clear" w:pos="7200"/>
        <w:tab w:val="right" w:pos="7088"/>
      </w:tabs>
    </w:pPr>
    <w:r>
      <w:rPr>
        <w:rStyle w:val="Seitenzahl"/>
      </w:rPr>
      <w:tab/>
    </w:r>
    <w:r>
      <w:rPr>
        <w:rStyle w:val="Seitenzahl"/>
        <w:i/>
      </w:rPr>
      <w:tab/>
    </w:r>
    <w:r>
      <w:rPr>
        <w:i/>
      </w:rPr>
      <w:t>N. Kemmerling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23D28296" w:rsidR="00FB200F" w:rsidRDefault="00FB200F" w:rsidP="00B70E33">
    <w:pPr>
      <w:pStyle w:val="Kopfzeile"/>
      <w:tabs>
        <w:tab w:val="clear" w:pos="7200"/>
        <w:tab w:val="right" w:pos="7088"/>
      </w:tabs>
      <w:rPr>
        <w:sz w:val="24"/>
      </w:rPr>
    </w:pPr>
    <w:r w:rsidRPr="00B70E33">
      <w:rPr>
        <w:rStyle w:val="Seitenzahl"/>
        <w:i/>
        <w:sz w:val="24"/>
      </w:rPr>
      <w:t>Dynamic Modeling of Precipitation in Electrolyte</w:t>
    </w:r>
    <w:r>
      <w:rPr>
        <w:rStyle w:val="Seitenzahl"/>
        <w:i/>
        <w:sz w:val="24"/>
      </w:rPr>
      <w:t xml:space="preserve"> </w:t>
    </w:r>
    <w:r w:rsidRPr="00B70E33">
      <w:rPr>
        <w:rStyle w:val="Seitenzahl"/>
        <w:i/>
        <w:sz w:val="24"/>
      </w:rPr>
      <w:t>Systems</w:t>
    </w: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B200F" w:rsidRPr="003B50B5" w:rsidRDefault="00FB200F"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B200F" w:rsidRDefault="00FB200F"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AC911C3"/>
    <w:multiLevelType w:val="hybridMultilevel"/>
    <w:tmpl w:val="492CA5BA"/>
    <w:lvl w:ilvl="0" w:tplc="AF92DEE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1003"/>
    <w:rsid w:val="00004A77"/>
    <w:rsid w:val="00027531"/>
    <w:rsid w:val="00047C2F"/>
    <w:rsid w:val="000502E6"/>
    <w:rsid w:val="00054807"/>
    <w:rsid w:val="0005626A"/>
    <w:rsid w:val="00067960"/>
    <w:rsid w:val="00073C69"/>
    <w:rsid w:val="0008276F"/>
    <w:rsid w:val="0008473F"/>
    <w:rsid w:val="00094A40"/>
    <w:rsid w:val="000A49D4"/>
    <w:rsid w:val="000A781E"/>
    <w:rsid w:val="000C74A1"/>
    <w:rsid w:val="000D3D9B"/>
    <w:rsid w:val="000E2438"/>
    <w:rsid w:val="000E6942"/>
    <w:rsid w:val="0010075C"/>
    <w:rsid w:val="00102128"/>
    <w:rsid w:val="001241FD"/>
    <w:rsid w:val="00140973"/>
    <w:rsid w:val="00144D72"/>
    <w:rsid w:val="00154E84"/>
    <w:rsid w:val="00157BB3"/>
    <w:rsid w:val="0016032F"/>
    <w:rsid w:val="001879F6"/>
    <w:rsid w:val="0019423A"/>
    <w:rsid w:val="00195498"/>
    <w:rsid w:val="001A7946"/>
    <w:rsid w:val="001C0148"/>
    <w:rsid w:val="001C4ED7"/>
    <w:rsid w:val="001C5DE6"/>
    <w:rsid w:val="001C6E23"/>
    <w:rsid w:val="001C757E"/>
    <w:rsid w:val="001C7D20"/>
    <w:rsid w:val="001D1722"/>
    <w:rsid w:val="001D3B5F"/>
    <w:rsid w:val="001E1CDB"/>
    <w:rsid w:val="001E5BC9"/>
    <w:rsid w:val="001F021F"/>
    <w:rsid w:val="001F438B"/>
    <w:rsid w:val="001F7CE2"/>
    <w:rsid w:val="0020390F"/>
    <w:rsid w:val="00233888"/>
    <w:rsid w:val="00234055"/>
    <w:rsid w:val="0025029F"/>
    <w:rsid w:val="00257AEF"/>
    <w:rsid w:val="00261DFD"/>
    <w:rsid w:val="00264926"/>
    <w:rsid w:val="002708A3"/>
    <w:rsid w:val="00274199"/>
    <w:rsid w:val="00274581"/>
    <w:rsid w:val="00275ADB"/>
    <w:rsid w:val="00277608"/>
    <w:rsid w:val="00281059"/>
    <w:rsid w:val="002841E3"/>
    <w:rsid w:val="0028480F"/>
    <w:rsid w:val="002848BD"/>
    <w:rsid w:val="002914D7"/>
    <w:rsid w:val="0029178B"/>
    <w:rsid w:val="002A0DA1"/>
    <w:rsid w:val="002B2E00"/>
    <w:rsid w:val="002B2E36"/>
    <w:rsid w:val="002B6D1A"/>
    <w:rsid w:val="002B6F73"/>
    <w:rsid w:val="002C7825"/>
    <w:rsid w:val="002C79EA"/>
    <w:rsid w:val="002D3E17"/>
    <w:rsid w:val="002E6525"/>
    <w:rsid w:val="003049A7"/>
    <w:rsid w:val="00326F31"/>
    <w:rsid w:val="0034102E"/>
    <w:rsid w:val="003542E8"/>
    <w:rsid w:val="00361D47"/>
    <w:rsid w:val="00362C28"/>
    <w:rsid w:val="00371F70"/>
    <w:rsid w:val="003731F4"/>
    <w:rsid w:val="00377E20"/>
    <w:rsid w:val="003809EB"/>
    <w:rsid w:val="00381658"/>
    <w:rsid w:val="003858FE"/>
    <w:rsid w:val="00387A56"/>
    <w:rsid w:val="00391AAC"/>
    <w:rsid w:val="003921CD"/>
    <w:rsid w:val="003B3DFF"/>
    <w:rsid w:val="003B48AE"/>
    <w:rsid w:val="003B7868"/>
    <w:rsid w:val="003C0597"/>
    <w:rsid w:val="003C60CC"/>
    <w:rsid w:val="003C7668"/>
    <w:rsid w:val="003D115F"/>
    <w:rsid w:val="003D1582"/>
    <w:rsid w:val="003D32E8"/>
    <w:rsid w:val="003D7E4C"/>
    <w:rsid w:val="003E093A"/>
    <w:rsid w:val="003E3D1E"/>
    <w:rsid w:val="003E41C2"/>
    <w:rsid w:val="003E57B4"/>
    <w:rsid w:val="003F6774"/>
    <w:rsid w:val="00400843"/>
    <w:rsid w:val="00417EB8"/>
    <w:rsid w:val="00422A6A"/>
    <w:rsid w:val="0043245B"/>
    <w:rsid w:val="00441303"/>
    <w:rsid w:val="004555B5"/>
    <w:rsid w:val="004626F9"/>
    <w:rsid w:val="00467535"/>
    <w:rsid w:val="00473651"/>
    <w:rsid w:val="00494AE1"/>
    <w:rsid w:val="0049772C"/>
    <w:rsid w:val="004B5353"/>
    <w:rsid w:val="004B5418"/>
    <w:rsid w:val="004B670F"/>
    <w:rsid w:val="004C7EA5"/>
    <w:rsid w:val="004D480A"/>
    <w:rsid w:val="004F0C1D"/>
    <w:rsid w:val="0050521D"/>
    <w:rsid w:val="005055FF"/>
    <w:rsid w:val="00505603"/>
    <w:rsid w:val="0050635D"/>
    <w:rsid w:val="005078C8"/>
    <w:rsid w:val="00515118"/>
    <w:rsid w:val="00522555"/>
    <w:rsid w:val="00522BB1"/>
    <w:rsid w:val="00534664"/>
    <w:rsid w:val="00552EEB"/>
    <w:rsid w:val="00560CED"/>
    <w:rsid w:val="00560E25"/>
    <w:rsid w:val="00574314"/>
    <w:rsid w:val="005823F3"/>
    <w:rsid w:val="00597627"/>
    <w:rsid w:val="005A39F9"/>
    <w:rsid w:val="005D4704"/>
    <w:rsid w:val="005D6317"/>
    <w:rsid w:val="00605521"/>
    <w:rsid w:val="006057AD"/>
    <w:rsid w:val="0061166A"/>
    <w:rsid w:val="00623C84"/>
    <w:rsid w:val="00624F3C"/>
    <w:rsid w:val="00632377"/>
    <w:rsid w:val="00633D4B"/>
    <w:rsid w:val="0063480A"/>
    <w:rsid w:val="00636612"/>
    <w:rsid w:val="006407A1"/>
    <w:rsid w:val="006437DE"/>
    <w:rsid w:val="00647496"/>
    <w:rsid w:val="00651CB0"/>
    <w:rsid w:val="00661DA8"/>
    <w:rsid w:val="00666439"/>
    <w:rsid w:val="00671244"/>
    <w:rsid w:val="00692595"/>
    <w:rsid w:val="006950B8"/>
    <w:rsid w:val="006A133F"/>
    <w:rsid w:val="006A69BF"/>
    <w:rsid w:val="006B6A76"/>
    <w:rsid w:val="006B7EAD"/>
    <w:rsid w:val="006D632F"/>
    <w:rsid w:val="006E45D9"/>
    <w:rsid w:val="006F6CAF"/>
    <w:rsid w:val="0071085E"/>
    <w:rsid w:val="00711DF4"/>
    <w:rsid w:val="00730C20"/>
    <w:rsid w:val="007350B0"/>
    <w:rsid w:val="00740081"/>
    <w:rsid w:val="007573BF"/>
    <w:rsid w:val="007621BA"/>
    <w:rsid w:val="00765537"/>
    <w:rsid w:val="00772521"/>
    <w:rsid w:val="007815DD"/>
    <w:rsid w:val="00783D46"/>
    <w:rsid w:val="00786930"/>
    <w:rsid w:val="00797473"/>
    <w:rsid w:val="007A73F0"/>
    <w:rsid w:val="007A77CA"/>
    <w:rsid w:val="007B00CF"/>
    <w:rsid w:val="007B4950"/>
    <w:rsid w:val="007C26E6"/>
    <w:rsid w:val="007D1451"/>
    <w:rsid w:val="007D70A1"/>
    <w:rsid w:val="007F3894"/>
    <w:rsid w:val="008062B7"/>
    <w:rsid w:val="008132E8"/>
    <w:rsid w:val="0081686D"/>
    <w:rsid w:val="00817C5D"/>
    <w:rsid w:val="008209EF"/>
    <w:rsid w:val="00821F8B"/>
    <w:rsid w:val="00823407"/>
    <w:rsid w:val="00825E2F"/>
    <w:rsid w:val="0084584D"/>
    <w:rsid w:val="0084745B"/>
    <w:rsid w:val="00851E25"/>
    <w:rsid w:val="00854A83"/>
    <w:rsid w:val="00861E2B"/>
    <w:rsid w:val="008650FD"/>
    <w:rsid w:val="00870F7D"/>
    <w:rsid w:val="00873252"/>
    <w:rsid w:val="0087540F"/>
    <w:rsid w:val="0089020F"/>
    <w:rsid w:val="008A2990"/>
    <w:rsid w:val="008B0184"/>
    <w:rsid w:val="008B7865"/>
    <w:rsid w:val="008C1EC9"/>
    <w:rsid w:val="008C27EE"/>
    <w:rsid w:val="008C46DE"/>
    <w:rsid w:val="008C5D02"/>
    <w:rsid w:val="008D2649"/>
    <w:rsid w:val="008E64FB"/>
    <w:rsid w:val="009005E6"/>
    <w:rsid w:val="009018BF"/>
    <w:rsid w:val="00902C08"/>
    <w:rsid w:val="009037F7"/>
    <w:rsid w:val="0090568D"/>
    <w:rsid w:val="009125C9"/>
    <w:rsid w:val="00913879"/>
    <w:rsid w:val="00917661"/>
    <w:rsid w:val="00927031"/>
    <w:rsid w:val="0093413D"/>
    <w:rsid w:val="00935938"/>
    <w:rsid w:val="009451EE"/>
    <w:rsid w:val="00970E5D"/>
    <w:rsid w:val="0097701C"/>
    <w:rsid w:val="00977345"/>
    <w:rsid w:val="00980A65"/>
    <w:rsid w:val="00986E09"/>
    <w:rsid w:val="009A4D67"/>
    <w:rsid w:val="009A73BA"/>
    <w:rsid w:val="009B015D"/>
    <w:rsid w:val="009C2B3C"/>
    <w:rsid w:val="009E098F"/>
    <w:rsid w:val="009E17C1"/>
    <w:rsid w:val="009E2AA9"/>
    <w:rsid w:val="009E308A"/>
    <w:rsid w:val="009E3E71"/>
    <w:rsid w:val="009F45D6"/>
    <w:rsid w:val="009F5EAC"/>
    <w:rsid w:val="00A062D4"/>
    <w:rsid w:val="00A20BE0"/>
    <w:rsid w:val="00A2439A"/>
    <w:rsid w:val="00A25E70"/>
    <w:rsid w:val="00A333A5"/>
    <w:rsid w:val="00A33765"/>
    <w:rsid w:val="00A3590D"/>
    <w:rsid w:val="00A52E48"/>
    <w:rsid w:val="00A63269"/>
    <w:rsid w:val="00A703C5"/>
    <w:rsid w:val="00A808D0"/>
    <w:rsid w:val="00A92377"/>
    <w:rsid w:val="00AA25E6"/>
    <w:rsid w:val="00AB0373"/>
    <w:rsid w:val="00AB29ED"/>
    <w:rsid w:val="00AB627D"/>
    <w:rsid w:val="00AD0719"/>
    <w:rsid w:val="00AE2DC4"/>
    <w:rsid w:val="00AE4BD8"/>
    <w:rsid w:val="00AE6EFB"/>
    <w:rsid w:val="00AF11B8"/>
    <w:rsid w:val="00B209B7"/>
    <w:rsid w:val="00B40292"/>
    <w:rsid w:val="00B42AD3"/>
    <w:rsid w:val="00B4388F"/>
    <w:rsid w:val="00B45E36"/>
    <w:rsid w:val="00B5582A"/>
    <w:rsid w:val="00B63237"/>
    <w:rsid w:val="00B70E33"/>
    <w:rsid w:val="00B75CB9"/>
    <w:rsid w:val="00B77EBB"/>
    <w:rsid w:val="00B77FF9"/>
    <w:rsid w:val="00BA65F2"/>
    <w:rsid w:val="00BB12A2"/>
    <w:rsid w:val="00BB3FA5"/>
    <w:rsid w:val="00BC005E"/>
    <w:rsid w:val="00BC4E81"/>
    <w:rsid w:val="00BD1ED4"/>
    <w:rsid w:val="00BE527D"/>
    <w:rsid w:val="00BE726D"/>
    <w:rsid w:val="00BF2BAC"/>
    <w:rsid w:val="00BF781E"/>
    <w:rsid w:val="00C03A61"/>
    <w:rsid w:val="00C0784F"/>
    <w:rsid w:val="00C1117B"/>
    <w:rsid w:val="00C45451"/>
    <w:rsid w:val="00C51BE8"/>
    <w:rsid w:val="00C6355C"/>
    <w:rsid w:val="00C66C6C"/>
    <w:rsid w:val="00C66D7C"/>
    <w:rsid w:val="00C66EF1"/>
    <w:rsid w:val="00C81DCE"/>
    <w:rsid w:val="00C91A93"/>
    <w:rsid w:val="00C960DC"/>
    <w:rsid w:val="00C96EF2"/>
    <w:rsid w:val="00CA186B"/>
    <w:rsid w:val="00CC17B2"/>
    <w:rsid w:val="00CC1C5C"/>
    <w:rsid w:val="00CE56AA"/>
    <w:rsid w:val="00CE715A"/>
    <w:rsid w:val="00CF2148"/>
    <w:rsid w:val="00D02C75"/>
    <w:rsid w:val="00D1007A"/>
    <w:rsid w:val="00D10E22"/>
    <w:rsid w:val="00D13D2C"/>
    <w:rsid w:val="00D13F05"/>
    <w:rsid w:val="00D1772B"/>
    <w:rsid w:val="00D2040C"/>
    <w:rsid w:val="00D33B34"/>
    <w:rsid w:val="00D369A1"/>
    <w:rsid w:val="00D44CCA"/>
    <w:rsid w:val="00D50721"/>
    <w:rsid w:val="00D57815"/>
    <w:rsid w:val="00D6061A"/>
    <w:rsid w:val="00D701F4"/>
    <w:rsid w:val="00D76A1B"/>
    <w:rsid w:val="00D820B6"/>
    <w:rsid w:val="00DA11DB"/>
    <w:rsid w:val="00DA5C95"/>
    <w:rsid w:val="00DA68A0"/>
    <w:rsid w:val="00DB02A8"/>
    <w:rsid w:val="00DB2DDC"/>
    <w:rsid w:val="00DB5903"/>
    <w:rsid w:val="00DC2F94"/>
    <w:rsid w:val="00DD1D45"/>
    <w:rsid w:val="00DD3BF1"/>
    <w:rsid w:val="00DD3D9E"/>
    <w:rsid w:val="00DD5A42"/>
    <w:rsid w:val="00DD7908"/>
    <w:rsid w:val="00DE0F47"/>
    <w:rsid w:val="00DE265C"/>
    <w:rsid w:val="00DE67C6"/>
    <w:rsid w:val="00DF105D"/>
    <w:rsid w:val="00DF1283"/>
    <w:rsid w:val="00DF6867"/>
    <w:rsid w:val="00E105DF"/>
    <w:rsid w:val="00E10CB6"/>
    <w:rsid w:val="00E169BD"/>
    <w:rsid w:val="00E248A6"/>
    <w:rsid w:val="00E3626D"/>
    <w:rsid w:val="00E5152B"/>
    <w:rsid w:val="00E5259F"/>
    <w:rsid w:val="00E5643F"/>
    <w:rsid w:val="00E57774"/>
    <w:rsid w:val="00E6033F"/>
    <w:rsid w:val="00E6090F"/>
    <w:rsid w:val="00E6606C"/>
    <w:rsid w:val="00E66FFD"/>
    <w:rsid w:val="00E67E55"/>
    <w:rsid w:val="00E72F0E"/>
    <w:rsid w:val="00E75639"/>
    <w:rsid w:val="00E82297"/>
    <w:rsid w:val="00EB33F0"/>
    <w:rsid w:val="00EB4724"/>
    <w:rsid w:val="00EB5772"/>
    <w:rsid w:val="00EC4469"/>
    <w:rsid w:val="00EE7488"/>
    <w:rsid w:val="00EE7F7A"/>
    <w:rsid w:val="00EF086A"/>
    <w:rsid w:val="00EF39FD"/>
    <w:rsid w:val="00F04D08"/>
    <w:rsid w:val="00F06842"/>
    <w:rsid w:val="00F107FD"/>
    <w:rsid w:val="00F112D9"/>
    <w:rsid w:val="00F229CD"/>
    <w:rsid w:val="00F22ED0"/>
    <w:rsid w:val="00F34065"/>
    <w:rsid w:val="00F54430"/>
    <w:rsid w:val="00F561EF"/>
    <w:rsid w:val="00F60DE1"/>
    <w:rsid w:val="00F62C9E"/>
    <w:rsid w:val="00F63315"/>
    <w:rsid w:val="00F71114"/>
    <w:rsid w:val="00F90EA3"/>
    <w:rsid w:val="00F94A80"/>
    <w:rsid w:val="00F94CA1"/>
    <w:rsid w:val="00F955F4"/>
    <w:rsid w:val="00FA2C57"/>
    <w:rsid w:val="00FB200F"/>
    <w:rsid w:val="00FB64A8"/>
    <w:rsid w:val="00FC008D"/>
    <w:rsid w:val="00FC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paragraph" w:styleId="Textkrper">
    <w:name w:val="Body Text"/>
    <w:basedOn w:val="Standard"/>
    <w:link w:val="TextkrperZchn"/>
    <w:qFormat/>
    <w:rsid w:val="00AA25E6"/>
    <w:pPr>
      <w:spacing w:before="180" w:after="180"/>
    </w:pPr>
    <w:rPr>
      <w:rFonts w:asciiTheme="minorHAnsi" w:eastAsiaTheme="minorHAnsi" w:hAnsiTheme="minorHAnsi" w:cstheme="minorBidi"/>
      <w:sz w:val="24"/>
      <w:szCs w:val="24"/>
      <w:lang w:val="en-US"/>
    </w:rPr>
  </w:style>
  <w:style w:type="character" w:customStyle="1" w:styleId="TextkrperZchn">
    <w:name w:val="Textkörper Zchn"/>
    <w:basedOn w:val="Absatz-Standardschriftart"/>
    <w:link w:val="Textkrper"/>
    <w:rsid w:val="00AA25E6"/>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rsid w:val="00AA25E6"/>
  </w:style>
  <w:style w:type="character" w:styleId="Platzhaltertext">
    <w:name w:val="Placeholder Text"/>
    <w:basedOn w:val="Absatz-Standardschriftart"/>
    <w:uiPriority w:val="99"/>
    <w:semiHidden/>
    <w:rsid w:val="00C51BE8"/>
    <w:rPr>
      <w:color w:val="808080"/>
    </w:rPr>
  </w:style>
  <w:style w:type="paragraph" w:styleId="berarbeitung">
    <w:name w:val="Revision"/>
    <w:hidden/>
    <w:uiPriority w:val="99"/>
    <w:semiHidden/>
    <w:rsid w:val="00FA2C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0215">
      <w:bodyDiv w:val="1"/>
      <w:marLeft w:val="0"/>
      <w:marRight w:val="0"/>
      <w:marTop w:val="0"/>
      <w:marBottom w:val="0"/>
      <w:divBdr>
        <w:top w:val="none" w:sz="0" w:space="0" w:color="auto"/>
        <w:left w:val="none" w:sz="0" w:space="0" w:color="auto"/>
        <w:bottom w:val="none" w:sz="0" w:space="0" w:color="auto"/>
        <w:right w:val="none" w:sz="0" w:space="0" w:color="auto"/>
      </w:divBdr>
      <w:divsChild>
        <w:div w:id="1900164510">
          <w:marLeft w:val="480"/>
          <w:marRight w:val="0"/>
          <w:marTop w:val="0"/>
          <w:marBottom w:val="0"/>
          <w:divBdr>
            <w:top w:val="none" w:sz="0" w:space="0" w:color="auto"/>
            <w:left w:val="none" w:sz="0" w:space="0" w:color="auto"/>
            <w:bottom w:val="none" w:sz="0" w:space="0" w:color="auto"/>
            <w:right w:val="none" w:sz="0" w:space="0" w:color="auto"/>
          </w:divBdr>
          <w:divsChild>
            <w:div w:id="1723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0140">
      <w:bodyDiv w:val="1"/>
      <w:marLeft w:val="0"/>
      <w:marRight w:val="0"/>
      <w:marTop w:val="0"/>
      <w:marBottom w:val="0"/>
      <w:divBdr>
        <w:top w:val="none" w:sz="0" w:space="0" w:color="auto"/>
        <w:left w:val="none" w:sz="0" w:space="0" w:color="auto"/>
        <w:bottom w:val="none" w:sz="0" w:space="0" w:color="auto"/>
        <w:right w:val="none" w:sz="0" w:space="0" w:color="auto"/>
      </w:divBdr>
    </w:div>
    <w:div w:id="330108455">
      <w:bodyDiv w:val="1"/>
      <w:marLeft w:val="0"/>
      <w:marRight w:val="0"/>
      <w:marTop w:val="0"/>
      <w:marBottom w:val="0"/>
      <w:divBdr>
        <w:top w:val="none" w:sz="0" w:space="0" w:color="auto"/>
        <w:left w:val="none" w:sz="0" w:space="0" w:color="auto"/>
        <w:bottom w:val="none" w:sz="0" w:space="0" w:color="auto"/>
        <w:right w:val="none" w:sz="0" w:space="0" w:color="auto"/>
      </w:divBdr>
    </w:div>
    <w:div w:id="418601761">
      <w:bodyDiv w:val="1"/>
      <w:marLeft w:val="0"/>
      <w:marRight w:val="0"/>
      <w:marTop w:val="0"/>
      <w:marBottom w:val="0"/>
      <w:divBdr>
        <w:top w:val="none" w:sz="0" w:space="0" w:color="auto"/>
        <w:left w:val="none" w:sz="0" w:space="0" w:color="auto"/>
        <w:bottom w:val="none" w:sz="0" w:space="0" w:color="auto"/>
        <w:right w:val="none" w:sz="0" w:space="0" w:color="auto"/>
      </w:divBdr>
    </w:div>
    <w:div w:id="470905417">
      <w:bodyDiv w:val="1"/>
      <w:marLeft w:val="0"/>
      <w:marRight w:val="0"/>
      <w:marTop w:val="0"/>
      <w:marBottom w:val="0"/>
      <w:divBdr>
        <w:top w:val="none" w:sz="0" w:space="0" w:color="auto"/>
        <w:left w:val="none" w:sz="0" w:space="0" w:color="auto"/>
        <w:bottom w:val="none" w:sz="0" w:space="0" w:color="auto"/>
        <w:right w:val="none" w:sz="0" w:space="0" w:color="auto"/>
      </w:divBdr>
      <w:divsChild>
        <w:div w:id="274408705">
          <w:marLeft w:val="480"/>
          <w:marRight w:val="0"/>
          <w:marTop w:val="0"/>
          <w:marBottom w:val="0"/>
          <w:divBdr>
            <w:top w:val="none" w:sz="0" w:space="0" w:color="auto"/>
            <w:left w:val="none" w:sz="0" w:space="0" w:color="auto"/>
            <w:bottom w:val="none" w:sz="0" w:space="0" w:color="auto"/>
            <w:right w:val="none" w:sz="0" w:space="0" w:color="auto"/>
          </w:divBdr>
          <w:divsChild>
            <w:div w:id="2405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9389">
      <w:bodyDiv w:val="1"/>
      <w:marLeft w:val="0"/>
      <w:marRight w:val="0"/>
      <w:marTop w:val="0"/>
      <w:marBottom w:val="0"/>
      <w:divBdr>
        <w:top w:val="none" w:sz="0" w:space="0" w:color="auto"/>
        <w:left w:val="none" w:sz="0" w:space="0" w:color="auto"/>
        <w:bottom w:val="none" w:sz="0" w:space="0" w:color="auto"/>
        <w:right w:val="none" w:sz="0" w:space="0" w:color="auto"/>
      </w:divBdr>
    </w:div>
    <w:div w:id="683940850">
      <w:bodyDiv w:val="1"/>
      <w:marLeft w:val="0"/>
      <w:marRight w:val="0"/>
      <w:marTop w:val="0"/>
      <w:marBottom w:val="0"/>
      <w:divBdr>
        <w:top w:val="none" w:sz="0" w:space="0" w:color="auto"/>
        <w:left w:val="none" w:sz="0" w:space="0" w:color="auto"/>
        <w:bottom w:val="none" w:sz="0" w:space="0" w:color="auto"/>
        <w:right w:val="none" w:sz="0" w:space="0" w:color="auto"/>
      </w:divBdr>
      <w:divsChild>
        <w:div w:id="773138676">
          <w:marLeft w:val="480"/>
          <w:marRight w:val="0"/>
          <w:marTop w:val="0"/>
          <w:marBottom w:val="0"/>
          <w:divBdr>
            <w:top w:val="none" w:sz="0" w:space="0" w:color="auto"/>
            <w:left w:val="none" w:sz="0" w:space="0" w:color="auto"/>
            <w:bottom w:val="none" w:sz="0" w:space="0" w:color="auto"/>
            <w:right w:val="none" w:sz="0" w:space="0" w:color="auto"/>
          </w:divBdr>
          <w:divsChild>
            <w:div w:id="16182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8325">
      <w:bodyDiv w:val="1"/>
      <w:marLeft w:val="0"/>
      <w:marRight w:val="0"/>
      <w:marTop w:val="0"/>
      <w:marBottom w:val="0"/>
      <w:divBdr>
        <w:top w:val="none" w:sz="0" w:space="0" w:color="auto"/>
        <w:left w:val="none" w:sz="0" w:space="0" w:color="auto"/>
        <w:bottom w:val="none" w:sz="0" w:space="0" w:color="auto"/>
        <w:right w:val="none" w:sz="0" w:space="0" w:color="auto"/>
      </w:divBdr>
    </w:div>
    <w:div w:id="949045128">
      <w:bodyDiv w:val="1"/>
      <w:marLeft w:val="0"/>
      <w:marRight w:val="0"/>
      <w:marTop w:val="0"/>
      <w:marBottom w:val="0"/>
      <w:divBdr>
        <w:top w:val="none" w:sz="0" w:space="0" w:color="auto"/>
        <w:left w:val="none" w:sz="0" w:space="0" w:color="auto"/>
        <w:bottom w:val="none" w:sz="0" w:space="0" w:color="auto"/>
        <w:right w:val="none" w:sz="0" w:space="0" w:color="auto"/>
      </w:divBdr>
      <w:divsChild>
        <w:div w:id="1490443065">
          <w:marLeft w:val="480"/>
          <w:marRight w:val="0"/>
          <w:marTop w:val="0"/>
          <w:marBottom w:val="0"/>
          <w:divBdr>
            <w:top w:val="none" w:sz="0" w:space="0" w:color="auto"/>
            <w:left w:val="none" w:sz="0" w:space="0" w:color="auto"/>
            <w:bottom w:val="none" w:sz="0" w:space="0" w:color="auto"/>
            <w:right w:val="none" w:sz="0" w:space="0" w:color="auto"/>
          </w:divBdr>
          <w:divsChild>
            <w:div w:id="2533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962">
      <w:bodyDiv w:val="1"/>
      <w:marLeft w:val="0"/>
      <w:marRight w:val="0"/>
      <w:marTop w:val="0"/>
      <w:marBottom w:val="0"/>
      <w:divBdr>
        <w:top w:val="none" w:sz="0" w:space="0" w:color="auto"/>
        <w:left w:val="none" w:sz="0" w:space="0" w:color="auto"/>
        <w:bottom w:val="none" w:sz="0" w:space="0" w:color="auto"/>
        <w:right w:val="none" w:sz="0" w:space="0" w:color="auto"/>
      </w:divBdr>
      <w:divsChild>
        <w:div w:id="159927336">
          <w:marLeft w:val="480"/>
          <w:marRight w:val="0"/>
          <w:marTop w:val="0"/>
          <w:marBottom w:val="0"/>
          <w:divBdr>
            <w:top w:val="none" w:sz="0" w:space="0" w:color="auto"/>
            <w:left w:val="none" w:sz="0" w:space="0" w:color="auto"/>
            <w:bottom w:val="none" w:sz="0" w:space="0" w:color="auto"/>
            <w:right w:val="none" w:sz="0" w:space="0" w:color="auto"/>
          </w:divBdr>
          <w:divsChild>
            <w:div w:id="13020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3222">
      <w:bodyDiv w:val="1"/>
      <w:marLeft w:val="0"/>
      <w:marRight w:val="0"/>
      <w:marTop w:val="0"/>
      <w:marBottom w:val="0"/>
      <w:divBdr>
        <w:top w:val="none" w:sz="0" w:space="0" w:color="auto"/>
        <w:left w:val="none" w:sz="0" w:space="0" w:color="auto"/>
        <w:bottom w:val="none" w:sz="0" w:space="0" w:color="auto"/>
        <w:right w:val="none" w:sz="0" w:space="0" w:color="auto"/>
      </w:divBdr>
      <w:divsChild>
        <w:div w:id="783035620">
          <w:marLeft w:val="480"/>
          <w:marRight w:val="0"/>
          <w:marTop w:val="0"/>
          <w:marBottom w:val="0"/>
          <w:divBdr>
            <w:top w:val="none" w:sz="0" w:space="0" w:color="auto"/>
            <w:left w:val="none" w:sz="0" w:space="0" w:color="auto"/>
            <w:bottom w:val="none" w:sz="0" w:space="0" w:color="auto"/>
            <w:right w:val="none" w:sz="0" w:space="0" w:color="auto"/>
          </w:divBdr>
          <w:divsChild>
            <w:div w:id="2153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9988">
      <w:bodyDiv w:val="1"/>
      <w:marLeft w:val="0"/>
      <w:marRight w:val="0"/>
      <w:marTop w:val="0"/>
      <w:marBottom w:val="0"/>
      <w:divBdr>
        <w:top w:val="none" w:sz="0" w:space="0" w:color="auto"/>
        <w:left w:val="none" w:sz="0" w:space="0" w:color="auto"/>
        <w:bottom w:val="none" w:sz="0" w:space="0" w:color="auto"/>
        <w:right w:val="none" w:sz="0" w:space="0" w:color="auto"/>
      </w:divBdr>
    </w:div>
    <w:div w:id="1414007417">
      <w:bodyDiv w:val="1"/>
      <w:marLeft w:val="0"/>
      <w:marRight w:val="0"/>
      <w:marTop w:val="0"/>
      <w:marBottom w:val="0"/>
      <w:divBdr>
        <w:top w:val="none" w:sz="0" w:space="0" w:color="auto"/>
        <w:left w:val="none" w:sz="0" w:space="0" w:color="auto"/>
        <w:bottom w:val="none" w:sz="0" w:space="0" w:color="auto"/>
        <w:right w:val="none" w:sz="0" w:space="0" w:color="auto"/>
      </w:divBdr>
      <w:divsChild>
        <w:div w:id="1827471742">
          <w:marLeft w:val="480"/>
          <w:marRight w:val="0"/>
          <w:marTop w:val="0"/>
          <w:marBottom w:val="0"/>
          <w:divBdr>
            <w:top w:val="none" w:sz="0" w:space="0" w:color="auto"/>
            <w:left w:val="none" w:sz="0" w:space="0" w:color="auto"/>
            <w:bottom w:val="none" w:sz="0" w:space="0" w:color="auto"/>
            <w:right w:val="none" w:sz="0" w:space="0" w:color="auto"/>
          </w:divBdr>
          <w:divsChild>
            <w:div w:id="390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4264">
      <w:bodyDiv w:val="1"/>
      <w:marLeft w:val="0"/>
      <w:marRight w:val="0"/>
      <w:marTop w:val="0"/>
      <w:marBottom w:val="0"/>
      <w:divBdr>
        <w:top w:val="none" w:sz="0" w:space="0" w:color="auto"/>
        <w:left w:val="none" w:sz="0" w:space="0" w:color="auto"/>
        <w:bottom w:val="none" w:sz="0" w:space="0" w:color="auto"/>
        <w:right w:val="none" w:sz="0" w:space="0" w:color="auto"/>
      </w:divBdr>
      <w:divsChild>
        <w:div w:id="55664048">
          <w:marLeft w:val="480"/>
          <w:marRight w:val="0"/>
          <w:marTop w:val="0"/>
          <w:marBottom w:val="0"/>
          <w:divBdr>
            <w:top w:val="none" w:sz="0" w:space="0" w:color="auto"/>
            <w:left w:val="none" w:sz="0" w:space="0" w:color="auto"/>
            <w:bottom w:val="none" w:sz="0" w:space="0" w:color="auto"/>
            <w:right w:val="none" w:sz="0" w:space="0" w:color="auto"/>
          </w:divBdr>
          <w:divsChild>
            <w:div w:id="10534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2349">
      <w:bodyDiv w:val="1"/>
      <w:marLeft w:val="0"/>
      <w:marRight w:val="0"/>
      <w:marTop w:val="0"/>
      <w:marBottom w:val="0"/>
      <w:divBdr>
        <w:top w:val="none" w:sz="0" w:space="0" w:color="auto"/>
        <w:left w:val="none" w:sz="0" w:space="0" w:color="auto"/>
        <w:bottom w:val="none" w:sz="0" w:space="0" w:color="auto"/>
        <w:right w:val="none" w:sz="0" w:space="0" w:color="auto"/>
      </w:divBdr>
      <w:divsChild>
        <w:div w:id="1036665019">
          <w:marLeft w:val="480"/>
          <w:marRight w:val="0"/>
          <w:marTop w:val="0"/>
          <w:marBottom w:val="0"/>
          <w:divBdr>
            <w:top w:val="none" w:sz="0" w:space="0" w:color="auto"/>
            <w:left w:val="none" w:sz="0" w:space="0" w:color="auto"/>
            <w:bottom w:val="none" w:sz="0" w:space="0" w:color="auto"/>
            <w:right w:val="none" w:sz="0" w:space="0" w:color="auto"/>
          </w:divBdr>
          <w:divsChild>
            <w:div w:id="1891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8496">
      <w:bodyDiv w:val="1"/>
      <w:marLeft w:val="0"/>
      <w:marRight w:val="0"/>
      <w:marTop w:val="0"/>
      <w:marBottom w:val="0"/>
      <w:divBdr>
        <w:top w:val="none" w:sz="0" w:space="0" w:color="auto"/>
        <w:left w:val="none" w:sz="0" w:space="0" w:color="auto"/>
        <w:bottom w:val="none" w:sz="0" w:space="0" w:color="auto"/>
        <w:right w:val="none" w:sz="0" w:space="0" w:color="auto"/>
      </w:divBdr>
      <w:divsChild>
        <w:div w:id="1323923023">
          <w:marLeft w:val="480"/>
          <w:marRight w:val="0"/>
          <w:marTop w:val="0"/>
          <w:marBottom w:val="0"/>
          <w:divBdr>
            <w:top w:val="none" w:sz="0" w:space="0" w:color="auto"/>
            <w:left w:val="none" w:sz="0" w:space="0" w:color="auto"/>
            <w:bottom w:val="none" w:sz="0" w:space="0" w:color="auto"/>
            <w:right w:val="none" w:sz="0" w:space="0" w:color="auto"/>
          </w:divBdr>
          <w:divsChild>
            <w:div w:id="10717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5775">
      <w:bodyDiv w:val="1"/>
      <w:marLeft w:val="0"/>
      <w:marRight w:val="0"/>
      <w:marTop w:val="0"/>
      <w:marBottom w:val="0"/>
      <w:divBdr>
        <w:top w:val="none" w:sz="0" w:space="0" w:color="auto"/>
        <w:left w:val="none" w:sz="0" w:space="0" w:color="auto"/>
        <w:bottom w:val="none" w:sz="0" w:space="0" w:color="auto"/>
        <w:right w:val="none" w:sz="0" w:space="0" w:color="auto"/>
      </w:divBdr>
      <w:divsChild>
        <w:div w:id="1288663675">
          <w:marLeft w:val="480"/>
          <w:marRight w:val="0"/>
          <w:marTop w:val="0"/>
          <w:marBottom w:val="0"/>
          <w:divBdr>
            <w:top w:val="none" w:sz="0" w:space="0" w:color="auto"/>
            <w:left w:val="none" w:sz="0" w:space="0" w:color="auto"/>
            <w:bottom w:val="none" w:sz="0" w:space="0" w:color="auto"/>
            <w:right w:val="none" w:sz="0" w:space="0" w:color="auto"/>
          </w:divBdr>
          <w:divsChild>
            <w:div w:id="1711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4793">
      <w:bodyDiv w:val="1"/>
      <w:marLeft w:val="0"/>
      <w:marRight w:val="0"/>
      <w:marTop w:val="0"/>
      <w:marBottom w:val="0"/>
      <w:divBdr>
        <w:top w:val="none" w:sz="0" w:space="0" w:color="auto"/>
        <w:left w:val="none" w:sz="0" w:space="0" w:color="auto"/>
        <w:bottom w:val="none" w:sz="0" w:space="0" w:color="auto"/>
        <w:right w:val="none" w:sz="0" w:space="0" w:color="auto"/>
      </w:divBdr>
      <w:divsChild>
        <w:div w:id="1457484147">
          <w:marLeft w:val="480"/>
          <w:marRight w:val="0"/>
          <w:marTop w:val="0"/>
          <w:marBottom w:val="0"/>
          <w:divBdr>
            <w:top w:val="none" w:sz="0" w:space="0" w:color="auto"/>
            <w:left w:val="none" w:sz="0" w:space="0" w:color="auto"/>
            <w:bottom w:val="none" w:sz="0" w:space="0" w:color="auto"/>
            <w:right w:val="none" w:sz="0" w:space="0" w:color="auto"/>
          </w:divBdr>
          <w:divsChild>
            <w:div w:id="7818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8863">
      <w:bodyDiv w:val="1"/>
      <w:marLeft w:val="0"/>
      <w:marRight w:val="0"/>
      <w:marTop w:val="0"/>
      <w:marBottom w:val="0"/>
      <w:divBdr>
        <w:top w:val="none" w:sz="0" w:space="0" w:color="auto"/>
        <w:left w:val="none" w:sz="0" w:space="0" w:color="auto"/>
        <w:bottom w:val="none" w:sz="0" w:space="0" w:color="auto"/>
        <w:right w:val="none" w:sz="0" w:space="0" w:color="auto"/>
      </w:divBdr>
      <w:divsChild>
        <w:div w:id="2101412200">
          <w:marLeft w:val="0"/>
          <w:marRight w:val="0"/>
          <w:marTop w:val="0"/>
          <w:marBottom w:val="0"/>
          <w:divBdr>
            <w:top w:val="none" w:sz="0" w:space="0" w:color="auto"/>
            <w:left w:val="none" w:sz="0" w:space="0" w:color="auto"/>
            <w:bottom w:val="none" w:sz="0" w:space="0" w:color="auto"/>
            <w:right w:val="none" w:sz="0" w:space="0" w:color="auto"/>
          </w:divBdr>
          <w:divsChild>
            <w:div w:id="920336451">
              <w:marLeft w:val="0"/>
              <w:marRight w:val="0"/>
              <w:marTop w:val="0"/>
              <w:marBottom w:val="0"/>
              <w:divBdr>
                <w:top w:val="none" w:sz="0" w:space="0" w:color="auto"/>
                <w:left w:val="none" w:sz="0" w:space="0" w:color="auto"/>
                <w:bottom w:val="none" w:sz="0" w:space="0" w:color="auto"/>
                <w:right w:val="none" w:sz="0" w:space="0" w:color="auto"/>
              </w:divBdr>
              <w:divsChild>
                <w:div w:id="1469412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86367209">
      <w:bodyDiv w:val="1"/>
      <w:marLeft w:val="0"/>
      <w:marRight w:val="0"/>
      <w:marTop w:val="0"/>
      <w:marBottom w:val="0"/>
      <w:divBdr>
        <w:top w:val="none" w:sz="0" w:space="0" w:color="auto"/>
        <w:left w:val="none" w:sz="0" w:space="0" w:color="auto"/>
        <w:bottom w:val="none" w:sz="0" w:space="0" w:color="auto"/>
        <w:right w:val="none" w:sz="0" w:space="0" w:color="auto"/>
      </w:divBdr>
      <w:divsChild>
        <w:div w:id="2117094045">
          <w:marLeft w:val="480"/>
          <w:marRight w:val="0"/>
          <w:marTop w:val="0"/>
          <w:marBottom w:val="0"/>
          <w:divBdr>
            <w:top w:val="none" w:sz="0" w:space="0" w:color="auto"/>
            <w:left w:val="none" w:sz="0" w:space="0" w:color="auto"/>
            <w:bottom w:val="none" w:sz="0" w:space="0" w:color="auto"/>
            <w:right w:val="none" w:sz="0" w:space="0" w:color="auto"/>
          </w:divBdr>
          <w:divsChild>
            <w:div w:id="7391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113">
      <w:bodyDiv w:val="1"/>
      <w:marLeft w:val="0"/>
      <w:marRight w:val="0"/>
      <w:marTop w:val="0"/>
      <w:marBottom w:val="0"/>
      <w:divBdr>
        <w:top w:val="none" w:sz="0" w:space="0" w:color="auto"/>
        <w:left w:val="none" w:sz="0" w:space="0" w:color="auto"/>
        <w:bottom w:val="none" w:sz="0" w:space="0" w:color="auto"/>
        <w:right w:val="none" w:sz="0" w:space="0" w:color="auto"/>
      </w:divBdr>
      <w:divsChild>
        <w:div w:id="1767647905">
          <w:marLeft w:val="480"/>
          <w:marRight w:val="0"/>
          <w:marTop w:val="0"/>
          <w:marBottom w:val="0"/>
          <w:divBdr>
            <w:top w:val="none" w:sz="0" w:space="0" w:color="auto"/>
            <w:left w:val="none" w:sz="0" w:space="0" w:color="auto"/>
            <w:bottom w:val="none" w:sz="0" w:space="0" w:color="auto"/>
            <w:right w:val="none" w:sz="0" w:space="0" w:color="auto"/>
          </w:divBdr>
          <w:divsChild>
            <w:div w:id="8450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A636-4CCD-401A-B03D-A3A3C65F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2257</Words>
  <Characters>14042</Characters>
  <Application>Microsoft Office Word</Application>
  <DocSecurity>0</DocSecurity>
  <Lines>117</Lines>
  <Paragraphs>32</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Niklas Kemmerling</cp:lastModifiedBy>
  <cp:revision>2</cp:revision>
  <cp:lastPrinted>2004-12-17T09:20:00Z</cp:lastPrinted>
  <dcterms:created xsi:type="dcterms:W3CDTF">2023-11-30T18:52:00Z</dcterms:created>
  <dcterms:modified xsi:type="dcterms:W3CDTF">2023-11-30T18:52:00Z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