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35DEB16B" w:rsidR="00DD3D9E" w:rsidRPr="00B4388F" w:rsidRDefault="00FA2BD2">
      <w:pPr>
        <w:pStyle w:val="Els-Title"/>
        <w:rPr>
          <w:color w:val="000000" w:themeColor="text1"/>
        </w:rPr>
      </w:pPr>
      <w:bookmarkStart w:id="0" w:name="_Hlk151651957"/>
      <w:r>
        <w:rPr>
          <w:color w:val="000000" w:themeColor="text1"/>
        </w:rPr>
        <w:t>H</w:t>
      </w:r>
      <w:r w:rsidR="00AF05DF" w:rsidRPr="00AF05DF">
        <w:rPr>
          <w:color w:val="000000" w:themeColor="text1"/>
        </w:rPr>
        <w:t xml:space="preserve">arvesting the Wind - Assessment of </w:t>
      </w:r>
      <w:r w:rsidR="00A02868">
        <w:rPr>
          <w:color w:val="000000" w:themeColor="text1"/>
        </w:rPr>
        <w:t>O</w:t>
      </w:r>
      <w:r w:rsidR="00AF05DF" w:rsidRPr="00AF05DF">
        <w:rPr>
          <w:color w:val="000000" w:themeColor="text1"/>
        </w:rPr>
        <w:t>ffshore Electricity Storage Systems</w:t>
      </w:r>
    </w:p>
    <w:bookmarkEnd w:id="0"/>
    <w:p w14:paraId="144DE680" w14:textId="195DF324" w:rsidR="00DD3D9E" w:rsidRDefault="00AF05DF">
      <w:pPr>
        <w:pStyle w:val="Els-Author"/>
      </w:pPr>
      <w:r w:rsidRPr="00AF05DF">
        <w:t>Jan F. Wiegner</w:t>
      </w:r>
      <w:r w:rsidR="00000DC7">
        <w:t>,</w:t>
      </w:r>
      <w:r w:rsidRPr="0070457E">
        <w:rPr>
          <w:vertAlign w:val="superscript"/>
        </w:rPr>
        <w:t>a</w:t>
      </w:r>
      <w:r w:rsidRPr="00AF05DF">
        <w:t xml:space="preserve"> Inge</w:t>
      </w:r>
      <w:r w:rsidR="00F73C90">
        <w:t xml:space="preserve"> M.</w:t>
      </w:r>
      <w:r w:rsidRPr="00AF05DF">
        <w:t xml:space="preserve"> Ossentjuk</w:t>
      </w:r>
      <w:r w:rsidR="00000DC7">
        <w:t>,</w:t>
      </w:r>
      <w:r w:rsidRPr="0070457E">
        <w:rPr>
          <w:vertAlign w:val="superscript"/>
        </w:rPr>
        <w:t>a</w:t>
      </w:r>
      <w:r w:rsidRPr="00AF05DF">
        <w:t xml:space="preserve"> Robbert </w:t>
      </w:r>
      <w:r w:rsidR="00542CB5">
        <w:t xml:space="preserve">M. </w:t>
      </w:r>
      <w:r w:rsidRPr="00AF05DF">
        <w:t>Nienhuis</w:t>
      </w:r>
      <w:r w:rsidR="00000DC7">
        <w:t>,</w:t>
      </w:r>
      <w:r w:rsidRPr="0070457E">
        <w:rPr>
          <w:vertAlign w:val="superscript"/>
        </w:rPr>
        <w:t>b</w:t>
      </w:r>
      <w:r w:rsidRPr="00AF05DF">
        <w:t xml:space="preserve"> </w:t>
      </w:r>
      <w:r w:rsidR="0040018A">
        <w:t>Antonis I. Vakis</w:t>
      </w:r>
      <w:r w:rsidR="00000DC7">
        <w:t>,</w:t>
      </w:r>
      <w:r w:rsidR="0040018A" w:rsidRPr="0070457E">
        <w:rPr>
          <w:vertAlign w:val="superscript"/>
        </w:rPr>
        <w:t>b</w:t>
      </w:r>
      <w:r w:rsidR="0040018A">
        <w:t xml:space="preserve"> </w:t>
      </w:r>
      <w:r w:rsidRPr="00AF05DF">
        <w:t>Madeleine Gibescu</w:t>
      </w:r>
      <w:r w:rsidR="00000DC7">
        <w:t>,</w:t>
      </w:r>
      <w:r w:rsidRPr="0070457E">
        <w:rPr>
          <w:vertAlign w:val="superscript"/>
        </w:rPr>
        <w:t>a</w:t>
      </w:r>
      <w:r w:rsidRPr="00AF05DF">
        <w:t xml:space="preserve"> and Matteo Gazzani</w:t>
      </w:r>
      <w:r w:rsidRPr="0070457E">
        <w:rPr>
          <w:vertAlign w:val="superscript"/>
        </w:rPr>
        <w:t>a</w:t>
      </w:r>
      <w:r w:rsidR="00866122" w:rsidRPr="00240199">
        <w:rPr>
          <w:rFonts w:ascii="Cambria Math" w:hAnsi="Cambria Math" w:cs="Cambria Math"/>
          <w:vertAlign w:val="superscript"/>
        </w:rPr>
        <w:t>∗</w:t>
      </w:r>
    </w:p>
    <w:p w14:paraId="144DE683" w14:textId="45A10934" w:rsidR="008D2649" w:rsidRPr="00897805" w:rsidRDefault="00630017" w:rsidP="0070457E">
      <w:pPr>
        <w:pStyle w:val="Els-Author"/>
      </w:pPr>
      <w:r w:rsidRPr="00897805">
        <w:rPr>
          <w:vertAlign w:val="superscript"/>
        </w:rPr>
        <w:t>a</w:t>
      </w:r>
      <w:r w:rsidR="00BC5E84">
        <w:rPr>
          <w:vertAlign w:val="superscript"/>
        </w:rPr>
        <w:t xml:space="preserve"> </w:t>
      </w:r>
      <w:r w:rsidR="00AC62E9" w:rsidRPr="00897805">
        <w:rPr>
          <w:i/>
          <w:sz w:val="20"/>
        </w:rPr>
        <w:t>Utrecht University, Princetonlaan 8a, 3584 CB Utrecht, The Netherlands.</w:t>
      </w:r>
      <w:r w:rsidRPr="00897805">
        <w:rPr>
          <w:i/>
          <w:sz w:val="20"/>
        </w:rPr>
        <w:br/>
      </w:r>
      <w:r w:rsidRPr="00897805">
        <w:rPr>
          <w:sz w:val="20"/>
          <w:vertAlign w:val="superscript"/>
        </w:rPr>
        <w:t>b</w:t>
      </w:r>
      <w:r w:rsidR="000029B7" w:rsidRPr="00897805">
        <w:t xml:space="preserve"> </w:t>
      </w:r>
      <w:r w:rsidR="000029B7" w:rsidRPr="00897805">
        <w:rPr>
          <w:i/>
          <w:sz w:val="20"/>
        </w:rPr>
        <w:t>University of Groningen, Nijenborgh 4, 9747 AG Groningen, The Netherlands</w:t>
      </w:r>
      <w:r w:rsidRPr="00897805">
        <w:rPr>
          <w:i/>
          <w:sz w:val="20"/>
        </w:rPr>
        <w:br/>
      </w:r>
      <w:r w:rsidR="000029B7" w:rsidRPr="00BC5E84">
        <w:rPr>
          <w:i/>
          <w:vertAlign w:val="superscript"/>
        </w:rPr>
        <w:t>*</w:t>
      </w:r>
      <w:r w:rsidR="00BC5E84">
        <w:rPr>
          <w:i/>
        </w:rPr>
        <w:t xml:space="preserve"> </w:t>
      </w:r>
      <w:r w:rsidR="000029B7" w:rsidRPr="00897805">
        <w:rPr>
          <w:i/>
          <w:sz w:val="20"/>
        </w:rPr>
        <w:t>m.gazzani@uu.nl</w:t>
      </w:r>
    </w:p>
    <w:p w14:paraId="144DE684" w14:textId="6402F0D8" w:rsidR="008D2649" w:rsidRDefault="008D2649" w:rsidP="008D2649">
      <w:pPr>
        <w:pStyle w:val="Els-Abstract"/>
      </w:pPr>
      <w:r>
        <w:t>Abstract</w:t>
      </w:r>
    </w:p>
    <w:p w14:paraId="29BEC460" w14:textId="3279A3C5" w:rsidR="00D7057C" w:rsidRPr="00D7057C" w:rsidRDefault="00F213F6" w:rsidP="00D7057C">
      <w:pPr>
        <w:pStyle w:val="Els-body-text"/>
        <w:spacing w:after="120"/>
      </w:pPr>
      <w:r w:rsidRPr="00D7057C">
        <w:t xml:space="preserve">Offshore wind energy </w:t>
      </w:r>
      <w:r w:rsidR="001831C9" w:rsidRPr="00D7057C">
        <w:t xml:space="preserve">will comprise a significant share of the future </w:t>
      </w:r>
      <w:r w:rsidR="00E42770" w:rsidRPr="00D7057C">
        <w:t>European elec</w:t>
      </w:r>
      <w:r w:rsidR="009F3E3F" w:rsidRPr="00D7057C">
        <w:t>tricity supply.</w:t>
      </w:r>
      <w:r w:rsidR="00B52517" w:rsidRPr="00D7057C">
        <w:t xml:space="preserve"> </w:t>
      </w:r>
      <w:r w:rsidR="00752BDD">
        <w:t>This</w:t>
      </w:r>
      <w:r w:rsidR="001A3AA6">
        <w:t>,</w:t>
      </w:r>
      <w:r w:rsidR="00752BDD">
        <w:t xml:space="preserve"> however</w:t>
      </w:r>
      <w:r w:rsidR="001A3AA6">
        <w:t>,</w:t>
      </w:r>
      <w:r w:rsidR="00752BDD">
        <w:t xml:space="preserve"> comes with the challenge of </w:t>
      </w:r>
      <w:r w:rsidR="009E450E">
        <w:t>intermittency</w:t>
      </w:r>
      <w:r w:rsidR="00286C4A">
        <w:t xml:space="preserve"> o</w:t>
      </w:r>
      <w:r w:rsidR="00861883">
        <w:t>f</w:t>
      </w:r>
      <w:r w:rsidR="00286C4A">
        <w:t xml:space="preserve"> the </w:t>
      </w:r>
      <w:r w:rsidR="00861883">
        <w:t>wind resource</w:t>
      </w:r>
      <w:r w:rsidR="00752BDD">
        <w:t>, and the t</w:t>
      </w:r>
      <w:r w:rsidR="000B2EFD">
        <w:t>h</w:t>
      </w:r>
      <w:r w:rsidR="00752BDD">
        <w:t xml:space="preserve">reat of </w:t>
      </w:r>
      <w:r w:rsidR="00897805">
        <w:t>energy droughts</w:t>
      </w:r>
      <w:r w:rsidR="00752BDD">
        <w:t xml:space="preserve">. </w:t>
      </w:r>
      <w:r w:rsidR="00B52517" w:rsidRPr="00D7057C">
        <w:t xml:space="preserve">Energy Storage Systems (ESSs) </w:t>
      </w:r>
      <w:r w:rsidR="00752BDD">
        <w:t>are needed to tackle this challenge</w:t>
      </w:r>
      <w:r w:rsidR="00346ECE">
        <w:t>;</w:t>
      </w:r>
      <w:r w:rsidR="00752BDD">
        <w:t xml:space="preserve"> </w:t>
      </w:r>
      <w:r w:rsidR="00642CC5">
        <w:t>integrating</w:t>
      </w:r>
      <w:r w:rsidR="00263AA4" w:rsidRPr="00D7057C" w:rsidDel="00642CC5">
        <w:t xml:space="preserve"> </w:t>
      </w:r>
      <w:r w:rsidR="00263AA4" w:rsidRPr="00D7057C">
        <w:t xml:space="preserve">storage </w:t>
      </w:r>
      <w:r w:rsidR="00B93773" w:rsidRPr="00D7057C">
        <w:t>within offshore wind farm</w:t>
      </w:r>
      <w:r w:rsidR="00752BDD">
        <w:t>s</w:t>
      </w:r>
      <w:r w:rsidR="00263AA4" w:rsidRPr="00D7057C" w:rsidDel="00752BDD">
        <w:t xml:space="preserve"> </w:t>
      </w:r>
      <w:r w:rsidR="00EC1BC0">
        <w:t xml:space="preserve">instead of onshore </w:t>
      </w:r>
      <w:r w:rsidR="00263AA4" w:rsidRPr="00D7057C">
        <w:t>can</w:t>
      </w:r>
      <w:r w:rsidR="00B93773" w:rsidRPr="00D7057C" w:rsidDel="00752BDD">
        <w:t xml:space="preserve"> </w:t>
      </w:r>
      <w:r w:rsidR="00752BDD">
        <w:t>provide</w:t>
      </w:r>
      <w:r w:rsidR="00752BDD" w:rsidRPr="00D7057C">
        <w:t xml:space="preserve"> </w:t>
      </w:r>
      <w:r w:rsidR="00B93773" w:rsidRPr="00D7057C">
        <w:t>additional benefits</w:t>
      </w:r>
      <w:r w:rsidR="00642CC5">
        <w:t xml:space="preserve"> to the power</w:t>
      </w:r>
      <w:r w:rsidR="008F3B69">
        <w:t xml:space="preserve"> system</w:t>
      </w:r>
      <w:r w:rsidR="007A21E7">
        <w:t xml:space="preserve"> and enable large-scale integration of wind energy</w:t>
      </w:r>
      <w:r w:rsidR="00B93773" w:rsidRPr="00D7057C">
        <w:t xml:space="preserve">. </w:t>
      </w:r>
      <w:r w:rsidR="008F37A3" w:rsidRPr="00D7057C">
        <w:t xml:space="preserve">To this end, </w:t>
      </w:r>
      <w:r w:rsidR="0026445E" w:rsidRPr="00D7057C">
        <w:t>we investigate</w:t>
      </w:r>
      <w:r w:rsidR="008F37A3" w:rsidRPr="00D7057C">
        <w:t xml:space="preserve"> a</w:t>
      </w:r>
      <w:r w:rsidR="00B93773" w:rsidRPr="00D7057C">
        <w:t xml:space="preserve"> subsea pumped</w:t>
      </w:r>
      <w:r w:rsidR="001D4BE9">
        <w:t>-</w:t>
      </w:r>
      <w:r w:rsidR="00B93773" w:rsidRPr="00D7057C">
        <w:t xml:space="preserve">hydro storage </w:t>
      </w:r>
      <w:r w:rsidR="00A107D8">
        <w:t>system</w:t>
      </w:r>
      <w:r w:rsidR="00B93773" w:rsidRPr="00D7057C">
        <w:t xml:space="preserve"> </w:t>
      </w:r>
      <w:r w:rsidR="008F37A3" w:rsidRPr="00D7057C">
        <w:t xml:space="preserve">utilizing the pressure </w:t>
      </w:r>
      <w:r w:rsidR="0009426F" w:rsidRPr="00D7057C">
        <w:t xml:space="preserve">difference between the seabed and the atmosphere to </w:t>
      </w:r>
      <w:r w:rsidR="00850AB7" w:rsidRPr="00D7057C">
        <w:t xml:space="preserve">store </w:t>
      </w:r>
      <w:r w:rsidR="00B073DF" w:rsidRPr="00D7057C">
        <w:t xml:space="preserve">electricity in the form of </w:t>
      </w:r>
      <w:r w:rsidR="00850AB7" w:rsidRPr="00D7057C">
        <w:t xml:space="preserve">potential energy </w:t>
      </w:r>
      <w:r w:rsidR="0026445E" w:rsidRPr="00D7057C">
        <w:t>of a working fluid</w:t>
      </w:r>
      <w:r w:rsidR="00B93773" w:rsidRPr="00D7057C">
        <w:t xml:space="preserve"> in </w:t>
      </w:r>
      <w:r w:rsidR="0026445E" w:rsidRPr="00D7057C">
        <w:t>two reservoirs</w:t>
      </w:r>
      <w:r w:rsidR="008F37A3" w:rsidRPr="00D7057C">
        <w:t>.</w:t>
      </w:r>
      <w:r w:rsidR="00263AA4" w:rsidRPr="00D7057C">
        <w:t xml:space="preserve"> </w:t>
      </w:r>
      <w:r w:rsidR="004D3EE0" w:rsidRPr="00D7057C">
        <w:t xml:space="preserve">To </w:t>
      </w:r>
      <w:r w:rsidR="00016A0C" w:rsidRPr="00D7057C">
        <w:t xml:space="preserve">optimize the design </w:t>
      </w:r>
      <w:r w:rsidR="00752BDD">
        <w:t>of the</w:t>
      </w:r>
      <w:r w:rsidR="00016A0C" w:rsidRPr="00D7057C">
        <w:t xml:space="preserve"> </w:t>
      </w:r>
      <w:r w:rsidR="003679C9">
        <w:t xml:space="preserve">storage </w:t>
      </w:r>
      <w:r w:rsidR="00016A0C" w:rsidRPr="00D7057C">
        <w:t xml:space="preserve">system in terms of energy and power capacity installed, </w:t>
      </w:r>
      <w:r w:rsidR="009A44B8" w:rsidRPr="00D7057C">
        <w:t>we introduce a mixed-integer linear program (MILP)</w:t>
      </w:r>
      <w:r w:rsidR="00BC717D" w:rsidRPr="00D7057C">
        <w:t>.</w:t>
      </w:r>
      <w:r w:rsidR="00632302" w:rsidRPr="00D7057C">
        <w:t xml:space="preserve"> </w:t>
      </w:r>
      <w:r w:rsidR="008F12CE">
        <w:t xml:space="preserve">The system’s design and operation is optimized to maximize </w:t>
      </w:r>
      <w:r w:rsidR="007042C1">
        <w:t>profits over a period of one month accounting for both investment and operational cashflows.</w:t>
      </w:r>
      <w:r w:rsidR="009A44B8" w:rsidRPr="00D7057C">
        <w:t xml:space="preserve"> </w:t>
      </w:r>
      <w:r w:rsidR="00027ECD" w:rsidRPr="00D7057C">
        <w:t>Results show</w:t>
      </w:r>
      <w:r w:rsidR="00752BDD">
        <w:t xml:space="preserve"> that</w:t>
      </w:r>
      <w:r w:rsidR="00027ECD" w:rsidRPr="00D7057C">
        <w:t xml:space="preserve"> </w:t>
      </w:r>
      <w:r w:rsidR="00D7057C">
        <w:t>the</w:t>
      </w:r>
      <w:r w:rsidR="00D7057C" w:rsidRPr="00D7057C">
        <w:rPr>
          <w:lang w:val="en-GB"/>
        </w:rPr>
        <w:t xml:space="preserve"> system </w:t>
      </w:r>
      <w:r w:rsidR="00D7057C">
        <w:rPr>
          <w:lang w:val="en-GB"/>
        </w:rPr>
        <w:t xml:space="preserve">can have </w:t>
      </w:r>
      <w:r w:rsidR="00D7057C" w:rsidRPr="00D7057C">
        <w:rPr>
          <w:lang w:val="en-GB"/>
        </w:rPr>
        <w:t>high round-trip efficiencies</w:t>
      </w:r>
      <w:r w:rsidR="00BF6CDB">
        <w:rPr>
          <w:lang w:val="en-GB"/>
        </w:rPr>
        <w:t xml:space="preserve"> </w:t>
      </w:r>
      <w:r w:rsidR="00BF6CDB" w:rsidRPr="00D7057C">
        <w:rPr>
          <w:lang w:val="en-GB"/>
        </w:rPr>
        <w:t>(~70%)</w:t>
      </w:r>
      <w:r w:rsidR="00D7057C" w:rsidRPr="00D7057C">
        <w:rPr>
          <w:lang w:val="en-GB"/>
        </w:rPr>
        <w:t xml:space="preserve"> comparable to conventional pumped-hydro storage (70</w:t>
      </w:r>
      <w:r w:rsidR="00BF6CDB">
        <w:rPr>
          <w:lang w:val="en-GB"/>
        </w:rPr>
        <w:t>-80</w:t>
      </w:r>
      <w:r w:rsidR="00D7057C" w:rsidRPr="00D7057C">
        <w:rPr>
          <w:lang w:val="en-GB"/>
        </w:rPr>
        <w:t xml:space="preserve">%) with a storage size of up to 32 MWh for a </w:t>
      </w:r>
      <w:r w:rsidR="00897805">
        <w:rPr>
          <w:lang w:val="en-GB"/>
        </w:rPr>
        <w:t>sea</w:t>
      </w:r>
      <w:r w:rsidR="00897805" w:rsidRPr="00D7057C">
        <w:rPr>
          <w:lang w:val="en-GB"/>
        </w:rPr>
        <w:t xml:space="preserve"> </w:t>
      </w:r>
      <w:r w:rsidR="00D7057C" w:rsidRPr="00D7057C">
        <w:rPr>
          <w:lang w:val="en-GB"/>
        </w:rPr>
        <w:t xml:space="preserve">depth of 50 m. In our case study, the system </w:t>
      </w:r>
      <w:r w:rsidR="00A87AE6">
        <w:rPr>
          <w:lang w:val="en-GB"/>
        </w:rPr>
        <w:t>runs</w:t>
      </w:r>
      <w:r w:rsidR="00D7057C" w:rsidRPr="00D7057C">
        <w:rPr>
          <w:lang w:val="en-GB"/>
        </w:rPr>
        <w:t xml:space="preserve"> up to 4 </w:t>
      </w:r>
      <w:r w:rsidR="00C553C8">
        <w:rPr>
          <w:lang w:val="en-GB"/>
        </w:rPr>
        <w:t>full</w:t>
      </w:r>
      <w:r w:rsidR="00D7057C" w:rsidRPr="00D7057C">
        <w:rPr>
          <w:lang w:val="en-GB"/>
        </w:rPr>
        <w:t xml:space="preserve"> cycles</w:t>
      </w:r>
      <w:r w:rsidR="00D7057C">
        <w:rPr>
          <w:lang w:val="en-GB"/>
        </w:rPr>
        <w:t xml:space="preserve"> per day</w:t>
      </w:r>
      <w:r w:rsidR="00D7057C" w:rsidRPr="00D7057C">
        <w:rPr>
          <w:lang w:val="en-GB"/>
        </w:rPr>
        <w:t xml:space="preserve">. </w:t>
      </w:r>
      <w:r w:rsidR="00037594">
        <w:rPr>
          <w:lang w:val="en-GB"/>
        </w:rPr>
        <w:t>When participating in the day</w:t>
      </w:r>
      <w:r w:rsidR="00F8754C">
        <w:rPr>
          <w:lang w:val="en-GB"/>
        </w:rPr>
        <w:t>-</w:t>
      </w:r>
      <w:r w:rsidR="00037594">
        <w:rPr>
          <w:lang w:val="en-GB"/>
        </w:rPr>
        <w:t xml:space="preserve">ahead </w:t>
      </w:r>
      <w:r w:rsidR="00953876">
        <w:rPr>
          <w:lang w:val="en-GB"/>
        </w:rPr>
        <w:t xml:space="preserve">market exclusively, the system becomes profitable for </w:t>
      </w:r>
      <w:r w:rsidR="00D24977">
        <w:rPr>
          <w:lang w:val="en-GB"/>
        </w:rPr>
        <w:t>electricity price fluctuations</w:t>
      </w:r>
      <w:r w:rsidR="00953876">
        <w:rPr>
          <w:lang w:val="en-GB"/>
        </w:rPr>
        <w:t xml:space="preserve"> </w:t>
      </w:r>
      <w:r w:rsidR="00767C95">
        <w:rPr>
          <w:lang w:val="en-GB"/>
        </w:rPr>
        <w:t>with standard deviations of at least double the 2019 values (in the Netherlands), which</w:t>
      </w:r>
      <w:r w:rsidR="00D85E1D" w:rsidDel="00767C95">
        <w:rPr>
          <w:lang w:val="en-GB"/>
        </w:rPr>
        <w:t xml:space="preserve"> </w:t>
      </w:r>
      <w:r w:rsidR="00767C95">
        <w:rPr>
          <w:lang w:val="en-GB"/>
        </w:rPr>
        <w:t>are likely to</w:t>
      </w:r>
      <w:r w:rsidR="00D85E1D">
        <w:rPr>
          <w:lang w:val="en-GB"/>
        </w:rPr>
        <w:t xml:space="preserve"> materialize in the futur</w:t>
      </w:r>
      <w:r w:rsidR="00767C95">
        <w:rPr>
          <w:lang w:val="en-GB"/>
        </w:rPr>
        <w:t>e.</w:t>
      </w:r>
    </w:p>
    <w:p w14:paraId="147F9CFF" w14:textId="501C7DD2" w:rsidR="005040C7" w:rsidRDefault="008D2649" w:rsidP="0070457E">
      <w:pPr>
        <w:pStyle w:val="Els-body-text"/>
        <w:spacing w:after="120"/>
        <w:rPr>
          <w:lang w:val="en-GB"/>
        </w:rPr>
      </w:pPr>
      <w:r>
        <w:rPr>
          <w:b/>
          <w:bCs/>
          <w:lang w:val="en-GB"/>
        </w:rPr>
        <w:t>Keywords</w:t>
      </w:r>
      <w:r>
        <w:rPr>
          <w:lang w:val="en-GB"/>
        </w:rPr>
        <w:t xml:space="preserve">: </w:t>
      </w:r>
      <w:r w:rsidR="005A442C">
        <w:rPr>
          <w:lang w:val="en-GB"/>
        </w:rPr>
        <w:t>energy storage, subsea pumped</w:t>
      </w:r>
      <w:r w:rsidR="001D4BE9">
        <w:rPr>
          <w:lang w:val="en-GB"/>
        </w:rPr>
        <w:t>-</w:t>
      </w:r>
      <w:r w:rsidR="005A442C">
        <w:rPr>
          <w:lang w:val="en-GB"/>
        </w:rPr>
        <w:t xml:space="preserve">hydro, </w:t>
      </w:r>
      <w:r w:rsidR="00BB04DD">
        <w:rPr>
          <w:lang w:val="en-GB"/>
        </w:rPr>
        <w:t>offshore wind</w:t>
      </w:r>
      <w:r w:rsidR="00897805">
        <w:rPr>
          <w:lang w:val="en-GB"/>
        </w:rPr>
        <w:t>, mixed integer linear program, mathematical optimization</w:t>
      </w:r>
    </w:p>
    <w:p w14:paraId="3D422CDD" w14:textId="77777777" w:rsidR="006A5240" w:rsidRDefault="006A5240" w:rsidP="0070457E">
      <w:pPr>
        <w:pStyle w:val="Els-body-text"/>
        <w:spacing w:after="120"/>
        <w:rPr>
          <w:lang w:val="en-GB"/>
        </w:rPr>
      </w:pPr>
    </w:p>
    <w:p w14:paraId="77BFDF7E" w14:textId="7EB69369" w:rsidR="005040C7" w:rsidRDefault="005040C7" w:rsidP="0070457E">
      <w:pPr>
        <w:pStyle w:val="Els-body-text"/>
        <w:spacing w:after="120"/>
        <w:rPr>
          <w:lang w:val="en-GB"/>
        </w:rPr>
        <w:sectPr w:rsidR="005040C7" w:rsidSect="008B0184">
          <w:headerReference w:type="even" r:id="rId8"/>
          <w:headerReference w:type="default" r:id="rId9"/>
          <w:headerReference w:type="first" r:id="rId10"/>
          <w:type w:val="continuous"/>
          <w:pgSz w:w="11906" w:h="16838" w:code="9"/>
          <w:pgMar w:top="2377" w:right="2410" w:bottom="2892" w:left="2410" w:header="1701" w:footer="2892" w:gutter="0"/>
          <w:cols w:space="720" w:equalWidth="0">
            <w:col w:w="7087"/>
          </w:cols>
          <w:titlePg/>
          <w:docGrid w:linePitch="272"/>
        </w:sectPr>
      </w:pPr>
    </w:p>
    <w:tbl>
      <w:tblPr>
        <w:tblStyle w:val="TableGrid"/>
        <w:tblW w:w="2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639"/>
      </w:tblGrid>
      <w:tr w:rsidR="005040C7" w:rsidRPr="00832C3B" w14:paraId="740ADCEC" w14:textId="77777777" w:rsidTr="00C20B06">
        <w:tc>
          <w:tcPr>
            <w:tcW w:w="2348" w:type="dxa"/>
            <w:gridSpan w:val="2"/>
          </w:tcPr>
          <w:p w14:paraId="0CE97A70" w14:textId="5B2F4462" w:rsidR="005040C7" w:rsidRPr="00832C3B" w:rsidRDefault="00832C3B" w:rsidP="00CC5D84">
            <w:pPr>
              <w:pStyle w:val="Els-body-text"/>
              <w:spacing w:after="40"/>
              <w:rPr>
                <w:b/>
                <w:sz w:val="14"/>
                <w:szCs w:val="14"/>
                <w:lang w:val="en-GB"/>
              </w:rPr>
            </w:pPr>
            <w:r w:rsidRPr="00832C3B">
              <w:rPr>
                <w:b/>
                <w:bCs/>
                <w:sz w:val="14"/>
                <w:szCs w:val="14"/>
                <w:lang w:val="en-GB"/>
              </w:rPr>
              <w:t>Variables</w:t>
            </w:r>
          </w:p>
        </w:tc>
      </w:tr>
      <w:tr w:rsidR="00832C3B" w:rsidRPr="00832C3B" w14:paraId="58D8CA19" w14:textId="77777777" w:rsidTr="00C20B06">
        <w:tc>
          <w:tcPr>
            <w:tcW w:w="709" w:type="dxa"/>
          </w:tcPr>
          <w:p w14:paraId="15654958" w14:textId="44CAB5FB" w:rsidR="00832C3B" w:rsidRPr="0035798C" w:rsidRDefault="00767C95" w:rsidP="00CC5D84">
            <w:pPr>
              <w:pStyle w:val="Els-body-text"/>
              <w:spacing w:after="40"/>
              <w:rPr>
                <w:i/>
                <w:sz w:val="14"/>
                <w:szCs w:val="14"/>
                <w:lang w:val="en-GB"/>
              </w:rPr>
            </w:pPr>
            <m:oMathPara>
              <m:oMath>
                <m:r>
                  <w:rPr>
                    <w:rFonts w:ascii="Cambria Math" w:hAnsi="Cambria Math"/>
                    <w:sz w:val="14"/>
                    <w:szCs w:val="14"/>
                  </w:rPr>
                  <m:t>V</m:t>
                </m:r>
              </m:oMath>
            </m:oMathPara>
          </w:p>
        </w:tc>
        <w:tc>
          <w:tcPr>
            <w:tcW w:w="1639" w:type="dxa"/>
          </w:tcPr>
          <w:p w14:paraId="69BB7DDF" w14:textId="147DCC7D" w:rsidR="00832C3B" w:rsidRPr="00832C3B" w:rsidRDefault="00832C3B" w:rsidP="00986F18">
            <w:pPr>
              <w:pStyle w:val="Els-body-text"/>
              <w:spacing w:after="40"/>
              <w:jc w:val="left"/>
              <w:rPr>
                <w:sz w:val="14"/>
                <w:szCs w:val="14"/>
                <w:lang w:val="en-GB"/>
              </w:rPr>
            </w:pPr>
            <w:r w:rsidRPr="00832C3B">
              <w:rPr>
                <w:bCs/>
                <w:iCs/>
                <w:sz w:val="14"/>
                <w:szCs w:val="14"/>
              </w:rPr>
              <w:t>Volume</w:t>
            </w:r>
            <w:r w:rsidR="00DC077B">
              <w:rPr>
                <w:bCs/>
                <w:iCs/>
                <w:sz w:val="14"/>
                <w:szCs w:val="14"/>
              </w:rPr>
              <w:t xml:space="preserve"> [m</w:t>
            </w:r>
            <w:r w:rsidR="009968BD" w:rsidRPr="009968BD">
              <w:rPr>
                <w:bCs/>
                <w:iCs/>
                <w:sz w:val="14"/>
                <w:szCs w:val="14"/>
                <w:vertAlign w:val="superscript"/>
              </w:rPr>
              <w:t>3</w:t>
            </w:r>
            <w:r w:rsidR="009968BD">
              <w:rPr>
                <w:bCs/>
                <w:iCs/>
                <w:sz w:val="14"/>
                <w:szCs w:val="14"/>
              </w:rPr>
              <w:t>]</w:t>
            </w:r>
          </w:p>
        </w:tc>
      </w:tr>
      <w:tr w:rsidR="00832C3B" w:rsidRPr="00832C3B" w14:paraId="7B23A69B" w14:textId="77777777" w:rsidTr="00C20B06">
        <w:tc>
          <w:tcPr>
            <w:tcW w:w="709" w:type="dxa"/>
          </w:tcPr>
          <w:p w14:paraId="42983061" w14:textId="2D3B2DDB" w:rsidR="00832C3B" w:rsidRPr="0035798C" w:rsidRDefault="00000000" w:rsidP="00CC5D84">
            <w:pPr>
              <w:pStyle w:val="Els-body-text"/>
              <w:spacing w:after="40"/>
              <w:rPr>
                <w:i/>
                <w:sz w:val="14"/>
                <w:szCs w:val="14"/>
                <w:lang w:val="en-GB"/>
              </w:rPr>
            </w:pPr>
            <m:oMathPara>
              <m:oMath>
                <m:acc>
                  <m:accPr>
                    <m:chr m:val="̇"/>
                    <m:ctrlPr>
                      <w:rPr>
                        <w:rFonts w:ascii="Cambria Math" w:hAnsi="Cambria Math"/>
                        <w:i/>
                        <w:iCs/>
                        <w:sz w:val="14"/>
                        <w:szCs w:val="14"/>
                        <w:lang w:val="en-GB"/>
                      </w:rPr>
                    </m:ctrlPr>
                  </m:accPr>
                  <m:e>
                    <m:r>
                      <w:rPr>
                        <w:rFonts w:ascii="Cambria Math" w:hAnsi="Cambria Math"/>
                        <w:sz w:val="14"/>
                        <w:szCs w:val="14"/>
                      </w:rPr>
                      <m:t>Q</m:t>
                    </m:r>
                  </m:e>
                </m:acc>
              </m:oMath>
            </m:oMathPara>
          </w:p>
        </w:tc>
        <w:tc>
          <w:tcPr>
            <w:tcW w:w="1639" w:type="dxa"/>
          </w:tcPr>
          <w:p w14:paraId="6384DD1E" w14:textId="0BE6F3B8" w:rsidR="00832C3B" w:rsidRPr="00832C3B" w:rsidRDefault="00832C3B" w:rsidP="00986F18">
            <w:pPr>
              <w:pStyle w:val="Els-body-text"/>
              <w:spacing w:after="40"/>
              <w:jc w:val="left"/>
              <w:rPr>
                <w:sz w:val="14"/>
                <w:szCs w:val="14"/>
                <w:lang w:val="en-GB"/>
              </w:rPr>
            </w:pPr>
            <w:r w:rsidRPr="00832C3B">
              <w:rPr>
                <w:bCs/>
                <w:iCs/>
                <w:sz w:val="14"/>
                <w:szCs w:val="14"/>
              </w:rPr>
              <w:t xml:space="preserve">Flow rate </w:t>
            </w:r>
            <w:r w:rsidR="009968BD">
              <w:rPr>
                <w:bCs/>
                <w:iCs/>
                <w:sz w:val="14"/>
                <w:szCs w:val="14"/>
              </w:rPr>
              <w:t>[m</w:t>
            </w:r>
            <w:r w:rsidR="009968BD" w:rsidRPr="009968BD">
              <w:rPr>
                <w:bCs/>
                <w:iCs/>
                <w:sz w:val="14"/>
                <w:szCs w:val="14"/>
                <w:vertAlign w:val="superscript"/>
              </w:rPr>
              <w:t>3</w:t>
            </w:r>
            <w:r w:rsidR="009968BD">
              <w:rPr>
                <w:bCs/>
                <w:iCs/>
                <w:sz w:val="14"/>
                <w:szCs w:val="14"/>
              </w:rPr>
              <w:t>/h]</w:t>
            </w:r>
          </w:p>
        </w:tc>
      </w:tr>
      <w:tr w:rsidR="00832C3B" w:rsidRPr="00832C3B" w14:paraId="451ABC20" w14:textId="77777777" w:rsidTr="00C20B06">
        <w:tc>
          <w:tcPr>
            <w:tcW w:w="709" w:type="dxa"/>
          </w:tcPr>
          <w:p w14:paraId="782DD002" w14:textId="084054AE" w:rsidR="00832C3B" w:rsidRPr="0035798C" w:rsidRDefault="00767C95" w:rsidP="00CC5D84">
            <w:pPr>
              <w:pStyle w:val="Els-body-text"/>
              <w:spacing w:after="40"/>
              <w:rPr>
                <w:i/>
                <w:sz w:val="14"/>
                <w:szCs w:val="14"/>
                <w:lang w:val="en-GB"/>
              </w:rPr>
            </w:pPr>
            <m:oMathPara>
              <m:oMath>
                <m:r>
                  <w:rPr>
                    <w:rFonts w:ascii="Cambria Math" w:hAnsi="Cambria Math"/>
                    <w:sz w:val="14"/>
                    <w:szCs w:val="14"/>
                  </w:rPr>
                  <m:t>P</m:t>
                </m:r>
              </m:oMath>
            </m:oMathPara>
          </w:p>
        </w:tc>
        <w:tc>
          <w:tcPr>
            <w:tcW w:w="1639" w:type="dxa"/>
          </w:tcPr>
          <w:p w14:paraId="1091D165" w14:textId="2C1EBB52" w:rsidR="00832C3B" w:rsidRPr="00832C3B" w:rsidRDefault="00832C3B" w:rsidP="00986F18">
            <w:pPr>
              <w:pStyle w:val="Els-body-text"/>
              <w:spacing w:after="40"/>
              <w:jc w:val="left"/>
              <w:rPr>
                <w:sz w:val="14"/>
                <w:szCs w:val="14"/>
                <w:lang w:val="en-GB"/>
              </w:rPr>
            </w:pPr>
            <w:r w:rsidRPr="00832C3B">
              <w:rPr>
                <w:bCs/>
                <w:iCs/>
                <w:sz w:val="14"/>
                <w:szCs w:val="14"/>
              </w:rPr>
              <w:t xml:space="preserve">Power </w:t>
            </w:r>
            <w:r w:rsidR="009968BD">
              <w:rPr>
                <w:bCs/>
                <w:iCs/>
                <w:sz w:val="14"/>
                <w:szCs w:val="14"/>
              </w:rPr>
              <w:t>[MW]</w:t>
            </w:r>
          </w:p>
        </w:tc>
      </w:tr>
      <w:tr w:rsidR="00832C3B" w:rsidRPr="00832C3B" w14:paraId="50609A26" w14:textId="77777777" w:rsidTr="00C20B06">
        <w:tc>
          <w:tcPr>
            <w:tcW w:w="709" w:type="dxa"/>
          </w:tcPr>
          <w:p w14:paraId="1789BC5C" w14:textId="5DBF9843" w:rsidR="00832C3B" w:rsidRPr="0035798C" w:rsidRDefault="00767C95" w:rsidP="00CC5D84">
            <w:pPr>
              <w:pStyle w:val="Els-body-text"/>
              <w:spacing w:after="40"/>
              <w:rPr>
                <w:i/>
                <w:sz w:val="14"/>
                <w:szCs w:val="14"/>
                <w:lang w:val="en-GB"/>
              </w:rPr>
            </w:pPr>
            <m:oMathPara>
              <m:oMath>
                <m:r>
                  <w:rPr>
                    <w:rFonts w:ascii="Cambria Math" w:hAnsi="Cambria Math"/>
                    <w:sz w:val="14"/>
                    <w:szCs w:val="14"/>
                  </w:rPr>
                  <m:t>x</m:t>
                </m:r>
              </m:oMath>
            </m:oMathPara>
          </w:p>
        </w:tc>
        <w:tc>
          <w:tcPr>
            <w:tcW w:w="1639" w:type="dxa"/>
          </w:tcPr>
          <w:p w14:paraId="1A0BC3BB" w14:textId="61FF33E2" w:rsidR="00832C3B" w:rsidRPr="00832C3B" w:rsidRDefault="00832C3B" w:rsidP="00986F18">
            <w:pPr>
              <w:pStyle w:val="Els-body-text"/>
              <w:spacing w:after="40"/>
              <w:jc w:val="left"/>
              <w:rPr>
                <w:sz w:val="14"/>
                <w:szCs w:val="14"/>
                <w:lang w:val="en-GB"/>
              </w:rPr>
            </w:pPr>
            <w:r w:rsidRPr="00832C3B">
              <w:rPr>
                <w:iCs/>
                <w:sz w:val="14"/>
                <w:szCs w:val="14"/>
              </w:rPr>
              <w:t>Binary variable for design formulation.</w:t>
            </w:r>
          </w:p>
        </w:tc>
      </w:tr>
      <w:tr w:rsidR="00832C3B" w:rsidRPr="00832C3B" w14:paraId="0F920CDF" w14:textId="77777777" w:rsidTr="00C20B06">
        <w:tc>
          <w:tcPr>
            <w:tcW w:w="709" w:type="dxa"/>
          </w:tcPr>
          <w:p w14:paraId="4ADB4068" w14:textId="53CDE9BD" w:rsidR="00832C3B" w:rsidRPr="0035798C" w:rsidRDefault="00767C95" w:rsidP="00CC5D84">
            <w:pPr>
              <w:pStyle w:val="Els-body-text"/>
              <w:spacing w:after="40"/>
              <w:rPr>
                <w:i/>
                <w:sz w:val="14"/>
                <w:szCs w:val="14"/>
                <w:lang w:val="en-GB"/>
              </w:rPr>
            </w:pPr>
            <m:oMathPara>
              <m:oMath>
                <m:r>
                  <w:rPr>
                    <w:rFonts w:ascii="Cambria Math" w:hAnsi="Cambria Math"/>
                    <w:sz w:val="14"/>
                    <w:szCs w:val="14"/>
                  </w:rPr>
                  <m:t>y</m:t>
                </m:r>
              </m:oMath>
            </m:oMathPara>
          </w:p>
        </w:tc>
        <w:tc>
          <w:tcPr>
            <w:tcW w:w="1639" w:type="dxa"/>
          </w:tcPr>
          <w:p w14:paraId="5842A3C8" w14:textId="54C06E09" w:rsidR="00832C3B" w:rsidRPr="00832C3B" w:rsidRDefault="00832C3B" w:rsidP="00986F18">
            <w:pPr>
              <w:pStyle w:val="Els-body-text"/>
              <w:spacing w:after="40"/>
              <w:jc w:val="left"/>
              <w:rPr>
                <w:sz w:val="14"/>
                <w:szCs w:val="14"/>
                <w:lang w:val="en-GB"/>
              </w:rPr>
            </w:pPr>
            <w:r w:rsidRPr="00832C3B">
              <w:rPr>
                <w:iCs/>
                <w:sz w:val="14"/>
                <w:szCs w:val="14"/>
              </w:rPr>
              <w:t>Binary variable for (part-load) performance formulation.</w:t>
            </w:r>
          </w:p>
        </w:tc>
      </w:tr>
      <w:tr w:rsidR="00832C3B" w:rsidRPr="00832C3B" w14:paraId="2D3D6B7E" w14:textId="77777777" w:rsidTr="00C20B06">
        <w:tc>
          <w:tcPr>
            <w:tcW w:w="709" w:type="dxa"/>
          </w:tcPr>
          <w:p w14:paraId="600F9CB2" w14:textId="3DF1F150" w:rsidR="00832C3B" w:rsidRPr="00DC077B" w:rsidRDefault="00767C95" w:rsidP="00CC5D84">
            <w:pPr>
              <w:pStyle w:val="Els-body-text"/>
              <w:spacing w:after="40"/>
              <w:rPr>
                <w:i/>
                <w:sz w:val="14"/>
                <w:szCs w:val="14"/>
                <w:lang w:val="en-GB"/>
              </w:rPr>
            </w:pPr>
            <m:oMathPara>
              <m:oMath>
                <m:r>
                  <w:rPr>
                    <w:rFonts w:ascii="Cambria Math" w:hAnsi="Cambria Math"/>
                    <w:sz w:val="14"/>
                    <w:szCs w:val="14"/>
                    <w:lang w:val="en-GB"/>
                  </w:rPr>
                  <m:t>Π</m:t>
                </m:r>
              </m:oMath>
            </m:oMathPara>
          </w:p>
        </w:tc>
        <w:tc>
          <w:tcPr>
            <w:tcW w:w="1639" w:type="dxa"/>
          </w:tcPr>
          <w:p w14:paraId="51FB356D" w14:textId="5CA53606" w:rsidR="00832C3B" w:rsidRPr="00832C3B" w:rsidRDefault="00986F18" w:rsidP="00986F18">
            <w:pPr>
              <w:pStyle w:val="Els-body-text"/>
              <w:spacing w:after="40"/>
              <w:jc w:val="left"/>
              <w:rPr>
                <w:sz w:val="14"/>
                <w:szCs w:val="14"/>
                <w:lang w:val="en-GB"/>
              </w:rPr>
            </w:pPr>
            <w:r>
              <w:rPr>
                <w:sz w:val="14"/>
                <w:szCs w:val="14"/>
                <w:lang w:val="en-GB"/>
              </w:rPr>
              <w:t>Profit</w:t>
            </w:r>
            <w:r w:rsidR="009968BD">
              <w:rPr>
                <w:sz w:val="14"/>
                <w:szCs w:val="14"/>
                <w:lang w:val="en-GB"/>
              </w:rPr>
              <w:t xml:space="preserve"> [€]</w:t>
            </w:r>
          </w:p>
        </w:tc>
      </w:tr>
      <w:tr w:rsidR="00832C3B" w:rsidRPr="00832C3B" w14:paraId="724FCA93" w14:textId="77777777" w:rsidTr="00C20B06">
        <w:tc>
          <w:tcPr>
            <w:tcW w:w="2348" w:type="dxa"/>
            <w:gridSpan w:val="2"/>
          </w:tcPr>
          <w:p w14:paraId="39A461FC" w14:textId="279A5802" w:rsidR="00832C3B" w:rsidRPr="00832C3B" w:rsidRDefault="00832C3B" w:rsidP="00986F18">
            <w:pPr>
              <w:pStyle w:val="Els-body-text"/>
              <w:spacing w:after="40"/>
              <w:jc w:val="left"/>
              <w:rPr>
                <w:sz w:val="14"/>
                <w:szCs w:val="14"/>
                <w:lang w:val="en-GB"/>
              </w:rPr>
            </w:pPr>
            <w:r w:rsidRPr="00832C3B">
              <w:rPr>
                <w:b/>
                <w:sz w:val="14"/>
                <w:szCs w:val="14"/>
              </w:rPr>
              <w:t>Parameters</w:t>
            </w:r>
          </w:p>
        </w:tc>
      </w:tr>
      <w:tr w:rsidR="005040C7" w:rsidRPr="00832C3B" w14:paraId="79CEAA3C" w14:textId="77777777" w:rsidTr="00C20B06">
        <w:tc>
          <w:tcPr>
            <w:tcW w:w="709" w:type="dxa"/>
          </w:tcPr>
          <w:p w14:paraId="5FCA3973" w14:textId="01388629" w:rsidR="005040C7" w:rsidRPr="00DC077B" w:rsidRDefault="00767C95" w:rsidP="00CC5D84">
            <w:pPr>
              <w:pStyle w:val="Els-body-text"/>
              <w:spacing w:after="40"/>
              <w:rPr>
                <w:i/>
                <w:sz w:val="14"/>
                <w:szCs w:val="14"/>
                <w:lang w:val="en-GB"/>
              </w:rPr>
            </w:pPr>
            <m:oMathPara>
              <m:oMath>
                <m:r>
                  <w:rPr>
                    <w:rFonts w:ascii="Cambria Math" w:hAnsi="Cambria Math"/>
                    <w:sz w:val="14"/>
                    <w:szCs w:val="14"/>
                  </w:rPr>
                  <m:t>α</m:t>
                </m:r>
              </m:oMath>
            </m:oMathPara>
          </w:p>
        </w:tc>
        <w:tc>
          <w:tcPr>
            <w:tcW w:w="1639" w:type="dxa"/>
          </w:tcPr>
          <w:p w14:paraId="6C0AEA62" w14:textId="2D3174E3" w:rsidR="005040C7" w:rsidRPr="00832C3B" w:rsidRDefault="00832C3B" w:rsidP="00986F18">
            <w:pPr>
              <w:pStyle w:val="Els-body-text"/>
              <w:spacing w:after="40"/>
              <w:jc w:val="left"/>
              <w:rPr>
                <w:sz w:val="14"/>
                <w:szCs w:val="14"/>
                <w:lang w:val="en-GB"/>
              </w:rPr>
            </w:pPr>
            <w:r w:rsidRPr="00832C3B">
              <w:rPr>
                <w:iCs/>
                <w:sz w:val="14"/>
                <w:szCs w:val="14"/>
              </w:rPr>
              <w:t>Parameters of P-Q design fitting</w:t>
            </w:r>
          </w:p>
        </w:tc>
      </w:tr>
      <w:tr w:rsidR="005040C7" w:rsidRPr="00832C3B" w14:paraId="765DB3CB" w14:textId="77777777" w:rsidTr="00C20B06">
        <w:tc>
          <w:tcPr>
            <w:tcW w:w="709" w:type="dxa"/>
          </w:tcPr>
          <w:p w14:paraId="0865AAB9" w14:textId="65DA2D20" w:rsidR="005040C7" w:rsidRPr="00DC077B" w:rsidRDefault="00767C95" w:rsidP="00CC5D84">
            <w:pPr>
              <w:pStyle w:val="Els-body-text"/>
              <w:spacing w:after="40"/>
              <w:rPr>
                <w:i/>
                <w:sz w:val="14"/>
                <w:szCs w:val="14"/>
                <w:lang w:val="en-GB"/>
              </w:rPr>
            </w:pPr>
            <m:oMathPara>
              <m:oMath>
                <m:r>
                  <w:rPr>
                    <w:rFonts w:ascii="Cambria Math" w:hAnsi="Cambria Math"/>
                    <w:sz w:val="14"/>
                    <w:szCs w:val="14"/>
                  </w:rPr>
                  <m:t>β</m:t>
                </m:r>
              </m:oMath>
            </m:oMathPara>
          </w:p>
        </w:tc>
        <w:tc>
          <w:tcPr>
            <w:tcW w:w="1639" w:type="dxa"/>
          </w:tcPr>
          <w:p w14:paraId="3F53367A" w14:textId="76668BBA" w:rsidR="005040C7" w:rsidRPr="00832C3B" w:rsidRDefault="00832C3B" w:rsidP="00986F18">
            <w:pPr>
              <w:pStyle w:val="Els-body-text"/>
              <w:spacing w:after="40"/>
              <w:jc w:val="left"/>
              <w:rPr>
                <w:sz w:val="14"/>
                <w:szCs w:val="14"/>
                <w:lang w:val="en-GB"/>
              </w:rPr>
            </w:pPr>
            <w:r w:rsidRPr="00832C3B">
              <w:rPr>
                <w:iCs/>
                <w:sz w:val="14"/>
                <w:szCs w:val="14"/>
              </w:rPr>
              <w:t>Parameters of P-Q part-load fitting</w:t>
            </w:r>
          </w:p>
        </w:tc>
      </w:tr>
      <w:tr w:rsidR="005040C7" w:rsidRPr="00832C3B" w14:paraId="11C032D1" w14:textId="77777777" w:rsidTr="00C20B06">
        <w:tc>
          <w:tcPr>
            <w:tcW w:w="709" w:type="dxa"/>
          </w:tcPr>
          <w:p w14:paraId="03C76BE9" w14:textId="4DED134A" w:rsidR="005040C7" w:rsidRPr="00DC077B" w:rsidRDefault="00767C95" w:rsidP="00CC5D84">
            <w:pPr>
              <w:pStyle w:val="Els-body-text"/>
              <w:spacing w:after="40"/>
              <w:rPr>
                <w:i/>
                <w:sz w:val="14"/>
                <w:szCs w:val="14"/>
                <w:lang w:val="en-GB"/>
              </w:rPr>
            </w:pPr>
            <m:oMathPara>
              <m:oMath>
                <m:r>
                  <w:rPr>
                    <w:rFonts w:ascii="Cambria Math" w:hAnsi="Cambria Math"/>
                    <w:sz w:val="14"/>
                    <w:szCs w:val="14"/>
                  </w:rPr>
                  <m:t>p</m:t>
                </m:r>
              </m:oMath>
            </m:oMathPara>
          </w:p>
        </w:tc>
        <w:tc>
          <w:tcPr>
            <w:tcW w:w="1639" w:type="dxa"/>
          </w:tcPr>
          <w:p w14:paraId="1483722F" w14:textId="7DF4F5D5" w:rsidR="005040C7" w:rsidRPr="00832C3B" w:rsidRDefault="00832C3B" w:rsidP="00986F18">
            <w:pPr>
              <w:pStyle w:val="Els-body-text"/>
              <w:spacing w:after="40"/>
              <w:jc w:val="left"/>
              <w:rPr>
                <w:sz w:val="14"/>
                <w:szCs w:val="14"/>
                <w:lang w:val="en-GB"/>
              </w:rPr>
            </w:pPr>
            <w:r w:rsidRPr="00832C3B">
              <w:rPr>
                <w:iCs/>
                <w:sz w:val="14"/>
                <w:szCs w:val="14"/>
              </w:rPr>
              <w:t>Price</w:t>
            </w:r>
            <w:r w:rsidR="00BD678D">
              <w:rPr>
                <w:iCs/>
                <w:sz w:val="14"/>
                <w:szCs w:val="14"/>
              </w:rPr>
              <w:t xml:space="preserve"> [€</w:t>
            </w:r>
            <w:r w:rsidR="00243C78">
              <w:rPr>
                <w:iCs/>
                <w:sz w:val="14"/>
                <w:szCs w:val="14"/>
              </w:rPr>
              <w:t>/MWh</w:t>
            </w:r>
            <w:r w:rsidR="00BD678D">
              <w:rPr>
                <w:iCs/>
                <w:sz w:val="14"/>
                <w:szCs w:val="14"/>
              </w:rPr>
              <w:t>]</w:t>
            </w:r>
          </w:p>
        </w:tc>
      </w:tr>
      <w:tr w:rsidR="005040C7" w:rsidRPr="00832C3B" w14:paraId="1AAA1A23" w14:textId="77777777" w:rsidTr="00C20B06">
        <w:tc>
          <w:tcPr>
            <w:tcW w:w="709" w:type="dxa"/>
          </w:tcPr>
          <w:p w14:paraId="156A492E" w14:textId="63FBE1FF" w:rsidR="005040C7" w:rsidRPr="00DC077B" w:rsidRDefault="00767C95" w:rsidP="00CC5D84">
            <w:pPr>
              <w:pStyle w:val="Els-body-text"/>
              <w:spacing w:after="40"/>
              <w:rPr>
                <w:i/>
                <w:sz w:val="14"/>
                <w:szCs w:val="14"/>
                <w:lang w:val="en-GB"/>
              </w:rPr>
            </w:pPr>
            <m:oMathPara>
              <m:oMath>
                <m:r>
                  <w:rPr>
                    <w:rFonts w:ascii="Cambria Math" w:hAnsi="Cambria Math"/>
                    <w:sz w:val="14"/>
                    <w:szCs w:val="14"/>
                  </w:rPr>
                  <m:t>c</m:t>
                </m:r>
              </m:oMath>
            </m:oMathPara>
          </w:p>
        </w:tc>
        <w:tc>
          <w:tcPr>
            <w:tcW w:w="1639" w:type="dxa"/>
          </w:tcPr>
          <w:p w14:paraId="2986279A" w14:textId="27860D95" w:rsidR="005040C7" w:rsidRPr="00832C3B" w:rsidRDefault="00832C3B" w:rsidP="00986F18">
            <w:pPr>
              <w:pStyle w:val="Els-body-text"/>
              <w:spacing w:after="40"/>
              <w:jc w:val="left"/>
              <w:rPr>
                <w:sz w:val="14"/>
                <w:szCs w:val="14"/>
                <w:lang w:val="en-GB"/>
              </w:rPr>
            </w:pPr>
            <w:r w:rsidRPr="00832C3B">
              <w:rPr>
                <w:iCs/>
                <w:sz w:val="14"/>
                <w:szCs w:val="14"/>
              </w:rPr>
              <w:t>Cost</w:t>
            </w:r>
            <w:r w:rsidR="00986F18">
              <w:rPr>
                <w:iCs/>
                <w:sz w:val="14"/>
                <w:szCs w:val="14"/>
              </w:rPr>
              <w:t xml:space="preserve"> Factor</w:t>
            </w:r>
            <w:r w:rsidR="00BD678D">
              <w:rPr>
                <w:iCs/>
                <w:sz w:val="14"/>
                <w:szCs w:val="14"/>
              </w:rPr>
              <w:t xml:space="preserve"> [€/</w:t>
            </w:r>
            <w:r w:rsidR="0046397A">
              <w:rPr>
                <w:iCs/>
                <w:sz w:val="14"/>
                <w:szCs w:val="14"/>
              </w:rPr>
              <w:t>unit of size</w:t>
            </w:r>
            <w:r w:rsidR="00BD678D">
              <w:rPr>
                <w:iCs/>
                <w:sz w:val="14"/>
                <w:szCs w:val="14"/>
              </w:rPr>
              <w:t>]</w:t>
            </w:r>
          </w:p>
        </w:tc>
      </w:tr>
      <w:tr w:rsidR="005040C7" w:rsidRPr="00832C3B" w14:paraId="53E5632D" w14:textId="77777777" w:rsidTr="00C20B06">
        <w:tc>
          <w:tcPr>
            <w:tcW w:w="709" w:type="dxa"/>
          </w:tcPr>
          <w:p w14:paraId="0AB9665E" w14:textId="6A53604B" w:rsidR="005040C7" w:rsidRPr="00DC077B" w:rsidRDefault="00767C95" w:rsidP="00CC5D84">
            <w:pPr>
              <w:pStyle w:val="Els-body-text"/>
              <w:spacing w:after="40"/>
              <w:rPr>
                <w:i/>
                <w:sz w:val="14"/>
                <w:szCs w:val="14"/>
                <w:lang w:val="en-GB"/>
              </w:rPr>
            </w:pPr>
            <m:oMathPara>
              <m:oMath>
                <m:r>
                  <w:rPr>
                    <w:rFonts w:ascii="Cambria Math" w:hAnsi="Cambria Math"/>
                    <w:sz w:val="14"/>
                    <w:szCs w:val="14"/>
                    <w:lang w:val="en-GB"/>
                  </w:rPr>
                  <m:t>ϵ</m:t>
                </m:r>
              </m:oMath>
            </m:oMathPara>
          </w:p>
        </w:tc>
        <w:tc>
          <w:tcPr>
            <w:tcW w:w="1639" w:type="dxa"/>
          </w:tcPr>
          <w:p w14:paraId="0598D9BA" w14:textId="3725274F" w:rsidR="005040C7" w:rsidRPr="00832C3B" w:rsidRDefault="00CA12E8" w:rsidP="00986F18">
            <w:pPr>
              <w:pStyle w:val="Els-body-text"/>
              <w:spacing w:after="40"/>
              <w:jc w:val="left"/>
              <w:rPr>
                <w:sz w:val="14"/>
                <w:szCs w:val="14"/>
                <w:lang w:val="en-GB"/>
              </w:rPr>
            </w:pPr>
            <w:r>
              <w:rPr>
                <w:sz w:val="14"/>
                <w:szCs w:val="14"/>
                <w:lang w:val="en-GB"/>
              </w:rPr>
              <w:t>Dead volume as fraction of</w:t>
            </w:r>
            <w:r w:rsidR="00E2223B">
              <w:rPr>
                <w:sz w:val="14"/>
                <w:szCs w:val="14"/>
                <w:lang w:val="en-GB"/>
              </w:rPr>
              <w:t xml:space="preserve"> reservoir size</w:t>
            </w:r>
          </w:p>
        </w:tc>
      </w:tr>
      <w:tr w:rsidR="005040C7" w:rsidRPr="00832C3B" w14:paraId="2E7546A8" w14:textId="77777777" w:rsidTr="00C20B06">
        <w:tc>
          <w:tcPr>
            <w:tcW w:w="709" w:type="dxa"/>
          </w:tcPr>
          <w:p w14:paraId="221A8E71" w14:textId="349E5E78" w:rsidR="005040C7" w:rsidRPr="00DC077B" w:rsidRDefault="00000000" w:rsidP="00CC5D84">
            <w:pPr>
              <w:pStyle w:val="Els-body-text"/>
              <w:spacing w:after="40"/>
              <w:rPr>
                <w:i/>
                <w:sz w:val="14"/>
                <w:szCs w:val="14"/>
                <w:lang w:val="en-GB"/>
              </w:rPr>
            </w:pPr>
            <m:oMathPara>
              <m:oMath>
                <m:bar>
                  <m:barPr>
                    <m:ctrlPr>
                      <w:rPr>
                        <w:rFonts w:ascii="Cambria Math" w:hAnsi="Cambria Math"/>
                        <w:i/>
                        <w:iCs/>
                        <w:sz w:val="14"/>
                        <w:szCs w:val="14"/>
                        <w:lang w:val="en-GB"/>
                      </w:rPr>
                    </m:ctrlPr>
                  </m:barPr>
                  <m:e>
                    <m:r>
                      <w:rPr>
                        <w:rFonts w:ascii="Cambria Math" w:hAnsi="Cambria Math"/>
                        <w:sz w:val="14"/>
                        <w:szCs w:val="14"/>
                        <w:lang w:val="en-GB"/>
                      </w:rPr>
                      <m:t>Q</m:t>
                    </m:r>
                  </m:e>
                </m:bar>
              </m:oMath>
            </m:oMathPara>
          </w:p>
        </w:tc>
        <w:tc>
          <w:tcPr>
            <w:tcW w:w="1639" w:type="dxa"/>
          </w:tcPr>
          <w:p w14:paraId="6FD73766" w14:textId="01B9B810" w:rsidR="005040C7" w:rsidRPr="00832C3B" w:rsidRDefault="00CA12E8" w:rsidP="00986F18">
            <w:pPr>
              <w:pStyle w:val="Els-body-text"/>
              <w:spacing w:after="40"/>
              <w:jc w:val="left"/>
              <w:rPr>
                <w:sz w:val="14"/>
                <w:szCs w:val="14"/>
                <w:lang w:val="en-GB"/>
              </w:rPr>
            </w:pPr>
            <w:r>
              <w:rPr>
                <w:sz w:val="14"/>
                <w:szCs w:val="14"/>
                <w:lang w:val="en-GB"/>
              </w:rPr>
              <w:t xml:space="preserve">Lower </w:t>
            </w:r>
            <w:r w:rsidR="00E26581">
              <w:rPr>
                <w:sz w:val="14"/>
                <w:szCs w:val="14"/>
                <w:lang w:val="en-GB"/>
              </w:rPr>
              <w:t xml:space="preserve">bound of piecewise defined function on </w:t>
            </w:r>
            <m:oMath>
              <m:r>
                <m:rPr>
                  <m:sty m:val="p"/>
                </m:rPr>
                <w:rPr>
                  <w:rFonts w:ascii="Cambria Math" w:hAnsi="Cambria Math"/>
                  <w:sz w:val="14"/>
                  <w:szCs w:val="14"/>
                  <w:lang w:val="en-GB"/>
                </w:rPr>
                <m:t>Q</m:t>
              </m:r>
            </m:oMath>
            <w:r w:rsidR="005531C2">
              <w:rPr>
                <w:sz w:val="14"/>
                <w:szCs w:val="14"/>
                <w:lang w:val="en-GB"/>
              </w:rPr>
              <w:t xml:space="preserve"> [</w:t>
            </w:r>
            <w:r w:rsidR="001F789E">
              <w:rPr>
                <w:bCs/>
                <w:iCs/>
                <w:sz w:val="14"/>
                <w:szCs w:val="14"/>
              </w:rPr>
              <w:t>m</w:t>
            </w:r>
            <w:r w:rsidR="001F789E" w:rsidRPr="009968BD">
              <w:rPr>
                <w:bCs/>
                <w:iCs/>
                <w:sz w:val="14"/>
                <w:szCs w:val="14"/>
                <w:vertAlign w:val="superscript"/>
              </w:rPr>
              <w:t>3</w:t>
            </w:r>
            <w:r w:rsidR="001F789E">
              <w:rPr>
                <w:bCs/>
                <w:iCs/>
                <w:sz w:val="14"/>
                <w:szCs w:val="14"/>
              </w:rPr>
              <w:t>/h]</w:t>
            </w:r>
          </w:p>
        </w:tc>
      </w:tr>
      <w:tr w:rsidR="005040C7" w:rsidRPr="00832C3B" w14:paraId="0E019146" w14:textId="77777777" w:rsidTr="00C20B06">
        <w:tc>
          <w:tcPr>
            <w:tcW w:w="709" w:type="dxa"/>
          </w:tcPr>
          <w:p w14:paraId="64246595" w14:textId="2E777846" w:rsidR="005040C7" w:rsidRPr="00DC077B" w:rsidRDefault="00000000" w:rsidP="00CC5D84">
            <w:pPr>
              <w:pStyle w:val="Els-body-text"/>
              <w:spacing w:after="40"/>
              <w:rPr>
                <w:i/>
                <w:sz w:val="14"/>
                <w:szCs w:val="14"/>
                <w:lang w:val="en-GB"/>
              </w:rPr>
            </w:pPr>
            <m:oMathPara>
              <m:oMath>
                <m:bar>
                  <m:barPr>
                    <m:pos m:val="top"/>
                    <m:ctrlPr>
                      <w:rPr>
                        <w:rFonts w:ascii="Cambria Math" w:hAnsi="Cambria Math"/>
                        <w:i/>
                        <w:iCs/>
                        <w:sz w:val="14"/>
                        <w:szCs w:val="14"/>
                        <w:lang w:val="en-GB"/>
                      </w:rPr>
                    </m:ctrlPr>
                  </m:barPr>
                  <m:e>
                    <m:r>
                      <w:rPr>
                        <w:rFonts w:ascii="Cambria Math" w:hAnsi="Cambria Math"/>
                        <w:sz w:val="14"/>
                        <w:szCs w:val="14"/>
                        <w:lang w:val="en-GB"/>
                      </w:rPr>
                      <m:t>Q</m:t>
                    </m:r>
                  </m:e>
                </m:bar>
              </m:oMath>
            </m:oMathPara>
          </w:p>
        </w:tc>
        <w:tc>
          <w:tcPr>
            <w:tcW w:w="1639" w:type="dxa"/>
          </w:tcPr>
          <w:p w14:paraId="6359FB10" w14:textId="741857EE" w:rsidR="005040C7" w:rsidRPr="00832C3B" w:rsidRDefault="00E26581" w:rsidP="00986F18">
            <w:pPr>
              <w:pStyle w:val="Els-body-text"/>
              <w:spacing w:after="40"/>
              <w:jc w:val="left"/>
              <w:rPr>
                <w:sz w:val="14"/>
                <w:szCs w:val="14"/>
                <w:lang w:val="en-GB"/>
              </w:rPr>
            </w:pPr>
            <w:r>
              <w:rPr>
                <w:sz w:val="14"/>
                <w:szCs w:val="14"/>
                <w:lang w:val="en-GB"/>
              </w:rPr>
              <w:t xml:space="preserve">Upper bound of piecewise defined function on </w:t>
            </w:r>
            <m:oMath>
              <m:r>
                <m:rPr>
                  <m:sty m:val="p"/>
                </m:rPr>
                <w:rPr>
                  <w:rFonts w:ascii="Cambria Math" w:hAnsi="Cambria Math"/>
                  <w:sz w:val="14"/>
                  <w:szCs w:val="14"/>
                  <w:lang w:val="en-GB"/>
                </w:rPr>
                <m:t>Q</m:t>
              </m:r>
            </m:oMath>
            <w:r w:rsidR="001F789E">
              <w:rPr>
                <w:sz w:val="14"/>
                <w:szCs w:val="14"/>
                <w:lang w:val="en-GB"/>
              </w:rPr>
              <w:t xml:space="preserve"> [</w:t>
            </w:r>
            <w:r w:rsidR="001F789E">
              <w:rPr>
                <w:bCs/>
                <w:iCs/>
                <w:sz w:val="14"/>
                <w:szCs w:val="14"/>
              </w:rPr>
              <w:t>m</w:t>
            </w:r>
            <w:r w:rsidR="001F789E" w:rsidRPr="009968BD">
              <w:rPr>
                <w:bCs/>
                <w:iCs/>
                <w:sz w:val="14"/>
                <w:szCs w:val="14"/>
                <w:vertAlign w:val="superscript"/>
              </w:rPr>
              <w:t>3</w:t>
            </w:r>
            <w:r w:rsidR="001F789E">
              <w:rPr>
                <w:bCs/>
                <w:iCs/>
                <w:sz w:val="14"/>
                <w:szCs w:val="14"/>
              </w:rPr>
              <w:t>/h]</w:t>
            </w:r>
          </w:p>
        </w:tc>
      </w:tr>
      <w:tr w:rsidR="00832C3B" w:rsidRPr="00832C3B" w14:paraId="09748A64" w14:textId="77777777" w:rsidTr="00C20B06">
        <w:tc>
          <w:tcPr>
            <w:tcW w:w="2348" w:type="dxa"/>
            <w:gridSpan w:val="2"/>
          </w:tcPr>
          <w:p w14:paraId="5376A3BE" w14:textId="0F2EB35E" w:rsidR="00832C3B" w:rsidRPr="00832C3B" w:rsidRDefault="00832C3B" w:rsidP="00986F18">
            <w:pPr>
              <w:pStyle w:val="Els-body-text"/>
              <w:spacing w:after="40"/>
              <w:jc w:val="left"/>
              <w:rPr>
                <w:sz w:val="14"/>
                <w:szCs w:val="14"/>
                <w:lang w:val="en-GB"/>
              </w:rPr>
            </w:pPr>
            <w:r w:rsidRPr="00832C3B">
              <w:rPr>
                <w:b/>
                <w:sz w:val="14"/>
                <w:szCs w:val="14"/>
              </w:rPr>
              <w:t>Indices</w:t>
            </w:r>
          </w:p>
        </w:tc>
      </w:tr>
      <w:tr w:rsidR="00832C3B" w:rsidRPr="00832C3B" w14:paraId="434D1CE2" w14:textId="77777777" w:rsidTr="00C20B06">
        <w:tc>
          <w:tcPr>
            <w:tcW w:w="709" w:type="dxa"/>
          </w:tcPr>
          <w:p w14:paraId="16AAF03D" w14:textId="5A00077B" w:rsidR="00832C3B" w:rsidRPr="00DC077B" w:rsidRDefault="00767C95" w:rsidP="00CC5D84">
            <w:pPr>
              <w:pStyle w:val="Els-body-text"/>
              <w:spacing w:after="40"/>
              <w:rPr>
                <w:i/>
                <w:sz w:val="14"/>
                <w:szCs w:val="14"/>
                <w:lang w:val="en-GB"/>
              </w:rPr>
            </w:pPr>
            <m:oMathPara>
              <m:oMath>
                <m:r>
                  <w:rPr>
                    <w:rFonts w:ascii="Cambria Math" w:hAnsi="Cambria Math"/>
                    <w:sz w:val="14"/>
                    <w:szCs w:val="14"/>
                  </w:rPr>
                  <m:t>u ∈U</m:t>
                </m:r>
              </m:oMath>
            </m:oMathPara>
          </w:p>
        </w:tc>
        <w:tc>
          <w:tcPr>
            <w:tcW w:w="1639" w:type="dxa"/>
          </w:tcPr>
          <w:p w14:paraId="36CF21B6" w14:textId="187041A9" w:rsidR="00832C3B" w:rsidRPr="00832C3B" w:rsidRDefault="00832C3B" w:rsidP="00986F18">
            <w:pPr>
              <w:pStyle w:val="Els-body-text"/>
              <w:spacing w:after="40"/>
              <w:jc w:val="left"/>
              <w:rPr>
                <w:sz w:val="14"/>
                <w:szCs w:val="14"/>
                <w:lang w:val="en-GB"/>
              </w:rPr>
            </w:pPr>
            <w:r w:rsidRPr="00832C3B">
              <w:rPr>
                <w:iCs/>
                <w:sz w:val="14"/>
                <w:szCs w:val="14"/>
              </w:rPr>
              <w:t>Pump u in set of  pumps U</w:t>
            </w:r>
          </w:p>
        </w:tc>
      </w:tr>
      <w:tr w:rsidR="00832C3B" w:rsidRPr="00832C3B" w14:paraId="53FFF957" w14:textId="77777777" w:rsidTr="00C20B06">
        <w:tc>
          <w:tcPr>
            <w:tcW w:w="709" w:type="dxa"/>
          </w:tcPr>
          <w:p w14:paraId="68EE6058" w14:textId="6DCFE3C9" w:rsidR="00832C3B" w:rsidRPr="00DC077B" w:rsidRDefault="00767C95" w:rsidP="00CC5D84">
            <w:pPr>
              <w:pStyle w:val="Els-body-text"/>
              <w:spacing w:after="40"/>
              <w:rPr>
                <w:i/>
                <w:sz w:val="14"/>
                <w:szCs w:val="14"/>
                <w:lang w:val="en-GB"/>
              </w:rPr>
            </w:pPr>
            <m:oMathPara>
              <m:oMath>
                <m:r>
                  <w:rPr>
                    <w:rFonts w:ascii="Cambria Math" w:hAnsi="Cambria Math"/>
                    <w:sz w:val="14"/>
                    <w:szCs w:val="14"/>
                  </w:rPr>
                  <m:t>t ∈T</m:t>
                </m:r>
              </m:oMath>
            </m:oMathPara>
          </w:p>
        </w:tc>
        <w:tc>
          <w:tcPr>
            <w:tcW w:w="1639" w:type="dxa"/>
          </w:tcPr>
          <w:p w14:paraId="1BF2FDD1" w14:textId="2FEAC6AE" w:rsidR="00832C3B" w:rsidRPr="00832C3B" w:rsidRDefault="00832C3B" w:rsidP="00986F18">
            <w:pPr>
              <w:pStyle w:val="Els-body-text"/>
              <w:spacing w:after="40"/>
              <w:jc w:val="left"/>
              <w:rPr>
                <w:sz w:val="14"/>
                <w:szCs w:val="14"/>
                <w:lang w:val="en-GB"/>
              </w:rPr>
            </w:pPr>
            <w:r w:rsidRPr="00832C3B">
              <w:rPr>
                <w:iCs/>
                <w:sz w:val="14"/>
                <w:szCs w:val="14"/>
              </w:rPr>
              <w:t>Turbine t in set of turbines T</w:t>
            </w:r>
          </w:p>
        </w:tc>
      </w:tr>
      <w:tr w:rsidR="00832C3B" w:rsidRPr="00832C3B" w14:paraId="5346568A" w14:textId="77777777" w:rsidTr="00C20B06">
        <w:tc>
          <w:tcPr>
            <w:tcW w:w="709" w:type="dxa"/>
          </w:tcPr>
          <w:p w14:paraId="5F3BBDA0" w14:textId="7981A9B0" w:rsidR="00832C3B" w:rsidRPr="00DC077B" w:rsidRDefault="00767C95" w:rsidP="00CC5D84">
            <w:pPr>
              <w:pStyle w:val="Els-body-text"/>
              <w:spacing w:after="40"/>
              <w:rPr>
                <w:i/>
                <w:sz w:val="14"/>
                <w:szCs w:val="14"/>
                <w:lang w:val="en-GB"/>
              </w:rPr>
            </w:pPr>
            <m:oMathPara>
              <m:oMath>
                <m:r>
                  <w:rPr>
                    <w:rFonts w:ascii="Cambria Math" w:hAnsi="Cambria Math"/>
                    <w:sz w:val="14"/>
                    <w:szCs w:val="14"/>
                  </w:rPr>
                  <m:t>i ∈I</m:t>
                </m:r>
              </m:oMath>
            </m:oMathPara>
          </w:p>
        </w:tc>
        <w:tc>
          <w:tcPr>
            <w:tcW w:w="1639" w:type="dxa"/>
          </w:tcPr>
          <w:p w14:paraId="11E68343" w14:textId="6A9FAD84" w:rsidR="00832C3B" w:rsidRPr="00832C3B" w:rsidRDefault="00832C3B" w:rsidP="00986F18">
            <w:pPr>
              <w:pStyle w:val="Els-body-text"/>
              <w:spacing w:after="40"/>
              <w:jc w:val="left"/>
              <w:rPr>
                <w:sz w:val="14"/>
                <w:szCs w:val="14"/>
                <w:lang w:val="en-GB"/>
              </w:rPr>
            </w:pPr>
            <w:r w:rsidRPr="00832C3B">
              <w:rPr>
                <w:iCs/>
                <w:sz w:val="14"/>
                <w:szCs w:val="14"/>
              </w:rPr>
              <w:t>Timestep i in set of timesteps I</w:t>
            </w:r>
          </w:p>
        </w:tc>
      </w:tr>
      <w:tr w:rsidR="00832C3B" w:rsidRPr="00832C3B" w14:paraId="52B487A4" w14:textId="77777777" w:rsidTr="00C20B06">
        <w:tc>
          <w:tcPr>
            <w:tcW w:w="709" w:type="dxa"/>
          </w:tcPr>
          <w:p w14:paraId="64B7FB66" w14:textId="04C60F33" w:rsidR="00832C3B" w:rsidRPr="00DC077B" w:rsidRDefault="00767C95" w:rsidP="00CC5D84">
            <w:pPr>
              <w:pStyle w:val="Els-body-text"/>
              <w:spacing w:after="40"/>
              <w:rPr>
                <w:i/>
                <w:sz w:val="14"/>
                <w:szCs w:val="14"/>
                <w:lang w:val="en-GB"/>
              </w:rPr>
            </w:pPr>
            <m:oMathPara>
              <m:oMath>
                <m:r>
                  <w:rPr>
                    <w:rFonts w:ascii="Cambria Math" w:hAnsi="Cambria Math"/>
                    <w:sz w:val="14"/>
                    <w:szCs w:val="14"/>
                  </w:rPr>
                  <m:t>w ∈W</m:t>
                </m:r>
              </m:oMath>
            </m:oMathPara>
          </w:p>
        </w:tc>
        <w:tc>
          <w:tcPr>
            <w:tcW w:w="1639" w:type="dxa"/>
          </w:tcPr>
          <w:p w14:paraId="01346933" w14:textId="7EF761E4" w:rsidR="00832C3B" w:rsidRPr="00832C3B" w:rsidRDefault="00832C3B" w:rsidP="00986F18">
            <w:pPr>
              <w:pStyle w:val="Els-body-text"/>
              <w:spacing w:after="40"/>
              <w:jc w:val="left"/>
              <w:rPr>
                <w:sz w:val="14"/>
                <w:szCs w:val="14"/>
                <w:lang w:val="en-GB"/>
              </w:rPr>
            </w:pPr>
            <w:r w:rsidRPr="00832C3B">
              <w:rPr>
                <w:iCs/>
                <w:sz w:val="14"/>
                <w:szCs w:val="14"/>
              </w:rPr>
              <w:t xml:space="preserve">Segment </w:t>
            </w:r>
            <w:proofErr w:type="spellStart"/>
            <w:r w:rsidRPr="00832C3B">
              <w:rPr>
                <w:iCs/>
                <w:sz w:val="14"/>
                <w:szCs w:val="14"/>
              </w:rPr>
              <w:t>w in</w:t>
            </w:r>
            <w:proofErr w:type="spellEnd"/>
            <w:r w:rsidRPr="00832C3B">
              <w:rPr>
                <w:iCs/>
                <w:sz w:val="14"/>
                <w:szCs w:val="14"/>
              </w:rPr>
              <w:t xml:space="preserve"> set of segments for design fitting W</w:t>
            </w:r>
          </w:p>
        </w:tc>
      </w:tr>
      <w:tr w:rsidR="00832C3B" w:rsidRPr="00832C3B" w14:paraId="59E9DFA9" w14:textId="77777777" w:rsidTr="00C20B06">
        <w:tc>
          <w:tcPr>
            <w:tcW w:w="709" w:type="dxa"/>
          </w:tcPr>
          <w:p w14:paraId="4D9531C3" w14:textId="1EAB8755" w:rsidR="00832C3B" w:rsidRPr="00DC077B" w:rsidRDefault="00767C95" w:rsidP="00CC5D84">
            <w:pPr>
              <w:pStyle w:val="Els-body-text"/>
              <w:spacing w:after="40"/>
              <w:rPr>
                <w:i/>
                <w:sz w:val="14"/>
                <w:szCs w:val="14"/>
                <w:lang w:val="en-GB"/>
              </w:rPr>
            </w:pPr>
            <m:oMathPara>
              <m:oMath>
                <m:r>
                  <w:rPr>
                    <w:rFonts w:ascii="Cambria Math" w:hAnsi="Cambria Math"/>
                    <w:sz w:val="14"/>
                    <w:szCs w:val="14"/>
                  </w:rPr>
                  <m:t>v∈V</m:t>
                </m:r>
              </m:oMath>
            </m:oMathPara>
          </w:p>
        </w:tc>
        <w:tc>
          <w:tcPr>
            <w:tcW w:w="1639" w:type="dxa"/>
          </w:tcPr>
          <w:p w14:paraId="6FA2F6FB" w14:textId="2E6D8104" w:rsidR="00832C3B" w:rsidRPr="00832C3B" w:rsidRDefault="00832C3B" w:rsidP="00986F18">
            <w:pPr>
              <w:pStyle w:val="Els-body-text"/>
              <w:spacing w:after="40"/>
              <w:jc w:val="left"/>
              <w:rPr>
                <w:sz w:val="14"/>
                <w:szCs w:val="14"/>
                <w:lang w:val="en-GB"/>
              </w:rPr>
            </w:pPr>
            <w:r w:rsidRPr="00832C3B">
              <w:rPr>
                <w:iCs/>
                <w:sz w:val="14"/>
                <w:szCs w:val="14"/>
              </w:rPr>
              <w:t>Segment v in set of segments for  part-load fitting V</w:t>
            </w:r>
          </w:p>
        </w:tc>
      </w:tr>
      <w:tr w:rsidR="00832C3B" w:rsidRPr="00832C3B" w14:paraId="7F8296D1" w14:textId="77777777" w:rsidTr="00C20B06">
        <w:tc>
          <w:tcPr>
            <w:tcW w:w="2348" w:type="dxa"/>
            <w:gridSpan w:val="2"/>
          </w:tcPr>
          <w:p w14:paraId="4C76AAC8" w14:textId="1499867C" w:rsidR="00832C3B" w:rsidRPr="00832C3B" w:rsidRDefault="00832C3B" w:rsidP="00986F18">
            <w:pPr>
              <w:pStyle w:val="Els-body-text"/>
              <w:spacing w:after="40"/>
              <w:jc w:val="left"/>
              <w:rPr>
                <w:b/>
                <w:bCs/>
                <w:sz w:val="14"/>
                <w:szCs w:val="14"/>
                <w:lang w:val="en-GB"/>
              </w:rPr>
            </w:pPr>
            <w:r w:rsidRPr="00832C3B">
              <w:rPr>
                <w:b/>
                <w:bCs/>
                <w:iCs/>
                <w:sz w:val="14"/>
                <w:szCs w:val="14"/>
              </w:rPr>
              <w:t>Subscripts</w:t>
            </w:r>
          </w:p>
        </w:tc>
      </w:tr>
      <w:tr w:rsidR="00832C3B" w:rsidRPr="00832C3B" w14:paraId="130EDFAC" w14:textId="77777777" w:rsidTr="00C20B06">
        <w:tc>
          <w:tcPr>
            <w:tcW w:w="709" w:type="dxa"/>
          </w:tcPr>
          <w:p w14:paraId="0F578231" w14:textId="79A6E996" w:rsidR="00832C3B" w:rsidRPr="00832C3B" w:rsidRDefault="00832C3B" w:rsidP="00CC5D84">
            <w:pPr>
              <w:pStyle w:val="Els-body-text"/>
              <w:spacing w:after="40"/>
              <w:rPr>
                <w:iCs/>
                <w:sz w:val="14"/>
                <w:szCs w:val="14"/>
                <w:lang w:val="en-GB"/>
              </w:rPr>
            </w:pPr>
            <m:oMathPara>
              <m:oMath>
                <m:r>
                  <m:rPr>
                    <m:sty m:val="p"/>
                  </m:rPr>
                  <w:rPr>
                    <w:rFonts w:ascii="Cambria Math" w:hAnsi="Cambria Math"/>
                    <w:sz w:val="14"/>
                    <w:szCs w:val="14"/>
                  </w:rPr>
                  <m:t>r</m:t>
                </m:r>
              </m:oMath>
            </m:oMathPara>
          </w:p>
        </w:tc>
        <w:tc>
          <w:tcPr>
            <w:tcW w:w="1639" w:type="dxa"/>
          </w:tcPr>
          <w:p w14:paraId="2B2A5BC2" w14:textId="135C0626" w:rsidR="00832C3B" w:rsidRPr="00832C3B" w:rsidRDefault="00832C3B" w:rsidP="00986F18">
            <w:pPr>
              <w:pStyle w:val="Els-body-text"/>
              <w:spacing w:after="40"/>
              <w:jc w:val="left"/>
              <w:rPr>
                <w:sz w:val="14"/>
                <w:szCs w:val="14"/>
                <w:lang w:val="en-GB"/>
              </w:rPr>
            </w:pPr>
            <w:r w:rsidRPr="00832C3B">
              <w:rPr>
                <w:iCs/>
                <w:sz w:val="14"/>
                <w:szCs w:val="14"/>
              </w:rPr>
              <w:t>Reservoir</w:t>
            </w:r>
          </w:p>
        </w:tc>
      </w:tr>
      <w:tr w:rsidR="00832C3B" w:rsidRPr="00832C3B" w14:paraId="0B0DCBED" w14:textId="77777777" w:rsidTr="00C20B06">
        <w:tc>
          <w:tcPr>
            <w:tcW w:w="709" w:type="dxa"/>
          </w:tcPr>
          <w:p w14:paraId="50BA2966" w14:textId="71600DA1" w:rsidR="00832C3B" w:rsidRPr="00832C3B" w:rsidRDefault="00C90EEC" w:rsidP="00CC5D84">
            <w:pPr>
              <w:pStyle w:val="Els-body-text"/>
              <w:spacing w:after="40"/>
              <w:rPr>
                <w:iCs/>
                <w:sz w:val="14"/>
                <w:szCs w:val="14"/>
                <w:lang w:val="en-GB"/>
              </w:rPr>
            </w:pPr>
            <m:oMathPara>
              <m:oMath>
                <m:r>
                  <m:rPr>
                    <m:sty m:val="p"/>
                  </m:rPr>
                  <w:rPr>
                    <w:rFonts w:ascii="Cambria Math" w:hAnsi="Cambria Math"/>
                    <w:sz w:val="14"/>
                    <w:szCs w:val="14"/>
                  </w:rPr>
                  <m:t>des</m:t>
                </m:r>
              </m:oMath>
            </m:oMathPara>
          </w:p>
        </w:tc>
        <w:tc>
          <w:tcPr>
            <w:tcW w:w="1639" w:type="dxa"/>
          </w:tcPr>
          <w:p w14:paraId="10D30905" w14:textId="1FD5A1DD" w:rsidR="00832C3B" w:rsidRPr="00832C3B" w:rsidRDefault="00E26581" w:rsidP="00986F18">
            <w:pPr>
              <w:pStyle w:val="Els-body-text"/>
              <w:spacing w:after="40"/>
              <w:jc w:val="left"/>
              <w:rPr>
                <w:sz w:val="14"/>
                <w:szCs w:val="14"/>
                <w:lang w:val="en-GB"/>
              </w:rPr>
            </w:pPr>
            <w:r>
              <w:rPr>
                <w:sz w:val="14"/>
                <w:szCs w:val="14"/>
                <w:lang w:val="en-GB"/>
              </w:rPr>
              <w:t>Design</w:t>
            </w:r>
          </w:p>
        </w:tc>
      </w:tr>
      <w:tr w:rsidR="00832C3B" w:rsidRPr="00832C3B" w14:paraId="1DBF60D9" w14:textId="77777777" w:rsidTr="00C20B06">
        <w:tc>
          <w:tcPr>
            <w:tcW w:w="709" w:type="dxa"/>
          </w:tcPr>
          <w:p w14:paraId="5E956C5E" w14:textId="5A8EB882" w:rsidR="00832C3B" w:rsidRPr="00832C3B" w:rsidRDefault="00C90EEC" w:rsidP="00CC5D84">
            <w:pPr>
              <w:pStyle w:val="Els-body-text"/>
              <w:spacing w:after="40"/>
              <w:rPr>
                <w:iCs/>
                <w:sz w:val="14"/>
                <w:szCs w:val="14"/>
                <w:lang w:val="en-GB"/>
              </w:rPr>
            </w:pPr>
            <m:oMathPara>
              <m:oMath>
                <m:r>
                  <m:rPr>
                    <m:sty m:val="p"/>
                  </m:rPr>
                  <w:rPr>
                    <w:rFonts w:ascii="Cambria Math" w:hAnsi="Cambria Math"/>
                    <w:sz w:val="14"/>
                    <w:szCs w:val="14"/>
                  </w:rPr>
                  <m:t>out</m:t>
                </m:r>
              </m:oMath>
            </m:oMathPara>
          </w:p>
        </w:tc>
        <w:tc>
          <w:tcPr>
            <w:tcW w:w="1639" w:type="dxa"/>
          </w:tcPr>
          <w:p w14:paraId="256B3AE6" w14:textId="73951447" w:rsidR="00832C3B" w:rsidRPr="00832C3B" w:rsidRDefault="00E26581" w:rsidP="00986F18">
            <w:pPr>
              <w:pStyle w:val="Els-body-text"/>
              <w:spacing w:after="40"/>
              <w:jc w:val="left"/>
              <w:rPr>
                <w:sz w:val="14"/>
                <w:szCs w:val="14"/>
                <w:lang w:val="en-GB"/>
              </w:rPr>
            </w:pPr>
            <w:r>
              <w:rPr>
                <w:sz w:val="14"/>
                <w:szCs w:val="14"/>
                <w:lang w:val="en-GB"/>
              </w:rPr>
              <w:t>Output</w:t>
            </w:r>
            <w:r w:rsidR="006A5240">
              <w:rPr>
                <w:sz w:val="14"/>
                <w:szCs w:val="14"/>
                <w:lang w:val="en-GB"/>
              </w:rPr>
              <w:t>/outflow</w:t>
            </w:r>
            <w:r>
              <w:rPr>
                <w:sz w:val="14"/>
                <w:szCs w:val="14"/>
                <w:lang w:val="en-GB"/>
              </w:rPr>
              <w:t xml:space="preserve"> </w:t>
            </w:r>
          </w:p>
        </w:tc>
      </w:tr>
      <w:tr w:rsidR="00832C3B" w:rsidRPr="00832C3B" w14:paraId="1AC1CE43" w14:textId="77777777" w:rsidTr="00C20B06">
        <w:tc>
          <w:tcPr>
            <w:tcW w:w="709" w:type="dxa"/>
          </w:tcPr>
          <w:p w14:paraId="0096DFF8" w14:textId="05B1100E" w:rsidR="00832C3B" w:rsidRPr="00832C3B" w:rsidRDefault="00C90EEC" w:rsidP="00CC5D84">
            <w:pPr>
              <w:pStyle w:val="Els-body-text"/>
              <w:spacing w:after="40"/>
              <w:rPr>
                <w:iCs/>
                <w:sz w:val="14"/>
                <w:szCs w:val="14"/>
                <w:lang w:val="en-GB"/>
              </w:rPr>
            </w:pPr>
            <m:oMathPara>
              <m:oMath>
                <m:r>
                  <m:rPr>
                    <m:sty m:val="p"/>
                  </m:rPr>
                  <w:rPr>
                    <w:rFonts w:ascii="Cambria Math" w:hAnsi="Cambria Math"/>
                    <w:sz w:val="14"/>
                    <w:szCs w:val="14"/>
                  </w:rPr>
                  <m:t>in</m:t>
                </m:r>
              </m:oMath>
            </m:oMathPara>
          </w:p>
        </w:tc>
        <w:tc>
          <w:tcPr>
            <w:tcW w:w="1639" w:type="dxa"/>
          </w:tcPr>
          <w:p w14:paraId="371AD09C" w14:textId="5ABB21C1" w:rsidR="00832C3B" w:rsidRPr="00832C3B" w:rsidRDefault="006A5240" w:rsidP="00CC5D84">
            <w:pPr>
              <w:pStyle w:val="Els-body-text"/>
              <w:spacing w:after="40"/>
              <w:rPr>
                <w:sz w:val="14"/>
                <w:szCs w:val="14"/>
                <w:lang w:val="en-GB"/>
              </w:rPr>
            </w:pPr>
            <w:r>
              <w:rPr>
                <w:sz w:val="14"/>
                <w:szCs w:val="14"/>
                <w:lang w:val="en-GB"/>
              </w:rPr>
              <w:t>Input/inflow</w:t>
            </w:r>
          </w:p>
        </w:tc>
      </w:tr>
    </w:tbl>
    <w:p w14:paraId="503F8455" w14:textId="77777777" w:rsidR="005040C7" w:rsidRDefault="005040C7" w:rsidP="0070457E">
      <w:pPr>
        <w:pStyle w:val="Els-body-text"/>
        <w:spacing w:after="120"/>
        <w:rPr>
          <w:lang w:val="en-GB"/>
        </w:rPr>
      </w:pPr>
    </w:p>
    <w:p w14:paraId="5E66A1C9" w14:textId="3A224861" w:rsidR="005040C7" w:rsidRDefault="005040C7" w:rsidP="0070457E">
      <w:pPr>
        <w:pStyle w:val="Els-body-text"/>
        <w:spacing w:after="120"/>
        <w:rPr>
          <w:lang w:val="en-GB"/>
        </w:rPr>
        <w:sectPr w:rsidR="005040C7" w:rsidSect="005040C7">
          <w:type w:val="continuous"/>
          <w:pgSz w:w="11906" w:h="16838" w:code="9"/>
          <w:pgMar w:top="2377" w:right="2410" w:bottom="2892" w:left="2410" w:header="1701" w:footer="2892" w:gutter="0"/>
          <w:cols w:num="3" w:space="720"/>
          <w:titlePg/>
          <w:docGrid w:linePitch="272"/>
        </w:sectPr>
      </w:pPr>
    </w:p>
    <w:p w14:paraId="13B3D6E9" w14:textId="66F9D924" w:rsidR="0097696E" w:rsidRDefault="0097696E" w:rsidP="008D2649">
      <w:pPr>
        <w:pStyle w:val="Els-1storder-head"/>
      </w:pPr>
      <w:r>
        <w:lastRenderedPageBreak/>
        <w:t>Introduction</w:t>
      </w:r>
    </w:p>
    <w:p w14:paraId="023B2E4D" w14:textId="2ED1F997" w:rsidR="0097696E" w:rsidRDefault="002643DF" w:rsidP="0097696E">
      <w:pPr>
        <w:pStyle w:val="Els-body-text"/>
      </w:pPr>
      <w:r>
        <w:t>Offshore win</w:t>
      </w:r>
      <w:r w:rsidR="00A83EA7">
        <w:t xml:space="preserve">d </w:t>
      </w:r>
      <w:r w:rsidR="002F3C4F">
        <w:t xml:space="preserve">energy is expected to </w:t>
      </w:r>
      <w:r w:rsidR="00042248">
        <w:t xml:space="preserve">play a crucial role in the future low-carbon </w:t>
      </w:r>
      <w:r w:rsidR="00E90219">
        <w:t>power system. In Europe</w:t>
      </w:r>
      <w:r w:rsidR="00AB559A">
        <w:t xml:space="preserve"> alone</w:t>
      </w:r>
      <w:r w:rsidR="00AC0C55">
        <w:t xml:space="preserve">, targets are set </w:t>
      </w:r>
      <w:r w:rsidR="00D5725B">
        <w:t xml:space="preserve">to </w:t>
      </w:r>
      <w:r w:rsidR="006B381A">
        <w:t>install</w:t>
      </w:r>
      <w:r w:rsidR="00D5725B">
        <w:t xml:space="preserve"> 60</w:t>
      </w:r>
      <w:r w:rsidR="00AB559A">
        <w:t xml:space="preserve"> </w:t>
      </w:r>
      <w:r w:rsidR="00D5725B">
        <w:t xml:space="preserve">GW of offshore </w:t>
      </w:r>
      <w:r w:rsidR="00EE595D">
        <w:t xml:space="preserve">wind </w:t>
      </w:r>
      <w:r w:rsidR="00521DF7">
        <w:t xml:space="preserve">capacity </w:t>
      </w:r>
      <w:r w:rsidR="00E72B17">
        <w:t xml:space="preserve">by 2030, and </w:t>
      </w:r>
      <w:r w:rsidR="00AB559A">
        <w:t>300 GW by 2050</w:t>
      </w:r>
      <w:r w:rsidR="00775A34">
        <w:t xml:space="preserve"> </w:t>
      </w:r>
      <w:r w:rsidR="00775A34">
        <w:fldChar w:fldCharType="begin" w:fldLock="1"/>
      </w:r>
      <w:r w:rsidR="00E73B18">
        <w:instrText>ADDIN CSL_CITATION {"citationItems":[{"id":"ITEM-1","itemData":{"author":[{"dropping-particle":"","family":"European Commission","given":"","non-dropping-particle":"","parse-names":false,"suffix":""}],"container-title":"Communication from the commission to the European parliament, the council, the European economic and social committee and the committee of the regions","id":"ITEM-1","issued":{"date-parts":[["2020","11","19"]]},"title":"An EU Strategy to harness the potential of offshore renewable energy for a climate neutral future","type":"report"},"uris":["http://www.mendeley.com/documents/?uuid=aec7b886-ce56-304a-a76c-d2bd33df2add"]}],"mendeley":{"formattedCitation":"(European Commission, 2020)","plainTextFormattedCitation":"(European Commission, 2020)","previouslyFormattedCitation":"(European Commission, 2020)"},"properties":{"noteIndex":0},"schema":"https://github.com/citation-style-language/schema/raw/master/csl-citation.json"}</w:instrText>
      </w:r>
      <w:r w:rsidR="00775A34">
        <w:fldChar w:fldCharType="separate"/>
      </w:r>
      <w:r w:rsidR="00775A34" w:rsidRPr="00775A34">
        <w:rPr>
          <w:noProof/>
        </w:rPr>
        <w:t>(European Commission, 2020)</w:t>
      </w:r>
      <w:r w:rsidR="00775A34">
        <w:fldChar w:fldCharType="end"/>
      </w:r>
      <w:r w:rsidR="00AB559A">
        <w:t xml:space="preserve">. </w:t>
      </w:r>
      <w:r w:rsidR="008072CE">
        <w:t>T</w:t>
      </w:r>
      <w:r w:rsidR="0039796B">
        <w:t xml:space="preserve">he intermittent </w:t>
      </w:r>
      <w:r w:rsidR="005A7C7F">
        <w:t>nature of wind energy</w:t>
      </w:r>
      <w:r w:rsidR="008072CE">
        <w:t>, however,</w:t>
      </w:r>
      <w:r w:rsidR="00804DDB">
        <w:t xml:space="preserve"> </w:t>
      </w:r>
      <w:r w:rsidR="00FD2610">
        <w:t xml:space="preserve">poses challenges for </w:t>
      </w:r>
      <w:r w:rsidR="007735A3">
        <w:t>system</w:t>
      </w:r>
      <w:r w:rsidR="00FD2610">
        <w:t xml:space="preserve"> integration</w:t>
      </w:r>
      <w:r w:rsidR="00504CED">
        <w:t xml:space="preserve"> and </w:t>
      </w:r>
      <w:r w:rsidR="008A3E1B">
        <w:t>supply-demand balancing</w:t>
      </w:r>
      <w:r w:rsidR="00E73B18">
        <w:t xml:space="preserve"> </w:t>
      </w:r>
      <w:r w:rsidR="00E73B18">
        <w:fldChar w:fldCharType="begin" w:fldLock="1"/>
      </w:r>
      <w:r w:rsidR="00D31E43">
        <w:instrText>ADDIN CSL_CITATION {"citationItems":[{"id":"ITEM-1","itemData":{"DOI":"10.1016/J.ENPOL.2019.111203","ISSN":"03014215","abstract":"Electrical energy storage is often proposed as a solution for the mismatch between supply patterns of variable renewable electricity sources and electricity demand patterns. However, effectiveness and usefulness of storage may vary under different circumstances. This study provides an abstract perspective on the merits of electrical energy storage integrated with decentralized supply systems consisting of solar PV and wind power in a meso-level, residential sector context. We used a balancing model to couple demand and supply patterns based on Dutch weather data and assess the resultant loads given various scenarios. Our model results highlight differences in storage effectiveness for solar PV and wind power, and strong diminishing-returns effects. Small storage capacities can be functional in reducing surpluses in overdimensioned supply systems and shortages in underdimensioned supply systems. However, full elimination of imbalance requires substantial storage capacities. The overall potential of storage to mitigate imbalance of variable renewable energy is limited. Integration of storage in local supply systems may have self-sufficiency and cost-effectiveness benefits for prosumers but may have additional peak load disadvantages for grid operators. Adequate policy measures beyond current curtailment strategies are required to ensure proper distribution of benefits and responsibilities associated with variable renewable energy and storage.","author":[{"dropping-particle":"","family":"Laugs","given":"Gideon A.H.","non-dropping-particle":"","parse-names":false,"suffix":""},{"dropping-particle":"","family":"Benders","given":"René M.J.","non-dropping-particle":"","parse-names":false,"suffix":""},{"dropping-particle":"","family":"Moll","given":"Henri C.","non-dropping-particle":"","parse-names":false,"suffix":""}],"container-title":"Energy Policy","id":"ITEM-1","issued":{"date-parts":[["2020","4","1"]]},"publisher":"Elsevier Ltd","title":"Balancing responsibilities: Effects of growth of variable renewable energy, storage, and undue grid interaction","type":"article-journal","volume":"139"},"uris":["http://www.mendeley.com/documents/?uuid=eacc9a8b-f741-3aab-8c08-609194c9049c"]}],"mendeley":{"formattedCitation":"(Laugs et al., 2020)","plainTextFormattedCitation":"(Laugs et al., 2020)","previouslyFormattedCitation":"(Laugs et al., 2020)"},"properties":{"noteIndex":0},"schema":"https://github.com/citation-style-language/schema/raw/master/csl-citation.json"}</w:instrText>
      </w:r>
      <w:r w:rsidR="00E73B18">
        <w:fldChar w:fldCharType="separate"/>
      </w:r>
      <w:r w:rsidR="00E73B18" w:rsidRPr="00E73B18">
        <w:rPr>
          <w:noProof/>
        </w:rPr>
        <w:t>(Laugs et al., 2020)</w:t>
      </w:r>
      <w:r w:rsidR="00E73B18">
        <w:fldChar w:fldCharType="end"/>
      </w:r>
      <w:r w:rsidR="00504CED">
        <w:t xml:space="preserve">. </w:t>
      </w:r>
      <w:r w:rsidR="00A81C48">
        <w:t>Energy storage systems</w:t>
      </w:r>
      <w:r w:rsidR="00F97A37">
        <w:t xml:space="preserve"> </w:t>
      </w:r>
      <w:r w:rsidR="00D46B22">
        <w:t xml:space="preserve">(ESSs) </w:t>
      </w:r>
      <w:r w:rsidR="001A75C4">
        <w:t>are</w:t>
      </w:r>
      <w:r w:rsidR="001A75C4" w:rsidDel="001C4154">
        <w:t xml:space="preserve"> </w:t>
      </w:r>
      <w:r w:rsidR="001C4154">
        <w:t>presented</w:t>
      </w:r>
      <w:r w:rsidR="001A75C4">
        <w:t xml:space="preserve"> as key solutions </w:t>
      </w:r>
      <w:r w:rsidR="00F859FD">
        <w:t xml:space="preserve">to overcome these </w:t>
      </w:r>
      <w:r w:rsidR="002053BE">
        <w:t>challenges</w:t>
      </w:r>
      <w:r w:rsidR="00B31FD6">
        <w:t xml:space="preserve">, </w:t>
      </w:r>
      <w:r w:rsidR="004552B2">
        <w:t xml:space="preserve">thereby </w:t>
      </w:r>
      <w:r w:rsidR="00600661">
        <w:t>reducing curtailment</w:t>
      </w:r>
      <w:r w:rsidR="001209B2">
        <w:t xml:space="preserve"> and </w:t>
      </w:r>
      <w:r w:rsidR="00254975">
        <w:t xml:space="preserve">improve </w:t>
      </w:r>
      <w:r w:rsidR="001209B2">
        <w:t>reliability</w:t>
      </w:r>
      <w:r w:rsidR="000650CC">
        <w:t xml:space="preserve">. </w:t>
      </w:r>
      <w:r w:rsidR="007C07CC">
        <w:t>Additional benefits</w:t>
      </w:r>
      <w:r w:rsidR="00251168">
        <w:t xml:space="preserve"> </w:t>
      </w:r>
      <w:r w:rsidR="00B636E0">
        <w:t>are reali</w:t>
      </w:r>
      <w:r w:rsidR="00650A2E">
        <w:t>z</w:t>
      </w:r>
      <w:r w:rsidR="00B636E0">
        <w:t xml:space="preserve">ed when </w:t>
      </w:r>
      <w:r w:rsidR="00B26424">
        <w:t>energy is stored offshore at the production site</w:t>
      </w:r>
      <w:r w:rsidR="00D31E43">
        <w:t xml:space="preserve"> </w:t>
      </w:r>
      <w:r w:rsidR="00D31E43">
        <w:fldChar w:fldCharType="begin" w:fldLock="1"/>
      </w:r>
      <w:r w:rsidR="00B653F6">
        <w:instrText>ADDIN CSL_CITATION {"citationItems":[{"id":"ITEM-1","itemData":{"DOI":"10.1016/j.apenergy.2015.05.111","abstract":"h i g h l i g h t s This paper examines the economics of offshore compressed air energy storage (OCAES). A mixed integer linear programming model is used to quantify OCAES performance. A hypothetical wind-OCAES system off the North Carolina coast is analyzed. The resultant levelized cost depends strongly on the OCAES cost assumptions. OCAES is more expensive than gas turbine backup at carbon costs exceeding $1000/tC. a b s t r a c t A critical challenge associated with renewable energy is managing its variable and intermittent output. Offshore compressed air energy storage (OCAES) is a carbon-free storage technology that can used to support renewable energy generation in marine environments. This paper provides the first economic characterization of OCAES performance when coupled to an offshore wind farm by employing a mixed integer programming model. The model seeks the minimum levelized cost of electricity by optimizing the grid-tied cable capacity and OCAES component sizes across a range of specified cable capacity factors. OCAES can be used to increase the capacity factor of the grid-tied transmission cable, but the resultant levelized cost of electricity strongly depends on the OCAES cost assumptions. Compared to using a land-based gas turbine as backup, OCAES is significantly more expensive, even when the price of carbon exceeds 1000 $/tC.","author":[{"dropping-particle":"","family":"Li","given":"Binghui","non-dropping-particle":"","parse-names":false,"suffix":""},{"dropping-particle":"","family":"DeCarolis","given":"Joseph F","non-dropping-particle":"","parse-names":false,"suffix":""}],"container-title":"Applied Energy","id":"ITEM-1","issued":{"date-parts":[["2015"]]},"note":"Optimizes storage size + undersea transmission line capacity given a fixed wind turbine capacity. \n\nLCOE minimization","page":"315-322","title":"A techno-economic assessment of offshore wind coupled to offshore compressed air energy storage","type":"article-journal","volume":"155"},"uris":["http://www.mendeley.com/documents/?uuid=181a53c6-8ad8-3bba-8ad6-ad86b858b3e2"]}],"mendeley":{"formattedCitation":"(Li &amp; DeCarolis, 2015)","plainTextFormattedCitation":"(Li &amp; DeCarolis, 2015)","previouslyFormattedCitation":"(Li &amp; DeCarolis, 2015)"},"properties":{"noteIndex":0},"schema":"https://github.com/citation-style-language/schema/raw/master/csl-citation.json"}</w:instrText>
      </w:r>
      <w:r w:rsidR="00D31E43">
        <w:fldChar w:fldCharType="separate"/>
      </w:r>
      <w:r w:rsidR="00D31E43" w:rsidRPr="00D31E43">
        <w:rPr>
          <w:noProof/>
        </w:rPr>
        <w:t>(Li &amp; DeCarolis, 2015)</w:t>
      </w:r>
      <w:r w:rsidR="00D31E43">
        <w:fldChar w:fldCharType="end"/>
      </w:r>
      <w:r w:rsidR="00251168">
        <w:t>:</w:t>
      </w:r>
      <w:r w:rsidR="007C07CC">
        <w:t xml:space="preserve"> </w:t>
      </w:r>
      <w:r w:rsidR="004634EE">
        <w:t>I</w:t>
      </w:r>
      <w:r w:rsidR="00084522">
        <w:t xml:space="preserve">t can increase </w:t>
      </w:r>
      <w:r w:rsidR="007C07CC">
        <w:t xml:space="preserve">the </w:t>
      </w:r>
      <w:r w:rsidR="008B3FFC">
        <w:t>utili</w:t>
      </w:r>
      <w:r w:rsidR="00650A2E">
        <w:t>z</w:t>
      </w:r>
      <w:r w:rsidR="008B3FFC">
        <w:t xml:space="preserve">ation of </w:t>
      </w:r>
      <w:r w:rsidR="00251168">
        <w:t>offshore</w:t>
      </w:r>
      <w:r w:rsidR="008B3FFC">
        <w:t xml:space="preserve"> transmission cables</w:t>
      </w:r>
      <w:r w:rsidR="00251168">
        <w:t xml:space="preserve">; </w:t>
      </w:r>
      <w:r w:rsidR="00084522">
        <w:t xml:space="preserve">reduce </w:t>
      </w:r>
      <w:r w:rsidR="00FF2A3D">
        <w:t>stress on the grid</w:t>
      </w:r>
      <w:r w:rsidR="00251168">
        <w:t xml:space="preserve"> (both offshore and onshore at the landing points)</w:t>
      </w:r>
      <w:r w:rsidR="007B2E85">
        <w:t xml:space="preserve">; </w:t>
      </w:r>
      <w:r w:rsidR="00084522">
        <w:t xml:space="preserve">provide </w:t>
      </w:r>
      <w:r w:rsidR="007B2E85">
        <w:t xml:space="preserve">additional </w:t>
      </w:r>
      <w:r w:rsidR="00897805">
        <w:t xml:space="preserve">revenues </w:t>
      </w:r>
      <w:r w:rsidR="007B2E85">
        <w:t>for wind park operators</w:t>
      </w:r>
      <w:r w:rsidR="009956AB">
        <w:t xml:space="preserve">; and </w:t>
      </w:r>
      <w:r w:rsidR="00084522">
        <w:t xml:space="preserve">reduce </w:t>
      </w:r>
      <w:r w:rsidR="00D7182E">
        <w:t xml:space="preserve">onshore </w:t>
      </w:r>
      <w:r w:rsidR="00F27931">
        <w:t xml:space="preserve">spatial </w:t>
      </w:r>
      <w:r w:rsidR="00A328AA">
        <w:t xml:space="preserve">requirements </w:t>
      </w:r>
      <w:r w:rsidR="0007336A">
        <w:t xml:space="preserve">for </w:t>
      </w:r>
      <w:r w:rsidR="00084522">
        <w:t xml:space="preserve">storage </w:t>
      </w:r>
      <w:r w:rsidR="0007336A">
        <w:t>system</w:t>
      </w:r>
      <w:r w:rsidR="00084522">
        <w:t>s</w:t>
      </w:r>
      <w:r w:rsidR="009956AB">
        <w:t xml:space="preserve">. </w:t>
      </w:r>
    </w:p>
    <w:p w14:paraId="5D7D461E" w14:textId="4B9193F7" w:rsidR="00512816" w:rsidRPr="003D14D0" w:rsidRDefault="00007355" w:rsidP="003D14D0">
      <w:pPr>
        <w:pStyle w:val="Els-body-text"/>
      </w:pPr>
      <w:r>
        <w:t xml:space="preserve">This </w:t>
      </w:r>
      <w:r w:rsidR="00940424">
        <w:t>study</w:t>
      </w:r>
      <w:r w:rsidR="00172B02">
        <w:t xml:space="preserve"> investigates a novel offshore pumped-hydro storage system</w:t>
      </w:r>
      <w:r w:rsidR="00D94AF9">
        <w:t xml:space="preserve"> as described </w:t>
      </w:r>
      <w:r w:rsidR="00B45F9B">
        <w:t>by</w:t>
      </w:r>
      <w:r w:rsidR="00B653F6">
        <w:t xml:space="preserve"> </w:t>
      </w:r>
      <w:r w:rsidR="00B653F6">
        <w:fldChar w:fldCharType="begin" w:fldLock="1"/>
      </w:r>
      <w:r w:rsidR="00FB0268">
        <w:instrText>ADDIN CSL_CITATION {"citationItems":[{"id":"ITEM-1","itemData":{"DOI":"10.1109/ISGTAsia54193.2022.10003552","author":[{"dropping-particle":"","family":"Lazdanaite","given":"Emilija","non-dropping-particle":"","parse-names":false,"suffix":""},{"dropping-particle":"","family":"Nguyen","given":"Phuong","non-dropping-particle":"","parse-names":false,"suffix":""},{"dropping-particle":"","family":"Tran","given":"Minh-Quan","non-dropping-particle":"","parse-names":false,"suffix":""},{"dropping-particle":"","family":"Bliek","given":"Frits","non-dropping-particle":"","parse-names":false,"suffix":""},{"dropping-particle":"","family":"Rooij","given":"Marijn","non-dropping-particle":"van","parse-names":false,"suffix":""}],"container-title":"2022 IEEE PES Innovative Smart Grid Technologies - Asia (ISGT Asia)","id":"ITEM-1","issued":{"date-parts":[["2022"]]},"page":"210-214","title":"Integration of Pump-Storage Batteries in Offshore Wind Farms: Evaluation of Effects on Power Exchange","type":"article-journal"},"uris":["http://www.mendeley.com/documents/?uuid=bbf44b14-468f-486d-8144-370b51c13146"]}],"mendeley":{"formattedCitation":"(Lazdanaite et al., 2022)","manualFormatting":"Lazdanaite et al. (2022)","plainTextFormattedCitation":"(Lazdanaite et al., 2022)","previouslyFormattedCitation":"(Lazdanaite et al., 2022)"},"properties":{"noteIndex":0},"schema":"https://github.com/citation-style-language/schema/raw/master/csl-citation.json"}</w:instrText>
      </w:r>
      <w:r w:rsidR="00B653F6">
        <w:fldChar w:fldCharType="separate"/>
      </w:r>
      <w:r w:rsidR="00B653F6" w:rsidRPr="00B653F6">
        <w:rPr>
          <w:noProof/>
        </w:rPr>
        <w:t xml:space="preserve">Lazdanaite et al. </w:t>
      </w:r>
      <w:r w:rsidR="003367C6">
        <w:rPr>
          <w:noProof/>
        </w:rPr>
        <w:t>(</w:t>
      </w:r>
      <w:r w:rsidR="00B653F6" w:rsidRPr="00B653F6">
        <w:rPr>
          <w:noProof/>
        </w:rPr>
        <w:t>2022)</w:t>
      </w:r>
      <w:r w:rsidR="00B653F6">
        <w:fldChar w:fldCharType="end"/>
      </w:r>
      <w:r w:rsidR="00B653F6">
        <w:t>.</w:t>
      </w:r>
      <w:r w:rsidR="002C7818">
        <w:t xml:space="preserve"> </w:t>
      </w:r>
      <w:r w:rsidR="005846C9">
        <w:t xml:space="preserve">The </w:t>
      </w:r>
      <w:r w:rsidR="00A92D51">
        <w:t>technology</w:t>
      </w:r>
      <w:r w:rsidR="007F16DD">
        <w:t xml:space="preserve"> can store electricity</w:t>
      </w:r>
      <w:r w:rsidR="00CA60EF" w:rsidDel="00E032FA">
        <w:t xml:space="preserve"> </w:t>
      </w:r>
      <w:r w:rsidR="00E032FA">
        <w:t>taking advantage of the</w:t>
      </w:r>
      <w:r w:rsidR="00CA60EF">
        <w:t xml:space="preserve"> pressure difference between </w:t>
      </w:r>
      <w:r w:rsidR="0060298B">
        <w:t xml:space="preserve">a </w:t>
      </w:r>
      <w:r w:rsidR="00EF5643" w:rsidDel="001F5D75">
        <w:t xml:space="preserve">reservoir </w:t>
      </w:r>
      <w:r w:rsidR="00E47FEA" w:rsidDel="001F5D75">
        <w:t xml:space="preserve">at </w:t>
      </w:r>
      <w:r w:rsidR="00E47FEA">
        <w:t>atmospheric pressure</w:t>
      </w:r>
      <w:r w:rsidR="001F5D75">
        <w:t xml:space="preserve"> and a second </w:t>
      </w:r>
      <w:r w:rsidR="001855BB">
        <w:t xml:space="preserve">reservoir </w:t>
      </w:r>
      <w:r w:rsidR="001F5D75">
        <w:t>under</w:t>
      </w:r>
      <w:r w:rsidR="009E1BB0">
        <w:t xml:space="preserve"> hydrostatic pressure.</w:t>
      </w:r>
      <w:r w:rsidR="004875EA">
        <w:t xml:space="preserve"> </w:t>
      </w:r>
      <w:r w:rsidR="005C75EC">
        <w:t xml:space="preserve">The two reservoirs are connected </w:t>
      </w:r>
      <w:r w:rsidR="00AB67EF">
        <w:t>with</w:t>
      </w:r>
      <w:r w:rsidR="005C75EC">
        <w:t xml:space="preserve"> pumps and turbines </w:t>
      </w:r>
      <w:r w:rsidR="00D34CAD">
        <w:t>powered by</w:t>
      </w:r>
      <w:r w:rsidR="008A30E9">
        <w:t xml:space="preserve"> th</w:t>
      </w:r>
      <w:r w:rsidR="00222B65">
        <w:t>is</w:t>
      </w:r>
      <w:r w:rsidR="008A30E9">
        <w:t xml:space="preserve"> pressure difference. </w:t>
      </w:r>
      <w:r w:rsidR="00A35A13">
        <w:t xml:space="preserve">Designing such a system entails choosing the number and size of pumps and turbines, i.e., the power capacity, as well as the reservoir volume, i.e., the energy capacity. To this end, </w:t>
      </w:r>
      <w:r w:rsidR="00E72EC6">
        <w:t>we introduce a</w:t>
      </w:r>
      <w:r w:rsidR="009E1BB0" w:rsidDel="00A879CA">
        <w:t xml:space="preserve"> </w:t>
      </w:r>
      <w:r w:rsidR="00B65C14">
        <w:t>mixed-integer</w:t>
      </w:r>
      <w:r w:rsidR="005F1B5F">
        <w:t xml:space="preserve"> linear </w:t>
      </w:r>
      <w:r w:rsidR="005F1B5F" w:rsidDel="002A2263">
        <w:t>program</w:t>
      </w:r>
      <w:r w:rsidR="00A80ECE">
        <w:t xml:space="preserve"> (MILP)</w:t>
      </w:r>
      <w:r w:rsidR="002A2263">
        <w:t xml:space="preserve"> </w:t>
      </w:r>
      <w:r w:rsidR="00C3786E">
        <w:t>approach</w:t>
      </w:r>
      <w:r w:rsidR="004644A7" w:rsidDel="00C3786E">
        <w:t xml:space="preserve"> </w:t>
      </w:r>
      <w:r w:rsidR="00C3786E">
        <w:t xml:space="preserve">including the proposed </w:t>
      </w:r>
      <w:r w:rsidR="00772A74">
        <w:t>pumped-hydro storage system and subsequently</w:t>
      </w:r>
      <w:r w:rsidR="005F1B5F" w:rsidDel="00A35A13">
        <w:t xml:space="preserve"> </w:t>
      </w:r>
      <w:r w:rsidR="00C3786E">
        <w:t xml:space="preserve">optimize </w:t>
      </w:r>
      <w:r w:rsidR="00897805">
        <w:t>its</w:t>
      </w:r>
      <w:r w:rsidR="00C3786E">
        <w:t xml:space="preserve"> configuration for</w:t>
      </w:r>
      <w:r w:rsidR="00586B21" w:rsidDel="000B11C0">
        <w:t xml:space="preserve"> </w:t>
      </w:r>
      <w:r w:rsidR="000B11C0">
        <w:t xml:space="preserve">different </w:t>
      </w:r>
      <w:r w:rsidR="00586B21">
        <w:t>electricity price</w:t>
      </w:r>
      <w:r w:rsidR="000B11C0">
        <w:t xml:space="preserve"> profiles </w:t>
      </w:r>
      <w:r w:rsidR="00586B21">
        <w:t xml:space="preserve">and </w:t>
      </w:r>
      <w:r w:rsidR="000B11C0">
        <w:t>cost assumptions</w:t>
      </w:r>
      <w:r w:rsidR="007A0A75">
        <w:t xml:space="preserve"> to maximize economic profit over a period of one month</w:t>
      </w:r>
      <w:r w:rsidR="00764991">
        <w:t>.</w:t>
      </w:r>
    </w:p>
    <w:p w14:paraId="08FFE1BC" w14:textId="12EB0721" w:rsidR="002460D7" w:rsidRDefault="002460D7" w:rsidP="008D2649">
      <w:pPr>
        <w:pStyle w:val="Els-1storder-head"/>
      </w:pPr>
      <w:r>
        <w:t>Modelling Framework</w:t>
      </w:r>
    </w:p>
    <w:p w14:paraId="5FFA68C4" w14:textId="19C97D9C" w:rsidR="00E60D25" w:rsidRDefault="007062A9" w:rsidP="00073B52">
      <w:pPr>
        <w:pStyle w:val="Els-body-text"/>
      </w:pPr>
      <w:r>
        <w:t>Figure 1</w:t>
      </w:r>
      <w:r w:rsidR="0030097C">
        <w:t xml:space="preserve"> illustrates the </w:t>
      </w:r>
      <w:r w:rsidR="009D3AE5">
        <w:t>working princip</w:t>
      </w:r>
      <w:r w:rsidR="00B818A5">
        <w:t>les</w:t>
      </w:r>
      <w:r w:rsidR="00C4505E">
        <w:t xml:space="preserve"> of the </w:t>
      </w:r>
      <w:r w:rsidR="00622844">
        <w:t>offshore pumped-hydro storage system</w:t>
      </w:r>
      <w:r w:rsidR="009D3AE5">
        <w:t xml:space="preserve"> </w:t>
      </w:r>
      <w:r w:rsidR="00722018">
        <w:t xml:space="preserve">and its </w:t>
      </w:r>
      <w:r w:rsidR="00C4505E">
        <w:t xml:space="preserve">representation in </w:t>
      </w:r>
      <w:r w:rsidR="004D1296">
        <w:t xml:space="preserve">the process model. </w:t>
      </w:r>
      <w:r w:rsidR="00644E74">
        <w:t xml:space="preserve">The </w:t>
      </w:r>
      <w:r w:rsidR="00644E74" w:rsidRPr="0070457E">
        <w:rPr>
          <w:i/>
        </w:rPr>
        <w:t>lower reservoir</w:t>
      </w:r>
      <w:r w:rsidR="00644E74">
        <w:t xml:space="preserve"> </w:t>
      </w:r>
      <w:r w:rsidR="00E36B40">
        <w:t xml:space="preserve">is connected to the </w:t>
      </w:r>
      <w:r w:rsidR="003239AD">
        <w:t>sea</w:t>
      </w:r>
      <w:r w:rsidR="00E36B40">
        <w:t xml:space="preserve"> surface thereby storing</w:t>
      </w:r>
      <w:r w:rsidR="00644E74">
        <w:t xml:space="preserve"> the working fluid </w:t>
      </w:r>
      <w:r w:rsidR="00E36B40">
        <w:t xml:space="preserve">at </w:t>
      </w:r>
      <w:r w:rsidR="00644E74">
        <w:t xml:space="preserve">atmospheric pressure. </w:t>
      </w:r>
      <w:r w:rsidR="006F2687">
        <w:t xml:space="preserve">The </w:t>
      </w:r>
      <w:r w:rsidR="008C5409" w:rsidRPr="0070457E">
        <w:rPr>
          <w:i/>
        </w:rPr>
        <w:t>upper reservoir</w:t>
      </w:r>
      <w:r w:rsidR="008C5409">
        <w:t xml:space="preserve"> </w:t>
      </w:r>
      <w:r w:rsidR="00C3786E">
        <w:t>stores the pumped working fluid</w:t>
      </w:r>
      <w:r w:rsidR="008C5409">
        <w:t xml:space="preserve"> at </w:t>
      </w:r>
      <w:r w:rsidR="00C3786E">
        <w:t xml:space="preserve">a constant </w:t>
      </w:r>
      <w:r w:rsidR="003729BD">
        <w:t>hydrostatic</w:t>
      </w:r>
      <w:r w:rsidR="00FA7C32">
        <w:t xml:space="preserve"> pressure</w:t>
      </w:r>
      <w:r w:rsidR="00B27FDF">
        <w:t xml:space="preserve"> that scales linearly with </w:t>
      </w:r>
      <w:r w:rsidR="00E42791">
        <w:t xml:space="preserve">the </w:t>
      </w:r>
      <w:r w:rsidR="00B27FDF">
        <w:t>depth of deployment</w:t>
      </w:r>
      <w:r w:rsidR="002A48E4">
        <w:t xml:space="preserve">. </w:t>
      </w:r>
      <w:r w:rsidR="003028DB">
        <w:t xml:space="preserve">For each turbo-machinery type, up to six units </w:t>
      </w:r>
      <w:r w:rsidR="002756B1">
        <w:t xml:space="preserve">of equal design </w:t>
      </w:r>
      <w:r w:rsidR="00333507">
        <w:t xml:space="preserve">can be installed. </w:t>
      </w:r>
      <w:r w:rsidR="002756B1">
        <w:rPr>
          <w:iCs/>
          <w:lang w:val="en-GB"/>
        </w:rPr>
        <w:t>However, the</w:t>
      </w:r>
      <w:r w:rsidR="00A11785">
        <w:rPr>
          <w:iCs/>
          <w:lang w:val="en-GB"/>
        </w:rPr>
        <w:t xml:space="preserve"> operation </w:t>
      </w:r>
      <w:r w:rsidR="007D3AC7">
        <w:rPr>
          <w:iCs/>
          <w:lang w:val="en-GB"/>
        </w:rPr>
        <w:t>for each individual machine</w:t>
      </w:r>
      <w:r w:rsidR="00A11785">
        <w:rPr>
          <w:iCs/>
          <w:lang w:val="en-GB"/>
        </w:rPr>
        <w:t xml:space="preserve"> can vary.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76"/>
      </w:tblGrid>
      <w:tr w:rsidR="007608DF" w14:paraId="45DE80C7" w14:textId="77777777" w:rsidTr="008D6044">
        <w:tc>
          <w:tcPr>
            <w:tcW w:w="7076" w:type="dxa"/>
          </w:tcPr>
          <w:p w14:paraId="6CCE6AA7" w14:textId="50075C92" w:rsidR="007608DF" w:rsidRDefault="007608DF" w:rsidP="008D6044">
            <w:pPr>
              <w:pStyle w:val="Els-body-text"/>
              <w:keepNext/>
            </w:pPr>
            <w:r>
              <w:rPr>
                <w:noProof/>
              </w:rPr>
              <w:drawing>
                <wp:inline distT="0" distB="0" distL="0" distR="0" wp14:anchorId="5C55B3F2" wp14:editId="1D5089D8">
                  <wp:extent cx="4451350" cy="171786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473046" cy="1726233"/>
                          </a:xfrm>
                          <a:prstGeom prst="rect">
                            <a:avLst/>
                          </a:prstGeom>
                          <a:noFill/>
                          <a:ln>
                            <a:noFill/>
                          </a:ln>
                        </pic:spPr>
                      </pic:pic>
                    </a:graphicData>
                  </a:graphic>
                </wp:inline>
              </w:drawing>
            </w:r>
          </w:p>
        </w:tc>
      </w:tr>
      <w:tr w:rsidR="007608DF" w14:paraId="7049DAA4" w14:textId="77777777" w:rsidTr="008D6044">
        <w:tc>
          <w:tcPr>
            <w:tcW w:w="7076" w:type="dxa"/>
          </w:tcPr>
          <w:p w14:paraId="03FF32BB" w14:textId="119DDB9D" w:rsidR="007608DF" w:rsidRDefault="007608DF" w:rsidP="00B005FA">
            <w:pPr>
              <w:pStyle w:val="Caption"/>
              <w:spacing w:before="0"/>
              <w:jc w:val="center"/>
            </w:pPr>
            <w:r w:rsidRPr="007A7484">
              <w:rPr>
                <w:sz w:val="16"/>
                <w:szCs w:val="18"/>
              </w:rPr>
              <w:t xml:space="preserve">Figure </w:t>
            </w:r>
            <w:r w:rsidRPr="007A7484">
              <w:rPr>
                <w:sz w:val="16"/>
                <w:szCs w:val="18"/>
              </w:rPr>
              <w:fldChar w:fldCharType="begin"/>
            </w:r>
            <w:r w:rsidRPr="007A7484">
              <w:rPr>
                <w:sz w:val="16"/>
                <w:szCs w:val="18"/>
              </w:rPr>
              <w:instrText xml:space="preserve"> SEQ Figure \* ARABIC </w:instrText>
            </w:r>
            <w:r w:rsidRPr="007A7484">
              <w:rPr>
                <w:sz w:val="16"/>
                <w:szCs w:val="18"/>
              </w:rPr>
              <w:fldChar w:fldCharType="separate"/>
            </w:r>
            <w:r w:rsidR="00340ADC">
              <w:rPr>
                <w:noProof/>
                <w:sz w:val="16"/>
                <w:szCs w:val="18"/>
              </w:rPr>
              <w:t>1</w:t>
            </w:r>
            <w:r w:rsidRPr="007A7484">
              <w:rPr>
                <w:sz w:val="16"/>
                <w:szCs w:val="18"/>
              </w:rPr>
              <w:fldChar w:fldCharType="end"/>
            </w:r>
            <w:r w:rsidR="00A20F97">
              <w:rPr>
                <w:sz w:val="16"/>
                <w:szCs w:val="18"/>
              </w:rPr>
              <w:t>.</w:t>
            </w:r>
            <w:r w:rsidRPr="007A7484">
              <w:rPr>
                <w:sz w:val="16"/>
                <w:szCs w:val="18"/>
              </w:rPr>
              <w:t xml:space="preserve"> Illustration of the offshore pumped-hydro storage system. The left side shows the overall system with variables used in the model. The right side shows an exemplary turbine performance for two different turbine designs (gray and black).</w:t>
            </w:r>
            <w:r w:rsidR="00897805">
              <w:rPr>
                <w:sz w:val="16"/>
                <w:szCs w:val="18"/>
              </w:rPr>
              <w:t xml:space="preserve"> A similar function holds for the pump performance.</w:t>
            </w:r>
          </w:p>
        </w:tc>
      </w:tr>
    </w:tbl>
    <w:p w14:paraId="235604A5" w14:textId="5B5B3702" w:rsidR="002460D7" w:rsidRDefault="002460D7" w:rsidP="0070457E">
      <w:pPr>
        <w:pStyle w:val="Els-2ndorder-head"/>
        <w:spacing w:before="240"/>
      </w:pPr>
      <w:r>
        <w:t xml:space="preserve">Detailed Model </w:t>
      </w:r>
      <w:r w:rsidR="003F5B9A">
        <w:t xml:space="preserve">of the </w:t>
      </w:r>
      <w:r w:rsidR="002B3152">
        <w:t>Offshore Pumped</w:t>
      </w:r>
      <w:r w:rsidR="003E255D">
        <w:t xml:space="preserve">-hydro </w:t>
      </w:r>
      <w:r w:rsidR="002B3152">
        <w:t>Storage System</w:t>
      </w:r>
    </w:p>
    <w:p w14:paraId="104344EF" w14:textId="6B4C983D" w:rsidR="00DA4545" w:rsidRPr="003F5B9A" w:rsidRDefault="00205CAF" w:rsidP="003F5B9A">
      <w:pPr>
        <w:pStyle w:val="Els-body-text"/>
      </w:pPr>
      <w:r>
        <w:t xml:space="preserve">The state of charge of the </w:t>
      </w:r>
      <w:r w:rsidR="00952CB8">
        <w:t>upper reservoir</w:t>
      </w:r>
      <w:r w:rsidR="00AB5D10">
        <w:t xml:space="preserve"> is given by</w:t>
      </w:r>
      <w:r w:rsidR="005C3CBC">
        <w:t xml:space="preserve"> the </w:t>
      </w:r>
      <w:r w:rsidR="00373C4F">
        <w:t xml:space="preserve">fill-volume in the previous timestep </w:t>
      </w:r>
      <m:oMath>
        <m:sSub>
          <m:sSubPr>
            <m:ctrlPr>
              <w:rPr>
                <w:rFonts w:ascii="Cambria Math" w:hAnsi="Cambria Math"/>
                <w:i/>
              </w:rPr>
            </m:ctrlPr>
          </m:sSubPr>
          <m:e>
            <m:r>
              <w:rPr>
                <w:rFonts w:ascii="Cambria Math" w:hAnsi="Cambria Math"/>
              </w:rPr>
              <m:t>V</m:t>
            </m:r>
          </m:e>
          <m:sub>
            <m:r>
              <w:rPr>
                <w:rFonts w:ascii="Cambria Math" w:hAnsi="Cambria Math"/>
              </w:rPr>
              <m:t>i-1</m:t>
            </m:r>
          </m:sub>
        </m:sSub>
      </m:oMath>
      <w:r w:rsidR="00373C4F">
        <w:t xml:space="preserve"> with respective inflows and outflows</w:t>
      </w:r>
      <w:r w:rsidR="00810531">
        <w:t xml:space="preserve"> (Eq. 1)</w:t>
      </w:r>
      <w:r w:rsidR="003E28C3">
        <w:t xml:space="preserve">. Additionally, </w:t>
      </w:r>
      <w:r w:rsidR="0067056B">
        <w:t xml:space="preserve">the </w:t>
      </w:r>
      <w:r w:rsidR="00655E03">
        <w:t xml:space="preserve">volume is </w:t>
      </w:r>
      <w:r w:rsidR="00655E03">
        <w:lastRenderedPageBreak/>
        <w:t>limited by an upper bound, i.e. the reservoir size</w:t>
      </w:r>
      <w:r w:rsidR="00E220A7">
        <w:t xml:space="preserve"> </w:t>
      </w:r>
      <m:oMath>
        <m:sSub>
          <m:sSubPr>
            <m:ctrlPr>
              <w:rPr>
                <w:rFonts w:ascii="Cambria Math" w:hAnsi="Cambria Math"/>
                <w:i/>
                <w:lang w:val="en-GB"/>
              </w:rPr>
            </m:ctrlPr>
          </m:sSubPr>
          <m:e>
            <m:r>
              <w:rPr>
                <w:rFonts w:ascii="Cambria Math" w:hAnsi="Cambria Math"/>
                <w:lang w:val="en-GB"/>
              </w:rPr>
              <m:t>V</m:t>
            </m:r>
            <m:ctrlPr>
              <w:rPr>
                <w:rFonts w:ascii="Cambria Math" w:hAnsi="Cambria Math"/>
                <w:lang w:val="en-GB"/>
              </w:rPr>
            </m:ctrlPr>
          </m:e>
          <m:sub>
            <m:r>
              <w:rPr>
                <w:rFonts w:ascii="Cambria Math" w:hAnsi="Cambria Math"/>
                <w:lang w:val="en-GB"/>
              </w:rPr>
              <m:t>r</m:t>
            </m:r>
          </m:sub>
        </m:sSub>
      </m:oMath>
      <w:r w:rsidR="00655E03">
        <w:t xml:space="preserve">, and a </w:t>
      </w:r>
      <w:r w:rsidR="00561CAE">
        <w:t>lower bound</w:t>
      </w:r>
      <w:r w:rsidR="00F30AEC">
        <w:t xml:space="preserve">, being the </w:t>
      </w:r>
      <w:r w:rsidR="00655E03">
        <w:t>dead-volume</w:t>
      </w:r>
      <w:r w:rsidR="00523D89">
        <w:t xml:space="preserve"> </w:t>
      </w:r>
      <w:r w:rsidR="00E220A7">
        <w:t xml:space="preserve">as a fraction of total </w:t>
      </w:r>
      <w:r w:rsidR="00AB573C">
        <w:t>reservoir size</w:t>
      </w:r>
      <w:r w:rsidR="009210DF">
        <w:t>:</w:t>
      </w:r>
    </w:p>
    <w:tbl>
      <w:tblPr>
        <w:tblW w:w="7087" w:type="dxa"/>
        <w:tblLook w:val="04A0" w:firstRow="1" w:lastRow="0" w:firstColumn="1" w:lastColumn="0" w:noHBand="0" w:noVBand="1"/>
      </w:tblPr>
      <w:tblGrid>
        <w:gridCol w:w="6122"/>
        <w:gridCol w:w="965"/>
      </w:tblGrid>
      <w:tr w:rsidR="008B4D53" w:rsidRPr="00A94774" w14:paraId="1A5AA609" w14:textId="77777777" w:rsidTr="001211F1">
        <w:tc>
          <w:tcPr>
            <w:tcW w:w="6122" w:type="dxa"/>
            <w:shd w:val="clear" w:color="auto" w:fill="auto"/>
            <w:vAlign w:val="center"/>
          </w:tcPr>
          <w:p w14:paraId="184CB387" w14:textId="64285E72" w:rsidR="00655E03" w:rsidRPr="00AA5047" w:rsidRDefault="00000000" w:rsidP="00E433A2">
            <w:pPr>
              <w:pStyle w:val="Els-body-text"/>
              <w:spacing w:before="60" w:after="60" w:line="264" w:lineRule="auto"/>
              <w:rPr>
                <w:i/>
                <w:iCs/>
                <w:lang w:val="en-GB"/>
              </w:rPr>
            </w:pPr>
            <m:oMath>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i</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i-1</m:t>
                  </m:r>
                </m:sub>
              </m:sSub>
              <m:r>
                <w:rPr>
                  <w:rFonts w:ascii="Cambria Math" w:hAnsi="Cambria Math"/>
                  <w:lang w:val="en-GB"/>
                </w:rPr>
                <m:t>+</m:t>
              </m:r>
              <m:nary>
                <m:naryPr>
                  <m:chr m:val="∑"/>
                  <m:limLoc m:val="undOvr"/>
                  <m:supHide m:val="1"/>
                  <m:ctrlPr>
                    <w:rPr>
                      <w:rFonts w:ascii="Cambria Math" w:hAnsi="Cambria Math"/>
                      <w:i/>
                      <w:iCs/>
                      <w:lang w:val="en-GB"/>
                    </w:rPr>
                  </m:ctrlPr>
                </m:naryPr>
                <m:sub>
                  <m:r>
                    <w:rPr>
                      <w:rFonts w:ascii="Cambria Math" w:hAnsi="Cambria Math"/>
                      <w:lang w:val="en-GB"/>
                    </w:rPr>
                    <m:t>u∈U</m:t>
                  </m:r>
                </m:sub>
                <m:sup/>
                <m:e>
                  <m:sSub>
                    <m:sSubPr>
                      <m:ctrlPr>
                        <w:rPr>
                          <w:rFonts w:ascii="Cambria Math" w:hAnsi="Cambria Math"/>
                          <w:i/>
                          <w:iCs/>
                          <w:lang w:val="en-GB"/>
                        </w:rPr>
                      </m:ctrlPr>
                    </m:sSubPr>
                    <m:e>
                      <m:acc>
                        <m:accPr>
                          <m:chr m:val="̇"/>
                          <m:ctrlPr>
                            <w:rPr>
                              <w:rFonts w:ascii="Cambria Math" w:hAnsi="Cambria Math"/>
                              <w:i/>
                              <w:iCs/>
                              <w:lang w:val="en-GB"/>
                            </w:rPr>
                          </m:ctrlPr>
                        </m:accPr>
                        <m:e>
                          <m:r>
                            <w:rPr>
                              <w:rFonts w:ascii="Cambria Math" w:hAnsi="Cambria Math"/>
                              <w:lang w:val="en-GB"/>
                            </w:rPr>
                            <m:t>Q</m:t>
                          </m:r>
                        </m:e>
                      </m:acc>
                    </m:e>
                    <m:sub>
                      <m:r>
                        <w:rPr>
                          <w:rFonts w:ascii="Cambria Math" w:hAnsi="Cambria Math"/>
                          <w:lang w:val="en-GB"/>
                        </w:rPr>
                        <m:t>u,i</m:t>
                      </m:r>
                    </m:sub>
                  </m:sSub>
                </m:e>
              </m:nary>
              <m:r>
                <m:rPr>
                  <m:sty m:val="p"/>
                </m:rPr>
                <w:rPr>
                  <w:rFonts w:ascii="Cambria Math" w:hAnsi="Cambria Math"/>
                  <w:lang w:val="en-GB"/>
                </w:rPr>
                <m:t>Δ</m:t>
              </m:r>
              <m:r>
                <w:rPr>
                  <w:rFonts w:ascii="Cambria Math" w:hAnsi="Cambria Math"/>
                  <w:lang w:val="en-GB"/>
                </w:rPr>
                <m:t>i-</m:t>
              </m:r>
              <m:nary>
                <m:naryPr>
                  <m:chr m:val="∑"/>
                  <m:limLoc m:val="undOvr"/>
                  <m:supHide m:val="1"/>
                  <m:ctrlPr>
                    <w:rPr>
                      <w:rFonts w:ascii="Cambria Math" w:hAnsi="Cambria Math"/>
                      <w:i/>
                      <w:iCs/>
                      <w:lang w:val="en-GB"/>
                    </w:rPr>
                  </m:ctrlPr>
                </m:naryPr>
                <m:sub>
                  <m:r>
                    <w:rPr>
                      <w:rFonts w:ascii="Cambria Math" w:hAnsi="Cambria Math"/>
                      <w:lang w:val="en-GB"/>
                    </w:rPr>
                    <m:t>t∈T</m:t>
                  </m:r>
                </m:sub>
                <m:sup/>
                <m:e>
                  <m:sSub>
                    <m:sSubPr>
                      <m:ctrlPr>
                        <w:rPr>
                          <w:rFonts w:ascii="Cambria Math" w:hAnsi="Cambria Math"/>
                          <w:i/>
                          <w:iCs/>
                          <w:lang w:val="en-GB"/>
                        </w:rPr>
                      </m:ctrlPr>
                    </m:sSubPr>
                    <m:e>
                      <m:acc>
                        <m:accPr>
                          <m:chr m:val="̇"/>
                          <m:ctrlPr>
                            <w:rPr>
                              <w:rFonts w:ascii="Cambria Math" w:hAnsi="Cambria Math"/>
                              <w:i/>
                              <w:iCs/>
                              <w:lang w:val="en-GB"/>
                            </w:rPr>
                          </m:ctrlPr>
                        </m:accPr>
                        <m:e>
                          <m:r>
                            <w:rPr>
                              <w:rFonts w:ascii="Cambria Math" w:hAnsi="Cambria Math"/>
                              <w:lang w:val="en-GB"/>
                            </w:rPr>
                            <m:t>Q</m:t>
                          </m:r>
                        </m:e>
                      </m:acc>
                    </m:e>
                    <m:sub>
                      <m:r>
                        <w:rPr>
                          <w:rFonts w:ascii="Cambria Math" w:hAnsi="Cambria Math"/>
                          <w:lang w:val="en-GB"/>
                        </w:rPr>
                        <m:t>t,i</m:t>
                      </m:r>
                    </m:sub>
                  </m:sSub>
                </m:e>
              </m:nary>
              <m:r>
                <m:rPr>
                  <m:sty m:val="p"/>
                </m:rPr>
                <w:rPr>
                  <w:rFonts w:ascii="Cambria Math" w:hAnsi="Cambria Math"/>
                  <w:lang w:val="en-GB"/>
                </w:rPr>
                <m:t>Δ</m:t>
              </m:r>
              <m:r>
                <w:rPr>
                  <w:rFonts w:ascii="Cambria Math" w:hAnsi="Cambria Math"/>
                  <w:lang w:val="en-GB"/>
                </w:rPr>
                <m:t>i</m:t>
              </m:r>
            </m:oMath>
            <w:r w:rsidR="001211F1" w:rsidRPr="00AA5047">
              <w:rPr>
                <w:i/>
                <w:iCs/>
                <w:lang w:val="en-GB"/>
              </w:rPr>
              <w:t xml:space="preserve"> </w:t>
            </w:r>
          </w:p>
        </w:tc>
        <w:tc>
          <w:tcPr>
            <w:tcW w:w="965" w:type="dxa"/>
            <w:shd w:val="clear" w:color="auto" w:fill="auto"/>
            <w:vAlign w:val="center"/>
          </w:tcPr>
          <w:p w14:paraId="518FF299" w14:textId="3DD0C258" w:rsidR="00AB573C" w:rsidRPr="00A94774" w:rsidRDefault="009210DF" w:rsidP="00E433A2">
            <w:pPr>
              <w:pStyle w:val="Els-body-text"/>
              <w:spacing w:before="60" w:after="60" w:line="264" w:lineRule="auto"/>
              <w:jc w:val="right"/>
              <w:rPr>
                <w:lang w:val="en-GB"/>
              </w:rPr>
            </w:pPr>
            <w:r w:rsidRPr="00A94774">
              <w:rPr>
                <w:lang w:val="en-GB"/>
              </w:rPr>
              <w:t>(</w:t>
            </w:r>
            <w:r w:rsidR="00A153A9">
              <w:rPr>
                <w:lang w:val="en-GB"/>
              </w:rPr>
              <w:t>1</w:t>
            </w:r>
            <w:r w:rsidRPr="00A94774">
              <w:rPr>
                <w:lang w:val="en-GB"/>
              </w:rPr>
              <w:t>)</w:t>
            </w:r>
          </w:p>
        </w:tc>
      </w:tr>
      <w:tr w:rsidR="001211F1" w:rsidRPr="00A94774" w14:paraId="466725A8" w14:textId="77777777" w:rsidTr="001211F1">
        <w:tc>
          <w:tcPr>
            <w:tcW w:w="6122" w:type="dxa"/>
            <w:shd w:val="clear" w:color="auto" w:fill="auto"/>
            <w:vAlign w:val="center"/>
          </w:tcPr>
          <w:p w14:paraId="35ED68B7" w14:textId="7F72EFAD" w:rsidR="001211F1" w:rsidRPr="00AA5047" w:rsidRDefault="00A256ED" w:rsidP="00E433A2">
            <w:pPr>
              <w:pStyle w:val="Els-body-text"/>
              <w:spacing w:before="60" w:after="60" w:line="264" w:lineRule="auto"/>
              <w:rPr>
                <w:rFonts w:ascii="Cambria Math" w:hAnsi="Cambria Math"/>
                <w:lang w:val="en-GB"/>
                <w:oMath/>
              </w:rPr>
            </w:pPr>
            <m:oMath>
              <m:r>
                <w:rPr>
                  <w:rFonts w:ascii="Cambria Math" w:hAnsi="Cambria Math"/>
                  <w:lang w:val="en-GB"/>
                </w:rPr>
                <m:t>ϵ</m:t>
              </m:r>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r</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i</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r</m:t>
                  </m:r>
                </m:sub>
              </m:sSub>
            </m:oMath>
            <w:r w:rsidR="001211F1" w:rsidRPr="00AA5047">
              <w:rPr>
                <w:rFonts w:ascii="Cambria Math" w:hAnsi="Cambria Math"/>
                <w:i/>
                <w:iCs/>
                <w:lang w:val="en-GB"/>
              </w:rPr>
              <w:t xml:space="preserve"> </w:t>
            </w:r>
          </w:p>
        </w:tc>
        <w:tc>
          <w:tcPr>
            <w:tcW w:w="965" w:type="dxa"/>
            <w:shd w:val="clear" w:color="auto" w:fill="auto"/>
            <w:vAlign w:val="center"/>
          </w:tcPr>
          <w:p w14:paraId="26D4A268" w14:textId="48759CAA" w:rsidR="001211F1" w:rsidRPr="00E433A2" w:rsidRDefault="001211F1" w:rsidP="00E433A2">
            <w:pPr>
              <w:pStyle w:val="Els-body-text"/>
              <w:spacing w:before="60" w:after="60" w:line="264" w:lineRule="auto"/>
              <w:jc w:val="right"/>
              <w:rPr>
                <w:rFonts w:ascii="Cambria Math" w:hAnsi="Cambria Math"/>
                <w:lang w:val="en-GB"/>
              </w:rPr>
            </w:pPr>
            <w:r w:rsidRPr="00E433A2">
              <w:rPr>
                <w:rFonts w:ascii="Cambria Math" w:hAnsi="Cambria Math"/>
                <w:lang w:val="en-GB"/>
              </w:rPr>
              <w:t>(</w:t>
            </w:r>
            <w:r w:rsidR="00A153A9" w:rsidRPr="00E433A2">
              <w:rPr>
                <w:rFonts w:ascii="Cambria Math" w:hAnsi="Cambria Math"/>
                <w:lang w:val="en-GB"/>
              </w:rPr>
              <w:t>2</w:t>
            </w:r>
            <w:r w:rsidRPr="00E433A2">
              <w:rPr>
                <w:rFonts w:ascii="Cambria Math" w:hAnsi="Cambria Math"/>
                <w:lang w:val="en-GB"/>
              </w:rPr>
              <w:t>)</w:t>
            </w:r>
          </w:p>
        </w:tc>
      </w:tr>
    </w:tbl>
    <w:p w14:paraId="575F2BA4" w14:textId="246FAD00" w:rsidR="00944490" w:rsidRDefault="00344950" w:rsidP="002460D7">
      <w:pPr>
        <w:pStyle w:val="Els-body-text"/>
      </w:pPr>
      <w:r>
        <w:t>For</w:t>
      </w:r>
      <w:r w:rsidR="00AB13E4">
        <w:t xml:space="preserve"> the</w:t>
      </w:r>
      <w:r>
        <w:t xml:space="preserve"> pump</w:t>
      </w:r>
      <w:r w:rsidR="00C729C2">
        <w:t>s</w:t>
      </w:r>
      <w:r>
        <w:t xml:space="preserve"> and turbine</w:t>
      </w:r>
      <w:r w:rsidR="00C729C2">
        <w:t>s</w:t>
      </w:r>
      <w:r>
        <w:t xml:space="preserve">, we assume </w:t>
      </w:r>
      <w:r w:rsidR="00714C4A">
        <w:t xml:space="preserve">that the performance in each </w:t>
      </w:r>
      <w:r w:rsidR="006E7C16">
        <w:t>timestep</w:t>
      </w:r>
      <w:r w:rsidR="00714C4A">
        <w:t xml:space="preserve"> is a function of </w:t>
      </w:r>
      <w:r w:rsidR="00D831CB">
        <w:t xml:space="preserve">nominal head, </w:t>
      </w:r>
      <w:r w:rsidR="009B7E16">
        <w:t>design flow and actual flow</w:t>
      </w:r>
      <w:r w:rsidR="005932D3">
        <w:t>.</w:t>
      </w:r>
      <w:r w:rsidR="009A26ED">
        <w:t xml:space="preserve"> As such, we also take into account part-load </w:t>
      </w:r>
      <w:r w:rsidR="00D64582">
        <w:t>behaviors</w:t>
      </w:r>
      <w:r w:rsidR="009A26ED">
        <w:t xml:space="preserve"> of pumps and turbines.</w:t>
      </w:r>
      <w:r w:rsidR="005932D3">
        <w:t xml:space="preserve"> </w:t>
      </w:r>
      <w:r w:rsidR="007F1891">
        <w:t xml:space="preserve">The head is assumed to be constant during operation, </w:t>
      </w:r>
      <w:r w:rsidR="005932D3">
        <w:t>neglect</w:t>
      </w:r>
      <w:r w:rsidR="007F1891">
        <w:t>ing</w:t>
      </w:r>
      <w:r w:rsidR="005932D3">
        <w:t xml:space="preserve"> </w:t>
      </w:r>
      <w:r w:rsidR="004E1F1F">
        <w:t xml:space="preserve">changes in head due to tidal or wave effects, as well as </w:t>
      </w:r>
      <w:r w:rsidR="00F3625E">
        <w:t>due to</w:t>
      </w:r>
      <w:r w:rsidR="004E1F1F">
        <w:t xml:space="preserve"> </w:t>
      </w:r>
      <w:r w:rsidR="00DE0834">
        <w:t xml:space="preserve">different </w:t>
      </w:r>
      <w:r w:rsidR="00F23DF3">
        <w:t>states</w:t>
      </w:r>
      <w:r w:rsidR="00DE0834">
        <w:t xml:space="preserve"> of charge </w:t>
      </w:r>
      <w:r w:rsidR="00792DD3">
        <w:t>and pressure losses</w:t>
      </w:r>
      <w:r w:rsidR="00C80F34">
        <w:t>,</w:t>
      </w:r>
      <w:r w:rsidR="00DE0834">
        <w:t xml:space="preserve"> as </w:t>
      </w:r>
      <w:r w:rsidR="00366B59">
        <w:t xml:space="preserve">these effects </w:t>
      </w:r>
      <w:r w:rsidR="00DE0834">
        <w:t xml:space="preserve">are expected to be </w:t>
      </w:r>
      <w:r w:rsidR="004A7E71">
        <w:t>very small.</w:t>
      </w:r>
      <w:r w:rsidR="00113859">
        <w:t xml:space="preserve"> </w:t>
      </w:r>
    </w:p>
    <w:p w14:paraId="39D0A6A2" w14:textId="600A1F80" w:rsidR="001211F1" w:rsidRDefault="00113859" w:rsidP="003D14D0">
      <w:pPr>
        <w:pStyle w:val="Els-body-text"/>
      </w:pPr>
      <w:r>
        <w:t>The relationship between design flow</w:t>
      </w:r>
      <w:r w:rsidR="008B6469">
        <w:t xml:space="preserve"> </w:t>
      </w:r>
      <w:r>
        <w:t xml:space="preserve">rate and design power of both pumps and turbines is modelled with a piecewise affine function </w:t>
      </w:r>
      <w:r w:rsidR="008B5535">
        <w:t xml:space="preserve">with a set of segments </w:t>
      </w:r>
      <m:oMath>
        <m:r>
          <w:rPr>
            <w:rFonts w:ascii="Cambria Math" w:hAnsi="Cambria Math"/>
          </w:rPr>
          <m:t>W</m:t>
        </m:r>
      </m:oMath>
      <w:r w:rsidR="008B5535">
        <w:t xml:space="preserve"> </w:t>
      </w:r>
      <w:r w:rsidR="003563BC">
        <w:t>(Eq. 3)</w:t>
      </w:r>
      <w:r w:rsidR="00D737BF">
        <w:t xml:space="preserve">. </w:t>
      </w:r>
      <w:r w:rsidR="00511BA3">
        <w:t xml:space="preserve">The available head provides an upper and lower bound to the </w:t>
      </w:r>
      <w:r w:rsidR="004E0941">
        <w:t>design flow rate</w:t>
      </w:r>
      <w:r w:rsidR="00511BA3">
        <w:t xml:space="preserve">. </w:t>
      </w:r>
      <w:r w:rsidR="00E74CDA">
        <w:t>For readability, we</w:t>
      </w:r>
      <w:r w:rsidR="00D737BF">
        <w:t xml:space="preserve"> refrain from </w:t>
      </w:r>
      <w:r w:rsidR="00527ABE">
        <w:t xml:space="preserve">indexing the variables and parameters </w:t>
      </w:r>
      <w:r w:rsidR="005B2532">
        <w:t>for</w:t>
      </w:r>
      <w:r w:rsidR="00527ABE">
        <w:t xml:space="preserve"> pump</w:t>
      </w:r>
      <w:r w:rsidR="005B2532">
        <w:t>s</w:t>
      </w:r>
      <w:r w:rsidR="00527ABE">
        <w:t xml:space="preserve"> and</w:t>
      </w:r>
      <w:r w:rsidR="00B94D60">
        <w:t xml:space="preserve"> turbines.</w:t>
      </w:r>
      <w:r w:rsidR="00527ABE">
        <w:t xml:space="preserve"> </w:t>
      </w:r>
      <w:r w:rsidR="00B94D60">
        <w:t>T</w:t>
      </w:r>
      <w:r w:rsidR="00527ABE">
        <w:t xml:space="preserve">he equations hold for both </w:t>
      </w:r>
      <w:r w:rsidR="003D55CD">
        <w:t>turbomachinery types.</w:t>
      </w:r>
    </w:p>
    <w:tbl>
      <w:tblPr>
        <w:tblW w:w="7087" w:type="dxa"/>
        <w:tblLook w:val="04A0" w:firstRow="1" w:lastRow="0" w:firstColumn="1" w:lastColumn="0" w:noHBand="0" w:noVBand="1"/>
      </w:tblPr>
      <w:tblGrid>
        <w:gridCol w:w="6122"/>
        <w:gridCol w:w="965"/>
      </w:tblGrid>
      <w:tr w:rsidR="00113859" w:rsidRPr="00A94774" w14:paraId="412212BE" w14:textId="77777777" w:rsidTr="004F21C1">
        <w:tc>
          <w:tcPr>
            <w:tcW w:w="6122" w:type="dxa"/>
            <w:shd w:val="clear" w:color="auto" w:fill="auto"/>
            <w:vAlign w:val="center"/>
          </w:tcPr>
          <w:p w14:paraId="4FA64FA3" w14:textId="73A3E5AE" w:rsidR="00113859" w:rsidRPr="00A256ED" w:rsidRDefault="00000000" w:rsidP="00E433A2">
            <w:pPr>
              <w:pStyle w:val="Els-body-text"/>
              <w:spacing w:before="60" w:after="60" w:line="264" w:lineRule="auto"/>
              <w:rPr>
                <w:rFonts w:ascii="Cambria Math" w:hAnsi="Cambria Math"/>
                <w:i/>
                <w:iCs/>
                <w:lang w:val="en-GB"/>
              </w:rPr>
            </w:pPr>
            <m:oMath>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des</m:t>
                  </m:r>
                </m:sub>
              </m:sSub>
              <m:r>
                <w:rPr>
                  <w:rFonts w:ascii="Cambria Math" w:hAnsi="Cambria Math"/>
                  <w:lang w:val="en-GB"/>
                </w:rPr>
                <m:t>=</m:t>
              </m:r>
              <m:nary>
                <m:naryPr>
                  <m:chr m:val="∑"/>
                  <m:supHide m:val="1"/>
                  <m:ctrlPr>
                    <w:rPr>
                      <w:rFonts w:ascii="Cambria Math" w:hAnsi="Cambria Math"/>
                      <w:i/>
                      <w:iCs/>
                      <w:lang w:val="en-GB"/>
                    </w:rPr>
                  </m:ctrlPr>
                </m:naryPr>
                <m:sub>
                  <m:r>
                    <w:rPr>
                      <w:rFonts w:ascii="Cambria Math" w:hAnsi="Cambria Math"/>
                      <w:lang w:val="en-GB"/>
                    </w:rPr>
                    <m:t>w∈W</m:t>
                  </m:r>
                </m:sub>
                <m:sup/>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w</m:t>
                          </m:r>
                        </m:sub>
                      </m:sSub>
                      <m:d>
                        <m:dPr>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α</m:t>
                              </m:r>
                            </m:e>
                            <m:sub>
                              <m:r>
                                <w:rPr>
                                  <w:rFonts w:ascii="Cambria Math" w:hAnsi="Cambria Math"/>
                                  <w:lang w:val="en-GB"/>
                                </w:rPr>
                                <m:t>w,1</m:t>
                              </m:r>
                            </m:sub>
                          </m:sSub>
                          <m:sSub>
                            <m:sSubPr>
                              <m:ctrlPr>
                                <w:rPr>
                                  <w:rFonts w:ascii="Cambria Math" w:hAnsi="Cambria Math"/>
                                  <w:i/>
                                  <w:iCs/>
                                  <w:lang w:val="en-GB"/>
                                </w:rPr>
                              </m:ctrlPr>
                            </m:sSubPr>
                            <m:e>
                              <m:acc>
                                <m:accPr>
                                  <m:chr m:val="̇"/>
                                  <m:ctrlPr>
                                    <w:rPr>
                                      <w:rFonts w:ascii="Cambria Math" w:hAnsi="Cambria Math"/>
                                      <w:i/>
                                      <w:iCs/>
                                      <w:lang w:val="en-GB"/>
                                    </w:rPr>
                                  </m:ctrlPr>
                                </m:accPr>
                                <m:e>
                                  <m:r>
                                    <w:rPr>
                                      <w:rFonts w:ascii="Cambria Math" w:hAnsi="Cambria Math"/>
                                      <w:lang w:val="en-GB"/>
                                    </w:rPr>
                                    <m:t>Q</m:t>
                                  </m:r>
                                </m:e>
                              </m:acc>
                            </m:e>
                            <m:sub>
                              <m:r>
                                <m:rPr>
                                  <m:sty m:val="p"/>
                                </m:rPr>
                                <w:rPr>
                                  <w:rFonts w:ascii="Cambria Math" w:hAnsi="Cambria Math"/>
                                  <w:lang w:val="en-GB"/>
                                </w:rPr>
                                <m:t>des</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α</m:t>
                              </m:r>
                            </m:e>
                            <m:sub>
                              <m:r>
                                <w:rPr>
                                  <w:rFonts w:ascii="Cambria Math" w:hAnsi="Cambria Math"/>
                                  <w:lang w:val="en-GB"/>
                                </w:rPr>
                                <m:t>w,2</m:t>
                              </m:r>
                            </m:sub>
                          </m:sSub>
                        </m:e>
                      </m:d>
                    </m:e>
                  </m:d>
                </m:e>
              </m:nary>
            </m:oMath>
            <w:r w:rsidR="00C946BF" w:rsidRPr="00A256ED">
              <w:rPr>
                <w:rFonts w:ascii="Cambria Math" w:hAnsi="Cambria Math"/>
                <w:i/>
                <w:iCs/>
                <w:lang w:val="en-GB"/>
              </w:rPr>
              <w:t xml:space="preserve"> </w:t>
            </w:r>
          </w:p>
        </w:tc>
        <w:tc>
          <w:tcPr>
            <w:tcW w:w="965" w:type="dxa"/>
            <w:shd w:val="clear" w:color="auto" w:fill="auto"/>
            <w:vAlign w:val="center"/>
          </w:tcPr>
          <w:p w14:paraId="3A49ED51" w14:textId="03B064D8" w:rsidR="00113859" w:rsidRPr="00E433A2" w:rsidRDefault="00113859" w:rsidP="00E433A2">
            <w:pPr>
              <w:pStyle w:val="Els-body-text"/>
              <w:spacing w:before="60" w:after="60" w:line="264" w:lineRule="auto"/>
              <w:jc w:val="right"/>
              <w:rPr>
                <w:rFonts w:ascii="Cambria Math" w:hAnsi="Cambria Math"/>
                <w:lang w:val="en-GB"/>
              </w:rPr>
            </w:pPr>
            <w:r w:rsidRPr="00E433A2">
              <w:rPr>
                <w:rFonts w:ascii="Cambria Math" w:hAnsi="Cambria Math"/>
                <w:lang w:val="en-GB"/>
              </w:rPr>
              <w:t>(</w:t>
            </w:r>
            <w:r w:rsidR="00A153A9" w:rsidRPr="00E433A2">
              <w:rPr>
                <w:rFonts w:ascii="Cambria Math" w:hAnsi="Cambria Math"/>
                <w:lang w:val="en-GB"/>
              </w:rPr>
              <w:t>3</w:t>
            </w:r>
            <w:r w:rsidRPr="00E433A2">
              <w:rPr>
                <w:rFonts w:ascii="Cambria Math" w:hAnsi="Cambria Math"/>
                <w:lang w:val="en-GB"/>
              </w:rPr>
              <w:t>)</w:t>
            </w:r>
          </w:p>
        </w:tc>
      </w:tr>
      <w:tr w:rsidR="00113859" w:rsidRPr="00A94774" w14:paraId="2C461166" w14:textId="77777777" w:rsidTr="004F21C1">
        <w:tc>
          <w:tcPr>
            <w:tcW w:w="6122" w:type="dxa"/>
            <w:shd w:val="clear" w:color="auto" w:fill="auto"/>
            <w:vAlign w:val="center"/>
          </w:tcPr>
          <w:p w14:paraId="5335E674" w14:textId="6C4CFB42" w:rsidR="00113859" w:rsidRPr="00A256ED" w:rsidRDefault="00000000" w:rsidP="00E433A2">
            <w:pPr>
              <w:pStyle w:val="Els-body-text"/>
              <w:spacing w:before="60" w:after="60" w:line="264" w:lineRule="auto"/>
              <w:rPr>
                <w:rFonts w:ascii="Cambria Math" w:hAnsi="Cambria Math"/>
                <w:lang w:val="en-GB"/>
                <w:oMath/>
              </w:rPr>
            </w:pPr>
            <m:oMath>
              <m:nary>
                <m:naryPr>
                  <m:chr m:val="∑"/>
                  <m:supHide m:val="1"/>
                  <m:ctrlPr>
                    <w:rPr>
                      <w:rFonts w:ascii="Cambria Math" w:hAnsi="Cambria Math"/>
                      <w:i/>
                      <w:iCs/>
                      <w:lang w:val="en-GB"/>
                    </w:rPr>
                  </m:ctrlPr>
                </m:naryPr>
                <m:sub>
                  <m:r>
                    <w:rPr>
                      <w:rFonts w:ascii="Cambria Math" w:hAnsi="Cambria Math"/>
                      <w:lang w:val="en-GB"/>
                    </w:rPr>
                    <m:t>w∈W</m:t>
                  </m:r>
                </m:sub>
                <m:sup/>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w</m:t>
                          </m:r>
                        </m:sub>
                      </m:sSub>
                      <m:sSub>
                        <m:sSubPr>
                          <m:ctrlPr>
                            <w:rPr>
                              <w:rFonts w:ascii="Cambria Math" w:hAnsi="Cambria Math"/>
                              <w:i/>
                              <w:iCs/>
                              <w:lang w:val="en-GB"/>
                            </w:rPr>
                          </m:ctrlPr>
                        </m:sSubPr>
                        <m:e>
                          <m:bar>
                            <m:barPr>
                              <m:ctrlPr>
                                <w:rPr>
                                  <w:rFonts w:ascii="Cambria Math" w:hAnsi="Cambria Math"/>
                                  <w:i/>
                                  <w:iCs/>
                                  <w:lang w:val="en-GB"/>
                                </w:rPr>
                              </m:ctrlPr>
                            </m:barPr>
                            <m:e>
                              <m:r>
                                <w:rPr>
                                  <w:rFonts w:ascii="Cambria Math" w:hAnsi="Cambria Math"/>
                                  <w:lang w:val="en-GB"/>
                                </w:rPr>
                                <m:t>Q</m:t>
                              </m:r>
                            </m:e>
                          </m:bar>
                        </m:e>
                        <m:sub>
                          <m:r>
                            <m:rPr>
                              <m:sty m:val="p"/>
                            </m:rPr>
                            <w:rPr>
                              <w:rFonts w:ascii="Cambria Math" w:hAnsi="Cambria Math"/>
                              <w:lang w:val="en-GB"/>
                            </w:rPr>
                            <m:t>des</m:t>
                          </m:r>
                          <m:r>
                            <w:rPr>
                              <w:rFonts w:ascii="Cambria Math" w:hAnsi="Cambria Math"/>
                              <w:lang w:val="en-GB"/>
                            </w:rPr>
                            <m:t>,w</m:t>
                          </m:r>
                        </m:sub>
                      </m:sSub>
                    </m:e>
                  </m:d>
                </m:e>
              </m:nary>
              <m:r>
                <w:rPr>
                  <w:rFonts w:ascii="Cambria Math" w:hAnsi="Cambria Math"/>
                  <w:lang w:val="en-GB"/>
                </w:rPr>
                <m:t>≤</m:t>
              </m:r>
              <m:sSub>
                <m:sSubPr>
                  <m:ctrlPr>
                    <w:rPr>
                      <w:rFonts w:ascii="Cambria Math" w:hAnsi="Cambria Math"/>
                      <w:i/>
                      <w:iCs/>
                      <w:lang w:val="en-GB"/>
                    </w:rPr>
                  </m:ctrlPr>
                </m:sSubPr>
                <m:e>
                  <m:acc>
                    <m:accPr>
                      <m:chr m:val="̇"/>
                      <m:ctrlPr>
                        <w:rPr>
                          <w:rFonts w:ascii="Cambria Math" w:hAnsi="Cambria Math"/>
                          <w:i/>
                          <w:iCs/>
                          <w:lang w:val="en-GB"/>
                        </w:rPr>
                      </m:ctrlPr>
                    </m:accPr>
                    <m:e>
                      <m:r>
                        <w:rPr>
                          <w:rFonts w:ascii="Cambria Math" w:hAnsi="Cambria Math"/>
                          <w:lang w:val="en-GB"/>
                        </w:rPr>
                        <m:t>Q</m:t>
                      </m:r>
                    </m:e>
                  </m:acc>
                </m:e>
                <m:sub>
                  <m:r>
                    <m:rPr>
                      <m:sty m:val="p"/>
                    </m:rPr>
                    <w:rPr>
                      <w:rFonts w:ascii="Cambria Math" w:hAnsi="Cambria Math"/>
                      <w:lang w:val="en-GB"/>
                    </w:rPr>
                    <m:t>des</m:t>
                  </m:r>
                </m:sub>
              </m:sSub>
              <m:r>
                <w:rPr>
                  <w:rFonts w:ascii="Cambria Math" w:hAnsi="Cambria Math"/>
                  <w:lang w:val="en-GB"/>
                </w:rPr>
                <m:t>≤</m:t>
              </m:r>
              <m:nary>
                <m:naryPr>
                  <m:chr m:val="∑"/>
                  <m:supHide m:val="1"/>
                  <m:ctrlPr>
                    <w:rPr>
                      <w:rFonts w:ascii="Cambria Math" w:hAnsi="Cambria Math"/>
                      <w:i/>
                      <w:iCs/>
                      <w:lang w:val="en-GB"/>
                    </w:rPr>
                  </m:ctrlPr>
                </m:naryPr>
                <m:sub>
                  <m:r>
                    <w:rPr>
                      <w:rFonts w:ascii="Cambria Math" w:hAnsi="Cambria Math"/>
                      <w:lang w:val="en-GB"/>
                    </w:rPr>
                    <m:t>w∈W</m:t>
                  </m:r>
                </m:sub>
                <m:sup/>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w</m:t>
                          </m:r>
                        </m:sub>
                      </m:sSub>
                      <m:sSub>
                        <m:sSubPr>
                          <m:ctrlPr>
                            <w:rPr>
                              <w:rFonts w:ascii="Cambria Math" w:hAnsi="Cambria Math"/>
                              <w:i/>
                              <w:iCs/>
                              <w:lang w:val="en-GB"/>
                            </w:rPr>
                          </m:ctrlPr>
                        </m:sSubPr>
                        <m:e>
                          <m:bar>
                            <m:barPr>
                              <m:pos m:val="top"/>
                              <m:ctrlPr>
                                <w:rPr>
                                  <w:rFonts w:ascii="Cambria Math" w:hAnsi="Cambria Math"/>
                                  <w:i/>
                                  <w:iCs/>
                                  <w:lang w:val="en-GB"/>
                                </w:rPr>
                              </m:ctrlPr>
                            </m:barPr>
                            <m:e>
                              <m:r>
                                <w:rPr>
                                  <w:rFonts w:ascii="Cambria Math" w:hAnsi="Cambria Math"/>
                                  <w:lang w:val="en-GB"/>
                                </w:rPr>
                                <m:t>Q</m:t>
                              </m:r>
                            </m:e>
                          </m:bar>
                        </m:e>
                        <m:sub>
                          <m:r>
                            <m:rPr>
                              <m:sty m:val="p"/>
                            </m:rPr>
                            <w:rPr>
                              <w:rFonts w:ascii="Cambria Math" w:hAnsi="Cambria Math"/>
                              <w:lang w:val="en-GB"/>
                            </w:rPr>
                            <m:t>des</m:t>
                          </m:r>
                          <m:r>
                            <w:rPr>
                              <w:rFonts w:ascii="Cambria Math" w:hAnsi="Cambria Math"/>
                              <w:lang w:val="en-GB"/>
                            </w:rPr>
                            <m:t>,w</m:t>
                          </m:r>
                        </m:sub>
                      </m:sSub>
                    </m:e>
                  </m:d>
                </m:e>
              </m:nary>
            </m:oMath>
            <w:r w:rsidR="004D276D" w:rsidRPr="00A256ED">
              <w:rPr>
                <w:rFonts w:ascii="Cambria Math" w:hAnsi="Cambria Math"/>
                <w:i/>
                <w:iCs/>
                <w:lang w:val="en-GB"/>
              </w:rPr>
              <w:t xml:space="preserve"> </w:t>
            </w:r>
          </w:p>
        </w:tc>
        <w:tc>
          <w:tcPr>
            <w:tcW w:w="965" w:type="dxa"/>
            <w:shd w:val="clear" w:color="auto" w:fill="auto"/>
            <w:vAlign w:val="center"/>
          </w:tcPr>
          <w:p w14:paraId="55D6CB67" w14:textId="6708E242" w:rsidR="00113859" w:rsidRPr="00E433A2" w:rsidRDefault="00113859" w:rsidP="00E433A2">
            <w:pPr>
              <w:pStyle w:val="Els-body-text"/>
              <w:spacing w:before="60" w:after="60" w:line="264" w:lineRule="auto"/>
              <w:jc w:val="right"/>
              <w:rPr>
                <w:rFonts w:ascii="Cambria Math" w:hAnsi="Cambria Math"/>
                <w:lang w:val="en-GB"/>
              </w:rPr>
            </w:pPr>
            <w:r w:rsidRPr="00E433A2">
              <w:rPr>
                <w:rFonts w:ascii="Cambria Math" w:hAnsi="Cambria Math"/>
                <w:lang w:val="en-GB"/>
              </w:rPr>
              <w:t>(</w:t>
            </w:r>
            <w:r w:rsidR="00A153A9" w:rsidRPr="00E433A2">
              <w:rPr>
                <w:rFonts w:ascii="Cambria Math" w:hAnsi="Cambria Math"/>
                <w:lang w:val="en-GB"/>
              </w:rPr>
              <w:t>4</w:t>
            </w:r>
            <w:r w:rsidRPr="00E433A2">
              <w:rPr>
                <w:rFonts w:ascii="Cambria Math" w:hAnsi="Cambria Math"/>
                <w:lang w:val="en-GB"/>
              </w:rPr>
              <w:t>)</w:t>
            </w:r>
          </w:p>
        </w:tc>
      </w:tr>
      <w:tr w:rsidR="004D276D" w:rsidRPr="00A94774" w14:paraId="1652B650" w14:textId="77777777" w:rsidTr="004F21C1">
        <w:tc>
          <w:tcPr>
            <w:tcW w:w="6122" w:type="dxa"/>
            <w:shd w:val="clear" w:color="auto" w:fill="auto"/>
            <w:vAlign w:val="center"/>
          </w:tcPr>
          <w:p w14:paraId="1927743C" w14:textId="7C7DE5BB" w:rsidR="004D276D" w:rsidRPr="00A256ED" w:rsidRDefault="00000000" w:rsidP="00E433A2">
            <w:pPr>
              <w:pStyle w:val="Els-body-text"/>
              <w:spacing w:before="60" w:after="60" w:line="264" w:lineRule="auto"/>
              <w:rPr>
                <w:rFonts w:ascii="Cambria Math" w:hAnsi="Cambria Math"/>
                <w:i/>
                <w:iCs/>
                <w:lang w:val="en-GB"/>
              </w:rPr>
            </w:pPr>
            <m:oMath>
              <m:nary>
                <m:naryPr>
                  <m:chr m:val="∑"/>
                  <m:supHide m:val="1"/>
                  <m:ctrlPr>
                    <w:rPr>
                      <w:rFonts w:ascii="Cambria Math" w:hAnsi="Cambria Math"/>
                      <w:i/>
                      <w:iCs/>
                      <w:lang w:val="en-GB"/>
                    </w:rPr>
                  </m:ctrlPr>
                </m:naryPr>
                <m:sub>
                  <m:r>
                    <w:rPr>
                      <w:rFonts w:ascii="Cambria Math" w:hAnsi="Cambria Math"/>
                      <w:lang w:val="en-GB"/>
                    </w:rPr>
                    <m:t>w∈W</m:t>
                  </m:r>
                </m:sub>
                <m:sup/>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w</m:t>
                      </m:r>
                    </m:sub>
                  </m:sSub>
                </m:e>
              </m:nary>
              <m:r>
                <w:rPr>
                  <w:rFonts w:ascii="Cambria Math" w:hAnsi="Cambria Math"/>
                  <w:lang w:val="en-GB"/>
                </w:rPr>
                <m:t>=1</m:t>
              </m:r>
            </m:oMath>
            <w:r w:rsidR="004D276D" w:rsidRPr="00A256ED">
              <w:rPr>
                <w:rFonts w:ascii="Cambria Math" w:hAnsi="Cambria Math"/>
                <w:i/>
                <w:iCs/>
                <w:lang w:val="en-GB"/>
              </w:rPr>
              <w:t xml:space="preserve"> </w:t>
            </w:r>
          </w:p>
        </w:tc>
        <w:tc>
          <w:tcPr>
            <w:tcW w:w="965" w:type="dxa"/>
            <w:shd w:val="clear" w:color="auto" w:fill="auto"/>
            <w:vAlign w:val="center"/>
          </w:tcPr>
          <w:p w14:paraId="19A2D1AE" w14:textId="12794B07" w:rsidR="004D276D" w:rsidRPr="00E433A2" w:rsidRDefault="004D276D" w:rsidP="00E433A2">
            <w:pPr>
              <w:pStyle w:val="Els-body-text"/>
              <w:spacing w:before="60" w:after="60" w:line="264" w:lineRule="auto"/>
              <w:jc w:val="right"/>
              <w:rPr>
                <w:rFonts w:ascii="Cambria Math" w:hAnsi="Cambria Math"/>
                <w:lang w:val="en-GB"/>
              </w:rPr>
            </w:pPr>
            <w:r w:rsidRPr="00E433A2">
              <w:rPr>
                <w:rFonts w:ascii="Cambria Math" w:hAnsi="Cambria Math"/>
                <w:lang w:val="en-GB"/>
              </w:rPr>
              <w:t>(</w:t>
            </w:r>
            <w:r w:rsidR="00A153A9" w:rsidRPr="00E433A2">
              <w:rPr>
                <w:rFonts w:ascii="Cambria Math" w:hAnsi="Cambria Math"/>
                <w:lang w:val="en-GB"/>
              </w:rPr>
              <w:t>5</w:t>
            </w:r>
            <w:r w:rsidRPr="00E433A2">
              <w:rPr>
                <w:rFonts w:ascii="Cambria Math" w:hAnsi="Cambria Math"/>
                <w:lang w:val="en-GB"/>
              </w:rPr>
              <w:t>)</w:t>
            </w:r>
          </w:p>
        </w:tc>
      </w:tr>
      <w:tr w:rsidR="004D276D" w:rsidRPr="00A94774" w14:paraId="11E3F517" w14:textId="77777777" w:rsidTr="004F21C1">
        <w:tc>
          <w:tcPr>
            <w:tcW w:w="6122" w:type="dxa"/>
            <w:shd w:val="clear" w:color="auto" w:fill="auto"/>
            <w:vAlign w:val="center"/>
          </w:tcPr>
          <w:p w14:paraId="39808FB1" w14:textId="302F7163" w:rsidR="004D276D" w:rsidRPr="00A256ED" w:rsidRDefault="00000000" w:rsidP="00E433A2">
            <w:pPr>
              <w:pStyle w:val="Els-body-text"/>
              <w:spacing w:before="60" w:after="60" w:line="264" w:lineRule="auto"/>
              <w:rPr>
                <w:rFonts w:ascii="Cambria Math" w:hAnsi="Cambria Math"/>
                <w:i/>
                <w:iCs/>
                <w:lang w:val="en-GB"/>
              </w:rPr>
            </w:pP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w</m:t>
                  </m:r>
                </m:sub>
              </m:sSub>
              <m:r>
                <w:rPr>
                  <w:rFonts w:ascii="Cambria Math" w:hAnsi="Cambria Math"/>
                  <w:lang w:val="en-GB"/>
                </w:rPr>
                <m:t>∈{0,1}</m:t>
              </m:r>
            </m:oMath>
            <w:r w:rsidR="00BD0993" w:rsidRPr="00A256ED">
              <w:rPr>
                <w:rFonts w:ascii="Cambria Math" w:hAnsi="Cambria Math"/>
                <w:i/>
                <w:iCs/>
                <w:lang w:val="en-GB"/>
              </w:rPr>
              <w:t xml:space="preserve"> </w:t>
            </w:r>
          </w:p>
        </w:tc>
        <w:tc>
          <w:tcPr>
            <w:tcW w:w="965" w:type="dxa"/>
            <w:shd w:val="clear" w:color="auto" w:fill="auto"/>
            <w:vAlign w:val="center"/>
          </w:tcPr>
          <w:p w14:paraId="1415582A" w14:textId="3B813EC1" w:rsidR="004D276D" w:rsidRPr="00E433A2" w:rsidRDefault="00BD0993" w:rsidP="00E433A2">
            <w:pPr>
              <w:pStyle w:val="Els-body-text"/>
              <w:spacing w:before="60" w:after="60" w:line="264" w:lineRule="auto"/>
              <w:jc w:val="right"/>
              <w:rPr>
                <w:rFonts w:ascii="Cambria Math" w:hAnsi="Cambria Math"/>
                <w:lang w:val="en-GB"/>
              </w:rPr>
            </w:pPr>
            <w:r w:rsidRPr="00E433A2">
              <w:rPr>
                <w:rFonts w:ascii="Cambria Math" w:hAnsi="Cambria Math"/>
                <w:lang w:val="en-GB"/>
              </w:rPr>
              <w:t>(</w:t>
            </w:r>
            <w:r w:rsidR="00A153A9" w:rsidRPr="00E433A2">
              <w:rPr>
                <w:rFonts w:ascii="Cambria Math" w:hAnsi="Cambria Math"/>
                <w:lang w:val="en-GB"/>
              </w:rPr>
              <w:t>6</w:t>
            </w:r>
            <w:r w:rsidRPr="00E433A2">
              <w:rPr>
                <w:rFonts w:ascii="Cambria Math" w:hAnsi="Cambria Math"/>
                <w:lang w:val="en-GB"/>
              </w:rPr>
              <w:t>)</w:t>
            </w:r>
          </w:p>
        </w:tc>
      </w:tr>
    </w:tbl>
    <w:p w14:paraId="1BA3BE4C" w14:textId="2D10E1BD" w:rsidR="00095E89" w:rsidRDefault="00095E89" w:rsidP="002460D7">
      <w:pPr>
        <w:pStyle w:val="Els-body-text"/>
        <w:rPr>
          <w:lang w:val="en-GB"/>
        </w:rPr>
      </w:pPr>
      <w:r>
        <w:rPr>
          <w:lang w:val="en-GB"/>
        </w:rPr>
        <w:t>The part-load performance of the pumps and the turbines are modelled with another piecewise affin</w:t>
      </w:r>
      <w:r w:rsidR="00B65CF5">
        <w:rPr>
          <w:lang w:val="en-GB"/>
        </w:rPr>
        <w:t>e function</w:t>
      </w:r>
      <w:r w:rsidR="00EA30CB">
        <w:rPr>
          <w:lang w:val="en-GB"/>
        </w:rPr>
        <w:t xml:space="preserve">. </w:t>
      </w:r>
      <w:r w:rsidR="00B7739B">
        <w:rPr>
          <w:lang w:val="en-GB"/>
        </w:rPr>
        <w:t xml:space="preserve">The relationship of different design flow rates </w:t>
      </w:r>
      <m:oMath>
        <m:sSub>
          <m:sSubPr>
            <m:ctrlPr>
              <w:rPr>
                <w:rFonts w:ascii="Cambria Math" w:hAnsi="Cambria Math"/>
                <w:iCs/>
                <w:lang w:val="en-GB"/>
              </w:rPr>
            </m:ctrlPr>
          </m:sSubPr>
          <m:e>
            <m:acc>
              <m:accPr>
                <m:chr m:val="̇"/>
                <m:ctrlPr>
                  <w:rPr>
                    <w:rFonts w:ascii="Cambria Math" w:hAnsi="Cambria Math"/>
                    <w:i/>
                    <w:lang w:val="en-GB"/>
                  </w:rPr>
                </m:ctrlPr>
              </m:accPr>
              <m:e>
                <m:r>
                  <w:rPr>
                    <w:rFonts w:ascii="Cambria Math" w:hAnsi="Cambria Math"/>
                    <w:lang w:val="en-GB"/>
                  </w:rPr>
                  <m:t>Q</m:t>
                </m:r>
              </m:e>
            </m:acc>
          </m:e>
          <m:sub>
            <m:r>
              <m:rPr>
                <m:sty m:val="p"/>
              </m:rPr>
              <w:rPr>
                <w:rFonts w:ascii="Cambria Math" w:hAnsi="Cambria Math"/>
                <w:lang w:val="en-GB"/>
              </w:rPr>
              <m:t>des</m:t>
            </m:r>
          </m:sub>
        </m:sSub>
      </m:oMath>
      <w:r w:rsidR="00B7739B">
        <w:rPr>
          <w:iCs/>
          <w:lang w:val="en-GB"/>
        </w:rPr>
        <w:t>, actual flow</w:t>
      </w:r>
      <w:r w:rsidR="008B6469">
        <w:rPr>
          <w:iCs/>
          <w:lang w:val="en-GB"/>
        </w:rPr>
        <w:t xml:space="preserve"> </w:t>
      </w:r>
      <w:r w:rsidR="00B7739B">
        <w:rPr>
          <w:iCs/>
          <w:lang w:val="en-GB"/>
        </w:rPr>
        <w:t>rate</w:t>
      </w:r>
      <w:r w:rsidR="00A00C85">
        <w:rPr>
          <w:iCs/>
          <w:lang w:val="en-GB"/>
        </w:rPr>
        <w:t>s</w:t>
      </w:r>
      <w:r w:rsidR="00B7739B">
        <w:rPr>
          <w:iCs/>
          <w:lang w:val="en-GB"/>
        </w:rPr>
        <w:t xml:space="preserve">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Q</m:t>
                </m:r>
              </m:e>
            </m:acc>
          </m:e>
          <m:sub>
            <m:r>
              <w:rPr>
                <w:rFonts w:ascii="Cambria Math" w:hAnsi="Cambria Math"/>
                <w:lang w:val="en-GB"/>
              </w:rPr>
              <m:t>i</m:t>
            </m:r>
          </m:sub>
        </m:sSub>
      </m:oMath>
      <w:r w:rsidR="00B7739B">
        <w:rPr>
          <w:lang w:val="en-GB"/>
        </w:rPr>
        <w:t xml:space="preserve"> and power </w:t>
      </w:r>
      <m:oMath>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i</m:t>
            </m:r>
          </m:sub>
        </m:sSub>
      </m:oMath>
      <w:r w:rsidR="00B7739B">
        <w:rPr>
          <w:lang w:val="en-GB"/>
        </w:rPr>
        <w:t xml:space="preserve"> is </w:t>
      </w:r>
      <w:r w:rsidR="007D7CD6">
        <w:rPr>
          <w:lang w:val="en-GB"/>
        </w:rPr>
        <w:t xml:space="preserve">also </w:t>
      </w:r>
      <w:r w:rsidR="00B7739B">
        <w:rPr>
          <w:lang w:val="en-GB"/>
        </w:rPr>
        <w:t>illustrated in</w:t>
      </w:r>
      <w:r w:rsidR="00340ADC">
        <w:rPr>
          <w:lang w:val="en-GB"/>
        </w:rPr>
        <w:t xml:space="preserve"> Figure 1</w:t>
      </w:r>
      <w:r w:rsidR="00B7739B">
        <w:t xml:space="preserve">. </w:t>
      </w:r>
      <w:r w:rsidR="00B7739B">
        <w:rPr>
          <w:lang w:val="en-GB"/>
        </w:rPr>
        <w:t xml:space="preserve"> </w:t>
      </w:r>
    </w:p>
    <w:tbl>
      <w:tblPr>
        <w:tblW w:w="7087" w:type="dxa"/>
        <w:tblLook w:val="04A0" w:firstRow="1" w:lastRow="0" w:firstColumn="1" w:lastColumn="0" w:noHBand="0" w:noVBand="1"/>
      </w:tblPr>
      <w:tblGrid>
        <w:gridCol w:w="6122"/>
        <w:gridCol w:w="965"/>
      </w:tblGrid>
      <w:tr w:rsidR="00B65CF5" w:rsidRPr="00A94774" w14:paraId="4819F792" w14:textId="77777777" w:rsidTr="004F21C1">
        <w:tc>
          <w:tcPr>
            <w:tcW w:w="6122" w:type="dxa"/>
            <w:shd w:val="clear" w:color="auto" w:fill="auto"/>
            <w:vAlign w:val="center"/>
          </w:tcPr>
          <w:p w14:paraId="305B8456" w14:textId="3DD0FD69" w:rsidR="00B65CF5" w:rsidRPr="00C55139" w:rsidRDefault="00000000" w:rsidP="0089000F">
            <w:pPr>
              <w:pStyle w:val="Els-body-text"/>
              <w:spacing w:before="60" w:after="60"/>
              <w:rPr>
                <w:rFonts w:ascii="Cambria Math" w:hAnsi="Cambria Math"/>
                <w:lang w:val="en-GB"/>
                <w:oMath/>
              </w:rPr>
            </w:pP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i</m:t>
                  </m:r>
                </m:sub>
              </m:sSub>
              <m:r>
                <w:rPr>
                  <w:rFonts w:ascii="Cambria Math" w:hAnsi="Cambria Math"/>
                  <w:lang w:val="en-GB"/>
                </w:rPr>
                <m:t>=</m:t>
              </m:r>
              <m:nary>
                <m:naryPr>
                  <m:chr m:val="∑"/>
                  <m:supHide m:val="1"/>
                  <m:ctrlPr>
                    <w:rPr>
                      <w:rFonts w:ascii="Cambria Math" w:hAnsi="Cambria Math"/>
                      <w:i/>
                      <w:lang w:val="en-GB"/>
                    </w:rPr>
                  </m:ctrlPr>
                </m:naryPr>
                <m:sub>
                  <m:r>
                    <w:rPr>
                      <w:rFonts w:ascii="Cambria Math" w:hAnsi="Cambria Math"/>
                      <w:lang w:val="en-GB"/>
                    </w:rPr>
                    <m:t>v∈V</m:t>
                  </m:r>
                </m:sub>
                <m:sup/>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v,i</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v,1</m:t>
                              </m:r>
                            </m:sub>
                          </m:sSub>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Q</m:t>
                                  </m:r>
                                </m:e>
                              </m:acc>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v,2</m:t>
                              </m:r>
                            </m:sub>
                          </m:sSub>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Q</m:t>
                                  </m:r>
                                </m:e>
                              </m:acc>
                            </m:e>
                            <m:sub>
                              <m:r>
                                <m:rPr>
                                  <m:sty m:val="p"/>
                                </m:rPr>
                                <w:rPr>
                                  <w:rFonts w:ascii="Cambria Math" w:hAnsi="Cambria Math"/>
                                  <w:lang w:val="en-GB"/>
                                </w:rPr>
                                <m:t>des</m:t>
                              </m:r>
                            </m:sub>
                          </m:sSub>
                        </m:e>
                      </m:d>
                    </m:e>
                  </m:d>
                </m:e>
              </m:nary>
              <m:r>
                <w:rPr>
                  <w:rFonts w:ascii="Cambria Math" w:hAnsi="Cambria Math"/>
                  <w:lang w:val="en-GB"/>
                </w:rPr>
                <m:t xml:space="preserve"> </m:t>
              </m:r>
            </m:oMath>
            <w:r w:rsidR="005133E2" w:rsidRPr="00C55139">
              <w:rPr>
                <w:rFonts w:ascii="Cambria Math" w:hAnsi="Cambria Math"/>
                <w:i/>
                <w:lang w:val="en-GB"/>
              </w:rPr>
              <w:t xml:space="preserve"> </w:t>
            </w:r>
          </w:p>
        </w:tc>
        <w:tc>
          <w:tcPr>
            <w:tcW w:w="965" w:type="dxa"/>
            <w:shd w:val="clear" w:color="auto" w:fill="auto"/>
            <w:vAlign w:val="center"/>
          </w:tcPr>
          <w:p w14:paraId="41F0A5EB" w14:textId="50901F4C" w:rsidR="00B65CF5" w:rsidRPr="00E433A2" w:rsidRDefault="00B65CF5" w:rsidP="0089000F">
            <w:pPr>
              <w:pStyle w:val="Els-body-text"/>
              <w:spacing w:before="60" w:after="60"/>
              <w:jc w:val="right"/>
              <w:rPr>
                <w:rFonts w:ascii="Cambria Math" w:hAnsi="Cambria Math"/>
                <w:lang w:val="en-GB"/>
              </w:rPr>
            </w:pPr>
            <w:r w:rsidRPr="00E433A2">
              <w:rPr>
                <w:rFonts w:ascii="Cambria Math" w:hAnsi="Cambria Math"/>
                <w:lang w:val="en-GB"/>
              </w:rPr>
              <w:t>(</w:t>
            </w:r>
            <w:r w:rsidR="00F15969">
              <w:rPr>
                <w:rFonts w:ascii="Cambria Math" w:hAnsi="Cambria Math"/>
                <w:lang w:val="en-GB"/>
              </w:rPr>
              <w:t>7</w:t>
            </w:r>
            <w:r w:rsidRPr="00E433A2">
              <w:rPr>
                <w:rFonts w:ascii="Cambria Math" w:hAnsi="Cambria Math"/>
                <w:lang w:val="en-GB"/>
              </w:rPr>
              <w:t>)</w:t>
            </w:r>
          </w:p>
        </w:tc>
      </w:tr>
      <w:tr w:rsidR="00626A57" w:rsidRPr="00A94774" w14:paraId="2D5EF2C7" w14:textId="77777777" w:rsidTr="004F21C1">
        <w:tc>
          <w:tcPr>
            <w:tcW w:w="6122" w:type="dxa"/>
            <w:shd w:val="clear" w:color="auto" w:fill="auto"/>
            <w:vAlign w:val="center"/>
          </w:tcPr>
          <w:p w14:paraId="2BA5D190" w14:textId="4B052A89" w:rsidR="00626A57" w:rsidRPr="00C55139" w:rsidRDefault="00000000" w:rsidP="0089000F">
            <w:pPr>
              <w:pStyle w:val="Els-body-text"/>
              <w:spacing w:before="60" w:after="60"/>
              <w:rPr>
                <w:rFonts w:ascii="Cambria Math" w:hAnsi="Cambria Math"/>
                <w:i/>
                <w:lang w:val="en-GB"/>
              </w:rPr>
            </w:pPr>
            <m:oMath>
              <m:nary>
                <m:naryPr>
                  <m:chr m:val="∑"/>
                  <m:supHide m:val="1"/>
                  <m:ctrlPr>
                    <w:rPr>
                      <w:rFonts w:ascii="Cambria Math" w:hAnsi="Cambria Math"/>
                      <w:i/>
                      <w:lang w:val="en-GB"/>
                    </w:rPr>
                  </m:ctrlPr>
                </m:naryPr>
                <m:sub>
                  <m:r>
                    <w:rPr>
                      <w:rFonts w:ascii="Cambria Math" w:hAnsi="Cambria Math"/>
                      <w:lang w:val="en-GB"/>
                    </w:rPr>
                    <m:t>v∈V</m:t>
                  </m:r>
                </m:sub>
                <m:sup/>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v,i</m:t>
                          </m:r>
                        </m:sub>
                      </m:sSub>
                      <m:sSub>
                        <m:sSubPr>
                          <m:ctrlPr>
                            <w:rPr>
                              <w:rFonts w:ascii="Cambria Math" w:hAnsi="Cambria Math"/>
                              <w:i/>
                              <w:lang w:val="en-GB"/>
                            </w:rPr>
                          </m:ctrlPr>
                        </m:sSubPr>
                        <m:e>
                          <m:bar>
                            <m:barPr>
                              <m:ctrlPr>
                                <w:rPr>
                                  <w:rFonts w:ascii="Cambria Math" w:hAnsi="Cambria Math"/>
                                  <w:i/>
                                  <w:lang w:val="en-GB"/>
                                </w:rPr>
                              </m:ctrlPr>
                            </m:barPr>
                            <m:e>
                              <m:r>
                                <w:rPr>
                                  <w:rFonts w:ascii="Cambria Math" w:hAnsi="Cambria Math"/>
                                  <w:lang w:val="en-GB"/>
                                </w:rPr>
                                <m:t>Q</m:t>
                              </m:r>
                            </m:e>
                          </m:bar>
                        </m:e>
                        <m:sub>
                          <m:r>
                            <w:rPr>
                              <w:rFonts w:ascii="Cambria Math" w:hAnsi="Cambria Math"/>
                              <w:lang w:val="en-GB"/>
                            </w:rPr>
                            <m:t>v</m:t>
                          </m:r>
                        </m:sub>
                      </m:sSub>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Q</m:t>
                              </m:r>
                            </m:e>
                          </m:acc>
                        </m:e>
                        <m:sub>
                          <m:r>
                            <m:rPr>
                              <m:sty m:val="p"/>
                            </m:rPr>
                            <w:rPr>
                              <w:rFonts w:ascii="Cambria Math" w:hAnsi="Cambria Math"/>
                              <w:lang w:val="en-GB"/>
                            </w:rPr>
                            <m:t>des</m:t>
                          </m:r>
                        </m:sub>
                      </m:sSub>
                    </m:e>
                  </m:d>
                </m:e>
              </m:nary>
              <m:r>
                <w:rPr>
                  <w:rFonts w:ascii="Cambria Math" w:hAnsi="Cambria Math"/>
                  <w:lang w:val="en-GB"/>
                </w:rPr>
                <m:t>≤</m:t>
              </m:r>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Q</m:t>
                      </m:r>
                    </m:e>
                  </m:acc>
                </m:e>
                <m:sub>
                  <m:r>
                    <w:rPr>
                      <w:rFonts w:ascii="Cambria Math" w:hAnsi="Cambria Math"/>
                      <w:lang w:val="en-GB"/>
                    </w:rPr>
                    <m:t>i</m:t>
                  </m:r>
                </m:sub>
              </m:sSub>
              <m:r>
                <w:rPr>
                  <w:rFonts w:ascii="Cambria Math" w:hAnsi="Cambria Math"/>
                  <w:lang w:val="en-GB"/>
                </w:rPr>
                <m:t>≤</m:t>
              </m:r>
              <m:nary>
                <m:naryPr>
                  <m:chr m:val="∑"/>
                  <m:supHide m:val="1"/>
                  <m:ctrlPr>
                    <w:rPr>
                      <w:rFonts w:ascii="Cambria Math" w:hAnsi="Cambria Math"/>
                      <w:i/>
                      <w:lang w:val="en-GB"/>
                    </w:rPr>
                  </m:ctrlPr>
                </m:naryPr>
                <m:sub>
                  <m:r>
                    <w:rPr>
                      <w:rFonts w:ascii="Cambria Math" w:hAnsi="Cambria Math"/>
                      <w:lang w:val="en-GB"/>
                    </w:rPr>
                    <m:t>v∈V</m:t>
                  </m:r>
                </m:sub>
                <m:sup/>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v,i</m:t>
                          </m:r>
                        </m:sub>
                      </m:sSub>
                      <m:sSub>
                        <m:sSubPr>
                          <m:ctrlPr>
                            <w:rPr>
                              <w:rFonts w:ascii="Cambria Math" w:hAnsi="Cambria Math"/>
                              <w:i/>
                              <w:lang w:val="en-GB"/>
                            </w:rPr>
                          </m:ctrlPr>
                        </m:sSubPr>
                        <m:e>
                          <m:bar>
                            <m:barPr>
                              <m:pos m:val="top"/>
                              <m:ctrlPr>
                                <w:rPr>
                                  <w:rFonts w:ascii="Cambria Math" w:hAnsi="Cambria Math"/>
                                  <w:i/>
                                  <w:lang w:val="en-GB"/>
                                </w:rPr>
                              </m:ctrlPr>
                            </m:barPr>
                            <m:e>
                              <m:r>
                                <w:rPr>
                                  <w:rFonts w:ascii="Cambria Math" w:hAnsi="Cambria Math"/>
                                  <w:lang w:val="en-GB"/>
                                </w:rPr>
                                <m:t>Q</m:t>
                              </m:r>
                            </m:e>
                          </m:bar>
                        </m:e>
                        <m:sub>
                          <m:r>
                            <w:rPr>
                              <w:rFonts w:ascii="Cambria Math" w:hAnsi="Cambria Math"/>
                              <w:lang w:val="en-GB"/>
                            </w:rPr>
                            <m:t>v</m:t>
                          </m:r>
                        </m:sub>
                      </m:sSub>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Q</m:t>
                              </m:r>
                            </m:e>
                          </m:acc>
                        </m:e>
                        <m:sub>
                          <m:r>
                            <m:rPr>
                              <m:sty m:val="p"/>
                            </m:rPr>
                            <w:rPr>
                              <w:rFonts w:ascii="Cambria Math" w:hAnsi="Cambria Math"/>
                              <w:lang w:val="en-GB"/>
                            </w:rPr>
                            <m:t>des</m:t>
                          </m:r>
                        </m:sub>
                      </m:sSub>
                    </m:e>
                  </m:d>
                </m:e>
              </m:nary>
            </m:oMath>
            <w:r w:rsidR="00626A57" w:rsidRPr="00C55139">
              <w:rPr>
                <w:rFonts w:ascii="Cambria Math" w:hAnsi="Cambria Math"/>
                <w:i/>
                <w:lang w:val="en-GB"/>
              </w:rPr>
              <w:t xml:space="preserve"> </w:t>
            </w:r>
          </w:p>
        </w:tc>
        <w:tc>
          <w:tcPr>
            <w:tcW w:w="965" w:type="dxa"/>
            <w:shd w:val="clear" w:color="auto" w:fill="auto"/>
            <w:vAlign w:val="center"/>
          </w:tcPr>
          <w:p w14:paraId="13653996" w14:textId="531C1CCB" w:rsidR="00626A57" w:rsidRPr="00E433A2" w:rsidRDefault="00344689" w:rsidP="0089000F">
            <w:pPr>
              <w:pStyle w:val="Els-body-text"/>
              <w:spacing w:before="60" w:after="60"/>
              <w:jc w:val="right"/>
              <w:rPr>
                <w:rFonts w:ascii="Cambria Math" w:hAnsi="Cambria Math"/>
                <w:lang w:val="en-GB"/>
              </w:rPr>
            </w:pPr>
            <w:r w:rsidRPr="00E433A2">
              <w:rPr>
                <w:rFonts w:ascii="Cambria Math" w:hAnsi="Cambria Math"/>
                <w:lang w:val="en-GB"/>
              </w:rPr>
              <w:t>(</w:t>
            </w:r>
            <w:r w:rsidR="0059686B">
              <w:rPr>
                <w:rFonts w:ascii="Cambria Math" w:hAnsi="Cambria Math"/>
                <w:lang w:val="en-GB"/>
              </w:rPr>
              <w:t>8</w:t>
            </w:r>
            <w:r w:rsidRPr="00E433A2">
              <w:rPr>
                <w:rFonts w:ascii="Cambria Math" w:hAnsi="Cambria Math"/>
                <w:lang w:val="en-GB"/>
              </w:rPr>
              <w:t>)</w:t>
            </w:r>
          </w:p>
        </w:tc>
      </w:tr>
      <w:tr w:rsidR="0059686B" w:rsidRPr="00A94774" w14:paraId="51A841E3" w14:textId="77777777" w:rsidTr="004F21C1">
        <w:tc>
          <w:tcPr>
            <w:tcW w:w="6122" w:type="dxa"/>
            <w:shd w:val="clear" w:color="auto" w:fill="auto"/>
            <w:vAlign w:val="center"/>
          </w:tcPr>
          <w:p w14:paraId="36667B95" w14:textId="11DC8F47" w:rsidR="0059686B" w:rsidRDefault="0059686B" w:rsidP="0089000F">
            <w:pPr>
              <w:pStyle w:val="Els-body-text"/>
              <w:spacing w:before="60" w:after="60"/>
              <w:rPr>
                <w:lang w:val="en-GB"/>
              </w:rPr>
            </w:pP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v,2</m:t>
                  </m:r>
                </m:sub>
              </m:sSub>
              <m:r>
                <w:rPr>
                  <w:rFonts w:ascii="Cambria Math" w:hAnsi="Cambria Math"/>
                  <w:lang w:val="en-GB"/>
                </w:rPr>
                <m:t>=</m:t>
              </m:r>
              <m:d>
                <m:dPr>
                  <m:ctrlPr>
                    <w:rPr>
                      <w:rFonts w:ascii="Cambria Math" w:hAnsi="Cambria Math"/>
                      <w:i/>
                      <w:lang w:val="en-GB"/>
                    </w:rPr>
                  </m:ctrlPr>
                </m:dPr>
                <m:e>
                  <m:sSub>
                    <m:sSubPr>
                      <m:ctrlPr>
                        <w:rPr>
                          <w:rFonts w:ascii="Cambria Math" w:hAnsi="Cambria Math"/>
                          <w:i/>
                          <w:lang w:val="en-GB"/>
                        </w:rPr>
                      </m:ctrlPr>
                    </m:sSubPr>
                    <m:e>
                      <m:bar>
                        <m:barPr>
                          <m:ctrlPr>
                            <w:rPr>
                              <w:rFonts w:ascii="Cambria Math" w:hAnsi="Cambria Math"/>
                              <w:i/>
                              <w:lang w:val="en-GB"/>
                            </w:rPr>
                          </m:ctrlPr>
                        </m:barPr>
                        <m:e>
                          <m:r>
                            <w:rPr>
                              <w:rFonts w:ascii="Cambria Math" w:hAnsi="Cambria Math"/>
                              <w:lang w:val="en-GB"/>
                            </w:rPr>
                            <m:t>P</m:t>
                          </m:r>
                        </m:e>
                      </m:bar>
                    </m:e>
                    <m:sub>
                      <m:r>
                        <w:rPr>
                          <w:rFonts w:ascii="Cambria Math" w:hAnsi="Cambria Math"/>
                          <w:lang w:val="en-GB"/>
                        </w:rPr>
                        <m:t>v</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v,1</m:t>
                      </m:r>
                    </m:sub>
                  </m:sSub>
                  <m:sSub>
                    <m:sSubPr>
                      <m:ctrlPr>
                        <w:rPr>
                          <w:rFonts w:ascii="Cambria Math" w:hAnsi="Cambria Math"/>
                          <w:i/>
                          <w:lang w:val="en-GB"/>
                        </w:rPr>
                      </m:ctrlPr>
                    </m:sSubPr>
                    <m:e>
                      <m:bar>
                        <m:barPr>
                          <m:ctrlPr>
                            <w:rPr>
                              <w:rFonts w:ascii="Cambria Math" w:hAnsi="Cambria Math"/>
                              <w:i/>
                              <w:lang w:val="en-GB"/>
                            </w:rPr>
                          </m:ctrlPr>
                        </m:barPr>
                        <m:e>
                          <m:r>
                            <w:rPr>
                              <w:rFonts w:ascii="Cambria Math" w:hAnsi="Cambria Math"/>
                              <w:lang w:val="en-GB"/>
                            </w:rPr>
                            <m:t>Q</m:t>
                          </m:r>
                        </m:e>
                      </m:bar>
                    </m:e>
                    <m:sub>
                      <m:r>
                        <w:rPr>
                          <w:rFonts w:ascii="Cambria Math" w:hAnsi="Cambria Math"/>
                          <w:lang w:val="en-GB"/>
                        </w:rPr>
                        <m:t>v</m:t>
                      </m:r>
                    </m:sub>
                  </m:sSub>
                </m:e>
              </m:d>
              <m:r>
                <w:rPr>
                  <w:rFonts w:ascii="Cambria Math" w:hAnsi="Cambria Math"/>
                  <w:lang w:val="en-GB"/>
                </w:rPr>
                <m:t xml:space="preserve"> for v≠1</m:t>
              </m:r>
            </m:oMath>
            <w:r w:rsidRPr="00C55139">
              <w:rPr>
                <w:rFonts w:ascii="Cambria Math" w:hAnsi="Cambria Math"/>
                <w:i/>
                <w:lang w:val="en-GB"/>
              </w:rPr>
              <w:t xml:space="preserve"> </w:t>
            </w:r>
          </w:p>
        </w:tc>
        <w:tc>
          <w:tcPr>
            <w:tcW w:w="965" w:type="dxa"/>
            <w:shd w:val="clear" w:color="auto" w:fill="auto"/>
            <w:vAlign w:val="center"/>
          </w:tcPr>
          <w:p w14:paraId="149FCDD6" w14:textId="4A7E68AF" w:rsidR="0059686B" w:rsidRPr="00E433A2" w:rsidRDefault="0059686B" w:rsidP="0089000F">
            <w:pPr>
              <w:pStyle w:val="Els-body-text"/>
              <w:spacing w:before="60" w:after="60"/>
              <w:jc w:val="right"/>
              <w:rPr>
                <w:rFonts w:ascii="Cambria Math" w:hAnsi="Cambria Math"/>
                <w:lang w:val="en-GB"/>
              </w:rPr>
            </w:pPr>
            <w:r w:rsidRPr="00E433A2">
              <w:rPr>
                <w:rFonts w:ascii="Cambria Math" w:hAnsi="Cambria Math"/>
                <w:lang w:val="en-GB"/>
              </w:rPr>
              <w:t>(</w:t>
            </w:r>
            <w:r>
              <w:rPr>
                <w:rFonts w:ascii="Cambria Math" w:hAnsi="Cambria Math"/>
                <w:lang w:val="en-GB"/>
              </w:rPr>
              <w:t>9</w:t>
            </w:r>
            <w:r w:rsidRPr="00E433A2">
              <w:rPr>
                <w:rFonts w:ascii="Cambria Math" w:hAnsi="Cambria Math"/>
                <w:lang w:val="en-GB"/>
              </w:rPr>
              <w:t>)</w:t>
            </w:r>
          </w:p>
        </w:tc>
      </w:tr>
      <w:tr w:rsidR="00F15969" w:rsidRPr="00A94774" w14:paraId="71920EFE" w14:textId="77777777" w:rsidTr="004F21C1">
        <w:tc>
          <w:tcPr>
            <w:tcW w:w="6122" w:type="dxa"/>
            <w:shd w:val="clear" w:color="auto" w:fill="auto"/>
            <w:vAlign w:val="center"/>
          </w:tcPr>
          <w:p w14:paraId="5C666E10" w14:textId="475E4EAB" w:rsidR="00F15969" w:rsidRPr="00CA1FD1" w:rsidRDefault="00CA1FD1" w:rsidP="0089000F">
            <w:pPr>
              <w:pStyle w:val="Els-body-text"/>
              <w:spacing w:before="60" w:after="60"/>
              <w:rPr>
                <w:lang w:val="en-GB"/>
              </w:rPr>
            </w:pP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v</m:t>
                  </m:r>
                  <m:r>
                    <w:rPr>
                      <w:rFonts w:ascii="Cambria Math" w:hAnsi="Cambria Math"/>
                      <w:lang w:val="en-GB"/>
                    </w:rPr>
                    <m:t>,2</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v</m:t>
                  </m:r>
                  <m:r>
                    <w:rPr>
                      <w:rFonts w:ascii="Cambria Math" w:hAnsi="Cambria Math"/>
                      <w:lang w:val="en-GB"/>
                    </w:rPr>
                    <m:t>,1</m:t>
                  </m:r>
                </m:sub>
              </m:sSub>
              <m:r>
                <w:rPr>
                  <w:rFonts w:ascii="Cambria Math" w:hAnsi="Cambria Math"/>
                  <w:lang w:val="en-GB"/>
                </w:rPr>
                <m:t xml:space="preserve">, </m:t>
              </m:r>
              <m:sSub>
                <m:sSubPr>
                  <m:ctrlPr>
                    <w:rPr>
                      <w:rFonts w:ascii="Cambria Math" w:hAnsi="Cambria Math"/>
                      <w:i/>
                      <w:lang w:val="en-GB"/>
                    </w:rPr>
                  </m:ctrlPr>
                </m:sSubPr>
                <m:e>
                  <m:bar>
                    <m:barPr>
                      <m:ctrlPr>
                        <w:rPr>
                          <w:rFonts w:ascii="Cambria Math" w:hAnsi="Cambria Math"/>
                          <w:i/>
                          <w:lang w:val="en-GB"/>
                        </w:rPr>
                      </m:ctrlPr>
                    </m:barPr>
                    <m:e>
                      <m:r>
                        <w:rPr>
                          <w:rFonts w:ascii="Cambria Math" w:hAnsi="Cambria Math"/>
                          <w:lang w:val="en-GB"/>
                        </w:rPr>
                        <m:t>Q</m:t>
                      </m:r>
                    </m:e>
                  </m:bar>
                </m:e>
                <m:sub>
                  <m:r>
                    <w:rPr>
                      <w:rFonts w:ascii="Cambria Math" w:hAnsi="Cambria Math"/>
                      <w:lang w:val="en-GB"/>
                    </w:rPr>
                    <m:t>v</m:t>
                  </m:r>
                </m:sub>
              </m:sSub>
              <m:r>
                <w:rPr>
                  <w:rFonts w:ascii="Cambria Math" w:hAnsi="Cambria Math"/>
                  <w:lang w:val="en-GB"/>
                </w:rPr>
                <m:t>,</m:t>
              </m:r>
              <m:sSub>
                <m:sSubPr>
                  <m:ctrlPr>
                    <w:rPr>
                      <w:rFonts w:ascii="Cambria Math" w:hAnsi="Cambria Math"/>
                      <w:i/>
                      <w:lang w:val="en-GB"/>
                    </w:rPr>
                  </m:ctrlPr>
                </m:sSubPr>
                <m:e>
                  <m:bar>
                    <m:barPr>
                      <m:pos m:val="top"/>
                      <m:ctrlPr>
                        <w:rPr>
                          <w:rFonts w:ascii="Cambria Math" w:hAnsi="Cambria Math"/>
                          <w:i/>
                          <w:lang w:val="en-GB"/>
                        </w:rPr>
                      </m:ctrlPr>
                    </m:barPr>
                    <m:e>
                      <m:r>
                        <w:rPr>
                          <w:rFonts w:ascii="Cambria Math" w:hAnsi="Cambria Math"/>
                          <w:lang w:val="en-GB"/>
                        </w:rPr>
                        <m:t>Q</m:t>
                      </m:r>
                    </m:e>
                  </m:bar>
                </m:e>
                <m:sub>
                  <m:r>
                    <w:rPr>
                      <w:rFonts w:ascii="Cambria Math" w:hAnsi="Cambria Math"/>
                      <w:lang w:val="en-GB"/>
                    </w:rPr>
                    <m:t>v</m:t>
                  </m:r>
                </m:sub>
              </m:sSub>
              <m:r>
                <w:rPr>
                  <w:rFonts w:ascii="Cambria Math" w:hAnsi="Cambria Math"/>
                  <w:lang w:val="en-GB"/>
                </w:rPr>
                <m:t xml:space="preserve">=0 </m:t>
              </m:r>
              <m:r>
                <w:rPr>
                  <w:rFonts w:ascii="Cambria Math" w:hAnsi="Cambria Math"/>
                  <w:lang w:val="es-ES"/>
                </w:rPr>
                <m:t>for</m:t>
              </m:r>
              <m:r>
                <w:rPr>
                  <w:rFonts w:ascii="Cambria Math" w:hAnsi="Cambria Math"/>
                  <w:lang w:val="en-GB"/>
                </w:rPr>
                <m:t xml:space="preserve"> </m:t>
              </m:r>
              <m:r>
                <w:rPr>
                  <w:rFonts w:ascii="Cambria Math" w:hAnsi="Cambria Math"/>
                  <w:lang w:val="es-ES"/>
                </w:rPr>
                <m:t>v</m:t>
              </m:r>
              <m:r>
                <w:rPr>
                  <w:rFonts w:ascii="Cambria Math" w:hAnsi="Cambria Math"/>
                  <w:lang w:val="en-GB"/>
                </w:rPr>
                <m:t>=1</m:t>
              </m:r>
            </m:oMath>
            <w:r w:rsidRPr="00CA1FD1">
              <w:rPr>
                <w:lang w:val="en-GB"/>
              </w:rPr>
              <w:t xml:space="preserve"> </w:t>
            </w:r>
          </w:p>
        </w:tc>
        <w:tc>
          <w:tcPr>
            <w:tcW w:w="965" w:type="dxa"/>
            <w:shd w:val="clear" w:color="auto" w:fill="auto"/>
            <w:vAlign w:val="center"/>
          </w:tcPr>
          <w:p w14:paraId="60993BA5" w14:textId="442C384F" w:rsidR="00F15969" w:rsidRPr="00E433A2" w:rsidRDefault="00F15969" w:rsidP="0089000F">
            <w:pPr>
              <w:pStyle w:val="Els-body-text"/>
              <w:spacing w:before="60" w:after="60"/>
              <w:jc w:val="right"/>
              <w:rPr>
                <w:rFonts w:ascii="Cambria Math" w:hAnsi="Cambria Math"/>
                <w:lang w:val="en-GB"/>
              </w:rPr>
            </w:pPr>
            <w:r>
              <w:rPr>
                <w:rFonts w:ascii="Cambria Math" w:hAnsi="Cambria Math"/>
                <w:lang w:val="en-GB"/>
              </w:rPr>
              <w:t>(10)</w:t>
            </w:r>
          </w:p>
        </w:tc>
      </w:tr>
      <w:tr w:rsidR="00626A57" w:rsidRPr="00A94774" w14:paraId="1696F9DD" w14:textId="77777777" w:rsidTr="004F21C1">
        <w:tc>
          <w:tcPr>
            <w:tcW w:w="6122" w:type="dxa"/>
            <w:shd w:val="clear" w:color="auto" w:fill="auto"/>
            <w:vAlign w:val="center"/>
          </w:tcPr>
          <w:p w14:paraId="273B75A8" w14:textId="2EF6F3D6" w:rsidR="00626A57" w:rsidRPr="00C55139" w:rsidRDefault="00000000" w:rsidP="0089000F">
            <w:pPr>
              <w:pStyle w:val="Els-body-text"/>
              <w:spacing w:before="60" w:after="60"/>
              <w:rPr>
                <w:rFonts w:ascii="Cambria Math" w:hAnsi="Cambria Math"/>
                <w:i/>
                <w:lang w:val="en-GB"/>
              </w:rPr>
            </w:pPr>
            <m:oMath>
              <m:nary>
                <m:naryPr>
                  <m:chr m:val="∑"/>
                  <m:supHide m:val="1"/>
                  <m:ctrlPr>
                    <w:rPr>
                      <w:rFonts w:ascii="Cambria Math" w:hAnsi="Cambria Math"/>
                      <w:i/>
                      <w:lang w:val="en-GB"/>
                    </w:rPr>
                  </m:ctrlPr>
                </m:naryPr>
                <m:sub>
                  <m:r>
                    <w:rPr>
                      <w:rFonts w:ascii="Cambria Math" w:hAnsi="Cambria Math"/>
                      <w:lang w:val="en-GB"/>
                    </w:rPr>
                    <m:t>v∈V</m:t>
                  </m:r>
                </m:sub>
                <m:sup/>
                <m:e>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v,i</m:t>
                      </m:r>
                    </m:sub>
                  </m:sSub>
                </m:e>
              </m:nary>
              <m:r>
                <w:rPr>
                  <w:rFonts w:ascii="Cambria Math" w:hAnsi="Cambria Math"/>
                  <w:lang w:val="en-GB"/>
                </w:rPr>
                <m:t>=1</m:t>
              </m:r>
            </m:oMath>
            <w:r w:rsidR="00626A57" w:rsidRPr="00C55139">
              <w:rPr>
                <w:rFonts w:ascii="Cambria Math" w:hAnsi="Cambria Math"/>
                <w:i/>
                <w:lang w:val="en-GB"/>
              </w:rPr>
              <w:t xml:space="preserve"> </w:t>
            </w:r>
          </w:p>
        </w:tc>
        <w:tc>
          <w:tcPr>
            <w:tcW w:w="965" w:type="dxa"/>
            <w:shd w:val="clear" w:color="auto" w:fill="auto"/>
            <w:vAlign w:val="center"/>
          </w:tcPr>
          <w:p w14:paraId="2F1D6ACD" w14:textId="2C24F7EB" w:rsidR="00626A57" w:rsidRPr="00E433A2" w:rsidRDefault="00626A57" w:rsidP="0089000F">
            <w:pPr>
              <w:pStyle w:val="Els-body-text"/>
              <w:spacing w:before="60" w:after="60"/>
              <w:jc w:val="right"/>
              <w:rPr>
                <w:rFonts w:ascii="Cambria Math" w:hAnsi="Cambria Math"/>
                <w:lang w:val="en-GB"/>
              </w:rPr>
            </w:pPr>
            <w:r w:rsidRPr="00E433A2">
              <w:rPr>
                <w:rFonts w:ascii="Cambria Math" w:hAnsi="Cambria Math"/>
                <w:lang w:val="en-GB"/>
              </w:rPr>
              <w:t>(</w:t>
            </w:r>
            <w:r w:rsidR="00A153A9" w:rsidRPr="00E433A2">
              <w:rPr>
                <w:rFonts w:ascii="Cambria Math" w:hAnsi="Cambria Math"/>
                <w:lang w:val="en-GB"/>
              </w:rPr>
              <w:t>11</w:t>
            </w:r>
            <w:r w:rsidRPr="00E433A2">
              <w:rPr>
                <w:rFonts w:ascii="Cambria Math" w:hAnsi="Cambria Math"/>
                <w:lang w:val="en-GB"/>
              </w:rPr>
              <w:t>)</w:t>
            </w:r>
          </w:p>
        </w:tc>
      </w:tr>
      <w:tr w:rsidR="00626A57" w:rsidRPr="00A94774" w14:paraId="40B48996" w14:textId="77777777" w:rsidTr="004F21C1">
        <w:tc>
          <w:tcPr>
            <w:tcW w:w="6122" w:type="dxa"/>
            <w:shd w:val="clear" w:color="auto" w:fill="auto"/>
            <w:vAlign w:val="center"/>
          </w:tcPr>
          <w:p w14:paraId="38FC6063" w14:textId="070EE3B4" w:rsidR="00626A57" w:rsidRPr="00C55139" w:rsidRDefault="00000000" w:rsidP="0089000F">
            <w:pPr>
              <w:pStyle w:val="Els-body-text"/>
              <w:spacing w:before="60" w:after="60"/>
              <w:rPr>
                <w:rFonts w:ascii="Cambria Math" w:hAnsi="Cambria Math"/>
                <w:i/>
                <w:lang w:val="en-GB"/>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v,i</m:t>
                  </m:r>
                </m:sub>
              </m:sSub>
              <m:r>
                <w:rPr>
                  <w:rFonts w:ascii="Cambria Math" w:hAnsi="Cambria Math"/>
                  <w:lang w:val="en-GB"/>
                </w:rPr>
                <m:t>∈{0,1}</m:t>
              </m:r>
            </m:oMath>
            <w:r w:rsidR="00626A57" w:rsidRPr="00C55139">
              <w:rPr>
                <w:rFonts w:ascii="Cambria Math" w:hAnsi="Cambria Math"/>
                <w:i/>
                <w:lang w:val="en-GB"/>
              </w:rPr>
              <w:t xml:space="preserve"> </w:t>
            </w:r>
          </w:p>
        </w:tc>
        <w:tc>
          <w:tcPr>
            <w:tcW w:w="965" w:type="dxa"/>
            <w:shd w:val="clear" w:color="auto" w:fill="auto"/>
            <w:vAlign w:val="center"/>
          </w:tcPr>
          <w:p w14:paraId="450A8C48" w14:textId="7942B717" w:rsidR="00626A57" w:rsidRPr="00E433A2" w:rsidRDefault="00626A57" w:rsidP="0089000F">
            <w:pPr>
              <w:pStyle w:val="Els-body-text"/>
              <w:spacing w:before="60" w:after="60"/>
              <w:jc w:val="right"/>
              <w:rPr>
                <w:rFonts w:ascii="Cambria Math" w:hAnsi="Cambria Math"/>
                <w:lang w:val="en-GB"/>
              </w:rPr>
            </w:pPr>
            <w:r w:rsidRPr="00E433A2">
              <w:rPr>
                <w:rFonts w:ascii="Cambria Math" w:hAnsi="Cambria Math"/>
                <w:lang w:val="en-GB"/>
              </w:rPr>
              <w:t>(</w:t>
            </w:r>
            <w:r w:rsidR="00944490" w:rsidRPr="00E433A2">
              <w:rPr>
                <w:rFonts w:ascii="Cambria Math" w:hAnsi="Cambria Math"/>
                <w:lang w:val="en-GB"/>
              </w:rPr>
              <w:t>1</w:t>
            </w:r>
            <w:r w:rsidR="00A153A9" w:rsidRPr="00E433A2">
              <w:rPr>
                <w:rFonts w:ascii="Cambria Math" w:hAnsi="Cambria Math"/>
                <w:lang w:val="en-GB"/>
              </w:rPr>
              <w:t>2</w:t>
            </w:r>
            <w:r w:rsidRPr="00E433A2">
              <w:rPr>
                <w:rFonts w:ascii="Cambria Math" w:hAnsi="Cambria Math"/>
                <w:lang w:val="en-GB"/>
              </w:rPr>
              <w:t>)</w:t>
            </w:r>
          </w:p>
        </w:tc>
      </w:tr>
    </w:tbl>
    <w:p w14:paraId="63BEA1E7" w14:textId="0D1FF0ED" w:rsidR="002460D7" w:rsidRDefault="00F15969" w:rsidP="002460D7">
      <w:pPr>
        <w:pStyle w:val="Els-body-text"/>
      </w:pPr>
      <w:r>
        <w:rPr>
          <w:lang w:val="en-GB"/>
        </w:rPr>
        <w:t>It is possible for (part) of the equipment to be switched off</w:t>
      </w:r>
      <w:r w:rsidRPr="00FF1A78" w:rsidDel="00FF1A78">
        <w:rPr>
          <w:lang w:val="en-GB"/>
        </w:rPr>
        <w:t xml:space="preserve"> </w:t>
      </w:r>
      <w:r>
        <w:rPr>
          <w:lang w:val="en-GB"/>
        </w:rPr>
        <w:t xml:space="preserve">(see Eq. </w:t>
      </w:r>
      <w:r w:rsidR="0059686B">
        <w:rPr>
          <w:lang w:val="en-GB"/>
        </w:rPr>
        <w:t>10</w:t>
      </w:r>
      <w:r>
        <w:rPr>
          <w:lang w:val="en-GB"/>
        </w:rPr>
        <w:t xml:space="preserve">). </w:t>
      </w:r>
      <w:r w:rsidR="00420F25">
        <w:rPr>
          <w:lang w:val="en-GB"/>
        </w:rPr>
        <w:t xml:space="preserve">Eq. 3, </w:t>
      </w:r>
      <w:r w:rsidR="00477B29">
        <w:rPr>
          <w:lang w:val="en-GB"/>
        </w:rPr>
        <w:t>7</w:t>
      </w:r>
      <w:r w:rsidR="00420F25">
        <w:rPr>
          <w:lang w:val="en-GB"/>
        </w:rPr>
        <w:t xml:space="preserve"> and </w:t>
      </w:r>
      <w:r w:rsidR="00477B29">
        <w:rPr>
          <w:lang w:val="en-GB"/>
        </w:rPr>
        <w:t>8</w:t>
      </w:r>
      <w:r w:rsidR="00420F25">
        <w:rPr>
          <w:lang w:val="en-GB"/>
        </w:rPr>
        <w:t xml:space="preserve"> contain </w:t>
      </w:r>
      <w:proofErr w:type="spellStart"/>
      <w:r w:rsidR="00420F25">
        <w:rPr>
          <w:lang w:val="en-GB"/>
        </w:rPr>
        <w:t>bilinearities</w:t>
      </w:r>
      <w:proofErr w:type="spellEnd"/>
      <w:r w:rsidR="00420F25">
        <w:rPr>
          <w:lang w:val="en-GB"/>
        </w:rPr>
        <w:t xml:space="preserve"> </w:t>
      </w:r>
      <w:r w:rsidR="00391F52">
        <w:rPr>
          <w:lang w:val="en-GB"/>
        </w:rPr>
        <w:t xml:space="preserve">that were </w:t>
      </w:r>
      <w:r w:rsidR="00490A8E">
        <w:rPr>
          <w:lang w:val="en-GB"/>
        </w:rPr>
        <w:t xml:space="preserve">transformed to a MILP formulation </w:t>
      </w:r>
      <w:r w:rsidR="00391F52">
        <w:rPr>
          <w:lang w:val="en-GB"/>
        </w:rPr>
        <w:t xml:space="preserve">using </w:t>
      </w:r>
      <w:r w:rsidR="00490A8E">
        <w:rPr>
          <w:lang w:val="en-GB"/>
        </w:rPr>
        <w:t xml:space="preserve">the hull reformulation </w:t>
      </w:r>
      <w:r w:rsidR="000C43F5">
        <w:rPr>
          <w:lang w:val="en-GB"/>
        </w:rPr>
        <w:t>of</w:t>
      </w:r>
      <w:r w:rsidR="00490A8E">
        <w:rPr>
          <w:lang w:val="en-GB"/>
        </w:rPr>
        <w:t xml:space="preserve"> </w:t>
      </w:r>
      <w:r w:rsidR="00CE7EA5">
        <w:rPr>
          <w:lang w:val="en-GB"/>
        </w:rPr>
        <w:t xml:space="preserve">the python library </w:t>
      </w:r>
      <w:proofErr w:type="spellStart"/>
      <w:r w:rsidR="00CE7EA5">
        <w:rPr>
          <w:lang w:val="en-GB"/>
        </w:rPr>
        <w:t>P</w:t>
      </w:r>
      <w:r w:rsidR="00490A8E">
        <w:rPr>
          <w:lang w:val="en-GB"/>
        </w:rPr>
        <w:t>yomo</w:t>
      </w:r>
      <w:proofErr w:type="spellEnd"/>
      <w:r w:rsidR="00490A8E">
        <w:rPr>
          <w:lang w:val="en-GB"/>
        </w:rPr>
        <w:t xml:space="preserve">. </w:t>
      </w:r>
      <w:r w:rsidR="0038197E">
        <w:rPr>
          <w:lang w:val="en-GB"/>
        </w:rPr>
        <w:t xml:space="preserve">The parameters </w:t>
      </w: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w,1</m:t>
            </m:r>
          </m:sub>
        </m:sSub>
      </m:oMath>
      <w:r w:rsidR="0038197E" w:rsidRPr="00C55139">
        <w:rPr>
          <w:iCs/>
          <w:lang w:val="en-GB"/>
        </w:rPr>
        <w:t>,</w:t>
      </w:r>
      <w:r w:rsidR="0038197E" w:rsidRPr="00C55139">
        <w:rPr>
          <w:i/>
          <w:lang w:val="en-GB"/>
        </w:rPr>
        <w:t xml:space="preserve"> </w:t>
      </w: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w,2</m:t>
            </m:r>
          </m:sub>
        </m:sSub>
      </m:oMath>
      <w:r w:rsidR="0038197E" w:rsidRPr="00C55139">
        <w:rPr>
          <w:iCs/>
          <w:lang w:val="en-GB"/>
        </w:rPr>
        <w:t>,</w:t>
      </w:r>
      <w:r w:rsidR="0038197E" w:rsidRPr="00C55139">
        <w:rPr>
          <w:i/>
          <w:lang w:val="en-GB"/>
        </w:rPr>
        <w:t xml:space="preserve"> </w:t>
      </w:r>
      <m:oMath>
        <m:sSub>
          <m:sSubPr>
            <m:ctrlPr>
              <w:rPr>
                <w:rFonts w:ascii="Cambria Math" w:hAnsi="Cambria Math"/>
                <w:i/>
                <w:lang w:val="en-GB"/>
              </w:rPr>
            </m:ctrlPr>
          </m:sSubPr>
          <m:e>
            <m:bar>
              <m:barPr>
                <m:ctrlPr>
                  <w:rPr>
                    <w:rFonts w:ascii="Cambria Math" w:hAnsi="Cambria Math"/>
                    <w:i/>
                    <w:lang w:val="en-GB"/>
                  </w:rPr>
                </m:ctrlPr>
              </m:barPr>
              <m:e>
                <m:r>
                  <w:rPr>
                    <w:rFonts w:ascii="Cambria Math" w:hAnsi="Cambria Math"/>
                    <w:lang w:val="en-GB"/>
                  </w:rPr>
                  <m:t>Q</m:t>
                </m:r>
              </m:e>
            </m:bar>
          </m:e>
          <m:sub>
            <m:r>
              <m:rPr>
                <m:sty m:val="p"/>
              </m:rPr>
              <w:rPr>
                <w:rFonts w:ascii="Cambria Math" w:hAnsi="Cambria Math"/>
                <w:lang w:val="en-GB"/>
              </w:rPr>
              <m:t>des</m:t>
            </m:r>
            <m:r>
              <w:rPr>
                <w:rFonts w:ascii="Cambria Math" w:hAnsi="Cambria Math"/>
                <w:lang w:val="en-GB"/>
              </w:rPr>
              <m:t>,w</m:t>
            </m:r>
          </m:sub>
        </m:sSub>
      </m:oMath>
      <w:r w:rsidR="00626A57" w:rsidRPr="00C55139">
        <w:rPr>
          <w:iCs/>
          <w:lang w:val="en-GB"/>
        </w:rPr>
        <w:t>,</w:t>
      </w:r>
      <w:r w:rsidR="00626A57" w:rsidRPr="00C55139">
        <w:rPr>
          <w:i/>
          <w:lang w:val="en-GB"/>
        </w:rPr>
        <w:t xml:space="preserve"> </w:t>
      </w:r>
      <m:oMath>
        <m:sSub>
          <m:sSubPr>
            <m:ctrlPr>
              <w:rPr>
                <w:rFonts w:ascii="Cambria Math" w:hAnsi="Cambria Math"/>
                <w:i/>
                <w:lang w:val="en-GB"/>
              </w:rPr>
            </m:ctrlPr>
          </m:sSubPr>
          <m:e>
            <m:bar>
              <m:barPr>
                <m:pos m:val="top"/>
                <m:ctrlPr>
                  <w:rPr>
                    <w:rFonts w:ascii="Cambria Math" w:hAnsi="Cambria Math"/>
                    <w:i/>
                    <w:lang w:val="en-GB"/>
                  </w:rPr>
                </m:ctrlPr>
              </m:barPr>
              <m:e>
                <m:r>
                  <w:rPr>
                    <w:rFonts w:ascii="Cambria Math" w:hAnsi="Cambria Math"/>
                    <w:lang w:val="en-GB"/>
                  </w:rPr>
                  <m:t>Q</m:t>
                </m:r>
              </m:e>
            </m:bar>
          </m:e>
          <m:sub>
            <m:r>
              <m:rPr>
                <m:sty m:val="p"/>
              </m:rPr>
              <w:rPr>
                <w:rFonts w:ascii="Cambria Math" w:hAnsi="Cambria Math"/>
                <w:lang w:val="en-GB"/>
              </w:rPr>
              <m:t>des</m:t>
            </m:r>
            <m:r>
              <w:rPr>
                <w:rFonts w:ascii="Cambria Math" w:hAnsi="Cambria Math"/>
                <w:lang w:val="en-GB"/>
              </w:rPr>
              <m:t>,w</m:t>
            </m:r>
          </m:sub>
        </m:sSub>
      </m:oMath>
      <w:r w:rsidR="00626A57" w:rsidRPr="00C55139">
        <w:rPr>
          <w:iCs/>
          <w:lang w:val="en-GB"/>
        </w:rPr>
        <w:t>,</w:t>
      </w:r>
      <w:r w:rsidR="00626A57" w:rsidRPr="00C55139">
        <w:rPr>
          <w:i/>
          <w:lang w:val="en-GB"/>
        </w:rPr>
        <w:t xml:space="preserve"> </w:t>
      </w: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v,1</m:t>
            </m:r>
          </m:sub>
        </m:sSub>
      </m:oMath>
      <w:r w:rsidR="00626A57" w:rsidRPr="00C55139">
        <w:rPr>
          <w:iCs/>
          <w:lang w:val="en-GB"/>
        </w:rPr>
        <w:t>,</w:t>
      </w:r>
      <w:r w:rsidR="00626A57" w:rsidRPr="00C55139">
        <w:rPr>
          <w:i/>
          <w:lang w:val="en-GB"/>
        </w:rPr>
        <w:t xml:space="preserve"> </w:t>
      </w:r>
      <m:oMath>
        <m:sSub>
          <m:sSubPr>
            <m:ctrlPr>
              <w:rPr>
                <w:rFonts w:ascii="Cambria Math" w:hAnsi="Cambria Math"/>
                <w:i/>
                <w:lang w:val="en-GB"/>
              </w:rPr>
            </m:ctrlPr>
          </m:sSubPr>
          <m:e>
            <m:bar>
              <m:barPr>
                <m:ctrlPr>
                  <w:rPr>
                    <w:rFonts w:ascii="Cambria Math" w:hAnsi="Cambria Math"/>
                    <w:i/>
                    <w:lang w:val="en-GB"/>
                  </w:rPr>
                </m:ctrlPr>
              </m:barPr>
              <m:e>
                <m:r>
                  <w:rPr>
                    <w:rFonts w:ascii="Cambria Math" w:hAnsi="Cambria Math"/>
                    <w:lang w:val="en-GB"/>
                  </w:rPr>
                  <m:t>P</m:t>
                </m:r>
              </m:e>
            </m:bar>
          </m:e>
          <m:sub>
            <m:r>
              <w:rPr>
                <w:rFonts w:ascii="Cambria Math" w:hAnsi="Cambria Math"/>
                <w:lang w:val="en-GB"/>
              </w:rPr>
              <m:t>v</m:t>
            </m:r>
          </m:sub>
        </m:sSub>
      </m:oMath>
      <w:r w:rsidR="00626A57" w:rsidRPr="00C55139">
        <w:rPr>
          <w:iCs/>
          <w:lang w:val="en-GB"/>
        </w:rPr>
        <w:t>,</w:t>
      </w:r>
      <w:r w:rsidR="00626A57" w:rsidRPr="00C55139">
        <w:rPr>
          <w:i/>
          <w:lang w:val="en-GB"/>
        </w:rPr>
        <w:t xml:space="preserve"> </w:t>
      </w:r>
      <m:oMath>
        <m:sSub>
          <m:sSubPr>
            <m:ctrlPr>
              <w:rPr>
                <w:rFonts w:ascii="Cambria Math" w:hAnsi="Cambria Math"/>
                <w:i/>
                <w:lang w:val="en-GB"/>
              </w:rPr>
            </m:ctrlPr>
          </m:sSubPr>
          <m:e>
            <m:bar>
              <m:barPr>
                <m:ctrlPr>
                  <w:rPr>
                    <w:rFonts w:ascii="Cambria Math" w:hAnsi="Cambria Math"/>
                    <w:i/>
                    <w:lang w:val="en-GB"/>
                  </w:rPr>
                </m:ctrlPr>
              </m:barPr>
              <m:e>
                <m:r>
                  <w:rPr>
                    <w:rFonts w:ascii="Cambria Math" w:hAnsi="Cambria Math"/>
                    <w:lang w:val="en-GB"/>
                  </w:rPr>
                  <m:t>Q</m:t>
                </m:r>
              </m:e>
            </m:bar>
          </m:e>
          <m:sub>
            <m:r>
              <w:rPr>
                <w:rFonts w:ascii="Cambria Math" w:hAnsi="Cambria Math"/>
                <w:lang w:val="en-GB"/>
              </w:rPr>
              <m:t>v</m:t>
            </m:r>
          </m:sub>
        </m:sSub>
      </m:oMath>
      <w:r w:rsidR="00626A57" w:rsidRPr="00C55139">
        <w:rPr>
          <w:iCs/>
          <w:lang w:val="en-GB"/>
        </w:rPr>
        <w:t>, and</w:t>
      </w:r>
      <w:r w:rsidR="00626A57" w:rsidRPr="00C55139">
        <w:rPr>
          <w:i/>
          <w:lang w:val="en-GB"/>
        </w:rPr>
        <w:t xml:space="preserve"> </w:t>
      </w:r>
      <m:oMath>
        <m:sSub>
          <m:sSubPr>
            <m:ctrlPr>
              <w:rPr>
                <w:rFonts w:ascii="Cambria Math" w:hAnsi="Cambria Math"/>
                <w:i/>
                <w:lang w:val="en-GB"/>
              </w:rPr>
            </m:ctrlPr>
          </m:sSubPr>
          <m:e>
            <m:bar>
              <m:barPr>
                <m:pos m:val="top"/>
                <m:ctrlPr>
                  <w:rPr>
                    <w:rFonts w:ascii="Cambria Math" w:hAnsi="Cambria Math"/>
                    <w:i/>
                    <w:lang w:val="en-GB"/>
                  </w:rPr>
                </m:ctrlPr>
              </m:barPr>
              <m:e>
                <m:r>
                  <w:rPr>
                    <w:rFonts w:ascii="Cambria Math" w:hAnsi="Cambria Math"/>
                    <w:lang w:val="en-GB"/>
                  </w:rPr>
                  <m:t>Q</m:t>
                </m:r>
              </m:e>
            </m:bar>
          </m:e>
          <m:sub>
            <m:r>
              <w:rPr>
                <w:rFonts w:ascii="Cambria Math" w:hAnsi="Cambria Math"/>
                <w:lang w:val="en-GB"/>
              </w:rPr>
              <m:t>v</m:t>
            </m:r>
          </m:sub>
        </m:sSub>
      </m:oMath>
      <w:r w:rsidR="00626A57">
        <w:rPr>
          <w:iCs/>
          <w:lang w:val="en-GB"/>
        </w:rPr>
        <w:t xml:space="preserve"> are fitted </w:t>
      </w:r>
      <w:r w:rsidR="00EA30CB">
        <w:rPr>
          <w:iCs/>
          <w:lang w:val="en-GB"/>
        </w:rPr>
        <w:t>to</w:t>
      </w:r>
      <w:r w:rsidR="008E456F">
        <w:rPr>
          <w:iCs/>
          <w:lang w:val="en-GB"/>
        </w:rPr>
        <w:t xml:space="preserve"> respective </w:t>
      </w:r>
      <w:r w:rsidR="00996847">
        <w:rPr>
          <w:iCs/>
          <w:lang w:val="en-GB"/>
        </w:rPr>
        <w:t>pump</w:t>
      </w:r>
      <w:r w:rsidR="008E456F">
        <w:rPr>
          <w:iCs/>
          <w:lang w:val="en-GB"/>
        </w:rPr>
        <w:t xml:space="preserve"> and </w:t>
      </w:r>
      <w:r w:rsidR="00996847">
        <w:rPr>
          <w:iCs/>
          <w:lang w:val="en-GB"/>
        </w:rPr>
        <w:t xml:space="preserve">turbine </w:t>
      </w:r>
      <w:r w:rsidR="008E456F">
        <w:rPr>
          <w:iCs/>
          <w:lang w:val="en-GB"/>
        </w:rPr>
        <w:t xml:space="preserve">performances for </w:t>
      </w:r>
      <w:r w:rsidR="00D9494F">
        <w:rPr>
          <w:iCs/>
          <w:lang w:val="en-GB"/>
        </w:rPr>
        <w:t xml:space="preserve">a </w:t>
      </w:r>
      <w:r w:rsidR="001F2129">
        <w:rPr>
          <w:iCs/>
          <w:lang w:val="en-GB"/>
        </w:rPr>
        <w:t>given</w:t>
      </w:r>
      <w:r w:rsidR="00D9494F">
        <w:rPr>
          <w:iCs/>
          <w:lang w:val="en-GB"/>
        </w:rPr>
        <w:t xml:space="preserve"> </w:t>
      </w:r>
      <w:r w:rsidR="00C52B45">
        <w:rPr>
          <w:iCs/>
          <w:lang w:val="en-GB"/>
        </w:rPr>
        <w:t>nominal head</w:t>
      </w:r>
      <w:r w:rsidR="001F2129">
        <w:rPr>
          <w:iCs/>
          <w:lang w:val="en-GB"/>
        </w:rPr>
        <w:t xml:space="preserve"> determined by the sea depth</w:t>
      </w:r>
      <w:r w:rsidR="00D737BF">
        <w:rPr>
          <w:iCs/>
          <w:lang w:val="en-GB"/>
        </w:rPr>
        <w:t>.</w:t>
      </w:r>
      <w:r w:rsidR="00D737BF" w:rsidDel="00DD17D7">
        <w:rPr>
          <w:iCs/>
          <w:lang w:val="en-GB"/>
        </w:rPr>
        <w:t xml:space="preserve"> </w:t>
      </w:r>
      <w:r w:rsidR="00EC5A0C">
        <w:t xml:space="preserve">The total electricity in- and output </w:t>
      </w:r>
      <w:r w:rsidR="00613083">
        <w:t xml:space="preserve">in each </w:t>
      </w:r>
      <w:r w:rsidR="006E7C16">
        <w:t>timestep</w:t>
      </w:r>
      <w:r w:rsidR="00FB13BF">
        <w:t xml:space="preserve"> is given by the sum of </w:t>
      </w:r>
      <w:r w:rsidR="00426457">
        <w:t>pump</w:t>
      </w:r>
      <w:r w:rsidR="001B094D">
        <w:t xml:space="preserve"> and turbine </w:t>
      </w:r>
      <w:r w:rsidR="001211F1">
        <w:t xml:space="preserve">energy </w:t>
      </w:r>
      <w:r w:rsidR="00AA59C3">
        <w:t xml:space="preserve">of all slots </w:t>
      </w:r>
      <w:r w:rsidR="001211F1">
        <w:t>respectively:</w:t>
      </w:r>
    </w:p>
    <w:tbl>
      <w:tblPr>
        <w:tblW w:w="7087" w:type="dxa"/>
        <w:tblLook w:val="04A0" w:firstRow="1" w:lastRow="0" w:firstColumn="1" w:lastColumn="0" w:noHBand="0" w:noVBand="1"/>
      </w:tblPr>
      <w:tblGrid>
        <w:gridCol w:w="6122"/>
        <w:gridCol w:w="965"/>
      </w:tblGrid>
      <w:tr w:rsidR="001211F1" w:rsidRPr="00A94774" w14:paraId="2A69937F" w14:textId="77777777" w:rsidTr="004F21C1">
        <w:tc>
          <w:tcPr>
            <w:tcW w:w="6122" w:type="dxa"/>
            <w:shd w:val="clear" w:color="auto" w:fill="auto"/>
            <w:vAlign w:val="center"/>
          </w:tcPr>
          <w:p w14:paraId="4077B4B4" w14:textId="280CEA3C" w:rsidR="001211F1" w:rsidRPr="00121218" w:rsidRDefault="00000000" w:rsidP="00E433A2">
            <w:pPr>
              <w:pStyle w:val="Els-body-text"/>
              <w:spacing w:before="60" w:after="60" w:line="264" w:lineRule="auto"/>
              <w:rPr>
                <w:rFonts w:ascii="Cambria Math" w:hAnsi="Cambria Math"/>
                <w:i/>
                <w:iCs/>
                <w:lang w:val="en-GB"/>
              </w:rPr>
            </w:pPr>
            <m:oMath>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in,i</m:t>
                  </m:r>
                </m:sub>
              </m:sSub>
              <m:r>
                <w:rPr>
                  <w:rFonts w:ascii="Cambria Math" w:hAnsi="Cambria Math"/>
                  <w:lang w:val="en-GB"/>
                </w:rPr>
                <m:t>=</m:t>
              </m:r>
              <m:nary>
                <m:naryPr>
                  <m:chr m:val="∑"/>
                  <m:limLoc m:val="undOvr"/>
                  <m:supHide m:val="1"/>
                  <m:ctrlPr>
                    <w:rPr>
                      <w:rFonts w:ascii="Cambria Math" w:hAnsi="Cambria Math"/>
                      <w:i/>
                      <w:iCs/>
                      <w:lang w:val="en-GB"/>
                    </w:rPr>
                  </m:ctrlPr>
                </m:naryPr>
                <m:sub>
                  <m:r>
                    <w:rPr>
                      <w:rFonts w:ascii="Cambria Math" w:hAnsi="Cambria Math"/>
                      <w:lang w:val="en-GB"/>
                    </w:rPr>
                    <m:t>u∈U</m:t>
                  </m:r>
                </m:sub>
                <m:sup/>
                <m:e>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u,i</m:t>
                      </m:r>
                    </m:sub>
                  </m:sSub>
                </m:e>
              </m:nary>
            </m:oMath>
            <w:r w:rsidR="001211F1" w:rsidRPr="00121218">
              <w:rPr>
                <w:rFonts w:ascii="Cambria Math" w:hAnsi="Cambria Math"/>
                <w:i/>
                <w:iCs/>
                <w:lang w:val="en-GB"/>
              </w:rPr>
              <w:t xml:space="preserve"> </w:t>
            </w:r>
          </w:p>
        </w:tc>
        <w:tc>
          <w:tcPr>
            <w:tcW w:w="965" w:type="dxa"/>
            <w:shd w:val="clear" w:color="auto" w:fill="auto"/>
            <w:vAlign w:val="center"/>
          </w:tcPr>
          <w:p w14:paraId="4B5C2E50" w14:textId="501C8A21" w:rsidR="001211F1" w:rsidRPr="00E433A2" w:rsidRDefault="001211F1" w:rsidP="00E433A2">
            <w:pPr>
              <w:pStyle w:val="Els-body-text"/>
              <w:spacing w:before="60" w:after="60" w:line="264" w:lineRule="auto"/>
              <w:jc w:val="right"/>
              <w:rPr>
                <w:rFonts w:ascii="Cambria Math" w:hAnsi="Cambria Math"/>
                <w:lang w:val="en-GB"/>
              </w:rPr>
            </w:pPr>
            <w:r w:rsidRPr="00E433A2">
              <w:rPr>
                <w:rFonts w:ascii="Cambria Math" w:hAnsi="Cambria Math"/>
                <w:lang w:val="en-GB"/>
              </w:rPr>
              <w:t>(</w:t>
            </w:r>
            <w:r w:rsidR="00944490" w:rsidRPr="00E433A2">
              <w:rPr>
                <w:rFonts w:ascii="Cambria Math" w:hAnsi="Cambria Math"/>
                <w:lang w:val="en-GB"/>
              </w:rPr>
              <w:t>1</w:t>
            </w:r>
            <w:r w:rsidR="00A153A9" w:rsidRPr="00E433A2">
              <w:rPr>
                <w:rFonts w:ascii="Cambria Math" w:hAnsi="Cambria Math"/>
                <w:lang w:val="en-GB"/>
              </w:rPr>
              <w:t>3</w:t>
            </w:r>
            <w:r w:rsidRPr="00E433A2">
              <w:rPr>
                <w:rFonts w:ascii="Cambria Math" w:hAnsi="Cambria Math"/>
                <w:lang w:val="en-GB"/>
              </w:rPr>
              <w:t>)</w:t>
            </w:r>
          </w:p>
        </w:tc>
      </w:tr>
      <w:tr w:rsidR="001211F1" w:rsidRPr="00A94774" w14:paraId="38F205F5" w14:textId="77777777" w:rsidTr="004F21C1">
        <w:tc>
          <w:tcPr>
            <w:tcW w:w="6122" w:type="dxa"/>
            <w:shd w:val="clear" w:color="auto" w:fill="auto"/>
            <w:vAlign w:val="center"/>
          </w:tcPr>
          <w:p w14:paraId="2F4C4036" w14:textId="34462816" w:rsidR="001211F1" w:rsidRPr="00121218" w:rsidRDefault="00000000" w:rsidP="00E433A2">
            <w:pPr>
              <w:pStyle w:val="Els-body-text"/>
              <w:spacing w:before="60" w:after="60" w:line="264" w:lineRule="auto"/>
              <w:rPr>
                <w:rFonts w:ascii="Cambria Math" w:hAnsi="Cambria Math"/>
                <w:lang w:val="en-GB"/>
                <w:oMath/>
              </w:rPr>
            </w:pPr>
            <m:oMath>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out,i</m:t>
                  </m:r>
                </m:sub>
              </m:sSub>
              <m:r>
                <w:rPr>
                  <w:rFonts w:ascii="Cambria Math" w:hAnsi="Cambria Math"/>
                  <w:lang w:val="en-GB"/>
                </w:rPr>
                <m:t>=</m:t>
              </m:r>
              <m:nary>
                <m:naryPr>
                  <m:chr m:val="∑"/>
                  <m:limLoc m:val="undOvr"/>
                  <m:supHide m:val="1"/>
                  <m:ctrlPr>
                    <w:rPr>
                      <w:rFonts w:ascii="Cambria Math" w:hAnsi="Cambria Math"/>
                      <w:i/>
                      <w:iCs/>
                      <w:lang w:val="en-GB"/>
                    </w:rPr>
                  </m:ctrlPr>
                </m:naryPr>
                <m:sub>
                  <m:r>
                    <w:rPr>
                      <w:rFonts w:ascii="Cambria Math" w:hAnsi="Cambria Math"/>
                      <w:lang w:val="en-GB"/>
                    </w:rPr>
                    <m:t>t∈T</m:t>
                  </m:r>
                </m:sub>
                <m:sup/>
                <m:e>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t,i</m:t>
                      </m:r>
                    </m:sub>
                  </m:sSub>
                </m:e>
              </m:nary>
            </m:oMath>
            <w:r w:rsidR="00CA0F66" w:rsidRPr="00121218">
              <w:rPr>
                <w:rFonts w:ascii="Cambria Math" w:hAnsi="Cambria Math"/>
                <w:i/>
                <w:iCs/>
                <w:lang w:val="en-GB"/>
              </w:rPr>
              <w:t xml:space="preserve"> </w:t>
            </w:r>
          </w:p>
        </w:tc>
        <w:tc>
          <w:tcPr>
            <w:tcW w:w="965" w:type="dxa"/>
            <w:shd w:val="clear" w:color="auto" w:fill="auto"/>
            <w:vAlign w:val="center"/>
          </w:tcPr>
          <w:p w14:paraId="1B481FA0" w14:textId="10A9524D" w:rsidR="001211F1" w:rsidRPr="00E433A2" w:rsidRDefault="00CA0F66" w:rsidP="00E433A2">
            <w:pPr>
              <w:pStyle w:val="Els-body-text"/>
              <w:spacing w:before="60" w:after="60" w:line="264" w:lineRule="auto"/>
              <w:jc w:val="right"/>
              <w:rPr>
                <w:rFonts w:ascii="Cambria Math" w:hAnsi="Cambria Math"/>
                <w:lang w:val="en-GB"/>
              </w:rPr>
            </w:pPr>
            <w:r w:rsidRPr="00E433A2">
              <w:rPr>
                <w:rFonts w:ascii="Cambria Math" w:hAnsi="Cambria Math"/>
                <w:lang w:val="en-GB"/>
              </w:rPr>
              <w:t>(</w:t>
            </w:r>
            <w:r w:rsidR="00944490" w:rsidRPr="00E433A2">
              <w:rPr>
                <w:rFonts w:ascii="Cambria Math" w:hAnsi="Cambria Math"/>
                <w:lang w:val="en-GB"/>
              </w:rPr>
              <w:t>1</w:t>
            </w:r>
            <w:r w:rsidR="00A153A9" w:rsidRPr="00E433A2">
              <w:rPr>
                <w:rFonts w:ascii="Cambria Math" w:hAnsi="Cambria Math"/>
                <w:lang w:val="en-GB"/>
              </w:rPr>
              <w:t>4</w:t>
            </w:r>
            <w:r w:rsidR="001211F1" w:rsidRPr="00E433A2">
              <w:rPr>
                <w:rFonts w:ascii="Cambria Math" w:hAnsi="Cambria Math"/>
                <w:lang w:val="en-GB"/>
              </w:rPr>
              <w:t>)</w:t>
            </w:r>
          </w:p>
        </w:tc>
      </w:tr>
    </w:tbl>
    <w:p w14:paraId="490FE89B" w14:textId="18822B93" w:rsidR="002B097F" w:rsidRDefault="002B097F" w:rsidP="00D8320E">
      <w:pPr>
        <w:pStyle w:val="Els-body-text"/>
        <w:rPr>
          <w:lang w:val="en-GB"/>
        </w:rPr>
      </w:pPr>
      <w:r>
        <w:rPr>
          <w:lang w:val="en-GB"/>
        </w:rPr>
        <w:t>To prevent symmetry in the resulting MILP</w:t>
      </w:r>
      <w:r w:rsidR="00A80ECE">
        <w:rPr>
          <w:lang w:val="en-GB"/>
        </w:rPr>
        <w:t xml:space="preserve"> we deploy constraints </w:t>
      </w:r>
      <w:r w:rsidR="00DC049A">
        <w:rPr>
          <w:lang w:val="en-GB"/>
        </w:rPr>
        <w:t>giving priority to pumps/turbines with lower indices (</w:t>
      </w:r>
      <w:r w:rsidR="00B83800">
        <w:rPr>
          <w:lang w:val="en-GB"/>
        </w:rPr>
        <w:t xml:space="preserve">for </w:t>
      </w:r>
      <w:r w:rsidR="00DC049A">
        <w:rPr>
          <w:lang w:val="en-GB"/>
        </w:rPr>
        <w:t>design and operation):</w:t>
      </w:r>
    </w:p>
    <w:tbl>
      <w:tblPr>
        <w:tblW w:w="7087" w:type="dxa"/>
        <w:tblLook w:val="04A0" w:firstRow="1" w:lastRow="0" w:firstColumn="1" w:lastColumn="0" w:noHBand="0" w:noVBand="1"/>
      </w:tblPr>
      <w:tblGrid>
        <w:gridCol w:w="6122"/>
        <w:gridCol w:w="965"/>
      </w:tblGrid>
      <w:tr w:rsidR="00DC049A" w:rsidRPr="00A94774" w14:paraId="42E97D5B" w14:textId="77777777">
        <w:tc>
          <w:tcPr>
            <w:tcW w:w="6122" w:type="dxa"/>
            <w:shd w:val="clear" w:color="auto" w:fill="auto"/>
            <w:vAlign w:val="center"/>
          </w:tcPr>
          <w:p w14:paraId="0C94555F" w14:textId="041FB9DC" w:rsidR="00DC049A" w:rsidRPr="00121218" w:rsidRDefault="00000000" w:rsidP="00E433A2">
            <w:pPr>
              <w:pStyle w:val="Els-body-text"/>
              <w:spacing w:before="60" w:after="60" w:line="264" w:lineRule="auto"/>
              <w:rPr>
                <w:rFonts w:ascii="Cambria Math" w:hAnsi="Cambria Math"/>
                <w:i/>
                <w:iCs/>
                <w:lang w:val="en-GB"/>
              </w:rPr>
            </w:pPr>
            <m:oMath>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u,i</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u-1,i</m:t>
                  </m:r>
                </m:sub>
              </m:sSub>
              <m:r>
                <w:rPr>
                  <w:rFonts w:ascii="Cambria Math" w:hAnsi="Cambria Math"/>
                  <w:lang w:val="en-GB"/>
                </w:rPr>
                <m:t>,</m:t>
              </m:r>
            </m:oMath>
            <w:r w:rsidR="00DC049A" w:rsidRPr="00121218">
              <w:rPr>
                <w:rFonts w:ascii="Cambria Math" w:hAnsi="Cambria Math"/>
                <w:i/>
                <w:iCs/>
                <w:lang w:val="en-GB"/>
              </w:rPr>
              <w:t xml:space="preserve"> </w:t>
            </w:r>
            <m:oMath>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t,i</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t-1,i</m:t>
                  </m:r>
                </m:sub>
              </m:sSub>
            </m:oMath>
          </w:p>
        </w:tc>
        <w:tc>
          <w:tcPr>
            <w:tcW w:w="965" w:type="dxa"/>
            <w:shd w:val="clear" w:color="auto" w:fill="auto"/>
            <w:vAlign w:val="center"/>
          </w:tcPr>
          <w:p w14:paraId="319BD93B" w14:textId="0774080A" w:rsidR="00DC049A" w:rsidRPr="00E433A2" w:rsidRDefault="00DC049A" w:rsidP="00E433A2">
            <w:pPr>
              <w:pStyle w:val="Els-body-text"/>
              <w:spacing w:before="60" w:after="60" w:line="264" w:lineRule="auto"/>
              <w:jc w:val="right"/>
              <w:rPr>
                <w:rFonts w:ascii="Cambria Math" w:hAnsi="Cambria Math"/>
                <w:lang w:val="en-GB"/>
              </w:rPr>
            </w:pPr>
            <w:r w:rsidRPr="00E433A2">
              <w:rPr>
                <w:rFonts w:ascii="Cambria Math" w:hAnsi="Cambria Math"/>
                <w:lang w:val="en-GB"/>
              </w:rPr>
              <w:t>(1</w:t>
            </w:r>
            <w:r w:rsidR="00A153A9" w:rsidRPr="00E433A2">
              <w:rPr>
                <w:rFonts w:ascii="Cambria Math" w:hAnsi="Cambria Math"/>
                <w:lang w:val="en-GB"/>
              </w:rPr>
              <w:t>5</w:t>
            </w:r>
            <w:r w:rsidRPr="00E433A2">
              <w:rPr>
                <w:rFonts w:ascii="Cambria Math" w:hAnsi="Cambria Math"/>
                <w:lang w:val="en-GB"/>
              </w:rPr>
              <w:t>)</w:t>
            </w:r>
          </w:p>
        </w:tc>
      </w:tr>
      <w:tr w:rsidR="00E65E44" w:rsidRPr="00A94774" w14:paraId="08F19464" w14:textId="77777777">
        <w:tc>
          <w:tcPr>
            <w:tcW w:w="6122" w:type="dxa"/>
            <w:shd w:val="clear" w:color="auto" w:fill="auto"/>
            <w:vAlign w:val="center"/>
          </w:tcPr>
          <w:p w14:paraId="48E4624D" w14:textId="50873B09" w:rsidR="00E65E44" w:rsidRPr="00121218" w:rsidRDefault="00000000" w:rsidP="00E433A2">
            <w:pPr>
              <w:pStyle w:val="Els-body-text"/>
              <w:spacing w:before="60" w:after="60" w:line="264" w:lineRule="auto"/>
              <w:rPr>
                <w:rFonts w:ascii="Cambria Math" w:hAnsi="Cambria Math"/>
                <w:i/>
                <w:iCs/>
                <w:lang w:val="en-GB"/>
              </w:rPr>
            </w:pPr>
            <m:oMath>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des</m:t>
                  </m:r>
                  <m:r>
                    <w:rPr>
                      <w:rFonts w:ascii="Cambria Math" w:hAnsi="Cambria Math"/>
                      <w:lang w:val="en-GB"/>
                    </w:rPr>
                    <m:t>,u</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des</m:t>
                  </m:r>
                  <m:r>
                    <w:rPr>
                      <w:rFonts w:ascii="Cambria Math" w:hAnsi="Cambria Math"/>
                      <w:lang w:val="en-GB"/>
                    </w:rPr>
                    <m:t>,u-1</m:t>
                  </m:r>
                </m:sub>
              </m:sSub>
              <m:r>
                <w:rPr>
                  <w:rFonts w:ascii="Cambria Math" w:hAnsi="Cambria Math"/>
                  <w:lang w:val="en-GB"/>
                </w:rPr>
                <m:t>,</m:t>
              </m:r>
            </m:oMath>
            <w:r w:rsidR="00E65E44" w:rsidRPr="00121218">
              <w:rPr>
                <w:rFonts w:ascii="Cambria Math" w:hAnsi="Cambria Math"/>
                <w:i/>
                <w:iCs/>
                <w:lang w:val="en-GB"/>
              </w:rPr>
              <w:t xml:space="preserve"> </w:t>
            </w:r>
            <m:oMath>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des</m:t>
                  </m:r>
                  <m:r>
                    <w:rPr>
                      <w:rFonts w:ascii="Cambria Math" w:hAnsi="Cambria Math"/>
                      <w:lang w:val="en-GB"/>
                    </w:rPr>
                    <m:t>,t</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des</m:t>
                  </m:r>
                  <m:r>
                    <w:rPr>
                      <w:rFonts w:ascii="Cambria Math" w:hAnsi="Cambria Math"/>
                      <w:lang w:val="en-GB"/>
                    </w:rPr>
                    <m:t>, t-1</m:t>
                  </m:r>
                </m:sub>
              </m:sSub>
            </m:oMath>
          </w:p>
        </w:tc>
        <w:tc>
          <w:tcPr>
            <w:tcW w:w="965" w:type="dxa"/>
            <w:shd w:val="clear" w:color="auto" w:fill="auto"/>
            <w:vAlign w:val="center"/>
          </w:tcPr>
          <w:p w14:paraId="7C9C0826" w14:textId="64AA3D7B" w:rsidR="00E65E44" w:rsidRPr="00E433A2" w:rsidRDefault="00E65E44" w:rsidP="00E433A2">
            <w:pPr>
              <w:pStyle w:val="Els-body-text"/>
              <w:spacing w:before="60" w:after="60" w:line="264" w:lineRule="auto"/>
              <w:jc w:val="right"/>
              <w:rPr>
                <w:rFonts w:ascii="Cambria Math" w:hAnsi="Cambria Math"/>
                <w:lang w:val="en-GB"/>
              </w:rPr>
            </w:pPr>
            <w:r w:rsidRPr="00E433A2">
              <w:rPr>
                <w:rFonts w:ascii="Cambria Math" w:hAnsi="Cambria Math"/>
                <w:lang w:val="en-GB"/>
              </w:rPr>
              <w:t>(1</w:t>
            </w:r>
            <w:r w:rsidR="00A153A9" w:rsidRPr="00E433A2">
              <w:rPr>
                <w:rFonts w:ascii="Cambria Math" w:hAnsi="Cambria Math"/>
                <w:lang w:val="en-GB"/>
              </w:rPr>
              <w:t>6</w:t>
            </w:r>
            <w:r w:rsidRPr="00E433A2">
              <w:rPr>
                <w:rFonts w:ascii="Cambria Math" w:hAnsi="Cambria Math"/>
                <w:lang w:val="en-GB"/>
              </w:rPr>
              <w:t>)</w:t>
            </w:r>
          </w:p>
        </w:tc>
      </w:tr>
    </w:tbl>
    <w:p w14:paraId="225F8C60" w14:textId="164333D5" w:rsidR="00180E66" w:rsidRDefault="001C1B8D" w:rsidP="00D8320E">
      <w:pPr>
        <w:pStyle w:val="Els-body-text"/>
        <w:rPr>
          <w:lang w:val="en-GB"/>
        </w:rPr>
      </w:pPr>
      <w:r>
        <w:rPr>
          <w:lang w:val="en-GB"/>
        </w:rPr>
        <w:t>We</w:t>
      </w:r>
      <w:r w:rsidR="00753E30">
        <w:rPr>
          <w:lang w:val="en-GB"/>
        </w:rPr>
        <w:t xml:space="preserve"> </w:t>
      </w:r>
      <w:r w:rsidR="00D35492">
        <w:rPr>
          <w:lang w:val="en-GB"/>
        </w:rPr>
        <w:t xml:space="preserve">optimize </w:t>
      </w:r>
      <w:r w:rsidR="005379F2">
        <w:rPr>
          <w:lang w:val="en-GB"/>
        </w:rPr>
        <w:t>the design and operation of the offshore pumped-hydro storage</w:t>
      </w:r>
      <w:r w:rsidR="00461A7D">
        <w:rPr>
          <w:lang w:val="en-GB"/>
        </w:rPr>
        <w:t xml:space="preserve"> t</w:t>
      </w:r>
      <w:r w:rsidR="001A531D">
        <w:rPr>
          <w:lang w:val="en-GB"/>
        </w:rPr>
        <w:t>o maximize profits</w:t>
      </w:r>
      <w:r w:rsidR="00D54C47">
        <w:rPr>
          <w:lang w:val="en-GB"/>
        </w:rPr>
        <w:t xml:space="preserve"> over </w:t>
      </w:r>
      <w:r w:rsidR="00461A7D">
        <w:rPr>
          <w:lang w:val="en-GB"/>
        </w:rPr>
        <w:t>one month of operation</w:t>
      </w:r>
      <w:r w:rsidR="00AF7907">
        <w:rPr>
          <w:lang w:val="en-GB"/>
        </w:rPr>
        <w:t xml:space="preserve"> with</w:t>
      </w:r>
      <w:r w:rsidR="00D54C47">
        <w:rPr>
          <w:lang w:val="en-GB"/>
        </w:rPr>
        <w:t xml:space="preserve"> an</w:t>
      </w:r>
      <w:r w:rsidR="002D0875">
        <w:rPr>
          <w:lang w:val="en-GB"/>
        </w:rPr>
        <w:t xml:space="preserve"> hourly resolution, i.e.</w:t>
      </w:r>
      <w:r w:rsidR="004D3474">
        <w:rPr>
          <w:lang w:val="en-GB"/>
        </w:rPr>
        <w:t>,</w:t>
      </w:r>
      <w:r w:rsidR="002D0875">
        <w:rPr>
          <w:lang w:val="en-GB"/>
        </w:rPr>
        <w:t xml:space="preserve"> </w:t>
      </w:r>
      <m:oMath>
        <m:r>
          <m:rPr>
            <m:sty m:val="p"/>
          </m:rPr>
          <w:rPr>
            <w:rFonts w:ascii="Cambria Math" w:hAnsi="Cambria Math"/>
            <w:lang w:val="en-GB"/>
          </w:rPr>
          <m:t>Δ</m:t>
        </m:r>
        <m:r>
          <w:rPr>
            <w:rFonts w:ascii="Cambria Math" w:hAnsi="Cambria Math"/>
            <w:lang w:val="en-GB"/>
          </w:rPr>
          <m:t>i=1</m:t>
        </m:r>
        <m:r>
          <w:rPr>
            <w:rFonts w:ascii="Cambria Math" w:hAnsi="Cambria Math"/>
            <w:lang w:val="en-GB"/>
          </w:rPr>
          <m:t>h</m:t>
        </m:r>
      </m:oMath>
      <w:r w:rsidR="00F6660F">
        <w:rPr>
          <w:lang w:val="en-GB"/>
        </w:rPr>
        <w:t xml:space="preserve">. </w:t>
      </w:r>
      <w:r w:rsidR="00D54C47">
        <w:rPr>
          <w:lang w:val="en-GB"/>
        </w:rPr>
        <w:t>As such, t</w:t>
      </w:r>
      <w:r w:rsidR="00F6660F">
        <w:rPr>
          <w:lang w:val="en-GB"/>
        </w:rPr>
        <w:t>he objective function is</w:t>
      </w:r>
      <w:r w:rsidR="00507CCA">
        <w:rPr>
          <w:lang w:val="en-GB"/>
        </w:rPr>
        <w:t xml:space="preserve"> </w:t>
      </w:r>
      <w:r w:rsidR="00B1595F">
        <w:rPr>
          <w:lang w:val="en-GB"/>
        </w:rPr>
        <w:t>the sum</w:t>
      </w:r>
      <w:r w:rsidR="00507CCA">
        <w:rPr>
          <w:lang w:val="en-GB"/>
        </w:rPr>
        <w:t xml:space="preserve"> of electricity </w:t>
      </w:r>
      <w:r w:rsidR="00B1595F">
        <w:rPr>
          <w:lang w:val="en-GB"/>
        </w:rPr>
        <w:t>revenues</w:t>
      </w:r>
      <w:r w:rsidR="005F5A2E">
        <w:rPr>
          <w:lang w:val="en-GB"/>
        </w:rPr>
        <w:t xml:space="preserve"> </w:t>
      </w:r>
      <w:r w:rsidR="005750F4">
        <w:rPr>
          <w:lang w:val="en-GB"/>
        </w:rPr>
        <w:t xml:space="preserve">over the </w:t>
      </w:r>
      <w:r w:rsidR="004C04AF">
        <w:rPr>
          <w:lang w:val="en-GB"/>
        </w:rPr>
        <w:t xml:space="preserve">time horizon </w:t>
      </w:r>
      <w:r w:rsidR="005F5A2E">
        <w:rPr>
          <w:lang w:val="en-GB"/>
        </w:rPr>
        <w:t xml:space="preserve">minus total </w:t>
      </w:r>
      <w:r w:rsidR="004C04AF">
        <w:rPr>
          <w:lang w:val="en-GB"/>
        </w:rPr>
        <w:t xml:space="preserve">system </w:t>
      </w:r>
      <w:r w:rsidR="005F5A2E">
        <w:rPr>
          <w:lang w:val="en-GB"/>
        </w:rPr>
        <w:t>cost</w:t>
      </w:r>
      <w:r w:rsidR="00897805">
        <w:rPr>
          <w:lang w:val="en-GB"/>
        </w:rPr>
        <w:t xml:space="preserve">. </w:t>
      </w:r>
      <w:r w:rsidR="00461A7D">
        <w:rPr>
          <w:lang w:val="en-GB"/>
        </w:rPr>
        <w:t>C</w:t>
      </w:r>
      <w:r w:rsidR="00897805">
        <w:rPr>
          <w:lang w:val="en-GB"/>
        </w:rPr>
        <w:t>ost</w:t>
      </w:r>
      <w:r w:rsidR="00461A7D">
        <w:rPr>
          <w:lang w:val="en-GB"/>
        </w:rPr>
        <w:t xml:space="preserve"> factors</w:t>
      </w:r>
      <w:r w:rsidR="00897805">
        <w:rPr>
          <w:lang w:val="en-GB"/>
        </w:rPr>
        <w:t xml:space="preserve"> for the equipment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u</m:t>
            </m:r>
          </m:sub>
        </m:sSub>
      </m:oMath>
      <w:r w:rsidR="00897805">
        <w:rPr>
          <w:lang w:val="en-GB"/>
        </w:rPr>
        <w:t xml:space="preserve">,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t</m:t>
            </m:r>
          </m:sub>
        </m:sSub>
      </m:oMath>
      <w:r w:rsidR="00897805">
        <w:rPr>
          <w:lang w:val="en-GB"/>
        </w:rPr>
        <w:t xml:space="preserve"> and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r</m:t>
            </m:r>
          </m:sub>
        </m:sSub>
      </m:oMath>
      <w:r w:rsidR="00897805">
        <w:rPr>
          <w:lang w:val="en-GB"/>
        </w:rPr>
        <w:t xml:space="preserve">) </w:t>
      </w:r>
      <w:r w:rsidR="001F4817">
        <w:rPr>
          <w:lang w:val="en-GB"/>
        </w:rPr>
        <w:t>are</w:t>
      </w:r>
      <w:r w:rsidR="00897805">
        <w:rPr>
          <w:lang w:val="en-GB"/>
        </w:rPr>
        <w:t xml:space="preserve"> recalculated to a monthly cost</w:t>
      </w:r>
      <w:r w:rsidR="00F6660F">
        <w:rPr>
          <w:lang w:val="en-GB"/>
        </w:rPr>
        <w:t>:</w:t>
      </w:r>
    </w:p>
    <w:tbl>
      <w:tblPr>
        <w:tblW w:w="7088" w:type="dxa"/>
        <w:tblLook w:val="04A0" w:firstRow="1" w:lastRow="0" w:firstColumn="1" w:lastColumn="0" w:noHBand="0" w:noVBand="1"/>
      </w:tblPr>
      <w:tblGrid>
        <w:gridCol w:w="6379"/>
        <w:gridCol w:w="709"/>
      </w:tblGrid>
      <w:tr w:rsidR="00180E66" w:rsidRPr="00A94774" w14:paraId="63FBBECC" w14:textId="77777777" w:rsidTr="00F60CA8">
        <w:tc>
          <w:tcPr>
            <w:tcW w:w="6379" w:type="dxa"/>
            <w:shd w:val="clear" w:color="auto" w:fill="auto"/>
            <w:vAlign w:val="center"/>
          </w:tcPr>
          <w:p w14:paraId="49031DA9" w14:textId="710DE94D" w:rsidR="00180E66" w:rsidRPr="00121218" w:rsidRDefault="00000000" w:rsidP="003D0EB5">
            <w:pPr>
              <w:pStyle w:val="Els-body-text"/>
              <w:tabs>
                <w:tab w:val="left" w:pos="744"/>
              </w:tabs>
              <w:spacing w:before="60" w:after="60" w:line="264" w:lineRule="auto"/>
              <w:rPr>
                <w:rFonts w:ascii="Cambria Math" w:hAnsi="Cambria Math"/>
                <w:lang w:val="en-GB"/>
                <w:oMath/>
              </w:rPr>
            </w:pPr>
            <m:oMath>
              <m:func>
                <m:funcPr>
                  <m:ctrlPr>
                    <w:rPr>
                      <w:rFonts w:ascii="Cambria Math" w:hAnsi="Cambria Math"/>
                      <w:i/>
                      <w:iCs/>
                      <w:lang w:val="en-GB"/>
                    </w:rPr>
                  </m:ctrlPr>
                </m:funcPr>
                <m:fName>
                  <m:r>
                    <m:rPr>
                      <m:sty m:val="p"/>
                    </m:rPr>
                    <w:rPr>
                      <w:rFonts w:ascii="Cambria Math" w:hAnsi="Cambria Math"/>
                      <w:lang w:val="en-GB"/>
                    </w:rPr>
                    <m:t>max</m:t>
                  </m:r>
                </m:fName>
                <m:e>
                  <m:r>
                    <w:rPr>
                      <w:rFonts w:ascii="Cambria Math" w:hAnsi="Cambria Math"/>
                      <w:lang w:val="en-GB"/>
                    </w:rPr>
                    <m:t>Π</m:t>
                  </m:r>
                </m:e>
              </m:func>
              <m:r>
                <w:rPr>
                  <w:rFonts w:ascii="Cambria Math" w:hAnsi="Cambria Math"/>
                  <w:lang w:val="en-GB"/>
                </w:rPr>
                <m:t>=</m:t>
              </m:r>
              <m:nary>
                <m:naryPr>
                  <m:chr m:val="∑"/>
                  <m:limLoc m:val="undOvr"/>
                  <m:supHide m:val="1"/>
                  <m:ctrlPr>
                    <w:rPr>
                      <w:rFonts w:ascii="Cambria Math" w:hAnsi="Cambria Math"/>
                      <w:i/>
                      <w:iCs/>
                      <w:lang w:val="en-GB"/>
                    </w:rPr>
                  </m:ctrlPr>
                </m:naryPr>
                <m:sub>
                  <m:r>
                    <w:rPr>
                      <w:rFonts w:ascii="Cambria Math" w:hAnsi="Cambria Math"/>
                      <w:lang w:val="en-GB"/>
                    </w:rPr>
                    <m:t>i∈I</m:t>
                  </m:r>
                </m:sub>
                <m:sup/>
                <m:e>
                  <m:r>
                    <m:rPr>
                      <m:sty m:val="p"/>
                    </m:rPr>
                    <w:rPr>
                      <w:rFonts w:ascii="Cambria Math" w:hAnsi="Cambria Math"/>
                      <w:lang w:val="en-GB"/>
                    </w:rPr>
                    <m:t>Δ</m:t>
                  </m:r>
                  <m:r>
                    <w:rPr>
                      <w:rFonts w:ascii="Cambria Math" w:hAnsi="Cambria Math"/>
                      <w:lang w:val="en-GB"/>
                    </w:rPr>
                    <m:t>i</m:t>
                  </m:r>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out</m:t>
                      </m:r>
                      <m:r>
                        <w:rPr>
                          <w:rFonts w:ascii="Cambria Math" w:hAnsi="Cambria Math"/>
                          <w:lang w:val="en-GB"/>
                        </w:rPr>
                        <m:t>,i</m:t>
                      </m:r>
                    </m:sub>
                  </m:sSub>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i</m:t>
                      </m:r>
                    </m:sub>
                  </m:sSub>
                </m:e>
              </m:nary>
              <m:r>
                <w:rPr>
                  <w:rFonts w:ascii="Cambria Math" w:hAnsi="Cambria Math"/>
                  <w:lang w:val="en-GB"/>
                </w:rPr>
                <m:t>-</m:t>
              </m:r>
              <m:nary>
                <m:naryPr>
                  <m:chr m:val="∑"/>
                  <m:limLoc m:val="undOvr"/>
                  <m:supHide m:val="1"/>
                  <m:ctrlPr>
                    <w:rPr>
                      <w:rFonts w:ascii="Cambria Math" w:hAnsi="Cambria Math"/>
                      <w:i/>
                      <w:iCs/>
                      <w:lang w:val="en-GB"/>
                    </w:rPr>
                  </m:ctrlPr>
                </m:naryPr>
                <m:sub>
                  <m:r>
                    <w:rPr>
                      <w:rFonts w:ascii="Cambria Math" w:hAnsi="Cambria Math"/>
                      <w:lang w:val="en-GB"/>
                    </w:rPr>
                    <m:t>i∈I</m:t>
                  </m:r>
                </m:sub>
                <m:sup/>
                <m:e>
                  <m:r>
                    <m:rPr>
                      <m:sty m:val="p"/>
                    </m:rPr>
                    <w:rPr>
                      <w:rFonts w:ascii="Cambria Math" w:hAnsi="Cambria Math"/>
                      <w:lang w:val="en-GB"/>
                    </w:rPr>
                    <m:t>Δ</m:t>
                  </m:r>
                  <m:r>
                    <w:rPr>
                      <w:rFonts w:ascii="Cambria Math" w:hAnsi="Cambria Math"/>
                      <w:lang w:val="en-GB"/>
                    </w:rPr>
                    <m:t>i</m:t>
                  </m:r>
                  <m:sSub>
                    <m:sSubPr>
                      <m:ctrlPr>
                        <w:rPr>
                          <w:rFonts w:ascii="Cambria Math" w:hAnsi="Cambria Math"/>
                          <w:i/>
                          <w:iCs/>
                          <w:lang w:val="en-GB"/>
                        </w:rPr>
                      </m:ctrlPr>
                    </m:sSubPr>
                    <m:e>
                      <m:r>
                        <w:rPr>
                          <w:rFonts w:ascii="Cambria Math" w:hAnsi="Cambria Math"/>
                          <w:lang w:val="en-GB"/>
                        </w:rPr>
                        <m:t>P</m:t>
                      </m:r>
                    </m:e>
                    <m:sub>
                      <m:r>
                        <m:rPr>
                          <m:sty m:val="p"/>
                        </m:rPr>
                        <w:rPr>
                          <w:rFonts w:ascii="Cambria Math" w:hAnsi="Cambria Math"/>
                          <w:lang w:val="en-GB"/>
                        </w:rPr>
                        <m:t>in</m:t>
                      </m:r>
                      <m:r>
                        <w:rPr>
                          <w:rFonts w:ascii="Cambria Math" w:hAnsi="Cambria Math"/>
                          <w:lang w:val="en-GB"/>
                        </w:rPr>
                        <m:t>,i</m:t>
                      </m:r>
                    </m:sub>
                  </m:sSub>
                  <m:sSub>
                    <m:sSubPr>
                      <m:ctrlPr>
                        <w:rPr>
                          <w:rFonts w:ascii="Cambria Math" w:hAnsi="Cambria Math"/>
                          <w:i/>
                          <w:iCs/>
                          <w:lang w:val="en-GB"/>
                        </w:rPr>
                      </m:ctrlPr>
                    </m:sSubPr>
                    <m:e>
                      <m:r>
                        <w:rPr>
                          <w:rFonts w:ascii="Cambria Math" w:hAnsi="Cambria Math"/>
                          <w:lang w:val="en-GB"/>
                        </w:rPr>
                        <m:t>p</m:t>
                      </m:r>
                    </m:e>
                    <m:sub>
                      <m:r>
                        <w:rPr>
                          <w:rFonts w:ascii="Cambria Math" w:hAnsi="Cambria Math"/>
                          <w:lang w:val="en-GB"/>
                        </w:rPr>
                        <m:t>i</m:t>
                      </m:r>
                    </m:sub>
                  </m:sSub>
                </m:e>
              </m:nary>
              <m:r>
                <w:rPr>
                  <w:rFonts w:ascii="Cambria Math" w:hAnsi="Cambria Math"/>
                  <w:lang w:val="en-GB"/>
                </w:rPr>
                <m:t>-</m:t>
              </m:r>
            </m:oMath>
            <w:r w:rsidR="00210B5B">
              <w:rPr>
                <w:iCs/>
                <w:lang w:val="en-GB"/>
              </w:rPr>
              <w:t xml:space="preserve"> </w:t>
            </w:r>
            <m:oMath>
              <m:r>
                <m:rPr>
                  <m:sty m:val="p"/>
                </m:rPr>
                <w:rPr>
                  <w:rFonts w:ascii="Cambria Math" w:hAnsi="Cambria Math"/>
                  <w:lang w:val="en-GB"/>
                </w:rPr>
                <w:br/>
              </m:r>
              <m:nary>
                <m:naryPr>
                  <m:chr m:val="∑"/>
                  <m:limLoc m:val="undOvr"/>
                  <m:supHide m:val="1"/>
                  <m:ctrlPr>
                    <w:rPr>
                      <w:rFonts w:ascii="Cambria Math" w:hAnsi="Cambria Math"/>
                      <w:i/>
                      <w:iCs/>
                      <w:lang w:val="en-GB"/>
                    </w:rPr>
                  </m:ctrlPr>
                </m:naryPr>
                <m:sub>
                  <m:r>
                    <w:rPr>
                      <w:rFonts w:ascii="Cambria Math" w:hAnsi="Cambria Math"/>
                      <w:lang w:val="en-GB"/>
                    </w:rPr>
                    <m:t>u∈U</m:t>
                  </m:r>
                </m:sub>
                <m:sup/>
                <m:e>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u</m:t>
                      </m:r>
                    </m:sub>
                  </m:sSub>
                  <m:sSub>
                    <m:sSubPr>
                      <m:ctrlPr>
                        <w:rPr>
                          <w:rFonts w:ascii="Cambria Math" w:hAnsi="Cambria Math"/>
                          <w:i/>
                          <w:iCs/>
                          <w:lang w:val="en-GB"/>
                        </w:rPr>
                      </m:ctrlPr>
                    </m:sSubPr>
                    <m:e>
                      <m:acc>
                        <m:accPr>
                          <m:chr m:val="̇"/>
                          <m:ctrlPr>
                            <w:rPr>
                              <w:rFonts w:ascii="Cambria Math" w:hAnsi="Cambria Math"/>
                              <w:i/>
                              <w:iCs/>
                              <w:lang w:val="en-GB"/>
                            </w:rPr>
                          </m:ctrlPr>
                        </m:accPr>
                        <m:e>
                          <m:r>
                            <w:rPr>
                              <w:rFonts w:ascii="Cambria Math" w:hAnsi="Cambria Math"/>
                              <w:lang w:val="en-GB"/>
                            </w:rPr>
                            <m:t>Q</m:t>
                          </m:r>
                        </m:e>
                      </m:acc>
                    </m:e>
                    <m:sub>
                      <m:r>
                        <w:rPr>
                          <w:rFonts w:ascii="Cambria Math" w:hAnsi="Cambria Math"/>
                          <w:lang w:val="en-GB"/>
                        </w:rPr>
                        <m:t>u,</m:t>
                      </m:r>
                      <m:r>
                        <m:rPr>
                          <m:sty m:val="p"/>
                        </m:rPr>
                        <w:rPr>
                          <w:rFonts w:ascii="Cambria Math" w:hAnsi="Cambria Math"/>
                          <w:lang w:val="en-GB"/>
                        </w:rPr>
                        <m:t>des</m:t>
                      </m:r>
                    </m:sub>
                  </m:sSub>
                </m:e>
              </m:nary>
              <m:r>
                <w:rPr>
                  <w:rFonts w:ascii="Cambria Math" w:hAnsi="Cambria Math"/>
                  <w:lang w:val="en-GB"/>
                </w:rPr>
                <m:t>-</m:t>
              </m:r>
              <m:nary>
                <m:naryPr>
                  <m:chr m:val="∑"/>
                  <m:limLoc m:val="undOvr"/>
                  <m:supHide m:val="1"/>
                  <m:ctrlPr>
                    <w:rPr>
                      <w:rFonts w:ascii="Cambria Math" w:hAnsi="Cambria Math"/>
                      <w:i/>
                      <w:iCs/>
                      <w:lang w:val="en-GB"/>
                    </w:rPr>
                  </m:ctrlPr>
                </m:naryPr>
                <m:sub>
                  <m:r>
                    <w:rPr>
                      <w:rFonts w:ascii="Cambria Math" w:hAnsi="Cambria Math"/>
                      <w:lang w:val="en-GB"/>
                    </w:rPr>
                    <m:t>t∈T</m:t>
                  </m:r>
                </m:sub>
                <m:sup/>
                <m:e>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t</m:t>
                      </m:r>
                    </m:sub>
                  </m:sSub>
                  <m:sSub>
                    <m:sSubPr>
                      <m:ctrlPr>
                        <w:rPr>
                          <w:rFonts w:ascii="Cambria Math" w:hAnsi="Cambria Math"/>
                          <w:i/>
                          <w:iCs/>
                          <w:lang w:val="en-GB"/>
                        </w:rPr>
                      </m:ctrlPr>
                    </m:sSubPr>
                    <m:e>
                      <m:acc>
                        <m:accPr>
                          <m:chr m:val="̇"/>
                          <m:ctrlPr>
                            <w:rPr>
                              <w:rFonts w:ascii="Cambria Math" w:hAnsi="Cambria Math"/>
                              <w:i/>
                              <w:iCs/>
                              <w:lang w:val="en-GB"/>
                            </w:rPr>
                          </m:ctrlPr>
                        </m:accPr>
                        <m:e>
                          <m:r>
                            <w:rPr>
                              <w:rFonts w:ascii="Cambria Math" w:hAnsi="Cambria Math"/>
                              <w:lang w:val="en-GB"/>
                            </w:rPr>
                            <m:t>Q</m:t>
                          </m:r>
                        </m:e>
                      </m:acc>
                    </m:e>
                    <m:sub>
                      <m:r>
                        <w:rPr>
                          <w:rFonts w:ascii="Cambria Math" w:hAnsi="Cambria Math"/>
                          <w:lang w:val="en-GB"/>
                        </w:rPr>
                        <m:t>t,</m:t>
                      </m:r>
                      <m:r>
                        <m:rPr>
                          <m:sty m:val="p"/>
                        </m:rPr>
                        <w:rPr>
                          <w:rFonts w:ascii="Cambria Math" w:hAnsi="Cambria Math"/>
                          <w:lang w:val="en-GB"/>
                        </w:rPr>
                        <m:t>des</m:t>
                      </m:r>
                    </m:sub>
                  </m:sSub>
                </m:e>
              </m:nary>
              <m:r>
                <w:rPr>
                  <w:rFonts w:ascii="Cambria Math" w:hAnsi="Cambria Math"/>
                  <w:lang w:val="en-GB"/>
                </w:rPr>
                <m:t>-</m:t>
              </m:r>
              <m:sSub>
                <m:sSubPr>
                  <m:ctrlPr>
                    <w:rPr>
                      <w:rFonts w:ascii="Cambria Math" w:hAnsi="Cambria Math"/>
                      <w:i/>
                      <w:iCs/>
                      <w:lang w:val="en-GB"/>
                    </w:rPr>
                  </m:ctrlPr>
                </m:sSubPr>
                <m:e>
                  <m:r>
                    <w:rPr>
                      <w:rFonts w:ascii="Cambria Math" w:hAnsi="Cambria Math"/>
                      <w:lang w:val="en-GB"/>
                    </w:rPr>
                    <m:t>c</m:t>
                  </m:r>
                </m:e>
                <m:sub>
                  <m:r>
                    <w:rPr>
                      <w:rFonts w:ascii="Cambria Math" w:hAnsi="Cambria Math"/>
                      <w:lang w:val="en-GB"/>
                    </w:rPr>
                    <m:t>r</m:t>
                  </m:r>
                </m:sub>
              </m:sSub>
              <m:sSub>
                <m:sSubPr>
                  <m:ctrlPr>
                    <w:rPr>
                      <w:rFonts w:ascii="Cambria Math" w:hAnsi="Cambria Math"/>
                      <w:i/>
                      <w:iCs/>
                      <w:lang w:val="en-GB"/>
                    </w:rPr>
                  </m:ctrlPr>
                </m:sSubPr>
                <m:e>
                  <m:r>
                    <w:rPr>
                      <w:rFonts w:ascii="Cambria Math" w:hAnsi="Cambria Math"/>
                      <w:lang w:val="en-GB"/>
                    </w:rPr>
                    <m:t>V</m:t>
                  </m:r>
                </m:e>
                <m:sub>
                  <m:r>
                    <w:rPr>
                      <w:rFonts w:ascii="Cambria Math" w:hAnsi="Cambria Math"/>
                      <w:lang w:val="en-GB"/>
                    </w:rPr>
                    <m:t>r</m:t>
                  </m:r>
                </m:sub>
              </m:sSub>
            </m:oMath>
            <w:r w:rsidR="00180E66" w:rsidRPr="00121218">
              <w:rPr>
                <w:rFonts w:ascii="Cambria Math" w:hAnsi="Cambria Math"/>
                <w:i/>
                <w:iCs/>
                <w:lang w:val="en-GB"/>
              </w:rPr>
              <w:t xml:space="preserve"> </w:t>
            </w:r>
          </w:p>
        </w:tc>
        <w:tc>
          <w:tcPr>
            <w:tcW w:w="709" w:type="dxa"/>
            <w:shd w:val="clear" w:color="auto" w:fill="auto"/>
            <w:vAlign w:val="center"/>
          </w:tcPr>
          <w:p w14:paraId="1795AC32" w14:textId="220FD51C" w:rsidR="00180E66" w:rsidRPr="00E433A2" w:rsidRDefault="00180E66" w:rsidP="00E433A2">
            <w:pPr>
              <w:pStyle w:val="Els-body-text"/>
              <w:spacing w:before="60" w:after="60" w:line="264" w:lineRule="auto"/>
              <w:jc w:val="right"/>
              <w:rPr>
                <w:rFonts w:ascii="Cambria Math" w:hAnsi="Cambria Math"/>
                <w:lang w:val="en-GB"/>
              </w:rPr>
            </w:pPr>
            <w:r w:rsidRPr="00E433A2">
              <w:rPr>
                <w:rFonts w:ascii="Cambria Math" w:hAnsi="Cambria Math"/>
                <w:lang w:val="en-GB"/>
              </w:rPr>
              <w:t>(</w:t>
            </w:r>
            <w:r w:rsidR="00944490" w:rsidRPr="00E433A2">
              <w:rPr>
                <w:rFonts w:ascii="Cambria Math" w:hAnsi="Cambria Math"/>
                <w:lang w:val="en-GB"/>
              </w:rPr>
              <w:t>1</w:t>
            </w:r>
            <w:r w:rsidR="00A153A9" w:rsidRPr="00E433A2">
              <w:rPr>
                <w:rFonts w:ascii="Cambria Math" w:hAnsi="Cambria Math"/>
                <w:lang w:val="en-GB"/>
              </w:rPr>
              <w:t>7</w:t>
            </w:r>
            <w:r w:rsidRPr="00E433A2">
              <w:rPr>
                <w:rFonts w:ascii="Cambria Math" w:hAnsi="Cambria Math"/>
                <w:lang w:val="en-GB"/>
              </w:rPr>
              <w:t>)</w:t>
            </w:r>
          </w:p>
        </w:tc>
      </w:tr>
    </w:tbl>
    <w:p w14:paraId="38298915" w14:textId="44B9D74C" w:rsidR="002C0464" w:rsidRPr="0070457E" w:rsidRDefault="002C0464" w:rsidP="0070457E">
      <w:pPr>
        <w:pStyle w:val="Els-body-text"/>
        <w:rPr>
          <w:lang w:val="en-GB"/>
        </w:rPr>
      </w:pPr>
      <w:r>
        <w:rPr>
          <w:lang w:val="en-GB"/>
        </w:rPr>
        <w:t xml:space="preserve">Note that </w:t>
      </w:r>
      <w:r w:rsidR="009527E8">
        <w:rPr>
          <w:lang w:val="en-GB"/>
        </w:rPr>
        <w:t>it is also possible to not install the storage system</w:t>
      </w:r>
      <w:r w:rsidR="00D441A0">
        <w:rPr>
          <w:lang w:val="en-GB"/>
        </w:rPr>
        <w:t>. In this case, reservoir, pump and turbine sizes are zero.</w:t>
      </w:r>
      <w:r w:rsidR="008B4952">
        <w:rPr>
          <w:lang w:val="en-GB"/>
        </w:rPr>
        <w:t xml:space="preserve"> The optimization model is formulated with</w:t>
      </w:r>
      <w:r w:rsidR="00340D34">
        <w:rPr>
          <w:lang w:val="en-GB"/>
        </w:rPr>
        <w:t xml:space="preserve"> the </w:t>
      </w:r>
      <w:r w:rsidR="00E72DCE">
        <w:rPr>
          <w:lang w:val="en-GB"/>
        </w:rPr>
        <w:t>Python library</w:t>
      </w:r>
      <w:r w:rsidR="008B4952">
        <w:rPr>
          <w:lang w:val="en-GB"/>
        </w:rPr>
        <w:t xml:space="preserve"> </w:t>
      </w:r>
      <w:proofErr w:type="spellStart"/>
      <w:r w:rsidR="008B4952">
        <w:rPr>
          <w:lang w:val="en-GB"/>
        </w:rPr>
        <w:t>Pyomo</w:t>
      </w:r>
      <w:proofErr w:type="spellEnd"/>
      <w:r w:rsidR="008B4952">
        <w:rPr>
          <w:lang w:val="en-GB"/>
        </w:rPr>
        <w:t xml:space="preserve"> and solved with </w:t>
      </w:r>
      <w:proofErr w:type="spellStart"/>
      <w:r w:rsidR="00753E30">
        <w:rPr>
          <w:lang w:val="en-GB"/>
        </w:rPr>
        <w:t>G</w:t>
      </w:r>
      <w:r w:rsidR="008B4952">
        <w:rPr>
          <w:lang w:val="en-GB"/>
        </w:rPr>
        <w:t>urobi</w:t>
      </w:r>
      <w:proofErr w:type="spellEnd"/>
      <w:r w:rsidR="006C24A6">
        <w:rPr>
          <w:lang w:val="en-GB"/>
        </w:rPr>
        <w:t xml:space="preserve"> 10.0.3</w:t>
      </w:r>
      <w:r w:rsidR="00266F93">
        <w:rPr>
          <w:lang w:val="en-GB"/>
        </w:rPr>
        <w:t>.</w:t>
      </w:r>
    </w:p>
    <w:p w14:paraId="4E39753B" w14:textId="2E0609F1" w:rsidR="00674A03" w:rsidRPr="007D75A2" w:rsidRDefault="00BD2758" w:rsidP="0070457E">
      <w:pPr>
        <w:pStyle w:val="Els-2ndorder-head"/>
      </w:pPr>
      <w:r>
        <w:t xml:space="preserve">Input data </w:t>
      </w:r>
      <w:r w:rsidR="007D75A2">
        <w:t xml:space="preserve"> </w:t>
      </w:r>
    </w:p>
    <w:p w14:paraId="563B5632" w14:textId="5D5B50E0" w:rsidR="001D7FDA" w:rsidRPr="00897805" w:rsidRDefault="001D7FDA" w:rsidP="001D7FDA">
      <w:pPr>
        <w:pStyle w:val="Els-body-text"/>
      </w:pPr>
      <w:r w:rsidRPr="001D7FDA">
        <w:rPr>
          <w:lang w:val="en-GB"/>
        </w:rPr>
        <w:t xml:space="preserve">To obtain the design </w:t>
      </w:r>
      <w:r w:rsidR="00033200">
        <w:rPr>
          <w:lang w:val="en-GB"/>
        </w:rPr>
        <w:t xml:space="preserve">performance </w:t>
      </w:r>
      <w:r w:rsidRPr="001D7FDA">
        <w:rPr>
          <w:lang w:val="en-GB"/>
        </w:rPr>
        <w:t xml:space="preserve">parameters of the hydraulic machines, </w:t>
      </w:r>
      <w:r w:rsidR="001666A2">
        <w:rPr>
          <w:lang w:val="en-GB"/>
        </w:rPr>
        <w:t>we used</w:t>
      </w:r>
      <w:r w:rsidR="001666A2" w:rsidRPr="001D7FDA">
        <w:rPr>
          <w:lang w:val="en-GB"/>
        </w:rPr>
        <w:t xml:space="preserve"> </w:t>
      </w:r>
      <w:proofErr w:type="spellStart"/>
      <w:r w:rsidRPr="001D7FDA">
        <w:rPr>
          <w:lang w:val="en-GB"/>
        </w:rPr>
        <w:t>Balje</w:t>
      </w:r>
      <w:proofErr w:type="spellEnd"/>
      <w:r w:rsidRPr="001D7FDA">
        <w:rPr>
          <w:lang w:val="en-GB"/>
        </w:rPr>
        <w:t xml:space="preserve"> </w:t>
      </w:r>
      <w:r w:rsidR="007A4321">
        <w:rPr>
          <w:lang w:val="en-GB"/>
        </w:rPr>
        <w:t>(</w:t>
      </w:r>
      <m:oMath>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s</m:t>
            </m:r>
          </m:sub>
        </m:sSub>
        <m:r>
          <w:rPr>
            <w:rFonts w:ascii="Cambria Math" w:hAnsi="Cambria Math"/>
            <w:lang w:val="en-GB"/>
          </w:rPr>
          <m:t xml:space="preserve">, </m:t>
        </m:r>
        <m:sSub>
          <m:sSubPr>
            <m:ctrlPr>
              <w:rPr>
                <w:rFonts w:ascii="Cambria Math" w:hAnsi="Cambria Math"/>
                <w:i/>
              </w:rPr>
            </m:ctrlPr>
          </m:sSubPr>
          <m:e>
            <m:r>
              <w:rPr>
                <w:rFonts w:ascii="Cambria Math" w:hAnsi="Cambria Math"/>
                <w:lang w:val="el-GR"/>
              </w:rPr>
              <m:t>ω</m:t>
            </m:r>
            <m:ctrlPr>
              <w:rPr>
                <w:rFonts w:ascii="Cambria Math" w:hAnsi="Cambria Math"/>
                <w:i/>
                <w:lang w:val="en-GB"/>
              </w:rPr>
            </m:ctrlPr>
          </m:e>
          <m:sub>
            <m:r>
              <w:rPr>
                <w:rFonts w:ascii="Cambria Math" w:hAnsi="Cambria Math"/>
              </w:rPr>
              <m:t>s</m:t>
            </m:r>
          </m:sub>
        </m:sSub>
      </m:oMath>
      <w:r w:rsidR="007A4321">
        <w:rPr>
          <w:lang w:val="en-GB"/>
        </w:rPr>
        <w:t>)</w:t>
      </w:r>
      <w:r w:rsidRPr="001D7FDA">
        <w:rPr>
          <w:lang w:val="en-GB"/>
        </w:rPr>
        <w:t xml:space="preserve"> and efficiency</w:t>
      </w:r>
      <w:r w:rsidR="007A4321">
        <w:rPr>
          <w:lang w:val="en-GB"/>
        </w:rPr>
        <w:t xml:space="preserve"> (</w:t>
      </w:r>
      <m:oMath>
        <m:r>
          <w:rPr>
            <w:rFonts w:ascii="Cambria Math" w:hAnsi="Cambria Math"/>
            <w:lang w:val="el-GR"/>
          </w:rPr>
          <m:t>η</m:t>
        </m:r>
        <m:r>
          <w:rPr>
            <w:rFonts w:ascii="Cambria Math" w:hAnsi="Cambria Math"/>
          </w:rPr>
          <m:t xml:space="preserve">, </m:t>
        </m:r>
        <m:sSub>
          <m:sSubPr>
            <m:ctrlPr>
              <w:rPr>
                <w:rFonts w:ascii="Cambria Math" w:hAnsi="Cambria Math"/>
                <w:i/>
              </w:rPr>
            </m:ctrlPr>
          </m:sSubPr>
          <m:e>
            <m:r>
              <w:rPr>
                <w:rFonts w:ascii="Cambria Math" w:hAnsi="Cambria Math"/>
                <w:lang w:val="el-GR"/>
              </w:rPr>
              <m:t>ω</m:t>
            </m:r>
          </m:e>
          <m:sub>
            <m:r>
              <w:rPr>
                <w:rFonts w:ascii="Cambria Math" w:hAnsi="Cambria Math"/>
              </w:rPr>
              <m:t>s</m:t>
            </m:r>
          </m:sub>
        </m:sSub>
      </m:oMath>
      <w:r w:rsidR="007A4321">
        <w:rPr>
          <w:lang w:val="en-GB"/>
        </w:rPr>
        <w:t xml:space="preserve">) </w:t>
      </w:r>
      <w:r w:rsidRPr="001D7FDA">
        <w:rPr>
          <w:lang w:val="en-GB"/>
        </w:rPr>
        <w:t>diagrams</w:t>
      </w:r>
      <w:r w:rsidRPr="001D7FDA" w:rsidDel="001666A2">
        <w:rPr>
          <w:lang w:val="en-GB"/>
        </w:rPr>
        <w:t xml:space="preserve"> </w:t>
      </w:r>
      <w:r w:rsidRPr="001D7FDA">
        <w:rPr>
          <w:lang w:val="en-GB"/>
        </w:rPr>
        <w:t xml:space="preserve">from </w:t>
      </w:r>
      <w:r w:rsidR="00CF28D8">
        <w:rPr>
          <w:lang w:val="en-GB"/>
        </w:rPr>
        <w:fldChar w:fldCharType="begin" w:fldLock="1"/>
      </w:r>
      <w:r w:rsidR="00744190">
        <w:rPr>
          <w:lang w:val="en-GB"/>
        </w:rPr>
        <w:instrText>ADDIN CSL_CITATION {"citationItems":[{"id":"ITEM-1","itemData":{"author":[{"dropping-particle":"","family":"Cornetti","given":"G.","non-dropping-particle":"","parse-names":false,"suffix":""},{"dropping-particle":"","family":"Millo","given":"F.","non-dropping-particle":"","parse-names":false,"suffix":""}],"id":"ITEM-1","issued":{"date-parts":[["1989"]]},"number-of-pages":"504","publisher":"Il Capitello","title":"Macchine idrauliche","type":"book"},"uris":["http://www.mendeley.com/documents/?uuid=98358d3d-2a57-4d78-a81f-9b2ef434fd8f"]}],"mendeley":{"formattedCitation":"(Cornetti &amp; Millo, 1989)","manualFormatting":"Cornetti &amp; Millo (1989)","plainTextFormattedCitation":"(Cornetti &amp; Millo, 1989)","previouslyFormattedCitation":"(Cornetti &amp; Millo, 1989)"},"properties":{"noteIndex":0},"schema":"https://github.com/citation-style-language/schema/raw/master/csl-citation.json"}</w:instrText>
      </w:r>
      <w:r w:rsidR="00CF28D8">
        <w:rPr>
          <w:lang w:val="en-GB"/>
        </w:rPr>
        <w:fldChar w:fldCharType="separate"/>
      </w:r>
      <w:r w:rsidR="00CF28D8" w:rsidRPr="00CF28D8">
        <w:rPr>
          <w:noProof/>
          <w:lang w:val="en-GB"/>
        </w:rPr>
        <w:t xml:space="preserve">Cornetti &amp; Millo </w:t>
      </w:r>
      <w:r w:rsidR="00CF28D8">
        <w:rPr>
          <w:noProof/>
          <w:lang w:val="en-GB"/>
        </w:rPr>
        <w:t>(</w:t>
      </w:r>
      <w:r w:rsidR="00CF28D8" w:rsidRPr="00CF28D8">
        <w:rPr>
          <w:noProof/>
          <w:lang w:val="en-GB"/>
        </w:rPr>
        <w:t>1989)</w:t>
      </w:r>
      <w:r w:rsidR="00CF28D8">
        <w:rPr>
          <w:lang w:val="en-GB"/>
        </w:rPr>
        <w:fldChar w:fldCharType="end"/>
      </w:r>
      <w:r w:rsidR="001262C7">
        <w:rPr>
          <w:lang w:val="en-GB"/>
        </w:rPr>
        <w:t xml:space="preserve"> for centrifugal pumps and Francis turbines</w:t>
      </w:r>
      <w:r w:rsidRPr="001D7FDA">
        <w:rPr>
          <w:lang w:val="en-GB"/>
        </w:rPr>
        <w:t>. Part-load operation curves were taken from</w:t>
      </w:r>
      <w:r w:rsidR="00831AAA">
        <w:rPr>
          <w:lang w:val="en-GB"/>
        </w:rPr>
        <w:t xml:space="preserve"> </w:t>
      </w:r>
      <w:r w:rsidR="00701F8B">
        <w:rPr>
          <w:lang w:val="en-GB"/>
        </w:rPr>
        <w:fldChar w:fldCharType="begin" w:fldLock="1"/>
      </w:r>
      <w:r w:rsidR="00C750BA">
        <w:rPr>
          <w:lang w:val="en-GB"/>
        </w:rPr>
        <w:instrText>ADDIN CSL_CITATION {"citationItems":[{"id":"ITEM-1","itemData":{"author":[{"dropping-particle":"","family":"Kumar","given":"Arun","non-dropping-particle":"","parse-names":false,"suffix":""},{"dropping-particle":"","family":"Schei","given":"Tormod","non-dropping-particle":"","parse-names":false,"suffix":""},{"dropping-particle":"","family":"Ahenkorah","given":"Alfred","non-dropping-particle":"","parse-names":false,"suffix":""},{"dropping-particle":"","family":"Caceres Rodriguez","given":"Rodolfo","non-dropping-particle":"","parse-names":false,"suffix":""},{"dropping-particle":"","family":"Devernay","given":"Jean-Michel","non-dropping-particle":"","parse-names":false,"suffix":""},{"dropping-particle":"","family":"Freitas","given":"Marcos","non-dropping-particle":"","parse-names":false,"suffix":""},{"dropping-particle":"","family":"Hall","given":"Douglas","non-dropping-particle":"","parse-names":false,"suffix":""},{"dropping-particle":"","family":"Killingtveit","given":"Anund","non-dropping-particle":"","parse-names":false,"suffix":""},{"dropping-particle":"","family":"Liu","given":"Zhiyu","non-dropping-particle":"","parse-names":false,"suffix":""}],"container-title":"IPCC Special Report on Renewable Energy Sources and Climate Change Mitigation.","editor":[{"dropping-particle":"","family":"Edenhofer","given":"O","non-dropping-particle":"","parse-names":false,"suffix":""},{"dropping-particle":"","family":"Pichs-Madruga","given":"R","non-dropping-particle":"","parse-names":false,"suffix":""},{"dropping-particle":"","family":"Sokona","given":"Y","non-dropping-particle":"","parse-names":false,"suffix":""},{"dropping-particle":"","family":"Seyboth","given":"K","non-dropping-particle":"","parse-names":false,"suffix":""},{"dropping-particle":"","family":"Matschoss","given":"P","non-dropping-particle":"","parse-names":false,"suffix":""},{"dropping-particle":"","family":"Kadner","given":"S","non-dropping-particle":"","parse-names":false,"suffix":""},{"dropping-particle":"","family":"Zwickel","given":"T","non-dropping-particle":"","parse-names":false,"suffix":""},{"dropping-particle":"","family":"Eikemeier","given":"P","non-dropping-particle":"","parse-names":false,"suffix":""},{"dropping-particle":"","family":"Hansen","given":"G","non-dropping-particle":"","parse-names":false,"suffix":""},{"dropping-particle":"","family":"Schlömer","given":"S","non-dropping-particle":"","parse-names":false,"suffix":""},{"dropping-particle":"","family":"Stechow","given":"C","non-dropping-particle":"von","parse-names":false,"suffix":""}],"id":"ITEM-1","issued":{"date-parts":[["2011"]]},"publisher":"Cambridge University Press","publisher-place":"Cambridge, United Kingdom and New York, NY, USA","title":"Hydropower","type":"paper-conference"},"uris":["http://www.mendeley.com/documents/?uuid=3f16744b-80d9-4128-ac1f-362f5d8c29db"]}],"mendeley":{"formattedCitation":"(Kumar et al., 2011)","manualFormatting":"Kumar et al. (2011)","plainTextFormattedCitation":"(Kumar et al., 2011)","previouslyFormattedCitation":"(Kumar et al., 2011)"},"properties":{"noteIndex":0},"schema":"https://github.com/citation-style-language/schema/raw/master/csl-citation.json"}</w:instrText>
      </w:r>
      <w:r w:rsidR="00701F8B">
        <w:rPr>
          <w:lang w:val="en-GB"/>
        </w:rPr>
        <w:fldChar w:fldCharType="separate"/>
      </w:r>
      <w:r w:rsidR="00701F8B" w:rsidRPr="00701F8B">
        <w:rPr>
          <w:noProof/>
          <w:lang w:val="en-GB"/>
        </w:rPr>
        <w:t xml:space="preserve">Kumar et al. </w:t>
      </w:r>
      <w:r w:rsidR="00205D75">
        <w:rPr>
          <w:noProof/>
          <w:lang w:val="en-GB"/>
        </w:rPr>
        <w:t>(</w:t>
      </w:r>
      <w:r w:rsidR="00701F8B" w:rsidRPr="00701F8B">
        <w:rPr>
          <w:noProof/>
          <w:lang w:val="en-GB"/>
        </w:rPr>
        <w:t>2011)</w:t>
      </w:r>
      <w:r w:rsidR="00701F8B">
        <w:rPr>
          <w:lang w:val="en-GB"/>
        </w:rPr>
        <w:fldChar w:fldCharType="end"/>
      </w:r>
      <w:r w:rsidRPr="001D7FDA">
        <w:rPr>
          <w:lang w:val="en-GB"/>
        </w:rPr>
        <w:t xml:space="preserve"> for the turbine</w:t>
      </w:r>
      <w:r w:rsidR="00205D75">
        <w:rPr>
          <w:lang w:val="en-GB"/>
        </w:rPr>
        <w:t>s</w:t>
      </w:r>
      <w:r w:rsidRPr="001D7FDA">
        <w:rPr>
          <w:lang w:val="en-GB"/>
        </w:rPr>
        <w:t xml:space="preserve">, and </w:t>
      </w:r>
      <w:r w:rsidR="001B4102" w:rsidRPr="001D7FDA">
        <w:rPr>
          <w:lang w:val="en-GB"/>
        </w:rPr>
        <w:t xml:space="preserve">for the </w:t>
      </w:r>
      <w:r w:rsidR="00882289">
        <w:rPr>
          <w:lang w:val="en-GB"/>
        </w:rPr>
        <w:t xml:space="preserve">centrifugal </w:t>
      </w:r>
      <w:r w:rsidR="001B4102" w:rsidRPr="001D7FDA">
        <w:rPr>
          <w:lang w:val="en-GB"/>
        </w:rPr>
        <w:t xml:space="preserve">pump </w:t>
      </w:r>
      <w:r w:rsidR="001B4102">
        <w:rPr>
          <w:lang w:val="en-GB"/>
        </w:rPr>
        <w:t xml:space="preserve">it was retrieved </w:t>
      </w:r>
      <w:r w:rsidRPr="001D7FDA">
        <w:rPr>
          <w:lang w:val="en-GB"/>
        </w:rPr>
        <w:t xml:space="preserve">from an open-source </w:t>
      </w:r>
      <w:proofErr w:type="spellStart"/>
      <w:r w:rsidR="001B4102">
        <w:rPr>
          <w:lang w:val="en-GB"/>
        </w:rPr>
        <w:t>Simscape</w:t>
      </w:r>
      <w:proofErr w:type="spellEnd"/>
      <w:r w:rsidR="001B4102">
        <w:rPr>
          <w:lang w:val="en-GB"/>
        </w:rPr>
        <w:t xml:space="preserve"> Block </w:t>
      </w:r>
      <w:r w:rsidR="00251807">
        <w:rPr>
          <w:lang w:val="en-GB"/>
        </w:rPr>
        <w:fldChar w:fldCharType="begin" w:fldLock="1"/>
      </w:r>
      <w:r w:rsidR="00250BD2">
        <w:rPr>
          <w:lang w:val="en-GB"/>
        </w:rPr>
        <w:instrText>ADDIN CSL_CITATION {"citationItems":[{"id":"ITEM-1","itemData":{"id":"ITEM-1","issued":{"date-parts":[["2023"]]},"number":"R2023a","publisher":"The Mathworks, Inc.","title":"Centrifugal Pump (IL)","type":"article"},"uris":["http://www.mendeley.com/documents/?uuid=f6e8da71-46fc-47f0-929b-b380b0f6ab57"]}],"mendeley":{"formattedCitation":"(&lt;i&gt;Centrifugal Pump (IL)&lt;/i&gt;, 2023)","plainTextFormattedCitation":"(Centrifugal Pump (IL), 2023)","previouslyFormattedCitation":"(&lt;i&gt;Centrifugal Pump (IL)&lt;/i&gt;, 2023)"},"properties":{"noteIndex":0},"schema":"https://github.com/citation-style-language/schema/raw/master/csl-citation.json"}</w:instrText>
      </w:r>
      <w:r w:rsidR="00251807">
        <w:rPr>
          <w:lang w:val="en-GB"/>
        </w:rPr>
        <w:fldChar w:fldCharType="separate"/>
      </w:r>
      <w:r w:rsidR="00251807" w:rsidRPr="00251807">
        <w:rPr>
          <w:noProof/>
          <w:lang w:val="en-GB"/>
        </w:rPr>
        <w:t>(</w:t>
      </w:r>
      <w:r w:rsidR="00251807" w:rsidRPr="00F308C8">
        <w:rPr>
          <w:iCs/>
          <w:noProof/>
          <w:lang w:val="en-GB"/>
        </w:rPr>
        <w:t>Centrifugal Pump (IL)</w:t>
      </w:r>
      <w:r w:rsidR="00251807" w:rsidRPr="00251807">
        <w:rPr>
          <w:noProof/>
          <w:lang w:val="en-GB"/>
        </w:rPr>
        <w:t>, 2023)</w:t>
      </w:r>
      <w:r w:rsidR="00251807">
        <w:rPr>
          <w:lang w:val="en-GB"/>
        </w:rPr>
        <w:fldChar w:fldCharType="end"/>
      </w:r>
      <w:r w:rsidR="00A545C2">
        <w:rPr>
          <w:lang w:val="en-GB"/>
        </w:rPr>
        <w:t xml:space="preserve">. </w:t>
      </w:r>
    </w:p>
    <w:p w14:paraId="044EE7B4" w14:textId="1B2EF3AA" w:rsidR="00461A7D" w:rsidRDefault="00E1094D" w:rsidP="003057FF">
      <w:pPr>
        <w:pStyle w:val="Els-body-text"/>
      </w:pPr>
      <w:r w:rsidRPr="003D14D0">
        <w:t xml:space="preserve">The </w:t>
      </w:r>
      <w:r w:rsidR="00352F92" w:rsidRPr="003D14D0">
        <w:t>cost</w:t>
      </w:r>
      <w:r w:rsidR="00584F6C" w:rsidRPr="003D14D0">
        <w:t xml:space="preserve"> of electro-machinery </w:t>
      </w:r>
      <w:r w:rsidR="00B26B8E" w:rsidRPr="003D14D0">
        <w:t>can be estimated by a function of the following form:</w:t>
      </w:r>
      <w:r w:rsidR="00EE7D72" w:rsidRPr="003D14D0">
        <w:t xml:space="preserve"> </w:t>
      </w:r>
      <m:oMath>
        <m:r>
          <w:rPr>
            <w:rFonts w:ascii="Cambria Math" w:hAnsi="Cambria Math"/>
          </w:rPr>
          <m:t>C=a</m:t>
        </m:r>
        <m:sSup>
          <m:sSupPr>
            <m:ctrlPr>
              <w:rPr>
                <w:rFonts w:ascii="Cambria Math" w:hAnsi="Cambria Math"/>
              </w:rPr>
            </m:ctrlPr>
          </m:sSupPr>
          <m:e>
            <m:r>
              <w:rPr>
                <w:rFonts w:ascii="Cambria Math" w:hAnsi="Cambria Math"/>
              </w:rPr>
              <m:t>P</m:t>
            </m:r>
          </m:e>
          <m:sup>
            <m:r>
              <w:rPr>
                <w:rFonts w:ascii="Cambria Math" w:hAnsi="Cambria Math"/>
              </w:rPr>
              <m:t>b</m:t>
            </m:r>
          </m:sup>
        </m:sSup>
        <m:sSup>
          <m:sSupPr>
            <m:ctrlPr>
              <w:rPr>
                <w:rFonts w:ascii="Cambria Math" w:hAnsi="Cambria Math"/>
              </w:rPr>
            </m:ctrlPr>
          </m:sSupPr>
          <m:e>
            <m:r>
              <w:rPr>
                <w:rFonts w:ascii="Cambria Math" w:hAnsi="Cambria Math"/>
              </w:rPr>
              <m:t>H</m:t>
            </m:r>
          </m:e>
          <m:sup>
            <m:r>
              <w:rPr>
                <w:rFonts w:ascii="Cambria Math" w:hAnsi="Cambria Math"/>
              </w:rPr>
              <m:t>c</m:t>
            </m:r>
          </m:sup>
        </m:sSup>
      </m:oMath>
      <w:r w:rsidR="00EE7D72" w:rsidRPr="003D14D0">
        <w:t xml:space="preserve">. </w:t>
      </w:r>
      <w:r w:rsidR="001D7FDA" w:rsidRPr="003D14D0">
        <w:t xml:space="preserve">After comparison to the cost values of other studies </w:t>
      </w:r>
      <w:r w:rsidR="00744190" w:rsidRPr="003D14D0">
        <w:fldChar w:fldCharType="begin" w:fldLock="1"/>
      </w:r>
      <w:r w:rsidR="006B1CEF">
        <w:instrText>ADDIN CSL_CITATION {"citationItems":[{"id":"ITEM-1","itemData":{"DOI":"10.1016/J.RENENE.2008.04.039","ISSN":"0960-1481","abstract":"One of the most important elements on the recovery of a small hydro-power plant is the electro-mechanical equipment (turbine-alternator), since the cost of the equipment means a high percentage of the total budget of the plant. The present paper intends to develop a series of equations which determine its cost from basic parameters such as power and net head. These calculations are focused at a level of previous study, so it will be necessary to carry out the engineering project and request a budget to companies specialized on the construction of electro-mechanical equipment to know its cost more accurately. Although there is a great diversity in the typology of turbines and alternators, data from manufacturers which cover all the considered range have been used. The above equations have been developed for the most common of turbines: Pelton, Francis, Kaplan and semiKaplan for a power range below 2 MW. The obtained equations have been validated with data from real installations which have been subject to analysis by engineering companies working on the assembly and design of small plants. © 2008 Elsevier Ltd. All rights reserved.","author":[{"dropping-particle":"","family":"Ogayar","given":"B.","non-dropping-particle":"","parse-names":false,"suffix":""},{"dropping-particle":"","family":"Vidal","given":"P. G.","non-dropping-particle":"","parse-names":false,"suffix":""}],"container-title":"Renewable Energy","id":"ITEM-1","issue":"1","issued":{"date-parts":[["2009","1","1"]]},"page":"6-13","publisher":"Pergamon","title":"Cost determination of the electro-mechanical equipment of a small hydro-power plant","type":"article-journal","volume":"34"},"uris":["http://www.mendeley.com/documents/?uuid=e73fc170-2528-3c55-b3e1-0945b35a31a3"]},{"id":"ITEM-2","itemData":{"DOI":"10.1016/J.RENENE.2010.04.008","ISSN":"0960-1481","abstract":"A major barrier to starting small scale hydro power projects is an understanding of how much the scheme will cost. Empirical formulae to estimate the cost of electro-mechanical equipment and the costs of different types of turbines were developed through statistical analysis of cost data obtained from a range of turbine manufacturers. The approach differentiates between different turbine designs and presents formulae for all major small scale devices. The derived results were compared to the results obtained from using other methodologies and were found to provide more realistic cost estimates. © 2010 Elsevier Ltd.","author":[{"dropping-particle":"","family":"Aggidis","given":"G. A.","non-dropping-particle":"","parse-names":false,"suffix":""},{"dropping-particle":"","family":"Luchinskaya","given":"E.","non-dropping-particle":"","parse-names":false,"suffix":""},{"dropping-particle":"","family":"Rothschild","given":"R.","non-dropping-particle":"","parse-names":false,"suffix":""},{"dropping-particle":"","family":"Howard","given":"D. C.","non-dropping-particle":"","parse-names":false,"suffix":""}],"container-title":"Renewable Energy","id":"ITEM-2","issue":"12","issued":{"date-parts":[["2010","12","1"]]},"page":"2632-2638","publisher":"Pergamon","title":"The costs of small-scale hydro power production: Impact on the development of existing potential","type":"article-journal","volume":"35"},"uris":["http://www.mendeley.com/documents/?uuid=a29b45e7-3187-38fe-ad91-e07381bca415"]}],"mendeley":{"formattedCitation":"(Aggidis et al., 2010; Ogayar &amp; Vidal, 2009)","plainTextFormattedCitation":"(Aggidis et al., 2010; Ogayar &amp; Vidal, 2009)","previouslyFormattedCitation":"(Aggidis et al., 2010; Ogayar &amp; Vidal, 2009)"},"properties":{"noteIndex":0},"schema":"https://github.com/citation-style-language/schema/raw/master/csl-citation.json"}</w:instrText>
      </w:r>
      <w:r w:rsidR="00744190" w:rsidRPr="003D14D0">
        <w:fldChar w:fldCharType="separate"/>
      </w:r>
      <w:r w:rsidR="00B56FA5" w:rsidRPr="00B56FA5">
        <w:rPr>
          <w:noProof/>
        </w:rPr>
        <w:t>(Aggidis et al., 2010; Ogayar &amp; Vidal, 2009)</w:t>
      </w:r>
      <w:r w:rsidR="00744190" w:rsidRPr="003D14D0">
        <w:fldChar w:fldCharType="end"/>
      </w:r>
      <w:r w:rsidR="001D7FDA" w:rsidRPr="003D14D0">
        <w:t xml:space="preserve"> </w:t>
      </w:r>
      <w:r w:rsidR="00280AB5" w:rsidRPr="003D14D0">
        <w:t>we used the values from</w:t>
      </w:r>
      <w:r w:rsidR="001D7FDA" w:rsidRPr="003D14D0">
        <w:t xml:space="preserve"> </w:t>
      </w:r>
      <w:r w:rsidR="000764EE" w:rsidRPr="003D14D0">
        <w:fldChar w:fldCharType="begin" w:fldLock="1"/>
      </w:r>
      <w:r w:rsidR="00EB6571" w:rsidRPr="003D14D0">
        <w:instrText>ADDIN CSL_CITATION {"citationItems":[{"id":"ITEM-1","itemData":{"DOI":"10.30521/jes.457288","abstract":"Pumped hydroelectric storage (PHS) is the most established technology for utility-scale electricity storage. To take investment decision for the development of small hydropower projects, technical feasibility and financial viability are considered to be the foremost requirements. The cost of electro-mechanical equipment means a high percentage of a small hydro-power plant budget (around 30 % and 40 % of the total sum). It seems from this importance of the determination of that cost, which could directly influence the project feasibility. An overview of existing methods to estimate the cost of hydro turbines is presented in this paper. Empirical formulas to estimate the cost of centrifugal pump for a power ≤ 2 MW and PAT (pump as turbine) for a power ≤ 550 kW. In addition, new correlations have been developed to estimate the cost of hydraulic turbines (Pelton, Kaplan, Francis and Francis reversible) for a power &gt; 2 MW were developed through statistical analysis of cost data obtained from pumps and hydraulic turbines manufactures. The cost of EM equipment increases for high power levels but it decreases for high head.","author":[{"dropping-particle":"","family":"Alzohbi","given":"Gaydaa","non-dropping-particle":"","parse-names":false,"suffix":""}],"container-title":"Journal of Energy Systems","id":"ITEM-1","issue":"4","issued":{"date-parts":[["2018"]]},"page":"238-259","title":"The cost of electromechanical equipment in a small hydropower storage plant","type":"article-journal","volume":"2"},"uris":["http://www.mendeley.com/documents/?uuid=980848f7-bdfd-3054-be1d-5a7b4ef37970"]}],"mendeley":{"formattedCitation":"(Alzohbi, 2018)","manualFormatting":"Alzohbi (2018)","plainTextFormattedCitation":"(Alzohbi, 2018)","previouslyFormattedCitation":"(Alzohbi, 2018)"},"properties":{"noteIndex":0},"schema":"https://github.com/citation-style-language/schema/raw/master/csl-citation.json"}</w:instrText>
      </w:r>
      <w:r w:rsidR="000764EE" w:rsidRPr="003D14D0">
        <w:fldChar w:fldCharType="separate"/>
      </w:r>
      <w:r w:rsidR="000764EE" w:rsidRPr="003D14D0">
        <w:rPr>
          <w:noProof/>
        </w:rPr>
        <w:t>Alzohbi (2018)</w:t>
      </w:r>
      <w:r w:rsidR="000764EE" w:rsidRPr="003D14D0">
        <w:fldChar w:fldCharType="end"/>
      </w:r>
      <w:r w:rsidR="00280AB5" w:rsidRPr="003D14D0">
        <w:t xml:space="preserve"> to determine the costs for a 1 MW </w:t>
      </w:r>
      <w:r w:rsidR="00225E66">
        <w:t>pump</w:t>
      </w:r>
      <w:r w:rsidR="00280AB5" w:rsidRPr="003D14D0">
        <w:t>/</w:t>
      </w:r>
      <w:r w:rsidR="00225E66">
        <w:t>turbine</w:t>
      </w:r>
      <w:r w:rsidR="001D7FDA" w:rsidRPr="003D14D0">
        <w:t xml:space="preserve">. </w:t>
      </w:r>
      <w:r w:rsidR="00280AB5" w:rsidRPr="003D14D0">
        <w:t>We then</w:t>
      </w:r>
      <w:r w:rsidR="001D7FDA" w:rsidRPr="003D14D0">
        <w:t xml:space="preserve"> used</w:t>
      </w:r>
      <w:r w:rsidR="00280AB5" w:rsidRPr="003D14D0">
        <w:t xml:space="preserve"> the work</w:t>
      </w:r>
      <w:r w:rsidR="001D7FDA" w:rsidRPr="003D14D0">
        <w:t xml:space="preserve"> by </w:t>
      </w:r>
      <w:r w:rsidR="00EB6571" w:rsidRPr="003D14D0">
        <w:fldChar w:fldCharType="begin" w:fldLock="1"/>
      </w:r>
      <w:r w:rsidR="00334EA5">
        <w:instrText>ADDIN CSL_CITATION {"citationItems":[{"id":"ITEM-1","itemData":{"DOI":"10.1016/J.RENENE.2010.04.008","ISSN":"0960-1481","abstract":"A major barrier to starting small scale hydro power projects is an understanding of how much the scheme will cost. Empirical formulae to estimate the cost of electro-mechanical equipment and the costs of different types of turbines were developed through statistical analysis of cost data obtained from a range of turbine manufacturers. The approach differentiates between different turbine designs and presents formulae for all major small scale devices. The derived results were compared to the results obtained from using other methodologies and were found to provide more realistic cost estimates. © 2010 Elsevier Ltd.","author":[{"dropping-particle":"","family":"Aggidis","given":"G. A.","non-dropping-particle":"","parse-names":false,"suffix":""},{"dropping-particle":"","family":"Luchinskaya","given":"E.","non-dropping-particle":"","parse-names":false,"suffix":""},{"dropping-particle":"","family":"Rothschild","given":"R.","non-dropping-particle":"","parse-names":false,"suffix":""},{"dropping-particle":"","family":"Howard","given":"D. C.","non-dropping-particle":"","parse-names":false,"suffix":""}],"container-title":"Renewable Energy","id":"ITEM-1","issue":"12","issued":{"date-parts":[["2010","12","1"]]},"page":"2632-2638","publisher":"Pergamon","title":"The costs of small-scale hydro power production: Impact on the development of existing potential","type":"article-journal","volume":"35"},"uris":["http://www.mendeley.com/documents/?uuid=a29b45e7-3187-38fe-ad91-e07381bca415"]}],"mendeley":{"formattedCitation":"(Aggidis et al., 2010)","manualFormatting":"Aggidis et al. (2010)","plainTextFormattedCitation":"(Aggidis et al., 2010)","previouslyFormattedCitation":"(Aggidis et al., 2010)"},"properties":{"noteIndex":0},"schema":"https://github.com/citation-style-language/schema/raw/master/csl-citation.json"}</w:instrText>
      </w:r>
      <w:r w:rsidR="00EB6571" w:rsidRPr="003D14D0">
        <w:fldChar w:fldCharType="separate"/>
      </w:r>
      <w:r w:rsidR="00EB6571" w:rsidRPr="003D14D0">
        <w:rPr>
          <w:noProof/>
        </w:rPr>
        <w:t xml:space="preserve">Aggidis et al. </w:t>
      </w:r>
      <w:r w:rsidR="00A27F17" w:rsidRPr="003D14D0">
        <w:rPr>
          <w:noProof/>
        </w:rPr>
        <w:t>(</w:t>
      </w:r>
      <w:r w:rsidR="00EB6571" w:rsidRPr="003D14D0">
        <w:rPr>
          <w:noProof/>
        </w:rPr>
        <w:t>2010)</w:t>
      </w:r>
      <w:r w:rsidR="00EB6571" w:rsidRPr="003D14D0">
        <w:fldChar w:fldCharType="end"/>
      </w:r>
      <w:r w:rsidR="001D7FDA" w:rsidRPr="003D14D0" w:rsidDel="00280AB5">
        <w:t xml:space="preserve"> </w:t>
      </w:r>
      <w:r w:rsidR="001D7FDA" w:rsidRPr="003D14D0">
        <w:t xml:space="preserve">for </w:t>
      </w:r>
      <w:r w:rsidR="00280AB5" w:rsidRPr="003D14D0">
        <w:t>size-</w:t>
      </w:r>
      <w:r w:rsidR="001D7FDA" w:rsidRPr="003D14D0">
        <w:t>scaling, which showed a trend highly similar to those of the other relevant literature</w:t>
      </w:r>
      <w:r w:rsidR="00EB6571" w:rsidRPr="003D14D0">
        <w:t>.</w:t>
      </w:r>
      <w:r w:rsidR="00F04657" w:rsidRPr="003D14D0">
        <w:t xml:space="preserve"> </w:t>
      </w:r>
      <w:r w:rsidR="00852602" w:rsidRPr="003D14D0">
        <w:t xml:space="preserve">The resulting data was fitted </w:t>
      </w:r>
      <w:r w:rsidR="00706D0A" w:rsidRPr="003D14D0">
        <w:t>with</w:t>
      </w:r>
      <w:r w:rsidR="00852602" w:rsidRPr="003D14D0">
        <w:t xml:space="preserve"> a linear </w:t>
      </w:r>
      <w:r w:rsidR="00706D0A" w:rsidRPr="003D14D0">
        <w:t>function</w:t>
      </w:r>
      <w:r w:rsidR="00C96597" w:rsidRPr="003D14D0">
        <w:t xml:space="preserve"> and is reported</w:t>
      </w:r>
      <w:r w:rsidR="003436B6" w:rsidRPr="003D14D0">
        <w:t xml:space="preserve"> in </w:t>
      </w:r>
      <w:r w:rsidR="00D96AD3" w:rsidRPr="003D14D0">
        <w:t xml:space="preserve">Table </w:t>
      </w:r>
      <w:r w:rsidR="003D12CC" w:rsidRPr="003D14D0">
        <w:t>1</w:t>
      </w:r>
      <w:r w:rsidR="00D96AD3" w:rsidRPr="003D14D0">
        <w:t>.</w:t>
      </w:r>
      <w:r w:rsidR="00281756" w:rsidRPr="003D14D0">
        <w:t xml:space="preserve"> </w:t>
      </w:r>
    </w:p>
    <w:p w14:paraId="21B4E76A" w14:textId="15EDCAF6" w:rsidR="006F6084" w:rsidRPr="003057FF" w:rsidRDefault="007501F2" w:rsidP="003057FF">
      <w:pPr>
        <w:pStyle w:val="Els-body-text"/>
      </w:pPr>
      <w:r w:rsidRPr="003D14D0">
        <w:t>Day-ahead market prices</w:t>
      </w:r>
      <w:r w:rsidR="00F9377C">
        <w:t xml:space="preserve"> </w:t>
      </w:r>
      <w:r w:rsidRPr="003D14D0">
        <w:t>for the Dutch bidding zone</w:t>
      </w:r>
      <w:r w:rsidR="00F9377C" w:rsidRPr="00F9377C">
        <w:t xml:space="preserve"> </w:t>
      </w:r>
      <w:r w:rsidR="00F9377C" w:rsidRPr="003D14D0">
        <w:t>in 2019</w:t>
      </w:r>
      <w:r w:rsidR="005F2B90">
        <w:t>,</w:t>
      </w:r>
      <w:r w:rsidR="00FB0268">
        <w:t xml:space="preserve"> retrieved from </w:t>
      </w:r>
      <w:r w:rsidR="00FB0268">
        <w:fldChar w:fldCharType="begin" w:fldLock="1"/>
      </w:r>
      <w:r w:rsidR="00173EB1">
        <w:instrText>ADDIN CSL_CITATION {"citationItems":[{"id":"ITEM-1","itemData":{"URL":"https://transparency.entsoe.eu/","author":[{"dropping-particle":"","family":"ENTSO-E","given":"","non-dropping-particle":"","parse-names":false,"suffix":""}],"id":"ITEM-1","issued":{"date-parts":[["2023"]]},"title":"ENTSO-E Transparency Platform","type":"webpage"},"uris":["http://www.mendeley.com/documents/?uuid=b41ba87f-ebf9-4456-981f-eac82031c8ef"]}],"mendeley":{"formattedCitation":"(ENTSO-E, 2023)","manualFormatting":"ENTSO-E (2023)","plainTextFormattedCitation":"(ENTSO-E, 2023)","previouslyFormattedCitation":"(ENTSO-E, 2023)"},"properties":{"noteIndex":0},"schema":"https://github.com/citation-style-language/schema/raw/master/csl-citation.json"}</w:instrText>
      </w:r>
      <w:r w:rsidR="00FB0268">
        <w:fldChar w:fldCharType="separate"/>
      </w:r>
      <w:r w:rsidR="00FB0268" w:rsidRPr="00FB0268">
        <w:rPr>
          <w:noProof/>
        </w:rPr>
        <w:t xml:space="preserve">ENTSO-E </w:t>
      </w:r>
      <w:r w:rsidR="005F2B90">
        <w:rPr>
          <w:noProof/>
        </w:rPr>
        <w:t>(</w:t>
      </w:r>
      <w:r w:rsidR="00FB0268" w:rsidRPr="00FB0268">
        <w:rPr>
          <w:noProof/>
        </w:rPr>
        <w:t>2023)</w:t>
      </w:r>
      <w:r w:rsidR="00FB0268">
        <w:fldChar w:fldCharType="end"/>
      </w:r>
      <w:r w:rsidR="005F2B90">
        <w:t>,</w:t>
      </w:r>
      <w:r w:rsidR="00F9377C">
        <w:t xml:space="preserve"> </w:t>
      </w:r>
      <w:r w:rsidRPr="003D14D0">
        <w:t xml:space="preserve">were </w:t>
      </w:r>
      <w:r w:rsidR="00FB0268">
        <w:t xml:space="preserve">used </w:t>
      </w:r>
      <w:r w:rsidRPr="003D14D0">
        <w:t>as price profiles for t</w:t>
      </w:r>
      <w:r w:rsidR="00B27603">
        <w:t xml:space="preserve">he optimization scenario. This </w:t>
      </w:r>
      <w:r w:rsidRPr="003D14D0">
        <w:t>price profile has a mean price</w:t>
      </w:r>
      <w:r w:rsidR="00A84509">
        <w:t xml:space="preserve"> of</w:t>
      </w:r>
      <w:r w:rsidRPr="003D14D0">
        <w:t xml:space="preserve"> 58.33 EUR/MWh and a standard deviation (SD) of 13.83 EUR/MWh.</w:t>
      </w:r>
    </w:p>
    <w:tbl>
      <w:tblPr>
        <w:tblStyle w:val="TableGrid"/>
        <w:tblW w:w="7087" w:type="dxa"/>
        <w:tblBorders>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348"/>
        <w:gridCol w:w="2188"/>
        <w:gridCol w:w="2513"/>
        <w:gridCol w:w="38"/>
      </w:tblGrid>
      <w:tr w:rsidR="00D2108A" w:rsidRPr="00A24FD8" w14:paraId="7B8FEE93" w14:textId="77777777" w:rsidTr="00CF75D2">
        <w:tc>
          <w:tcPr>
            <w:tcW w:w="7087" w:type="dxa"/>
            <w:gridSpan w:val="4"/>
            <w:tcBorders>
              <w:top w:val="nil"/>
              <w:bottom w:val="single" w:sz="4" w:space="0" w:color="auto"/>
            </w:tcBorders>
          </w:tcPr>
          <w:p w14:paraId="1B5A8AEA" w14:textId="4030C1E8" w:rsidR="00D2108A" w:rsidRPr="0070457E" w:rsidRDefault="00D2108A" w:rsidP="00CF75D2">
            <w:pPr>
              <w:pStyle w:val="Els-1storder-head"/>
              <w:numPr>
                <w:ilvl w:val="0"/>
                <w:numId w:val="0"/>
              </w:numPr>
              <w:spacing w:before="120" w:after="0" w:line="240" w:lineRule="auto"/>
              <w:rPr>
                <w:b w:val="0"/>
                <w:sz w:val="14"/>
                <w:szCs w:val="14"/>
                <w:lang w:val="en-GB"/>
              </w:rPr>
            </w:pPr>
            <w:r w:rsidRPr="00CF75D2">
              <w:rPr>
                <w:b w:val="0"/>
                <w:sz w:val="16"/>
                <w:szCs w:val="16"/>
              </w:rPr>
              <w:t xml:space="preserve">Table 1. Value assumptions used in the model. </w:t>
            </w:r>
            <w:r w:rsidR="003057FF">
              <w:rPr>
                <w:b w:val="0"/>
                <w:sz w:val="16"/>
                <w:szCs w:val="16"/>
              </w:rPr>
              <w:t>P</w:t>
            </w:r>
            <w:r w:rsidRPr="00CF75D2">
              <w:rPr>
                <w:b w:val="0"/>
                <w:sz w:val="16"/>
                <w:szCs w:val="16"/>
              </w:rPr>
              <w:t>ump and turbine values are for a nominal head of 47.5m.</w:t>
            </w:r>
          </w:p>
        </w:tc>
      </w:tr>
      <w:tr w:rsidR="00D2108A" w:rsidRPr="00A24FD8" w14:paraId="66070DB0" w14:textId="77777777" w:rsidTr="00CF75D2">
        <w:tc>
          <w:tcPr>
            <w:tcW w:w="2348" w:type="dxa"/>
            <w:tcBorders>
              <w:top w:val="single" w:sz="4" w:space="0" w:color="auto"/>
              <w:bottom w:val="single" w:sz="4" w:space="0" w:color="auto"/>
            </w:tcBorders>
          </w:tcPr>
          <w:p w14:paraId="11C9CF40" w14:textId="1810C3FF" w:rsidR="00D2108A" w:rsidRPr="0070457E" w:rsidRDefault="00D2108A" w:rsidP="00D2108A">
            <w:pPr>
              <w:pStyle w:val="Els-body-text"/>
              <w:rPr>
                <w:b/>
                <w:sz w:val="14"/>
                <w:szCs w:val="14"/>
                <w:lang w:val="en-GB"/>
              </w:rPr>
            </w:pPr>
            <w:r w:rsidRPr="0070457E">
              <w:rPr>
                <w:b/>
                <w:sz w:val="14"/>
                <w:szCs w:val="14"/>
                <w:lang w:val="en-GB"/>
              </w:rPr>
              <w:t>Parameter</w:t>
            </w:r>
          </w:p>
        </w:tc>
        <w:tc>
          <w:tcPr>
            <w:tcW w:w="2188" w:type="dxa"/>
            <w:tcBorders>
              <w:top w:val="single" w:sz="4" w:space="0" w:color="auto"/>
              <w:bottom w:val="single" w:sz="4" w:space="0" w:color="auto"/>
            </w:tcBorders>
          </w:tcPr>
          <w:p w14:paraId="0620952F" w14:textId="563BD21F" w:rsidR="00D2108A" w:rsidRPr="0070457E" w:rsidRDefault="00D2108A" w:rsidP="00D2108A">
            <w:pPr>
              <w:pStyle w:val="Els-body-text"/>
              <w:rPr>
                <w:b/>
                <w:sz w:val="14"/>
                <w:szCs w:val="14"/>
                <w:lang w:val="en-GB"/>
              </w:rPr>
            </w:pPr>
            <w:r w:rsidRPr="0070457E">
              <w:rPr>
                <w:b/>
                <w:sz w:val="14"/>
                <w:szCs w:val="14"/>
                <w:lang w:val="en-GB"/>
              </w:rPr>
              <w:t>Unit</w:t>
            </w:r>
          </w:p>
        </w:tc>
        <w:tc>
          <w:tcPr>
            <w:tcW w:w="2551" w:type="dxa"/>
            <w:gridSpan w:val="2"/>
            <w:tcBorders>
              <w:top w:val="single" w:sz="4" w:space="0" w:color="auto"/>
              <w:bottom w:val="single" w:sz="4" w:space="0" w:color="auto"/>
            </w:tcBorders>
          </w:tcPr>
          <w:p w14:paraId="2B07D1C4" w14:textId="4FF8C9D9" w:rsidR="00D2108A" w:rsidRPr="0070457E" w:rsidRDefault="00D2108A" w:rsidP="00D2108A">
            <w:pPr>
              <w:pStyle w:val="Els-body-text"/>
              <w:rPr>
                <w:b/>
                <w:sz w:val="14"/>
                <w:szCs w:val="14"/>
                <w:lang w:val="en-GB"/>
              </w:rPr>
            </w:pPr>
            <w:r w:rsidRPr="0070457E">
              <w:rPr>
                <w:b/>
                <w:sz w:val="14"/>
                <w:szCs w:val="14"/>
                <w:lang w:val="en-GB"/>
              </w:rPr>
              <w:t>Value</w:t>
            </w:r>
          </w:p>
        </w:tc>
      </w:tr>
      <w:tr w:rsidR="00715A6B" w:rsidRPr="00A24FD8" w14:paraId="3C730DB7" w14:textId="77777777" w:rsidTr="00CF75D2">
        <w:tc>
          <w:tcPr>
            <w:tcW w:w="2348" w:type="dxa"/>
            <w:tcBorders>
              <w:top w:val="single" w:sz="4" w:space="0" w:color="auto"/>
            </w:tcBorders>
          </w:tcPr>
          <w:p w14:paraId="5BC066C0" w14:textId="07DF2927" w:rsidR="00715A6B" w:rsidRPr="0070457E" w:rsidRDefault="00381793" w:rsidP="001D7FDA">
            <w:pPr>
              <w:pStyle w:val="Els-body-text"/>
              <w:rPr>
                <w:sz w:val="14"/>
                <w:szCs w:val="14"/>
                <w:lang w:val="en-GB"/>
              </w:rPr>
            </w:pPr>
            <w:r w:rsidRPr="0070457E">
              <w:rPr>
                <w:sz w:val="14"/>
                <w:szCs w:val="14"/>
                <w:lang w:val="en-GB"/>
              </w:rPr>
              <w:t>CAPEX turbines</w:t>
            </w:r>
          </w:p>
        </w:tc>
        <w:tc>
          <w:tcPr>
            <w:tcW w:w="2188" w:type="dxa"/>
            <w:tcBorders>
              <w:top w:val="single" w:sz="4" w:space="0" w:color="auto"/>
            </w:tcBorders>
          </w:tcPr>
          <w:p w14:paraId="7F32BC92" w14:textId="43DFA4E5" w:rsidR="00715A6B" w:rsidRPr="0070457E" w:rsidRDefault="00381793" w:rsidP="001D7FDA">
            <w:pPr>
              <w:pStyle w:val="Els-body-text"/>
              <w:rPr>
                <w:sz w:val="14"/>
                <w:szCs w:val="14"/>
                <w:lang w:val="en-GB"/>
              </w:rPr>
            </w:pPr>
            <w:r w:rsidRPr="0070457E">
              <w:rPr>
                <w:sz w:val="14"/>
                <w:szCs w:val="14"/>
                <w:lang w:val="en-GB"/>
              </w:rPr>
              <w:t>€</w:t>
            </w:r>
            <w:r w:rsidR="00281756">
              <w:rPr>
                <w:sz w:val="14"/>
                <w:szCs w:val="14"/>
                <w:lang w:val="en-GB"/>
              </w:rPr>
              <w:t xml:space="preserve"> </w:t>
            </w:r>
          </w:p>
        </w:tc>
        <w:tc>
          <w:tcPr>
            <w:tcW w:w="2551" w:type="dxa"/>
            <w:gridSpan w:val="2"/>
            <w:tcBorders>
              <w:top w:val="single" w:sz="4" w:space="0" w:color="auto"/>
            </w:tcBorders>
          </w:tcPr>
          <w:p w14:paraId="587931A9" w14:textId="3E83647A" w:rsidR="00F1214E" w:rsidRPr="0070457E" w:rsidRDefault="00596029" w:rsidP="001D7FDA">
            <w:pPr>
              <w:pStyle w:val="Els-body-text"/>
              <w:rPr>
                <w:sz w:val="14"/>
                <w:szCs w:val="14"/>
                <w:lang w:val="en-GB"/>
              </w:rPr>
            </w:pPr>
            <w:r>
              <w:rPr>
                <w:sz w:val="14"/>
                <w:szCs w:val="14"/>
                <w:lang w:val="en-GB"/>
              </w:rPr>
              <w:t xml:space="preserve">CAPEX = </w:t>
            </w:r>
            <w:r w:rsidR="007C3322">
              <w:rPr>
                <w:sz w:val="14"/>
                <w:szCs w:val="14"/>
                <w:lang w:val="en-GB"/>
              </w:rPr>
              <w:t>324000</w:t>
            </w:r>
            <w:r w:rsidR="00B51761">
              <w:rPr>
                <w:sz w:val="14"/>
                <w:szCs w:val="14"/>
                <w:lang w:val="en-GB"/>
              </w:rPr>
              <w:t xml:space="preserve"> </w:t>
            </w:r>
            <w:r w:rsidR="0046290A">
              <w:rPr>
                <w:sz w:val="14"/>
                <w:szCs w:val="14"/>
                <w:lang w:val="en-GB"/>
              </w:rPr>
              <w:t>∙</w:t>
            </w:r>
            <w:r w:rsidR="00B51761">
              <w:rPr>
                <w:sz w:val="14"/>
                <w:szCs w:val="14"/>
                <w:lang w:val="en-GB"/>
              </w:rPr>
              <w:t xml:space="preserve"> </w:t>
            </w:r>
            <w:r w:rsidR="00102A0F">
              <w:rPr>
                <w:sz w:val="14"/>
                <w:szCs w:val="14"/>
                <w:lang w:val="en-GB"/>
              </w:rPr>
              <w:t>P</w:t>
            </w:r>
            <w:r w:rsidR="00C07600">
              <w:rPr>
                <w:sz w:val="14"/>
                <w:szCs w:val="14"/>
                <w:lang w:val="en-GB"/>
              </w:rPr>
              <w:t xml:space="preserve"> [MW]</w:t>
            </w:r>
            <w:r w:rsidR="00572709">
              <w:rPr>
                <w:sz w:val="14"/>
                <w:szCs w:val="14"/>
                <w:lang w:val="en-GB"/>
              </w:rPr>
              <w:t xml:space="preserve"> + </w:t>
            </w:r>
            <w:r w:rsidR="006713B4">
              <w:rPr>
                <w:sz w:val="14"/>
                <w:szCs w:val="14"/>
                <w:lang w:val="en-GB"/>
              </w:rPr>
              <w:t>189300</w:t>
            </w:r>
          </w:p>
        </w:tc>
      </w:tr>
      <w:tr w:rsidR="00D826EF" w:rsidRPr="00A24FD8" w14:paraId="7DBB799E" w14:textId="77777777" w:rsidTr="00CF75D2">
        <w:trPr>
          <w:gridAfter w:val="1"/>
          <w:wAfter w:w="38" w:type="dxa"/>
        </w:trPr>
        <w:tc>
          <w:tcPr>
            <w:tcW w:w="2348" w:type="dxa"/>
          </w:tcPr>
          <w:p w14:paraId="24E1FFD9" w14:textId="301420AF" w:rsidR="00D826EF" w:rsidRPr="0070457E" w:rsidRDefault="00D826EF" w:rsidP="00D826EF">
            <w:pPr>
              <w:pStyle w:val="Els-body-text"/>
              <w:rPr>
                <w:sz w:val="14"/>
                <w:szCs w:val="14"/>
                <w:lang w:val="en-GB"/>
              </w:rPr>
            </w:pPr>
            <w:r w:rsidRPr="0070457E">
              <w:rPr>
                <w:sz w:val="14"/>
                <w:szCs w:val="14"/>
                <w:lang w:val="en-GB"/>
              </w:rPr>
              <w:t>CAPEX pumps</w:t>
            </w:r>
          </w:p>
        </w:tc>
        <w:tc>
          <w:tcPr>
            <w:tcW w:w="2188" w:type="dxa"/>
          </w:tcPr>
          <w:p w14:paraId="0D20DD8F" w14:textId="51B25FAE" w:rsidR="00D826EF" w:rsidRPr="0070457E" w:rsidRDefault="00D826EF" w:rsidP="00D826EF">
            <w:pPr>
              <w:pStyle w:val="Els-body-text"/>
              <w:rPr>
                <w:sz w:val="14"/>
                <w:szCs w:val="14"/>
                <w:lang w:val="en-GB"/>
              </w:rPr>
            </w:pPr>
            <w:r w:rsidRPr="0070457E">
              <w:rPr>
                <w:sz w:val="14"/>
                <w:szCs w:val="14"/>
                <w:lang w:val="en-GB"/>
              </w:rPr>
              <w:t>€</w:t>
            </w:r>
          </w:p>
        </w:tc>
        <w:tc>
          <w:tcPr>
            <w:tcW w:w="2513" w:type="dxa"/>
          </w:tcPr>
          <w:p w14:paraId="40E0737E" w14:textId="430D7B5D" w:rsidR="00D826EF" w:rsidRPr="0070457E" w:rsidRDefault="00572709" w:rsidP="00D826EF">
            <w:pPr>
              <w:pStyle w:val="Els-body-text"/>
              <w:rPr>
                <w:sz w:val="14"/>
                <w:szCs w:val="14"/>
                <w:lang w:val="en-GB"/>
              </w:rPr>
            </w:pPr>
            <w:r>
              <w:rPr>
                <w:sz w:val="14"/>
                <w:szCs w:val="14"/>
                <w:lang w:val="en-GB"/>
              </w:rPr>
              <w:t>CAPEX</w:t>
            </w:r>
            <w:r w:rsidR="00A37CCA">
              <w:rPr>
                <w:sz w:val="14"/>
                <w:szCs w:val="14"/>
                <w:lang w:val="en-GB"/>
              </w:rPr>
              <w:t xml:space="preserve"> </w:t>
            </w:r>
            <w:r>
              <w:rPr>
                <w:sz w:val="14"/>
                <w:szCs w:val="14"/>
                <w:lang w:val="en-GB"/>
              </w:rPr>
              <w:t xml:space="preserve">= </w:t>
            </w:r>
            <w:r w:rsidR="00FC3A49">
              <w:rPr>
                <w:sz w:val="14"/>
                <w:szCs w:val="14"/>
                <w:lang w:val="en-GB"/>
              </w:rPr>
              <w:t>322100</w:t>
            </w:r>
            <w:r w:rsidR="007F7945">
              <w:rPr>
                <w:sz w:val="14"/>
                <w:szCs w:val="14"/>
                <w:lang w:val="en-GB"/>
              </w:rPr>
              <w:t xml:space="preserve"> </w:t>
            </w:r>
            <w:r w:rsidR="0046290A">
              <w:rPr>
                <w:sz w:val="14"/>
                <w:szCs w:val="14"/>
                <w:lang w:val="en-GB"/>
              </w:rPr>
              <w:t>∙</w:t>
            </w:r>
            <w:r w:rsidR="007F7945">
              <w:rPr>
                <w:sz w:val="14"/>
                <w:szCs w:val="14"/>
                <w:lang w:val="en-GB"/>
              </w:rPr>
              <w:t xml:space="preserve"> P </w:t>
            </w:r>
            <w:r w:rsidR="00C07600">
              <w:rPr>
                <w:sz w:val="14"/>
                <w:szCs w:val="14"/>
                <w:lang w:val="en-GB"/>
              </w:rPr>
              <w:t xml:space="preserve">[MW] </w:t>
            </w:r>
            <w:r w:rsidR="007F7945">
              <w:rPr>
                <w:sz w:val="14"/>
                <w:szCs w:val="14"/>
                <w:lang w:val="en-GB"/>
              </w:rPr>
              <w:t xml:space="preserve">+ </w:t>
            </w:r>
            <w:r w:rsidR="00BC1FB8">
              <w:rPr>
                <w:sz w:val="14"/>
                <w:szCs w:val="14"/>
                <w:lang w:val="en-GB"/>
              </w:rPr>
              <w:t>110900</w:t>
            </w:r>
          </w:p>
        </w:tc>
      </w:tr>
      <w:tr w:rsidR="001802E7" w:rsidRPr="00A24FD8" w14:paraId="533EFB60" w14:textId="77777777" w:rsidTr="00CF75D2">
        <w:trPr>
          <w:gridAfter w:val="1"/>
          <w:wAfter w:w="38" w:type="dxa"/>
        </w:trPr>
        <w:tc>
          <w:tcPr>
            <w:tcW w:w="2348" w:type="dxa"/>
          </w:tcPr>
          <w:p w14:paraId="1C35A23B" w14:textId="01658A68" w:rsidR="001802E7" w:rsidRPr="0070457E" w:rsidRDefault="001802E7" w:rsidP="001802E7">
            <w:pPr>
              <w:pStyle w:val="Els-body-text"/>
              <w:rPr>
                <w:sz w:val="14"/>
                <w:szCs w:val="14"/>
                <w:lang w:val="en-GB"/>
              </w:rPr>
            </w:pPr>
            <w:r w:rsidRPr="0070457E">
              <w:rPr>
                <w:sz w:val="14"/>
                <w:szCs w:val="14"/>
                <w:lang w:val="en-GB"/>
              </w:rPr>
              <w:t>CAPEX reservoir</w:t>
            </w:r>
          </w:p>
        </w:tc>
        <w:tc>
          <w:tcPr>
            <w:tcW w:w="2188" w:type="dxa"/>
          </w:tcPr>
          <w:p w14:paraId="509D606A" w14:textId="6F610D07" w:rsidR="001802E7" w:rsidRPr="0070457E" w:rsidRDefault="001802E7" w:rsidP="001802E7">
            <w:pPr>
              <w:pStyle w:val="Els-body-text"/>
              <w:rPr>
                <w:sz w:val="14"/>
                <w:szCs w:val="14"/>
                <w:lang w:val="en-GB"/>
              </w:rPr>
            </w:pPr>
            <w:r w:rsidRPr="0070457E">
              <w:rPr>
                <w:sz w:val="14"/>
                <w:szCs w:val="14"/>
                <w:lang w:val="en-GB"/>
              </w:rPr>
              <w:t>€/m</w:t>
            </w:r>
            <w:r w:rsidRPr="0070457E">
              <w:rPr>
                <w:sz w:val="14"/>
                <w:szCs w:val="14"/>
                <w:vertAlign w:val="superscript"/>
                <w:lang w:val="en-GB"/>
              </w:rPr>
              <w:t>3</w:t>
            </w:r>
          </w:p>
        </w:tc>
        <w:tc>
          <w:tcPr>
            <w:tcW w:w="2513" w:type="dxa"/>
          </w:tcPr>
          <w:p w14:paraId="40889814" w14:textId="2ECA3A1A" w:rsidR="001802E7" w:rsidRPr="0070457E" w:rsidRDefault="001802E7" w:rsidP="001802E7">
            <w:pPr>
              <w:pStyle w:val="Els-body-text"/>
              <w:rPr>
                <w:sz w:val="14"/>
                <w:szCs w:val="14"/>
                <w:lang w:val="en-GB"/>
              </w:rPr>
            </w:pPr>
            <w:r>
              <w:rPr>
                <w:sz w:val="14"/>
                <w:szCs w:val="14"/>
                <w:lang w:val="en-GB"/>
              </w:rPr>
              <w:t xml:space="preserve">4.2 – </w:t>
            </w:r>
            <w:r w:rsidRPr="0070457E">
              <w:rPr>
                <w:sz w:val="14"/>
                <w:szCs w:val="14"/>
                <w:lang w:val="en-GB"/>
              </w:rPr>
              <w:t>84</w:t>
            </w:r>
          </w:p>
        </w:tc>
      </w:tr>
    </w:tbl>
    <w:p w14:paraId="5C13EB24" w14:textId="2F079596" w:rsidR="005D59C8" w:rsidRDefault="005D59C8" w:rsidP="0070457E">
      <w:pPr>
        <w:pStyle w:val="Els-1storder-head"/>
      </w:pPr>
      <w:r>
        <w:t>Results</w:t>
      </w:r>
    </w:p>
    <w:p w14:paraId="51026DEA" w14:textId="5894FDDE" w:rsidR="00A755BD" w:rsidRPr="00A755BD" w:rsidRDefault="00A755BD" w:rsidP="00A755BD">
      <w:pPr>
        <w:pStyle w:val="Els-body-text"/>
      </w:pPr>
      <w:r>
        <w:t>We optimized the pumped</w:t>
      </w:r>
      <w:r w:rsidR="005D7E6B">
        <w:t>-</w:t>
      </w:r>
      <w:r>
        <w:t xml:space="preserve">hydro design and operation over a one-month period with hourly resolution considering different combinations of reservoir costs and electricity price profiles. The electricity prices for May 2019 were therefore scaled to </w:t>
      </w:r>
      <w:r w:rsidR="004358DE">
        <w:t>have</w:t>
      </w:r>
      <w:r>
        <w:t xml:space="preserve"> different standard deviations. The optimal size for the reservoir and total installed capacities for </w:t>
      </w:r>
      <w:r w:rsidR="00093FB7">
        <w:t xml:space="preserve">pump and turbine </w:t>
      </w:r>
      <w:r>
        <w:t>of 204 optimization runs are shown in Figure 2. Detailed results for the three points indicated in the Figures are shown in Table 2.</w:t>
      </w:r>
    </w:p>
    <w:p w14:paraId="48662323" w14:textId="559FB7C0" w:rsidR="005D59C8" w:rsidRDefault="004E0BAF" w:rsidP="005D59C8">
      <w:pPr>
        <w:pStyle w:val="Els-body-text"/>
      </w:pPr>
      <w:r>
        <w:rPr>
          <w:b/>
          <w:bCs/>
        </w:rPr>
        <w:t xml:space="preserve">Design. </w:t>
      </w:r>
      <w:r>
        <w:t>For high reservoir costs and low electricity price volatility (low SD), the storage system is unprofitable</w:t>
      </w:r>
      <w:r w:rsidRPr="006A54F8">
        <w:t>, leading to zero sizes for</w:t>
      </w:r>
      <w:r w:rsidRPr="006A54F8" w:rsidDel="00852C44">
        <w:t xml:space="preserve"> </w:t>
      </w:r>
      <w:r>
        <w:t xml:space="preserve">both </w:t>
      </w:r>
      <w:r w:rsidRPr="006A54F8">
        <w:t>pump, turbine, and reservoir (upper-left region)</w:t>
      </w:r>
      <w:r>
        <w:t xml:space="preserve">. </w:t>
      </w:r>
      <w:r w:rsidRPr="00781E1B">
        <w:t xml:space="preserve">Conversely, an increase in electricity price </w:t>
      </w:r>
      <w:r>
        <w:t xml:space="preserve">volatility (high SD) </w:t>
      </w:r>
      <w:r w:rsidRPr="00781E1B">
        <w:t xml:space="preserve">coupled with lower reservoir costs </w:t>
      </w:r>
      <w:r>
        <w:t>makes</w:t>
      </w:r>
      <w:r w:rsidRPr="00781E1B">
        <w:t xml:space="preserve"> the storage system profitable, </w:t>
      </w:r>
      <w:r>
        <w:t>with the</w:t>
      </w:r>
      <w:r w:rsidRPr="00781E1B">
        <w:t xml:space="preserve"> optimal configurations featuring the largest possible reservoir </w:t>
      </w:r>
      <w:r>
        <w:t xml:space="preserve">size of 250,000 m³ resulting in a capacity of 32 MWh </w:t>
      </w:r>
      <w:r w:rsidRPr="00781E1B">
        <w:t xml:space="preserve">and </w:t>
      </w:r>
      <w:r w:rsidRPr="00DC4E29">
        <w:t>a pump power rating of around</w:t>
      </w:r>
      <w:r>
        <w:t xml:space="preserve"> 4.5 MW</w:t>
      </w:r>
      <w:r w:rsidRPr="00781E1B">
        <w:t>.</w:t>
      </w:r>
      <w:r>
        <w:t xml:space="preserve"> Only for high reservoir costs and high SDs (upper right corner), it is optimal to reduce the reservoir size and thus pumps and </w:t>
      </w:r>
      <w:r>
        <w:lastRenderedPageBreak/>
        <w:t xml:space="preserve">turbines are relatively large compared to the reservoir size. One reason to select large pumps for the system, especially for high SDs, is the occurrence of negative electricity prices: </w:t>
      </w:r>
      <w:r w:rsidR="00985ADE">
        <w:t>D</w:t>
      </w:r>
      <w:r>
        <w:t>uring periods of negative prices, the storage operator is paid for using electricity, and as such, it is profitable to pump water to the upper reservoir and use a bypass of the turbines</w:t>
      </w:r>
      <w:r w:rsidR="0061199E">
        <w:t xml:space="preserve"> </w:t>
      </w:r>
      <w:r>
        <w:t>in case the upper reservoir is full. As a result, the pumps generally have a higher load factor than the turbines, especially for high price volatility scenarios.</w:t>
      </w:r>
    </w:p>
    <w:tbl>
      <w:tblPr>
        <w:tblStyle w:val="TableGrid"/>
        <w:tblpPr w:leftFromText="181" w:rightFromText="181" w:horzAnchor="margin" w:tblpXSpec="right"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74"/>
      </w:tblGrid>
      <w:tr w:rsidR="00D7057C" w:rsidRPr="00D7057C" w14:paraId="08F8FEF1" w14:textId="77777777" w:rsidTr="002756B1">
        <w:tc>
          <w:tcPr>
            <w:tcW w:w="3374" w:type="dxa"/>
          </w:tcPr>
          <w:p w14:paraId="21EC800C" w14:textId="77777777" w:rsidR="00D7057C" w:rsidRPr="00D7057C" w:rsidRDefault="00D7057C" w:rsidP="002756B1">
            <w:pPr>
              <w:pStyle w:val="Els-body-text"/>
              <w:jc w:val="center"/>
            </w:pPr>
            <w:r w:rsidRPr="00D7057C">
              <w:rPr>
                <w:noProof/>
              </w:rPr>
              <w:drawing>
                <wp:inline distT="0" distB="0" distL="0" distR="0" wp14:anchorId="02E07F7A" wp14:editId="5CAE8E6F">
                  <wp:extent cx="2002394" cy="148301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2394" cy="1483013"/>
                          </a:xfrm>
                          <a:prstGeom prst="rect">
                            <a:avLst/>
                          </a:prstGeom>
                          <a:noFill/>
                          <a:ln>
                            <a:noFill/>
                          </a:ln>
                        </pic:spPr>
                      </pic:pic>
                    </a:graphicData>
                  </a:graphic>
                </wp:inline>
              </w:drawing>
            </w:r>
          </w:p>
        </w:tc>
      </w:tr>
      <w:tr w:rsidR="00D7057C" w:rsidRPr="00D7057C" w14:paraId="19937336" w14:textId="77777777" w:rsidTr="002756B1">
        <w:tc>
          <w:tcPr>
            <w:tcW w:w="3374" w:type="dxa"/>
            <w:shd w:val="clear" w:color="auto" w:fill="auto"/>
          </w:tcPr>
          <w:p w14:paraId="535907F7" w14:textId="6316C484" w:rsidR="00D7057C" w:rsidRPr="00D7057C" w:rsidRDefault="00177E58" w:rsidP="006618B2">
            <w:pPr>
              <w:pStyle w:val="Els-body-text"/>
              <w:spacing w:after="120"/>
              <w:jc w:val="center"/>
              <w:rPr>
                <w:noProof/>
              </w:rPr>
            </w:pPr>
            <w:r>
              <w:rPr>
                <w:sz w:val="16"/>
                <w:szCs w:val="18"/>
              </w:rPr>
              <w:t>(</w:t>
            </w:r>
            <w:r w:rsidR="00C37D4F">
              <w:rPr>
                <w:sz w:val="16"/>
                <w:szCs w:val="18"/>
              </w:rPr>
              <w:t>a</w:t>
            </w:r>
            <w:r>
              <w:rPr>
                <w:sz w:val="16"/>
                <w:szCs w:val="18"/>
              </w:rPr>
              <w:t>)</w:t>
            </w:r>
            <w:r w:rsidR="00D7057C" w:rsidRPr="00D7057C">
              <w:rPr>
                <w:sz w:val="16"/>
                <w:szCs w:val="18"/>
              </w:rPr>
              <w:t xml:space="preserve"> Reservoir size</w:t>
            </w:r>
          </w:p>
        </w:tc>
      </w:tr>
      <w:tr w:rsidR="00D7057C" w:rsidRPr="00D7057C" w14:paraId="48C22DFB" w14:textId="77777777" w:rsidTr="002756B1">
        <w:tc>
          <w:tcPr>
            <w:tcW w:w="3374" w:type="dxa"/>
          </w:tcPr>
          <w:p w14:paraId="48B7A859" w14:textId="77777777" w:rsidR="00D7057C" w:rsidRPr="00D7057C" w:rsidRDefault="00D7057C" w:rsidP="002756B1">
            <w:pPr>
              <w:pStyle w:val="Els-body-text"/>
              <w:jc w:val="center"/>
              <w:rPr>
                <w:noProof/>
              </w:rPr>
            </w:pPr>
            <w:r w:rsidRPr="00D7057C">
              <w:rPr>
                <w:noProof/>
              </w:rPr>
              <w:drawing>
                <wp:inline distT="0" distB="0" distL="0" distR="0" wp14:anchorId="506D4182" wp14:editId="38960A48">
                  <wp:extent cx="1981704" cy="148481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704" cy="1484812"/>
                          </a:xfrm>
                          <a:prstGeom prst="rect">
                            <a:avLst/>
                          </a:prstGeom>
                          <a:noFill/>
                          <a:ln>
                            <a:noFill/>
                          </a:ln>
                        </pic:spPr>
                      </pic:pic>
                    </a:graphicData>
                  </a:graphic>
                </wp:inline>
              </w:drawing>
            </w:r>
          </w:p>
        </w:tc>
      </w:tr>
      <w:tr w:rsidR="00D7057C" w:rsidRPr="00D7057C" w14:paraId="0936E24B" w14:textId="77777777" w:rsidTr="002756B1">
        <w:tc>
          <w:tcPr>
            <w:tcW w:w="3374" w:type="dxa"/>
          </w:tcPr>
          <w:p w14:paraId="5C6AD33E" w14:textId="608203F4" w:rsidR="00D7057C" w:rsidRPr="00D7057C" w:rsidRDefault="00177E58" w:rsidP="006618B2">
            <w:pPr>
              <w:pStyle w:val="Els-body-text"/>
              <w:spacing w:after="120"/>
              <w:jc w:val="center"/>
              <w:rPr>
                <w:noProof/>
              </w:rPr>
            </w:pPr>
            <w:r>
              <w:rPr>
                <w:sz w:val="16"/>
                <w:szCs w:val="18"/>
              </w:rPr>
              <w:t>(</w:t>
            </w:r>
            <w:r w:rsidR="00C37D4F">
              <w:rPr>
                <w:sz w:val="16"/>
                <w:szCs w:val="18"/>
              </w:rPr>
              <w:t>b</w:t>
            </w:r>
            <w:r>
              <w:rPr>
                <w:sz w:val="16"/>
                <w:szCs w:val="18"/>
              </w:rPr>
              <w:t>)</w:t>
            </w:r>
            <w:r w:rsidR="00D7057C" w:rsidRPr="00D7057C">
              <w:rPr>
                <w:sz w:val="16"/>
                <w:szCs w:val="18"/>
              </w:rPr>
              <w:t xml:space="preserve"> Total pump power</w:t>
            </w:r>
          </w:p>
        </w:tc>
      </w:tr>
      <w:tr w:rsidR="00D7057C" w:rsidRPr="00D7057C" w14:paraId="618B746F" w14:textId="77777777" w:rsidTr="002756B1">
        <w:tc>
          <w:tcPr>
            <w:tcW w:w="3374" w:type="dxa"/>
          </w:tcPr>
          <w:p w14:paraId="199418E3" w14:textId="77777777" w:rsidR="00D7057C" w:rsidRPr="00D7057C" w:rsidRDefault="00D7057C" w:rsidP="002756B1">
            <w:pPr>
              <w:pStyle w:val="Els-body-text"/>
              <w:jc w:val="center"/>
            </w:pPr>
            <w:r w:rsidRPr="00D7057C">
              <w:rPr>
                <w:noProof/>
              </w:rPr>
              <w:drawing>
                <wp:inline distT="0" distB="0" distL="0" distR="0" wp14:anchorId="0E8D9ABC" wp14:editId="1D3F63EA">
                  <wp:extent cx="1919637" cy="1490218"/>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19637" cy="1490218"/>
                          </a:xfrm>
                          <a:prstGeom prst="rect">
                            <a:avLst/>
                          </a:prstGeom>
                          <a:noFill/>
                          <a:ln>
                            <a:noFill/>
                          </a:ln>
                        </pic:spPr>
                      </pic:pic>
                    </a:graphicData>
                  </a:graphic>
                </wp:inline>
              </w:drawing>
            </w:r>
          </w:p>
        </w:tc>
      </w:tr>
      <w:tr w:rsidR="00D7057C" w:rsidRPr="00D7057C" w14:paraId="70442F89" w14:textId="77777777" w:rsidTr="002756B1">
        <w:tc>
          <w:tcPr>
            <w:tcW w:w="3374" w:type="dxa"/>
          </w:tcPr>
          <w:p w14:paraId="3DFEBA77" w14:textId="7E7391DE" w:rsidR="00D7057C" w:rsidRPr="00D7057C" w:rsidRDefault="00177E58" w:rsidP="006618B2">
            <w:pPr>
              <w:pStyle w:val="Els-body-text"/>
              <w:spacing w:after="120"/>
              <w:jc w:val="center"/>
            </w:pPr>
            <w:r>
              <w:rPr>
                <w:sz w:val="16"/>
                <w:szCs w:val="18"/>
              </w:rPr>
              <w:t>(c)</w:t>
            </w:r>
            <w:r w:rsidR="00D7057C" w:rsidRPr="00D7057C">
              <w:rPr>
                <w:sz w:val="16"/>
                <w:szCs w:val="18"/>
              </w:rPr>
              <w:t xml:space="preserve"> Total turbine power </w:t>
            </w:r>
          </w:p>
        </w:tc>
      </w:tr>
      <w:tr w:rsidR="00177E58" w:rsidRPr="00D7057C" w14:paraId="6849D34D" w14:textId="77777777" w:rsidTr="002756B1">
        <w:tc>
          <w:tcPr>
            <w:tcW w:w="3374" w:type="dxa"/>
          </w:tcPr>
          <w:p w14:paraId="613C7B0F" w14:textId="321DC8FD" w:rsidR="00177E58" w:rsidRPr="00D7057C" w:rsidRDefault="00177E58" w:rsidP="002756B1">
            <w:pPr>
              <w:pStyle w:val="Els-body-text"/>
              <w:spacing w:after="120"/>
              <w:rPr>
                <w:sz w:val="16"/>
                <w:szCs w:val="18"/>
              </w:rPr>
            </w:pPr>
            <w:r>
              <w:rPr>
                <w:sz w:val="16"/>
                <w:szCs w:val="18"/>
              </w:rPr>
              <w:t>Figure 2</w:t>
            </w:r>
            <w:r w:rsidR="00BB0CAC">
              <w:rPr>
                <w:sz w:val="16"/>
                <w:szCs w:val="18"/>
              </w:rPr>
              <w:t>.</w:t>
            </w:r>
            <w:r>
              <w:rPr>
                <w:sz w:val="16"/>
                <w:szCs w:val="18"/>
              </w:rPr>
              <w:t xml:space="preserve"> Equipment size </w:t>
            </w:r>
            <w:r w:rsidRPr="00D7057C">
              <w:rPr>
                <w:sz w:val="16"/>
                <w:szCs w:val="18"/>
              </w:rPr>
              <w:t xml:space="preserve"> for different electricity price profiles and reservoir cost assumptions</w:t>
            </w:r>
            <w:r>
              <w:rPr>
                <w:sz w:val="16"/>
                <w:szCs w:val="18"/>
              </w:rPr>
              <w:t xml:space="preserve">. </w:t>
            </w:r>
            <w:r w:rsidR="00574E97">
              <w:rPr>
                <w:sz w:val="16"/>
                <w:szCs w:val="18"/>
              </w:rPr>
              <w:t>Reservoir capex was normalized to 84 EUR/m³, SD of electricity prices to the SD of the electricity prices in May 2019</w:t>
            </w:r>
            <w:r w:rsidR="00BB0CAC">
              <w:rPr>
                <w:sz w:val="16"/>
                <w:szCs w:val="18"/>
              </w:rPr>
              <w:t>.</w:t>
            </w:r>
          </w:p>
        </w:tc>
      </w:tr>
    </w:tbl>
    <w:p w14:paraId="00CE061F" w14:textId="0795CA8F" w:rsidR="004E0BAF" w:rsidRDefault="005D59C8" w:rsidP="00E433A2">
      <w:pPr>
        <w:pStyle w:val="Els-body-text"/>
      </w:pPr>
      <w:r>
        <w:rPr>
          <w:b/>
          <w:bCs/>
        </w:rPr>
        <w:t xml:space="preserve">Operation. </w:t>
      </w:r>
      <w:r w:rsidRPr="00240199">
        <w:t>As the</w:t>
      </w:r>
      <w:r>
        <w:rPr>
          <w:b/>
          <w:bCs/>
        </w:rPr>
        <w:t xml:space="preserve"> </w:t>
      </w:r>
      <w:r w:rsidRPr="00240199">
        <w:t>flow r</w:t>
      </w:r>
      <w:r>
        <w:t xml:space="preserve">ate varies in each timestep, also the efficiency of turbo-machinery varies over time. In Table </w:t>
      </w:r>
      <w:r w:rsidR="003D12CC">
        <w:t>2</w:t>
      </w:r>
      <w:r>
        <w:t xml:space="preserve"> we reported the average efficiencies alongside the minimum and maximum efficiencies that occurred over the time horizon</w:t>
      </w:r>
      <w:r w:rsidR="00435E63">
        <w:t xml:space="preserve"> for three electricity-price-capex combinations</w:t>
      </w:r>
      <w:r>
        <w:t xml:space="preserve">. </w:t>
      </w:r>
      <w:r w:rsidRPr="00E30193">
        <w:t>The round trip efficiency aligns well with conventional pumped</w:t>
      </w:r>
      <w:r w:rsidR="005D7E6B">
        <w:t>-</w:t>
      </w:r>
      <w:r w:rsidRPr="00E30193">
        <w:t>hydro systems and is consistent with findings from previous reports on offshore pumped</w:t>
      </w:r>
      <w:r w:rsidR="005D7E6B">
        <w:t>-</w:t>
      </w:r>
      <w:r w:rsidRPr="00E30193">
        <w:t xml:space="preserve">hydro systems </w:t>
      </w:r>
      <w:r w:rsidR="00C750BA">
        <w:fldChar w:fldCharType="begin" w:fldLock="1"/>
      </w:r>
      <w:r w:rsidR="004E18AE">
        <w:instrText xml:space="preserve">ADDIN CSL_CITATION {"citationItems":[{"id":"ITEM-1","itemData":{"DOI":"10.1016/j.est.2023.109374","abstract":"A R T I C L E I N F O Keywords: Pumped hydro storage Energy storage system Underwater energy storage Offshore energy storage Renewable energy A B S T R A C T We introduce a novel offshore pumped hydro energy storage system, the Ocean Battery, which can be integrated with variable renewable energy sources to provide bulk energy storage. Its working principle is based on that of conventional pumped hydro storage with notable differences: the Ocean Battery is installed on the seabed, is powered by the hydrostatic pressure at the depth of deployment, and uses conditioned water as a working fluid within a closed hydraulic system to minimize the effects of corrosion and biofouling on the internal system. Herein we focus on the novel aspects of the Ocean Battery to investigate their effects on performance relative to that of conventional pumped hydro storage. Specifically, we present an analytical model that accounts for energy losses in the hydraulic system to predict pressures and flow velocities under different operating conditions and validate model predictions with measurements performed on an experimental small-scale prototype deployed in a relevant sea environment. Following validation, we use the model to estimate the round-trip efficiency of a scaled-up hydraulic system connected to pumps and turbines working at peak efficiencies, with the latter adopted from literature. The round-trip efficiency of such a scaled-up system is shown to be comparable to that of conventional pumped hydro storage.","author":[{"dropping-particle":"","family":"Nienhuis","given":"R M","non-dropping-particle":"","parse-names":false,"suffix":""},{"dropping-particle":"","family":"Rooij","given":"M","non-dropping-particle":"Van","parse-names":false,"suffix":""},{"dropping-particle":"","family":"Prins","given":"W A","non-dropping-particle":"","parse-names":false,"suffix":""},{"dropping-particle":"","family":"Jayawardhana","given":"B","non-dropping-particle":"","parse-names":false,"suffix":""},{"dropping-particle":"","family":"Vakis","given":"A I","non-dropping-particle":"","parse-names":false,"suffix":""}],"container-title":"Journal of Energy Storage","id":"ITEM-1","issued":{"date-parts":[["2023"]]},"page":"2352-152","title":"Investigating the efficiency of a novel offshore pumped hydro energy storage system: Experimental study on a scale prototype </w:instrText>
      </w:r>
      <w:r w:rsidR="004E18AE">
        <w:rPr>
          <w:rFonts w:ascii="Segoe UI Symbol" w:hAnsi="Segoe UI Symbol" w:cs="Segoe UI Symbol"/>
        </w:rPr>
        <w:instrText>✩</w:instrText>
      </w:r>
      <w:r w:rsidR="004E18AE">
        <w:instrText>","type":"article-journal","volume":"74"},"uris":["http://www.mendeley.com/documents/?uuid=43b82737-2d3d-3468-b2d0-7248515d677c"]}],"mendeley":{"formattedCitation":"(Nienhuis et al., 2023)","plainTextFormattedCitation":"(Nienhuis et al., 2023)","previouslyFormattedCitation":"(Nienhuis et al., 2023)"},"properties":{"noteIndex":0},"schema":"https://github.com/citation-style-language/schema/raw/master/csl-citation.json"}</w:instrText>
      </w:r>
      <w:r w:rsidR="00C750BA">
        <w:fldChar w:fldCharType="separate"/>
      </w:r>
      <w:r w:rsidR="00C750BA" w:rsidRPr="00C750BA">
        <w:rPr>
          <w:noProof/>
        </w:rPr>
        <w:t>(Nienhuis et al., 2023)</w:t>
      </w:r>
      <w:r w:rsidR="00C750BA">
        <w:fldChar w:fldCharType="end"/>
      </w:r>
      <w:r w:rsidRPr="00E30193">
        <w:t>.</w:t>
      </w:r>
      <w:r>
        <w:t xml:space="preserve"> Notably, </w:t>
      </w:r>
      <w:r w:rsidR="00D87243">
        <w:t>adding the load factors for</w:t>
      </w:r>
      <w:r>
        <w:t xml:space="preserve"> pumps and turbines </w:t>
      </w:r>
      <w:r w:rsidR="00E21958">
        <w:t>indicate</w:t>
      </w:r>
      <w:r w:rsidR="00D00F66">
        <w:t>s</w:t>
      </w:r>
      <w:r w:rsidR="00E21958">
        <w:t xml:space="preserve"> that the system is </w:t>
      </w:r>
      <w:r>
        <w:t xml:space="preserve">almost </w:t>
      </w:r>
      <w:r w:rsidR="00E21958">
        <w:t xml:space="preserve">in </w:t>
      </w:r>
      <w:r>
        <w:t>continuous operation. This also suggests that the system, at least from a purely economic perspective, is suitable for short-term</w:t>
      </w:r>
      <w:r w:rsidR="002272E9">
        <w:t xml:space="preserve"> storage</w:t>
      </w:r>
      <w:r>
        <w:t>.</w:t>
      </w:r>
      <w:r w:rsidR="00924E7F">
        <w:t xml:space="preserve"> The storage system is thus constantly charged and discharged</w:t>
      </w:r>
      <w:r w:rsidR="00083017">
        <w:t xml:space="preserve">, reaching </w:t>
      </w:r>
      <w:r w:rsidR="00C204A3">
        <w:t xml:space="preserve">up to </w:t>
      </w:r>
      <w:r w:rsidR="007251F4">
        <w:t xml:space="preserve">4 full </w:t>
      </w:r>
      <w:r w:rsidR="008E3B80">
        <w:t>cycles per day.</w:t>
      </w:r>
      <w:r w:rsidR="008F72A1">
        <w:t xml:space="preserve"> The system </w:t>
      </w:r>
      <w:r w:rsidR="00682110" w:rsidRPr="00682110">
        <w:t xml:space="preserve">capitalizes </w:t>
      </w:r>
      <w:r w:rsidR="00682110">
        <w:t>on</w:t>
      </w:r>
      <w:r w:rsidR="008F72A1">
        <w:t xml:space="preserve"> the modularity of pumps and turbines</w:t>
      </w:r>
      <w:r w:rsidR="009B1852">
        <w:t xml:space="preserve">: </w:t>
      </w:r>
      <w:r w:rsidR="00A54C74">
        <w:t>R</w:t>
      </w:r>
      <w:r w:rsidR="00C43F1E">
        <w:t>ather than</w:t>
      </w:r>
      <w:r w:rsidR="009B1852">
        <w:t xml:space="preserve"> operating all available machines </w:t>
      </w:r>
      <w:r w:rsidR="00C43F1E">
        <w:t>at</w:t>
      </w:r>
      <w:r w:rsidR="009B1852">
        <w:t xml:space="preserve"> part-load</w:t>
      </w:r>
      <w:r w:rsidR="003752F8">
        <w:t xml:space="preserve"> </w:t>
      </w:r>
      <w:r w:rsidR="00FE4BD4">
        <w:t xml:space="preserve">it is optimal to switch some machines off and operate the </w:t>
      </w:r>
      <w:r w:rsidR="00C43F1E" w:rsidRPr="00682110">
        <w:t xml:space="preserve">remaining ones </w:t>
      </w:r>
      <w:r w:rsidR="00FE4BD4">
        <w:t xml:space="preserve">at a higher flow rate to </w:t>
      </w:r>
      <w:r w:rsidR="00C43F1E" w:rsidRPr="00682110">
        <w:t>achieve improved overall efficiency</w:t>
      </w:r>
      <w:r w:rsidR="00FE4BD4">
        <w:t>.</w:t>
      </w:r>
    </w:p>
    <w:tbl>
      <w:tblPr>
        <w:tblStyle w:val="TableGrid"/>
        <w:tblpPr w:leftFromText="181" w:rightFromText="181" w:horzAnchor="margin" w:tblpXSpec="center" w:tblpYSpec="bottom"/>
        <w:tblOverlap w:val="never"/>
        <w:tblW w:w="0" w:type="auto"/>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709"/>
        <w:gridCol w:w="284"/>
        <w:gridCol w:w="708"/>
        <w:gridCol w:w="1276"/>
        <w:gridCol w:w="851"/>
        <w:gridCol w:w="748"/>
        <w:gridCol w:w="724"/>
        <w:gridCol w:w="716"/>
        <w:gridCol w:w="469"/>
        <w:gridCol w:w="601"/>
      </w:tblGrid>
      <w:tr w:rsidR="004E0BAF" w:rsidRPr="00D7057C" w14:paraId="3BC7BA8A" w14:textId="77777777">
        <w:tc>
          <w:tcPr>
            <w:tcW w:w="7086" w:type="dxa"/>
            <w:gridSpan w:val="10"/>
            <w:tcBorders>
              <w:top w:val="nil"/>
              <w:bottom w:val="single" w:sz="4" w:space="0" w:color="auto"/>
            </w:tcBorders>
          </w:tcPr>
          <w:p w14:paraId="7ACD9485" w14:textId="77777777" w:rsidR="004E0BAF" w:rsidRPr="00D7057C" w:rsidRDefault="004E0BAF">
            <w:pPr>
              <w:pStyle w:val="Els-1storder-head"/>
              <w:numPr>
                <w:ilvl w:val="0"/>
                <w:numId w:val="0"/>
              </w:numPr>
              <w:spacing w:before="120" w:after="0" w:line="240" w:lineRule="auto"/>
              <w:rPr>
                <w:b w:val="0"/>
                <w:sz w:val="16"/>
                <w:szCs w:val="16"/>
              </w:rPr>
            </w:pPr>
            <w:r w:rsidRPr="00D7057C">
              <w:rPr>
                <w:b w:val="0"/>
                <w:sz w:val="16"/>
                <w:szCs w:val="16"/>
              </w:rPr>
              <w:t>Table 2. Performance and cost results of three highlighted scenarios.</w:t>
            </w:r>
          </w:p>
        </w:tc>
      </w:tr>
      <w:tr w:rsidR="004E0BAF" w:rsidRPr="00D7057C" w14:paraId="13C83FBB" w14:textId="77777777" w:rsidTr="00154C38">
        <w:tc>
          <w:tcPr>
            <w:tcW w:w="993" w:type="dxa"/>
            <w:gridSpan w:val="2"/>
            <w:tcBorders>
              <w:top w:val="single" w:sz="4" w:space="0" w:color="auto"/>
              <w:bottom w:val="single" w:sz="4" w:space="0" w:color="auto"/>
            </w:tcBorders>
          </w:tcPr>
          <w:p w14:paraId="784C07B0"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Scenario</w:t>
            </w:r>
          </w:p>
        </w:tc>
        <w:tc>
          <w:tcPr>
            <w:tcW w:w="2835" w:type="dxa"/>
            <w:gridSpan w:val="3"/>
            <w:tcBorders>
              <w:top w:val="single" w:sz="4" w:space="0" w:color="auto"/>
              <w:bottom w:val="single" w:sz="4" w:space="0" w:color="auto"/>
            </w:tcBorders>
          </w:tcPr>
          <w:p w14:paraId="17CFD6B0"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Performance</w:t>
            </w:r>
          </w:p>
        </w:tc>
        <w:tc>
          <w:tcPr>
            <w:tcW w:w="2188" w:type="dxa"/>
            <w:gridSpan w:val="3"/>
            <w:tcBorders>
              <w:top w:val="single" w:sz="4" w:space="0" w:color="auto"/>
              <w:bottom w:val="single" w:sz="4" w:space="0" w:color="auto"/>
            </w:tcBorders>
          </w:tcPr>
          <w:p w14:paraId="1B6BD935"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Economics</w:t>
            </w:r>
          </w:p>
        </w:tc>
        <w:tc>
          <w:tcPr>
            <w:tcW w:w="1070" w:type="dxa"/>
            <w:gridSpan w:val="2"/>
            <w:tcBorders>
              <w:top w:val="single" w:sz="4" w:space="0" w:color="auto"/>
              <w:bottom w:val="single" w:sz="4" w:space="0" w:color="auto"/>
            </w:tcBorders>
          </w:tcPr>
          <w:p w14:paraId="137893BC"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Load Factor</w:t>
            </w:r>
          </w:p>
        </w:tc>
      </w:tr>
      <w:tr w:rsidR="004E0BAF" w:rsidRPr="00D7057C" w14:paraId="34920425" w14:textId="77777777" w:rsidTr="00154C38">
        <w:tc>
          <w:tcPr>
            <w:tcW w:w="709" w:type="dxa"/>
            <w:tcBorders>
              <w:top w:val="single" w:sz="4" w:space="0" w:color="auto"/>
              <w:bottom w:val="single" w:sz="4" w:space="0" w:color="auto"/>
            </w:tcBorders>
            <w:vAlign w:val="center"/>
          </w:tcPr>
          <w:p w14:paraId="0441B7C3" w14:textId="1C5643F6" w:rsidR="004E0BAF" w:rsidRPr="00EA2A36" w:rsidRDefault="00EA5FC3" w:rsidP="00A54C74">
            <w:pPr>
              <w:pStyle w:val="Els-body-text"/>
              <w:spacing w:before="60" w:after="60"/>
              <w:jc w:val="center"/>
              <w:rPr>
                <w:b/>
                <w:sz w:val="14"/>
                <w:szCs w:val="14"/>
                <w:lang w:val="en-GB"/>
              </w:rPr>
            </w:pPr>
            <w:r>
              <w:rPr>
                <w:b/>
                <w:sz w:val="14"/>
                <w:szCs w:val="14"/>
                <w:lang w:val="en-GB"/>
              </w:rPr>
              <w:t>Reservoir</w:t>
            </w:r>
            <w:r>
              <w:rPr>
                <w:b/>
                <w:sz w:val="14"/>
                <w:szCs w:val="14"/>
                <w:lang w:val="en-GB"/>
              </w:rPr>
              <w:br/>
            </w:r>
            <w:r w:rsidR="004E0BAF" w:rsidRPr="00EA2A36">
              <w:rPr>
                <w:b/>
                <w:sz w:val="14"/>
                <w:szCs w:val="14"/>
                <w:lang w:val="en-GB"/>
              </w:rPr>
              <w:t>CAPEX</w:t>
            </w:r>
          </w:p>
        </w:tc>
        <w:tc>
          <w:tcPr>
            <w:tcW w:w="284" w:type="dxa"/>
            <w:tcBorders>
              <w:top w:val="single" w:sz="4" w:space="0" w:color="auto"/>
              <w:bottom w:val="single" w:sz="4" w:space="0" w:color="auto"/>
            </w:tcBorders>
            <w:vAlign w:val="center"/>
          </w:tcPr>
          <w:p w14:paraId="68336A9C"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SD</w:t>
            </w:r>
          </w:p>
        </w:tc>
        <w:tc>
          <w:tcPr>
            <w:tcW w:w="708" w:type="dxa"/>
            <w:tcBorders>
              <w:top w:val="single" w:sz="4" w:space="0" w:color="auto"/>
              <w:bottom w:val="single" w:sz="4" w:space="0" w:color="auto"/>
            </w:tcBorders>
            <w:vAlign w:val="center"/>
          </w:tcPr>
          <w:p w14:paraId="178DDA69"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Pump efficiency (mean)</w:t>
            </w:r>
          </w:p>
        </w:tc>
        <w:tc>
          <w:tcPr>
            <w:tcW w:w="1276" w:type="dxa"/>
            <w:tcBorders>
              <w:top w:val="single" w:sz="4" w:space="0" w:color="auto"/>
              <w:bottom w:val="single" w:sz="4" w:space="0" w:color="auto"/>
            </w:tcBorders>
            <w:vAlign w:val="center"/>
          </w:tcPr>
          <w:p w14:paraId="3800ABA9"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Turbine efficiency</w:t>
            </w:r>
            <w:r w:rsidRPr="00EA2A36">
              <w:rPr>
                <w:b/>
                <w:sz w:val="14"/>
                <w:szCs w:val="14"/>
                <w:lang w:val="en-GB"/>
              </w:rPr>
              <w:br/>
              <w:t>(mean)</w:t>
            </w:r>
          </w:p>
        </w:tc>
        <w:tc>
          <w:tcPr>
            <w:tcW w:w="851" w:type="dxa"/>
            <w:tcBorders>
              <w:top w:val="single" w:sz="4" w:space="0" w:color="auto"/>
              <w:bottom w:val="single" w:sz="4" w:space="0" w:color="auto"/>
            </w:tcBorders>
            <w:vAlign w:val="center"/>
          </w:tcPr>
          <w:p w14:paraId="0CC6511B"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Average roundtrip efficiency</w:t>
            </w:r>
          </w:p>
        </w:tc>
        <w:tc>
          <w:tcPr>
            <w:tcW w:w="748" w:type="dxa"/>
            <w:tcBorders>
              <w:top w:val="single" w:sz="4" w:space="0" w:color="auto"/>
              <w:bottom w:val="single" w:sz="4" w:space="0" w:color="auto"/>
            </w:tcBorders>
            <w:vAlign w:val="center"/>
          </w:tcPr>
          <w:p w14:paraId="2F224310"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Monthly costs [k€]</w:t>
            </w:r>
          </w:p>
        </w:tc>
        <w:tc>
          <w:tcPr>
            <w:tcW w:w="724" w:type="dxa"/>
            <w:tcBorders>
              <w:top w:val="single" w:sz="4" w:space="0" w:color="auto"/>
              <w:bottom w:val="single" w:sz="4" w:space="0" w:color="auto"/>
            </w:tcBorders>
            <w:vAlign w:val="center"/>
          </w:tcPr>
          <w:p w14:paraId="507396E0"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Monthly revenues [k€]</w:t>
            </w:r>
          </w:p>
        </w:tc>
        <w:tc>
          <w:tcPr>
            <w:tcW w:w="716" w:type="dxa"/>
            <w:tcBorders>
              <w:top w:val="single" w:sz="4" w:space="0" w:color="auto"/>
              <w:bottom w:val="single" w:sz="4" w:space="0" w:color="auto"/>
            </w:tcBorders>
            <w:vAlign w:val="center"/>
          </w:tcPr>
          <w:p w14:paraId="7D6FF5F3"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 xml:space="preserve">Upfront costs </w:t>
            </w:r>
            <w:r w:rsidRPr="00EA2A36">
              <w:rPr>
                <w:b/>
                <w:sz w:val="14"/>
                <w:szCs w:val="14"/>
                <w:lang w:val="en-GB"/>
              </w:rPr>
              <w:br/>
              <w:t>[k€/MWh]</w:t>
            </w:r>
          </w:p>
        </w:tc>
        <w:tc>
          <w:tcPr>
            <w:tcW w:w="469" w:type="dxa"/>
            <w:tcBorders>
              <w:top w:val="single" w:sz="4" w:space="0" w:color="auto"/>
              <w:bottom w:val="single" w:sz="4" w:space="0" w:color="auto"/>
            </w:tcBorders>
            <w:vAlign w:val="center"/>
          </w:tcPr>
          <w:p w14:paraId="4B3B5EAB"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Pumps</w:t>
            </w:r>
          </w:p>
        </w:tc>
        <w:tc>
          <w:tcPr>
            <w:tcW w:w="601" w:type="dxa"/>
            <w:tcBorders>
              <w:top w:val="single" w:sz="4" w:space="0" w:color="auto"/>
              <w:bottom w:val="single" w:sz="4" w:space="0" w:color="auto"/>
            </w:tcBorders>
            <w:vAlign w:val="center"/>
          </w:tcPr>
          <w:p w14:paraId="3FAB9578" w14:textId="77777777" w:rsidR="004E0BAF" w:rsidRPr="00EA2A36" w:rsidRDefault="004E0BAF" w:rsidP="00A54C74">
            <w:pPr>
              <w:pStyle w:val="Els-body-text"/>
              <w:spacing w:before="60" w:after="60"/>
              <w:jc w:val="center"/>
              <w:rPr>
                <w:b/>
                <w:sz w:val="14"/>
                <w:szCs w:val="14"/>
                <w:lang w:val="en-GB"/>
              </w:rPr>
            </w:pPr>
            <w:r w:rsidRPr="00EA2A36">
              <w:rPr>
                <w:b/>
                <w:sz w:val="14"/>
                <w:szCs w:val="14"/>
                <w:lang w:val="en-GB"/>
              </w:rPr>
              <w:t>Turbines</w:t>
            </w:r>
          </w:p>
        </w:tc>
      </w:tr>
      <w:tr w:rsidR="004E0BAF" w:rsidRPr="00D7057C" w14:paraId="0C6DE25D" w14:textId="77777777" w:rsidTr="00154C38">
        <w:tc>
          <w:tcPr>
            <w:tcW w:w="709" w:type="dxa"/>
            <w:tcBorders>
              <w:top w:val="single" w:sz="4" w:space="0" w:color="auto"/>
            </w:tcBorders>
            <w:vAlign w:val="center"/>
          </w:tcPr>
          <w:p w14:paraId="60B5DA54" w14:textId="77777777" w:rsidR="004E0BAF" w:rsidRPr="00EA2A36" w:rsidRDefault="004E0BAF">
            <w:pPr>
              <w:pStyle w:val="Els-body-text"/>
              <w:spacing w:before="40" w:after="40"/>
              <w:jc w:val="center"/>
              <w:rPr>
                <w:sz w:val="14"/>
                <w:szCs w:val="14"/>
                <w:lang w:val="en-GB"/>
              </w:rPr>
            </w:pPr>
            <w:r w:rsidRPr="00EA2A36">
              <w:rPr>
                <w:sz w:val="14"/>
                <w:szCs w:val="14"/>
                <w:lang w:val="en-GB"/>
              </w:rPr>
              <w:t>0.05</w:t>
            </w:r>
          </w:p>
        </w:tc>
        <w:tc>
          <w:tcPr>
            <w:tcW w:w="284" w:type="dxa"/>
            <w:tcBorders>
              <w:top w:val="single" w:sz="4" w:space="0" w:color="auto"/>
            </w:tcBorders>
            <w:vAlign w:val="center"/>
          </w:tcPr>
          <w:p w14:paraId="3B85AF05" w14:textId="77777777" w:rsidR="004E0BAF" w:rsidRPr="00EA2A36" w:rsidRDefault="004E0BAF">
            <w:pPr>
              <w:pStyle w:val="Els-body-text"/>
              <w:spacing w:before="40" w:after="40"/>
              <w:jc w:val="center"/>
              <w:rPr>
                <w:sz w:val="14"/>
                <w:szCs w:val="14"/>
                <w:lang w:val="en-GB"/>
              </w:rPr>
            </w:pPr>
            <w:r w:rsidRPr="00EA2A36">
              <w:rPr>
                <w:sz w:val="14"/>
                <w:szCs w:val="14"/>
                <w:lang w:val="en-GB"/>
              </w:rPr>
              <w:t>4</w:t>
            </w:r>
          </w:p>
        </w:tc>
        <w:tc>
          <w:tcPr>
            <w:tcW w:w="708" w:type="dxa"/>
            <w:tcBorders>
              <w:top w:val="single" w:sz="4" w:space="0" w:color="auto"/>
            </w:tcBorders>
            <w:vAlign w:val="center"/>
          </w:tcPr>
          <w:p w14:paraId="129818E1" w14:textId="77777777" w:rsidR="004E0BAF" w:rsidRPr="00EA2A36" w:rsidRDefault="004E0BAF">
            <w:pPr>
              <w:pStyle w:val="Els-body-text"/>
              <w:spacing w:before="40" w:after="40"/>
              <w:jc w:val="center"/>
              <w:rPr>
                <w:sz w:val="14"/>
                <w:szCs w:val="14"/>
                <w:lang w:val="en-GB"/>
              </w:rPr>
            </w:pPr>
            <w:r w:rsidRPr="00EA2A36">
              <w:rPr>
                <w:sz w:val="14"/>
                <w:szCs w:val="14"/>
                <w:lang w:val="en-GB"/>
              </w:rPr>
              <w:t>0.80 – 0.92</w:t>
            </w:r>
            <w:r>
              <w:rPr>
                <w:bCs/>
                <w:sz w:val="14"/>
                <w:szCs w:val="14"/>
                <w:lang w:val="en-GB"/>
              </w:rPr>
              <w:br/>
            </w:r>
            <w:r w:rsidRPr="00EA2A36">
              <w:rPr>
                <w:sz w:val="14"/>
                <w:szCs w:val="14"/>
                <w:lang w:val="en-GB"/>
              </w:rPr>
              <w:t>(0.92)</w:t>
            </w:r>
          </w:p>
        </w:tc>
        <w:tc>
          <w:tcPr>
            <w:tcW w:w="1276" w:type="dxa"/>
            <w:tcBorders>
              <w:top w:val="single" w:sz="4" w:space="0" w:color="auto"/>
            </w:tcBorders>
            <w:vAlign w:val="center"/>
          </w:tcPr>
          <w:p w14:paraId="6FFF1CD8" w14:textId="77777777" w:rsidR="004E0BAF" w:rsidRPr="00EA2A36" w:rsidRDefault="004E0BAF">
            <w:pPr>
              <w:pStyle w:val="Els-body-text"/>
              <w:spacing w:before="40" w:after="40"/>
              <w:jc w:val="center"/>
              <w:rPr>
                <w:sz w:val="14"/>
                <w:szCs w:val="14"/>
                <w:lang w:val="en-GB"/>
              </w:rPr>
            </w:pPr>
            <w:r w:rsidRPr="00EA2A36">
              <w:rPr>
                <w:sz w:val="14"/>
                <w:szCs w:val="14"/>
                <w:lang w:val="en-GB"/>
              </w:rPr>
              <w:t>0.75 – 0.78</w:t>
            </w:r>
            <w:r>
              <w:rPr>
                <w:bCs/>
                <w:sz w:val="14"/>
                <w:szCs w:val="14"/>
                <w:lang w:val="en-GB"/>
              </w:rPr>
              <w:br/>
            </w:r>
            <w:r w:rsidRPr="00EA2A36">
              <w:rPr>
                <w:sz w:val="14"/>
                <w:szCs w:val="14"/>
                <w:lang w:val="en-GB"/>
              </w:rPr>
              <w:t>(0.78)</w:t>
            </w:r>
          </w:p>
        </w:tc>
        <w:tc>
          <w:tcPr>
            <w:tcW w:w="851" w:type="dxa"/>
            <w:tcBorders>
              <w:top w:val="single" w:sz="4" w:space="0" w:color="auto"/>
            </w:tcBorders>
            <w:vAlign w:val="center"/>
          </w:tcPr>
          <w:p w14:paraId="290271A6" w14:textId="77777777" w:rsidR="004E0BAF" w:rsidRPr="00EA2A36" w:rsidRDefault="004E0BAF">
            <w:pPr>
              <w:pStyle w:val="Els-body-text"/>
              <w:spacing w:before="40" w:after="40"/>
              <w:jc w:val="center"/>
              <w:rPr>
                <w:sz w:val="14"/>
                <w:szCs w:val="14"/>
                <w:lang w:val="en-GB"/>
              </w:rPr>
            </w:pPr>
            <w:r w:rsidRPr="00EA2A36">
              <w:rPr>
                <w:sz w:val="14"/>
                <w:szCs w:val="14"/>
                <w:lang w:val="en-GB"/>
              </w:rPr>
              <w:t>0.71</w:t>
            </w:r>
          </w:p>
        </w:tc>
        <w:tc>
          <w:tcPr>
            <w:tcW w:w="748" w:type="dxa"/>
            <w:tcBorders>
              <w:top w:val="single" w:sz="4" w:space="0" w:color="auto"/>
            </w:tcBorders>
            <w:vAlign w:val="center"/>
          </w:tcPr>
          <w:p w14:paraId="5DCEA56D" w14:textId="77777777" w:rsidR="004E0BAF" w:rsidRPr="00EA2A36" w:rsidRDefault="004E0BAF">
            <w:pPr>
              <w:pStyle w:val="Els-body-text"/>
              <w:spacing w:before="40" w:after="40"/>
              <w:jc w:val="center"/>
              <w:rPr>
                <w:sz w:val="14"/>
                <w:szCs w:val="14"/>
                <w:lang w:val="en-GB"/>
              </w:rPr>
            </w:pPr>
            <w:r w:rsidRPr="00EA2A36">
              <w:rPr>
                <w:sz w:val="14"/>
                <w:szCs w:val="14"/>
                <w:lang w:val="en-GB"/>
              </w:rPr>
              <w:t>47</w:t>
            </w:r>
          </w:p>
        </w:tc>
        <w:tc>
          <w:tcPr>
            <w:tcW w:w="724" w:type="dxa"/>
            <w:tcBorders>
              <w:top w:val="single" w:sz="4" w:space="0" w:color="auto"/>
            </w:tcBorders>
            <w:vAlign w:val="center"/>
          </w:tcPr>
          <w:p w14:paraId="5BAD224F" w14:textId="77777777" w:rsidR="004E0BAF" w:rsidRPr="00EA2A36" w:rsidRDefault="004E0BAF">
            <w:pPr>
              <w:pStyle w:val="Els-body-text"/>
              <w:spacing w:before="40" w:after="40"/>
              <w:jc w:val="center"/>
              <w:rPr>
                <w:sz w:val="14"/>
                <w:szCs w:val="14"/>
                <w:lang w:val="en-GB"/>
              </w:rPr>
            </w:pPr>
            <w:r w:rsidRPr="00EA2A36">
              <w:rPr>
                <w:sz w:val="14"/>
                <w:szCs w:val="14"/>
                <w:lang w:val="en-GB"/>
              </w:rPr>
              <w:t>71</w:t>
            </w:r>
          </w:p>
        </w:tc>
        <w:tc>
          <w:tcPr>
            <w:tcW w:w="716" w:type="dxa"/>
            <w:tcBorders>
              <w:top w:val="single" w:sz="4" w:space="0" w:color="auto"/>
            </w:tcBorders>
            <w:vAlign w:val="center"/>
          </w:tcPr>
          <w:p w14:paraId="1C0A1721" w14:textId="77777777" w:rsidR="004E0BAF" w:rsidRPr="00EA2A36" w:rsidRDefault="004E0BAF">
            <w:pPr>
              <w:pStyle w:val="Els-body-text"/>
              <w:spacing w:before="40" w:after="40"/>
              <w:jc w:val="center"/>
              <w:rPr>
                <w:sz w:val="14"/>
                <w:szCs w:val="14"/>
                <w:lang w:val="en-GB"/>
              </w:rPr>
            </w:pPr>
            <w:r w:rsidRPr="00EA2A36">
              <w:rPr>
                <w:sz w:val="14"/>
                <w:szCs w:val="14"/>
                <w:lang w:val="en-GB"/>
              </w:rPr>
              <w:t>155</w:t>
            </w:r>
          </w:p>
        </w:tc>
        <w:tc>
          <w:tcPr>
            <w:tcW w:w="469" w:type="dxa"/>
            <w:tcBorders>
              <w:top w:val="single" w:sz="4" w:space="0" w:color="auto"/>
            </w:tcBorders>
            <w:vAlign w:val="center"/>
          </w:tcPr>
          <w:p w14:paraId="4A260C14" w14:textId="77777777" w:rsidR="004E0BAF" w:rsidRPr="00EA2A36" w:rsidRDefault="004E0BAF">
            <w:pPr>
              <w:pStyle w:val="Els-body-text"/>
              <w:spacing w:before="40" w:after="40"/>
              <w:jc w:val="center"/>
              <w:rPr>
                <w:sz w:val="14"/>
                <w:szCs w:val="14"/>
                <w:lang w:val="en-GB"/>
              </w:rPr>
            </w:pPr>
            <w:r w:rsidRPr="00EA2A36">
              <w:rPr>
                <w:sz w:val="14"/>
                <w:szCs w:val="14"/>
                <w:lang w:val="en-GB"/>
              </w:rPr>
              <w:t>0.40</w:t>
            </w:r>
          </w:p>
        </w:tc>
        <w:tc>
          <w:tcPr>
            <w:tcW w:w="601" w:type="dxa"/>
            <w:tcBorders>
              <w:top w:val="single" w:sz="4" w:space="0" w:color="auto"/>
            </w:tcBorders>
            <w:vAlign w:val="center"/>
          </w:tcPr>
          <w:p w14:paraId="30AA32DC" w14:textId="77777777" w:rsidR="004E0BAF" w:rsidRPr="00EA2A36" w:rsidRDefault="004E0BAF">
            <w:pPr>
              <w:pStyle w:val="Els-body-text"/>
              <w:spacing w:before="40" w:after="40"/>
              <w:jc w:val="center"/>
              <w:rPr>
                <w:sz w:val="14"/>
                <w:szCs w:val="14"/>
                <w:lang w:val="en-GB"/>
              </w:rPr>
            </w:pPr>
            <w:r w:rsidRPr="00EA2A36">
              <w:rPr>
                <w:sz w:val="14"/>
                <w:szCs w:val="14"/>
                <w:lang w:val="en-GB"/>
              </w:rPr>
              <w:t>0.26</w:t>
            </w:r>
          </w:p>
        </w:tc>
      </w:tr>
      <w:tr w:rsidR="004E0BAF" w:rsidRPr="00D7057C" w14:paraId="0F8DEC86" w14:textId="77777777" w:rsidTr="00154C38">
        <w:tc>
          <w:tcPr>
            <w:tcW w:w="709" w:type="dxa"/>
            <w:vAlign w:val="center"/>
          </w:tcPr>
          <w:p w14:paraId="6E91C55A" w14:textId="77777777" w:rsidR="004E0BAF" w:rsidRPr="00EA2A36" w:rsidRDefault="004E0BAF">
            <w:pPr>
              <w:pStyle w:val="Els-body-text"/>
              <w:spacing w:before="40" w:after="40"/>
              <w:jc w:val="center"/>
              <w:rPr>
                <w:sz w:val="14"/>
                <w:szCs w:val="14"/>
                <w:lang w:val="en-GB"/>
              </w:rPr>
            </w:pPr>
            <w:r w:rsidRPr="00EA2A36">
              <w:rPr>
                <w:sz w:val="14"/>
                <w:szCs w:val="14"/>
                <w:lang w:val="en-GB"/>
              </w:rPr>
              <w:t>0.05</w:t>
            </w:r>
          </w:p>
        </w:tc>
        <w:tc>
          <w:tcPr>
            <w:tcW w:w="284" w:type="dxa"/>
            <w:vAlign w:val="center"/>
          </w:tcPr>
          <w:p w14:paraId="694CF70B" w14:textId="77777777" w:rsidR="004E0BAF" w:rsidRPr="00EA2A36" w:rsidRDefault="004E0BAF">
            <w:pPr>
              <w:pStyle w:val="Els-body-text"/>
              <w:spacing w:before="40" w:after="40"/>
              <w:jc w:val="center"/>
              <w:rPr>
                <w:sz w:val="14"/>
                <w:szCs w:val="14"/>
                <w:lang w:val="en-GB"/>
              </w:rPr>
            </w:pPr>
            <w:r w:rsidRPr="00EA2A36">
              <w:rPr>
                <w:sz w:val="14"/>
                <w:szCs w:val="14"/>
                <w:lang w:val="en-GB"/>
              </w:rPr>
              <w:t>9</w:t>
            </w:r>
          </w:p>
        </w:tc>
        <w:tc>
          <w:tcPr>
            <w:tcW w:w="708" w:type="dxa"/>
            <w:vAlign w:val="center"/>
          </w:tcPr>
          <w:p w14:paraId="48AE49D2" w14:textId="77777777" w:rsidR="004E0BAF" w:rsidRPr="00EA2A36" w:rsidRDefault="004E0BAF">
            <w:pPr>
              <w:pStyle w:val="Els-body-text"/>
              <w:spacing w:before="40" w:after="40"/>
              <w:jc w:val="center"/>
              <w:rPr>
                <w:sz w:val="14"/>
                <w:szCs w:val="14"/>
                <w:lang w:val="en-GB"/>
              </w:rPr>
            </w:pPr>
            <w:r w:rsidRPr="00EA2A36">
              <w:rPr>
                <w:sz w:val="14"/>
                <w:szCs w:val="14"/>
                <w:lang w:val="en-GB"/>
              </w:rPr>
              <w:t>0.44 – 0.92</w:t>
            </w:r>
            <w:r>
              <w:rPr>
                <w:bCs/>
                <w:sz w:val="14"/>
                <w:szCs w:val="14"/>
                <w:lang w:val="en-GB"/>
              </w:rPr>
              <w:br/>
            </w:r>
            <w:r w:rsidRPr="00EA2A36">
              <w:rPr>
                <w:sz w:val="14"/>
                <w:szCs w:val="14"/>
                <w:lang w:val="en-GB"/>
              </w:rPr>
              <w:t>(0.91)</w:t>
            </w:r>
          </w:p>
        </w:tc>
        <w:tc>
          <w:tcPr>
            <w:tcW w:w="1276" w:type="dxa"/>
            <w:vAlign w:val="center"/>
          </w:tcPr>
          <w:p w14:paraId="6152DB8C" w14:textId="77777777" w:rsidR="004E0BAF" w:rsidRPr="00EA2A36" w:rsidRDefault="004E0BAF">
            <w:pPr>
              <w:pStyle w:val="Els-body-text"/>
              <w:spacing w:before="40" w:after="40"/>
              <w:jc w:val="center"/>
              <w:rPr>
                <w:sz w:val="14"/>
                <w:szCs w:val="14"/>
                <w:lang w:val="en-GB"/>
              </w:rPr>
            </w:pPr>
            <w:r w:rsidRPr="00EA2A36">
              <w:rPr>
                <w:sz w:val="14"/>
                <w:szCs w:val="14"/>
                <w:lang w:val="en-GB"/>
              </w:rPr>
              <w:t xml:space="preserve">0.51 </w:t>
            </w:r>
            <w:r w:rsidRPr="00D7057C">
              <w:rPr>
                <w:sz w:val="14"/>
                <w:szCs w:val="14"/>
              </w:rPr>
              <w:t>– 0.83</w:t>
            </w:r>
            <w:r>
              <w:rPr>
                <w:sz w:val="14"/>
                <w:szCs w:val="14"/>
              </w:rPr>
              <w:br/>
            </w:r>
            <w:r w:rsidRPr="00EA2A36">
              <w:rPr>
                <w:sz w:val="14"/>
                <w:szCs w:val="14"/>
                <w:lang w:val="en-GB"/>
              </w:rPr>
              <w:t>(0.77)</w:t>
            </w:r>
          </w:p>
        </w:tc>
        <w:tc>
          <w:tcPr>
            <w:tcW w:w="851" w:type="dxa"/>
            <w:vAlign w:val="center"/>
          </w:tcPr>
          <w:p w14:paraId="42BD7708" w14:textId="77777777" w:rsidR="004E0BAF" w:rsidRPr="00EA2A36" w:rsidRDefault="004E0BAF">
            <w:pPr>
              <w:pStyle w:val="Els-body-text"/>
              <w:spacing w:before="40" w:after="40"/>
              <w:jc w:val="center"/>
              <w:rPr>
                <w:sz w:val="14"/>
                <w:szCs w:val="14"/>
                <w:lang w:val="en-GB"/>
              </w:rPr>
            </w:pPr>
            <w:r w:rsidRPr="00EA2A36">
              <w:rPr>
                <w:sz w:val="14"/>
                <w:szCs w:val="14"/>
                <w:lang w:val="en-GB"/>
              </w:rPr>
              <w:t>0.70</w:t>
            </w:r>
          </w:p>
        </w:tc>
        <w:tc>
          <w:tcPr>
            <w:tcW w:w="748" w:type="dxa"/>
            <w:vAlign w:val="center"/>
          </w:tcPr>
          <w:p w14:paraId="798C3A54" w14:textId="77777777" w:rsidR="004E0BAF" w:rsidRPr="00EA2A36" w:rsidRDefault="004E0BAF">
            <w:pPr>
              <w:pStyle w:val="Els-body-text"/>
              <w:spacing w:before="40" w:after="40"/>
              <w:jc w:val="center"/>
              <w:rPr>
                <w:sz w:val="14"/>
                <w:szCs w:val="14"/>
                <w:lang w:val="en-GB"/>
              </w:rPr>
            </w:pPr>
            <w:r w:rsidRPr="00EA2A36">
              <w:rPr>
                <w:sz w:val="14"/>
                <w:szCs w:val="14"/>
                <w:lang w:val="en-GB"/>
              </w:rPr>
              <w:t>63</w:t>
            </w:r>
          </w:p>
        </w:tc>
        <w:tc>
          <w:tcPr>
            <w:tcW w:w="724" w:type="dxa"/>
            <w:vAlign w:val="center"/>
          </w:tcPr>
          <w:p w14:paraId="13A6B336" w14:textId="77777777" w:rsidR="004E0BAF" w:rsidRPr="00EA2A36" w:rsidRDefault="004E0BAF">
            <w:pPr>
              <w:pStyle w:val="Els-body-text"/>
              <w:spacing w:before="40" w:after="40"/>
              <w:jc w:val="center"/>
              <w:rPr>
                <w:sz w:val="14"/>
                <w:szCs w:val="14"/>
                <w:lang w:val="en-GB"/>
              </w:rPr>
            </w:pPr>
            <w:r w:rsidRPr="00EA2A36">
              <w:rPr>
                <w:sz w:val="14"/>
                <w:szCs w:val="14"/>
                <w:lang w:val="en-GB"/>
              </w:rPr>
              <w:t>225</w:t>
            </w:r>
          </w:p>
        </w:tc>
        <w:tc>
          <w:tcPr>
            <w:tcW w:w="716" w:type="dxa"/>
            <w:vAlign w:val="center"/>
          </w:tcPr>
          <w:p w14:paraId="7D35DA7B" w14:textId="77777777" w:rsidR="004E0BAF" w:rsidRPr="00EA2A36" w:rsidRDefault="004E0BAF">
            <w:pPr>
              <w:pStyle w:val="Els-body-text"/>
              <w:spacing w:before="40" w:after="40"/>
              <w:jc w:val="center"/>
              <w:rPr>
                <w:sz w:val="14"/>
                <w:szCs w:val="14"/>
                <w:lang w:val="en-GB"/>
              </w:rPr>
            </w:pPr>
            <w:r w:rsidRPr="00EA2A36">
              <w:rPr>
                <w:sz w:val="14"/>
                <w:szCs w:val="14"/>
                <w:lang w:val="en-GB"/>
              </w:rPr>
              <w:t>209</w:t>
            </w:r>
          </w:p>
        </w:tc>
        <w:tc>
          <w:tcPr>
            <w:tcW w:w="469" w:type="dxa"/>
            <w:vAlign w:val="center"/>
          </w:tcPr>
          <w:p w14:paraId="160BA5E9" w14:textId="77777777" w:rsidR="004E0BAF" w:rsidRPr="00EA2A36" w:rsidRDefault="004E0BAF">
            <w:pPr>
              <w:pStyle w:val="Els-body-text"/>
              <w:spacing w:before="40" w:after="40"/>
              <w:jc w:val="center"/>
              <w:rPr>
                <w:sz w:val="14"/>
                <w:szCs w:val="14"/>
                <w:lang w:val="en-GB"/>
              </w:rPr>
            </w:pPr>
            <w:r w:rsidRPr="00EA2A36">
              <w:rPr>
                <w:sz w:val="14"/>
                <w:szCs w:val="14"/>
                <w:lang w:val="en-GB"/>
              </w:rPr>
              <w:t>0.52</w:t>
            </w:r>
          </w:p>
        </w:tc>
        <w:tc>
          <w:tcPr>
            <w:tcW w:w="601" w:type="dxa"/>
            <w:vAlign w:val="center"/>
          </w:tcPr>
          <w:p w14:paraId="57E88D9F" w14:textId="77777777" w:rsidR="004E0BAF" w:rsidRPr="00EA2A36" w:rsidRDefault="004E0BAF">
            <w:pPr>
              <w:pStyle w:val="Els-body-text"/>
              <w:spacing w:before="40" w:after="40"/>
              <w:jc w:val="center"/>
              <w:rPr>
                <w:sz w:val="14"/>
                <w:szCs w:val="14"/>
                <w:lang w:val="en-GB"/>
              </w:rPr>
            </w:pPr>
            <w:r w:rsidRPr="00EA2A36">
              <w:rPr>
                <w:sz w:val="14"/>
                <w:szCs w:val="14"/>
                <w:lang w:val="en-GB"/>
              </w:rPr>
              <w:t>0.19</w:t>
            </w:r>
          </w:p>
        </w:tc>
      </w:tr>
      <w:tr w:rsidR="004E0BAF" w:rsidRPr="00D7057C" w14:paraId="47711DE0" w14:textId="77777777" w:rsidTr="00154C38">
        <w:tc>
          <w:tcPr>
            <w:tcW w:w="709" w:type="dxa"/>
            <w:vAlign w:val="center"/>
          </w:tcPr>
          <w:p w14:paraId="52B78966" w14:textId="77777777" w:rsidR="004E0BAF" w:rsidRPr="00EA2A36" w:rsidRDefault="004E0BAF">
            <w:pPr>
              <w:pStyle w:val="Els-body-text"/>
              <w:spacing w:before="40" w:after="40"/>
              <w:jc w:val="center"/>
              <w:rPr>
                <w:sz w:val="14"/>
                <w:szCs w:val="14"/>
                <w:lang w:val="en-GB"/>
              </w:rPr>
            </w:pPr>
            <w:r w:rsidRPr="00EA2A36">
              <w:rPr>
                <w:sz w:val="14"/>
                <w:szCs w:val="14"/>
                <w:lang w:val="en-GB"/>
              </w:rPr>
              <w:t>0.9</w:t>
            </w:r>
          </w:p>
        </w:tc>
        <w:tc>
          <w:tcPr>
            <w:tcW w:w="284" w:type="dxa"/>
            <w:vAlign w:val="center"/>
          </w:tcPr>
          <w:p w14:paraId="661EFB26" w14:textId="77777777" w:rsidR="004E0BAF" w:rsidRPr="00EA2A36" w:rsidRDefault="004E0BAF">
            <w:pPr>
              <w:pStyle w:val="Els-body-text"/>
              <w:spacing w:before="40" w:after="40"/>
              <w:jc w:val="center"/>
              <w:rPr>
                <w:sz w:val="14"/>
                <w:szCs w:val="14"/>
                <w:lang w:val="en-GB"/>
              </w:rPr>
            </w:pPr>
            <w:r w:rsidRPr="00EA2A36">
              <w:rPr>
                <w:sz w:val="14"/>
                <w:szCs w:val="14"/>
                <w:lang w:val="en-GB"/>
              </w:rPr>
              <w:t>9</w:t>
            </w:r>
          </w:p>
        </w:tc>
        <w:tc>
          <w:tcPr>
            <w:tcW w:w="708" w:type="dxa"/>
            <w:vAlign w:val="center"/>
          </w:tcPr>
          <w:p w14:paraId="4D95CCA0" w14:textId="77777777" w:rsidR="004E0BAF" w:rsidRPr="00EA2A36" w:rsidRDefault="004E0BAF">
            <w:pPr>
              <w:pStyle w:val="Els-body-text"/>
              <w:spacing w:before="40" w:after="40"/>
              <w:jc w:val="center"/>
              <w:rPr>
                <w:sz w:val="14"/>
                <w:szCs w:val="14"/>
                <w:lang w:val="en-GB"/>
              </w:rPr>
            </w:pPr>
            <w:r w:rsidRPr="00EA2A36">
              <w:rPr>
                <w:sz w:val="14"/>
                <w:szCs w:val="14"/>
                <w:lang w:val="en-GB"/>
              </w:rPr>
              <w:t>0.20 – 0.92</w:t>
            </w:r>
            <w:r>
              <w:rPr>
                <w:bCs/>
                <w:sz w:val="14"/>
                <w:szCs w:val="14"/>
                <w:lang w:val="en-GB"/>
              </w:rPr>
              <w:br/>
            </w:r>
            <w:r w:rsidRPr="00EA2A36">
              <w:rPr>
                <w:sz w:val="14"/>
                <w:szCs w:val="14"/>
                <w:lang w:val="en-GB"/>
              </w:rPr>
              <w:t>(0.89)</w:t>
            </w:r>
          </w:p>
        </w:tc>
        <w:tc>
          <w:tcPr>
            <w:tcW w:w="1276" w:type="dxa"/>
            <w:vAlign w:val="center"/>
          </w:tcPr>
          <w:p w14:paraId="06D7FE94" w14:textId="77777777" w:rsidR="004E0BAF" w:rsidRPr="00EA2A36" w:rsidRDefault="004E0BAF">
            <w:pPr>
              <w:pStyle w:val="Els-body-text"/>
              <w:spacing w:before="40" w:after="40"/>
              <w:jc w:val="center"/>
              <w:rPr>
                <w:sz w:val="14"/>
                <w:szCs w:val="14"/>
                <w:lang w:val="en-GB"/>
              </w:rPr>
            </w:pPr>
            <w:r w:rsidRPr="00EA2A36">
              <w:rPr>
                <w:sz w:val="14"/>
                <w:szCs w:val="14"/>
                <w:lang w:val="en-GB"/>
              </w:rPr>
              <w:t>0.72 – 0.83</w:t>
            </w:r>
            <w:r>
              <w:rPr>
                <w:bCs/>
                <w:sz w:val="14"/>
                <w:szCs w:val="14"/>
                <w:lang w:val="en-GB"/>
              </w:rPr>
              <w:br/>
            </w:r>
            <w:r w:rsidRPr="00EA2A36">
              <w:rPr>
                <w:sz w:val="14"/>
                <w:szCs w:val="14"/>
                <w:lang w:val="en-GB"/>
              </w:rPr>
              <w:t>(0.78)</w:t>
            </w:r>
          </w:p>
        </w:tc>
        <w:tc>
          <w:tcPr>
            <w:tcW w:w="851" w:type="dxa"/>
            <w:vAlign w:val="center"/>
          </w:tcPr>
          <w:p w14:paraId="274E2F30" w14:textId="77777777" w:rsidR="004E0BAF" w:rsidRPr="00EA2A36" w:rsidRDefault="004E0BAF">
            <w:pPr>
              <w:pStyle w:val="Els-body-text"/>
              <w:spacing w:before="40" w:after="40"/>
              <w:jc w:val="center"/>
              <w:rPr>
                <w:sz w:val="14"/>
                <w:szCs w:val="14"/>
                <w:lang w:val="en-GB"/>
              </w:rPr>
            </w:pPr>
            <w:r w:rsidRPr="00EA2A36">
              <w:rPr>
                <w:sz w:val="14"/>
                <w:szCs w:val="14"/>
                <w:lang w:val="en-GB"/>
              </w:rPr>
              <w:t>0.69</w:t>
            </w:r>
          </w:p>
        </w:tc>
        <w:tc>
          <w:tcPr>
            <w:tcW w:w="748" w:type="dxa"/>
            <w:vAlign w:val="center"/>
          </w:tcPr>
          <w:p w14:paraId="7D74F97C" w14:textId="77777777" w:rsidR="004E0BAF" w:rsidRPr="00EA2A36" w:rsidRDefault="004E0BAF">
            <w:pPr>
              <w:pStyle w:val="Els-body-text"/>
              <w:spacing w:before="40" w:after="40"/>
              <w:jc w:val="center"/>
              <w:rPr>
                <w:sz w:val="14"/>
                <w:szCs w:val="14"/>
                <w:lang w:val="en-GB"/>
              </w:rPr>
            </w:pPr>
            <w:r w:rsidRPr="00EA2A36">
              <w:rPr>
                <w:sz w:val="14"/>
                <w:szCs w:val="14"/>
                <w:lang w:val="en-GB"/>
              </w:rPr>
              <w:t>56</w:t>
            </w:r>
          </w:p>
        </w:tc>
        <w:tc>
          <w:tcPr>
            <w:tcW w:w="724" w:type="dxa"/>
            <w:vAlign w:val="center"/>
          </w:tcPr>
          <w:p w14:paraId="0B93FAF8" w14:textId="77777777" w:rsidR="004E0BAF" w:rsidRPr="00EA2A36" w:rsidRDefault="004E0BAF">
            <w:pPr>
              <w:pStyle w:val="Els-body-text"/>
              <w:spacing w:before="40" w:after="40"/>
              <w:jc w:val="center"/>
              <w:rPr>
                <w:sz w:val="14"/>
                <w:szCs w:val="14"/>
                <w:lang w:val="en-GB"/>
              </w:rPr>
            </w:pPr>
            <w:r w:rsidRPr="00EA2A36">
              <w:rPr>
                <w:sz w:val="14"/>
                <w:szCs w:val="14"/>
                <w:lang w:val="en-GB"/>
              </w:rPr>
              <w:t>92</w:t>
            </w:r>
          </w:p>
        </w:tc>
        <w:tc>
          <w:tcPr>
            <w:tcW w:w="716" w:type="dxa"/>
            <w:vAlign w:val="center"/>
          </w:tcPr>
          <w:p w14:paraId="470FA561" w14:textId="77777777" w:rsidR="004E0BAF" w:rsidRPr="00EA2A36" w:rsidRDefault="004E0BAF">
            <w:pPr>
              <w:pStyle w:val="Els-body-text"/>
              <w:spacing w:before="40" w:after="40"/>
              <w:jc w:val="center"/>
              <w:rPr>
                <w:sz w:val="14"/>
                <w:szCs w:val="14"/>
                <w:lang w:val="en-GB"/>
              </w:rPr>
            </w:pPr>
            <w:r w:rsidRPr="00EA2A36">
              <w:rPr>
                <w:sz w:val="14"/>
                <w:szCs w:val="14"/>
                <w:lang w:val="en-GB"/>
              </w:rPr>
              <w:t>1,552</w:t>
            </w:r>
          </w:p>
        </w:tc>
        <w:tc>
          <w:tcPr>
            <w:tcW w:w="469" w:type="dxa"/>
            <w:vAlign w:val="center"/>
          </w:tcPr>
          <w:p w14:paraId="3E48574D" w14:textId="77777777" w:rsidR="004E0BAF" w:rsidRPr="00EA2A36" w:rsidRDefault="004E0BAF">
            <w:pPr>
              <w:pStyle w:val="Els-body-text"/>
              <w:spacing w:before="40" w:after="40"/>
              <w:jc w:val="center"/>
              <w:rPr>
                <w:sz w:val="14"/>
                <w:szCs w:val="14"/>
                <w:lang w:val="en-GB"/>
              </w:rPr>
            </w:pPr>
            <w:r w:rsidRPr="00EA2A36">
              <w:rPr>
                <w:sz w:val="14"/>
                <w:szCs w:val="14"/>
                <w:lang w:val="en-GB"/>
              </w:rPr>
              <w:t>0.42</w:t>
            </w:r>
          </w:p>
        </w:tc>
        <w:tc>
          <w:tcPr>
            <w:tcW w:w="601" w:type="dxa"/>
            <w:vAlign w:val="center"/>
          </w:tcPr>
          <w:p w14:paraId="7849EF60" w14:textId="77777777" w:rsidR="004E0BAF" w:rsidRPr="00EA2A36" w:rsidRDefault="004E0BAF">
            <w:pPr>
              <w:pStyle w:val="Els-body-text"/>
              <w:spacing w:before="40" w:after="40"/>
              <w:jc w:val="center"/>
              <w:rPr>
                <w:sz w:val="14"/>
                <w:szCs w:val="14"/>
                <w:lang w:val="en-GB"/>
              </w:rPr>
            </w:pPr>
            <w:r w:rsidRPr="00EA2A36">
              <w:rPr>
                <w:sz w:val="14"/>
                <w:szCs w:val="14"/>
                <w:lang w:val="en-GB"/>
              </w:rPr>
              <w:t>0.10</w:t>
            </w:r>
          </w:p>
        </w:tc>
      </w:tr>
    </w:tbl>
    <w:p w14:paraId="5D65454A" w14:textId="77777777" w:rsidR="00E433A2" w:rsidRDefault="00E433A2" w:rsidP="00E433A2">
      <w:pPr>
        <w:pStyle w:val="Els-1storder-head"/>
        <w:rPr>
          <w:lang w:val="en-GB"/>
        </w:rPr>
      </w:pPr>
      <w:r>
        <w:rPr>
          <w:lang w:val="en-GB"/>
        </w:rPr>
        <w:lastRenderedPageBreak/>
        <w:t>Conclusion</w:t>
      </w:r>
    </w:p>
    <w:p w14:paraId="4CA18103" w14:textId="15FD277B" w:rsidR="00E433A2" w:rsidRPr="003D14D0" w:rsidRDefault="00E433A2" w:rsidP="003D14D0">
      <w:pPr>
        <w:pStyle w:val="Els-body-text"/>
      </w:pPr>
      <w:r>
        <w:rPr>
          <w:lang w:val="en-GB"/>
        </w:rPr>
        <w:t xml:space="preserve">This paper </w:t>
      </w:r>
      <w:r w:rsidR="001D2BEA">
        <w:rPr>
          <w:lang w:val="en-GB"/>
        </w:rPr>
        <w:t>proposes</w:t>
      </w:r>
      <w:r>
        <w:rPr>
          <w:lang w:val="en-GB"/>
        </w:rPr>
        <w:t xml:space="preserve"> a mixed-integer linear formulation of a</w:t>
      </w:r>
      <w:r w:rsidR="00852C44">
        <w:rPr>
          <w:lang w:val="en-GB"/>
        </w:rPr>
        <w:t>n offshore</w:t>
      </w:r>
      <w:r>
        <w:rPr>
          <w:lang w:val="en-GB"/>
        </w:rPr>
        <w:t xml:space="preserve"> pumped</w:t>
      </w:r>
      <w:r w:rsidR="005D7E6B">
        <w:rPr>
          <w:lang w:val="en-GB"/>
        </w:rPr>
        <w:t>-</w:t>
      </w:r>
      <w:r>
        <w:rPr>
          <w:lang w:val="en-GB"/>
        </w:rPr>
        <w:t>hydro storage system, capable of optimizing the siz</w:t>
      </w:r>
      <w:r w:rsidR="001D2BEA">
        <w:rPr>
          <w:lang w:val="en-GB"/>
        </w:rPr>
        <w:t>es</w:t>
      </w:r>
      <w:r>
        <w:rPr>
          <w:lang w:val="en-GB"/>
        </w:rPr>
        <w:t xml:space="preserve"> of pumps, turbines and reservoir as well as the</w:t>
      </w:r>
      <w:r w:rsidR="001D2BEA">
        <w:rPr>
          <w:lang w:val="en-GB"/>
        </w:rPr>
        <w:t>ir</w:t>
      </w:r>
      <w:r>
        <w:rPr>
          <w:lang w:val="en-GB"/>
        </w:rPr>
        <w:t xml:space="preserve"> operation. We have applied the model in a case study with </w:t>
      </w:r>
      <w:r w:rsidR="00590158">
        <w:rPr>
          <w:lang w:val="en-GB"/>
        </w:rPr>
        <w:t>a number of scenarios for</w:t>
      </w:r>
      <w:r>
        <w:rPr>
          <w:lang w:val="en-GB"/>
        </w:rPr>
        <w:t xml:space="preserve"> electricity prices and investment costs. As with any other storage system, higher variations in electricity prices make the system more profitable. The system has high round-trip efficiencies comparable to conventional pumped-hydro storage (~70%) with a storage size of up to 32 MWh for a </w:t>
      </w:r>
      <w:r w:rsidR="00A755BD">
        <w:rPr>
          <w:lang w:val="en-GB"/>
        </w:rPr>
        <w:t>sea</w:t>
      </w:r>
      <w:r>
        <w:rPr>
          <w:lang w:val="en-GB"/>
        </w:rPr>
        <w:t xml:space="preserve"> depth of 50 m. In our case study, the system </w:t>
      </w:r>
      <w:r w:rsidR="00F31E36">
        <w:rPr>
          <w:lang w:val="en-GB"/>
        </w:rPr>
        <w:t>runs</w:t>
      </w:r>
      <w:r>
        <w:rPr>
          <w:lang w:val="en-GB"/>
        </w:rPr>
        <w:t xml:space="preserve"> up to 4 full cycles</w:t>
      </w:r>
      <w:r w:rsidR="00D7057C">
        <w:rPr>
          <w:lang w:val="en-GB"/>
        </w:rPr>
        <w:t xml:space="preserve"> per day</w:t>
      </w:r>
      <w:r w:rsidRPr="00D7057C">
        <w:rPr>
          <w:lang w:val="en-GB"/>
        </w:rPr>
        <w:t>.</w:t>
      </w:r>
      <w:r>
        <w:rPr>
          <w:lang w:val="en-GB"/>
        </w:rPr>
        <w:t xml:space="preserve"> If the storage system participate</w:t>
      </w:r>
      <w:r w:rsidR="00852C44">
        <w:rPr>
          <w:lang w:val="en-GB"/>
        </w:rPr>
        <w:t>s</w:t>
      </w:r>
      <w:r>
        <w:rPr>
          <w:lang w:val="en-GB"/>
        </w:rPr>
        <w:t xml:space="preserve"> </w:t>
      </w:r>
      <w:r w:rsidR="00852C44">
        <w:rPr>
          <w:lang w:val="en-GB"/>
        </w:rPr>
        <w:t>i</w:t>
      </w:r>
      <w:r>
        <w:rPr>
          <w:lang w:val="en-GB"/>
        </w:rPr>
        <w:t xml:space="preserve">n the </w:t>
      </w:r>
      <w:r w:rsidR="007A4321">
        <w:rPr>
          <w:lang w:val="en-GB"/>
        </w:rPr>
        <w:t>day-</w:t>
      </w:r>
      <w:r>
        <w:rPr>
          <w:lang w:val="en-GB"/>
        </w:rPr>
        <w:t xml:space="preserve">ahead market </w:t>
      </w:r>
      <w:r w:rsidR="00852C44">
        <w:rPr>
          <w:lang w:val="en-GB"/>
        </w:rPr>
        <w:t xml:space="preserve">exclusively, it is </w:t>
      </w:r>
      <w:r>
        <w:rPr>
          <w:lang w:val="en-GB"/>
        </w:rPr>
        <w:t>unprofitable for 2019 electricity prices</w:t>
      </w:r>
      <w:r w:rsidR="00392FAB">
        <w:rPr>
          <w:lang w:val="en-GB"/>
        </w:rPr>
        <w:t xml:space="preserve"> in the Netherlands</w:t>
      </w:r>
      <w:r>
        <w:rPr>
          <w:lang w:val="en-GB"/>
        </w:rPr>
        <w:t>. However, participating in e.g. balancing or capacity</w:t>
      </w:r>
      <w:r w:rsidR="00392FAB">
        <w:rPr>
          <w:lang w:val="en-GB"/>
        </w:rPr>
        <w:t xml:space="preserve"> markets</w:t>
      </w:r>
      <w:r>
        <w:rPr>
          <w:lang w:val="en-GB"/>
        </w:rPr>
        <w:t xml:space="preserve">, could change this finding. To study this, it would be insightful to include the participation </w:t>
      </w:r>
      <w:r w:rsidR="007A4321">
        <w:rPr>
          <w:lang w:val="en-GB"/>
        </w:rPr>
        <w:t xml:space="preserve">in </w:t>
      </w:r>
      <w:r w:rsidR="00740964">
        <w:rPr>
          <w:lang w:val="en-GB"/>
        </w:rPr>
        <w:t>additional</w:t>
      </w:r>
      <w:r>
        <w:rPr>
          <w:lang w:val="en-GB"/>
        </w:rPr>
        <w:t xml:space="preserve"> markets.</w:t>
      </w:r>
      <w:r w:rsidR="00A755BD">
        <w:rPr>
          <w:lang w:val="en-GB"/>
        </w:rPr>
        <w:t xml:space="preserve"> Additionally, optimizing the combined sizing and operation of a wind farm with storage and transmission to shore could provide insights into </w:t>
      </w:r>
      <w:r w:rsidR="00C829B9">
        <w:rPr>
          <w:lang w:val="en-GB"/>
        </w:rPr>
        <w:t>other</w:t>
      </w:r>
      <w:r w:rsidR="00A755BD">
        <w:rPr>
          <w:lang w:val="en-GB"/>
        </w:rPr>
        <w:t xml:space="preserve"> system benefits</w:t>
      </w:r>
      <w:r w:rsidR="00574E97">
        <w:rPr>
          <w:lang w:val="en-GB"/>
        </w:rPr>
        <w:t xml:space="preserve">. </w:t>
      </w:r>
      <w:r w:rsidRPr="003D14D0">
        <w:t>In future works, the offshore pumped-hydro system will be compared to other storage technologies, such as lithium-ion batteries or hydrogen storage in its potential for emission and cost reduction in an offshore context</w:t>
      </w:r>
      <w:r w:rsidR="001C3619">
        <w:t xml:space="preserve"> and with regards to </w:t>
      </w:r>
      <w:r w:rsidR="00601356">
        <w:t>aging</w:t>
      </w:r>
      <w:r w:rsidRPr="003D14D0">
        <w:t xml:space="preserve">. Additionally, its environmental impact during construction and operation as well as spatial </w:t>
      </w:r>
      <w:r w:rsidR="00B64D01">
        <w:t xml:space="preserve">requirements </w:t>
      </w:r>
      <w:r w:rsidRPr="003D14D0">
        <w:t>will be investigated.</w:t>
      </w:r>
    </w:p>
    <w:p w14:paraId="7513EE9D" w14:textId="39CB2DFB" w:rsidR="00BB37D1" w:rsidRDefault="00BB37D1" w:rsidP="00BB37D1">
      <w:pPr>
        <w:pStyle w:val="Els-1storder-head"/>
        <w:numPr>
          <w:ilvl w:val="0"/>
          <w:numId w:val="0"/>
        </w:numPr>
      </w:pPr>
      <w:r>
        <w:t>Acknowledgements</w:t>
      </w:r>
    </w:p>
    <w:p w14:paraId="7FC2AA53" w14:textId="33A6B7D4" w:rsidR="00BB37D1" w:rsidRPr="00BB37D1" w:rsidRDefault="008A4601" w:rsidP="0070457E">
      <w:pPr>
        <w:pStyle w:val="Els-body-text"/>
      </w:pPr>
      <w:r w:rsidRPr="008A4601">
        <w:t xml:space="preserve">During the preparation of this work the authors used </w:t>
      </w:r>
      <w:proofErr w:type="spellStart"/>
      <w:r>
        <w:t>ChatGPT</w:t>
      </w:r>
      <w:proofErr w:type="spellEnd"/>
      <w:r>
        <w:t xml:space="preserve"> 3.</w:t>
      </w:r>
      <w:r w:rsidR="004C0999">
        <w:t>5</w:t>
      </w:r>
      <w:r w:rsidRPr="008A4601">
        <w:t xml:space="preserve"> </w:t>
      </w:r>
      <w:r w:rsidR="00F640D9">
        <w:t>to e</w:t>
      </w:r>
      <w:r w:rsidR="00F640D9" w:rsidRPr="00F640D9">
        <w:t>nhance readability and refine clarity</w:t>
      </w:r>
      <w:r w:rsidR="00852C44">
        <w:t xml:space="preserve"> of the first draft</w:t>
      </w:r>
      <w:r w:rsidRPr="008A4601">
        <w:t>. After usin</w:t>
      </w:r>
      <w:r w:rsidR="00F640D9">
        <w:t>g</w:t>
      </w:r>
      <w:r w:rsidRPr="008A4601">
        <w:t>, the author</w:t>
      </w:r>
      <w:r w:rsidR="004A4356">
        <w:t>s</w:t>
      </w:r>
      <w:r w:rsidRPr="008A4601">
        <w:t xml:space="preserve"> reviewed and edited the content as needed and take full responsibility </w:t>
      </w:r>
      <w:r w:rsidR="00C65BD6">
        <w:t>for</w:t>
      </w:r>
      <w:r w:rsidRPr="008A4601">
        <w:t xml:space="preserve"> the publication.</w:t>
      </w:r>
      <w:r w:rsidR="00260116" w:rsidRPr="00260116">
        <w:t xml:space="preserve"> </w:t>
      </w:r>
      <w:r w:rsidR="00260116">
        <w:t xml:space="preserve">This work was supported by DOSTA </w:t>
      </w:r>
      <w:r w:rsidR="00190A6C">
        <w:t>(</w:t>
      </w:r>
      <w:r w:rsidR="00260116">
        <w:t xml:space="preserve">project number WIND.2019.002) of the NWO research program </w:t>
      </w:r>
      <w:proofErr w:type="spellStart"/>
      <w:r w:rsidR="00260116">
        <w:t>PhD@Sea</w:t>
      </w:r>
      <w:proofErr w:type="spellEnd"/>
      <w:r w:rsidR="00190A6C">
        <w:t xml:space="preserve">, </w:t>
      </w:r>
      <w:r w:rsidR="00260116">
        <w:t>(partly) financed by the Dutch Research Council (NWO).</w:t>
      </w:r>
      <w:r w:rsidR="00517CED" w:rsidRPr="00517CED">
        <w:t xml:space="preserve"> </w:t>
      </w:r>
      <w:r w:rsidR="00517CED">
        <w:t xml:space="preserve">We are grateful to Ocean Grazer </w:t>
      </w:r>
      <w:r w:rsidR="00A02868">
        <w:t>B.</w:t>
      </w:r>
      <w:r w:rsidR="008B12E0">
        <w:t>V</w:t>
      </w:r>
      <w:r w:rsidR="00A02868">
        <w:t xml:space="preserve">. </w:t>
      </w:r>
      <w:r w:rsidR="00517CED">
        <w:t>for providing support and the opportunity for collaboration.</w:t>
      </w:r>
    </w:p>
    <w:p w14:paraId="74290C61" w14:textId="77777777" w:rsidR="00BB37D1" w:rsidRPr="00BB37D1" w:rsidRDefault="00BB37D1" w:rsidP="0070457E">
      <w:pPr>
        <w:pStyle w:val="Els-body-text"/>
      </w:pPr>
    </w:p>
    <w:p w14:paraId="1C45B69D" w14:textId="77777777" w:rsidR="004E18AE" w:rsidRPr="00492526" w:rsidRDefault="004E18AE">
      <w:pPr>
        <w:rPr>
          <w:b/>
          <w:bCs/>
        </w:rPr>
      </w:pPr>
      <w:r w:rsidRPr="00492526">
        <w:rPr>
          <w:b/>
        </w:rPr>
        <w:t>References</w:t>
      </w:r>
    </w:p>
    <w:p w14:paraId="430B88F8" w14:textId="77777777" w:rsidR="00A7185D" w:rsidRPr="001802E7" w:rsidRDefault="00A7185D" w:rsidP="00250BD2">
      <w:pPr>
        <w:widowControl w:val="0"/>
        <w:autoSpaceDE w:val="0"/>
        <w:autoSpaceDN w:val="0"/>
        <w:adjustRightInd w:val="0"/>
        <w:ind w:left="480" w:hanging="480"/>
        <w:rPr>
          <w:sz w:val="14"/>
          <w:szCs w:val="14"/>
          <w:lang w:val="en-US"/>
        </w:rPr>
        <w:sectPr w:rsidR="00A7185D" w:rsidRPr="001802E7" w:rsidSect="008B0184">
          <w:headerReference w:type="first" r:id="rId15"/>
          <w:type w:val="continuous"/>
          <w:pgSz w:w="11906" w:h="16838" w:code="9"/>
          <w:pgMar w:top="2377" w:right="2410" w:bottom="2892" w:left="2410" w:header="1701" w:footer="2892" w:gutter="0"/>
          <w:cols w:space="720" w:equalWidth="0">
            <w:col w:w="7087"/>
          </w:cols>
          <w:titlePg/>
          <w:docGrid w:linePitch="272"/>
        </w:sectPr>
      </w:pPr>
    </w:p>
    <w:p w14:paraId="0BA7BD29" w14:textId="18312F7D" w:rsidR="00B56FA5" w:rsidRPr="00B56FA5" w:rsidRDefault="003B33D6" w:rsidP="00542867">
      <w:pPr>
        <w:widowControl w:val="0"/>
        <w:autoSpaceDE w:val="0"/>
        <w:autoSpaceDN w:val="0"/>
        <w:adjustRightInd w:val="0"/>
        <w:ind w:left="170" w:hanging="170"/>
        <w:rPr>
          <w:noProof/>
          <w:sz w:val="16"/>
          <w:szCs w:val="24"/>
        </w:rPr>
      </w:pPr>
      <w:r>
        <w:rPr>
          <w:sz w:val="16"/>
          <w:szCs w:val="16"/>
          <w:lang w:val="fr-FR"/>
        </w:rPr>
        <w:fldChar w:fldCharType="begin" w:fldLock="1"/>
      </w:r>
      <w:r w:rsidRPr="00F1379D">
        <w:rPr>
          <w:sz w:val="16"/>
          <w:szCs w:val="16"/>
          <w:lang w:val="en-US"/>
        </w:rPr>
        <w:instrText xml:space="preserve">ADDIN Mendeley Bibliography CSL_BIBLIOGRAPHY </w:instrText>
      </w:r>
      <w:r>
        <w:rPr>
          <w:sz w:val="16"/>
          <w:szCs w:val="16"/>
          <w:lang w:val="fr-FR"/>
        </w:rPr>
        <w:fldChar w:fldCharType="separate"/>
      </w:r>
      <w:r w:rsidR="00B56FA5" w:rsidRPr="00B56FA5">
        <w:rPr>
          <w:noProof/>
          <w:sz w:val="16"/>
          <w:szCs w:val="24"/>
        </w:rPr>
        <w:t xml:space="preserve">Aggidis, G. A., Luchinskaya, E., Rothschild, R., &amp; Howard, D. C. (2010). The costs of small-scale hydro power production: Impact on the development of existing potential. </w:t>
      </w:r>
      <w:r w:rsidR="00B56FA5" w:rsidRPr="00B56FA5">
        <w:rPr>
          <w:i/>
          <w:iCs/>
          <w:noProof/>
          <w:sz w:val="16"/>
          <w:szCs w:val="24"/>
        </w:rPr>
        <w:t>Renewable Energy</w:t>
      </w:r>
      <w:r w:rsidR="00B56FA5" w:rsidRPr="00B56FA5">
        <w:rPr>
          <w:noProof/>
          <w:sz w:val="16"/>
          <w:szCs w:val="24"/>
        </w:rPr>
        <w:t xml:space="preserve">, </w:t>
      </w:r>
      <w:r w:rsidR="00B56FA5" w:rsidRPr="00B56FA5">
        <w:rPr>
          <w:i/>
          <w:iCs/>
          <w:noProof/>
          <w:sz w:val="16"/>
          <w:szCs w:val="24"/>
        </w:rPr>
        <w:t>35</w:t>
      </w:r>
      <w:r w:rsidR="00B56FA5" w:rsidRPr="00B56FA5">
        <w:rPr>
          <w:noProof/>
          <w:sz w:val="16"/>
          <w:szCs w:val="24"/>
        </w:rPr>
        <w:t xml:space="preserve">(12), 2632–2638. </w:t>
      </w:r>
    </w:p>
    <w:p w14:paraId="3D108CAF" w14:textId="31F794B2" w:rsidR="00B56FA5" w:rsidRPr="00B56FA5" w:rsidRDefault="00B56FA5" w:rsidP="00542867">
      <w:pPr>
        <w:widowControl w:val="0"/>
        <w:autoSpaceDE w:val="0"/>
        <w:autoSpaceDN w:val="0"/>
        <w:adjustRightInd w:val="0"/>
        <w:ind w:left="170" w:hanging="170"/>
        <w:rPr>
          <w:noProof/>
          <w:sz w:val="16"/>
          <w:szCs w:val="24"/>
        </w:rPr>
      </w:pPr>
      <w:r w:rsidRPr="00B56FA5">
        <w:rPr>
          <w:noProof/>
          <w:sz w:val="16"/>
          <w:szCs w:val="24"/>
        </w:rPr>
        <w:t xml:space="preserve">Alzohbi, G. (2018). The cost of electromechanical equipment in a small hydropower storage plant. </w:t>
      </w:r>
      <w:r w:rsidRPr="00B56FA5">
        <w:rPr>
          <w:i/>
          <w:iCs/>
          <w:noProof/>
          <w:sz w:val="16"/>
          <w:szCs w:val="24"/>
        </w:rPr>
        <w:t>Journal of Energy Systems</w:t>
      </w:r>
      <w:r w:rsidRPr="00B56FA5">
        <w:rPr>
          <w:noProof/>
          <w:sz w:val="16"/>
          <w:szCs w:val="24"/>
        </w:rPr>
        <w:t xml:space="preserve">, </w:t>
      </w:r>
      <w:r w:rsidRPr="00B56FA5">
        <w:rPr>
          <w:i/>
          <w:iCs/>
          <w:noProof/>
          <w:sz w:val="16"/>
          <w:szCs w:val="24"/>
        </w:rPr>
        <w:t>2</w:t>
      </w:r>
      <w:r w:rsidRPr="00B56FA5">
        <w:rPr>
          <w:noProof/>
          <w:sz w:val="16"/>
          <w:szCs w:val="24"/>
        </w:rPr>
        <w:t xml:space="preserve">(4), 238–259. </w:t>
      </w:r>
    </w:p>
    <w:p w14:paraId="3EF1F7A8" w14:textId="77777777" w:rsidR="00B56FA5" w:rsidRPr="00B56FA5" w:rsidRDefault="00B56FA5" w:rsidP="00542867">
      <w:pPr>
        <w:widowControl w:val="0"/>
        <w:autoSpaceDE w:val="0"/>
        <w:autoSpaceDN w:val="0"/>
        <w:adjustRightInd w:val="0"/>
        <w:ind w:left="170" w:hanging="170"/>
        <w:rPr>
          <w:noProof/>
          <w:sz w:val="16"/>
          <w:szCs w:val="24"/>
        </w:rPr>
      </w:pPr>
      <w:r w:rsidRPr="00B56FA5">
        <w:rPr>
          <w:i/>
          <w:iCs/>
          <w:noProof/>
          <w:sz w:val="16"/>
          <w:szCs w:val="24"/>
        </w:rPr>
        <w:t>Centrifugal Pump (IL)</w:t>
      </w:r>
      <w:r w:rsidRPr="00B56FA5">
        <w:rPr>
          <w:noProof/>
          <w:sz w:val="16"/>
          <w:szCs w:val="24"/>
        </w:rPr>
        <w:t xml:space="preserve"> (R2023a). (2023). The Mathworks, Inc. https://nl.mathworks.com/help/hydro/ref/centrifugalpumpil.html#responsive_offcanvas</w:t>
      </w:r>
    </w:p>
    <w:p w14:paraId="63B6B8F4" w14:textId="77777777" w:rsidR="003B33D6" w:rsidRPr="003B33D6" w:rsidRDefault="003B33D6" w:rsidP="00542867">
      <w:pPr>
        <w:widowControl w:val="0"/>
        <w:autoSpaceDE w:val="0"/>
        <w:autoSpaceDN w:val="0"/>
        <w:adjustRightInd w:val="0"/>
        <w:ind w:left="170" w:hanging="170"/>
        <w:rPr>
          <w:noProof/>
          <w:sz w:val="16"/>
          <w:szCs w:val="24"/>
        </w:rPr>
      </w:pPr>
      <w:proofErr w:type="spellStart"/>
      <w:r w:rsidRPr="006E6886">
        <w:rPr>
          <w:sz w:val="16"/>
          <w:szCs w:val="24"/>
          <w:lang w:val="de-DE"/>
        </w:rPr>
        <w:t>Cornetti</w:t>
      </w:r>
      <w:proofErr w:type="spellEnd"/>
      <w:r w:rsidRPr="006E6886">
        <w:rPr>
          <w:sz w:val="16"/>
          <w:szCs w:val="24"/>
          <w:lang w:val="de-DE"/>
        </w:rPr>
        <w:t xml:space="preserve">, G., &amp; </w:t>
      </w:r>
      <w:proofErr w:type="spellStart"/>
      <w:r w:rsidRPr="006E6886">
        <w:rPr>
          <w:sz w:val="16"/>
          <w:szCs w:val="24"/>
          <w:lang w:val="de-DE"/>
        </w:rPr>
        <w:t>Millo</w:t>
      </w:r>
      <w:proofErr w:type="spellEnd"/>
      <w:r w:rsidRPr="006E6886">
        <w:rPr>
          <w:sz w:val="16"/>
          <w:szCs w:val="24"/>
          <w:lang w:val="de-DE"/>
        </w:rPr>
        <w:t xml:space="preserve">, F. (1989). </w:t>
      </w:r>
      <w:proofErr w:type="spellStart"/>
      <w:r w:rsidRPr="006E6886">
        <w:rPr>
          <w:i/>
          <w:sz w:val="16"/>
          <w:szCs w:val="24"/>
          <w:lang w:val="de-DE"/>
        </w:rPr>
        <w:t>Macchine</w:t>
      </w:r>
      <w:proofErr w:type="spellEnd"/>
      <w:r w:rsidRPr="006E6886">
        <w:rPr>
          <w:i/>
          <w:sz w:val="16"/>
          <w:szCs w:val="24"/>
          <w:lang w:val="de-DE"/>
        </w:rPr>
        <w:t xml:space="preserve"> </w:t>
      </w:r>
      <w:proofErr w:type="spellStart"/>
      <w:r w:rsidRPr="006E6886">
        <w:rPr>
          <w:i/>
          <w:sz w:val="16"/>
          <w:szCs w:val="24"/>
          <w:lang w:val="de-DE"/>
        </w:rPr>
        <w:t>idrauliche</w:t>
      </w:r>
      <w:proofErr w:type="spellEnd"/>
      <w:r w:rsidRPr="006E6886">
        <w:rPr>
          <w:sz w:val="16"/>
          <w:szCs w:val="24"/>
          <w:lang w:val="de-DE"/>
        </w:rPr>
        <w:t xml:space="preserve">. </w:t>
      </w:r>
      <w:r w:rsidRPr="003B33D6">
        <w:rPr>
          <w:noProof/>
          <w:sz w:val="16"/>
          <w:szCs w:val="24"/>
        </w:rPr>
        <w:t>Il Capitello.</w:t>
      </w:r>
    </w:p>
    <w:p w14:paraId="73E24912" w14:textId="77777777" w:rsidR="00B56FA5" w:rsidRPr="00B56FA5" w:rsidRDefault="00B56FA5" w:rsidP="00542867">
      <w:pPr>
        <w:widowControl w:val="0"/>
        <w:autoSpaceDE w:val="0"/>
        <w:autoSpaceDN w:val="0"/>
        <w:adjustRightInd w:val="0"/>
        <w:ind w:left="170" w:hanging="170"/>
        <w:rPr>
          <w:noProof/>
          <w:sz w:val="16"/>
          <w:szCs w:val="24"/>
        </w:rPr>
      </w:pPr>
      <w:r w:rsidRPr="00B56FA5">
        <w:rPr>
          <w:noProof/>
          <w:sz w:val="16"/>
          <w:szCs w:val="24"/>
        </w:rPr>
        <w:t xml:space="preserve">ENTSO-E. (2023). </w:t>
      </w:r>
      <w:r w:rsidRPr="00B56FA5">
        <w:rPr>
          <w:i/>
          <w:iCs/>
          <w:noProof/>
          <w:sz w:val="16"/>
          <w:szCs w:val="24"/>
        </w:rPr>
        <w:t>ENTSO-E Transparency Platform</w:t>
      </w:r>
      <w:r w:rsidRPr="00B56FA5">
        <w:rPr>
          <w:noProof/>
          <w:sz w:val="16"/>
          <w:szCs w:val="24"/>
        </w:rPr>
        <w:t>. https://transparency.entsoe.eu/</w:t>
      </w:r>
    </w:p>
    <w:p w14:paraId="4B1A2EF9" w14:textId="30EC7F36" w:rsidR="00B56FA5" w:rsidRPr="00B56FA5" w:rsidRDefault="00B56FA5" w:rsidP="00542867">
      <w:pPr>
        <w:widowControl w:val="0"/>
        <w:autoSpaceDE w:val="0"/>
        <w:autoSpaceDN w:val="0"/>
        <w:adjustRightInd w:val="0"/>
        <w:ind w:left="170" w:hanging="170"/>
        <w:rPr>
          <w:noProof/>
          <w:sz w:val="16"/>
          <w:szCs w:val="24"/>
        </w:rPr>
      </w:pPr>
      <w:r w:rsidRPr="00B56FA5">
        <w:rPr>
          <w:noProof/>
          <w:sz w:val="16"/>
          <w:szCs w:val="24"/>
        </w:rPr>
        <w:t xml:space="preserve">European Commission. (2020). An EU Strategy to harness the potential of offshore renewable energy for a climate neutral future. In </w:t>
      </w:r>
      <w:r w:rsidRPr="00B56FA5">
        <w:rPr>
          <w:i/>
          <w:iCs/>
          <w:noProof/>
          <w:sz w:val="16"/>
          <w:szCs w:val="24"/>
        </w:rPr>
        <w:t>Communication from the commission to the European parliament, the council, the European economic and social committee and the committee of the regions</w:t>
      </w:r>
      <w:r w:rsidRPr="00B56FA5">
        <w:rPr>
          <w:noProof/>
          <w:sz w:val="16"/>
          <w:szCs w:val="24"/>
        </w:rPr>
        <w:t xml:space="preserve">. </w:t>
      </w:r>
    </w:p>
    <w:p w14:paraId="4688F4FA" w14:textId="592378D1" w:rsidR="003B33D6" w:rsidRPr="003B33D6" w:rsidRDefault="003B33D6" w:rsidP="00542867">
      <w:pPr>
        <w:widowControl w:val="0"/>
        <w:autoSpaceDE w:val="0"/>
        <w:autoSpaceDN w:val="0"/>
        <w:adjustRightInd w:val="0"/>
        <w:ind w:left="170" w:hanging="170"/>
        <w:rPr>
          <w:noProof/>
          <w:sz w:val="16"/>
          <w:szCs w:val="24"/>
        </w:rPr>
      </w:pPr>
      <w:r w:rsidRPr="003B33D6">
        <w:rPr>
          <w:noProof/>
          <w:sz w:val="16"/>
          <w:szCs w:val="24"/>
        </w:rPr>
        <w:t xml:space="preserve">Kumar, A., Schei, T., Ahenkorah, A., Caceres Rodriguez, R., Devernay, J.-M., Freitas, M., Hall, D., Killingtveit, A., &amp; Liu, Z. (2011). Hydropower. </w:t>
      </w:r>
      <w:r w:rsidR="006B1CEF" w:rsidRPr="006B1CEF">
        <w:rPr>
          <w:noProof/>
          <w:sz w:val="16"/>
          <w:szCs w:val="24"/>
        </w:rPr>
        <w:t>In</w:t>
      </w:r>
      <w:r w:rsidRPr="003B33D6">
        <w:rPr>
          <w:noProof/>
          <w:sz w:val="16"/>
          <w:szCs w:val="24"/>
        </w:rPr>
        <w:t xml:space="preserve"> </w:t>
      </w:r>
      <w:r w:rsidRPr="003B33D6">
        <w:rPr>
          <w:i/>
          <w:iCs/>
          <w:noProof/>
          <w:sz w:val="16"/>
          <w:szCs w:val="24"/>
        </w:rPr>
        <w:t>IPCC Special Report on Renewable Energy Sources and Climate Change Mitigation.</w:t>
      </w:r>
      <w:r w:rsidRPr="003B33D6">
        <w:rPr>
          <w:noProof/>
          <w:sz w:val="16"/>
          <w:szCs w:val="24"/>
        </w:rPr>
        <w:t xml:space="preserve"> Cambridge University Press.</w:t>
      </w:r>
    </w:p>
    <w:p w14:paraId="0F2AF197" w14:textId="241D8059" w:rsidR="003B33D6" w:rsidRPr="006E6886" w:rsidRDefault="003B33D6" w:rsidP="00542867">
      <w:pPr>
        <w:widowControl w:val="0"/>
        <w:autoSpaceDE w:val="0"/>
        <w:autoSpaceDN w:val="0"/>
        <w:adjustRightInd w:val="0"/>
        <w:ind w:left="170" w:hanging="170"/>
        <w:rPr>
          <w:sz w:val="16"/>
          <w:szCs w:val="24"/>
          <w:lang w:val="nl-NL"/>
        </w:rPr>
      </w:pPr>
      <w:r w:rsidRPr="003B33D6">
        <w:rPr>
          <w:noProof/>
          <w:sz w:val="16"/>
          <w:szCs w:val="24"/>
        </w:rPr>
        <w:t xml:space="preserve">Laugs, G. A. H., Benders, R. M. J., &amp; Moll, H. C. (2020). Balancing responsibilities: Effects of growth of variable renewable energy, storage, and undue grid interaction. </w:t>
      </w:r>
      <w:r w:rsidRPr="006E6886">
        <w:rPr>
          <w:i/>
          <w:sz w:val="16"/>
          <w:szCs w:val="24"/>
          <w:lang w:val="nl-NL"/>
        </w:rPr>
        <w:t>Energy Policy</w:t>
      </w:r>
      <w:r w:rsidRPr="006E6886">
        <w:rPr>
          <w:sz w:val="16"/>
          <w:szCs w:val="24"/>
          <w:lang w:val="nl-NL"/>
        </w:rPr>
        <w:t xml:space="preserve">, </w:t>
      </w:r>
      <w:r w:rsidRPr="006E6886">
        <w:rPr>
          <w:i/>
          <w:sz w:val="16"/>
          <w:szCs w:val="24"/>
          <w:lang w:val="nl-NL"/>
        </w:rPr>
        <w:t>139</w:t>
      </w:r>
      <w:r w:rsidRPr="006E6886">
        <w:rPr>
          <w:sz w:val="16"/>
          <w:szCs w:val="24"/>
          <w:lang w:val="nl-NL"/>
        </w:rPr>
        <w:t xml:space="preserve">. </w:t>
      </w:r>
    </w:p>
    <w:p w14:paraId="7D82EE5E" w14:textId="1AD1AD40" w:rsidR="00B56FA5" w:rsidRPr="00B56FA5" w:rsidRDefault="00B56FA5" w:rsidP="00542867">
      <w:pPr>
        <w:widowControl w:val="0"/>
        <w:autoSpaceDE w:val="0"/>
        <w:autoSpaceDN w:val="0"/>
        <w:adjustRightInd w:val="0"/>
        <w:ind w:left="170" w:hanging="170"/>
        <w:rPr>
          <w:noProof/>
          <w:sz w:val="16"/>
          <w:szCs w:val="24"/>
        </w:rPr>
      </w:pPr>
      <w:r w:rsidRPr="006E6886">
        <w:rPr>
          <w:noProof/>
          <w:sz w:val="16"/>
          <w:szCs w:val="24"/>
          <w:lang w:val="nl-NL"/>
        </w:rPr>
        <w:t xml:space="preserve">Lazdanaite, E., Nguyen, P., Tran, M.-Q., Bliek, F., &amp; van Rooij, M. (2022). </w:t>
      </w:r>
      <w:r w:rsidRPr="00B56FA5">
        <w:rPr>
          <w:noProof/>
          <w:sz w:val="16"/>
          <w:szCs w:val="24"/>
        </w:rPr>
        <w:t xml:space="preserve">Integration of Pump-Storage Batteries in Offshore Wind Farms: Evaluation of Effects on Power Exchange. </w:t>
      </w:r>
      <w:r w:rsidRPr="00B56FA5">
        <w:rPr>
          <w:i/>
          <w:iCs/>
          <w:noProof/>
          <w:sz w:val="16"/>
          <w:szCs w:val="24"/>
        </w:rPr>
        <w:t>2022 IEEE PES Innovative Smart Grid Technologies - Asia (ISGT Asia)</w:t>
      </w:r>
      <w:r w:rsidRPr="00B56FA5">
        <w:rPr>
          <w:noProof/>
          <w:sz w:val="16"/>
          <w:szCs w:val="24"/>
        </w:rPr>
        <w:t xml:space="preserve">, 210–214. </w:t>
      </w:r>
    </w:p>
    <w:p w14:paraId="22FF750D" w14:textId="78F03EB2" w:rsidR="00B56FA5" w:rsidRPr="006E6886" w:rsidRDefault="00B56FA5" w:rsidP="00542867">
      <w:pPr>
        <w:widowControl w:val="0"/>
        <w:autoSpaceDE w:val="0"/>
        <w:autoSpaceDN w:val="0"/>
        <w:adjustRightInd w:val="0"/>
        <w:ind w:left="170" w:hanging="170"/>
        <w:rPr>
          <w:noProof/>
          <w:sz w:val="16"/>
          <w:szCs w:val="24"/>
          <w:lang w:val="nl-NL"/>
        </w:rPr>
      </w:pPr>
      <w:r w:rsidRPr="00B56FA5">
        <w:rPr>
          <w:noProof/>
          <w:sz w:val="16"/>
          <w:szCs w:val="24"/>
        </w:rPr>
        <w:t xml:space="preserve">Li, B., &amp; DeCarolis, J. F. (2015). A techno-economic assessment of offshore wind coupled to offshore compressed air energy storage. </w:t>
      </w:r>
      <w:r w:rsidRPr="006E6886">
        <w:rPr>
          <w:i/>
          <w:iCs/>
          <w:noProof/>
          <w:sz w:val="16"/>
          <w:szCs w:val="24"/>
          <w:lang w:val="nl-NL"/>
        </w:rPr>
        <w:t>Applied Energy</w:t>
      </w:r>
      <w:r w:rsidRPr="006E6886">
        <w:rPr>
          <w:noProof/>
          <w:sz w:val="16"/>
          <w:szCs w:val="24"/>
          <w:lang w:val="nl-NL"/>
        </w:rPr>
        <w:t xml:space="preserve">, </w:t>
      </w:r>
      <w:r w:rsidRPr="006E6886">
        <w:rPr>
          <w:i/>
          <w:iCs/>
          <w:noProof/>
          <w:sz w:val="16"/>
          <w:szCs w:val="24"/>
          <w:lang w:val="nl-NL"/>
        </w:rPr>
        <w:t>155</w:t>
      </w:r>
      <w:r w:rsidRPr="006E6886">
        <w:rPr>
          <w:noProof/>
          <w:sz w:val="16"/>
          <w:szCs w:val="24"/>
          <w:lang w:val="nl-NL"/>
        </w:rPr>
        <w:t xml:space="preserve">, 315–322. </w:t>
      </w:r>
    </w:p>
    <w:p w14:paraId="3D3A3297" w14:textId="45003C82" w:rsidR="00B56FA5" w:rsidRPr="00B56FA5" w:rsidRDefault="00B56FA5" w:rsidP="00542867">
      <w:pPr>
        <w:widowControl w:val="0"/>
        <w:autoSpaceDE w:val="0"/>
        <w:autoSpaceDN w:val="0"/>
        <w:adjustRightInd w:val="0"/>
        <w:ind w:left="170" w:hanging="170"/>
        <w:rPr>
          <w:noProof/>
          <w:sz w:val="16"/>
          <w:szCs w:val="24"/>
        </w:rPr>
      </w:pPr>
      <w:r w:rsidRPr="006E6886">
        <w:rPr>
          <w:noProof/>
          <w:sz w:val="16"/>
          <w:szCs w:val="24"/>
          <w:lang w:val="nl-NL"/>
        </w:rPr>
        <w:t xml:space="preserve">Nienhuis, R. M., Van Rooij, M., Prins, W. A., Jayawardhana, B., &amp; Vakis, A. I. (2023). </w:t>
      </w:r>
      <w:r w:rsidRPr="00B56FA5">
        <w:rPr>
          <w:noProof/>
          <w:sz w:val="16"/>
          <w:szCs w:val="24"/>
        </w:rPr>
        <w:t xml:space="preserve">Investigating the efficiency of a novel offshore pumped hydro energy storage system: Experimental study on a scale prototype </w:t>
      </w:r>
      <w:r w:rsidRPr="00B56FA5">
        <w:rPr>
          <w:i/>
          <w:iCs/>
          <w:noProof/>
          <w:sz w:val="16"/>
          <w:szCs w:val="24"/>
        </w:rPr>
        <w:t>Journal of Energy Storage</w:t>
      </w:r>
      <w:r w:rsidRPr="00B56FA5">
        <w:rPr>
          <w:noProof/>
          <w:sz w:val="16"/>
          <w:szCs w:val="24"/>
        </w:rPr>
        <w:t xml:space="preserve">, </w:t>
      </w:r>
      <w:r w:rsidRPr="00B56FA5">
        <w:rPr>
          <w:i/>
          <w:iCs/>
          <w:noProof/>
          <w:sz w:val="16"/>
          <w:szCs w:val="24"/>
        </w:rPr>
        <w:t>74</w:t>
      </w:r>
      <w:r w:rsidRPr="00B56FA5">
        <w:rPr>
          <w:noProof/>
          <w:sz w:val="16"/>
          <w:szCs w:val="24"/>
        </w:rPr>
        <w:t xml:space="preserve">, 2352–152. </w:t>
      </w:r>
    </w:p>
    <w:p w14:paraId="7CB38D8A" w14:textId="6DBD0051" w:rsidR="00B56FA5" w:rsidRPr="00B56FA5" w:rsidRDefault="00B56FA5" w:rsidP="00542867">
      <w:pPr>
        <w:widowControl w:val="0"/>
        <w:autoSpaceDE w:val="0"/>
        <w:autoSpaceDN w:val="0"/>
        <w:adjustRightInd w:val="0"/>
        <w:ind w:left="170" w:hanging="170"/>
        <w:rPr>
          <w:noProof/>
          <w:sz w:val="16"/>
        </w:rPr>
      </w:pPr>
      <w:r w:rsidRPr="006E6886">
        <w:rPr>
          <w:noProof/>
          <w:sz w:val="16"/>
          <w:szCs w:val="24"/>
          <w:lang w:val="es-ES"/>
        </w:rPr>
        <w:t xml:space="preserve">Ogayar, B., &amp; Vidal, P. G. (2009). </w:t>
      </w:r>
      <w:r w:rsidRPr="00B56FA5">
        <w:rPr>
          <w:noProof/>
          <w:sz w:val="16"/>
          <w:szCs w:val="24"/>
        </w:rPr>
        <w:t xml:space="preserve">Cost determination of the electro-mechanical equipment of a small hydro-power plant. </w:t>
      </w:r>
      <w:r w:rsidRPr="00B56FA5">
        <w:rPr>
          <w:i/>
          <w:iCs/>
          <w:noProof/>
          <w:sz w:val="16"/>
          <w:szCs w:val="24"/>
        </w:rPr>
        <w:t>Renewable Energy</w:t>
      </w:r>
      <w:r w:rsidRPr="00B56FA5">
        <w:rPr>
          <w:noProof/>
          <w:sz w:val="16"/>
          <w:szCs w:val="24"/>
        </w:rPr>
        <w:t xml:space="preserve">, </w:t>
      </w:r>
      <w:r w:rsidRPr="00B56FA5">
        <w:rPr>
          <w:i/>
          <w:iCs/>
          <w:noProof/>
          <w:sz w:val="16"/>
          <w:szCs w:val="24"/>
        </w:rPr>
        <w:t>34</w:t>
      </w:r>
      <w:r w:rsidRPr="00B56FA5">
        <w:rPr>
          <w:noProof/>
          <w:sz w:val="16"/>
          <w:szCs w:val="24"/>
        </w:rPr>
        <w:t xml:space="preserve">(1), 6–13. </w:t>
      </w:r>
    </w:p>
    <w:p w14:paraId="69479451" w14:textId="6B983FE8" w:rsidR="008D2649" w:rsidRPr="00900BFC" w:rsidRDefault="003B33D6" w:rsidP="00B1276A">
      <w:pPr>
        <w:widowControl w:val="0"/>
        <w:autoSpaceDE w:val="0"/>
        <w:autoSpaceDN w:val="0"/>
        <w:adjustRightInd w:val="0"/>
        <w:ind w:left="113" w:hanging="113"/>
        <w:rPr>
          <w:sz w:val="16"/>
          <w:szCs w:val="16"/>
          <w:lang w:val="fr-FR"/>
        </w:rPr>
      </w:pPr>
      <w:r>
        <w:rPr>
          <w:sz w:val="16"/>
          <w:szCs w:val="16"/>
          <w:lang w:val="fr-FR"/>
        </w:rPr>
        <w:fldChar w:fldCharType="end"/>
      </w:r>
    </w:p>
    <w:sectPr w:rsidR="008D2649" w:rsidRPr="00900BFC" w:rsidSect="008B0184">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4BF8" w14:textId="77777777" w:rsidR="004A60D8" w:rsidRDefault="004A60D8">
      <w:r>
        <w:separator/>
      </w:r>
    </w:p>
  </w:endnote>
  <w:endnote w:type="continuationSeparator" w:id="0">
    <w:p w14:paraId="3E86785C" w14:textId="77777777" w:rsidR="004A60D8" w:rsidRDefault="004A60D8">
      <w:r>
        <w:continuationSeparator/>
      </w:r>
    </w:p>
  </w:endnote>
  <w:endnote w:type="continuationNotice" w:id="1">
    <w:p w14:paraId="4EA964EF" w14:textId="77777777" w:rsidR="004A60D8" w:rsidRDefault="004A6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72B8" w14:textId="77777777" w:rsidR="004A60D8" w:rsidRDefault="004A60D8">
      <w:r>
        <w:separator/>
      </w:r>
    </w:p>
  </w:footnote>
  <w:footnote w:type="continuationSeparator" w:id="0">
    <w:p w14:paraId="5A52D271" w14:textId="77777777" w:rsidR="004A60D8" w:rsidRDefault="004A60D8">
      <w:r>
        <w:continuationSeparator/>
      </w:r>
    </w:p>
  </w:footnote>
  <w:footnote w:type="continuationNotice" w:id="1">
    <w:p w14:paraId="234AD241" w14:textId="77777777" w:rsidR="004A60D8" w:rsidRDefault="004A6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51780C1A" w:rsidR="00B27603" w:rsidRPr="00B27603" w:rsidRDefault="00B27603">
    <w:pPr>
      <w:pStyle w:val="Header"/>
      <w:tabs>
        <w:tab w:val="clear" w:pos="7200"/>
        <w:tab w:val="right" w:pos="7088"/>
      </w:tabs>
      <w:rPr>
        <w:lang w:val="nl-NL"/>
      </w:rPr>
    </w:pPr>
    <w:r>
      <w:rPr>
        <w:rStyle w:val="PageNumber"/>
      </w:rPr>
      <w:tab/>
    </w:r>
    <w:r>
      <w:rPr>
        <w:rStyle w:val="PageNumber"/>
        <w:i/>
      </w:rPr>
      <w:tab/>
    </w:r>
    <w:r w:rsidRPr="00B27603">
      <w:rPr>
        <w:i/>
        <w:lang w:val="nl-NL"/>
      </w:rPr>
      <w:t>J.F.Wiegner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3CB26E31" w:rsidR="00B27603" w:rsidRDefault="00B27603" w:rsidP="0070457E">
    <w:pPr>
      <w:pStyle w:val="Header"/>
      <w:tabs>
        <w:tab w:val="clear" w:pos="7200"/>
        <w:tab w:val="right" w:pos="7088"/>
      </w:tabs>
      <w:rPr>
        <w:sz w:val="24"/>
      </w:rPr>
    </w:pPr>
    <w:r w:rsidRPr="00D61E5A">
      <w:rPr>
        <w:i/>
      </w:rPr>
      <w:t>Harvesting the Wind - Assessment of offshore Electricity Storage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B27603" w:rsidRPr="003B50B5" w:rsidRDefault="00B27603" w:rsidP="00F06842">
    <w:pPr>
      <w:pStyle w:val="ElsevierBodyTextCentredNospace"/>
      <w:jc w:val="left"/>
      <w:rPr>
        <w:noProof/>
        <w:sz w:val="18"/>
        <w:szCs w:val="18"/>
      </w:rPr>
    </w:pPr>
    <w:r w:rsidRPr="0068162C">
      <w:rPr>
        <w:color w:val="auto"/>
        <w:sz w:val="18"/>
        <w:szCs w:val="18"/>
      </w:rPr>
      <w:t xml:space="preserve">Flavio </w:t>
    </w:r>
    <w:proofErr w:type="spellStart"/>
    <w:r w:rsidRPr="0068162C">
      <w:rPr>
        <w:color w:val="auto"/>
        <w:sz w:val="18"/>
        <w:szCs w:val="18"/>
      </w:rPr>
      <w:t>Manenti</w:t>
    </w:r>
    <w:proofErr w:type="spellEnd"/>
    <w:r w:rsidRPr="0068162C">
      <w:rPr>
        <w:color w:val="auto"/>
        <w:sz w:val="18"/>
        <w:szCs w:val="18"/>
      </w:rPr>
      <w:t xml:space="preserve">, </w:t>
    </w:r>
    <w:proofErr w:type="spellStart"/>
    <w:r w:rsidRPr="0068162C">
      <w:rPr>
        <w:color w:val="auto"/>
        <w:sz w:val="18"/>
        <w:szCs w:val="18"/>
      </w:rPr>
      <w:t>Gintaras</w:t>
    </w:r>
    <w:proofErr w:type="spellEnd"/>
    <w:r w:rsidRPr="0068162C">
      <w:rPr>
        <w:color w:val="auto"/>
        <w:sz w:val="18"/>
        <w:szCs w:val="18"/>
      </w:rPr>
      <w:t xml:space="preserve">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B27603" w:rsidRDefault="00B27603"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F46" w14:textId="7E485EAC" w:rsidR="00B27603" w:rsidRPr="00B27603" w:rsidRDefault="00B27603" w:rsidP="00E74B2A">
    <w:pPr>
      <w:pStyle w:val="Header"/>
      <w:tabs>
        <w:tab w:val="clear" w:pos="7200"/>
        <w:tab w:val="right" w:pos="7088"/>
      </w:tabs>
      <w:rPr>
        <w:lang w:val="nl-NL"/>
      </w:rPr>
    </w:pPr>
    <w:r>
      <w:rPr>
        <w:rStyle w:val="PageNumber"/>
      </w:rPr>
      <w:tab/>
    </w:r>
    <w:r>
      <w:rPr>
        <w:rStyle w:val="PageNumber"/>
        <w:i/>
      </w:rPr>
      <w:tab/>
    </w:r>
    <w:r w:rsidRPr="00B27603">
      <w:rPr>
        <w:i/>
        <w:lang w:val="nl-NL"/>
      </w:rPr>
      <w:t>J.F.Wiegner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61036B"/>
    <w:multiLevelType w:val="hybridMultilevel"/>
    <w:tmpl w:val="14BE0902"/>
    <w:lvl w:ilvl="0" w:tplc="A768E0A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5"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89811050">
    <w:abstractNumId w:val="11"/>
  </w:num>
  <w:num w:numId="2" w16cid:durableId="1786579219">
    <w:abstractNumId w:val="11"/>
  </w:num>
  <w:num w:numId="3" w16cid:durableId="417214641">
    <w:abstractNumId w:val="11"/>
  </w:num>
  <w:num w:numId="4" w16cid:durableId="1780030081">
    <w:abstractNumId w:val="11"/>
  </w:num>
  <w:num w:numId="5" w16cid:durableId="1129981472">
    <w:abstractNumId w:val="0"/>
  </w:num>
  <w:num w:numId="6" w16cid:durableId="925648797">
    <w:abstractNumId w:val="6"/>
  </w:num>
  <w:num w:numId="7" w16cid:durableId="507447171">
    <w:abstractNumId w:val="13"/>
  </w:num>
  <w:num w:numId="8" w16cid:durableId="716127526">
    <w:abstractNumId w:val="1"/>
  </w:num>
  <w:num w:numId="9" w16cid:durableId="2115783264">
    <w:abstractNumId w:val="10"/>
  </w:num>
  <w:num w:numId="10" w16cid:durableId="989938265">
    <w:abstractNumId w:val="15"/>
  </w:num>
  <w:num w:numId="11" w16cid:durableId="257493006">
    <w:abstractNumId w:val="14"/>
  </w:num>
  <w:num w:numId="12" w16cid:durableId="1401828614">
    <w:abstractNumId w:val="5"/>
  </w:num>
  <w:num w:numId="13" w16cid:durableId="1936089999">
    <w:abstractNumId w:val="8"/>
  </w:num>
  <w:num w:numId="14" w16cid:durableId="2082167854">
    <w:abstractNumId w:val="2"/>
  </w:num>
  <w:num w:numId="15" w16cid:durableId="2086607158">
    <w:abstractNumId w:val="7"/>
  </w:num>
  <w:num w:numId="16" w16cid:durableId="590358065">
    <w:abstractNumId w:val="3"/>
  </w:num>
  <w:num w:numId="17" w16cid:durableId="907348609">
    <w:abstractNumId w:val="4"/>
  </w:num>
  <w:num w:numId="18" w16cid:durableId="994258768">
    <w:abstractNumId w:val="9"/>
  </w:num>
  <w:num w:numId="19" w16cid:durableId="1231580611">
    <w:abstractNumId w:val="12"/>
  </w:num>
  <w:num w:numId="20" w16cid:durableId="2111004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0DC7"/>
    <w:rsid w:val="00000EC8"/>
    <w:rsid w:val="00001C1E"/>
    <w:rsid w:val="00001FE8"/>
    <w:rsid w:val="000024C8"/>
    <w:rsid w:val="000029B7"/>
    <w:rsid w:val="00004076"/>
    <w:rsid w:val="00005290"/>
    <w:rsid w:val="0000538F"/>
    <w:rsid w:val="000054C1"/>
    <w:rsid w:val="00005523"/>
    <w:rsid w:val="00005984"/>
    <w:rsid w:val="00005E6E"/>
    <w:rsid w:val="000060A0"/>
    <w:rsid w:val="00006696"/>
    <w:rsid w:val="00007355"/>
    <w:rsid w:val="00011D4F"/>
    <w:rsid w:val="000127C7"/>
    <w:rsid w:val="0001300C"/>
    <w:rsid w:val="00014885"/>
    <w:rsid w:val="00015F4C"/>
    <w:rsid w:val="00016A0C"/>
    <w:rsid w:val="00017A4C"/>
    <w:rsid w:val="00020619"/>
    <w:rsid w:val="00021D66"/>
    <w:rsid w:val="000231F9"/>
    <w:rsid w:val="00023A0D"/>
    <w:rsid w:val="000242DE"/>
    <w:rsid w:val="00024903"/>
    <w:rsid w:val="00025B24"/>
    <w:rsid w:val="000264DA"/>
    <w:rsid w:val="000265E0"/>
    <w:rsid w:val="00026FC0"/>
    <w:rsid w:val="0002742B"/>
    <w:rsid w:val="00027ECD"/>
    <w:rsid w:val="0003062E"/>
    <w:rsid w:val="00033200"/>
    <w:rsid w:val="00034512"/>
    <w:rsid w:val="000354C3"/>
    <w:rsid w:val="0003617E"/>
    <w:rsid w:val="00036D2C"/>
    <w:rsid w:val="00037594"/>
    <w:rsid w:val="00037AD8"/>
    <w:rsid w:val="00037DA0"/>
    <w:rsid w:val="00040979"/>
    <w:rsid w:val="000409A5"/>
    <w:rsid w:val="00041895"/>
    <w:rsid w:val="00042248"/>
    <w:rsid w:val="00044A75"/>
    <w:rsid w:val="00045E16"/>
    <w:rsid w:val="00046920"/>
    <w:rsid w:val="00046C87"/>
    <w:rsid w:val="00047949"/>
    <w:rsid w:val="00047EE4"/>
    <w:rsid w:val="00053C15"/>
    <w:rsid w:val="0005431D"/>
    <w:rsid w:val="00055907"/>
    <w:rsid w:val="000575DD"/>
    <w:rsid w:val="0006156E"/>
    <w:rsid w:val="00061E96"/>
    <w:rsid w:val="00062FC9"/>
    <w:rsid w:val="0006335B"/>
    <w:rsid w:val="000635C9"/>
    <w:rsid w:val="00064775"/>
    <w:rsid w:val="00064FA4"/>
    <w:rsid w:val="000650CC"/>
    <w:rsid w:val="000669D9"/>
    <w:rsid w:val="0006750F"/>
    <w:rsid w:val="00070E2A"/>
    <w:rsid w:val="00073045"/>
    <w:rsid w:val="0007336A"/>
    <w:rsid w:val="00073B52"/>
    <w:rsid w:val="00073F9B"/>
    <w:rsid w:val="00074E3E"/>
    <w:rsid w:val="000750BF"/>
    <w:rsid w:val="000754DC"/>
    <w:rsid w:val="00075E51"/>
    <w:rsid w:val="000764EE"/>
    <w:rsid w:val="00076683"/>
    <w:rsid w:val="000767FF"/>
    <w:rsid w:val="000769BD"/>
    <w:rsid w:val="00077DBD"/>
    <w:rsid w:val="00081472"/>
    <w:rsid w:val="0008295E"/>
    <w:rsid w:val="00083017"/>
    <w:rsid w:val="00084522"/>
    <w:rsid w:val="00084973"/>
    <w:rsid w:val="00084C03"/>
    <w:rsid w:val="000863E9"/>
    <w:rsid w:val="00087563"/>
    <w:rsid w:val="00087CE4"/>
    <w:rsid w:val="00090290"/>
    <w:rsid w:val="00090646"/>
    <w:rsid w:val="00092AEC"/>
    <w:rsid w:val="00092BB0"/>
    <w:rsid w:val="000931FE"/>
    <w:rsid w:val="0009344A"/>
    <w:rsid w:val="00093FB7"/>
    <w:rsid w:val="0009426F"/>
    <w:rsid w:val="00094A22"/>
    <w:rsid w:val="00095BB1"/>
    <w:rsid w:val="00095E89"/>
    <w:rsid w:val="00095F87"/>
    <w:rsid w:val="00096721"/>
    <w:rsid w:val="000975CA"/>
    <w:rsid w:val="000A18C4"/>
    <w:rsid w:val="000A1C74"/>
    <w:rsid w:val="000A22B5"/>
    <w:rsid w:val="000A2B29"/>
    <w:rsid w:val="000A57AA"/>
    <w:rsid w:val="000A5D76"/>
    <w:rsid w:val="000B092A"/>
    <w:rsid w:val="000B0FFE"/>
    <w:rsid w:val="000B11C0"/>
    <w:rsid w:val="000B1D84"/>
    <w:rsid w:val="000B2042"/>
    <w:rsid w:val="000B2D0B"/>
    <w:rsid w:val="000B2EFD"/>
    <w:rsid w:val="000B3868"/>
    <w:rsid w:val="000B6139"/>
    <w:rsid w:val="000B7E9B"/>
    <w:rsid w:val="000C4324"/>
    <w:rsid w:val="000C43F5"/>
    <w:rsid w:val="000C4FB5"/>
    <w:rsid w:val="000C671B"/>
    <w:rsid w:val="000C6DED"/>
    <w:rsid w:val="000D25DE"/>
    <w:rsid w:val="000D3D9B"/>
    <w:rsid w:val="000D3FDC"/>
    <w:rsid w:val="000D545C"/>
    <w:rsid w:val="000D7722"/>
    <w:rsid w:val="000D7A6B"/>
    <w:rsid w:val="000D7E02"/>
    <w:rsid w:val="000E1AEC"/>
    <w:rsid w:val="000E3BE0"/>
    <w:rsid w:val="000E4EEF"/>
    <w:rsid w:val="000F2770"/>
    <w:rsid w:val="000F3811"/>
    <w:rsid w:val="000F49A3"/>
    <w:rsid w:val="000F4B1C"/>
    <w:rsid w:val="000F5596"/>
    <w:rsid w:val="000F596C"/>
    <w:rsid w:val="000F5D09"/>
    <w:rsid w:val="000F5DD0"/>
    <w:rsid w:val="000F692C"/>
    <w:rsid w:val="000F72FF"/>
    <w:rsid w:val="00101295"/>
    <w:rsid w:val="00101AD2"/>
    <w:rsid w:val="00101C44"/>
    <w:rsid w:val="001026DA"/>
    <w:rsid w:val="00102A0F"/>
    <w:rsid w:val="00104A79"/>
    <w:rsid w:val="00104B57"/>
    <w:rsid w:val="00106596"/>
    <w:rsid w:val="00106BDA"/>
    <w:rsid w:val="001077A8"/>
    <w:rsid w:val="00107B41"/>
    <w:rsid w:val="00111201"/>
    <w:rsid w:val="00112FD3"/>
    <w:rsid w:val="00113859"/>
    <w:rsid w:val="00113AF1"/>
    <w:rsid w:val="001150CC"/>
    <w:rsid w:val="00115471"/>
    <w:rsid w:val="00116518"/>
    <w:rsid w:val="00117791"/>
    <w:rsid w:val="001178FD"/>
    <w:rsid w:val="0012025E"/>
    <w:rsid w:val="00120895"/>
    <w:rsid w:val="001209B2"/>
    <w:rsid w:val="001211F1"/>
    <w:rsid w:val="00121218"/>
    <w:rsid w:val="001212E4"/>
    <w:rsid w:val="001213DB"/>
    <w:rsid w:val="00123F9D"/>
    <w:rsid w:val="00124CDA"/>
    <w:rsid w:val="00125E20"/>
    <w:rsid w:val="001262C7"/>
    <w:rsid w:val="00127171"/>
    <w:rsid w:val="001275AE"/>
    <w:rsid w:val="001303B4"/>
    <w:rsid w:val="00131EA9"/>
    <w:rsid w:val="001326A8"/>
    <w:rsid w:val="00134580"/>
    <w:rsid w:val="001348FC"/>
    <w:rsid w:val="001359DB"/>
    <w:rsid w:val="0013637B"/>
    <w:rsid w:val="0014149D"/>
    <w:rsid w:val="00142923"/>
    <w:rsid w:val="0014426E"/>
    <w:rsid w:val="00145610"/>
    <w:rsid w:val="00146668"/>
    <w:rsid w:val="00150081"/>
    <w:rsid w:val="0015087D"/>
    <w:rsid w:val="0015094C"/>
    <w:rsid w:val="00152C1C"/>
    <w:rsid w:val="0015323F"/>
    <w:rsid w:val="00154B1C"/>
    <w:rsid w:val="00154C38"/>
    <w:rsid w:val="00154EC2"/>
    <w:rsid w:val="00155340"/>
    <w:rsid w:val="001554E0"/>
    <w:rsid w:val="001563AD"/>
    <w:rsid w:val="0016032F"/>
    <w:rsid w:val="0016135B"/>
    <w:rsid w:val="00161A6B"/>
    <w:rsid w:val="00162A5E"/>
    <w:rsid w:val="001636A6"/>
    <w:rsid w:val="00164083"/>
    <w:rsid w:val="0016633E"/>
    <w:rsid w:val="001666A2"/>
    <w:rsid w:val="00167A94"/>
    <w:rsid w:val="00170F6D"/>
    <w:rsid w:val="00172B02"/>
    <w:rsid w:val="00173B0E"/>
    <w:rsid w:val="00173EB1"/>
    <w:rsid w:val="00177E58"/>
    <w:rsid w:val="001802E7"/>
    <w:rsid w:val="00180C4F"/>
    <w:rsid w:val="00180E66"/>
    <w:rsid w:val="00180FD0"/>
    <w:rsid w:val="00181079"/>
    <w:rsid w:val="001813C0"/>
    <w:rsid w:val="00181840"/>
    <w:rsid w:val="00181866"/>
    <w:rsid w:val="00181F7A"/>
    <w:rsid w:val="001831C9"/>
    <w:rsid w:val="00183660"/>
    <w:rsid w:val="00183D37"/>
    <w:rsid w:val="001855BB"/>
    <w:rsid w:val="001879F6"/>
    <w:rsid w:val="00190A6C"/>
    <w:rsid w:val="00190EDE"/>
    <w:rsid w:val="0019200E"/>
    <w:rsid w:val="001958D1"/>
    <w:rsid w:val="00196A2D"/>
    <w:rsid w:val="00197D85"/>
    <w:rsid w:val="001A173E"/>
    <w:rsid w:val="001A1C1D"/>
    <w:rsid w:val="001A2494"/>
    <w:rsid w:val="001A376A"/>
    <w:rsid w:val="001A3AA6"/>
    <w:rsid w:val="001A531D"/>
    <w:rsid w:val="001A6847"/>
    <w:rsid w:val="001A717E"/>
    <w:rsid w:val="001A72CE"/>
    <w:rsid w:val="001A7486"/>
    <w:rsid w:val="001A7500"/>
    <w:rsid w:val="001A75C4"/>
    <w:rsid w:val="001B094D"/>
    <w:rsid w:val="001B1970"/>
    <w:rsid w:val="001B4102"/>
    <w:rsid w:val="001C0148"/>
    <w:rsid w:val="001C15EC"/>
    <w:rsid w:val="001C1B8D"/>
    <w:rsid w:val="001C2A61"/>
    <w:rsid w:val="001C35A0"/>
    <w:rsid w:val="001C3619"/>
    <w:rsid w:val="001C4154"/>
    <w:rsid w:val="001C457A"/>
    <w:rsid w:val="001C522C"/>
    <w:rsid w:val="001C5571"/>
    <w:rsid w:val="001C5AA9"/>
    <w:rsid w:val="001C5C50"/>
    <w:rsid w:val="001C5D27"/>
    <w:rsid w:val="001C6E97"/>
    <w:rsid w:val="001C70D3"/>
    <w:rsid w:val="001C757E"/>
    <w:rsid w:val="001C7E36"/>
    <w:rsid w:val="001D1C7E"/>
    <w:rsid w:val="001D2B75"/>
    <w:rsid w:val="001D2BEA"/>
    <w:rsid w:val="001D30D6"/>
    <w:rsid w:val="001D4BE9"/>
    <w:rsid w:val="001D685A"/>
    <w:rsid w:val="001D736B"/>
    <w:rsid w:val="001D7FDA"/>
    <w:rsid w:val="001E06B7"/>
    <w:rsid w:val="001E0804"/>
    <w:rsid w:val="001E1A54"/>
    <w:rsid w:val="001E1AD8"/>
    <w:rsid w:val="001E1ED6"/>
    <w:rsid w:val="001E251B"/>
    <w:rsid w:val="001E4C43"/>
    <w:rsid w:val="001F0A85"/>
    <w:rsid w:val="001F0DBA"/>
    <w:rsid w:val="001F2129"/>
    <w:rsid w:val="001F4752"/>
    <w:rsid w:val="001F4817"/>
    <w:rsid w:val="001F4E57"/>
    <w:rsid w:val="001F5BB7"/>
    <w:rsid w:val="001F5D75"/>
    <w:rsid w:val="001F6DAC"/>
    <w:rsid w:val="001F7520"/>
    <w:rsid w:val="001F789E"/>
    <w:rsid w:val="00201FA2"/>
    <w:rsid w:val="0020390F"/>
    <w:rsid w:val="002046F2"/>
    <w:rsid w:val="002053BE"/>
    <w:rsid w:val="00205CAF"/>
    <w:rsid w:val="00205D75"/>
    <w:rsid w:val="00206B04"/>
    <w:rsid w:val="00207C04"/>
    <w:rsid w:val="00210B5B"/>
    <w:rsid w:val="002116E2"/>
    <w:rsid w:val="002116F4"/>
    <w:rsid w:val="00211A07"/>
    <w:rsid w:val="00211AAE"/>
    <w:rsid w:val="00212606"/>
    <w:rsid w:val="002136B9"/>
    <w:rsid w:val="002137DB"/>
    <w:rsid w:val="00214C68"/>
    <w:rsid w:val="00214CA2"/>
    <w:rsid w:val="0021549A"/>
    <w:rsid w:val="002154DD"/>
    <w:rsid w:val="00215933"/>
    <w:rsid w:val="002162A0"/>
    <w:rsid w:val="00217C4F"/>
    <w:rsid w:val="00220291"/>
    <w:rsid w:val="00222B65"/>
    <w:rsid w:val="00222FDB"/>
    <w:rsid w:val="00224C81"/>
    <w:rsid w:val="00225E66"/>
    <w:rsid w:val="00226024"/>
    <w:rsid w:val="00226A53"/>
    <w:rsid w:val="002272E9"/>
    <w:rsid w:val="002301F8"/>
    <w:rsid w:val="00231397"/>
    <w:rsid w:val="00232179"/>
    <w:rsid w:val="002347BB"/>
    <w:rsid w:val="00235B7E"/>
    <w:rsid w:val="00236233"/>
    <w:rsid w:val="0023717C"/>
    <w:rsid w:val="0023779C"/>
    <w:rsid w:val="00240199"/>
    <w:rsid w:val="0024055A"/>
    <w:rsid w:val="00240FBB"/>
    <w:rsid w:val="002425DF"/>
    <w:rsid w:val="00242EA4"/>
    <w:rsid w:val="00243075"/>
    <w:rsid w:val="002431D7"/>
    <w:rsid w:val="00243C43"/>
    <w:rsid w:val="00243C78"/>
    <w:rsid w:val="00243CD4"/>
    <w:rsid w:val="00244BF7"/>
    <w:rsid w:val="00244D5E"/>
    <w:rsid w:val="002460D7"/>
    <w:rsid w:val="0024765D"/>
    <w:rsid w:val="0025011E"/>
    <w:rsid w:val="002503B8"/>
    <w:rsid w:val="00250B33"/>
    <w:rsid w:val="00250BD2"/>
    <w:rsid w:val="00250E9C"/>
    <w:rsid w:val="00251168"/>
    <w:rsid w:val="00251807"/>
    <w:rsid w:val="00251E88"/>
    <w:rsid w:val="002527C9"/>
    <w:rsid w:val="00252B55"/>
    <w:rsid w:val="00252C49"/>
    <w:rsid w:val="0025366B"/>
    <w:rsid w:val="00254975"/>
    <w:rsid w:val="00255C74"/>
    <w:rsid w:val="00255D10"/>
    <w:rsid w:val="00260116"/>
    <w:rsid w:val="0026068D"/>
    <w:rsid w:val="002607CB"/>
    <w:rsid w:val="00261733"/>
    <w:rsid w:val="00261B7B"/>
    <w:rsid w:val="00261E48"/>
    <w:rsid w:val="00261FE3"/>
    <w:rsid w:val="0026270F"/>
    <w:rsid w:val="00262D14"/>
    <w:rsid w:val="00263184"/>
    <w:rsid w:val="00263AA4"/>
    <w:rsid w:val="002643DF"/>
    <w:rsid w:val="0026445E"/>
    <w:rsid w:val="0026448D"/>
    <w:rsid w:val="00264926"/>
    <w:rsid w:val="002649F5"/>
    <w:rsid w:val="00265CAF"/>
    <w:rsid w:val="00266F93"/>
    <w:rsid w:val="00267675"/>
    <w:rsid w:val="00267920"/>
    <w:rsid w:val="0027039A"/>
    <w:rsid w:val="0027178C"/>
    <w:rsid w:val="00271DC0"/>
    <w:rsid w:val="00272784"/>
    <w:rsid w:val="0027508F"/>
    <w:rsid w:val="002750D8"/>
    <w:rsid w:val="002756B1"/>
    <w:rsid w:val="00275BA8"/>
    <w:rsid w:val="00276046"/>
    <w:rsid w:val="00280461"/>
    <w:rsid w:val="002806AC"/>
    <w:rsid w:val="00280AB5"/>
    <w:rsid w:val="00281539"/>
    <w:rsid w:val="00281756"/>
    <w:rsid w:val="00282DD2"/>
    <w:rsid w:val="00284641"/>
    <w:rsid w:val="00286C4A"/>
    <w:rsid w:val="0029021A"/>
    <w:rsid w:val="00290DCF"/>
    <w:rsid w:val="00291F18"/>
    <w:rsid w:val="00292113"/>
    <w:rsid w:val="00295E19"/>
    <w:rsid w:val="00296F20"/>
    <w:rsid w:val="002A03AB"/>
    <w:rsid w:val="002A0EFB"/>
    <w:rsid w:val="002A224D"/>
    <w:rsid w:val="002A2263"/>
    <w:rsid w:val="002A2622"/>
    <w:rsid w:val="002A2C18"/>
    <w:rsid w:val="002A31A5"/>
    <w:rsid w:val="002A3AF8"/>
    <w:rsid w:val="002A3CAB"/>
    <w:rsid w:val="002A43CC"/>
    <w:rsid w:val="002A48E4"/>
    <w:rsid w:val="002A4BCB"/>
    <w:rsid w:val="002A5F75"/>
    <w:rsid w:val="002A7023"/>
    <w:rsid w:val="002A75B0"/>
    <w:rsid w:val="002B097F"/>
    <w:rsid w:val="002B1776"/>
    <w:rsid w:val="002B1C23"/>
    <w:rsid w:val="002B1E14"/>
    <w:rsid w:val="002B254E"/>
    <w:rsid w:val="002B3152"/>
    <w:rsid w:val="002B3209"/>
    <w:rsid w:val="002B337F"/>
    <w:rsid w:val="002B3DE2"/>
    <w:rsid w:val="002B40DA"/>
    <w:rsid w:val="002B479E"/>
    <w:rsid w:val="002C021D"/>
    <w:rsid w:val="002C0464"/>
    <w:rsid w:val="002C0FD4"/>
    <w:rsid w:val="002C1AE8"/>
    <w:rsid w:val="002C62B0"/>
    <w:rsid w:val="002C7818"/>
    <w:rsid w:val="002C7C69"/>
    <w:rsid w:val="002D0005"/>
    <w:rsid w:val="002D0875"/>
    <w:rsid w:val="002D0B1C"/>
    <w:rsid w:val="002D1432"/>
    <w:rsid w:val="002D20DD"/>
    <w:rsid w:val="002D293A"/>
    <w:rsid w:val="002D2CFA"/>
    <w:rsid w:val="002D389B"/>
    <w:rsid w:val="002E1215"/>
    <w:rsid w:val="002E36BB"/>
    <w:rsid w:val="002E41A7"/>
    <w:rsid w:val="002E4890"/>
    <w:rsid w:val="002E4C1B"/>
    <w:rsid w:val="002E5087"/>
    <w:rsid w:val="002E6387"/>
    <w:rsid w:val="002F14AA"/>
    <w:rsid w:val="002F1EF5"/>
    <w:rsid w:val="002F2166"/>
    <w:rsid w:val="002F286A"/>
    <w:rsid w:val="002F2E3E"/>
    <w:rsid w:val="002F3662"/>
    <w:rsid w:val="002F3C4F"/>
    <w:rsid w:val="002F42A0"/>
    <w:rsid w:val="002F5343"/>
    <w:rsid w:val="0030097C"/>
    <w:rsid w:val="003020D5"/>
    <w:rsid w:val="00302183"/>
    <w:rsid w:val="003028DB"/>
    <w:rsid w:val="003042DF"/>
    <w:rsid w:val="0030448A"/>
    <w:rsid w:val="003057FF"/>
    <w:rsid w:val="00306118"/>
    <w:rsid w:val="00307762"/>
    <w:rsid w:val="003077B9"/>
    <w:rsid w:val="00307A81"/>
    <w:rsid w:val="00307B56"/>
    <w:rsid w:val="00311228"/>
    <w:rsid w:val="00312235"/>
    <w:rsid w:val="00312776"/>
    <w:rsid w:val="003146B0"/>
    <w:rsid w:val="00316560"/>
    <w:rsid w:val="0031790F"/>
    <w:rsid w:val="00317C64"/>
    <w:rsid w:val="00317D85"/>
    <w:rsid w:val="0032034E"/>
    <w:rsid w:val="00321CA2"/>
    <w:rsid w:val="003239AD"/>
    <w:rsid w:val="00326173"/>
    <w:rsid w:val="003276B7"/>
    <w:rsid w:val="0033004E"/>
    <w:rsid w:val="00333507"/>
    <w:rsid w:val="00334552"/>
    <w:rsid w:val="00334EA5"/>
    <w:rsid w:val="00336175"/>
    <w:rsid w:val="003365FB"/>
    <w:rsid w:val="003367C6"/>
    <w:rsid w:val="00336DD1"/>
    <w:rsid w:val="00337379"/>
    <w:rsid w:val="00340ADC"/>
    <w:rsid w:val="00340D34"/>
    <w:rsid w:val="00342BCD"/>
    <w:rsid w:val="003436B6"/>
    <w:rsid w:val="00344689"/>
    <w:rsid w:val="00344950"/>
    <w:rsid w:val="00345A8C"/>
    <w:rsid w:val="00345D46"/>
    <w:rsid w:val="00345D53"/>
    <w:rsid w:val="00345F2A"/>
    <w:rsid w:val="0034624E"/>
    <w:rsid w:val="00346ECE"/>
    <w:rsid w:val="00350347"/>
    <w:rsid w:val="00350F10"/>
    <w:rsid w:val="00350FE3"/>
    <w:rsid w:val="00352A5B"/>
    <w:rsid w:val="00352A74"/>
    <w:rsid w:val="00352F92"/>
    <w:rsid w:val="003532FD"/>
    <w:rsid w:val="00353A38"/>
    <w:rsid w:val="0035405E"/>
    <w:rsid w:val="003546A5"/>
    <w:rsid w:val="00354B76"/>
    <w:rsid w:val="00354DE8"/>
    <w:rsid w:val="0035577F"/>
    <w:rsid w:val="00355A5D"/>
    <w:rsid w:val="003563BC"/>
    <w:rsid w:val="00356523"/>
    <w:rsid w:val="00356C83"/>
    <w:rsid w:val="0035798C"/>
    <w:rsid w:val="00360A71"/>
    <w:rsid w:val="00360D96"/>
    <w:rsid w:val="00361CFA"/>
    <w:rsid w:val="00362DB9"/>
    <w:rsid w:val="003641F1"/>
    <w:rsid w:val="00364A56"/>
    <w:rsid w:val="00364A87"/>
    <w:rsid w:val="00364B14"/>
    <w:rsid w:val="00365000"/>
    <w:rsid w:val="00366356"/>
    <w:rsid w:val="003667BB"/>
    <w:rsid w:val="00366B59"/>
    <w:rsid w:val="00366CD1"/>
    <w:rsid w:val="003679C9"/>
    <w:rsid w:val="00370395"/>
    <w:rsid w:val="00371AEA"/>
    <w:rsid w:val="00372218"/>
    <w:rsid w:val="003729BD"/>
    <w:rsid w:val="00373C4F"/>
    <w:rsid w:val="00374A9F"/>
    <w:rsid w:val="00374DCD"/>
    <w:rsid w:val="003752F8"/>
    <w:rsid w:val="00375C7D"/>
    <w:rsid w:val="003766CF"/>
    <w:rsid w:val="0038044E"/>
    <w:rsid w:val="00380CFC"/>
    <w:rsid w:val="00380F38"/>
    <w:rsid w:val="0038175A"/>
    <w:rsid w:val="00381793"/>
    <w:rsid w:val="0038197E"/>
    <w:rsid w:val="00382C4C"/>
    <w:rsid w:val="00385950"/>
    <w:rsid w:val="00385F6D"/>
    <w:rsid w:val="003864BC"/>
    <w:rsid w:val="00387A32"/>
    <w:rsid w:val="00390E2E"/>
    <w:rsid w:val="00391E9F"/>
    <w:rsid w:val="00391F52"/>
    <w:rsid w:val="00392FAB"/>
    <w:rsid w:val="0039411D"/>
    <w:rsid w:val="00396128"/>
    <w:rsid w:val="00396F2E"/>
    <w:rsid w:val="0039796B"/>
    <w:rsid w:val="00397EB4"/>
    <w:rsid w:val="003A007E"/>
    <w:rsid w:val="003A0138"/>
    <w:rsid w:val="003A0326"/>
    <w:rsid w:val="003A0DBE"/>
    <w:rsid w:val="003A2060"/>
    <w:rsid w:val="003A206D"/>
    <w:rsid w:val="003A2BD4"/>
    <w:rsid w:val="003A38E7"/>
    <w:rsid w:val="003A3B8F"/>
    <w:rsid w:val="003A46C9"/>
    <w:rsid w:val="003A646D"/>
    <w:rsid w:val="003A6A7E"/>
    <w:rsid w:val="003A6D04"/>
    <w:rsid w:val="003A740D"/>
    <w:rsid w:val="003B0AAB"/>
    <w:rsid w:val="003B29A5"/>
    <w:rsid w:val="003B33D6"/>
    <w:rsid w:val="003B42DA"/>
    <w:rsid w:val="003B4E53"/>
    <w:rsid w:val="003B56F6"/>
    <w:rsid w:val="003B5758"/>
    <w:rsid w:val="003B700A"/>
    <w:rsid w:val="003B7A7B"/>
    <w:rsid w:val="003B7AD8"/>
    <w:rsid w:val="003C0267"/>
    <w:rsid w:val="003C0B74"/>
    <w:rsid w:val="003C2139"/>
    <w:rsid w:val="003C22FF"/>
    <w:rsid w:val="003C2CCC"/>
    <w:rsid w:val="003C40A3"/>
    <w:rsid w:val="003C637B"/>
    <w:rsid w:val="003C7A17"/>
    <w:rsid w:val="003C7F8D"/>
    <w:rsid w:val="003D0EB5"/>
    <w:rsid w:val="003D100B"/>
    <w:rsid w:val="003D12CC"/>
    <w:rsid w:val="003D14D0"/>
    <w:rsid w:val="003D1582"/>
    <w:rsid w:val="003D1C4A"/>
    <w:rsid w:val="003D207D"/>
    <w:rsid w:val="003D4EE7"/>
    <w:rsid w:val="003D4EF3"/>
    <w:rsid w:val="003D525F"/>
    <w:rsid w:val="003D55CD"/>
    <w:rsid w:val="003D6FE2"/>
    <w:rsid w:val="003D7E4C"/>
    <w:rsid w:val="003E000F"/>
    <w:rsid w:val="003E03D6"/>
    <w:rsid w:val="003E0477"/>
    <w:rsid w:val="003E07F6"/>
    <w:rsid w:val="003E0F82"/>
    <w:rsid w:val="003E1254"/>
    <w:rsid w:val="003E1A1A"/>
    <w:rsid w:val="003E1F82"/>
    <w:rsid w:val="003E255D"/>
    <w:rsid w:val="003E28C3"/>
    <w:rsid w:val="003E41C2"/>
    <w:rsid w:val="003E489E"/>
    <w:rsid w:val="003E5A01"/>
    <w:rsid w:val="003E5A41"/>
    <w:rsid w:val="003F0074"/>
    <w:rsid w:val="003F0BFD"/>
    <w:rsid w:val="003F122A"/>
    <w:rsid w:val="003F1DC3"/>
    <w:rsid w:val="003F471C"/>
    <w:rsid w:val="003F4B63"/>
    <w:rsid w:val="003F5B9A"/>
    <w:rsid w:val="003F621A"/>
    <w:rsid w:val="003F6299"/>
    <w:rsid w:val="00400148"/>
    <w:rsid w:val="0040018A"/>
    <w:rsid w:val="004002A1"/>
    <w:rsid w:val="00400811"/>
    <w:rsid w:val="004014E0"/>
    <w:rsid w:val="00402A4A"/>
    <w:rsid w:val="00403536"/>
    <w:rsid w:val="004068B2"/>
    <w:rsid w:val="00407D9E"/>
    <w:rsid w:val="0041161E"/>
    <w:rsid w:val="00413DB3"/>
    <w:rsid w:val="00416350"/>
    <w:rsid w:val="00416918"/>
    <w:rsid w:val="00416A3D"/>
    <w:rsid w:val="00417593"/>
    <w:rsid w:val="00417C23"/>
    <w:rsid w:val="0042007C"/>
    <w:rsid w:val="00420F25"/>
    <w:rsid w:val="00421F8F"/>
    <w:rsid w:val="004225CF"/>
    <w:rsid w:val="0042291A"/>
    <w:rsid w:val="00425C1C"/>
    <w:rsid w:val="00426457"/>
    <w:rsid w:val="00427543"/>
    <w:rsid w:val="0042776F"/>
    <w:rsid w:val="0043000A"/>
    <w:rsid w:val="00430A56"/>
    <w:rsid w:val="00432A83"/>
    <w:rsid w:val="0043436B"/>
    <w:rsid w:val="00434570"/>
    <w:rsid w:val="00434791"/>
    <w:rsid w:val="004352CB"/>
    <w:rsid w:val="004358DE"/>
    <w:rsid w:val="00435E63"/>
    <w:rsid w:val="00437279"/>
    <w:rsid w:val="004402BC"/>
    <w:rsid w:val="004408E5"/>
    <w:rsid w:val="0044180D"/>
    <w:rsid w:val="00441B43"/>
    <w:rsid w:val="00442DD8"/>
    <w:rsid w:val="00443672"/>
    <w:rsid w:val="00445D0A"/>
    <w:rsid w:val="0045352C"/>
    <w:rsid w:val="00454FF0"/>
    <w:rsid w:val="004552B2"/>
    <w:rsid w:val="0045582B"/>
    <w:rsid w:val="00456C0B"/>
    <w:rsid w:val="00460188"/>
    <w:rsid w:val="00460772"/>
    <w:rsid w:val="00461A7D"/>
    <w:rsid w:val="0046290A"/>
    <w:rsid w:val="004629BF"/>
    <w:rsid w:val="00462F24"/>
    <w:rsid w:val="004634EE"/>
    <w:rsid w:val="0046397A"/>
    <w:rsid w:val="004644A7"/>
    <w:rsid w:val="00465FD1"/>
    <w:rsid w:val="00466F02"/>
    <w:rsid w:val="00467309"/>
    <w:rsid w:val="00467DC1"/>
    <w:rsid w:val="00471672"/>
    <w:rsid w:val="0047186A"/>
    <w:rsid w:val="004733A1"/>
    <w:rsid w:val="00474CD5"/>
    <w:rsid w:val="00476425"/>
    <w:rsid w:val="00477B29"/>
    <w:rsid w:val="00485C3E"/>
    <w:rsid w:val="00486E56"/>
    <w:rsid w:val="004875EA"/>
    <w:rsid w:val="00490A8E"/>
    <w:rsid w:val="00491EE4"/>
    <w:rsid w:val="00492526"/>
    <w:rsid w:val="00492669"/>
    <w:rsid w:val="004942B8"/>
    <w:rsid w:val="0049459E"/>
    <w:rsid w:val="00495588"/>
    <w:rsid w:val="0049649E"/>
    <w:rsid w:val="00497143"/>
    <w:rsid w:val="0049772C"/>
    <w:rsid w:val="004A3283"/>
    <w:rsid w:val="004A4356"/>
    <w:rsid w:val="004A48D1"/>
    <w:rsid w:val="004A5C41"/>
    <w:rsid w:val="004A600F"/>
    <w:rsid w:val="004A60D8"/>
    <w:rsid w:val="004A6979"/>
    <w:rsid w:val="004A71F7"/>
    <w:rsid w:val="004A7B30"/>
    <w:rsid w:val="004A7E71"/>
    <w:rsid w:val="004A7F70"/>
    <w:rsid w:val="004B07DC"/>
    <w:rsid w:val="004B0B36"/>
    <w:rsid w:val="004B1CC0"/>
    <w:rsid w:val="004B21A3"/>
    <w:rsid w:val="004B2679"/>
    <w:rsid w:val="004B3553"/>
    <w:rsid w:val="004B6181"/>
    <w:rsid w:val="004C04AF"/>
    <w:rsid w:val="004C0999"/>
    <w:rsid w:val="004C263B"/>
    <w:rsid w:val="004C2791"/>
    <w:rsid w:val="004C2B2F"/>
    <w:rsid w:val="004C3135"/>
    <w:rsid w:val="004C53F6"/>
    <w:rsid w:val="004C6884"/>
    <w:rsid w:val="004C7E35"/>
    <w:rsid w:val="004D0AC2"/>
    <w:rsid w:val="004D1296"/>
    <w:rsid w:val="004D276D"/>
    <w:rsid w:val="004D3380"/>
    <w:rsid w:val="004D3474"/>
    <w:rsid w:val="004D3EE0"/>
    <w:rsid w:val="004D6415"/>
    <w:rsid w:val="004D71FD"/>
    <w:rsid w:val="004D7AEC"/>
    <w:rsid w:val="004E0941"/>
    <w:rsid w:val="004E0BAF"/>
    <w:rsid w:val="004E18AE"/>
    <w:rsid w:val="004E1F1F"/>
    <w:rsid w:val="004E2CC9"/>
    <w:rsid w:val="004E2FFB"/>
    <w:rsid w:val="004E3597"/>
    <w:rsid w:val="004E3880"/>
    <w:rsid w:val="004E44AA"/>
    <w:rsid w:val="004E491F"/>
    <w:rsid w:val="004F05A6"/>
    <w:rsid w:val="004F0AD0"/>
    <w:rsid w:val="004F21C1"/>
    <w:rsid w:val="004F2698"/>
    <w:rsid w:val="004F28CB"/>
    <w:rsid w:val="004F2F79"/>
    <w:rsid w:val="004F4AED"/>
    <w:rsid w:val="004F6743"/>
    <w:rsid w:val="00500B67"/>
    <w:rsid w:val="00501C1E"/>
    <w:rsid w:val="005040C7"/>
    <w:rsid w:val="00504CED"/>
    <w:rsid w:val="00504FEF"/>
    <w:rsid w:val="00506380"/>
    <w:rsid w:val="005065C1"/>
    <w:rsid w:val="0050669B"/>
    <w:rsid w:val="00507CCA"/>
    <w:rsid w:val="005115FB"/>
    <w:rsid w:val="00511BA3"/>
    <w:rsid w:val="00512296"/>
    <w:rsid w:val="00512816"/>
    <w:rsid w:val="005133E2"/>
    <w:rsid w:val="00515EA0"/>
    <w:rsid w:val="005169B9"/>
    <w:rsid w:val="00517CED"/>
    <w:rsid w:val="00517F72"/>
    <w:rsid w:val="00520B12"/>
    <w:rsid w:val="00521DF7"/>
    <w:rsid w:val="00523199"/>
    <w:rsid w:val="00523B66"/>
    <w:rsid w:val="00523D89"/>
    <w:rsid w:val="00524C56"/>
    <w:rsid w:val="00525891"/>
    <w:rsid w:val="00525AB3"/>
    <w:rsid w:val="0052727F"/>
    <w:rsid w:val="00527ABE"/>
    <w:rsid w:val="00527AE9"/>
    <w:rsid w:val="0053004C"/>
    <w:rsid w:val="005304F4"/>
    <w:rsid w:val="005310D8"/>
    <w:rsid w:val="00532FA8"/>
    <w:rsid w:val="005343A3"/>
    <w:rsid w:val="00535058"/>
    <w:rsid w:val="00535653"/>
    <w:rsid w:val="00535AD1"/>
    <w:rsid w:val="00536AC7"/>
    <w:rsid w:val="005379F2"/>
    <w:rsid w:val="00537BA8"/>
    <w:rsid w:val="00537EB7"/>
    <w:rsid w:val="00541AFF"/>
    <w:rsid w:val="00542867"/>
    <w:rsid w:val="00542CB5"/>
    <w:rsid w:val="00543B73"/>
    <w:rsid w:val="005444AD"/>
    <w:rsid w:val="005452D8"/>
    <w:rsid w:val="005461D6"/>
    <w:rsid w:val="00550A58"/>
    <w:rsid w:val="0055273C"/>
    <w:rsid w:val="00552EEB"/>
    <w:rsid w:val="005531C2"/>
    <w:rsid w:val="00555E9A"/>
    <w:rsid w:val="005579EA"/>
    <w:rsid w:val="005611AD"/>
    <w:rsid w:val="00561CAE"/>
    <w:rsid w:val="00563415"/>
    <w:rsid w:val="005655F3"/>
    <w:rsid w:val="0056590D"/>
    <w:rsid w:val="00566022"/>
    <w:rsid w:val="005665BC"/>
    <w:rsid w:val="00566AED"/>
    <w:rsid w:val="00566C81"/>
    <w:rsid w:val="00567235"/>
    <w:rsid w:val="00567674"/>
    <w:rsid w:val="005707EA"/>
    <w:rsid w:val="00572709"/>
    <w:rsid w:val="005736D1"/>
    <w:rsid w:val="00574597"/>
    <w:rsid w:val="00574D6D"/>
    <w:rsid w:val="00574E97"/>
    <w:rsid w:val="005750F4"/>
    <w:rsid w:val="00575A84"/>
    <w:rsid w:val="00575E04"/>
    <w:rsid w:val="00575E50"/>
    <w:rsid w:val="00575F46"/>
    <w:rsid w:val="0057654C"/>
    <w:rsid w:val="00576813"/>
    <w:rsid w:val="00576BD8"/>
    <w:rsid w:val="0057757D"/>
    <w:rsid w:val="005809B1"/>
    <w:rsid w:val="00581FC7"/>
    <w:rsid w:val="005827D9"/>
    <w:rsid w:val="005846C9"/>
    <w:rsid w:val="00584F6C"/>
    <w:rsid w:val="00585995"/>
    <w:rsid w:val="00585B31"/>
    <w:rsid w:val="00585C5E"/>
    <w:rsid w:val="005860F9"/>
    <w:rsid w:val="005865DB"/>
    <w:rsid w:val="00586B21"/>
    <w:rsid w:val="00587784"/>
    <w:rsid w:val="00590158"/>
    <w:rsid w:val="00591062"/>
    <w:rsid w:val="005932D3"/>
    <w:rsid w:val="00593ED4"/>
    <w:rsid w:val="00594BD8"/>
    <w:rsid w:val="00594F1B"/>
    <w:rsid w:val="00595C30"/>
    <w:rsid w:val="00596029"/>
    <w:rsid w:val="0059616A"/>
    <w:rsid w:val="0059644A"/>
    <w:rsid w:val="0059686B"/>
    <w:rsid w:val="00597174"/>
    <w:rsid w:val="0059731D"/>
    <w:rsid w:val="005A057F"/>
    <w:rsid w:val="005A09BE"/>
    <w:rsid w:val="005A41F4"/>
    <w:rsid w:val="005A442C"/>
    <w:rsid w:val="005A5CF9"/>
    <w:rsid w:val="005A5EB2"/>
    <w:rsid w:val="005A684A"/>
    <w:rsid w:val="005A76B4"/>
    <w:rsid w:val="005A7C7F"/>
    <w:rsid w:val="005B04AD"/>
    <w:rsid w:val="005B15F5"/>
    <w:rsid w:val="005B1A25"/>
    <w:rsid w:val="005B1E80"/>
    <w:rsid w:val="005B2532"/>
    <w:rsid w:val="005B3E90"/>
    <w:rsid w:val="005B517F"/>
    <w:rsid w:val="005B62AC"/>
    <w:rsid w:val="005B650B"/>
    <w:rsid w:val="005B6766"/>
    <w:rsid w:val="005B7722"/>
    <w:rsid w:val="005C0A7C"/>
    <w:rsid w:val="005C3A50"/>
    <w:rsid w:val="005C3CBC"/>
    <w:rsid w:val="005C3DB2"/>
    <w:rsid w:val="005C4321"/>
    <w:rsid w:val="005C58C9"/>
    <w:rsid w:val="005C71DD"/>
    <w:rsid w:val="005C75EC"/>
    <w:rsid w:val="005D04EC"/>
    <w:rsid w:val="005D1079"/>
    <w:rsid w:val="005D1446"/>
    <w:rsid w:val="005D241A"/>
    <w:rsid w:val="005D302A"/>
    <w:rsid w:val="005D4CAF"/>
    <w:rsid w:val="005D59C8"/>
    <w:rsid w:val="005D5B77"/>
    <w:rsid w:val="005D6595"/>
    <w:rsid w:val="005D65A7"/>
    <w:rsid w:val="005D6ADD"/>
    <w:rsid w:val="005D723C"/>
    <w:rsid w:val="005D75A9"/>
    <w:rsid w:val="005D7E6B"/>
    <w:rsid w:val="005E07D2"/>
    <w:rsid w:val="005E187B"/>
    <w:rsid w:val="005E1EB8"/>
    <w:rsid w:val="005E2855"/>
    <w:rsid w:val="005E5F6A"/>
    <w:rsid w:val="005E5FE3"/>
    <w:rsid w:val="005E654E"/>
    <w:rsid w:val="005E6801"/>
    <w:rsid w:val="005F1819"/>
    <w:rsid w:val="005F1B5F"/>
    <w:rsid w:val="005F2B1B"/>
    <w:rsid w:val="005F2B90"/>
    <w:rsid w:val="005F5A2E"/>
    <w:rsid w:val="005F5F85"/>
    <w:rsid w:val="005F66FE"/>
    <w:rsid w:val="005F7303"/>
    <w:rsid w:val="005F7A6A"/>
    <w:rsid w:val="00600661"/>
    <w:rsid w:val="006010C0"/>
    <w:rsid w:val="0060121C"/>
    <w:rsid w:val="00601356"/>
    <w:rsid w:val="0060143E"/>
    <w:rsid w:val="0060298B"/>
    <w:rsid w:val="00604EB5"/>
    <w:rsid w:val="00605562"/>
    <w:rsid w:val="006057B2"/>
    <w:rsid w:val="00606492"/>
    <w:rsid w:val="00606565"/>
    <w:rsid w:val="0060678B"/>
    <w:rsid w:val="00606F42"/>
    <w:rsid w:val="0061199E"/>
    <w:rsid w:val="00613083"/>
    <w:rsid w:val="006141CE"/>
    <w:rsid w:val="00614203"/>
    <w:rsid w:val="00614564"/>
    <w:rsid w:val="00615510"/>
    <w:rsid w:val="00617CED"/>
    <w:rsid w:val="00622844"/>
    <w:rsid w:val="00623A82"/>
    <w:rsid w:val="00623E12"/>
    <w:rsid w:val="00625942"/>
    <w:rsid w:val="00626A57"/>
    <w:rsid w:val="006273F8"/>
    <w:rsid w:val="00627FAF"/>
    <w:rsid w:val="00630017"/>
    <w:rsid w:val="0063105F"/>
    <w:rsid w:val="00631245"/>
    <w:rsid w:val="00632302"/>
    <w:rsid w:val="00633080"/>
    <w:rsid w:val="006333F2"/>
    <w:rsid w:val="006353BE"/>
    <w:rsid w:val="006355D9"/>
    <w:rsid w:val="00635D53"/>
    <w:rsid w:val="0063697E"/>
    <w:rsid w:val="0063773E"/>
    <w:rsid w:val="00640078"/>
    <w:rsid w:val="006401B9"/>
    <w:rsid w:val="0064095C"/>
    <w:rsid w:val="00640FC3"/>
    <w:rsid w:val="00641AF7"/>
    <w:rsid w:val="00641BAD"/>
    <w:rsid w:val="00642CC5"/>
    <w:rsid w:val="00642E2D"/>
    <w:rsid w:val="0064329B"/>
    <w:rsid w:val="00644E74"/>
    <w:rsid w:val="00645DA1"/>
    <w:rsid w:val="006473B0"/>
    <w:rsid w:val="006502FF"/>
    <w:rsid w:val="00650A2E"/>
    <w:rsid w:val="006518AA"/>
    <w:rsid w:val="00652266"/>
    <w:rsid w:val="00652608"/>
    <w:rsid w:val="006539F5"/>
    <w:rsid w:val="00654505"/>
    <w:rsid w:val="00655E03"/>
    <w:rsid w:val="00656BEA"/>
    <w:rsid w:val="00661369"/>
    <w:rsid w:val="006618B2"/>
    <w:rsid w:val="0066231A"/>
    <w:rsid w:val="00662FFC"/>
    <w:rsid w:val="0066456E"/>
    <w:rsid w:val="00664E1B"/>
    <w:rsid w:val="00665103"/>
    <w:rsid w:val="0066546F"/>
    <w:rsid w:val="0067056B"/>
    <w:rsid w:val="00670A6B"/>
    <w:rsid w:val="006713B4"/>
    <w:rsid w:val="0067238E"/>
    <w:rsid w:val="00674A03"/>
    <w:rsid w:val="00675004"/>
    <w:rsid w:val="006768BC"/>
    <w:rsid w:val="00677CD8"/>
    <w:rsid w:val="00681290"/>
    <w:rsid w:val="00681F5C"/>
    <w:rsid w:val="00682110"/>
    <w:rsid w:val="00684046"/>
    <w:rsid w:val="006844B2"/>
    <w:rsid w:val="00685027"/>
    <w:rsid w:val="00686E42"/>
    <w:rsid w:val="006870A8"/>
    <w:rsid w:val="00687613"/>
    <w:rsid w:val="00692BAD"/>
    <w:rsid w:val="00694780"/>
    <w:rsid w:val="006947B9"/>
    <w:rsid w:val="00697BDF"/>
    <w:rsid w:val="006A101C"/>
    <w:rsid w:val="006A1231"/>
    <w:rsid w:val="006A21A0"/>
    <w:rsid w:val="006A4191"/>
    <w:rsid w:val="006A5240"/>
    <w:rsid w:val="006A54F8"/>
    <w:rsid w:val="006A69BF"/>
    <w:rsid w:val="006B1CEF"/>
    <w:rsid w:val="006B20F4"/>
    <w:rsid w:val="006B2B9B"/>
    <w:rsid w:val="006B381A"/>
    <w:rsid w:val="006B4917"/>
    <w:rsid w:val="006B58C2"/>
    <w:rsid w:val="006B67C8"/>
    <w:rsid w:val="006B760F"/>
    <w:rsid w:val="006B783C"/>
    <w:rsid w:val="006B7CB1"/>
    <w:rsid w:val="006C09C7"/>
    <w:rsid w:val="006C0CE0"/>
    <w:rsid w:val="006C12E8"/>
    <w:rsid w:val="006C191D"/>
    <w:rsid w:val="006C23C8"/>
    <w:rsid w:val="006C241B"/>
    <w:rsid w:val="006C24A6"/>
    <w:rsid w:val="006C292A"/>
    <w:rsid w:val="006C2C36"/>
    <w:rsid w:val="006C5188"/>
    <w:rsid w:val="006C6A0C"/>
    <w:rsid w:val="006C7CB1"/>
    <w:rsid w:val="006D023C"/>
    <w:rsid w:val="006D0994"/>
    <w:rsid w:val="006D3427"/>
    <w:rsid w:val="006D4F71"/>
    <w:rsid w:val="006D5126"/>
    <w:rsid w:val="006D5AC5"/>
    <w:rsid w:val="006D5E67"/>
    <w:rsid w:val="006D7946"/>
    <w:rsid w:val="006D7EBB"/>
    <w:rsid w:val="006E1917"/>
    <w:rsid w:val="006E2F03"/>
    <w:rsid w:val="006E4142"/>
    <w:rsid w:val="006E4237"/>
    <w:rsid w:val="006E4D79"/>
    <w:rsid w:val="006E5BBA"/>
    <w:rsid w:val="006E6886"/>
    <w:rsid w:val="006E75AB"/>
    <w:rsid w:val="006E7A53"/>
    <w:rsid w:val="006E7B7A"/>
    <w:rsid w:val="006E7C16"/>
    <w:rsid w:val="006F12AE"/>
    <w:rsid w:val="006F2687"/>
    <w:rsid w:val="006F3899"/>
    <w:rsid w:val="006F4F67"/>
    <w:rsid w:val="006F5935"/>
    <w:rsid w:val="006F6084"/>
    <w:rsid w:val="006F6122"/>
    <w:rsid w:val="006F64D5"/>
    <w:rsid w:val="00701F8B"/>
    <w:rsid w:val="0070208F"/>
    <w:rsid w:val="00702EA6"/>
    <w:rsid w:val="00703384"/>
    <w:rsid w:val="00703D11"/>
    <w:rsid w:val="0070420C"/>
    <w:rsid w:val="007042C1"/>
    <w:rsid w:val="0070457E"/>
    <w:rsid w:val="007053B7"/>
    <w:rsid w:val="007062A9"/>
    <w:rsid w:val="00706764"/>
    <w:rsid w:val="00706D0A"/>
    <w:rsid w:val="00710BE4"/>
    <w:rsid w:val="00710E04"/>
    <w:rsid w:val="00711DF4"/>
    <w:rsid w:val="00712126"/>
    <w:rsid w:val="00712C68"/>
    <w:rsid w:val="00714C4A"/>
    <w:rsid w:val="00714F9C"/>
    <w:rsid w:val="007151CD"/>
    <w:rsid w:val="00715A6B"/>
    <w:rsid w:val="00722018"/>
    <w:rsid w:val="00723163"/>
    <w:rsid w:val="00723495"/>
    <w:rsid w:val="00724DD2"/>
    <w:rsid w:val="007251F4"/>
    <w:rsid w:val="00727949"/>
    <w:rsid w:val="00731409"/>
    <w:rsid w:val="00731844"/>
    <w:rsid w:val="00731920"/>
    <w:rsid w:val="00732BBF"/>
    <w:rsid w:val="00736381"/>
    <w:rsid w:val="00737A1E"/>
    <w:rsid w:val="00740964"/>
    <w:rsid w:val="00742FCC"/>
    <w:rsid w:val="00743292"/>
    <w:rsid w:val="00743E3C"/>
    <w:rsid w:val="00744190"/>
    <w:rsid w:val="00744409"/>
    <w:rsid w:val="00744F5D"/>
    <w:rsid w:val="007455A4"/>
    <w:rsid w:val="00746B85"/>
    <w:rsid w:val="007501F2"/>
    <w:rsid w:val="00750A5B"/>
    <w:rsid w:val="00750DF5"/>
    <w:rsid w:val="007510D7"/>
    <w:rsid w:val="007517FD"/>
    <w:rsid w:val="00751FDB"/>
    <w:rsid w:val="00752BDD"/>
    <w:rsid w:val="007530EB"/>
    <w:rsid w:val="007533D5"/>
    <w:rsid w:val="00753568"/>
    <w:rsid w:val="00753E30"/>
    <w:rsid w:val="00760006"/>
    <w:rsid w:val="007605B5"/>
    <w:rsid w:val="007608DE"/>
    <w:rsid w:val="007608DF"/>
    <w:rsid w:val="00761BDA"/>
    <w:rsid w:val="00763413"/>
    <w:rsid w:val="00764470"/>
    <w:rsid w:val="00764991"/>
    <w:rsid w:val="007656E4"/>
    <w:rsid w:val="00767546"/>
    <w:rsid w:val="00767C95"/>
    <w:rsid w:val="00770C63"/>
    <w:rsid w:val="007719EA"/>
    <w:rsid w:val="00772A74"/>
    <w:rsid w:val="00772C88"/>
    <w:rsid w:val="007735A3"/>
    <w:rsid w:val="00774836"/>
    <w:rsid w:val="00775A34"/>
    <w:rsid w:val="00775F5D"/>
    <w:rsid w:val="00776D94"/>
    <w:rsid w:val="0077706C"/>
    <w:rsid w:val="007772FF"/>
    <w:rsid w:val="0078136A"/>
    <w:rsid w:val="00781E1B"/>
    <w:rsid w:val="00782AB1"/>
    <w:rsid w:val="00783690"/>
    <w:rsid w:val="00783D46"/>
    <w:rsid w:val="007842A3"/>
    <w:rsid w:val="00784AA7"/>
    <w:rsid w:val="00784ED1"/>
    <w:rsid w:val="00785640"/>
    <w:rsid w:val="00786B46"/>
    <w:rsid w:val="0078790D"/>
    <w:rsid w:val="00787C54"/>
    <w:rsid w:val="00787E92"/>
    <w:rsid w:val="007902C4"/>
    <w:rsid w:val="00792DD3"/>
    <w:rsid w:val="007949BB"/>
    <w:rsid w:val="0079531D"/>
    <w:rsid w:val="0079768C"/>
    <w:rsid w:val="007A0A4F"/>
    <w:rsid w:val="007A0A75"/>
    <w:rsid w:val="007A21E7"/>
    <w:rsid w:val="007A342A"/>
    <w:rsid w:val="007A374E"/>
    <w:rsid w:val="007A37E0"/>
    <w:rsid w:val="007A420A"/>
    <w:rsid w:val="007A4321"/>
    <w:rsid w:val="007A4654"/>
    <w:rsid w:val="007A5A62"/>
    <w:rsid w:val="007A5A74"/>
    <w:rsid w:val="007A71FA"/>
    <w:rsid w:val="007A7484"/>
    <w:rsid w:val="007A7729"/>
    <w:rsid w:val="007B100F"/>
    <w:rsid w:val="007B162E"/>
    <w:rsid w:val="007B2385"/>
    <w:rsid w:val="007B2E85"/>
    <w:rsid w:val="007B3A97"/>
    <w:rsid w:val="007B40EF"/>
    <w:rsid w:val="007B4A23"/>
    <w:rsid w:val="007B5996"/>
    <w:rsid w:val="007C07CC"/>
    <w:rsid w:val="007C0922"/>
    <w:rsid w:val="007C189D"/>
    <w:rsid w:val="007C1F93"/>
    <w:rsid w:val="007C1FF4"/>
    <w:rsid w:val="007C210D"/>
    <w:rsid w:val="007C22E4"/>
    <w:rsid w:val="007C3322"/>
    <w:rsid w:val="007C4494"/>
    <w:rsid w:val="007C5C51"/>
    <w:rsid w:val="007C621B"/>
    <w:rsid w:val="007C792A"/>
    <w:rsid w:val="007D0861"/>
    <w:rsid w:val="007D0D14"/>
    <w:rsid w:val="007D0D94"/>
    <w:rsid w:val="007D1EA6"/>
    <w:rsid w:val="007D20B8"/>
    <w:rsid w:val="007D3004"/>
    <w:rsid w:val="007D3A5C"/>
    <w:rsid w:val="007D3AC7"/>
    <w:rsid w:val="007D5267"/>
    <w:rsid w:val="007D61D2"/>
    <w:rsid w:val="007D6C35"/>
    <w:rsid w:val="007D70A1"/>
    <w:rsid w:val="007D75A2"/>
    <w:rsid w:val="007D7CD6"/>
    <w:rsid w:val="007E268A"/>
    <w:rsid w:val="007E3DDA"/>
    <w:rsid w:val="007E4296"/>
    <w:rsid w:val="007E4402"/>
    <w:rsid w:val="007E4BDC"/>
    <w:rsid w:val="007E7EB5"/>
    <w:rsid w:val="007F0285"/>
    <w:rsid w:val="007F1689"/>
    <w:rsid w:val="007F16DD"/>
    <w:rsid w:val="007F183F"/>
    <w:rsid w:val="007F1891"/>
    <w:rsid w:val="007F3B5B"/>
    <w:rsid w:val="007F462B"/>
    <w:rsid w:val="007F4B3F"/>
    <w:rsid w:val="007F6AA5"/>
    <w:rsid w:val="007F6BD3"/>
    <w:rsid w:val="007F6C11"/>
    <w:rsid w:val="007F6D0A"/>
    <w:rsid w:val="007F72F4"/>
    <w:rsid w:val="007F7945"/>
    <w:rsid w:val="0080278E"/>
    <w:rsid w:val="00802DD4"/>
    <w:rsid w:val="00803DD1"/>
    <w:rsid w:val="0080488F"/>
    <w:rsid w:val="00804DDB"/>
    <w:rsid w:val="008057F3"/>
    <w:rsid w:val="0080702A"/>
    <w:rsid w:val="008071A2"/>
    <w:rsid w:val="008072CE"/>
    <w:rsid w:val="00807562"/>
    <w:rsid w:val="00807E86"/>
    <w:rsid w:val="00810531"/>
    <w:rsid w:val="008109E9"/>
    <w:rsid w:val="00811B17"/>
    <w:rsid w:val="008132E8"/>
    <w:rsid w:val="008145AC"/>
    <w:rsid w:val="008147B9"/>
    <w:rsid w:val="00820DB2"/>
    <w:rsid w:val="0082125B"/>
    <w:rsid w:val="008216B1"/>
    <w:rsid w:val="00821C55"/>
    <w:rsid w:val="00821FAC"/>
    <w:rsid w:val="0082250C"/>
    <w:rsid w:val="00822685"/>
    <w:rsid w:val="00822835"/>
    <w:rsid w:val="00823407"/>
    <w:rsid w:val="00824E97"/>
    <w:rsid w:val="008252CB"/>
    <w:rsid w:val="00826A21"/>
    <w:rsid w:val="008270BA"/>
    <w:rsid w:val="008302D6"/>
    <w:rsid w:val="00830507"/>
    <w:rsid w:val="008305D8"/>
    <w:rsid w:val="00831AAA"/>
    <w:rsid w:val="00831FA2"/>
    <w:rsid w:val="00832C3B"/>
    <w:rsid w:val="00833D94"/>
    <w:rsid w:val="00834102"/>
    <w:rsid w:val="0083499A"/>
    <w:rsid w:val="00835126"/>
    <w:rsid w:val="008359CA"/>
    <w:rsid w:val="00836D3C"/>
    <w:rsid w:val="00836FBA"/>
    <w:rsid w:val="00837244"/>
    <w:rsid w:val="0083728F"/>
    <w:rsid w:val="008376AF"/>
    <w:rsid w:val="008377CE"/>
    <w:rsid w:val="008378DA"/>
    <w:rsid w:val="008408F8"/>
    <w:rsid w:val="00841A39"/>
    <w:rsid w:val="00843103"/>
    <w:rsid w:val="008442DE"/>
    <w:rsid w:val="008464E0"/>
    <w:rsid w:val="00850AB7"/>
    <w:rsid w:val="00851D38"/>
    <w:rsid w:val="0085209D"/>
    <w:rsid w:val="00852602"/>
    <w:rsid w:val="00852C44"/>
    <w:rsid w:val="00853E01"/>
    <w:rsid w:val="00853EDC"/>
    <w:rsid w:val="00855C72"/>
    <w:rsid w:val="00857695"/>
    <w:rsid w:val="008608E0"/>
    <w:rsid w:val="00860C38"/>
    <w:rsid w:val="00861165"/>
    <w:rsid w:val="008615FF"/>
    <w:rsid w:val="00861883"/>
    <w:rsid w:val="008621FB"/>
    <w:rsid w:val="0086250C"/>
    <w:rsid w:val="008643F8"/>
    <w:rsid w:val="00864DF8"/>
    <w:rsid w:val="00866122"/>
    <w:rsid w:val="008701FF"/>
    <w:rsid w:val="00870338"/>
    <w:rsid w:val="008717E3"/>
    <w:rsid w:val="00871B53"/>
    <w:rsid w:val="00872426"/>
    <w:rsid w:val="00872FA1"/>
    <w:rsid w:val="008740B0"/>
    <w:rsid w:val="0087496D"/>
    <w:rsid w:val="00875AFA"/>
    <w:rsid w:val="008761BD"/>
    <w:rsid w:val="00876DFA"/>
    <w:rsid w:val="00881209"/>
    <w:rsid w:val="00882289"/>
    <w:rsid w:val="00882EE0"/>
    <w:rsid w:val="00883428"/>
    <w:rsid w:val="00883AEB"/>
    <w:rsid w:val="00883F22"/>
    <w:rsid w:val="00884610"/>
    <w:rsid w:val="00884A9F"/>
    <w:rsid w:val="00884DF3"/>
    <w:rsid w:val="00885490"/>
    <w:rsid w:val="00887A94"/>
    <w:rsid w:val="00887FBF"/>
    <w:rsid w:val="0089000F"/>
    <w:rsid w:val="00890518"/>
    <w:rsid w:val="00893C58"/>
    <w:rsid w:val="008949D0"/>
    <w:rsid w:val="00895100"/>
    <w:rsid w:val="00897805"/>
    <w:rsid w:val="00897B00"/>
    <w:rsid w:val="00897E2C"/>
    <w:rsid w:val="008A01D6"/>
    <w:rsid w:val="008A0901"/>
    <w:rsid w:val="008A2BFD"/>
    <w:rsid w:val="008A2F4E"/>
    <w:rsid w:val="008A30E9"/>
    <w:rsid w:val="008A3E1B"/>
    <w:rsid w:val="008A4601"/>
    <w:rsid w:val="008A607A"/>
    <w:rsid w:val="008A6494"/>
    <w:rsid w:val="008A68B8"/>
    <w:rsid w:val="008A70EC"/>
    <w:rsid w:val="008B0184"/>
    <w:rsid w:val="008B12E0"/>
    <w:rsid w:val="008B162C"/>
    <w:rsid w:val="008B1B9C"/>
    <w:rsid w:val="008B1C8D"/>
    <w:rsid w:val="008B2721"/>
    <w:rsid w:val="008B2993"/>
    <w:rsid w:val="008B3FFC"/>
    <w:rsid w:val="008B4952"/>
    <w:rsid w:val="008B4BBF"/>
    <w:rsid w:val="008B4D53"/>
    <w:rsid w:val="008B4D80"/>
    <w:rsid w:val="008B5535"/>
    <w:rsid w:val="008B6469"/>
    <w:rsid w:val="008C06F1"/>
    <w:rsid w:val="008C4346"/>
    <w:rsid w:val="008C5409"/>
    <w:rsid w:val="008C563E"/>
    <w:rsid w:val="008C5B12"/>
    <w:rsid w:val="008C5D02"/>
    <w:rsid w:val="008D00DC"/>
    <w:rsid w:val="008D0F42"/>
    <w:rsid w:val="008D1462"/>
    <w:rsid w:val="008D2371"/>
    <w:rsid w:val="008D2649"/>
    <w:rsid w:val="008D30FD"/>
    <w:rsid w:val="008D3593"/>
    <w:rsid w:val="008D35F5"/>
    <w:rsid w:val="008D6044"/>
    <w:rsid w:val="008E061D"/>
    <w:rsid w:val="008E0768"/>
    <w:rsid w:val="008E0B00"/>
    <w:rsid w:val="008E2873"/>
    <w:rsid w:val="008E3B80"/>
    <w:rsid w:val="008E456F"/>
    <w:rsid w:val="008E484B"/>
    <w:rsid w:val="008E4ADB"/>
    <w:rsid w:val="008E56C8"/>
    <w:rsid w:val="008E65B4"/>
    <w:rsid w:val="008E7045"/>
    <w:rsid w:val="008E7F44"/>
    <w:rsid w:val="008F04A6"/>
    <w:rsid w:val="008F0BA9"/>
    <w:rsid w:val="008F12CE"/>
    <w:rsid w:val="008F174E"/>
    <w:rsid w:val="008F1800"/>
    <w:rsid w:val="008F2B62"/>
    <w:rsid w:val="008F37A3"/>
    <w:rsid w:val="008F3B69"/>
    <w:rsid w:val="008F3ECC"/>
    <w:rsid w:val="008F4D0A"/>
    <w:rsid w:val="008F537A"/>
    <w:rsid w:val="008F72A1"/>
    <w:rsid w:val="008F72C3"/>
    <w:rsid w:val="008F7873"/>
    <w:rsid w:val="00900BFC"/>
    <w:rsid w:val="00904E20"/>
    <w:rsid w:val="0090568D"/>
    <w:rsid w:val="009059D8"/>
    <w:rsid w:val="00905C1C"/>
    <w:rsid w:val="009061C8"/>
    <w:rsid w:val="00907737"/>
    <w:rsid w:val="009125C9"/>
    <w:rsid w:val="00912A82"/>
    <w:rsid w:val="00912A9B"/>
    <w:rsid w:val="00913879"/>
    <w:rsid w:val="00913DBF"/>
    <w:rsid w:val="009159F9"/>
    <w:rsid w:val="00917661"/>
    <w:rsid w:val="00917C70"/>
    <w:rsid w:val="0092013F"/>
    <w:rsid w:val="009210DF"/>
    <w:rsid w:val="00922016"/>
    <w:rsid w:val="00922DBE"/>
    <w:rsid w:val="009233B0"/>
    <w:rsid w:val="00924E7F"/>
    <w:rsid w:val="0092797A"/>
    <w:rsid w:val="00930097"/>
    <w:rsid w:val="0093069A"/>
    <w:rsid w:val="00930DF8"/>
    <w:rsid w:val="00931769"/>
    <w:rsid w:val="00932715"/>
    <w:rsid w:val="0093554F"/>
    <w:rsid w:val="009366FE"/>
    <w:rsid w:val="00940032"/>
    <w:rsid w:val="00940424"/>
    <w:rsid w:val="00940CB3"/>
    <w:rsid w:val="00940E8E"/>
    <w:rsid w:val="00942F22"/>
    <w:rsid w:val="00944490"/>
    <w:rsid w:val="009449DC"/>
    <w:rsid w:val="00944EED"/>
    <w:rsid w:val="009452C9"/>
    <w:rsid w:val="009464BC"/>
    <w:rsid w:val="00946BAE"/>
    <w:rsid w:val="0095012B"/>
    <w:rsid w:val="0095015A"/>
    <w:rsid w:val="00950DF0"/>
    <w:rsid w:val="00951144"/>
    <w:rsid w:val="00951224"/>
    <w:rsid w:val="00951DE6"/>
    <w:rsid w:val="009527E8"/>
    <w:rsid w:val="00952CB8"/>
    <w:rsid w:val="00953876"/>
    <w:rsid w:val="00953BB6"/>
    <w:rsid w:val="00954A75"/>
    <w:rsid w:val="00954B4D"/>
    <w:rsid w:val="0095528E"/>
    <w:rsid w:val="0095659E"/>
    <w:rsid w:val="0096097E"/>
    <w:rsid w:val="00960D10"/>
    <w:rsid w:val="009614D4"/>
    <w:rsid w:val="00964180"/>
    <w:rsid w:val="009661C3"/>
    <w:rsid w:val="0096687D"/>
    <w:rsid w:val="009670EE"/>
    <w:rsid w:val="00970E5D"/>
    <w:rsid w:val="009726A4"/>
    <w:rsid w:val="00973BBB"/>
    <w:rsid w:val="00973FA8"/>
    <w:rsid w:val="0097433F"/>
    <w:rsid w:val="00975BBA"/>
    <w:rsid w:val="00976326"/>
    <w:rsid w:val="0097696E"/>
    <w:rsid w:val="0097701C"/>
    <w:rsid w:val="00977D8F"/>
    <w:rsid w:val="00980A65"/>
    <w:rsid w:val="00981CE6"/>
    <w:rsid w:val="009839AD"/>
    <w:rsid w:val="00983A91"/>
    <w:rsid w:val="0098466F"/>
    <w:rsid w:val="00984670"/>
    <w:rsid w:val="00985ADE"/>
    <w:rsid w:val="00986171"/>
    <w:rsid w:val="009865E5"/>
    <w:rsid w:val="00986883"/>
    <w:rsid w:val="00986F18"/>
    <w:rsid w:val="0099267C"/>
    <w:rsid w:val="009930EA"/>
    <w:rsid w:val="009934A2"/>
    <w:rsid w:val="0099384B"/>
    <w:rsid w:val="009938FA"/>
    <w:rsid w:val="0099395B"/>
    <w:rsid w:val="00994E53"/>
    <w:rsid w:val="009956AB"/>
    <w:rsid w:val="00996847"/>
    <w:rsid w:val="009968BD"/>
    <w:rsid w:val="009977C5"/>
    <w:rsid w:val="009A02B9"/>
    <w:rsid w:val="009A0BD8"/>
    <w:rsid w:val="009A157A"/>
    <w:rsid w:val="009A1B97"/>
    <w:rsid w:val="009A1C54"/>
    <w:rsid w:val="009A26ED"/>
    <w:rsid w:val="009A273C"/>
    <w:rsid w:val="009A2C14"/>
    <w:rsid w:val="009A31E0"/>
    <w:rsid w:val="009A3617"/>
    <w:rsid w:val="009A3E7A"/>
    <w:rsid w:val="009A44B8"/>
    <w:rsid w:val="009A493E"/>
    <w:rsid w:val="009A56DC"/>
    <w:rsid w:val="009A6C9D"/>
    <w:rsid w:val="009A6F5B"/>
    <w:rsid w:val="009A7C7E"/>
    <w:rsid w:val="009B03C8"/>
    <w:rsid w:val="009B1852"/>
    <w:rsid w:val="009B1BAD"/>
    <w:rsid w:val="009B222A"/>
    <w:rsid w:val="009B2B38"/>
    <w:rsid w:val="009B3B14"/>
    <w:rsid w:val="009B4126"/>
    <w:rsid w:val="009B43F4"/>
    <w:rsid w:val="009B45F4"/>
    <w:rsid w:val="009B4783"/>
    <w:rsid w:val="009B4E8E"/>
    <w:rsid w:val="009B79C0"/>
    <w:rsid w:val="009B7E16"/>
    <w:rsid w:val="009B7FFD"/>
    <w:rsid w:val="009C0192"/>
    <w:rsid w:val="009C0295"/>
    <w:rsid w:val="009C033B"/>
    <w:rsid w:val="009C14D0"/>
    <w:rsid w:val="009C29E6"/>
    <w:rsid w:val="009C328C"/>
    <w:rsid w:val="009C45E6"/>
    <w:rsid w:val="009C566E"/>
    <w:rsid w:val="009C5CFB"/>
    <w:rsid w:val="009C64E5"/>
    <w:rsid w:val="009D1290"/>
    <w:rsid w:val="009D181A"/>
    <w:rsid w:val="009D267F"/>
    <w:rsid w:val="009D3AE5"/>
    <w:rsid w:val="009D4398"/>
    <w:rsid w:val="009D66A1"/>
    <w:rsid w:val="009E1290"/>
    <w:rsid w:val="009E1955"/>
    <w:rsid w:val="009E1BB0"/>
    <w:rsid w:val="009E2610"/>
    <w:rsid w:val="009E450E"/>
    <w:rsid w:val="009E677A"/>
    <w:rsid w:val="009E6AF4"/>
    <w:rsid w:val="009E6FAA"/>
    <w:rsid w:val="009E7424"/>
    <w:rsid w:val="009E7C56"/>
    <w:rsid w:val="009E7F1C"/>
    <w:rsid w:val="009F10BB"/>
    <w:rsid w:val="009F233D"/>
    <w:rsid w:val="009F288A"/>
    <w:rsid w:val="009F3523"/>
    <w:rsid w:val="009F3997"/>
    <w:rsid w:val="009F3DF6"/>
    <w:rsid w:val="009F3E3F"/>
    <w:rsid w:val="009F434D"/>
    <w:rsid w:val="009F4926"/>
    <w:rsid w:val="00A00C85"/>
    <w:rsid w:val="00A00DED"/>
    <w:rsid w:val="00A02841"/>
    <w:rsid w:val="00A02868"/>
    <w:rsid w:val="00A05F03"/>
    <w:rsid w:val="00A06588"/>
    <w:rsid w:val="00A107D8"/>
    <w:rsid w:val="00A10A07"/>
    <w:rsid w:val="00A11785"/>
    <w:rsid w:val="00A11C41"/>
    <w:rsid w:val="00A12439"/>
    <w:rsid w:val="00A14861"/>
    <w:rsid w:val="00A15163"/>
    <w:rsid w:val="00A1525A"/>
    <w:rsid w:val="00A153A9"/>
    <w:rsid w:val="00A174BB"/>
    <w:rsid w:val="00A20302"/>
    <w:rsid w:val="00A20EB3"/>
    <w:rsid w:val="00A20F97"/>
    <w:rsid w:val="00A23ED5"/>
    <w:rsid w:val="00A24FD8"/>
    <w:rsid w:val="00A256ED"/>
    <w:rsid w:val="00A25E70"/>
    <w:rsid w:val="00A27F17"/>
    <w:rsid w:val="00A316A9"/>
    <w:rsid w:val="00A31F1A"/>
    <w:rsid w:val="00A328AA"/>
    <w:rsid w:val="00A3332C"/>
    <w:rsid w:val="00A33765"/>
    <w:rsid w:val="00A33B07"/>
    <w:rsid w:val="00A347A9"/>
    <w:rsid w:val="00A351E4"/>
    <w:rsid w:val="00A354B9"/>
    <w:rsid w:val="00A35A13"/>
    <w:rsid w:val="00A36C83"/>
    <w:rsid w:val="00A37CCA"/>
    <w:rsid w:val="00A40422"/>
    <w:rsid w:val="00A407E6"/>
    <w:rsid w:val="00A40D99"/>
    <w:rsid w:val="00A40DA8"/>
    <w:rsid w:val="00A40F30"/>
    <w:rsid w:val="00A41E15"/>
    <w:rsid w:val="00A42A22"/>
    <w:rsid w:val="00A42B1E"/>
    <w:rsid w:val="00A42E11"/>
    <w:rsid w:val="00A44587"/>
    <w:rsid w:val="00A44B15"/>
    <w:rsid w:val="00A44C4A"/>
    <w:rsid w:val="00A468F7"/>
    <w:rsid w:val="00A47354"/>
    <w:rsid w:val="00A47442"/>
    <w:rsid w:val="00A4755F"/>
    <w:rsid w:val="00A50869"/>
    <w:rsid w:val="00A51AFB"/>
    <w:rsid w:val="00A51C48"/>
    <w:rsid w:val="00A52005"/>
    <w:rsid w:val="00A5206F"/>
    <w:rsid w:val="00A52665"/>
    <w:rsid w:val="00A541CB"/>
    <w:rsid w:val="00A545C2"/>
    <w:rsid w:val="00A54C74"/>
    <w:rsid w:val="00A5566C"/>
    <w:rsid w:val="00A6019C"/>
    <w:rsid w:val="00A628B3"/>
    <w:rsid w:val="00A63269"/>
    <w:rsid w:val="00A711FB"/>
    <w:rsid w:val="00A71495"/>
    <w:rsid w:val="00A7185D"/>
    <w:rsid w:val="00A71913"/>
    <w:rsid w:val="00A730A5"/>
    <w:rsid w:val="00A73253"/>
    <w:rsid w:val="00A73C2C"/>
    <w:rsid w:val="00A754C7"/>
    <w:rsid w:val="00A755BD"/>
    <w:rsid w:val="00A76C1F"/>
    <w:rsid w:val="00A7799A"/>
    <w:rsid w:val="00A80ECE"/>
    <w:rsid w:val="00A81C48"/>
    <w:rsid w:val="00A81EBB"/>
    <w:rsid w:val="00A82308"/>
    <w:rsid w:val="00A82C5B"/>
    <w:rsid w:val="00A82C95"/>
    <w:rsid w:val="00A83EA7"/>
    <w:rsid w:val="00A844D7"/>
    <w:rsid w:val="00A84509"/>
    <w:rsid w:val="00A84AED"/>
    <w:rsid w:val="00A84E59"/>
    <w:rsid w:val="00A84E72"/>
    <w:rsid w:val="00A86567"/>
    <w:rsid w:val="00A86C2F"/>
    <w:rsid w:val="00A870DC"/>
    <w:rsid w:val="00A879CA"/>
    <w:rsid w:val="00A87AE6"/>
    <w:rsid w:val="00A90721"/>
    <w:rsid w:val="00A91521"/>
    <w:rsid w:val="00A92377"/>
    <w:rsid w:val="00A92D51"/>
    <w:rsid w:val="00A95AC6"/>
    <w:rsid w:val="00AA0551"/>
    <w:rsid w:val="00AA22E1"/>
    <w:rsid w:val="00AA2E33"/>
    <w:rsid w:val="00AA477B"/>
    <w:rsid w:val="00AA4BF1"/>
    <w:rsid w:val="00AA5047"/>
    <w:rsid w:val="00AA588C"/>
    <w:rsid w:val="00AA59C3"/>
    <w:rsid w:val="00AB0951"/>
    <w:rsid w:val="00AB13E4"/>
    <w:rsid w:val="00AB29DF"/>
    <w:rsid w:val="00AB29ED"/>
    <w:rsid w:val="00AB2F67"/>
    <w:rsid w:val="00AB3387"/>
    <w:rsid w:val="00AB559A"/>
    <w:rsid w:val="00AB573C"/>
    <w:rsid w:val="00AB5AE1"/>
    <w:rsid w:val="00AB5D10"/>
    <w:rsid w:val="00AB5F54"/>
    <w:rsid w:val="00AB67EF"/>
    <w:rsid w:val="00AB6D94"/>
    <w:rsid w:val="00AB717F"/>
    <w:rsid w:val="00AB72B4"/>
    <w:rsid w:val="00AB793B"/>
    <w:rsid w:val="00AC0053"/>
    <w:rsid w:val="00AC0C55"/>
    <w:rsid w:val="00AC12D4"/>
    <w:rsid w:val="00AC1C12"/>
    <w:rsid w:val="00AC1EC7"/>
    <w:rsid w:val="00AC20C3"/>
    <w:rsid w:val="00AC239C"/>
    <w:rsid w:val="00AC285C"/>
    <w:rsid w:val="00AC2DA9"/>
    <w:rsid w:val="00AC4EEE"/>
    <w:rsid w:val="00AC50C5"/>
    <w:rsid w:val="00AC62E9"/>
    <w:rsid w:val="00AD2EDB"/>
    <w:rsid w:val="00AD66DB"/>
    <w:rsid w:val="00AD6FE8"/>
    <w:rsid w:val="00AE19D8"/>
    <w:rsid w:val="00AE1B06"/>
    <w:rsid w:val="00AE1D1D"/>
    <w:rsid w:val="00AE274B"/>
    <w:rsid w:val="00AE2A1E"/>
    <w:rsid w:val="00AE3425"/>
    <w:rsid w:val="00AE3E47"/>
    <w:rsid w:val="00AE40BD"/>
    <w:rsid w:val="00AE4BD8"/>
    <w:rsid w:val="00AE5C77"/>
    <w:rsid w:val="00AE5CF2"/>
    <w:rsid w:val="00AE655D"/>
    <w:rsid w:val="00AE69CC"/>
    <w:rsid w:val="00AE7253"/>
    <w:rsid w:val="00AE7FB2"/>
    <w:rsid w:val="00AF05DF"/>
    <w:rsid w:val="00AF26D9"/>
    <w:rsid w:val="00AF2865"/>
    <w:rsid w:val="00AF2CF6"/>
    <w:rsid w:val="00AF33C7"/>
    <w:rsid w:val="00AF3BB2"/>
    <w:rsid w:val="00AF402C"/>
    <w:rsid w:val="00AF44B3"/>
    <w:rsid w:val="00AF4D27"/>
    <w:rsid w:val="00AF51C5"/>
    <w:rsid w:val="00AF53AD"/>
    <w:rsid w:val="00AF6087"/>
    <w:rsid w:val="00AF635E"/>
    <w:rsid w:val="00AF7907"/>
    <w:rsid w:val="00B004A9"/>
    <w:rsid w:val="00B005FA"/>
    <w:rsid w:val="00B008BD"/>
    <w:rsid w:val="00B02004"/>
    <w:rsid w:val="00B02950"/>
    <w:rsid w:val="00B02F0F"/>
    <w:rsid w:val="00B03B85"/>
    <w:rsid w:val="00B042E0"/>
    <w:rsid w:val="00B06F2A"/>
    <w:rsid w:val="00B0731F"/>
    <w:rsid w:val="00B073DF"/>
    <w:rsid w:val="00B077E9"/>
    <w:rsid w:val="00B10532"/>
    <w:rsid w:val="00B10943"/>
    <w:rsid w:val="00B1240A"/>
    <w:rsid w:val="00B1276A"/>
    <w:rsid w:val="00B1595F"/>
    <w:rsid w:val="00B15B61"/>
    <w:rsid w:val="00B21DE1"/>
    <w:rsid w:val="00B22158"/>
    <w:rsid w:val="00B228FF"/>
    <w:rsid w:val="00B22DF0"/>
    <w:rsid w:val="00B234AC"/>
    <w:rsid w:val="00B24F3E"/>
    <w:rsid w:val="00B25ED3"/>
    <w:rsid w:val="00B26424"/>
    <w:rsid w:val="00B26B8E"/>
    <w:rsid w:val="00B27603"/>
    <w:rsid w:val="00B27FDF"/>
    <w:rsid w:val="00B314FF"/>
    <w:rsid w:val="00B31735"/>
    <w:rsid w:val="00B3186F"/>
    <w:rsid w:val="00B31FD6"/>
    <w:rsid w:val="00B3712D"/>
    <w:rsid w:val="00B378C0"/>
    <w:rsid w:val="00B40393"/>
    <w:rsid w:val="00B40DD9"/>
    <w:rsid w:val="00B41850"/>
    <w:rsid w:val="00B4388F"/>
    <w:rsid w:val="00B447E3"/>
    <w:rsid w:val="00B4511F"/>
    <w:rsid w:val="00B452AC"/>
    <w:rsid w:val="00B45F9B"/>
    <w:rsid w:val="00B47AA6"/>
    <w:rsid w:val="00B47BA2"/>
    <w:rsid w:val="00B47CB5"/>
    <w:rsid w:val="00B47F31"/>
    <w:rsid w:val="00B50967"/>
    <w:rsid w:val="00B50F65"/>
    <w:rsid w:val="00B50F8B"/>
    <w:rsid w:val="00B512F5"/>
    <w:rsid w:val="00B51761"/>
    <w:rsid w:val="00B51BBD"/>
    <w:rsid w:val="00B52517"/>
    <w:rsid w:val="00B527C5"/>
    <w:rsid w:val="00B52987"/>
    <w:rsid w:val="00B535E0"/>
    <w:rsid w:val="00B540F6"/>
    <w:rsid w:val="00B54EE5"/>
    <w:rsid w:val="00B56D3C"/>
    <w:rsid w:val="00B56FA5"/>
    <w:rsid w:val="00B61AD1"/>
    <w:rsid w:val="00B63237"/>
    <w:rsid w:val="00B636E0"/>
    <w:rsid w:val="00B636F0"/>
    <w:rsid w:val="00B63E30"/>
    <w:rsid w:val="00B63F69"/>
    <w:rsid w:val="00B64A93"/>
    <w:rsid w:val="00B64D01"/>
    <w:rsid w:val="00B653F6"/>
    <w:rsid w:val="00B658E1"/>
    <w:rsid w:val="00B65C14"/>
    <w:rsid w:val="00B65CF5"/>
    <w:rsid w:val="00B7227B"/>
    <w:rsid w:val="00B72565"/>
    <w:rsid w:val="00B725F1"/>
    <w:rsid w:val="00B72A38"/>
    <w:rsid w:val="00B7358E"/>
    <w:rsid w:val="00B762D8"/>
    <w:rsid w:val="00B76590"/>
    <w:rsid w:val="00B76745"/>
    <w:rsid w:val="00B7736C"/>
    <w:rsid w:val="00B7739B"/>
    <w:rsid w:val="00B77A0F"/>
    <w:rsid w:val="00B80D7E"/>
    <w:rsid w:val="00B818A5"/>
    <w:rsid w:val="00B82A3E"/>
    <w:rsid w:val="00B83332"/>
    <w:rsid w:val="00B833BC"/>
    <w:rsid w:val="00B836B7"/>
    <w:rsid w:val="00B83800"/>
    <w:rsid w:val="00B8480B"/>
    <w:rsid w:val="00B8534E"/>
    <w:rsid w:val="00B856E9"/>
    <w:rsid w:val="00B86052"/>
    <w:rsid w:val="00B866D6"/>
    <w:rsid w:val="00B8755C"/>
    <w:rsid w:val="00B9287D"/>
    <w:rsid w:val="00B928F4"/>
    <w:rsid w:val="00B93488"/>
    <w:rsid w:val="00B93547"/>
    <w:rsid w:val="00B93773"/>
    <w:rsid w:val="00B93A13"/>
    <w:rsid w:val="00B9445D"/>
    <w:rsid w:val="00B94D60"/>
    <w:rsid w:val="00B95044"/>
    <w:rsid w:val="00B97E8E"/>
    <w:rsid w:val="00BA04FB"/>
    <w:rsid w:val="00BA09A9"/>
    <w:rsid w:val="00BA3B5F"/>
    <w:rsid w:val="00BA3C4A"/>
    <w:rsid w:val="00BA3D10"/>
    <w:rsid w:val="00BA3EB5"/>
    <w:rsid w:val="00BA5AA3"/>
    <w:rsid w:val="00BA5F46"/>
    <w:rsid w:val="00BA65E9"/>
    <w:rsid w:val="00BB04DD"/>
    <w:rsid w:val="00BB0CAC"/>
    <w:rsid w:val="00BB0CEC"/>
    <w:rsid w:val="00BB1435"/>
    <w:rsid w:val="00BB1941"/>
    <w:rsid w:val="00BB1C3A"/>
    <w:rsid w:val="00BB246E"/>
    <w:rsid w:val="00BB304A"/>
    <w:rsid w:val="00BB37D1"/>
    <w:rsid w:val="00BB4C24"/>
    <w:rsid w:val="00BB628F"/>
    <w:rsid w:val="00BB67B2"/>
    <w:rsid w:val="00BB69A1"/>
    <w:rsid w:val="00BB7463"/>
    <w:rsid w:val="00BB7EB2"/>
    <w:rsid w:val="00BC12CE"/>
    <w:rsid w:val="00BC1732"/>
    <w:rsid w:val="00BC1FB8"/>
    <w:rsid w:val="00BC2434"/>
    <w:rsid w:val="00BC28FB"/>
    <w:rsid w:val="00BC2BCB"/>
    <w:rsid w:val="00BC32AC"/>
    <w:rsid w:val="00BC4757"/>
    <w:rsid w:val="00BC4933"/>
    <w:rsid w:val="00BC4B56"/>
    <w:rsid w:val="00BC5E84"/>
    <w:rsid w:val="00BC61C5"/>
    <w:rsid w:val="00BC6CC2"/>
    <w:rsid w:val="00BC717D"/>
    <w:rsid w:val="00BD0993"/>
    <w:rsid w:val="00BD0EC0"/>
    <w:rsid w:val="00BD1BCD"/>
    <w:rsid w:val="00BD1DB5"/>
    <w:rsid w:val="00BD2065"/>
    <w:rsid w:val="00BD222E"/>
    <w:rsid w:val="00BD22B0"/>
    <w:rsid w:val="00BD2758"/>
    <w:rsid w:val="00BD3AD9"/>
    <w:rsid w:val="00BD4377"/>
    <w:rsid w:val="00BD4CC1"/>
    <w:rsid w:val="00BD5D7B"/>
    <w:rsid w:val="00BD678D"/>
    <w:rsid w:val="00BE21A5"/>
    <w:rsid w:val="00BE3102"/>
    <w:rsid w:val="00BE4607"/>
    <w:rsid w:val="00BE4FA1"/>
    <w:rsid w:val="00BE54AD"/>
    <w:rsid w:val="00BE6B25"/>
    <w:rsid w:val="00BF0458"/>
    <w:rsid w:val="00BF089D"/>
    <w:rsid w:val="00BF12C9"/>
    <w:rsid w:val="00BF1AB2"/>
    <w:rsid w:val="00BF3265"/>
    <w:rsid w:val="00BF3581"/>
    <w:rsid w:val="00BF37D3"/>
    <w:rsid w:val="00BF5124"/>
    <w:rsid w:val="00BF5952"/>
    <w:rsid w:val="00BF693D"/>
    <w:rsid w:val="00BF69D2"/>
    <w:rsid w:val="00BF6CDB"/>
    <w:rsid w:val="00C0031F"/>
    <w:rsid w:val="00C026B8"/>
    <w:rsid w:val="00C029B6"/>
    <w:rsid w:val="00C031F0"/>
    <w:rsid w:val="00C03686"/>
    <w:rsid w:val="00C05B9E"/>
    <w:rsid w:val="00C06090"/>
    <w:rsid w:val="00C07600"/>
    <w:rsid w:val="00C1025A"/>
    <w:rsid w:val="00C1092A"/>
    <w:rsid w:val="00C10CFF"/>
    <w:rsid w:val="00C117DA"/>
    <w:rsid w:val="00C11BA1"/>
    <w:rsid w:val="00C11FE6"/>
    <w:rsid w:val="00C16E73"/>
    <w:rsid w:val="00C177D9"/>
    <w:rsid w:val="00C204A3"/>
    <w:rsid w:val="00C20B06"/>
    <w:rsid w:val="00C217F9"/>
    <w:rsid w:val="00C21B6B"/>
    <w:rsid w:val="00C22ED9"/>
    <w:rsid w:val="00C24FD3"/>
    <w:rsid w:val="00C26411"/>
    <w:rsid w:val="00C27D98"/>
    <w:rsid w:val="00C305A5"/>
    <w:rsid w:val="00C31071"/>
    <w:rsid w:val="00C31113"/>
    <w:rsid w:val="00C31C94"/>
    <w:rsid w:val="00C3207D"/>
    <w:rsid w:val="00C332BB"/>
    <w:rsid w:val="00C33BC6"/>
    <w:rsid w:val="00C35821"/>
    <w:rsid w:val="00C364D2"/>
    <w:rsid w:val="00C37253"/>
    <w:rsid w:val="00C3786E"/>
    <w:rsid w:val="00C37D4F"/>
    <w:rsid w:val="00C40552"/>
    <w:rsid w:val="00C40AD1"/>
    <w:rsid w:val="00C40D15"/>
    <w:rsid w:val="00C426C4"/>
    <w:rsid w:val="00C43238"/>
    <w:rsid w:val="00C43F1E"/>
    <w:rsid w:val="00C44597"/>
    <w:rsid w:val="00C4505E"/>
    <w:rsid w:val="00C45A0C"/>
    <w:rsid w:val="00C45C1D"/>
    <w:rsid w:val="00C46BF3"/>
    <w:rsid w:val="00C47C39"/>
    <w:rsid w:val="00C501EB"/>
    <w:rsid w:val="00C51698"/>
    <w:rsid w:val="00C51FF3"/>
    <w:rsid w:val="00C52656"/>
    <w:rsid w:val="00C52B45"/>
    <w:rsid w:val="00C54225"/>
    <w:rsid w:val="00C54456"/>
    <w:rsid w:val="00C54900"/>
    <w:rsid w:val="00C55139"/>
    <w:rsid w:val="00C553C8"/>
    <w:rsid w:val="00C56B34"/>
    <w:rsid w:val="00C57B98"/>
    <w:rsid w:val="00C60A25"/>
    <w:rsid w:val="00C60F37"/>
    <w:rsid w:val="00C60F8F"/>
    <w:rsid w:val="00C61384"/>
    <w:rsid w:val="00C61A51"/>
    <w:rsid w:val="00C61AA4"/>
    <w:rsid w:val="00C6224E"/>
    <w:rsid w:val="00C6343E"/>
    <w:rsid w:val="00C6402B"/>
    <w:rsid w:val="00C64A8A"/>
    <w:rsid w:val="00C64FB9"/>
    <w:rsid w:val="00C65809"/>
    <w:rsid w:val="00C65BD6"/>
    <w:rsid w:val="00C661D9"/>
    <w:rsid w:val="00C66286"/>
    <w:rsid w:val="00C673AA"/>
    <w:rsid w:val="00C67648"/>
    <w:rsid w:val="00C67A50"/>
    <w:rsid w:val="00C70152"/>
    <w:rsid w:val="00C70228"/>
    <w:rsid w:val="00C72909"/>
    <w:rsid w:val="00C729C2"/>
    <w:rsid w:val="00C72BF3"/>
    <w:rsid w:val="00C743D4"/>
    <w:rsid w:val="00C750BA"/>
    <w:rsid w:val="00C7602D"/>
    <w:rsid w:val="00C76F6F"/>
    <w:rsid w:val="00C80F34"/>
    <w:rsid w:val="00C80F6A"/>
    <w:rsid w:val="00C80FEB"/>
    <w:rsid w:val="00C81602"/>
    <w:rsid w:val="00C8212D"/>
    <w:rsid w:val="00C829B9"/>
    <w:rsid w:val="00C83234"/>
    <w:rsid w:val="00C83770"/>
    <w:rsid w:val="00C842A3"/>
    <w:rsid w:val="00C84A03"/>
    <w:rsid w:val="00C86610"/>
    <w:rsid w:val="00C86AE3"/>
    <w:rsid w:val="00C86F65"/>
    <w:rsid w:val="00C87541"/>
    <w:rsid w:val="00C87D48"/>
    <w:rsid w:val="00C90491"/>
    <w:rsid w:val="00C905C0"/>
    <w:rsid w:val="00C90EEC"/>
    <w:rsid w:val="00C92CFF"/>
    <w:rsid w:val="00C946BF"/>
    <w:rsid w:val="00C94979"/>
    <w:rsid w:val="00C94E4C"/>
    <w:rsid w:val="00C95C89"/>
    <w:rsid w:val="00C960DC"/>
    <w:rsid w:val="00C96523"/>
    <w:rsid w:val="00C96597"/>
    <w:rsid w:val="00C97E1A"/>
    <w:rsid w:val="00CA0259"/>
    <w:rsid w:val="00CA0466"/>
    <w:rsid w:val="00CA0F66"/>
    <w:rsid w:val="00CA1239"/>
    <w:rsid w:val="00CA12E8"/>
    <w:rsid w:val="00CA1658"/>
    <w:rsid w:val="00CA1FD1"/>
    <w:rsid w:val="00CA33BD"/>
    <w:rsid w:val="00CA3F18"/>
    <w:rsid w:val="00CA52E1"/>
    <w:rsid w:val="00CA60EF"/>
    <w:rsid w:val="00CA7D01"/>
    <w:rsid w:val="00CB1332"/>
    <w:rsid w:val="00CB19AC"/>
    <w:rsid w:val="00CB26CF"/>
    <w:rsid w:val="00CB3D29"/>
    <w:rsid w:val="00CB49D0"/>
    <w:rsid w:val="00CB57A9"/>
    <w:rsid w:val="00CB6496"/>
    <w:rsid w:val="00CB64CD"/>
    <w:rsid w:val="00CB7C99"/>
    <w:rsid w:val="00CC070B"/>
    <w:rsid w:val="00CC1E0E"/>
    <w:rsid w:val="00CC3DF7"/>
    <w:rsid w:val="00CC4569"/>
    <w:rsid w:val="00CC5D84"/>
    <w:rsid w:val="00CC7B97"/>
    <w:rsid w:val="00CD0838"/>
    <w:rsid w:val="00CD0D2B"/>
    <w:rsid w:val="00CD20AD"/>
    <w:rsid w:val="00CD3289"/>
    <w:rsid w:val="00CD6F67"/>
    <w:rsid w:val="00CD7AB3"/>
    <w:rsid w:val="00CE1558"/>
    <w:rsid w:val="00CE1CB2"/>
    <w:rsid w:val="00CE2E00"/>
    <w:rsid w:val="00CE2ECB"/>
    <w:rsid w:val="00CE3A67"/>
    <w:rsid w:val="00CE3DB8"/>
    <w:rsid w:val="00CE3FCE"/>
    <w:rsid w:val="00CE7152"/>
    <w:rsid w:val="00CE7EA5"/>
    <w:rsid w:val="00CF0B6E"/>
    <w:rsid w:val="00CF1E6C"/>
    <w:rsid w:val="00CF28D7"/>
    <w:rsid w:val="00CF28D8"/>
    <w:rsid w:val="00CF3F9C"/>
    <w:rsid w:val="00CF4648"/>
    <w:rsid w:val="00CF4E5B"/>
    <w:rsid w:val="00CF5FF7"/>
    <w:rsid w:val="00CF6092"/>
    <w:rsid w:val="00CF75D2"/>
    <w:rsid w:val="00CF79AA"/>
    <w:rsid w:val="00D0031F"/>
    <w:rsid w:val="00D00601"/>
    <w:rsid w:val="00D00A67"/>
    <w:rsid w:val="00D00F66"/>
    <w:rsid w:val="00D013BA"/>
    <w:rsid w:val="00D01A7B"/>
    <w:rsid w:val="00D02204"/>
    <w:rsid w:val="00D02867"/>
    <w:rsid w:val="00D02A49"/>
    <w:rsid w:val="00D02C56"/>
    <w:rsid w:val="00D02C75"/>
    <w:rsid w:val="00D04268"/>
    <w:rsid w:val="00D048E7"/>
    <w:rsid w:val="00D06A58"/>
    <w:rsid w:val="00D07DF2"/>
    <w:rsid w:val="00D1053F"/>
    <w:rsid w:val="00D10BF5"/>
    <w:rsid w:val="00D10E22"/>
    <w:rsid w:val="00D11C0B"/>
    <w:rsid w:val="00D12B57"/>
    <w:rsid w:val="00D131EE"/>
    <w:rsid w:val="00D13D2C"/>
    <w:rsid w:val="00D14522"/>
    <w:rsid w:val="00D15BAB"/>
    <w:rsid w:val="00D17FA0"/>
    <w:rsid w:val="00D17FC9"/>
    <w:rsid w:val="00D207CC"/>
    <w:rsid w:val="00D2108A"/>
    <w:rsid w:val="00D228CE"/>
    <w:rsid w:val="00D2417E"/>
    <w:rsid w:val="00D24344"/>
    <w:rsid w:val="00D24977"/>
    <w:rsid w:val="00D2523F"/>
    <w:rsid w:val="00D25C6F"/>
    <w:rsid w:val="00D26B91"/>
    <w:rsid w:val="00D27122"/>
    <w:rsid w:val="00D2758C"/>
    <w:rsid w:val="00D31E43"/>
    <w:rsid w:val="00D320BC"/>
    <w:rsid w:val="00D34CAD"/>
    <w:rsid w:val="00D34D0C"/>
    <w:rsid w:val="00D35492"/>
    <w:rsid w:val="00D364D6"/>
    <w:rsid w:val="00D36888"/>
    <w:rsid w:val="00D36991"/>
    <w:rsid w:val="00D3779C"/>
    <w:rsid w:val="00D405FB"/>
    <w:rsid w:val="00D410C1"/>
    <w:rsid w:val="00D412F7"/>
    <w:rsid w:val="00D4219B"/>
    <w:rsid w:val="00D441A0"/>
    <w:rsid w:val="00D4505B"/>
    <w:rsid w:val="00D45718"/>
    <w:rsid w:val="00D45942"/>
    <w:rsid w:val="00D4637A"/>
    <w:rsid w:val="00D4696F"/>
    <w:rsid w:val="00D46B22"/>
    <w:rsid w:val="00D4726F"/>
    <w:rsid w:val="00D5014A"/>
    <w:rsid w:val="00D50571"/>
    <w:rsid w:val="00D516CE"/>
    <w:rsid w:val="00D519FF"/>
    <w:rsid w:val="00D52C0B"/>
    <w:rsid w:val="00D52EC0"/>
    <w:rsid w:val="00D53408"/>
    <w:rsid w:val="00D54C47"/>
    <w:rsid w:val="00D54F94"/>
    <w:rsid w:val="00D55340"/>
    <w:rsid w:val="00D55663"/>
    <w:rsid w:val="00D55E9F"/>
    <w:rsid w:val="00D5615C"/>
    <w:rsid w:val="00D5725B"/>
    <w:rsid w:val="00D60132"/>
    <w:rsid w:val="00D6089A"/>
    <w:rsid w:val="00D61036"/>
    <w:rsid w:val="00D61DE5"/>
    <w:rsid w:val="00D61E5A"/>
    <w:rsid w:val="00D62595"/>
    <w:rsid w:val="00D628AF"/>
    <w:rsid w:val="00D630E2"/>
    <w:rsid w:val="00D631F2"/>
    <w:rsid w:val="00D64582"/>
    <w:rsid w:val="00D6567C"/>
    <w:rsid w:val="00D65AA3"/>
    <w:rsid w:val="00D66269"/>
    <w:rsid w:val="00D66CA4"/>
    <w:rsid w:val="00D66CC5"/>
    <w:rsid w:val="00D7057C"/>
    <w:rsid w:val="00D70F43"/>
    <w:rsid w:val="00D7182E"/>
    <w:rsid w:val="00D730AF"/>
    <w:rsid w:val="00D737BF"/>
    <w:rsid w:val="00D7794A"/>
    <w:rsid w:val="00D77EAB"/>
    <w:rsid w:val="00D806A0"/>
    <w:rsid w:val="00D80C45"/>
    <w:rsid w:val="00D80EF1"/>
    <w:rsid w:val="00D826EF"/>
    <w:rsid w:val="00D831CB"/>
    <w:rsid w:val="00D8320E"/>
    <w:rsid w:val="00D85E1D"/>
    <w:rsid w:val="00D85F56"/>
    <w:rsid w:val="00D86819"/>
    <w:rsid w:val="00D86D29"/>
    <w:rsid w:val="00D87243"/>
    <w:rsid w:val="00D87894"/>
    <w:rsid w:val="00D879B4"/>
    <w:rsid w:val="00D90AC8"/>
    <w:rsid w:val="00D90DB6"/>
    <w:rsid w:val="00D90DC7"/>
    <w:rsid w:val="00D921C7"/>
    <w:rsid w:val="00D9268D"/>
    <w:rsid w:val="00D92980"/>
    <w:rsid w:val="00D940DC"/>
    <w:rsid w:val="00D9494F"/>
    <w:rsid w:val="00D94AF9"/>
    <w:rsid w:val="00D96AD3"/>
    <w:rsid w:val="00D97167"/>
    <w:rsid w:val="00D97A03"/>
    <w:rsid w:val="00DA0E18"/>
    <w:rsid w:val="00DA1B4A"/>
    <w:rsid w:val="00DA1EF1"/>
    <w:rsid w:val="00DA2D5A"/>
    <w:rsid w:val="00DA2DE7"/>
    <w:rsid w:val="00DA34FF"/>
    <w:rsid w:val="00DA4545"/>
    <w:rsid w:val="00DA53BA"/>
    <w:rsid w:val="00DA5557"/>
    <w:rsid w:val="00DA58CD"/>
    <w:rsid w:val="00DB0A96"/>
    <w:rsid w:val="00DB1D13"/>
    <w:rsid w:val="00DB5E08"/>
    <w:rsid w:val="00DB6FFE"/>
    <w:rsid w:val="00DC049A"/>
    <w:rsid w:val="00DC077B"/>
    <w:rsid w:val="00DC0FA7"/>
    <w:rsid w:val="00DC10D8"/>
    <w:rsid w:val="00DC136D"/>
    <w:rsid w:val="00DC18B3"/>
    <w:rsid w:val="00DC2F94"/>
    <w:rsid w:val="00DC4398"/>
    <w:rsid w:val="00DC4742"/>
    <w:rsid w:val="00DC4CB1"/>
    <w:rsid w:val="00DC4E29"/>
    <w:rsid w:val="00DC56EC"/>
    <w:rsid w:val="00DC7441"/>
    <w:rsid w:val="00DC7E44"/>
    <w:rsid w:val="00DC7F60"/>
    <w:rsid w:val="00DD022F"/>
    <w:rsid w:val="00DD13AA"/>
    <w:rsid w:val="00DD17D5"/>
    <w:rsid w:val="00DD17D7"/>
    <w:rsid w:val="00DD29EF"/>
    <w:rsid w:val="00DD3D9E"/>
    <w:rsid w:val="00DD5EAA"/>
    <w:rsid w:val="00DD6389"/>
    <w:rsid w:val="00DD7908"/>
    <w:rsid w:val="00DE0834"/>
    <w:rsid w:val="00DE0ADE"/>
    <w:rsid w:val="00DE16F2"/>
    <w:rsid w:val="00DE20E5"/>
    <w:rsid w:val="00DE50A4"/>
    <w:rsid w:val="00DE56E4"/>
    <w:rsid w:val="00DE5C53"/>
    <w:rsid w:val="00DE6C46"/>
    <w:rsid w:val="00DE6E53"/>
    <w:rsid w:val="00DE7F96"/>
    <w:rsid w:val="00DF0560"/>
    <w:rsid w:val="00DF4E08"/>
    <w:rsid w:val="00DF6189"/>
    <w:rsid w:val="00DF7201"/>
    <w:rsid w:val="00E002ED"/>
    <w:rsid w:val="00E00975"/>
    <w:rsid w:val="00E00D63"/>
    <w:rsid w:val="00E01456"/>
    <w:rsid w:val="00E022C5"/>
    <w:rsid w:val="00E03023"/>
    <w:rsid w:val="00E031A9"/>
    <w:rsid w:val="00E032FA"/>
    <w:rsid w:val="00E03602"/>
    <w:rsid w:val="00E03913"/>
    <w:rsid w:val="00E04053"/>
    <w:rsid w:val="00E0497B"/>
    <w:rsid w:val="00E06B12"/>
    <w:rsid w:val="00E071D9"/>
    <w:rsid w:val="00E1094D"/>
    <w:rsid w:val="00E10C10"/>
    <w:rsid w:val="00E10DD3"/>
    <w:rsid w:val="00E1119B"/>
    <w:rsid w:val="00E113AC"/>
    <w:rsid w:val="00E12C78"/>
    <w:rsid w:val="00E13887"/>
    <w:rsid w:val="00E14D58"/>
    <w:rsid w:val="00E1538D"/>
    <w:rsid w:val="00E201DF"/>
    <w:rsid w:val="00E20777"/>
    <w:rsid w:val="00E21958"/>
    <w:rsid w:val="00E21BC6"/>
    <w:rsid w:val="00E21EBB"/>
    <w:rsid w:val="00E21F0A"/>
    <w:rsid w:val="00E220A7"/>
    <w:rsid w:val="00E2223B"/>
    <w:rsid w:val="00E224AA"/>
    <w:rsid w:val="00E2505B"/>
    <w:rsid w:val="00E25D34"/>
    <w:rsid w:val="00E26581"/>
    <w:rsid w:val="00E265D3"/>
    <w:rsid w:val="00E30193"/>
    <w:rsid w:val="00E30606"/>
    <w:rsid w:val="00E30A38"/>
    <w:rsid w:val="00E32255"/>
    <w:rsid w:val="00E33624"/>
    <w:rsid w:val="00E368EA"/>
    <w:rsid w:val="00E36B40"/>
    <w:rsid w:val="00E374DA"/>
    <w:rsid w:val="00E4123D"/>
    <w:rsid w:val="00E42503"/>
    <w:rsid w:val="00E42770"/>
    <w:rsid w:val="00E42791"/>
    <w:rsid w:val="00E42C7B"/>
    <w:rsid w:val="00E433A2"/>
    <w:rsid w:val="00E43464"/>
    <w:rsid w:val="00E43781"/>
    <w:rsid w:val="00E43F31"/>
    <w:rsid w:val="00E4433A"/>
    <w:rsid w:val="00E4785A"/>
    <w:rsid w:val="00E47FEA"/>
    <w:rsid w:val="00E50FA4"/>
    <w:rsid w:val="00E51530"/>
    <w:rsid w:val="00E51C3A"/>
    <w:rsid w:val="00E522C7"/>
    <w:rsid w:val="00E5243C"/>
    <w:rsid w:val="00E5509B"/>
    <w:rsid w:val="00E56049"/>
    <w:rsid w:val="00E5708B"/>
    <w:rsid w:val="00E57108"/>
    <w:rsid w:val="00E5713D"/>
    <w:rsid w:val="00E573E3"/>
    <w:rsid w:val="00E57AF8"/>
    <w:rsid w:val="00E57E0C"/>
    <w:rsid w:val="00E60D25"/>
    <w:rsid w:val="00E617FA"/>
    <w:rsid w:val="00E61E9D"/>
    <w:rsid w:val="00E62F27"/>
    <w:rsid w:val="00E646D9"/>
    <w:rsid w:val="00E6502F"/>
    <w:rsid w:val="00E65E44"/>
    <w:rsid w:val="00E6684E"/>
    <w:rsid w:val="00E67952"/>
    <w:rsid w:val="00E7279C"/>
    <w:rsid w:val="00E72B17"/>
    <w:rsid w:val="00E72DCE"/>
    <w:rsid w:val="00E72EC6"/>
    <w:rsid w:val="00E73B18"/>
    <w:rsid w:val="00E74B2A"/>
    <w:rsid w:val="00E74CDA"/>
    <w:rsid w:val="00E75E31"/>
    <w:rsid w:val="00E75FC1"/>
    <w:rsid w:val="00E77C19"/>
    <w:rsid w:val="00E8033F"/>
    <w:rsid w:val="00E808DC"/>
    <w:rsid w:val="00E81241"/>
    <w:rsid w:val="00E812BA"/>
    <w:rsid w:val="00E81308"/>
    <w:rsid w:val="00E813C7"/>
    <w:rsid w:val="00E81C47"/>
    <w:rsid w:val="00E81F69"/>
    <w:rsid w:val="00E82297"/>
    <w:rsid w:val="00E90219"/>
    <w:rsid w:val="00E907CB"/>
    <w:rsid w:val="00E9110D"/>
    <w:rsid w:val="00E91A3D"/>
    <w:rsid w:val="00E92151"/>
    <w:rsid w:val="00E930A4"/>
    <w:rsid w:val="00E938A6"/>
    <w:rsid w:val="00E94E85"/>
    <w:rsid w:val="00E951F3"/>
    <w:rsid w:val="00E95DDA"/>
    <w:rsid w:val="00E9603B"/>
    <w:rsid w:val="00E96109"/>
    <w:rsid w:val="00E97302"/>
    <w:rsid w:val="00EA0419"/>
    <w:rsid w:val="00EA2791"/>
    <w:rsid w:val="00EA2A36"/>
    <w:rsid w:val="00EA2B0F"/>
    <w:rsid w:val="00EA30CB"/>
    <w:rsid w:val="00EA5257"/>
    <w:rsid w:val="00EA5FC3"/>
    <w:rsid w:val="00EA6574"/>
    <w:rsid w:val="00EA6E5A"/>
    <w:rsid w:val="00EA784B"/>
    <w:rsid w:val="00EB05B1"/>
    <w:rsid w:val="00EB1E66"/>
    <w:rsid w:val="00EB2A05"/>
    <w:rsid w:val="00EB2B37"/>
    <w:rsid w:val="00EB2F06"/>
    <w:rsid w:val="00EB3403"/>
    <w:rsid w:val="00EB49C8"/>
    <w:rsid w:val="00EB602A"/>
    <w:rsid w:val="00EB6571"/>
    <w:rsid w:val="00EB798C"/>
    <w:rsid w:val="00EC0B8A"/>
    <w:rsid w:val="00EC0C9A"/>
    <w:rsid w:val="00EC1BC0"/>
    <w:rsid w:val="00EC32C5"/>
    <w:rsid w:val="00EC3EAE"/>
    <w:rsid w:val="00EC472D"/>
    <w:rsid w:val="00EC4BAC"/>
    <w:rsid w:val="00EC580D"/>
    <w:rsid w:val="00EC5A0C"/>
    <w:rsid w:val="00EC7B67"/>
    <w:rsid w:val="00ED3F7E"/>
    <w:rsid w:val="00ED6E6F"/>
    <w:rsid w:val="00ED7E08"/>
    <w:rsid w:val="00EE1BC1"/>
    <w:rsid w:val="00EE3117"/>
    <w:rsid w:val="00EE595D"/>
    <w:rsid w:val="00EE61D8"/>
    <w:rsid w:val="00EE6C39"/>
    <w:rsid w:val="00EE7247"/>
    <w:rsid w:val="00EE7D72"/>
    <w:rsid w:val="00EF0C20"/>
    <w:rsid w:val="00EF1A96"/>
    <w:rsid w:val="00EF39FD"/>
    <w:rsid w:val="00EF5108"/>
    <w:rsid w:val="00EF5643"/>
    <w:rsid w:val="00EF6098"/>
    <w:rsid w:val="00F00AFC"/>
    <w:rsid w:val="00F00F74"/>
    <w:rsid w:val="00F019B6"/>
    <w:rsid w:val="00F01AC7"/>
    <w:rsid w:val="00F01BE7"/>
    <w:rsid w:val="00F04657"/>
    <w:rsid w:val="00F04C97"/>
    <w:rsid w:val="00F06842"/>
    <w:rsid w:val="00F06D7C"/>
    <w:rsid w:val="00F0707F"/>
    <w:rsid w:val="00F1044D"/>
    <w:rsid w:val="00F107FD"/>
    <w:rsid w:val="00F10AB8"/>
    <w:rsid w:val="00F1214E"/>
    <w:rsid w:val="00F122AA"/>
    <w:rsid w:val="00F122AC"/>
    <w:rsid w:val="00F1327A"/>
    <w:rsid w:val="00F1379D"/>
    <w:rsid w:val="00F13892"/>
    <w:rsid w:val="00F13DD2"/>
    <w:rsid w:val="00F15969"/>
    <w:rsid w:val="00F176A7"/>
    <w:rsid w:val="00F213F6"/>
    <w:rsid w:val="00F23256"/>
    <w:rsid w:val="00F23377"/>
    <w:rsid w:val="00F23805"/>
    <w:rsid w:val="00F23C5A"/>
    <w:rsid w:val="00F23DF3"/>
    <w:rsid w:val="00F248C7"/>
    <w:rsid w:val="00F26EC9"/>
    <w:rsid w:val="00F275A1"/>
    <w:rsid w:val="00F27931"/>
    <w:rsid w:val="00F27C24"/>
    <w:rsid w:val="00F308C8"/>
    <w:rsid w:val="00F30AEC"/>
    <w:rsid w:val="00F31E36"/>
    <w:rsid w:val="00F324DF"/>
    <w:rsid w:val="00F33455"/>
    <w:rsid w:val="00F3484C"/>
    <w:rsid w:val="00F34F4D"/>
    <w:rsid w:val="00F352AE"/>
    <w:rsid w:val="00F3625E"/>
    <w:rsid w:val="00F4035A"/>
    <w:rsid w:val="00F40FEE"/>
    <w:rsid w:val="00F41816"/>
    <w:rsid w:val="00F41A93"/>
    <w:rsid w:val="00F43322"/>
    <w:rsid w:val="00F43EDA"/>
    <w:rsid w:val="00F464A1"/>
    <w:rsid w:val="00F46749"/>
    <w:rsid w:val="00F50997"/>
    <w:rsid w:val="00F50F71"/>
    <w:rsid w:val="00F51C3E"/>
    <w:rsid w:val="00F53AB7"/>
    <w:rsid w:val="00F551D5"/>
    <w:rsid w:val="00F57322"/>
    <w:rsid w:val="00F57EF8"/>
    <w:rsid w:val="00F60CA8"/>
    <w:rsid w:val="00F611F7"/>
    <w:rsid w:val="00F61619"/>
    <w:rsid w:val="00F62097"/>
    <w:rsid w:val="00F62638"/>
    <w:rsid w:val="00F63E4C"/>
    <w:rsid w:val="00F640D9"/>
    <w:rsid w:val="00F649A3"/>
    <w:rsid w:val="00F65A24"/>
    <w:rsid w:val="00F65E6E"/>
    <w:rsid w:val="00F6660F"/>
    <w:rsid w:val="00F66DB9"/>
    <w:rsid w:val="00F7132A"/>
    <w:rsid w:val="00F723C6"/>
    <w:rsid w:val="00F73415"/>
    <w:rsid w:val="00F73C90"/>
    <w:rsid w:val="00F73F21"/>
    <w:rsid w:val="00F73F57"/>
    <w:rsid w:val="00F741FE"/>
    <w:rsid w:val="00F751F8"/>
    <w:rsid w:val="00F7570E"/>
    <w:rsid w:val="00F7571B"/>
    <w:rsid w:val="00F80C3B"/>
    <w:rsid w:val="00F8162C"/>
    <w:rsid w:val="00F819C6"/>
    <w:rsid w:val="00F82A69"/>
    <w:rsid w:val="00F859FD"/>
    <w:rsid w:val="00F869FC"/>
    <w:rsid w:val="00F86A51"/>
    <w:rsid w:val="00F8754C"/>
    <w:rsid w:val="00F8793D"/>
    <w:rsid w:val="00F87E27"/>
    <w:rsid w:val="00F930EB"/>
    <w:rsid w:val="00F9377C"/>
    <w:rsid w:val="00F93B4E"/>
    <w:rsid w:val="00F947BE"/>
    <w:rsid w:val="00F948FA"/>
    <w:rsid w:val="00F9534B"/>
    <w:rsid w:val="00F962B4"/>
    <w:rsid w:val="00F96461"/>
    <w:rsid w:val="00F97777"/>
    <w:rsid w:val="00F97A37"/>
    <w:rsid w:val="00FA0724"/>
    <w:rsid w:val="00FA258C"/>
    <w:rsid w:val="00FA2BD2"/>
    <w:rsid w:val="00FA352F"/>
    <w:rsid w:val="00FA519F"/>
    <w:rsid w:val="00FA5F28"/>
    <w:rsid w:val="00FA6D44"/>
    <w:rsid w:val="00FA7B7F"/>
    <w:rsid w:val="00FA7C32"/>
    <w:rsid w:val="00FB0268"/>
    <w:rsid w:val="00FB0819"/>
    <w:rsid w:val="00FB0BA4"/>
    <w:rsid w:val="00FB13BF"/>
    <w:rsid w:val="00FB32F8"/>
    <w:rsid w:val="00FB41B5"/>
    <w:rsid w:val="00FB4460"/>
    <w:rsid w:val="00FB4926"/>
    <w:rsid w:val="00FB4AF8"/>
    <w:rsid w:val="00FB50B3"/>
    <w:rsid w:val="00FB64A8"/>
    <w:rsid w:val="00FB64E9"/>
    <w:rsid w:val="00FB79CA"/>
    <w:rsid w:val="00FC0E5A"/>
    <w:rsid w:val="00FC1322"/>
    <w:rsid w:val="00FC24E5"/>
    <w:rsid w:val="00FC28F2"/>
    <w:rsid w:val="00FC32CB"/>
    <w:rsid w:val="00FC36A6"/>
    <w:rsid w:val="00FC3A49"/>
    <w:rsid w:val="00FC3AB6"/>
    <w:rsid w:val="00FC53E7"/>
    <w:rsid w:val="00FC6522"/>
    <w:rsid w:val="00FC68BB"/>
    <w:rsid w:val="00FC721D"/>
    <w:rsid w:val="00FC7652"/>
    <w:rsid w:val="00FC7CB8"/>
    <w:rsid w:val="00FC7F45"/>
    <w:rsid w:val="00FD2610"/>
    <w:rsid w:val="00FD2766"/>
    <w:rsid w:val="00FD3B37"/>
    <w:rsid w:val="00FD3D59"/>
    <w:rsid w:val="00FD42BF"/>
    <w:rsid w:val="00FD7240"/>
    <w:rsid w:val="00FE0459"/>
    <w:rsid w:val="00FE0A3F"/>
    <w:rsid w:val="00FE1102"/>
    <w:rsid w:val="00FE1123"/>
    <w:rsid w:val="00FE175E"/>
    <w:rsid w:val="00FE1D06"/>
    <w:rsid w:val="00FE245C"/>
    <w:rsid w:val="00FE32CD"/>
    <w:rsid w:val="00FE4BD4"/>
    <w:rsid w:val="00FF0F92"/>
    <w:rsid w:val="00FF1360"/>
    <w:rsid w:val="00FF1A78"/>
    <w:rsid w:val="00FF2A3D"/>
    <w:rsid w:val="00FF33B6"/>
    <w:rsid w:val="00FF46CB"/>
    <w:rsid w:val="00FF4C76"/>
    <w:rsid w:val="00FF562B"/>
    <w:rsid w:val="00FF5A64"/>
    <w:rsid w:val="00FF6078"/>
    <w:rsid w:val="00FF60EB"/>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19FA9945-0848-4046-8417-A979B525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49A"/>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link w:val="HeaderCha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link w:val="CommentTextChar"/>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styleId="PlaceholderText">
    <w:name w:val="Placeholder Text"/>
    <w:basedOn w:val="DefaultParagraphFont"/>
    <w:uiPriority w:val="99"/>
    <w:semiHidden/>
    <w:rsid w:val="005169B9"/>
    <w:rPr>
      <w:color w:val="808080"/>
    </w:rPr>
  </w:style>
  <w:style w:type="paragraph" w:styleId="Revision">
    <w:name w:val="Revision"/>
    <w:hidden/>
    <w:uiPriority w:val="99"/>
    <w:semiHidden/>
    <w:rsid w:val="00665103"/>
    <w:rPr>
      <w:lang w:eastAsia="en-US"/>
    </w:rPr>
  </w:style>
  <w:style w:type="table" w:styleId="TableGrid">
    <w:name w:val="Table Grid"/>
    <w:basedOn w:val="TableNormal"/>
    <w:rsid w:val="0096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2665"/>
    <w:rPr>
      <w:color w:val="605E5C"/>
      <w:shd w:val="clear" w:color="auto" w:fill="E1DFDD"/>
    </w:rPr>
  </w:style>
  <w:style w:type="character" w:customStyle="1" w:styleId="Mention1">
    <w:name w:val="Mention1"/>
    <w:basedOn w:val="DefaultParagraphFont"/>
    <w:uiPriority w:val="99"/>
    <w:unhideWhenUsed/>
    <w:rsid w:val="009B43F4"/>
    <w:rPr>
      <w:color w:val="2B579A"/>
      <w:shd w:val="clear" w:color="auto" w:fill="E1DFDD"/>
    </w:rPr>
  </w:style>
  <w:style w:type="character" w:customStyle="1" w:styleId="HeaderChar">
    <w:name w:val="Header Char"/>
    <w:basedOn w:val="DefaultParagraphFont"/>
    <w:link w:val="Header"/>
    <w:rsid w:val="00397EB4"/>
    <w:rPr>
      <w:noProof/>
      <w:lang w:eastAsia="en-US"/>
    </w:rPr>
  </w:style>
  <w:style w:type="character" w:customStyle="1" w:styleId="CommentTextChar">
    <w:name w:val="Comment Text Char"/>
    <w:basedOn w:val="DefaultParagraphFont"/>
    <w:link w:val="CommentText"/>
    <w:semiHidden/>
    <w:rsid w:val="00A755B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43EEC-87C3-4EA5-A602-12034F33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0</TotalTime>
  <Pages>6</Pages>
  <Words>6277</Words>
  <Characters>35782</Characters>
  <Application>Microsoft Office Word</Application>
  <DocSecurity>0</DocSecurity>
  <Lines>298</Lines>
  <Paragraphs>83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
  <dc:creator>Kostas</dc:creator>
  <cp:keywords/>
  <cp:lastModifiedBy>Wiegner, J.F. (Jan)</cp:lastModifiedBy>
  <cp:revision>114</cp:revision>
  <cp:lastPrinted>2004-12-17T18:20:00Z</cp:lastPrinted>
  <dcterms:created xsi:type="dcterms:W3CDTF">2023-11-30T01:37:00Z</dcterms:created>
  <dcterms:modified xsi:type="dcterms:W3CDTF">2023-12-05T09:37:00Z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 11th edition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7th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 6th edition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12th edition - Harvard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9th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http://www.zotero.org/styles/apa</vt:lpwstr>
  </property>
  <property fmtid="{D5CDD505-2E9C-101B-9397-08002B2CF9AE}" pid="31" name="Mendeley Document_1">
    <vt:lpwstr>True</vt:lpwstr>
  </property>
  <property fmtid="{D5CDD505-2E9C-101B-9397-08002B2CF9AE}" pid="32" name="Mendeley Unique User Id_1">
    <vt:lpwstr>b72456a6-49a2-3e47-914d-5c2a0c37c532</vt:lpwstr>
  </property>
</Properties>
</file>