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CD2ED46" w:rsidR="00DD3D9E" w:rsidRPr="00B4388F" w:rsidRDefault="00AA32C8">
      <w:pPr>
        <w:pStyle w:val="Els-Title"/>
        <w:rPr>
          <w:color w:val="000000" w:themeColor="text1"/>
        </w:rPr>
      </w:pPr>
      <w:r>
        <w:rPr>
          <w:color w:val="000000" w:themeColor="text1"/>
        </w:rPr>
        <w:t>Comparative Study on Hydrothermal Gasification and Thermal Gasification via Hydrothermal Carbonization of Digestate Residues from Anaerobic Digestion</w:t>
      </w:r>
    </w:p>
    <w:p w14:paraId="144DE680" w14:textId="7DF5954A" w:rsidR="00DD3D9E" w:rsidRDefault="00AA32C8">
      <w:pPr>
        <w:pStyle w:val="Els-Author"/>
      </w:pPr>
      <w:r>
        <w:t>Fadilla Noor Rahma</w:t>
      </w:r>
      <w:r w:rsidRPr="00AA32C8">
        <w:rPr>
          <w:vertAlign w:val="superscript"/>
        </w:rPr>
        <w:t>a</w:t>
      </w:r>
      <w:r w:rsidR="0076650B">
        <w:rPr>
          <w:vertAlign w:val="superscript"/>
        </w:rPr>
        <w:t>*</w:t>
      </w:r>
      <w:r>
        <w:t>, Khanh-Quang Tran</w:t>
      </w:r>
      <w:r w:rsidRPr="00AA32C8">
        <w:rPr>
          <w:vertAlign w:val="superscript"/>
        </w:rPr>
        <w:t>b</w:t>
      </w:r>
      <w:r>
        <w:t>, Roger Khalil</w:t>
      </w:r>
      <w:r w:rsidRPr="00AA32C8">
        <w:rPr>
          <w:vertAlign w:val="superscript"/>
        </w:rPr>
        <w:t>c</w:t>
      </w:r>
    </w:p>
    <w:p w14:paraId="144DE681" w14:textId="21B63228" w:rsidR="00DD3D9E" w:rsidRDefault="00AA32C8">
      <w:pPr>
        <w:pStyle w:val="Els-Affiliation"/>
      </w:pPr>
      <w:r w:rsidRPr="00AA32C8">
        <w:rPr>
          <w:vertAlign w:val="superscript"/>
        </w:rPr>
        <w:t>a</w:t>
      </w:r>
      <w:r>
        <w:t>Norwegian University of Science and Technology, H</w:t>
      </w:r>
      <w:r w:rsidRPr="00AA32C8">
        <w:rPr>
          <w:lang w:val="en-US"/>
        </w:rPr>
        <w:t>ø</w:t>
      </w:r>
      <w:r>
        <w:rPr>
          <w:lang w:val="en-US"/>
        </w:rPr>
        <w:t>gskoleringen 1, Trondheim 7034, Norway</w:t>
      </w:r>
    </w:p>
    <w:p w14:paraId="144DE682" w14:textId="533A1E15" w:rsidR="00DD3D9E" w:rsidRPr="00492C45" w:rsidRDefault="00AA32C8">
      <w:pPr>
        <w:pStyle w:val="Els-Affiliation"/>
        <w:rPr>
          <w:lang w:val="en-US"/>
        </w:rPr>
      </w:pPr>
      <w:r w:rsidRPr="00492C45">
        <w:rPr>
          <w:vertAlign w:val="superscript"/>
          <w:lang w:val="en-US"/>
        </w:rPr>
        <w:t>b</w:t>
      </w:r>
      <w:r w:rsidRPr="00492C45">
        <w:rPr>
          <w:lang w:val="en-US"/>
        </w:rPr>
        <w:t>SINTEF Energy Research, Sem Sælands vei 11, Trondheim 7034, Norway</w:t>
      </w:r>
    </w:p>
    <w:p w14:paraId="144DE683" w14:textId="565B58AC" w:rsidR="008D2649" w:rsidRPr="00492C45" w:rsidRDefault="00AA32C8" w:rsidP="008D2649">
      <w:pPr>
        <w:pStyle w:val="Els-Affiliation"/>
        <w:spacing w:after="120"/>
        <w:rPr>
          <w:lang w:val="en-US"/>
        </w:rPr>
      </w:pPr>
      <w:r w:rsidRPr="00492C45">
        <w:rPr>
          <w:lang w:val="en-US"/>
        </w:rPr>
        <w:t>fadilla.n.rahma@ntnu.no</w:t>
      </w:r>
    </w:p>
    <w:p w14:paraId="144DE684" w14:textId="77777777" w:rsidR="008D2649" w:rsidRDefault="008D2649" w:rsidP="008D2649">
      <w:pPr>
        <w:pStyle w:val="Els-Abstract"/>
      </w:pPr>
      <w:r>
        <w:t>Abstract</w:t>
      </w:r>
    </w:p>
    <w:p w14:paraId="76EED287" w14:textId="7551126F" w:rsidR="00B14876" w:rsidRDefault="00B14876" w:rsidP="008D2649">
      <w:pPr>
        <w:pStyle w:val="Els-body-text"/>
        <w:spacing w:after="120"/>
        <w:rPr>
          <w:lang w:val="en-GB"/>
        </w:rPr>
      </w:pPr>
      <w:r w:rsidRPr="00C86C07">
        <w:t xml:space="preserve">Anaerobic digestion (AD), one of the key technologies for achieving the climate-neutral target, is still facing various digestate management issues. The digestate’s high organic matter and energy content make it a potential feedstock for further processing into value-added products, i.e., through thermochemical conversion technologies. However, its high moisture content poses additional challenges related to extensive energy requirement for feedstock drying. This paper investigates two technologies for efficient processing of digestate, i.e., 1) </w:t>
      </w:r>
      <w:r w:rsidRPr="00CC06E9">
        <w:rPr>
          <w:lang w:val="en-GB"/>
        </w:rPr>
        <w:t>hydrothermal</w:t>
      </w:r>
      <w:r w:rsidRPr="00C86C07">
        <w:t xml:space="preserve"> gasification (HTG) and 2) hydrothermal carbonization coupled with thermal gasification of </w:t>
      </w:r>
      <w:proofErr w:type="spellStart"/>
      <w:r w:rsidRPr="00C86C07">
        <w:t>hydrochar</w:t>
      </w:r>
      <w:proofErr w:type="spellEnd"/>
      <w:r w:rsidRPr="00C86C07">
        <w:t xml:space="preserve"> (HTC-TG). Both technologies can convert digestate into producer gas while avoiding the energy-extensive drying step. Aspen Plus software is used to </w:t>
      </w:r>
      <w:r w:rsidR="00A522B4">
        <w:t xml:space="preserve">compare the performance of the two </w:t>
      </w:r>
      <w:r w:rsidRPr="00C86C07">
        <w:t xml:space="preserve">processes. The process performance is comparatively assessed based on the producer gas </w:t>
      </w:r>
      <w:r w:rsidR="006F3E2B">
        <w:t xml:space="preserve">generation </w:t>
      </w:r>
      <w:r w:rsidRPr="00C86C07">
        <w:t>and overall system efficiency (OSE).</w:t>
      </w:r>
    </w:p>
    <w:p w14:paraId="144DE687" w14:textId="34F90323" w:rsidR="008D2649" w:rsidRDefault="008D2649" w:rsidP="008D2649">
      <w:pPr>
        <w:pStyle w:val="Els-body-text"/>
        <w:spacing w:after="120"/>
        <w:rPr>
          <w:lang w:val="en-GB"/>
        </w:rPr>
      </w:pPr>
      <w:r>
        <w:rPr>
          <w:b/>
          <w:bCs/>
          <w:lang w:val="en-GB"/>
        </w:rPr>
        <w:t>Keywords</w:t>
      </w:r>
      <w:r>
        <w:rPr>
          <w:lang w:val="en-GB"/>
        </w:rPr>
        <w:t xml:space="preserve">: </w:t>
      </w:r>
      <w:r w:rsidR="00C726FF">
        <w:rPr>
          <w:lang w:val="en-GB"/>
        </w:rPr>
        <w:t>Hydrothermal gasification, hydrothermal carbonization, thermal gasification, anaerobic digestion, Aspen Plus.</w:t>
      </w:r>
    </w:p>
    <w:p w14:paraId="144DE689" w14:textId="0AC7312D" w:rsidR="008D2649" w:rsidRDefault="00523637" w:rsidP="008D2649">
      <w:pPr>
        <w:pStyle w:val="Els-1storder-head"/>
      </w:pPr>
      <w:r>
        <w:t>Introduction</w:t>
      </w:r>
    </w:p>
    <w:p w14:paraId="283F7659" w14:textId="655A0636" w:rsidR="00CC06E9" w:rsidRDefault="00CC06E9" w:rsidP="00CC06E9">
      <w:pPr>
        <w:pStyle w:val="Els-body-text"/>
      </w:pPr>
      <w:r w:rsidRPr="00617E02">
        <w:t xml:space="preserve">Anaerobic digestion (AD) for biogas production from low-grade biomass is one of the essential technologies in the transition towards climate-neutral energy production. Despite its potentials, the implementation of AD technology is currently facing </w:t>
      </w:r>
      <w:r w:rsidR="00EF7EA5">
        <w:t xml:space="preserve">significant </w:t>
      </w:r>
      <w:r w:rsidRPr="00617E02">
        <w:t xml:space="preserve">challenges related to digestate management </w:t>
      </w:r>
      <w:r w:rsidRPr="00617E02">
        <w:fldChar w:fldCharType="begin"/>
      </w:r>
      <w:r w:rsidR="00267C63">
        <w:instrText xml:space="preserve"> ADDIN EN.CITE &lt;EndNote&gt;&lt;Cite&gt;&lt;Author&gt;Nkoa&lt;/Author&gt;&lt;Year&gt;2014&lt;/Year&gt;&lt;RecNum&gt;32&lt;/RecNum&gt;&lt;DisplayText&gt;(Nkoa 2014)&lt;/DisplayText&gt;&lt;record&gt;&lt;rec-number&gt;32&lt;/rec-number&gt;&lt;foreign-keys&gt;&lt;key app="EN" db-id="50eez5z08wvwt5evrp7xr95rzs2ez0x9rtfv" timestamp="1700151211"&gt;32&lt;/key&gt;&lt;/foreign-keys&gt;&lt;ref-type name="Journal Article"&gt;17&lt;/ref-type&gt;&lt;contributors&gt;&lt;authors&gt;&lt;author&gt;Nkoa, Roger&lt;/author&gt;&lt;/authors&gt;&lt;/contributors&gt;&lt;titles&gt;&lt;title&gt;Agricultural benefits and environmental risks of soil fertilization with anaerobic digestates: a review&lt;/title&gt;&lt;secondary-title&gt;Agronomy for Sustainable Development&lt;/secondary-title&gt;&lt;/titles&gt;&lt;periodical&gt;&lt;full-title&gt;Agronomy for Sustainable Development&lt;/full-title&gt;&lt;/periodical&gt;&lt;pages&gt;473-492&lt;/pages&gt;&lt;volume&gt;34&lt;/volume&gt;&lt;dates&gt;&lt;year&gt;2014&lt;/year&gt;&lt;/dates&gt;&lt;isbn&gt;1774-0746&lt;/isbn&gt;&lt;urls&gt;&lt;/urls&gt;&lt;/record&gt;&lt;/Cite&gt;&lt;/EndNote&gt;</w:instrText>
      </w:r>
      <w:r w:rsidRPr="00617E02">
        <w:fldChar w:fldCharType="separate"/>
      </w:r>
      <w:r w:rsidR="00267C63">
        <w:rPr>
          <w:noProof/>
        </w:rPr>
        <w:t>(Nkoa 2014)</w:t>
      </w:r>
      <w:r w:rsidRPr="00617E02">
        <w:fldChar w:fldCharType="end"/>
      </w:r>
      <w:r w:rsidRPr="00617E02">
        <w:t>. The digestate stream is rich in organic matters and energy content, making it suitable for generating value-added products</w:t>
      </w:r>
      <w:r>
        <w:t>, heat, and power</w:t>
      </w:r>
      <w:r w:rsidRPr="00617E02">
        <w:t xml:space="preserve">. </w:t>
      </w:r>
      <w:r>
        <w:t>Valorization of digestate through gasification technology is particularly promising since it mainly generates producer gas, a valuable source for alternative fuels or chemicals. However, digestate’s high moisture content leads to substantial energy demand during the initial drying step in gasification</w:t>
      </w:r>
      <w:r w:rsidRPr="00617E02">
        <w:t xml:space="preserve"> </w:t>
      </w:r>
      <w:r w:rsidRPr="00617E02">
        <w:fldChar w:fldCharType="begin"/>
      </w:r>
      <w:r w:rsidR="00267C63">
        <w:instrText xml:space="preserve"> ADDIN EN.CITE &lt;EndNote&gt;&lt;Cite&gt;&lt;Author&gt;Parmar&lt;/Author&gt;&lt;Year&gt;2019&lt;/Year&gt;&lt;RecNum&gt;35&lt;/RecNum&gt;&lt;DisplayText&gt;(Parmar and Ross 2019)&lt;/DisplayText&gt;&lt;record&gt;&lt;rec-number&gt;35&lt;/rec-number&gt;&lt;foreign-keys&gt;&lt;key app="EN" db-id="50eez5z08wvwt5evrp7xr95rzs2ez0x9rtfv" timestamp="1700153202"&gt;35&lt;/key&gt;&lt;/foreign-keys&gt;&lt;ref-type name="Journal Article"&gt;17&lt;/ref-type&gt;&lt;contributors&gt;&lt;authors&gt;&lt;author&gt;Parmar, Kiran R&lt;/author&gt;&lt;author&gt;Ross, Andrew B&lt;/author&gt;&lt;/authors&gt;&lt;/contributors&gt;&lt;titles&gt;&lt;title&gt;Integration of hydrothermal carbonisation with anaerobic digestion; Opportunities for valorisation of digestate&lt;/title&gt;&lt;secondary-title&gt;Energies&lt;/secondary-title&gt;&lt;/titles&gt;&lt;periodical&gt;&lt;full-title&gt;Energies&lt;/full-title&gt;&lt;/periodical&gt;&lt;pages&gt;1586&lt;/pages&gt;&lt;volume&gt;12&lt;/volume&gt;&lt;number&gt;9&lt;/number&gt;&lt;dates&gt;&lt;year&gt;2019&lt;/year&gt;&lt;/dates&gt;&lt;isbn&gt;1996-1073&lt;/isbn&gt;&lt;urls&gt;&lt;/urls&gt;&lt;/record&gt;&lt;/Cite&gt;&lt;/EndNote&gt;</w:instrText>
      </w:r>
      <w:r w:rsidRPr="00617E02">
        <w:fldChar w:fldCharType="separate"/>
      </w:r>
      <w:r w:rsidR="00267C63">
        <w:rPr>
          <w:noProof/>
        </w:rPr>
        <w:t>(Parmar and Ross 2019)</w:t>
      </w:r>
      <w:r w:rsidRPr="00617E02">
        <w:fldChar w:fldCharType="end"/>
      </w:r>
      <w:r w:rsidRPr="00617E02">
        <w:t xml:space="preserve">. </w:t>
      </w:r>
    </w:p>
    <w:p w14:paraId="05422D9E" w14:textId="4D4FB067" w:rsidR="0076650B" w:rsidRDefault="00EB62AF" w:rsidP="008D2649">
      <w:pPr>
        <w:pStyle w:val="Els-body-text"/>
      </w:pPr>
      <w:r>
        <w:t xml:space="preserve">This paper investigates two potential gasification strategies to avoid the energy-intensive drying step, i.e., 1) hydrothermal gasification (HTG) and 2) thermal gasification through hydrothermal carbonization of digestate (HTC-TG). HTG is performed in supercritical water, where water acts as solvent, reactant, and catalyst to assist the chemical reactions </w:t>
      </w:r>
      <w:r>
        <w:fldChar w:fldCharType="begin"/>
      </w:r>
      <w:r w:rsidR="00267C63">
        <w:instrText xml:space="preserve"> ADDIN EN.CITE &lt;EndNote&gt;&lt;Cite&gt;&lt;Author&gt;Tekin&lt;/Author&gt;&lt;Year&gt;2014&lt;/Year&gt;&lt;RecNum&gt;89&lt;/RecNum&gt;&lt;DisplayText&gt;(Tekin, Karagöz et al. 2014)&lt;/DisplayText&gt;&lt;record&gt;&lt;rec-number&gt;89&lt;/rec-number&gt;&lt;foreign-keys&gt;&lt;key app="EN" db-id="50eez5z08wvwt5evrp7xr95rzs2ez0x9rtfv" timestamp="1656502365"&gt;89&lt;/key&gt;&lt;/foreign-keys&gt;&lt;ref-type name="Journal Article"&gt;17&lt;/ref-type&gt;&lt;contributors&gt;&lt;authors&gt;&lt;author&gt;Tekin, Kubilay&lt;/author&gt;&lt;author&gt;Karagöz, Selhan&lt;/author&gt;&lt;author&gt;Bektaş, Sema&lt;/author&gt;&lt;/authors&gt;&lt;/contributors&gt;&lt;titles&gt;&lt;title&gt;A review of hydrothermal biomass processing&lt;/title&gt;&lt;secondary-title&gt;Renewable and sustainable Energy reviews&lt;/secondary-title&gt;&lt;/titles&gt;&lt;periodical&gt;&lt;full-title&gt;Renewable and Sustainable Energy Reviews&lt;/full-title&gt;&lt;/periodical&gt;&lt;pages&gt;673-687&lt;/pages&gt;&lt;volume&gt;40&lt;/volume&gt;&lt;dates&gt;&lt;year&gt;2014&lt;/year&gt;&lt;/dates&gt;&lt;isbn&gt;1364-0321&lt;/isbn&gt;&lt;urls&gt;&lt;/urls&gt;&lt;/record&gt;&lt;/Cite&gt;&lt;/EndNote&gt;</w:instrText>
      </w:r>
      <w:r>
        <w:fldChar w:fldCharType="separate"/>
      </w:r>
      <w:r w:rsidR="00267C63">
        <w:rPr>
          <w:noProof/>
        </w:rPr>
        <w:t>(Tekin, Karagöz et al. 2014)</w:t>
      </w:r>
      <w:r>
        <w:fldChar w:fldCharType="end"/>
      </w:r>
      <w:r>
        <w:t xml:space="preserve">. The feedstock drying process is therefore </w:t>
      </w:r>
      <w:r w:rsidR="00D91F82">
        <w:t xml:space="preserve">not </w:t>
      </w:r>
      <w:r>
        <w:t xml:space="preserve">necessary during HTG, making it an interesting option for processing of high-moisture biomass </w:t>
      </w:r>
      <w:r>
        <w:lastRenderedPageBreak/>
        <w:t xml:space="preserve">such as digestate. Another strategy is to employ hydrothermal carbonization (HTC) for digestate pre-processing before thermal gasification (TG). HTC, which takes place in subcritical water environment, can assist mechanical dewatering of high-moisture biomass </w:t>
      </w:r>
      <w:r>
        <w:fldChar w:fldCharType="begin"/>
      </w:r>
      <w:r w:rsidR="00267C63">
        <w:instrText xml:space="preserve"> ADDIN EN.CITE &lt;EndNote&gt;&lt;Cite&gt;&lt;Author&gt;Salaudeen&lt;/Author&gt;&lt;Year&gt;2021&lt;/Year&gt;&lt;RecNum&gt;260&lt;/RecNum&gt;&lt;DisplayText&gt;(Salaudeen, Acharya et al. 2021)&lt;/DisplayText&gt;&lt;record&gt;&lt;rec-number&gt;260&lt;/rec-number&gt;&lt;foreign-keys&gt;&lt;key app="EN" db-id="50eez5z08wvwt5evrp7xr95rzs2ez0x9rtfv" timestamp="1695804773"&gt;260&lt;/key&gt;&lt;/foreign-keys&gt;&lt;ref-type name="Journal Article"&gt;17&lt;/ref-type&gt;&lt;contributors&gt;&lt;authors&gt;&lt;author&gt;Salaudeen, Shakirudeen A&lt;/author&gt;&lt;author&gt;Acharya, Bishnu&lt;/author&gt;&lt;author&gt;Dutta, Animesh&lt;/author&gt;&lt;/authors&gt;&lt;/contributors&gt;&lt;titles&gt;&lt;title&gt;Steam gasification of hydrochar derived from hydrothermal carbonization of fruit wastes&lt;/title&gt;&lt;secondary-title&gt;Renewable Energy&lt;/secondary-title&gt;&lt;/titles&gt;&lt;periodical&gt;&lt;full-title&gt;Renewable Energy&lt;/full-title&gt;&lt;/periodical&gt;&lt;pages&gt;582-591&lt;/pages&gt;&lt;volume&gt;171&lt;/volume&gt;&lt;dates&gt;&lt;year&gt;2021&lt;/year&gt;&lt;/dates&gt;&lt;isbn&gt;0960-1481&lt;/isbn&gt;&lt;urls&gt;&lt;/urls&gt;&lt;/record&gt;&lt;/Cite&gt;&lt;/EndNote&gt;</w:instrText>
      </w:r>
      <w:r>
        <w:fldChar w:fldCharType="separate"/>
      </w:r>
      <w:r w:rsidR="00267C63">
        <w:rPr>
          <w:noProof/>
        </w:rPr>
        <w:t>(Salaudeen, Acharya et al. 2021)</w:t>
      </w:r>
      <w:r>
        <w:fldChar w:fldCharType="end"/>
      </w:r>
      <w:r>
        <w:t xml:space="preserve">, thus reducing the feedstock drying requirement. Additionally, </w:t>
      </w:r>
      <w:proofErr w:type="spellStart"/>
      <w:r>
        <w:t>hydrochar</w:t>
      </w:r>
      <w:proofErr w:type="spellEnd"/>
      <w:r>
        <w:t xml:space="preserve"> from HTC is known to have improved fuel properties, leading to better efficiency of the TG process </w:t>
      </w:r>
      <w:r>
        <w:fldChar w:fldCharType="begin"/>
      </w:r>
      <w:r w:rsidR="00267C63">
        <w:instrText xml:space="preserve"> ADDIN EN.CITE &lt;EndNote&gt;&lt;Cite&gt;&lt;Author&gt;Gai&lt;/Author&gt;&lt;Year&gt;2016&lt;/Year&gt;&lt;RecNum&gt;300&lt;/RecNum&gt;&lt;DisplayText&gt;(Gai, Guo et al. 2016)&lt;/DisplayText&gt;&lt;record&gt;&lt;rec-number&gt;300&lt;/rec-number&gt;&lt;foreign-keys&gt;&lt;key app="EN" db-id="50eez5z08wvwt5evrp7xr95rzs2ez0x9rtfv" timestamp="1700658344"&gt;300&lt;/key&gt;&lt;/foreign-keys&gt;&lt;ref-type name="Journal Article"&gt;17&lt;/ref-type&gt;&lt;contributors&gt;&lt;authors&gt;&lt;author&gt;Gai, Chao&lt;/author&gt;&lt;author&gt;Guo, Yanchuan&lt;/author&gt;&lt;author&gt;Liu, Tingting&lt;/author&gt;&lt;author&gt;Peng, Nana&lt;/author&gt;&lt;author&gt;Liu, Zhengang&lt;/author&gt;&lt;/authors&gt;&lt;/contributors&gt;&lt;titles&gt;&lt;title&gt;Hydrogen-rich gas production by steam gasification of hydrochar derived from sewage sludge&lt;/title&gt;&lt;secondary-title&gt;International Journal of Hydrogen Energy&lt;/secondary-title&gt;&lt;/titles&gt;&lt;periodical&gt;&lt;full-title&gt;International Journal of Hydrogen Energy&lt;/full-title&gt;&lt;/periodical&gt;&lt;pages&gt;3363-3372&lt;/pages&gt;&lt;volume&gt;41&lt;/volume&gt;&lt;number&gt;5&lt;/number&gt;&lt;dates&gt;&lt;year&gt;2016&lt;/year&gt;&lt;/dates&gt;&lt;isbn&gt;0360-3199&lt;/isbn&gt;&lt;urls&gt;&lt;/urls&gt;&lt;/record&gt;&lt;/Cite&gt;&lt;/EndNote&gt;</w:instrText>
      </w:r>
      <w:r>
        <w:fldChar w:fldCharType="separate"/>
      </w:r>
      <w:r w:rsidR="00267C63">
        <w:rPr>
          <w:noProof/>
        </w:rPr>
        <w:t>(Gai, Guo et al. 2016)</w:t>
      </w:r>
      <w:r>
        <w:fldChar w:fldCharType="end"/>
      </w:r>
      <w:r>
        <w:t>.</w:t>
      </w:r>
    </w:p>
    <w:p w14:paraId="4AC483E9" w14:textId="2EEFA79D" w:rsidR="00442E87" w:rsidRDefault="003A634E" w:rsidP="003A634E">
      <w:pPr>
        <w:pStyle w:val="Els-body-text"/>
      </w:pPr>
      <w:r>
        <w:t xml:space="preserve">In comparison to TG, HTG is carried out at lower temperature without the energy-intensive drying step </w:t>
      </w:r>
      <w:r>
        <w:fldChar w:fldCharType="begin"/>
      </w:r>
      <w:r w:rsidR="00267C63">
        <w:instrText xml:space="preserve"> ADDIN EN.CITE &lt;EndNote&gt;&lt;Cite&gt;&lt;Author&gt;Kumar&lt;/Author&gt;&lt;Year&gt;2018&lt;/Year&gt;&lt;RecNum&gt;217&lt;/RecNum&gt;&lt;DisplayText&gt;(Kumar, Oyedun et al. 2018)&lt;/DisplayText&gt;&lt;record&gt;&lt;rec-number&gt;217&lt;/rec-number&gt;&lt;foreign-keys&gt;&lt;key app="EN" db-id="50eez5z08wvwt5evrp7xr95rzs2ez0x9rtfv" timestamp="1686130273"&gt;217&lt;/key&gt;&lt;/foreign-keys&gt;&lt;ref-type name="Journal Article"&gt;17&lt;/ref-type&gt;&lt;contributors&gt;&lt;authors&gt;&lt;author&gt;Kumar, Mayank&lt;/author&gt;&lt;author&gt;Oyedun, Adetoyese Olajire&lt;/author&gt;&lt;author&gt;Kumar, Amit&lt;/author&gt;&lt;/authors&gt;&lt;/contributors&gt;&lt;titles&gt;&lt;title&gt;A review on the current status of various hydrothermal technologies on biomass feedstock&lt;/title&gt;&lt;secondary-title&gt;Renewable and Sustainable Energy Reviews&lt;/secondary-title&gt;&lt;/titles&gt;&lt;periodical&gt;&lt;full-title&gt;Renewable and Sustainable Energy Reviews&lt;/full-title&gt;&lt;/periodical&gt;&lt;pages&gt;1742-1770&lt;/pages&gt;&lt;volume&gt;81&lt;/volume&gt;&lt;dates&gt;&lt;year&gt;2018&lt;/year&gt;&lt;/dates&gt;&lt;isbn&gt;1364-0321&lt;/isbn&gt;&lt;urls&gt;&lt;/urls&gt;&lt;/record&gt;&lt;/Cite&gt;&lt;/EndNote&gt;</w:instrText>
      </w:r>
      <w:r>
        <w:fldChar w:fldCharType="separate"/>
      </w:r>
      <w:r w:rsidR="00267C63">
        <w:rPr>
          <w:noProof/>
        </w:rPr>
        <w:t>(Kumar, Oyedun et al. 2018)</w:t>
      </w:r>
      <w:r>
        <w:fldChar w:fldCharType="end"/>
      </w:r>
      <w:r>
        <w:t xml:space="preserve">. However, the technology requires considerable energy for the high-pressure reactor pumping system </w:t>
      </w:r>
      <w:r>
        <w:fldChar w:fldCharType="begin"/>
      </w:r>
      <w:r w:rsidR="00267C63">
        <w:instrText xml:space="preserve"> ADDIN EN.CITE &lt;EndNote&gt;&lt;Cite&gt;&lt;Author&gt;Macrì&lt;/Author&gt;&lt;Year&gt;2020&lt;/Year&gt;&lt;RecNum&gt;19&lt;/RecNum&gt;&lt;DisplayText&gt;(Macrì, Catizzone et al. 2020)&lt;/DisplayText&gt;&lt;record&gt;&lt;rec-number&gt;19&lt;/rec-number&gt;&lt;foreign-keys&gt;&lt;key app="EN" db-id="50eez5z08wvwt5evrp7xr95rzs2ez0x9rtfv" timestamp="1651075625"&gt;19&lt;/key&gt;&lt;/foreign-keys&gt;&lt;ref-type name="Journal Article"&gt;17&lt;/ref-type&gt;&lt;contributors&gt;&lt;authors&gt;&lt;author&gt;Macrì, Domenico&lt;/author&gt;&lt;author&gt;Catizzone, Enrico&lt;/author&gt;&lt;author&gt;Molino, Antonio&lt;/author&gt;&lt;author&gt;Migliori, Massimo&lt;/author&gt;&lt;/authors&gt;&lt;/contributors&gt;&lt;titles&gt;&lt;title&gt;Supercritical water gasification of biomass and agro-food residues: Energy assessment from modelling approach&lt;/title&gt;&lt;secondary-title&gt;Renewable Energy&lt;/secondary-title&gt;&lt;/titles&gt;&lt;periodical&gt;&lt;full-title&gt;Renewable Energy&lt;/full-title&gt;&lt;/periodical&gt;&lt;pages&gt;624-636&lt;/pages&gt;&lt;volume&gt;150&lt;/volume&gt;&lt;dates&gt;&lt;year&gt;2020&lt;/year&gt;&lt;/dates&gt;&lt;isbn&gt;0960-1481&lt;/isbn&gt;&lt;urls&gt;&lt;/urls&gt;&lt;/record&gt;&lt;/Cite&gt;&lt;/EndNote&gt;</w:instrText>
      </w:r>
      <w:r>
        <w:fldChar w:fldCharType="separate"/>
      </w:r>
      <w:r w:rsidR="00267C63">
        <w:rPr>
          <w:noProof/>
        </w:rPr>
        <w:t>(Macrì, Catizzone et al. 2020)</w:t>
      </w:r>
      <w:r>
        <w:fldChar w:fldCharType="end"/>
      </w:r>
      <w:r>
        <w:t xml:space="preserve">. On the other hand, HTC-TG involves relatively lower pressure, with lower drying energy than stand-alone TG. Nevertheless, drying is still required to some extent, and the gasifier temperature is higher than HTG. </w:t>
      </w:r>
      <w:r w:rsidR="00321A0F">
        <w:t xml:space="preserve">These operational aspects can significantly influence the energy performance of both systems. To the best of the authors’ knowledge, research comparing the energy performance of HTG and HTC-TG has not been performed. Therefore, the present study aims to </w:t>
      </w:r>
      <w:r w:rsidR="006A57B5">
        <w:t xml:space="preserve">comparatively evaluate the energy performance of HTG and HTC-TG of biogas digestate. </w:t>
      </w:r>
    </w:p>
    <w:p w14:paraId="6EFB7F37" w14:textId="543FF752" w:rsidR="0076650B" w:rsidRDefault="00492C45" w:rsidP="00492C45">
      <w:pPr>
        <w:pStyle w:val="Els-1storder-head"/>
      </w:pPr>
      <w:r>
        <w:t>Methods</w:t>
      </w:r>
    </w:p>
    <w:p w14:paraId="7533A250" w14:textId="223DE8E4" w:rsidR="007915D9" w:rsidRDefault="007915D9" w:rsidP="007915D9">
      <w:pPr>
        <w:pStyle w:val="Els-2ndorder-head"/>
        <w:numPr>
          <w:ilvl w:val="0"/>
          <w:numId w:val="24"/>
        </w:numPr>
      </w:pPr>
      <w:r>
        <w:t>Process Simulation</w:t>
      </w:r>
    </w:p>
    <w:p w14:paraId="4FB0EA30" w14:textId="11B20341" w:rsidR="00C55269" w:rsidRDefault="00A87D1F" w:rsidP="008D2649">
      <w:pPr>
        <w:pStyle w:val="Els-body-text"/>
      </w:pPr>
      <w:r>
        <w:t>Aspen Plus models of HTG and HTC-TG are employed to comparatively assess the performance of both systems.</w:t>
      </w:r>
      <w:r w:rsidR="00E95A0C">
        <w:t xml:space="preserve"> The HTG and HTC-TG models are presented in Figure 1 and Figure 2, respectively. </w:t>
      </w:r>
      <w:r w:rsidR="00E256F1">
        <w:t>The d</w:t>
      </w:r>
      <w:r w:rsidR="0042363B">
        <w:t xml:space="preserve">igestate feedstock is </w:t>
      </w:r>
      <w:r w:rsidR="00F77AE4">
        <w:t xml:space="preserve">regarded as non-conventional component </w:t>
      </w:r>
      <w:r w:rsidR="0042363B">
        <w:t xml:space="preserve">specified by its </w:t>
      </w:r>
      <w:r w:rsidR="0064064D">
        <w:t>ultimate composition</w:t>
      </w:r>
      <w:r w:rsidR="000C5C60">
        <w:t>,</w:t>
      </w:r>
      <w:r w:rsidR="0064064D">
        <w:t xml:space="preserve"> as displayed in Table 1. </w:t>
      </w:r>
    </w:p>
    <w:p w14:paraId="5D298627" w14:textId="524AD083" w:rsidR="00557C1F" w:rsidRDefault="00557C1F" w:rsidP="00557C1F">
      <w:pPr>
        <w:pStyle w:val="Els-body-text"/>
        <w:rPr>
          <w:lang w:val="nb-NO"/>
        </w:rPr>
      </w:pPr>
      <w:r>
        <w:t xml:space="preserve">Both the HTG and TG models are based on thermodynamic equilibrium using Gibbs free energy minimization principle. This approach is widely used for evaluating the performance of </w:t>
      </w:r>
      <w:r w:rsidR="009E504E">
        <w:t xml:space="preserve">gasification </w:t>
      </w:r>
      <w:r>
        <w:t>systems. Previous works employing the same model have been proven to accurately represent the experimental data</w:t>
      </w:r>
      <w:r w:rsidR="00661029">
        <w:t xml:space="preserve"> for both HTG system</w:t>
      </w:r>
      <w:r>
        <w:t xml:space="preserve"> </w:t>
      </w:r>
      <w:r>
        <w:fldChar w:fldCharType="begin"/>
      </w:r>
      <w:r w:rsidR="00267C63">
        <w:instrText xml:space="preserve"> ADDIN EN.CITE &lt;EndNote&gt;&lt;Cite&gt;&lt;Author&gt;Hantoko&lt;/Author&gt;&lt;Year&gt;2019&lt;/Year&gt;&lt;RecNum&gt;41&lt;/RecNum&gt;&lt;DisplayText&gt;(Hantoko, Kanchanatip et al. 2019, Okolie, Nanda et al. 2020)&lt;/DisplayText&gt;&lt;record&gt;&lt;rec-number&gt;41&lt;/rec-number&gt;&lt;foreign-keys&gt;&lt;key app="EN" db-id="50eez5z08wvwt5evrp7xr95rzs2ez0x9rtfv" timestamp="1652197963"&gt;41&lt;/key&gt;&lt;/foreign-keys&gt;&lt;ref-type name="Journal Article"&gt;17&lt;/ref-type&gt;&lt;contributors&gt;&lt;authors&gt;&lt;author&gt;Hantoko, Dwi&lt;/author&gt;&lt;author&gt;Kanchanatip, Ekkachai&lt;/author&gt;&lt;author&gt;Yan, Mi&lt;/author&gt;&lt;author&gt;Weng, Zhouchao&lt;/author&gt;&lt;author&gt;Gao, Zengliang&lt;/author&gt;&lt;author&gt;Zhong, Yingjie&lt;/author&gt;&lt;/authors&gt;&lt;/contributors&gt;&lt;titles&gt;&lt;title&gt;Assessment of sewage sludge gasification in supercritical water for H2-rich syngas production&lt;/title&gt;&lt;secondary-title&gt;Process Safety and Environmental Protection&lt;/secondary-title&gt;&lt;/titles&gt;&lt;periodical&gt;&lt;full-title&gt;Process Safety and Environmental Protection&lt;/full-title&gt;&lt;/periodical&gt;&lt;pages&gt;63-72&lt;/pages&gt;&lt;volume&gt;131&lt;/volume&gt;&lt;dates&gt;&lt;year&gt;2019&lt;/year&gt;&lt;/dates&gt;&lt;isbn&gt;0957-5820&lt;/isbn&gt;&lt;urls&gt;&lt;/urls&gt;&lt;/record&gt;&lt;/Cite&gt;&lt;Cite&gt;&lt;Author&gt;Okolie&lt;/Author&gt;&lt;Year&gt;2020&lt;/Year&gt;&lt;RecNum&gt;24&lt;/RecNum&gt;&lt;record&gt;&lt;rec-number&gt;24&lt;/rec-number&gt;&lt;foreign-keys&gt;&lt;key app="EN" db-id="50eez5z08wvwt5evrp7xr95rzs2ez0x9rtfv" timestamp="1651075725"&gt;24&lt;/key&gt;&lt;/foreign-keys&gt;&lt;ref-type name="Journal Article"&gt;17&lt;/ref-type&gt;&lt;contributors&gt;&lt;authors&gt;&lt;author&gt;Okolie, Jude A&lt;/author&gt;&lt;author&gt;Nanda, Sonil&lt;/author&gt;&lt;author&gt;Dalai, Ajay K&lt;/author&gt;&lt;author&gt;Kozinski, Janusz A&lt;/author&gt;&lt;/authors&gt;&lt;/contributors&gt;&lt;titles&gt;&lt;title&gt;Hydrothermal gasification of soybean straw and flax straw for hydrogen-rich syngas production: Experimental and thermodynamic modeling&lt;/title&gt;&lt;secondary-title&gt;Energy Conversion and Management&lt;/secondary-title&gt;&lt;/titles&gt;&lt;periodical&gt;&lt;full-title&gt;Energy conversion and management&lt;/full-title&gt;&lt;/periodical&gt;&lt;pages&gt;112545&lt;/pages&gt;&lt;volume&gt;208&lt;/volume&gt;&lt;dates&gt;&lt;year&gt;2020&lt;/year&gt;&lt;/dates&gt;&lt;isbn&gt;0196-8904&lt;/isbn&gt;&lt;urls&gt;&lt;/urls&gt;&lt;/record&gt;&lt;/Cite&gt;&lt;/EndNote&gt;</w:instrText>
      </w:r>
      <w:r>
        <w:fldChar w:fldCharType="separate"/>
      </w:r>
      <w:r w:rsidR="00267C63">
        <w:rPr>
          <w:noProof/>
        </w:rPr>
        <w:t>(Hantoko, Kanchanatip et al. 2019, Okolie, Nanda et al. 2020)</w:t>
      </w:r>
      <w:r>
        <w:fldChar w:fldCharType="end"/>
      </w:r>
      <w:r w:rsidR="00661029" w:rsidRPr="005772E9">
        <w:t xml:space="preserve"> and TG system </w:t>
      </w:r>
      <w:r w:rsidR="00496124">
        <w:fldChar w:fldCharType="begin"/>
      </w:r>
      <w:r w:rsidR="00267C63">
        <w:instrText xml:space="preserve"> ADDIN EN.CITE &lt;EndNote&gt;&lt;Cite&gt;&lt;Author&gt;Salaudeen&lt;/Author&gt;&lt;Year&gt;2021&lt;/Year&gt;&lt;RecNum&gt;1&lt;/RecNum&gt;&lt;DisplayText&gt;(Salaudeen, Acharya et al. 2021)&lt;/DisplayText&gt;&lt;record&gt;&lt;rec-number&gt;1&lt;/rec-number&gt;&lt;foreign-keys&gt;&lt;key app="EN" db-id="25v5xaawe0apshezta65etdst92tfxvpwsx0" timestamp="1702385400"&gt;1&lt;/key&gt;&lt;/foreign-keys&gt;&lt;ref-type name="Journal Article"&gt;17&lt;/ref-type&gt;&lt;contributors&gt;&lt;authors&gt;&lt;author&gt;Salaudeen, Shakirudeen A&lt;/author&gt;&lt;author&gt;Acharya, Bishnu&lt;/author&gt;&lt;author&gt;Dutta, Animesh&lt;/author&gt;&lt;/authors&gt;&lt;/contributors&gt;&lt;titles&gt;&lt;title&gt;Steam gasification of hydrochar derived from hydrothermal carbonization of fruit wastes&lt;/title&gt;&lt;secondary-title&gt;Renewable Energy&lt;/secondary-title&gt;&lt;/titles&gt;&lt;pages&gt;582-591&lt;/pages&gt;&lt;volume&gt;171&lt;/volume&gt;&lt;dates&gt;&lt;year&gt;2021&lt;/year&gt;&lt;/dates&gt;&lt;isbn&gt;0960-1481&lt;/isbn&gt;&lt;urls&gt;&lt;/urls&gt;&lt;/record&gt;&lt;/Cite&gt;&lt;/EndNote&gt;</w:instrText>
      </w:r>
      <w:r w:rsidR="00496124">
        <w:fldChar w:fldCharType="separate"/>
      </w:r>
      <w:r w:rsidR="00267C63" w:rsidRPr="00267C63">
        <w:rPr>
          <w:noProof/>
          <w:lang w:val="nb-NO"/>
        </w:rPr>
        <w:t>(Salaudeen, Acharya et al. 2021)</w:t>
      </w:r>
      <w:r w:rsidR="00496124">
        <w:fldChar w:fldCharType="end"/>
      </w:r>
      <w:r w:rsidR="00496124" w:rsidRPr="00496124">
        <w:rPr>
          <w:lang w:val="nb-NO"/>
        </w:rPr>
        <w:t>.</w:t>
      </w:r>
    </w:p>
    <w:p w14:paraId="5C086133" w14:textId="77777777" w:rsidR="00C0535E" w:rsidRDefault="00C0535E" w:rsidP="00557C1F">
      <w:pPr>
        <w:pStyle w:val="Els-body-text"/>
        <w:rPr>
          <w:lang w:val="nb-NO"/>
        </w:rPr>
      </w:pPr>
    </w:p>
    <w:p w14:paraId="2F30DC7E" w14:textId="77777777" w:rsidR="00C0535E" w:rsidRDefault="00C0535E" w:rsidP="00C0535E">
      <w:pPr>
        <w:pStyle w:val="Els-2ndorder-head"/>
        <w:numPr>
          <w:ilvl w:val="2"/>
          <w:numId w:val="17"/>
        </w:numPr>
        <w:tabs>
          <w:tab w:val="left" w:pos="567"/>
        </w:tabs>
        <w:ind w:left="284" w:hanging="284"/>
      </w:pPr>
      <w:r>
        <w:t>Hydrothermal Gasification (HTG)</w:t>
      </w:r>
    </w:p>
    <w:p w14:paraId="00878B85" w14:textId="641407C5" w:rsidR="00C0535E" w:rsidRDefault="00C0535E" w:rsidP="00C0535E">
      <w:pPr>
        <w:pStyle w:val="Els-body-text"/>
      </w:pPr>
      <w:r>
        <w:t xml:space="preserve">The digestate and water mixture enter the system as stream FEED. The PUMP and HEATER increase the temperature and pressure of the feedstock mixture to the reactor condition, as specified in Table 3. The HTG reactor is theoretically represented with two reactor blocks in Aspen Plus, i.e., RYIELD </w:t>
      </w:r>
      <w:r w:rsidR="0077308C">
        <w:t xml:space="preserve">(HTGYIELD) </w:t>
      </w:r>
      <w:r>
        <w:t>and RGIBBS</w:t>
      </w:r>
      <w:r w:rsidR="0077308C">
        <w:t xml:space="preserve"> (HTGGIBBS)</w:t>
      </w:r>
      <w:r>
        <w:t xml:space="preserve">. The </w:t>
      </w:r>
      <w:r w:rsidR="0077308C">
        <w:t xml:space="preserve">HTGYIELD </w:t>
      </w:r>
      <w:r>
        <w:t xml:space="preserve">breaks down the non-conventional digestate component into its element (C, H, O, N, S, and ash) according to its ultimate composition. To perform this operation, a Fortran statement is written on a calculator block embedded in the </w:t>
      </w:r>
      <w:r w:rsidR="00CF4A67">
        <w:t xml:space="preserve">HTGYIELD </w:t>
      </w:r>
      <w:r>
        <w:t xml:space="preserve">reactor. The decomposed feedstock from </w:t>
      </w:r>
      <w:r w:rsidR="00707FB1">
        <w:t xml:space="preserve">HTGYIELD </w:t>
      </w:r>
      <w:r>
        <w:t xml:space="preserve">is reacted in </w:t>
      </w:r>
      <w:r w:rsidR="000E0D18">
        <w:t>HTGGIBBS</w:t>
      </w:r>
      <w:r>
        <w:t xml:space="preserve">, which performs the Gibbs free energy minimization. The resulting products are flown through COOLER and VALVE to reduce the temperature and pressure before being separated in SEP. </w:t>
      </w:r>
    </w:p>
    <w:p w14:paraId="3BC67233" w14:textId="149CF57B" w:rsidR="00BB04EB" w:rsidRPr="00496124" w:rsidRDefault="000A298C" w:rsidP="008D2649">
      <w:pPr>
        <w:pStyle w:val="Els-body-text"/>
        <w:rPr>
          <w:lang w:val="nb-NO"/>
        </w:rPr>
      </w:pPr>
      <w:r>
        <w:rPr>
          <w:noProof/>
        </w:rPr>
        <w:drawing>
          <wp:inline distT="0" distB="0" distL="0" distR="0" wp14:anchorId="648231FE" wp14:editId="14FC323D">
            <wp:extent cx="4690104" cy="906780"/>
            <wp:effectExtent l="0" t="0" r="0" b="7620"/>
            <wp:docPr id="1018339833" name="Picture 1" descr="A diagram of a p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339833" name="Picture 1" descr="A diagram of a pill&#10;&#10;Description automatically generated"/>
                    <pic:cNvPicPr/>
                  </pic:nvPicPr>
                  <pic:blipFill>
                    <a:blip r:embed="rId8"/>
                    <a:stretch>
                      <a:fillRect/>
                    </a:stretch>
                  </pic:blipFill>
                  <pic:spPr>
                    <a:xfrm>
                      <a:off x="0" y="0"/>
                      <a:ext cx="4691954" cy="907138"/>
                    </a:xfrm>
                    <a:prstGeom prst="rect">
                      <a:avLst/>
                    </a:prstGeom>
                  </pic:spPr>
                </pic:pic>
              </a:graphicData>
            </a:graphic>
          </wp:inline>
        </w:drawing>
      </w:r>
    </w:p>
    <w:p w14:paraId="22ECE612" w14:textId="51189294" w:rsidR="009A26E8" w:rsidRPr="00496124" w:rsidRDefault="009A26E8" w:rsidP="008D2649">
      <w:pPr>
        <w:pStyle w:val="Els-body-text"/>
        <w:rPr>
          <w:lang w:val="nb-NO"/>
        </w:rPr>
      </w:pPr>
    </w:p>
    <w:p w14:paraId="3EE63430" w14:textId="54962E91" w:rsidR="00814BDC" w:rsidRDefault="00814BDC" w:rsidP="000A298C">
      <w:pPr>
        <w:pStyle w:val="Els-body-text"/>
        <w:jc w:val="center"/>
        <w:rPr>
          <w:i/>
          <w:iCs/>
        </w:rPr>
      </w:pPr>
      <w:r>
        <w:rPr>
          <w:i/>
          <w:iCs/>
        </w:rPr>
        <w:t>Figure 1. Process Flow Diagram of HTG in Aspen Plus</w:t>
      </w:r>
    </w:p>
    <w:p w14:paraId="4AD3AED2" w14:textId="6AA28617" w:rsidR="00C7452B" w:rsidRDefault="00C7452B" w:rsidP="007915D9">
      <w:pPr>
        <w:pStyle w:val="Els-2ndorder-head"/>
        <w:numPr>
          <w:ilvl w:val="2"/>
          <w:numId w:val="17"/>
        </w:numPr>
        <w:tabs>
          <w:tab w:val="left" w:pos="567"/>
        </w:tabs>
        <w:ind w:left="284" w:hanging="284"/>
      </w:pPr>
      <w:r>
        <w:lastRenderedPageBreak/>
        <w:t>Hydrothermal Carbonization Integrated with Thermal Gasification (HTC-TG)</w:t>
      </w:r>
    </w:p>
    <w:p w14:paraId="5692A45A" w14:textId="723A3F0D" w:rsidR="007301D2" w:rsidRDefault="00E83928" w:rsidP="00104705">
      <w:pPr>
        <w:pStyle w:val="Els-body-text"/>
      </w:pPr>
      <w:r>
        <w:t>The stream FEE</w:t>
      </w:r>
      <w:r w:rsidR="007138A4">
        <w:t>D,</w:t>
      </w:r>
      <w:r>
        <w:t xml:space="preserve"> consist</w:t>
      </w:r>
      <w:r w:rsidR="007138A4">
        <w:t>ing</w:t>
      </w:r>
      <w:r>
        <w:t xml:space="preserve"> of digestate and water mixture</w:t>
      </w:r>
      <w:r w:rsidR="007138A4">
        <w:t xml:space="preserve">, is flown through </w:t>
      </w:r>
      <w:r w:rsidR="00F5020C">
        <w:t>PUMP 1 and</w:t>
      </w:r>
      <w:r w:rsidR="009E0D0D">
        <w:t xml:space="preserve"> HEAT1 before being fed to the HTC unit. </w:t>
      </w:r>
      <w:r w:rsidR="00724C33">
        <w:t xml:space="preserve">Due to the complexity of HTC reaction kinetic and mechanism, </w:t>
      </w:r>
      <w:r w:rsidR="00F41B93">
        <w:t xml:space="preserve">the </w:t>
      </w:r>
      <w:r w:rsidR="00C738A6">
        <w:t xml:space="preserve">data for </w:t>
      </w:r>
      <w:r w:rsidR="00F41B93">
        <w:t xml:space="preserve">HTC </w:t>
      </w:r>
      <w:r w:rsidR="00BB7F44">
        <w:t xml:space="preserve">unit in the simulation </w:t>
      </w:r>
      <w:r w:rsidR="00AB4BD8">
        <w:t xml:space="preserve">is </w:t>
      </w:r>
      <w:r w:rsidR="00C738A6">
        <w:t xml:space="preserve">taken from </w:t>
      </w:r>
      <w:r w:rsidR="00F41B93">
        <w:t>experimental results</w:t>
      </w:r>
      <w:r w:rsidR="00886470">
        <w:t xml:space="preserve"> available in </w:t>
      </w:r>
      <w:r w:rsidR="00BE53BC">
        <w:t>literature</w:t>
      </w:r>
      <w:r w:rsidR="00B72C79">
        <w:t xml:space="preserve"> </w:t>
      </w:r>
      <w:r w:rsidR="00E90F15">
        <w:fldChar w:fldCharType="begin"/>
      </w:r>
      <w:r w:rsidR="00267C63">
        <w:instrText xml:space="preserve"> ADDIN EN.CITE &lt;EndNote&gt;&lt;Cite&gt;&lt;Author&gt;Ghavami&lt;/Author&gt;&lt;Year&gt;2022&lt;/Year&gt;&lt;RecNum&gt;28&lt;/RecNum&gt;&lt;DisplayText&gt;(Ghavami, Özdenkçi et al. 2022)&lt;/DisplayText&gt;&lt;record&gt;&lt;rec-number&gt;28&lt;/rec-number&gt;&lt;foreign-keys&gt;&lt;key app="EN" db-id="50eez5z08wvwt5evrp7xr95rzs2ez0x9rtfv" timestamp="1700132143"&gt;28&lt;/key&gt;&lt;/foreign-keys&gt;&lt;ref-type name="Journal Article"&gt;17&lt;/ref-type&gt;&lt;contributors&gt;&lt;authors&gt;&lt;author&gt;Ghavami, Niloufar&lt;/author&gt;&lt;author&gt;Özdenkçi, Karhan&lt;/author&gt;&lt;author&gt;Chianese, Simeone&lt;/author&gt;&lt;author&gt;Musmarra, Dino&lt;/author&gt;&lt;author&gt;De Blasio, Cataldo&lt;/author&gt;&lt;/authors&gt;&lt;/contributors&gt;&lt;titles&gt;&lt;title&gt;Process simulation of hydrothermal carbonization of digestate from energetic perspectives in Aspen Plus&lt;/title&gt;&lt;secondary-title&gt;Energy Conversion and Management&lt;/secondary-title&gt;&lt;/titles&gt;&lt;periodical&gt;&lt;full-title&gt;Energy conversion and management&lt;/full-title&gt;&lt;/periodical&gt;&lt;pages&gt;116215&lt;/pages&gt;&lt;volume&gt;270&lt;/volume&gt;&lt;dates&gt;&lt;year&gt;2022&lt;/year&gt;&lt;/dates&gt;&lt;isbn&gt;0196-8904&lt;/isbn&gt;&lt;urls&gt;&lt;/urls&gt;&lt;/record&gt;&lt;/Cite&gt;&lt;/EndNote&gt;</w:instrText>
      </w:r>
      <w:r w:rsidR="00E90F15">
        <w:fldChar w:fldCharType="separate"/>
      </w:r>
      <w:r w:rsidR="00267C63">
        <w:rPr>
          <w:noProof/>
        </w:rPr>
        <w:t>(Ghavami, Özdenkçi et al. 2022)</w:t>
      </w:r>
      <w:r w:rsidR="00E90F15">
        <w:fldChar w:fldCharType="end"/>
      </w:r>
      <w:r w:rsidR="00BE53BC">
        <w:t>.</w:t>
      </w:r>
      <w:r w:rsidR="00813FA7">
        <w:t xml:space="preserve"> </w:t>
      </w:r>
      <w:r w:rsidR="00F73C5B">
        <w:t xml:space="preserve">The </w:t>
      </w:r>
      <w:r w:rsidR="002E30D1">
        <w:t xml:space="preserve">reference </w:t>
      </w:r>
      <w:r w:rsidR="00F73C5B">
        <w:t xml:space="preserve">data included </w:t>
      </w:r>
      <w:r w:rsidR="001076DE">
        <w:t>the mass balance of the HTC system</w:t>
      </w:r>
      <w:r w:rsidR="007E486F">
        <w:t xml:space="preserve"> and </w:t>
      </w:r>
      <w:r w:rsidR="00E62ADF">
        <w:t xml:space="preserve">the </w:t>
      </w:r>
      <w:r w:rsidR="0058721F">
        <w:t xml:space="preserve">ultimate composition of </w:t>
      </w:r>
      <w:proofErr w:type="spellStart"/>
      <w:r w:rsidR="0058721F">
        <w:t>hydrochar</w:t>
      </w:r>
      <w:proofErr w:type="spellEnd"/>
      <w:r w:rsidR="0058721F">
        <w:t>,</w:t>
      </w:r>
      <w:r w:rsidR="000A567D">
        <w:t xml:space="preserve"> as displayed in Table 2. </w:t>
      </w:r>
      <w:r w:rsidR="00554791">
        <w:t xml:space="preserve">In addition, </w:t>
      </w:r>
      <w:r w:rsidR="009F1FE4">
        <w:t xml:space="preserve">energy requirements for the </w:t>
      </w:r>
      <w:r w:rsidR="00E975A7">
        <w:t xml:space="preserve">dewatering and drying </w:t>
      </w:r>
      <w:r w:rsidR="009F1FE4">
        <w:t xml:space="preserve">steps are approximated according to </w:t>
      </w:r>
      <w:r w:rsidR="005948B5">
        <w:t xml:space="preserve">experimental filtration </w:t>
      </w:r>
      <w:r w:rsidR="005948B5">
        <w:fldChar w:fldCharType="begin"/>
      </w:r>
      <w:r w:rsidR="00267C63">
        <w:instrText xml:space="preserve"> ADDIN EN.CITE &lt;EndNote&gt;&lt;Cite&gt;&lt;Author&gt;Aragon-Briceño&lt;/Author&gt;&lt;Year&gt;2022&lt;/Year&gt;&lt;RecNum&gt;143&lt;/RecNum&gt;&lt;DisplayText&gt;(Aragon-Briceño, Pożarlik et al. 2022)&lt;/DisplayText&gt;&lt;record&gt;&lt;rec-number&gt;143&lt;/rec-number&gt;&lt;foreign-keys&gt;&lt;key app="EN" db-id="50eez5z08wvwt5evrp7xr95rzs2ez0x9rtfv" timestamp="1702390319"&gt;143&lt;/key&gt;&lt;/foreign-keys&gt;&lt;ref-type name="Journal Article"&gt;17&lt;/ref-type&gt;&lt;contributors&gt;&lt;authors&gt;&lt;author&gt;Aragon-Briceño, Christian&lt;/author&gt;&lt;author&gt;Pożarlik, Artur&lt;/author&gt;&lt;author&gt;Bramer, Eddy&lt;/author&gt;&lt;author&gt;Brem, Gerrit&lt;/author&gt;&lt;author&gt;Wang, Shule&lt;/author&gt;&lt;author&gt;Wen, Yuming&lt;/author&gt;&lt;author&gt;Yang, Weihong&lt;/author&gt;&lt;author&gt;Pawlak-Kruczek, Halina&lt;/author&gt;&lt;author&gt;Niedźwiecki, Łukasz&lt;/author&gt;&lt;author&gt;Urbanowska, Agnieszka&lt;/author&gt;&lt;/authors&gt;&lt;/contributors&gt;&lt;titles&gt;&lt;title&gt;Integration of hydrothermal carbonization treatment for water and energy recovery from organic fraction of municipal solid waste digestate&lt;/title&gt;&lt;secondary-title&gt;Renewable energy&lt;/secondary-title&gt;&lt;/titles&gt;&lt;periodical&gt;&lt;full-title&gt;Renewable Energy&lt;/full-title&gt;&lt;/periodical&gt;&lt;pages&gt;577-591&lt;/pages&gt;&lt;volume&gt;184&lt;/volume&gt;&lt;dates&gt;&lt;year&gt;2022&lt;/year&gt;&lt;/dates&gt;&lt;isbn&gt;0960-1481&lt;/isbn&gt;&lt;urls&gt;&lt;/urls&gt;&lt;/record&gt;&lt;/Cite&gt;&lt;/EndNote&gt;</w:instrText>
      </w:r>
      <w:r w:rsidR="005948B5">
        <w:fldChar w:fldCharType="separate"/>
      </w:r>
      <w:r w:rsidR="00267C63">
        <w:rPr>
          <w:noProof/>
        </w:rPr>
        <w:t>(Aragon-Briceño, Pożarlik et al. 2022)</w:t>
      </w:r>
      <w:r w:rsidR="005948B5">
        <w:fldChar w:fldCharType="end"/>
      </w:r>
      <w:r w:rsidR="005948B5">
        <w:t xml:space="preserve"> and thermal drying of </w:t>
      </w:r>
      <w:proofErr w:type="spellStart"/>
      <w:r w:rsidR="005948B5">
        <w:t>hydrochar</w:t>
      </w:r>
      <w:proofErr w:type="spellEnd"/>
      <w:r w:rsidR="005948B5">
        <w:t xml:space="preserve"> </w:t>
      </w:r>
      <w:r w:rsidR="005948B5">
        <w:fldChar w:fldCharType="begin"/>
      </w:r>
      <w:r w:rsidR="00267C63">
        <w:instrText xml:space="preserve"> ADDIN EN.CITE &lt;EndNote&gt;&lt;Cite&gt;&lt;Author&gt;Zhao&lt;/Author&gt;&lt;Year&gt;2014&lt;/Year&gt;&lt;RecNum&gt;144&lt;/RecNum&gt;&lt;DisplayText&gt;(Zhao, Shen et al. 2014)&lt;/DisplayText&gt;&lt;record&gt;&lt;rec-number&gt;144&lt;/rec-number&gt;&lt;foreign-keys&gt;&lt;key app="EN" db-id="50eez5z08wvwt5evrp7xr95rzs2ez0x9rtfv" timestamp="1702390502"&gt;144&lt;/key&gt;&lt;/foreign-keys&gt;&lt;ref-type name="Journal Article"&gt;17&lt;/ref-type&gt;&lt;contributors&gt;&lt;authors&gt;&lt;author&gt;Zhao, Peitao&lt;/author&gt;&lt;author&gt;Shen, Yafei&lt;/author&gt;&lt;author&gt;Ge, Shifu&lt;/author&gt;&lt;author&gt;Yoshikawa, Kunio&lt;/author&gt;&lt;/authors&gt;&lt;/contributors&gt;&lt;titles&gt;&lt;title&gt;Energy recycling from sewage sludge by producing solid biofuel with hydrothermal carbonization&lt;/title&gt;&lt;secondary-title&gt;Energy conversion and management&lt;/secondary-title&gt;&lt;/titles&gt;&lt;periodical&gt;&lt;full-title&gt;Energy conversion and management&lt;/full-title&gt;&lt;/periodical&gt;&lt;pages&gt;815-821&lt;/pages&gt;&lt;volume&gt;78&lt;/volume&gt;&lt;dates&gt;&lt;year&gt;2014&lt;/year&gt;&lt;/dates&gt;&lt;isbn&gt;0196-8904&lt;/isbn&gt;&lt;urls&gt;&lt;/urls&gt;&lt;/record&gt;&lt;/Cite&gt;&lt;/EndNote&gt;</w:instrText>
      </w:r>
      <w:r w:rsidR="005948B5">
        <w:fldChar w:fldCharType="separate"/>
      </w:r>
      <w:r w:rsidR="00267C63">
        <w:rPr>
          <w:noProof/>
        </w:rPr>
        <w:t>(Zhao, Shen et al. 2014)</w:t>
      </w:r>
      <w:r w:rsidR="005948B5">
        <w:fldChar w:fldCharType="end"/>
      </w:r>
      <w:r w:rsidR="005948B5">
        <w:t>.</w:t>
      </w:r>
    </w:p>
    <w:p w14:paraId="4CA97268" w14:textId="39F8C9F5" w:rsidR="00F40018" w:rsidRDefault="00751A98" w:rsidP="00104705">
      <w:pPr>
        <w:pStyle w:val="Els-body-text"/>
      </w:pPr>
      <w:r>
        <w:t xml:space="preserve">The </w:t>
      </w:r>
      <w:r w:rsidR="00C13B3B">
        <w:t xml:space="preserve">dried </w:t>
      </w:r>
      <w:proofErr w:type="spellStart"/>
      <w:r w:rsidR="00C13B3B">
        <w:t>hydrochar</w:t>
      </w:r>
      <w:proofErr w:type="spellEnd"/>
      <w:r w:rsidR="00C13B3B">
        <w:t xml:space="preserve"> in stream </w:t>
      </w:r>
      <w:r w:rsidR="00403E96">
        <w:t xml:space="preserve">TGFEED </w:t>
      </w:r>
      <w:r w:rsidR="00C13B3B">
        <w:t xml:space="preserve">enters the </w:t>
      </w:r>
      <w:r w:rsidR="00403E96">
        <w:t xml:space="preserve">gasification </w:t>
      </w:r>
      <w:r w:rsidR="00C13B3B">
        <w:t>reactor system. Si</w:t>
      </w:r>
      <w:r w:rsidR="00230468">
        <w:t>milar with the HTG process, the TG system is also theoretically modelled with RYIELD and RGIBBS reactor blocks</w:t>
      </w:r>
      <w:r w:rsidR="003D1630">
        <w:t>, denoted by TGYIELD and TGGIBBS, respectively</w:t>
      </w:r>
      <w:r w:rsidR="00230468">
        <w:t xml:space="preserve">. </w:t>
      </w:r>
      <w:r w:rsidR="0049628D">
        <w:t>TG</w:t>
      </w:r>
      <w:r w:rsidR="00316685">
        <w:t xml:space="preserve">YIELD decomposes the </w:t>
      </w:r>
      <w:r w:rsidR="003F2285">
        <w:t xml:space="preserve">non-conventional </w:t>
      </w:r>
      <w:proofErr w:type="spellStart"/>
      <w:r w:rsidR="003F2285">
        <w:t>hydrochar</w:t>
      </w:r>
      <w:proofErr w:type="spellEnd"/>
      <w:r w:rsidR="003F2285">
        <w:t xml:space="preserve"> component into its elements with the aid of </w:t>
      </w:r>
      <w:r w:rsidR="004B3010">
        <w:t xml:space="preserve">a calculator block, whereas </w:t>
      </w:r>
      <w:r w:rsidR="00E5555A">
        <w:t>TG</w:t>
      </w:r>
      <w:r w:rsidR="004B3010">
        <w:t xml:space="preserve">GIBBS </w:t>
      </w:r>
      <w:r w:rsidR="006E2A5C">
        <w:t xml:space="preserve">carries out the Gibbs free energy minimization. </w:t>
      </w:r>
      <w:r w:rsidR="008E4FE6">
        <w:t xml:space="preserve">The product </w:t>
      </w:r>
      <w:r w:rsidR="007A6D4D">
        <w:t xml:space="preserve">flows </w:t>
      </w:r>
      <w:r w:rsidR="00692985">
        <w:t xml:space="preserve">through </w:t>
      </w:r>
      <w:r w:rsidR="007A6D4D">
        <w:t xml:space="preserve">SOLIDSEP for </w:t>
      </w:r>
      <w:r w:rsidR="00692985">
        <w:t>solid removal</w:t>
      </w:r>
      <w:r w:rsidR="00F71B1C">
        <w:t xml:space="preserve"> and COOLER and SEP for separation of condensate.</w:t>
      </w:r>
    </w:p>
    <w:p w14:paraId="4B4827FB" w14:textId="77777777" w:rsidR="00230DA3" w:rsidRDefault="00230DA3" w:rsidP="00104705">
      <w:pPr>
        <w:pStyle w:val="Els-body-text"/>
      </w:pPr>
    </w:p>
    <w:p w14:paraId="45D0A522" w14:textId="77777777" w:rsidR="00C0535E" w:rsidRPr="00A01A21" w:rsidRDefault="00C0535E" w:rsidP="00C0535E">
      <w:pPr>
        <w:pStyle w:val="Els-body-text"/>
      </w:pPr>
      <w:r>
        <w:rPr>
          <w:noProof/>
        </w:rPr>
        <w:drawing>
          <wp:inline distT="0" distB="0" distL="0" distR="0" wp14:anchorId="0EE5AEF6" wp14:editId="1C75C7BF">
            <wp:extent cx="5085025" cy="2636520"/>
            <wp:effectExtent l="0" t="0" r="1905" b="0"/>
            <wp:docPr id="336451529" name="Picture 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51529" name="Picture 1" descr="A diagram of a machine&#10;&#10;Description automatically generated"/>
                    <pic:cNvPicPr/>
                  </pic:nvPicPr>
                  <pic:blipFill>
                    <a:blip r:embed="rId9"/>
                    <a:stretch>
                      <a:fillRect/>
                    </a:stretch>
                  </pic:blipFill>
                  <pic:spPr>
                    <a:xfrm>
                      <a:off x="0" y="0"/>
                      <a:ext cx="5090608" cy="2639415"/>
                    </a:xfrm>
                    <a:prstGeom prst="rect">
                      <a:avLst/>
                    </a:prstGeom>
                  </pic:spPr>
                </pic:pic>
              </a:graphicData>
            </a:graphic>
          </wp:inline>
        </w:drawing>
      </w:r>
    </w:p>
    <w:p w14:paraId="705BDACC" w14:textId="77777777" w:rsidR="00C0535E" w:rsidRDefault="00C0535E" w:rsidP="00C0535E">
      <w:pPr>
        <w:pStyle w:val="Els-body-text"/>
        <w:jc w:val="center"/>
        <w:rPr>
          <w:i/>
          <w:iCs/>
        </w:rPr>
      </w:pPr>
      <w:r>
        <w:rPr>
          <w:i/>
          <w:iCs/>
        </w:rPr>
        <w:t>Figure 2. Process Flow Diagram of HTC-AD in Aspen Plus</w:t>
      </w:r>
    </w:p>
    <w:p w14:paraId="31F1120E" w14:textId="77777777" w:rsidR="00C0535E" w:rsidRDefault="00C0535E" w:rsidP="00104705">
      <w:pPr>
        <w:pStyle w:val="Els-body-text"/>
      </w:pPr>
    </w:p>
    <w:p w14:paraId="584C6D5F" w14:textId="2C1942B3" w:rsidR="00104705" w:rsidRDefault="00104705" w:rsidP="003A6135">
      <w:pPr>
        <w:pStyle w:val="Els-body-text"/>
        <w:jc w:val="left"/>
      </w:pPr>
      <w:r>
        <w:t>Table 1. Input Data from Characterization of Digestate Feedstock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992"/>
        <w:gridCol w:w="851"/>
      </w:tblGrid>
      <w:tr w:rsidR="00104705" w14:paraId="4BCB5C9F" w14:textId="77777777" w:rsidTr="000018D0">
        <w:trPr>
          <w:jc w:val="center"/>
        </w:trPr>
        <w:tc>
          <w:tcPr>
            <w:tcW w:w="1413" w:type="dxa"/>
            <w:tcBorders>
              <w:top w:val="single" w:sz="4" w:space="0" w:color="auto"/>
              <w:bottom w:val="single" w:sz="4" w:space="0" w:color="auto"/>
            </w:tcBorders>
          </w:tcPr>
          <w:p w14:paraId="6E55E849" w14:textId="1AE5C42C" w:rsidR="00104705" w:rsidRDefault="00104705" w:rsidP="000018D0">
            <w:pPr>
              <w:pStyle w:val="Els-body-text"/>
              <w:jc w:val="center"/>
            </w:pPr>
            <w:r>
              <w:t>Parameters</w:t>
            </w:r>
          </w:p>
        </w:tc>
        <w:tc>
          <w:tcPr>
            <w:tcW w:w="992" w:type="dxa"/>
            <w:tcBorders>
              <w:top w:val="single" w:sz="4" w:space="0" w:color="auto"/>
              <w:bottom w:val="single" w:sz="4" w:space="0" w:color="auto"/>
            </w:tcBorders>
          </w:tcPr>
          <w:p w14:paraId="70BD1C3F" w14:textId="2F503B23" w:rsidR="00104705" w:rsidRDefault="00104705" w:rsidP="000018D0">
            <w:pPr>
              <w:pStyle w:val="Els-body-text"/>
              <w:jc w:val="center"/>
            </w:pPr>
            <w:r>
              <w:t>Value</w:t>
            </w:r>
          </w:p>
        </w:tc>
        <w:tc>
          <w:tcPr>
            <w:tcW w:w="851" w:type="dxa"/>
            <w:tcBorders>
              <w:top w:val="single" w:sz="4" w:space="0" w:color="auto"/>
              <w:bottom w:val="single" w:sz="4" w:space="0" w:color="auto"/>
            </w:tcBorders>
          </w:tcPr>
          <w:p w14:paraId="21F1941A" w14:textId="47BAB742" w:rsidR="00104705" w:rsidRDefault="00104705" w:rsidP="000018D0">
            <w:pPr>
              <w:pStyle w:val="Els-body-text"/>
              <w:jc w:val="center"/>
            </w:pPr>
            <w:r>
              <w:t>Units</w:t>
            </w:r>
          </w:p>
        </w:tc>
      </w:tr>
      <w:tr w:rsidR="00104705" w14:paraId="6CBAC1E4" w14:textId="77777777" w:rsidTr="000018D0">
        <w:trPr>
          <w:jc w:val="center"/>
        </w:trPr>
        <w:tc>
          <w:tcPr>
            <w:tcW w:w="1413" w:type="dxa"/>
            <w:tcBorders>
              <w:top w:val="single" w:sz="4" w:space="0" w:color="auto"/>
            </w:tcBorders>
          </w:tcPr>
          <w:p w14:paraId="53AD1BEC" w14:textId="3F314C21" w:rsidR="00104705" w:rsidRDefault="00104705" w:rsidP="000018D0">
            <w:pPr>
              <w:pStyle w:val="Els-body-text"/>
              <w:jc w:val="center"/>
            </w:pPr>
            <w:r>
              <w:t>C</w:t>
            </w:r>
          </w:p>
        </w:tc>
        <w:tc>
          <w:tcPr>
            <w:tcW w:w="992" w:type="dxa"/>
            <w:tcBorders>
              <w:top w:val="single" w:sz="4" w:space="0" w:color="auto"/>
            </w:tcBorders>
          </w:tcPr>
          <w:p w14:paraId="3315169C" w14:textId="34C0D97E" w:rsidR="00104705" w:rsidRDefault="00104705" w:rsidP="000018D0">
            <w:pPr>
              <w:pStyle w:val="Els-body-text"/>
              <w:jc w:val="center"/>
            </w:pPr>
            <w:r>
              <w:t>44.1</w:t>
            </w:r>
            <w:r w:rsidR="000018D0">
              <w:t>0</w:t>
            </w:r>
          </w:p>
        </w:tc>
        <w:tc>
          <w:tcPr>
            <w:tcW w:w="851" w:type="dxa"/>
            <w:tcBorders>
              <w:top w:val="single" w:sz="4" w:space="0" w:color="auto"/>
            </w:tcBorders>
          </w:tcPr>
          <w:p w14:paraId="4B112B66" w14:textId="4B64E2D0" w:rsidR="00104705" w:rsidRDefault="00104705" w:rsidP="000018D0">
            <w:pPr>
              <w:pStyle w:val="Els-body-text"/>
              <w:jc w:val="center"/>
            </w:pPr>
            <w:r>
              <w:t>%</w:t>
            </w:r>
          </w:p>
        </w:tc>
      </w:tr>
      <w:tr w:rsidR="00104705" w14:paraId="0C7C9171" w14:textId="77777777" w:rsidTr="000018D0">
        <w:trPr>
          <w:jc w:val="center"/>
        </w:trPr>
        <w:tc>
          <w:tcPr>
            <w:tcW w:w="1413" w:type="dxa"/>
          </w:tcPr>
          <w:p w14:paraId="53AD3FDD" w14:textId="61425BD6" w:rsidR="00104705" w:rsidRDefault="00104705" w:rsidP="000018D0">
            <w:pPr>
              <w:pStyle w:val="Els-body-text"/>
              <w:jc w:val="center"/>
            </w:pPr>
            <w:r>
              <w:t>H</w:t>
            </w:r>
          </w:p>
        </w:tc>
        <w:tc>
          <w:tcPr>
            <w:tcW w:w="992" w:type="dxa"/>
          </w:tcPr>
          <w:p w14:paraId="3877DAD3" w14:textId="65647F4D" w:rsidR="00104705" w:rsidRDefault="00104705" w:rsidP="000018D0">
            <w:pPr>
              <w:pStyle w:val="Els-body-text"/>
              <w:jc w:val="center"/>
            </w:pPr>
            <w:r>
              <w:t>5.1</w:t>
            </w:r>
            <w:r w:rsidR="000018D0">
              <w:t>0</w:t>
            </w:r>
          </w:p>
        </w:tc>
        <w:tc>
          <w:tcPr>
            <w:tcW w:w="851" w:type="dxa"/>
          </w:tcPr>
          <w:p w14:paraId="6912ACD0" w14:textId="785E35BA" w:rsidR="00104705" w:rsidRDefault="00104705" w:rsidP="000018D0">
            <w:pPr>
              <w:pStyle w:val="Els-body-text"/>
              <w:jc w:val="center"/>
            </w:pPr>
            <w:r>
              <w:t>%</w:t>
            </w:r>
          </w:p>
        </w:tc>
      </w:tr>
      <w:tr w:rsidR="00104705" w14:paraId="7CDE6DC0" w14:textId="77777777" w:rsidTr="000018D0">
        <w:trPr>
          <w:jc w:val="center"/>
        </w:trPr>
        <w:tc>
          <w:tcPr>
            <w:tcW w:w="1413" w:type="dxa"/>
          </w:tcPr>
          <w:p w14:paraId="21E4426B" w14:textId="49CA1661" w:rsidR="00104705" w:rsidRDefault="00104705" w:rsidP="000018D0">
            <w:pPr>
              <w:pStyle w:val="Els-body-text"/>
              <w:jc w:val="center"/>
            </w:pPr>
            <w:r>
              <w:t>O</w:t>
            </w:r>
          </w:p>
        </w:tc>
        <w:tc>
          <w:tcPr>
            <w:tcW w:w="992" w:type="dxa"/>
          </w:tcPr>
          <w:p w14:paraId="4CD4B659" w14:textId="5B74A694" w:rsidR="00104705" w:rsidRDefault="00104705" w:rsidP="000018D0">
            <w:pPr>
              <w:pStyle w:val="Els-body-text"/>
              <w:jc w:val="center"/>
            </w:pPr>
            <w:r>
              <w:t>31.3</w:t>
            </w:r>
            <w:r w:rsidR="000018D0">
              <w:t>0</w:t>
            </w:r>
          </w:p>
        </w:tc>
        <w:tc>
          <w:tcPr>
            <w:tcW w:w="851" w:type="dxa"/>
          </w:tcPr>
          <w:p w14:paraId="17644602" w14:textId="51401D8D" w:rsidR="00104705" w:rsidRDefault="00104705" w:rsidP="000018D0">
            <w:pPr>
              <w:pStyle w:val="Els-body-text"/>
              <w:jc w:val="center"/>
            </w:pPr>
            <w:r>
              <w:t>%</w:t>
            </w:r>
          </w:p>
        </w:tc>
      </w:tr>
      <w:tr w:rsidR="00104705" w14:paraId="290106CF" w14:textId="77777777" w:rsidTr="000018D0">
        <w:trPr>
          <w:jc w:val="center"/>
        </w:trPr>
        <w:tc>
          <w:tcPr>
            <w:tcW w:w="1413" w:type="dxa"/>
          </w:tcPr>
          <w:p w14:paraId="7C255356" w14:textId="68C967D2" w:rsidR="00104705" w:rsidRDefault="00104705" w:rsidP="000018D0">
            <w:pPr>
              <w:pStyle w:val="Els-body-text"/>
              <w:jc w:val="center"/>
            </w:pPr>
            <w:r>
              <w:t>N</w:t>
            </w:r>
          </w:p>
        </w:tc>
        <w:tc>
          <w:tcPr>
            <w:tcW w:w="992" w:type="dxa"/>
          </w:tcPr>
          <w:p w14:paraId="3EFAFC5C" w14:textId="25277467" w:rsidR="00104705" w:rsidRDefault="00104705" w:rsidP="000018D0">
            <w:pPr>
              <w:pStyle w:val="Els-body-text"/>
              <w:jc w:val="center"/>
            </w:pPr>
            <w:r>
              <w:t>3.2</w:t>
            </w:r>
            <w:r w:rsidR="000018D0">
              <w:t>0</w:t>
            </w:r>
          </w:p>
        </w:tc>
        <w:tc>
          <w:tcPr>
            <w:tcW w:w="851" w:type="dxa"/>
          </w:tcPr>
          <w:p w14:paraId="3DB02179" w14:textId="23BA832A" w:rsidR="00104705" w:rsidRDefault="00104705" w:rsidP="000018D0">
            <w:pPr>
              <w:pStyle w:val="Els-body-text"/>
              <w:jc w:val="center"/>
            </w:pPr>
            <w:r>
              <w:t>%</w:t>
            </w:r>
          </w:p>
        </w:tc>
      </w:tr>
      <w:tr w:rsidR="00104705" w14:paraId="7536D33E" w14:textId="77777777" w:rsidTr="000018D0">
        <w:trPr>
          <w:jc w:val="center"/>
        </w:trPr>
        <w:tc>
          <w:tcPr>
            <w:tcW w:w="1413" w:type="dxa"/>
          </w:tcPr>
          <w:p w14:paraId="276F0399" w14:textId="11A0C24D" w:rsidR="00104705" w:rsidRDefault="00104705" w:rsidP="000018D0">
            <w:pPr>
              <w:pStyle w:val="Els-body-text"/>
              <w:jc w:val="center"/>
            </w:pPr>
            <w:r>
              <w:t>S</w:t>
            </w:r>
          </w:p>
        </w:tc>
        <w:tc>
          <w:tcPr>
            <w:tcW w:w="992" w:type="dxa"/>
          </w:tcPr>
          <w:p w14:paraId="68E9DA99" w14:textId="75A957D3" w:rsidR="00104705" w:rsidRDefault="00104705" w:rsidP="000018D0">
            <w:pPr>
              <w:pStyle w:val="Els-body-text"/>
              <w:jc w:val="center"/>
            </w:pPr>
            <w:r>
              <w:t>0.3</w:t>
            </w:r>
            <w:r w:rsidR="000018D0">
              <w:t>0</w:t>
            </w:r>
          </w:p>
        </w:tc>
        <w:tc>
          <w:tcPr>
            <w:tcW w:w="851" w:type="dxa"/>
          </w:tcPr>
          <w:p w14:paraId="6E740D80" w14:textId="4546AD09" w:rsidR="00104705" w:rsidRDefault="00104705" w:rsidP="000018D0">
            <w:pPr>
              <w:pStyle w:val="Els-body-text"/>
              <w:jc w:val="center"/>
            </w:pPr>
            <w:r>
              <w:t>%</w:t>
            </w:r>
          </w:p>
        </w:tc>
      </w:tr>
      <w:tr w:rsidR="00104705" w14:paraId="33D17610" w14:textId="77777777" w:rsidTr="000018D0">
        <w:trPr>
          <w:jc w:val="center"/>
        </w:trPr>
        <w:tc>
          <w:tcPr>
            <w:tcW w:w="1413" w:type="dxa"/>
          </w:tcPr>
          <w:p w14:paraId="5BBCF7F2" w14:textId="3A615918" w:rsidR="00104705" w:rsidRDefault="00104705" w:rsidP="000018D0">
            <w:pPr>
              <w:pStyle w:val="Els-body-text"/>
              <w:jc w:val="center"/>
            </w:pPr>
            <w:r>
              <w:t>Ash</w:t>
            </w:r>
          </w:p>
        </w:tc>
        <w:tc>
          <w:tcPr>
            <w:tcW w:w="992" w:type="dxa"/>
          </w:tcPr>
          <w:p w14:paraId="7B80DB26" w14:textId="75FC53F8" w:rsidR="00104705" w:rsidRDefault="00104705" w:rsidP="000018D0">
            <w:pPr>
              <w:pStyle w:val="Els-body-text"/>
              <w:jc w:val="center"/>
            </w:pPr>
            <w:r>
              <w:t>16</w:t>
            </w:r>
            <w:r w:rsidR="000018D0">
              <w:t>.00</w:t>
            </w:r>
          </w:p>
        </w:tc>
        <w:tc>
          <w:tcPr>
            <w:tcW w:w="851" w:type="dxa"/>
          </w:tcPr>
          <w:p w14:paraId="196431A6" w14:textId="436916C0" w:rsidR="00104705" w:rsidRDefault="00104705" w:rsidP="000018D0">
            <w:pPr>
              <w:pStyle w:val="Els-body-text"/>
              <w:jc w:val="center"/>
            </w:pPr>
            <w:r>
              <w:t>%</w:t>
            </w:r>
          </w:p>
        </w:tc>
      </w:tr>
      <w:tr w:rsidR="00104705" w14:paraId="7D3A4335" w14:textId="77777777" w:rsidTr="000018D0">
        <w:trPr>
          <w:jc w:val="center"/>
        </w:trPr>
        <w:tc>
          <w:tcPr>
            <w:tcW w:w="1413" w:type="dxa"/>
            <w:tcBorders>
              <w:bottom w:val="single" w:sz="4" w:space="0" w:color="auto"/>
            </w:tcBorders>
          </w:tcPr>
          <w:p w14:paraId="5352F984" w14:textId="13D7533D" w:rsidR="00104705" w:rsidRDefault="00104705" w:rsidP="000018D0">
            <w:pPr>
              <w:pStyle w:val="Els-body-text"/>
              <w:jc w:val="center"/>
            </w:pPr>
            <w:r>
              <w:t>HHV</w:t>
            </w:r>
          </w:p>
        </w:tc>
        <w:tc>
          <w:tcPr>
            <w:tcW w:w="992" w:type="dxa"/>
            <w:tcBorders>
              <w:bottom w:val="single" w:sz="4" w:space="0" w:color="auto"/>
            </w:tcBorders>
          </w:tcPr>
          <w:p w14:paraId="313B30DE" w14:textId="6C2E53EB" w:rsidR="00104705" w:rsidRDefault="00104705" w:rsidP="000018D0">
            <w:pPr>
              <w:pStyle w:val="Els-body-text"/>
              <w:jc w:val="center"/>
            </w:pPr>
            <w:r>
              <w:t>17.8</w:t>
            </w:r>
            <w:r w:rsidR="000018D0">
              <w:t>0</w:t>
            </w:r>
          </w:p>
        </w:tc>
        <w:tc>
          <w:tcPr>
            <w:tcW w:w="851" w:type="dxa"/>
            <w:tcBorders>
              <w:bottom w:val="single" w:sz="4" w:space="0" w:color="auto"/>
            </w:tcBorders>
          </w:tcPr>
          <w:p w14:paraId="46CE8E6A" w14:textId="78FCBAC8" w:rsidR="00104705" w:rsidRDefault="00104705" w:rsidP="000018D0">
            <w:pPr>
              <w:pStyle w:val="Els-body-text"/>
              <w:jc w:val="center"/>
            </w:pPr>
            <w:r>
              <w:t>MJ/kg</w:t>
            </w:r>
          </w:p>
        </w:tc>
      </w:tr>
    </w:tbl>
    <w:p w14:paraId="2A2C47D7" w14:textId="77777777" w:rsidR="00104705" w:rsidRDefault="00104705" w:rsidP="00104705">
      <w:pPr>
        <w:pStyle w:val="Els-body-text"/>
      </w:pPr>
    </w:p>
    <w:p w14:paraId="5B604565" w14:textId="77777777" w:rsidR="006E1609" w:rsidRDefault="006E1609" w:rsidP="00104705">
      <w:pPr>
        <w:pStyle w:val="Els-body-text"/>
      </w:pPr>
    </w:p>
    <w:p w14:paraId="69BC1ABF" w14:textId="77777777" w:rsidR="006E1609" w:rsidRDefault="006E1609" w:rsidP="00104705">
      <w:pPr>
        <w:pStyle w:val="Els-body-text"/>
      </w:pPr>
    </w:p>
    <w:p w14:paraId="7EC3B74C" w14:textId="0C65A2B3" w:rsidR="00104705" w:rsidRDefault="00104705" w:rsidP="003A6135">
      <w:pPr>
        <w:pStyle w:val="Els-body-text"/>
        <w:jc w:val="left"/>
      </w:pPr>
      <w:r>
        <w:lastRenderedPageBreak/>
        <w:t xml:space="preserve">Table 2. Input Data from Characterization of </w:t>
      </w:r>
      <w:proofErr w:type="spellStart"/>
      <w:r>
        <w:t>Hydrochar</w:t>
      </w:r>
      <w:proofErr w:type="spellEnd"/>
      <w:r w:rsidR="00DE2D07">
        <w:t xml:space="preserve"> from HTC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992"/>
        <w:gridCol w:w="851"/>
      </w:tblGrid>
      <w:tr w:rsidR="00104705" w14:paraId="7FEE777A" w14:textId="77777777" w:rsidTr="003A6135">
        <w:trPr>
          <w:jc w:val="center"/>
        </w:trPr>
        <w:tc>
          <w:tcPr>
            <w:tcW w:w="1413" w:type="dxa"/>
            <w:tcBorders>
              <w:top w:val="single" w:sz="4" w:space="0" w:color="auto"/>
              <w:bottom w:val="single" w:sz="4" w:space="0" w:color="auto"/>
            </w:tcBorders>
          </w:tcPr>
          <w:p w14:paraId="355BE7A7" w14:textId="77777777" w:rsidR="00104705" w:rsidRDefault="00104705" w:rsidP="003A6135">
            <w:pPr>
              <w:pStyle w:val="Els-body-text"/>
              <w:jc w:val="center"/>
            </w:pPr>
            <w:r>
              <w:t>Parameters</w:t>
            </w:r>
          </w:p>
        </w:tc>
        <w:tc>
          <w:tcPr>
            <w:tcW w:w="992" w:type="dxa"/>
            <w:tcBorders>
              <w:top w:val="single" w:sz="4" w:space="0" w:color="auto"/>
              <w:bottom w:val="single" w:sz="4" w:space="0" w:color="auto"/>
            </w:tcBorders>
          </w:tcPr>
          <w:p w14:paraId="21D2D40D" w14:textId="77777777" w:rsidR="00104705" w:rsidRDefault="00104705" w:rsidP="003A6135">
            <w:pPr>
              <w:pStyle w:val="Els-body-text"/>
              <w:jc w:val="center"/>
            </w:pPr>
            <w:r>
              <w:t>Value</w:t>
            </w:r>
          </w:p>
        </w:tc>
        <w:tc>
          <w:tcPr>
            <w:tcW w:w="851" w:type="dxa"/>
            <w:tcBorders>
              <w:top w:val="single" w:sz="4" w:space="0" w:color="auto"/>
              <w:bottom w:val="single" w:sz="4" w:space="0" w:color="auto"/>
            </w:tcBorders>
          </w:tcPr>
          <w:p w14:paraId="301DBD28" w14:textId="77777777" w:rsidR="00104705" w:rsidRDefault="00104705" w:rsidP="003A6135">
            <w:pPr>
              <w:pStyle w:val="Els-body-text"/>
              <w:jc w:val="center"/>
            </w:pPr>
            <w:r>
              <w:t>Units</w:t>
            </w:r>
          </w:p>
        </w:tc>
      </w:tr>
      <w:tr w:rsidR="00104705" w14:paraId="3D19CD34" w14:textId="77777777" w:rsidTr="003A6135">
        <w:trPr>
          <w:jc w:val="center"/>
        </w:trPr>
        <w:tc>
          <w:tcPr>
            <w:tcW w:w="1413" w:type="dxa"/>
            <w:tcBorders>
              <w:top w:val="single" w:sz="4" w:space="0" w:color="auto"/>
            </w:tcBorders>
          </w:tcPr>
          <w:p w14:paraId="7A6A7C40" w14:textId="77777777" w:rsidR="00104705" w:rsidRDefault="00104705" w:rsidP="003A6135">
            <w:pPr>
              <w:pStyle w:val="Els-body-text"/>
              <w:jc w:val="center"/>
            </w:pPr>
            <w:r>
              <w:t>C</w:t>
            </w:r>
          </w:p>
        </w:tc>
        <w:tc>
          <w:tcPr>
            <w:tcW w:w="992" w:type="dxa"/>
            <w:tcBorders>
              <w:top w:val="single" w:sz="4" w:space="0" w:color="auto"/>
            </w:tcBorders>
          </w:tcPr>
          <w:p w14:paraId="622DAA0B" w14:textId="2472EDA4" w:rsidR="00104705" w:rsidRDefault="00104705" w:rsidP="003A6135">
            <w:pPr>
              <w:pStyle w:val="Els-body-text"/>
              <w:jc w:val="center"/>
            </w:pPr>
            <w:r>
              <w:t>51.2</w:t>
            </w:r>
            <w:r w:rsidR="003A6135">
              <w:t>0</w:t>
            </w:r>
          </w:p>
        </w:tc>
        <w:tc>
          <w:tcPr>
            <w:tcW w:w="851" w:type="dxa"/>
            <w:tcBorders>
              <w:top w:val="single" w:sz="4" w:space="0" w:color="auto"/>
            </w:tcBorders>
          </w:tcPr>
          <w:p w14:paraId="0CE15F83" w14:textId="77777777" w:rsidR="00104705" w:rsidRDefault="00104705" w:rsidP="003A6135">
            <w:pPr>
              <w:pStyle w:val="Els-body-text"/>
              <w:jc w:val="center"/>
            </w:pPr>
            <w:r>
              <w:t>%</w:t>
            </w:r>
          </w:p>
        </w:tc>
      </w:tr>
      <w:tr w:rsidR="00104705" w14:paraId="49E28F26" w14:textId="77777777" w:rsidTr="003A6135">
        <w:trPr>
          <w:jc w:val="center"/>
        </w:trPr>
        <w:tc>
          <w:tcPr>
            <w:tcW w:w="1413" w:type="dxa"/>
          </w:tcPr>
          <w:p w14:paraId="21E2089A" w14:textId="77777777" w:rsidR="00104705" w:rsidRDefault="00104705" w:rsidP="003A6135">
            <w:pPr>
              <w:pStyle w:val="Els-body-text"/>
              <w:jc w:val="center"/>
            </w:pPr>
            <w:r>
              <w:t>H</w:t>
            </w:r>
          </w:p>
        </w:tc>
        <w:tc>
          <w:tcPr>
            <w:tcW w:w="992" w:type="dxa"/>
          </w:tcPr>
          <w:p w14:paraId="7770C513" w14:textId="68137A47" w:rsidR="00104705" w:rsidRDefault="00104705" w:rsidP="003A6135">
            <w:pPr>
              <w:pStyle w:val="Els-body-text"/>
              <w:jc w:val="center"/>
            </w:pPr>
            <w:r>
              <w:t>6.1</w:t>
            </w:r>
            <w:r w:rsidR="003A6135">
              <w:t>0</w:t>
            </w:r>
          </w:p>
        </w:tc>
        <w:tc>
          <w:tcPr>
            <w:tcW w:w="851" w:type="dxa"/>
          </w:tcPr>
          <w:p w14:paraId="3C454E88" w14:textId="77777777" w:rsidR="00104705" w:rsidRDefault="00104705" w:rsidP="003A6135">
            <w:pPr>
              <w:pStyle w:val="Els-body-text"/>
              <w:jc w:val="center"/>
            </w:pPr>
            <w:r>
              <w:t>%</w:t>
            </w:r>
          </w:p>
        </w:tc>
      </w:tr>
      <w:tr w:rsidR="00104705" w14:paraId="1085ADCE" w14:textId="77777777" w:rsidTr="003A6135">
        <w:trPr>
          <w:jc w:val="center"/>
        </w:trPr>
        <w:tc>
          <w:tcPr>
            <w:tcW w:w="1413" w:type="dxa"/>
          </w:tcPr>
          <w:p w14:paraId="139A732F" w14:textId="77777777" w:rsidR="00104705" w:rsidRDefault="00104705" w:rsidP="003A6135">
            <w:pPr>
              <w:pStyle w:val="Els-body-text"/>
              <w:jc w:val="center"/>
            </w:pPr>
            <w:r>
              <w:t>O</w:t>
            </w:r>
          </w:p>
        </w:tc>
        <w:tc>
          <w:tcPr>
            <w:tcW w:w="992" w:type="dxa"/>
          </w:tcPr>
          <w:p w14:paraId="27418567" w14:textId="4E46DD7E" w:rsidR="00104705" w:rsidRDefault="00104705" w:rsidP="003A6135">
            <w:pPr>
              <w:pStyle w:val="Els-body-text"/>
              <w:jc w:val="center"/>
            </w:pPr>
            <w:r>
              <w:t>22.8</w:t>
            </w:r>
            <w:r w:rsidR="003A6135">
              <w:t>0</w:t>
            </w:r>
          </w:p>
        </w:tc>
        <w:tc>
          <w:tcPr>
            <w:tcW w:w="851" w:type="dxa"/>
          </w:tcPr>
          <w:p w14:paraId="17A78428" w14:textId="77777777" w:rsidR="00104705" w:rsidRDefault="00104705" w:rsidP="003A6135">
            <w:pPr>
              <w:pStyle w:val="Els-body-text"/>
              <w:jc w:val="center"/>
            </w:pPr>
            <w:r>
              <w:t>%</w:t>
            </w:r>
          </w:p>
        </w:tc>
      </w:tr>
      <w:tr w:rsidR="00104705" w14:paraId="05D60295" w14:textId="77777777" w:rsidTr="003A6135">
        <w:trPr>
          <w:jc w:val="center"/>
        </w:trPr>
        <w:tc>
          <w:tcPr>
            <w:tcW w:w="1413" w:type="dxa"/>
          </w:tcPr>
          <w:p w14:paraId="73695EF2" w14:textId="77777777" w:rsidR="00104705" w:rsidRDefault="00104705" w:rsidP="003A6135">
            <w:pPr>
              <w:pStyle w:val="Els-body-text"/>
              <w:jc w:val="center"/>
            </w:pPr>
            <w:r>
              <w:t>N</w:t>
            </w:r>
          </w:p>
        </w:tc>
        <w:tc>
          <w:tcPr>
            <w:tcW w:w="992" w:type="dxa"/>
          </w:tcPr>
          <w:p w14:paraId="2C6C6313" w14:textId="0FAC139A" w:rsidR="00104705" w:rsidRDefault="00104705" w:rsidP="003A6135">
            <w:pPr>
              <w:pStyle w:val="Els-body-text"/>
              <w:jc w:val="center"/>
            </w:pPr>
            <w:r>
              <w:t>3.5</w:t>
            </w:r>
            <w:r w:rsidR="003A6135">
              <w:t>0</w:t>
            </w:r>
          </w:p>
        </w:tc>
        <w:tc>
          <w:tcPr>
            <w:tcW w:w="851" w:type="dxa"/>
          </w:tcPr>
          <w:p w14:paraId="55219ECD" w14:textId="77777777" w:rsidR="00104705" w:rsidRDefault="00104705" w:rsidP="003A6135">
            <w:pPr>
              <w:pStyle w:val="Els-body-text"/>
              <w:jc w:val="center"/>
            </w:pPr>
            <w:r>
              <w:t>%</w:t>
            </w:r>
          </w:p>
        </w:tc>
      </w:tr>
      <w:tr w:rsidR="00104705" w14:paraId="3905394E" w14:textId="77777777" w:rsidTr="003A6135">
        <w:trPr>
          <w:jc w:val="center"/>
        </w:trPr>
        <w:tc>
          <w:tcPr>
            <w:tcW w:w="1413" w:type="dxa"/>
          </w:tcPr>
          <w:p w14:paraId="7E2DB503" w14:textId="77777777" w:rsidR="00104705" w:rsidRDefault="00104705" w:rsidP="003A6135">
            <w:pPr>
              <w:pStyle w:val="Els-body-text"/>
              <w:jc w:val="center"/>
            </w:pPr>
            <w:r>
              <w:t>S</w:t>
            </w:r>
          </w:p>
        </w:tc>
        <w:tc>
          <w:tcPr>
            <w:tcW w:w="992" w:type="dxa"/>
          </w:tcPr>
          <w:p w14:paraId="3A863EB5" w14:textId="4529A338" w:rsidR="00104705" w:rsidRDefault="00104705" w:rsidP="003A6135">
            <w:pPr>
              <w:pStyle w:val="Els-body-text"/>
              <w:jc w:val="center"/>
            </w:pPr>
            <w:r>
              <w:t>0</w:t>
            </w:r>
            <w:r w:rsidR="003A6135">
              <w:t>.00</w:t>
            </w:r>
          </w:p>
        </w:tc>
        <w:tc>
          <w:tcPr>
            <w:tcW w:w="851" w:type="dxa"/>
          </w:tcPr>
          <w:p w14:paraId="4B208117" w14:textId="77777777" w:rsidR="00104705" w:rsidRDefault="00104705" w:rsidP="003A6135">
            <w:pPr>
              <w:pStyle w:val="Els-body-text"/>
              <w:jc w:val="center"/>
            </w:pPr>
            <w:r>
              <w:t>%</w:t>
            </w:r>
          </w:p>
        </w:tc>
      </w:tr>
      <w:tr w:rsidR="00104705" w14:paraId="4172EEDA" w14:textId="77777777" w:rsidTr="003A6135">
        <w:trPr>
          <w:jc w:val="center"/>
        </w:trPr>
        <w:tc>
          <w:tcPr>
            <w:tcW w:w="1413" w:type="dxa"/>
          </w:tcPr>
          <w:p w14:paraId="18743909" w14:textId="77777777" w:rsidR="00104705" w:rsidRDefault="00104705" w:rsidP="003A6135">
            <w:pPr>
              <w:pStyle w:val="Els-body-text"/>
              <w:jc w:val="center"/>
            </w:pPr>
            <w:r>
              <w:t>Ash</w:t>
            </w:r>
          </w:p>
        </w:tc>
        <w:tc>
          <w:tcPr>
            <w:tcW w:w="992" w:type="dxa"/>
          </w:tcPr>
          <w:p w14:paraId="3DBCBDA0" w14:textId="69677FAC" w:rsidR="00104705" w:rsidRDefault="00104705" w:rsidP="003A6135">
            <w:pPr>
              <w:pStyle w:val="Els-body-text"/>
              <w:jc w:val="center"/>
            </w:pPr>
            <w:r>
              <w:t>16.3</w:t>
            </w:r>
            <w:r w:rsidR="003A6135">
              <w:t>0</w:t>
            </w:r>
          </w:p>
        </w:tc>
        <w:tc>
          <w:tcPr>
            <w:tcW w:w="851" w:type="dxa"/>
          </w:tcPr>
          <w:p w14:paraId="0CC3752D" w14:textId="77777777" w:rsidR="00104705" w:rsidRDefault="00104705" w:rsidP="003A6135">
            <w:pPr>
              <w:pStyle w:val="Els-body-text"/>
              <w:jc w:val="center"/>
            </w:pPr>
            <w:r>
              <w:t>%</w:t>
            </w:r>
          </w:p>
        </w:tc>
      </w:tr>
      <w:tr w:rsidR="00104705" w14:paraId="7B72DB66" w14:textId="77777777" w:rsidTr="003A6135">
        <w:trPr>
          <w:jc w:val="center"/>
        </w:trPr>
        <w:tc>
          <w:tcPr>
            <w:tcW w:w="1413" w:type="dxa"/>
            <w:tcBorders>
              <w:bottom w:val="single" w:sz="4" w:space="0" w:color="auto"/>
            </w:tcBorders>
          </w:tcPr>
          <w:p w14:paraId="7142012D" w14:textId="77777777" w:rsidR="00104705" w:rsidRDefault="00104705" w:rsidP="003A6135">
            <w:pPr>
              <w:pStyle w:val="Els-body-text"/>
              <w:jc w:val="center"/>
            </w:pPr>
            <w:r>
              <w:t>HHV</w:t>
            </w:r>
          </w:p>
        </w:tc>
        <w:tc>
          <w:tcPr>
            <w:tcW w:w="992" w:type="dxa"/>
            <w:tcBorders>
              <w:bottom w:val="single" w:sz="4" w:space="0" w:color="auto"/>
            </w:tcBorders>
          </w:tcPr>
          <w:p w14:paraId="0C340F57" w14:textId="4299CBA4" w:rsidR="00104705" w:rsidRDefault="00104705" w:rsidP="003A6135">
            <w:pPr>
              <w:pStyle w:val="Els-body-text"/>
              <w:jc w:val="center"/>
            </w:pPr>
            <w:r>
              <w:t>20.9</w:t>
            </w:r>
            <w:r w:rsidR="003A6135">
              <w:t>0</w:t>
            </w:r>
          </w:p>
        </w:tc>
        <w:tc>
          <w:tcPr>
            <w:tcW w:w="851" w:type="dxa"/>
            <w:tcBorders>
              <w:bottom w:val="single" w:sz="4" w:space="0" w:color="auto"/>
            </w:tcBorders>
          </w:tcPr>
          <w:p w14:paraId="443D36FA" w14:textId="77777777" w:rsidR="00104705" w:rsidRDefault="00104705" w:rsidP="003A6135">
            <w:pPr>
              <w:pStyle w:val="Els-body-text"/>
              <w:jc w:val="center"/>
            </w:pPr>
            <w:r>
              <w:t>MJ/kg</w:t>
            </w:r>
          </w:p>
        </w:tc>
      </w:tr>
    </w:tbl>
    <w:p w14:paraId="0057DC4F" w14:textId="77777777" w:rsidR="00104705" w:rsidRDefault="00104705" w:rsidP="00104705">
      <w:pPr>
        <w:pStyle w:val="Els-body-text"/>
      </w:pPr>
    </w:p>
    <w:p w14:paraId="4E09D42F" w14:textId="48A7FA1E" w:rsidR="00C10500" w:rsidRDefault="00C10500" w:rsidP="00C10500">
      <w:pPr>
        <w:pStyle w:val="Els-body-text"/>
        <w:jc w:val="left"/>
      </w:pPr>
      <w:r>
        <w:t xml:space="preserve">Table 3. </w:t>
      </w:r>
      <w:r w:rsidR="00B65F74">
        <w:t xml:space="preserve">Parameters </w:t>
      </w:r>
      <w:r>
        <w:t>for Simulation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701"/>
        <w:gridCol w:w="1701"/>
      </w:tblGrid>
      <w:tr w:rsidR="00BF3E9B" w14:paraId="57E44CA1" w14:textId="77777777" w:rsidTr="00C10500">
        <w:trPr>
          <w:jc w:val="center"/>
        </w:trPr>
        <w:tc>
          <w:tcPr>
            <w:tcW w:w="2358" w:type="dxa"/>
            <w:tcBorders>
              <w:top w:val="single" w:sz="4" w:space="0" w:color="auto"/>
              <w:bottom w:val="single" w:sz="4" w:space="0" w:color="auto"/>
            </w:tcBorders>
          </w:tcPr>
          <w:p w14:paraId="17353B13" w14:textId="5E60CAC9" w:rsidR="00BF3E9B" w:rsidRDefault="00BF3E9B" w:rsidP="00C10500">
            <w:pPr>
              <w:pStyle w:val="Els-body-text"/>
              <w:jc w:val="center"/>
            </w:pPr>
            <w:r>
              <w:t>Parameters</w:t>
            </w:r>
          </w:p>
        </w:tc>
        <w:tc>
          <w:tcPr>
            <w:tcW w:w="1701" w:type="dxa"/>
            <w:tcBorders>
              <w:top w:val="single" w:sz="4" w:space="0" w:color="auto"/>
              <w:bottom w:val="single" w:sz="4" w:space="0" w:color="auto"/>
            </w:tcBorders>
          </w:tcPr>
          <w:p w14:paraId="70280976" w14:textId="342D968A" w:rsidR="00BF3E9B" w:rsidRDefault="00BF3E9B" w:rsidP="00C10500">
            <w:pPr>
              <w:pStyle w:val="Els-body-text"/>
              <w:jc w:val="center"/>
            </w:pPr>
            <w:r>
              <w:t>HTG</w:t>
            </w:r>
          </w:p>
        </w:tc>
        <w:tc>
          <w:tcPr>
            <w:tcW w:w="1701" w:type="dxa"/>
            <w:tcBorders>
              <w:top w:val="single" w:sz="4" w:space="0" w:color="auto"/>
              <w:bottom w:val="single" w:sz="4" w:space="0" w:color="auto"/>
            </w:tcBorders>
          </w:tcPr>
          <w:p w14:paraId="4AFFF199" w14:textId="788E832A" w:rsidR="00BF3E9B" w:rsidRDefault="00BF3E9B" w:rsidP="00C10500">
            <w:pPr>
              <w:pStyle w:val="Els-body-text"/>
              <w:jc w:val="center"/>
            </w:pPr>
            <w:r>
              <w:t>TG</w:t>
            </w:r>
          </w:p>
        </w:tc>
      </w:tr>
      <w:tr w:rsidR="00BF3E9B" w14:paraId="2E259200" w14:textId="77777777" w:rsidTr="00C10500">
        <w:trPr>
          <w:jc w:val="center"/>
        </w:trPr>
        <w:tc>
          <w:tcPr>
            <w:tcW w:w="2358" w:type="dxa"/>
            <w:tcBorders>
              <w:top w:val="single" w:sz="4" w:space="0" w:color="auto"/>
            </w:tcBorders>
          </w:tcPr>
          <w:p w14:paraId="2C915A05" w14:textId="30CD84F5" w:rsidR="00BF3E9B" w:rsidRDefault="00BF3E9B" w:rsidP="00104705">
            <w:pPr>
              <w:pStyle w:val="Els-body-text"/>
            </w:pPr>
            <w:r>
              <w:t>Temperature</w:t>
            </w:r>
          </w:p>
        </w:tc>
        <w:tc>
          <w:tcPr>
            <w:tcW w:w="1701" w:type="dxa"/>
            <w:tcBorders>
              <w:top w:val="single" w:sz="4" w:space="0" w:color="auto"/>
            </w:tcBorders>
          </w:tcPr>
          <w:p w14:paraId="5F372A9C" w14:textId="61A2EF42" w:rsidR="00BF3E9B" w:rsidRDefault="00BF3E9B" w:rsidP="00104705">
            <w:pPr>
              <w:pStyle w:val="Els-body-text"/>
            </w:pPr>
            <w:r>
              <w:t xml:space="preserve">400-600 </w:t>
            </w:r>
            <w:proofErr w:type="spellStart"/>
            <w:r w:rsidRPr="00BF3E9B">
              <w:rPr>
                <w:vertAlign w:val="superscript"/>
              </w:rPr>
              <w:t>o</w:t>
            </w:r>
            <w:r>
              <w:t>C</w:t>
            </w:r>
            <w:proofErr w:type="spellEnd"/>
          </w:p>
        </w:tc>
        <w:tc>
          <w:tcPr>
            <w:tcW w:w="1701" w:type="dxa"/>
            <w:tcBorders>
              <w:top w:val="single" w:sz="4" w:space="0" w:color="auto"/>
            </w:tcBorders>
          </w:tcPr>
          <w:p w14:paraId="626A96BC" w14:textId="5E47CE1D" w:rsidR="00BF3E9B" w:rsidRDefault="00BF3E9B" w:rsidP="00104705">
            <w:pPr>
              <w:pStyle w:val="Els-body-text"/>
            </w:pPr>
            <w:r>
              <w:t xml:space="preserve">600-1000 </w:t>
            </w:r>
            <w:proofErr w:type="spellStart"/>
            <w:r w:rsidRPr="00BF3E9B">
              <w:rPr>
                <w:vertAlign w:val="superscript"/>
              </w:rPr>
              <w:t>o</w:t>
            </w:r>
            <w:r>
              <w:t>C</w:t>
            </w:r>
            <w:proofErr w:type="spellEnd"/>
          </w:p>
        </w:tc>
      </w:tr>
      <w:tr w:rsidR="00BF3E9B" w14:paraId="724194D4" w14:textId="77777777" w:rsidTr="00C10500">
        <w:trPr>
          <w:jc w:val="center"/>
        </w:trPr>
        <w:tc>
          <w:tcPr>
            <w:tcW w:w="2358" w:type="dxa"/>
          </w:tcPr>
          <w:p w14:paraId="0841AF31" w14:textId="0B8BE8AF" w:rsidR="00BF3E9B" w:rsidRDefault="007C3BF3" w:rsidP="00104705">
            <w:pPr>
              <w:pStyle w:val="Els-body-text"/>
            </w:pPr>
            <w:r>
              <w:t>Pressure</w:t>
            </w:r>
          </w:p>
        </w:tc>
        <w:tc>
          <w:tcPr>
            <w:tcW w:w="1701" w:type="dxa"/>
          </w:tcPr>
          <w:p w14:paraId="5AEAB0A2" w14:textId="15E58F9B" w:rsidR="00BF3E9B" w:rsidRDefault="007C3BF3" w:rsidP="00104705">
            <w:pPr>
              <w:pStyle w:val="Els-body-text"/>
            </w:pPr>
            <w:r>
              <w:t xml:space="preserve">250 </w:t>
            </w:r>
            <w:proofErr w:type="gramStart"/>
            <w:r>
              <w:t>bar</w:t>
            </w:r>
            <w:proofErr w:type="gramEnd"/>
          </w:p>
        </w:tc>
        <w:tc>
          <w:tcPr>
            <w:tcW w:w="1701" w:type="dxa"/>
          </w:tcPr>
          <w:p w14:paraId="78871BC7" w14:textId="60802174" w:rsidR="00BF3E9B" w:rsidRDefault="007C3BF3" w:rsidP="00104705">
            <w:pPr>
              <w:pStyle w:val="Els-body-text"/>
            </w:pPr>
            <w:r>
              <w:t>1 bar</w:t>
            </w:r>
          </w:p>
        </w:tc>
      </w:tr>
      <w:tr w:rsidR="007C3BF3" w14:paraId="7FF6C707" w14:textId="77777777" w:rsidTr="00C10500">
        <w:trPr>
          <w:jc w:val="center"/>
        </w:trPr>
        <w:tc>
          <w:tcPr>
            <w:tcW w:w="2358" w:type="dxa"/>
            <w:tcBorders>
              <w:bottom w:val="single" w:sz="4" w:space="0" w:color="auto"/>
            </w:tcBorders>
          </w:tcPr>
          <w:p w14:paraId="646FA52F" w14:textId="517FD6D8" w:rsidR="007C3BF3" w:rsidRDefault="00C61342" w:rsidP="00104705">
            <w:pPr>
              <w:pStyle w:val="Els-body-text"/>
            </w:pPr>
            <w:r>
              <w:t xml:space="preserve">Digestate </w:t>
            </w:r>
            <w:proofErr w:type="spellStart"/>
            <w:r>
              <w:t>wt</w:t>
            </w:r>
            <w:proofErr w:type="spellEnd"/>
            <w:r>
              <w:t>%</w:t>
            </w:r>
          </w:p>
        </w:tc>
        <w:tc>
          <w:tcPr>
            <w:tcW w:w="1701" w:type="dxa"/>
            <w:tcBorders>
              <w:bottom w:val="single" w:sz="4" w:space="0" w:color="auto"/>
            </w:tcBorders>
          </w:tcPr>
          <w:p w14:paraId="2A20E81F" w14:textId="011B3918" w:rsidR="007C3BF3" w:rsidRDefault="00C61342" w:rsidP="00104705">
            <w:pPr>
              <w:pStyle w:val="Els-body-text"/>
            </w:pPr>
            <w:r>
              <w:t>30%</w:t>
            </w:r>
          </w:p>
        </w:tc>
        <w:tc>
          <w:tcPr>
            <w:tcW w:w="1701" w:type="dxa"/>
            <w:tcBorders>
              <w:bottom w:val="single" w:sz="4" w:space="0" w:color="auto"/>
            </w:tcBorders>
          </w:tcPr>
          <w:p w14:paraId="4B75C441" w14:textId="63D0A4B4" w:rsidR="007C3BF3" w:rsidRDefault="00C61342" w:rsidP="00104705">
            <w:pPr>
              <w:pStyle w:val="Els-body-text"/>
            </w:pPr>
            <w:r>
              <w:t>30%</w:t>
            </w:r>
          </w:p>
        </w:tc>
      </w:tr>
    </w:tbl>
    <w:p w14:paraId="3D4D9C7D" w14:textId="77777777" w:rsidR="00BF3E9B" w:rsidRDefault="00BF3E9B" w:rsidP="00104705">
      <w:pPr>
        <w:pStyle w:val="Els-body-text"/>
      </w:pPr>
    </w:p>
    <w:p w14:paraId="23730792" w14:textId="11EED6F3" w:rsidR="00FF22D0" w:rsidRDefault="00BB4D72" w:rsidP="00252088">
      <w:pPr>
        <w:pStyle w:val="Els-2ndorder-head"/>
        <w:numPr>
          <w:ilvl w:val="0"/>
          <w:numId w:val="24"/>
        </w:numPr>
      </w:pPr>
      <w:r>
        <w:t>Performance Assessment Indicators</w:t>
      </w:r>
    </w:p>
    <w:p w14:paraId="5974458B" w14:textId="625E16AA" w:rsidR="00FF22D0" w:rsidRDefault="005962A1" w:rsidP="00FF22D0">
      <w:pPr>
        <w:pStyle w:val="Els-body-text"/>
      </w:pPr>
      <w:r>
        <w:t xml:space="preserve">The performance of both systems is </w:t>
      </w:r>
      <w:r w:rsidR="00D22658">
        <w:t xml:space="preserve">calculated from </w:t>
      </w:r>
      <w:r w:rsidR="00D40135">
        <w:t xml:space="preserve">the overall system efficiency (OSE), </w:t>
      </w:r>
      <w:r w:rsidR="00D22658">
        <w:t xml:space="preserve">represented by Equation </w:t>
      </w:r>
      <w:r w:rsidR="00F72A5B">
        <w:t xml:space="preserve">1 </w:t>
      </w:r>
      <w:r w:rsidR="00D22658">
        <w:t xml:space="preserve">and Equation </w:t>
      </w:r>
      <w:r w:rsidR="00F72A5B">
        <w:t xml:space="preserve">2 </w:t>
      </w:r>
      <w:r w:rsidR="00D22658">
        <w:t>for HTG and HTC-TG, respectively.</w:t>
      </w:r>
    </w:p>
    <w:p w14:paraId="192A7AC7" w14:textId="77777777" w:rsidR="00AA04FC" w:rsidRDefault="00AA04FC" w:rsidP="00FF22D0">
      <w:pPr>
        <w:pStyle w:val="Els-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985"/>
      </w:tblGrid>
      <w:tr w:rsidR="00AA04FC" w14:paraId="6EA3DAFB" w14:textId="77777777" w:rsidTr="00AA04FC">
        <w:tc>
          <w:tcPr>
            <w:tcW w:w="6091" w:type="dxa"/>
          </w:tcPr>
          <w:p w14:paraId="70C8A37C" w14:textId="54A717BF" w:rsidR="00AA04FC" w:rsidRDefault="00CC47B5" w:rsidP="00FF22D0">
            <w:pPr>
              <w:pStyle w:val="Els-body-text"/>
            </w:pPr>
            <m:oMathPara>
              <m:oMath>
                <m:sSub>
                  <m:sSubPr>
                    <m:ctrlPr>
                      <w:rPr>
                        <w:rFonts w:ascii="Cambria Math" w:hAnsi="Cambria Math"/>
                        <w:i/>
                      </w:rPr>
                    </m:ctrlPr>
                  </m:sSubPr>
                  <m:e>
                    <m:r>
                      <w:rPr>
                        <w:rFonts w:ascii="Cambria Math" w:hAnsi="Cambria Math"/>
                      </w:rPr>
                      <m:t>OSE</m:t>
                    </m:r>
                  </m:e>
                  <m:sub>
                    <m:r>
                      <w:rPr>
                        <w:rFonts w:ascii="Cambria Math" w:hAnsi="Cambria Math"/>
                      </w:rPr>
                      <m:t>HTG</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LHV</m:t>
                        </m:r>
                      </m:e>
                      <m:sub>
                        <m:r>
                          <w:rPr>
                            <w:rFonts w:ascii="Cambria Math" w:hAnsi="Cambria Math"/>
                          </w:rPr>
                          <m:t>Producer gas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HTG</m:t>
                        </m:r>
                      </m:sub>
                    </m:sSub>
                  </m:num>
                  <m:den>
                    <m:sSub>
                      <m:sSubPr>
                        <m:ctrlPr>
                          <w:rPr>
                            <w:rFonts w:ascii="Cambria Math" w:hAnsi="Cambria Math"/>
                            <w:i/>
                          </w:rPr>
                        </m:ctrlPr>
                      </m:sSubPr>
                      <m:e>
                        <m:r>
                          <w:rPr>
                            <w:rFonts w:ascii="Cambria Math" w:hAnsi="Cambria Math"/>
                          </w:rPr>
                          <m:t>LHV</m:t>
                        </m:r>
                      </m:e>
                      <m:sub>
                        <m:r>
                          <w:rPr>
                            <w:rFonts w:ascii="Cambria Math" w:hAnsi="Cambria Math"/>
                          </w:rPr>
                          <m:t>Digestate</m:t>
                        </m:r>
                      </m:sub>
                    </m:sSub>
                  </m:den>
                </m:f>
              </m:oMath>
            </m:oMathPara>
          </w:p>
        </w:tc>
        <w:tc>
          <w:tcPr>
            <w:tcW w:w="985" w:type="dxa"/>
          </w:tcPr>
          <w:p w14:paraId="5C34BF83" w14:textId="56530362" w:rsidR="00AA04FC" w:rsidRDefault="00AA04FC" w:rsidP="00AA04FC">
            <w:pPr>
              <w:pStyle w:val="Els-body-text"/>
              <w:jc w:val="right"/>
            </w:pPr>
            <w:r>
              <w:t>(1)</w:t>
            </w:r>
          </w:p>
        </w:tc>
      </w:tr>
      <w:tr w:rsidR="00AA04FC" w14:paraId="604F0515" w14:textId="77777777" w:rsidTr="00AA04FC">
        <w:tc>
          <w:tcPr>
            <w:tcW w:w="6091" w:type="dxa"/>
          </w:tcPr>
          <w:p w14:paraId="26235331" w14:textId="726E8AEF" w:rsidR="00AA04FC" w:rsidRPr="00723D92" w:rsidRDefault="00CC47B5" w:rsidP="00FF22D0">
            <w:pPr>
              <w:pStyle w:val="Els-body-text"/>
            </w:pPr>
            <m:oMathPara>
              <m:oMath>
                <m:sSub>
                  <m:sSubPr>
                    <m:ctrlPr>
                      <w:rPr>
                        <w:rFonts w:ascii="Cambria Math" w:hAnsi="Cambria Math"/>
                        <w:i/>
                      </w:rPr>
                    </m:ctrlPr>
                  </m:sSubPr>
                  <m:e>
                    <m:r>
                      <w:rPr>
                        <w:rFonts w:ascii="Cambria Math" w:hAnsi="Cambria Math"/>
                      </w:rPr>
                      <m:t>OSE</m:t>
                    </m:r>
                  </m:e>
                  <m:sub>
                    <m:r>
                      <w:rPr>
                        <w:rFonts w:ascii="Cambria Math" w:hAnsi="Cambria Math"/>
                      </w:rPr>
                      <m:t>HTC-TG</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LHV</m:t>
                        </m:r>
                      </m:e>
                      <m:sub>
                        <m:r>
                          <w:rPr>
                            <w:rFonts w:ascii="Cambria Math" w:hAnsi="Cambria Math"/>
                          </w:rPr>
                          <m:t>Producer gas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HTC</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TG</m:t>
                        </m:r>
                      </m:sub>
                    </m:sSub>
                  </m:num>
                  <m:den>
                    <m:sSub>
                      <m:sSubPr>
                        <m:ctrlPr>
                          <w:rPr>
                            <w:rFonts w:ascii="Cambria Math" w:hAnsi="Cambria Math"/>
                            <w:i/>
                          </w:rPr>
                        </m:ctrlPr>
                      </m:sSubPr>
                      <m:e>
                        <m:r>
                          <w:rPr>
                            <w:rFonts w:ascii="Cambria Math" w:hAnsi="Cambria Math"/>
                          </w:rPr>
                          <m:t>LHV</m:t>
                        </m:r>
                      </m:e>
                      <m:sub>
                        <m:r>
                          <w:rPr>
                            <w:rFonts w:ascii="Cambria Math" w:hAnsi="Cambria Math"/>
                          </w:rPr>
                          <m:t>Digestate</m:t>
                        </m:r>
                      </m:sub>
                    </m:sSub>
                  </m:den>
                </m:f>
              </m:oMath>
            </m:oMathPara>
          </w:p>
        </w:tc>
        <w:tc>
          <w:tcPr>
            <w:tcW w:w="985" w:type="dxa"/>
          </w:tcPr>
          <w:p w14:paraId="343B4190" w14:textId="28964C4E" w:rsidR="00AA04FC" w:rsidRDefault="00AA04FC" w:rsidP="00AA04FC">
            <w:pPr>
              <w:pStyle w:val="Els-body-text"/>
              <w:jc w:val="right"/>
            </w:pPr>
            <w:r>
              <w:t>(2)</w:t>
            </w:r>
          </w:p>
        </w:tc>
      </w:tr>
    </w:tbl>
    <w:p w14:paraId="643CF754" w14:textId="77777777" w:rsidR="00AA04FC" w:rsidRDefault="00AA04FC" w:rsidP="00FF22D0">
      <w:pPr>
        <w:pStyle w:val="Els-body-text"/>
      </w:pPr>
    </w:p>
    <w:p w14:paraId="57BE86B0" w14:textId="15FF1835" w:rsidR="00030049" w:rsidRPr="00FF22D0" w:rsidRDefault="00444C84" w:rsidP="00FF22D0">
      <w:pPr>
        <w:pStyle w:val="Els-body-text"/>
      </w:pPr>
      <w:r>
        <w:t xml:space="preserve">In the equations, </w:t>
      </w:r>
      <m:oMath>
        <m:sSub>
          <m:sSubPr>
            <m:ctrlPr>
              <w:rPr>
                <w:rFonts w:ascii="Cambria Math" w:hAnsi="Cambria Math"/>
                <w:i/>
              </w:rPr>
            </m:ctrlPr>
          </m:sSubPr>
          <m:e>
            <m:r>
              <w:rPr>
                <w:rFonts w:ascii="Cambria Math" w:hAnsi="Cambria Math"/>
              </w:rPr>
              <m:t>LHV</m:t>
            </m:r>
          </m:e>
          <m:sub>
            <m:r>
              <w:rPr>
                <w:rFonts w:ascii="Cambria Math" w:hAnsi="Cambria Math"/>
              </w:rPr>
              <m:t>Producer gas</m:t>
            </m:r>
          </m:sub>
        </m:sSub>
      </m:oMath>
      <w:r w:rsidR="002D0548">
        <w:t xml:space="preserve"> and </w:t>
      </w:r>
      <m:oMath>
        <m:sSub>
          <m:sSubPr>
            <m:ctrlPr>
              <w:rPr>
                <w:rFonts w:ascii="Cambria Math" w:hAnsi="Cambria Math"/>
                <w:i/>
              </w:rPr>
            </m:ctrlPr>
          </m:sSubPr>
          <m:e>
            <m:r>
              <w:rPr>
                <w:rFonts w:ascii="Cambria Math" w:hAnsi="Cambria Math"/>
              </w:rPr>
              <m:t>LHV</m:t>
            </m:r>
          </m:e>
          <m:sub>
            <m:r>
              <w:rPr>
                <w:rFonts w:ascii="Cambria Math" w:hAnsi="Cambria Math"/>
              </w:rPr>
              <m:t>Digestate</m:t>
            </m:r>
          </m:sub>
        </m:sSub>
      </m:oMath>
      <w:r w:rsidR="002D0548">
        <w:t xml:space="preserve"> represents the lower heating value of producer gas and digestate</w:t>
      </w:r>
      <w:r w:rsidR="00F224D2">
        <w:t>;</w:t>
      </w:r>
      <w:r w:rsidR="002D0548">
        <w:t xml:space="preserve"> </w:t>
      </w:r>
      <w:r w:rsidR="00A537E8">
        <w:t xml:space="preserve">whereas </w:t>
      </w:r>
      <m:oMath>
        <m:sSub>
          <m:sSubPr>
            <m:ctrlPr>
              <w:rPr>
                <w:rFonts w:ascii="Cambria Math" w:hAnsi="Cambria Math"/>
                <w:i/>
              </w:rPr>
            </m:ctrlPr>
          </m:sSubPr>
          <m:e>
            <m:r>
              <w:rPr>
                <w:rFonts w:ascii="Cambria Math" w:hAnsi="Cambria Math"/>
              </w:rPr>
              <m:t>E</m:t>
            </m:r>
          </m:e>
          <m:sub>
            <m:r>
              <w:rPr>
                <w:rFonts w:ascii="Cambria Math" w:hAnsi="Cambria Math"/>
              </w:rPr>
              <m:t>HTG</m:t>
            </m:r>
          </m:sub>
        </m:sSub>
      </m:oMath>
      <w:r w:rsidR="00A537E8">
        <w:t xml:space="preserve">, </w:t>
      </w:r>
      <m:oMath>
        <m:sSub>
          <m:sSubPr>
            <m:ctrlPr>
              <w:rPr>
                <w:rFonts w:ascii="Cambria Math" w:hAnsi="Cambria Math"/>
                <w:i/>
              </w:rPr>
            </m:ctrlPr>
          </m:sSubPr>
          <m:e>
            <m:r>
              <w:rPr>
                <w:rFonts w:ascii="Cambria Math" w:hAnsi="Cambria Math"/>
              </w:rPr>
              <m:t>E</m:t>
            </m:r>
          </m:e>
          <m:sub>
            <m:r>
              <w:rPr>
                <w:rFonts w:ascii="Cambria Math" w:hAnsi="Cambria Math"/>
              </w:rPr>
              <m:t>HTC</m:t>
            </m:r>
          </m:sub>
        </m:sSub>
      </m:oMath>
      <w:r w:rsidR="00A537E8">
        <w:t xml:space="preserve">, and </w:t>
      </w:r>
      <m:oMath>
        <m:sSub>
          <m:sSubPr>
            <m:ctrlPr>
              <w:rPr>
                <w:rFonts w:ascii="Cambria Math" w:hAnsi="Cambria Math"/>
                <w:i/>
              </w:rPr>
            </m:ctrlPr>
          </m:sSubPr>
          <m:e>
            <m:r>
              <w:rPr>
                <w:rFonts w:ascii="Cambria Math" w:hAnsi="Cambria Math"/>
              </w:rPr>
              <m:t>E</m:t>
            </m:r>
          </m:e>
          <m:sub>
            <m:r>
              <w:rPr>
                <w:rFonts w:ascii="Cambria Math" w:hAnsi="Cambria Math"/>
              </w:rPr>
              <m:t>TG</m:t>
            </m:r>
          </m:sub>
        </m:sSub>
      </m:oMath>
      <w:r w:rsidR="00A537E8">
        <w:t xml:space="preserve"> represents the </w:t>
      </w:r>
      <w:r w:rsidR="00404D1A">
        <w:t xml:space="preserve">required energy in the HTG, HTC, and TG sections, respectively. </w:t>
      </w:r>
      <w:r w:rsidR="00F81FE4">
        <w:t xml:space="preserve">The energy requirement </w:t>
      </w:r>
      <w:r w:rsidR="00284C81">
        <w:t xml:space="preserve">is calculated from </w:t>
      </w:r>
      <w:r w:rsidR="00C731BF">
        <w:t>the total heating and electricity consumption in each section.</w:t>
      </w:r>
    </w:p>
    <w:p w14:paraId="516AB7AF" w14:textId="027A92E5" w:rsidR="009D40A5" w:rsidRDefault="009D40A5" w:rsidP="009D40A5">
      <w:pPr>
        <w:pStyle w:val="Els-1storder-head"/>
        <w:spacing w:after="120"/>
      </w:pPr>
      <w:r>
        <w:t>Results</w:t>
      </w:r>
    </w:p>
    <w:p w14:paraId="6FF71DC7" w14:textId="7836D265" w:rsidR="005D35AF" w:rsidRDefault="00AD3499" w:rsidP="009D40A5">
      <w:pPr>
        <w:pStyle w:val="Els-body-text"/>
      </w:pPr>
      <w:r>
        <w:t>The performance</w:t>
      </w:r>
      <w:r w:rsidR="00720BB9">
        <w:t>s</w:t>
      </w:r>
      <w:r>
        <w:t xml:space="preserve"> of </w:t>
      </w:r>
      <w:r w:rsidR="00720BB9">
        <w:t xml:space="preserve">HTG and HTC-TG system are comparatively assessed for the same </w:t>
      </w:r>
      <w:r w:rsidR="00B073B6">
        <w:t>digestate flow rate and composition</w:t>
      </w:r>
      <w:r w:rsidR="005772E9">
        <w:t xml:space="preserve">. </w:t>
      </w:r>
      <w:r w:rsidR="0014457B">
        <w:t xml:space="preserve">This study focuses on the effect of </w:t>
      </w:r>
      <w:r w:rsidR="002A33BE">
        <w:t xml:space="preserve">gasification </w:t>
      </w:r>
      <w:r w:rsidR="0014457B">
        <w:t>temperature</w:t>
      </w:r>
      <w:r w:rsidR="00B908B9">
        <w:t xml:space="preserve">, which is </w:t>
      </w:r>
      <w:r w:rsidR="001C7F2F">
        <w:t xml:space="preserve">one of the </w:t>
      </w:r>
      <w:r w:rsidR="007C2B7F">
        <w:t xml:space="preserve">key </w:t>
      </w:r>
      <w:r w:rsidR="001C7F2F">
        <w:t>factors influencing gasification system</w:t>
      </w:r>
      <w:r w:rsidR="00A56EAD">
        <w:t xml:space="preserve">s performance </w:t>
      </w:r>
      <w:r w:rsidR="007C2B7F">
        <w:fldChar w:fldCharType="begin"/>
      </w:r>
      <w:r w:rsidR="007C2B7F">
        <w:instrText xml:space="preserve"> ADDIN EN.CITE &lt;EndNote&gt;&lt;Cite&gt;&lt;Author&gt;Sanaye&lt;/Author&gt;&lt;Year&gt;2022&lt;/Year&gt;&lt;RecNum&gt;39&lt;/RecNum&gt;&lt;DisplayText&gt;(Sanaye, Alizadeh et al. 2022)&lt;/DisplayText&gt;&lt;record&gt;&lt;rec-number&gt;39&lt;/rec-number&gt;&lt;foreign-keys&gt;&lt;key app="EN" db-id="50eez5z08wvwt5evrp7xr95rzs2ez0x9rtfv" timestamp="1702490126"&gt;39&lt;/key&gt;&lt;/foreign-keys&gt;&lt;ref-type name="Journal Article"&gt;17&lt;/ref-type&gt;&lt;contributors&gt;&lt;authors&gt;&lt;author&gt;Sanaye, Sepehr&lt;/author&gt;&lt;author&gt;Alizadeh, Pouria&lt;/author&gt;&lt;author&gt;Yazdani, Mohsen&lt;/author&gt;&lt;/authors&gt;&lt;/contributors&gt;&lt;titles&gt;&lt;title&gt;Thermo-economic analysis of syngas production from wet digested sewage sludge by gasification process&lt;/title&gt;&lt;secondary-title&gt;Renewable Energy&lt;/secondary-title&gt;&lt;/titles&gt;&lt;periodical&gt;&lt;full-title&gt;Renewable Energy&lt;/full-title&gt;&lt;/periodical&gt;&lt;pages&gt;524-539&lt;/pages&gt;&lt;volume&gt;190&lt;/volume&gt;&lt;dates&gt;&lt;year&gt;2022&lt;/year&gt;&lt;/dates&gt;&lt;isbn&gt;0960-1481&lt;/isbn&gt;&lt;urls&gt;&lt;/urls&gt;&lt;/record&gt;&lt;/Cite&gt;&lt;/EndNote&gt;</w:instrText>
      </w:r>
      <w:r w:rsidR="007C2B7F">
        <w:fldChar w:fldCharType="separate"/>
      </w:r>
      <w:r w:rsidR="007C2B7F">
        <w:rPr>
          <w:noProof/>
        </w:rPr>
        <w:t>(Sanaye, Alizadeh et al. 2022)</w:t>
      </w:r>
      <w:r w:rsidR="007C2B7F">
        <w:fldChar w:fldCharType="end"/>
      </w:r>
      <w:r w:rsidR="007C2B7F">
        <w:t>.</w:t>
      </w:r>
      <w:r w:rsidR="005772E9">
        <w:t xml:space="preserve"> </w:t>
      </w:r>
      <w:r w:rsidR="007A19FF">
        <w:t>The</w:t>
      </w:r>
      <w:r w:rsidR="00BD6858">
        <w:t xml:space="preserve"> other</w:t>
      </w:r>
      <w:r w:rsidR="007A19FF">
        <w:t xml:space="preserve"> parameters for simulation are summarized in Table 3.</w:t>
      </w:r>
    </w:p>
    <w:p w14:paraId="0FB69B3A" w14:textId="67118D0F" w:rsidR="006B19B7" w:rsidRDefault="006B19B7" w:rsidP="009D40A5">
      <w:pPr>
        <w:pStyle w:val="Els-body-text"/>
      </w:pPr>
    </w:p>
    <w:tbl>
      <w:tblPr>
        <w:tblStyle w:val="TableGrid"/>
        <w:tblW w:w="801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
        <w:gridCol w:w="3436"/>
        <w:gridCol w:w="230"/>
        <w:gridCol w:w="450"/>
        <w:gridCol w:w="3456"/>
      </w:tblGrid>
      <w:tr w:rsidR="00CC47B5" w14:paraId="29895603" w14:textId="77777777" w:rsidTr="00CC47B5">
        <w:tc>
          <w:tcPr>
            <w:tcW w:w="438" w:type="dxa"/>
          </w:tcPr>
          <w:p w14:paraId="0ABA63FC" w14:textId="120AA961" w:rsidR="00153CAB" w:rsidRDefault="00153CAB" w:rsidP="00153CAB">
            <w:pPr>
              <w:pStyle w:val="Els-body-text"/>
            </w:pPr>
            <w:r>
              <w:t>(a)</w:t>
            </w:r>
          </w:p>
        </w:tc>
        <w:tc>
          <w:tcPr>
            <w:tcW w:w="3436" w:type="dxa"/>
          </w:tcPr>
          <w:p w14:paraId="2B9A5F7D" w14:textId="0842A471" w:rsidR="00153CAB" w:rsidRDefault="00C902B6" w:rsidP="00153CAB">
            <w:pPr>
              <w:pStyle w:val="Els-body-text"/>
            </w:pPr>
            <w:r>
              <w:rPr>
                <w:noProof/>
              </w:rPr>
              <w:drawing>
                <wp:inline distT="0" distB="0" distL="0" distR="0" wp14:anchorId="445277ED" wp14:editId="1CDEEC0A">
                  <wp:extent cx="2045100" cy="1368000"/>
                  <wp:effectExtent l="0" t="0" r="0" b="3810"/>
                  <wp:docPr id="917067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100" cy="1368000"/>
                          </a:xfrm>
                          <a:prstGeom prst="rect">
                            <a:avLst/>
                          </a:prstGeom>
                          <a:noFill/>
                        </pic:spPr>
                      </pic:pic>
                    </a:graphicData>
                  </a:graphic>
                </wp:inline>
              </w:drawing>
            </w:r>
          </w:p>
        </w:tc>
        <w:tc>
          <w:tcPr>
            <w:tcW w:w="238" w:type="dxa"/>
          </w:tcPr>
          <w:p w14:paraId="5C4E06F0" w14:textId="77777777" w:rsidR="00153CAB" w:rsidRDefault="00153CAB" w:rsidP="00153CAB">
            <w:pPr>
              <w:pStyle w:val="Els-body-text"/>
            </w:pPr>
          </w:p>
        </w:tc>
        <w:tc>
          <w:tcPr>
            <w:tcW w:w="450" w:type="dxa"/>
          </w:tcPr>
          <w:p w14:paraId="386D1ECC" w14:textId="6369AE23" w:rsidR="00153CAB" w:rsidRDefault="00153CAB" w:rsidP="00153CAB">
            <w:pPr>
              <w:pStyle w:val="Els-body-text"/>
            </w:pPr>
            <w:r>
              <w:t>(b)</w:t>
            </w:r>
          </w:p>
        </w:tc>
        <w:tc>
          <w:tcPr>
            <w:tcW w:w="3448" w:type="dxa"/>
          </w:tcPr>
          <w:p w14:paraId="4D434A61" w14:textId="47220B03" w:rsidR="00153CAB" w:rsidRDefault="00C902B6" w:rsidP="00153CAB">
            <w:pPr>
              <w:pStyle w:val="Els-body-text"/>
            </w:pPr>
            <w:r>
              <w:rPr>
                <w:noProof/>
              </w:rPr>
              <w:drawing>
                <wp:inline distT="0" distB="0" distL="0" distR="0" wp14:anchorId="258E11D1" wp14:editId="59408FF1">
                  <wp:extent cx="2049145" cy="1368000"/>
                  <wp:effectExtent l="0" t="0" r="8255" b="3810"/>
                  <wp:docPr id="16078157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145" cy="1368000"/>
                          </a:xfrm>
                          <a:prstGeom prst="rect">
                            <a:avLst/>
                          </a:prstGeom>
                          <a:noFill/>
                        </pic:spPr>
                      </pic:pic>
                    </a:graphicData>
                  </a:graphic>
                </wp:inline>
              </w:drawing>
            </w:r>
          </w:p>
        </w:tc>
      </w:tr>
    </w:tbl>
    <w:p w14:paraId="3970E766" w14:textId="27D2FCCE" w:rsidR="00A43FB8" w:rsidRDefault="000E5035" w:rsidP="000A0119">
      <w:pPr>
        <w:pStyle w:val="Els-body-text"/>
        <w:jc w:val="center"/>
        <w:rPr>
          <w:i/>
          <w:iCs/>
        </w:rPr>
      </w:pPr>
      <w:r>
        <w:rPr>
          <w:i/>
          <w:iCs/>
        </w:rPr>
        <w:lastRenderedPageBreak/>
        <w:t xml:space="preserve">Figure </w:t>
      </w:r>
      <w:r w:rsidR="000A0119">
        <w:rPr>
          <w:i/>
          <w:iCs/>
        </w:rPr>
        <w:t>3</w:t>
      </w:r>
      <w:r>
        <w:rPr>
          <w:i/>
          <w:iCs/>
        </w:rPr>
        <w:t xml:space="preserve">. </w:t>
      </w:r>
      <w:r w:rsidR="000A0119">
        <w:rPr>
          <w:i/>
          <w:iCs/>
        </w:rPr>
        <w:t xml:space="preserve">Effect of Temperature on Producer Gas Concentration </w:t>
      </w:r>
      <w:r w:rsidR="002D7FA4">
        <w:rPr>
          <w:i/>
          <w:iCs/>
        </w:rPr>
        <w:t>in</w:t>
      </w:r>
      <w:r w:rsidR="000A0119">
        <w:rPr>
          <w:i/>
          <w:iCs/>
        </w:rPr>
        <w:t xml:space="preserve"> (a) HTG and (b) HTC-TG System</w:t>
      </w:r>
      <w:r w:rsidR="00E4298A">
        <w:rPr>
          <w:i/>
          <w:iCs/>
        </w:rPr>
        <w:t>s</w:t>
      </w:r>
    </w:p>
    <w:p w14:paraId="260E496E" w14:textId="56830713" w:rsidR="008C6F08" w:rsidRDefault="008C6F08" w:rsidP="008C6F08">
      <w:pPr>
        <w:pStyle w:val="Els-body-text"/>
        <w:rPr>
          <w:i/>
          <w:iCs/>
        </w:rPr>
      </w:pPr>
      <w:r>
        <w:t xml:space="preserve">Figure 3 (a) and (b) display the comparison of gas yield and composition produced from HTG and HTC-TG systems, respectively. The results suggest that temperature plays a significant role influencing producer gas composition in both systems. </w:t>
      </w:r>
      <w:r w:rsidR="00C86CDF">
        <w:t>In general, higher temperature results in increasing H</w:t>
      </w:r>
      <w:r w:rsidR="00C86CDF" w:rsidRPr="00C86CDF">
        <w:rPr>
          <w:vertAlign w:val="subscript"/>
        </w:rPr>
        <w:t>2</w:t>
      </w:r>
      <w:r w:rsidR="00C86CDF">
        <w:t xml:space="preserve"> and CO concentration, whereas CH</w:t>
      </w:r>
      <w:r w:rsidR="00C86CDF" w:rsidRPr="00C86CDF">
        <w:rPr>
          <w:vertAlign w:val="subscript"/>
        </w:rPr>
        <w:t>4</w:t>
      </w:r>
      <w:r w:rsidR="00C86CDF">
        <w:t xml:space="preserve"> and CO</w:t>
      </w:r>
      <w:r w:rsidR="00C86CDF" w:rsidRPr="00C86CDF">
        <w:rPr>
          <w:vertAlign w:val="subscript"/>
        </w:rPr>
        <w:t>2</w:t>
      </w:r>
      <w:r w:rsidR="00C86CDF">
        <w:t xml:space="preserve"> production decrease. </w:t>
      </w:r>
      <w:r>
        <w:t xml:space="preserve">The effect of temperature can be explained by the basic law of chemical reactions: exothermic reactions are favored by lower temperature, whereas endothermic reactions are enhanced by higher temperature </w:t>
      </w:r>
      <w:r>
        <w:fldChar w:fldCharType="begin"/>
      </w:r>
      <w:r>
        <w:instrText xml:space="preserve"> ADDIN EN.CITE &lt;EndNote&gt;&lt;Cite&gt;&lt;Author&gt;Salaudeen&lt;/Author&gt;&lt;Year&gt;2021&lt;/Year&gt;&lt;RecNum&gt;2&lt;/RecNum&gt;&lt;DisplayText&gt;(Salaudeen, Acharya et al. 2021)&lt;/DisplayText&gt;&lt;record&gt;&lt;rec-number&gt;2&lt;/rec-number&gt;&lt;foreign-keys&gt;&lt;key app="EN" db-id="xfx5ep5zgetfsme5f2axae2p5spzrzxv5d5p" timestamp="1702559252"&gt;2&lt;/key&gt;&lt;/foreign-keys&gt;&lt;ref-type name="Journal Article"&gt;17&lt;/ref-type&gt;&lt;contributors&gt;&lt;authors&gt;&lt;author&gt;Salaudeen, Shakirudeen A&lt;/author&gt;&lt;author&gt;Acharya, Bishnu&lt;/author&gt;&lt;author&gt;Dutta, Animesh&lt;/author&gt;&lt;/authors&gt;&lt;/contributors&gt;&lt;titles&gt;&lt;title&gt;Steam gasification of hydrochar derived from hydrothermal carbonization of fruit wastes&lt;/title&gt;&lt;secondary-title&gt;Renewable Energy&lt;/secondary-title&gt;&lt;/titles&gt;&lt;pages&gt;582-591&lt;/pages&gt;&lt;volume&gt;171&lt;/volume&gt;&lt;dates&gt;&lt;year&gt;2021&lt;/year&gt;&lt;/dates&gt;&lt;isbn&gt;0960-1481&lt;/isbn&gt;&lt;urls&gt;&lt;/urls&gt;&lt;/record&gt;&lt;/Cite&gt;&lt;/EndNote&gt;</w:instrText>
      </w:r>
      <w:r>
        <w:fldChar w:fldCharType="separate"/>
      </w:r>
      <w:r>
        <w:rPr>
          <w:noProof/>
        </w:rPr>
        <w:t>(Salaudeen, Acharya et al. 2021)</w:t>
      </w:r>
      <w:r>
        <w:fldChar w:fldCharType="end"/>
      </w:r>
      <w:r>
        <w:t xml:space="preserve">. At the </w:t>
      </w:r>
      <w:proofErr w:type="gramStart"/>
      <w:r>
        <w:t>particular range</w:t>
      </w:r>
      <w:proofErr w:type="gramEnd"/>
      <w:r>
        <w:t xml:space="preserve"> of operating conditions observed in this study, HTC-TG is more suitable for hydrogen production, whereas HTG produces higher methane concentration. However, other influencing factors such as feedstock-to-steam ratio and feedstock concentration can significantly change the process behavior.</w:t>
      </w:r>
    </w:p>
    <w:p w14:paraId="5BB049B1" w14:textId="77777777" w:rsidR="00FD5221" w:rsidRDefault="00FD5221" w:rsidP="000A0119">
      <w:pPr>
        <w:pStyle w:val="Els-body-text"/>
        <w:jc w:val="center"/>
        <w:rPr>
          <w:i/>
          <w:iCs/>
        </w:rPr>
      </w:pPr>
    </w:p>
    <w:tbl>
      <w:tblPr>
        <w:tblStyle w:val="TableGrid"/>
        <w:tblW w:w="845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8"/>
        <w:gridCol w:w="3390"/>
        <w:gridCol w:w="284"/>
        <w:gridCol w:w="567"/>
        <w:gridCol w:w="3772"/>
      </w:tblGrid>
      <w:tr w:rsidR="00FD5221" w14:paraId="54BE641E" w14:textId="77777777" w:rsidTr="00CC47B5">
        <w:tc>
          <w:tcPr>
            <w:tcW w:w="438" w:type="dxa"/>
          </w:tcPr>
          <w:p w14:paraId="159F23AF" w14:textId="77777777" w:rsidR="00FD5221" w:rsidRDefault="00FD5221" w:rsidP="003A456B">
            <w:pPr>
              <w:pStyle w:val="Els-body-text"/>
            </w:pPr>
            <w:r>
              <w:t>(a)</w:t>
            </w:r>
          </w:p>
        </w:tc>
        <w:tc>
          <w:tcPr>
            <w:tcW w:w="3390" w:type="dxa"/>
          </w:tcPr>
          <w:p w14:paraId="1528A673" w14:textId="6D0346D6" w:rsidR="00FD5221" w:rsidRDefault="00F1389D" w:rsidP="003A456B">
            <w:pPr>
              <w:pStyle w:val="Els-body-text"/>
            </w:pPr>
            <w:r>
              <w:rPr>
                <w:noProof/>
              </w:rPr>
              <w:drawing>
                <wp:inline distT="0" distB="0" distL="0" distR="0" wp14:anchorId="5CC04CDE" wp14:editId="33387237">
                  <wp:extent cx="2047800" cy="1368000"/>
                  <wp:effectExtent l="0" t="0" r="0" b="3810"/>
                  <wp:docPr id="3774574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7800" cy="1368000"/>
                          </a:xfrm>
                          <a:prstGeom prst="rect">
                            <a:avLst/>
                          </a:prstGeom>
                          <a:noFill/>
                        </pic:spPr>
                      </pic:pic>
                    </a:graphicData>
                  </a:graphic>
                </wp:inline>
              </w:drawing>
            </w:r>
          </w:p>
        </w:tc>
        <w:tc>
          <w:tcPr>
            <w:tcW w:w="284" w:type="dxa"/>
          </w:tcPr>
          <w:p w14:paraId="53865441" w14:textId="77777777" w:rsidR="00FD5221" w:rsidRDefault="00FD5221" w:rsidP="003A456B">
            <w:pPr>
              <w:pStyle w:val="Els-body-text"/>
            </w:pPr>
          </w:p>
        </w:tc>
        <w:tc>
          <w:tcPr>
            <w:tcW w:w="567" w:type="dxa"/>
          </w:tcPr>
          <w:p w14:paraId="635B3095" w14:textId="77777777" w:rsidR="00FD5221" w:rsidRDefault="00FD5221" w:rsidP="003A456B">
            <w:pPr>
              <w:pStyle w:val="Els-body-text"/>
            </w:pPr>
            <w:r>
              <w:t>(b)</w:t>
            </w:r>
          </w:p>
        </w:tc>
        <w:tc>
          <w:tcPr>
            <w:tcW w:w="3772" w:type="dxa"/>
          </w:tcPr>
          <w:p w14:paraId="3C639E58" w14:textId="08178E81" w:rsidR="00FD5221" w:rsidRDefault="00F1389D" w:rsidP="003A456B">
            <w:pPr>
              <w:pStyle w:val="Els-body-text"/>
            </w:pPr>
            <w:r>
              <w:rPr>
                <w:noProof/>
              </w:rPr>
              <w:drawing>
                <wp:inline distT="0" distB="0" distL="0" distR="0" wp14:anchorId="656403BB" wp14:editId="2CC31365">
                  <wp:extent cx="2051850" cy="1368000"/>
                  <wp:effectExtent l="0" t="0" r="5715" b="3810"/>
                  <wp:docPr id="8108885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850" cy="1368000"/>
                          </a:xfrm>
                          <a:prstGeom prst="rect">
                            <a:avLst/>
                          </a:prstGeom>
                          <a:noFill/>
                        </pic:spPr>
                      </pic:pic>
                    </a:graphicData>
                  </a:graphic>
                </wp:inline>
              </w:drawing>
            </w:r>
          </w:p>
        </w:tc>
      </w:tr>
    </w:tbl>
    <w:p w14:paraId="2713BE0C" w14:textId="3EC575CF" w:rsidR="00FD5221" w:rsidRDefault="00FD5221" w:rsidP="00FD5221">
      <w:pPr>
        <w:pStyle w:val="Els-body-text"/>
        <w:jc w:val="center"/>
        <w:rPr>
          <w:i/>
          <w:iCs/>
        </w:rPr>
      </w:pPr>
      <w:r>
        <w:rPr>
          <w:i/>
          <w:iCs/>
        </w:rPr>
        <w:t xml:space="preserve">Figure 4. Effect of Temperature on </w:t>
      </w:r>
      <w:r w:rsidR="002D7FA4">
        <w:rPr>
          <w:i/>
          <w:iCs/>
        </w:rPr>
        <w:t>Total Energy Demand and Producer Gas LHV in (a) HTG and (b) HTC-TG Systems</w:t>
      </w:r>
    </w:p>
    <w:p w14:paraId="61CEB0FD" w14:textId="77777777" w:rsidR="00B377BD" w:rsidRDefault="00B377BD" w:rsidP="00FD5221">
      <w:pPr>
        <w:pStyle w:val="Els-body-text"/>
        <w:jc w:val="center"/>
        <w:rPr>
          <w:i/>
          <w:iCs/>
        </w:rPr>
      </w:pPr>
    </w:p>
    <w:p w14:paraId="6D97B269" w14:textId="75F4DB4C" w:rsidR="00694E9A" w:rsidRPr="009D40A5" w:rsidRDefault="00694E9A" w:rsidP="000C232A">
      <w:pPr>
        <w:pStyle w:val="Els-body-text"/>
      </w:pPr>
      <w:r>
        <w:t xml:space="preserve">Figure 4 </w:t>
      </w:r>
      <w:r w:rsidR="00A64BF0">
        <w:t xml:space="preserve">(a) and (b) </w:t>
      </w:r>
      <w:r>
        <w:t xml:space="preserve">display the system </w:t>
      </w:r>
      <w:r w:rsidR="00106E56">
        <w:t xml:space="preserve">total </w:t>
      </w:r>
      <w:r>
        <w:t>energy demand and the product heating value,</w:t>
      </w:r>
      <w:r w:rsidR="00F52DAE">
        <w:t xml:space="preserve"> which is</w:t>
      </w:r>
      <w:r>
        <w:t xml:space="preserve"> calculated by multiplying the producer gas flow rate with the producer gas LHV. The result shows that </w:t>
      </w:r>
      <w:r w:rsidR="009B38D0">
        <w:t xml:space="preserve">for </w:t>
      </w:r>
      <w:r w:rsidR="00ED3494">
        <w:t xml:space="preserve">both </w:t>
      </w:r>
      <w:r w:rsidR="00EE1635">
        <w:t xml:space="preserve">HTG and HTC-TG </w:t>
      </w:r>
      <w:r w:rsidR="009B38D0">
        <w:t xml:space="preserve">systems, </w:t>
      </w:r>
      <w:r w:rsidR="002043D0">
        <w:t xml:space="preserve">total </w:t>
      </w:r>
      <w:r w:rsidR="009B38D0">
        <w:t>energy demand and heating value increase with higher temperature</w:t>
      </w:r>
      <w:r w:rsidR="003451C7">
        <w:t xml:space="preserve">. </w:t>
      </w:r>
      <w:r w:rsidR="00315E9D">
        <w:t xml:space="preserve">The increase in energy demand is mostly contributed by the </w:t>
      </w:r>
      <w:r w:rsidR="004E2CBC">
        <w:t xml:space="preserve">higher heating requirement </w:t>
      </w:r>
      <w:r w:rsidR="00E34593">
        <w:t xml:space="preserve">in the gasification system, </w:t>
      </w:r>
      <w:r w:rsidR="004D774F">
        <w:t xml:space="preserve">with regards to the higher temperature. </w:t>
      </w:r>
      <w:r w:rsidR="00B23734">
        <w:t xml:space="preserve">The increasing temperature also enhances the product heating value in both systems. However, the increase </w:t>
      </w:r>
      <w:r w:rsidR="000C232A">
        <w:t xml:space="preserve">in product heating value is not </w:t>
      </w:r>
      <w:r w:rsidR="0022575B">
        <w:t xml:space="preserve">as </w:t>
      </w:r>
      <w:r w:rsidR="000C232A">
        <w:t>significant</w:t>
      </w:r>
      <w:r w:rsidR="0022575B">
        <w:t xml:space="preserve"> as the increase in heating requirement</w:t>
      </w:r>
      <w:r w:rsidR="000C232A">
        <w:t xml:space="preserve">, causing the </w:t>
      </w:r>
      <w:r w:rsidR="00166030">
        <w:t>overall system efficiency (OSE) to decrease</w:t>
      </w:r>
      <w:r w:rsidR="00124099">
        <w:t xml:space="preserve">, as displayed in </w:t>
      </w:r>
      <w:r w:rsidR="00036CFD">
        <w:t>Figure 5.</w:t>
      </w:r>
      <w:r w:rsidR="007C3BCD">
        <w:t xml:space="preserve"> </w:t>
      </w:r>
      <w:r w:rsidR="00A47C54">
        <w:t>It is possible to reduce energy demand of the system through better heat integration, which may result in better OSE.</w:t>
      </w:r>
      <w:r w:rsidR="00036CFD">
        <w:t xml:space="preserve"> </w:t>
      </w:r>
      <w:r w:rsidR="00894C1C">
        <w:t xml:space="preserve">Furthermore, it was found that </w:t>
      </w:r>
      <w:r w:rsidR="00E37491">
        <w:t>within the operating conditions observed in this study, HTC-TG system performs with higher OSE compared to HTG.</w:t>
      </w:r>
      <w:r w:rsidR="001D7B5E">
        <w:t xml:space="preserve"> </w:t>
      </w:r>
      <w:r w:rsidR="00E37491">
        <w:t xml:space="preserve"> </w:t>
      </w:r>
    </w:p>
    <w:p w14:paraId="00202E2A" w14:textId="77777777" w:rsidR="00694E9A" w:rsidRDefault="00694E9A" w:rsidP="00FD5221">
      <w:pPr>
        <w:pStyle w:val="Els-body-text"/>
        <w:jc w:val="center"/>
        <w:rPr>
          <w:i/>
          <w:iCs/>
        </w:rPr>
      </w:pPr>
    </w:p>
    <w:tbl>
      <w:tblPr>
        <w:tblStyle w:val="TableGrid"/>
        <w:tblW w:w="845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
        <w:gridCol w:w="3456"/>
        <w:gridCol w:w="232"/>
        <w:gridCol w:w="450"/>
        <w:gridCol w:w="3877"/>
      </w:tblGrid>
      <w:tr w:rsidR="00E21D9B" w14:paraId="13C3440C" w14:textId="77777777" w:rsidTr="00CC47B5">
        <w:tc>
          <w:tcPr>
            <w:tcW w:w="438" w:type="dxa"/>
          </w:tcPr>
          <w:p w14:paraId="68A50CDB" w14:textId="77777777" w:rsidR="00E21D9B" w:rsidRDefault="00E21D9B" w:rsidP="003A456B">
            <w:pPr>
              <w:pStyle w:val="Els-body-text"/>
            </w:pPr>
            <w:r>
              <w:t>(a)</w:t>
            </w:r>
          </w:p>
        </w:tc>
        <w:tc>
          <w:tcPr>
            <w:tcW w:w="3456" w:type="dxa"/>
          </w:tcPr>
          <w:p w14:paraId="1EEB25AC" w14:textId="682C3415" w:rsidR="00E21D9B" w:rsidRDefault="001A388C" w:rsidP="003A456B">
            <w:pPr>
              <w:pStyle w:val="Els-body-text"/>
            </w:pPr>
            <w:r>
              <w:rPr>
                <w:noProof/>
              </w:rPr>
              <w:drawing>
                <wp:inline distT="0" distB="0" distL="0" distR="0" wp14:anchorId="70999F73" wp14:editId="0EFE3006">
                  <wp:extent cx="2051850" cy="1368000"/>
                  <wp:effectExtent l="0" t="0" r="5715" b="3810"/>
                  <wp:docPr id="19291572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51850" cy="1368000"/>
                          </a:xfrm>
                          <a:prstGeom prst="rect">
                            <a:avLst/>
                          </a:prstGeom>
                          <a:noFill/>
                        </pic:spPr>
                      </pic:pic>
                    </a:graphicData>
                  </a:graphic>
                </wp:inline>
              </w:drawing>
            </w:r>
          </w:p>
        </w:tc>
        <w:tc>
          <w:tcPr>
            <w:tcW w:w="236" w:type="dxa"/>
          </w:tcPr>
          <w:p w14:paraId="3E10F17B" w14:textId="77777777" w:rsidR="00E21D9B" w:rsidRDefault="00E21D9B" w:rsidP="003A456B">
            <w:pPr>
              <w:pStyle w:val="Els-body-text"/>
            </w:pPr>
          </w:p>
        </w:tc>
        <w:tc>
          <w:tcPr>
            <w:tcW w:w="265" w:type="dxa"/>
          </w:tcPr>
          <w:p w14:paraId="2B0CC5CA" w14:textId="77777777" w:rsidR="00E21D9B" w:rsidRDefault="00E21D9B" w:rsidP="003A456B">
            <w:pPr>
              <w:pStyle w:val="Els-body-text"/>
            </w:pPr>
            <w:r>
              <w:t>(b)</w:t>
            </w:r>
          </w:p>
        </w:tc>
        <w:tc>
          <w:tcPr>
            <w:tcW w:w="4058" w:type="dxa"/>
          </w:tcPr>
          <w:p w14:paraId="240CA283" w14:textId="0CF13173" w:rsidR="00E21D9B" w:rsidRDefault="001A388C" w:rsidP="003A456B">
            <w:pPr>
              <w:pStyle w:val="Els-body-text"/>
            </w:pPr>
            <w:r>
              <w:rPr>
                <w:noProof/>
              </w:rPr>
              <w:drawing>
                <wp:inline distT="0" distB="0" distL="0" distR="0" wp14:anchorId="264D5AAF" wp14:editId="37912EFB">
                  <wp:extent cx="2049144" cy="1368000"/>
                  <wp:effectExtent l="0" t="0" r="8890" b="3810"/>
                  <wp:docPr id="10671576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9144" cy="1368000"/>
                          </a:xfrm>
                          <a:prstGeom prst="rect">
                            <a:avLst/>
                          </a:prstGeom>
                          <a:noFill/>
                        </pic:spPr>
                      </pic:pic>
                    </a:graphicData>
                  </a:graphic>
                </wp:inline>
              </w:drawing>
            </w:r>
          </w:p>
        </w:tc>
      </w:tr>
    </w:tbl>
    <w:p w14:paraId="4EA79C27" w14:textId="1986FBE2" w:rsidR="00E21D9B" w:rsidRDefault="00E21D9B" w:rsidP="00E21D9B">
      <w:pPr>
        <w:pStyle w:val="Els-body-text"/>
        <w:jc w:val="center"/>
        <w:rPr>
          <w:i/>
          <w:iCs/>
        </w:rPr>
      </w:pPr>
      <w:r>
        <w:rPr>
          <w:i/>
          <w:iCs/>
        </w:rPr>
        <w:t xml:space="preserve">Figure </w:t>
      </w:r>
      <w:r w:rsidR="008639EB">
        <w:rPr>
          <w:i/>
          <w:iCs/>
        </w:rPr>
        <w:t>5</w:t>
      </w:r>
      <w:r>
        <w:rPr>
          <w:i/>
          <w:iCs/>
        </w:rPr>
        <w:t xml:space="preserve">. Effect of Temperature on </w:t>
      </w:r>
      <w:r w:rsidR="008639EB">
        <w:rPr>
          <w:i/>
          <w:iCs/>
        </w:rPr>
        <w:t xml:space="preserve">Overall System Efficiency (OSE) </w:t>
      </w:r>
      <w:r>
        <w:rPr>
          <w:i/>
          <w:iCs/>
        </w:rPr>
        <w:t>in (a) HTG and (b) HTC-TG Systems</w:t>
      </w:r>
    </w:p>
    <w:p w14:paraId="3CA451CE" w14:textId="77777777" w:rsidR="00B377BD" w:rsidRPr="009D40A5" w:rsidRDefault="00B377BD" w:rsidP="00FD5221">
      <w:pPr>
        <w:pStyle w:val="Els-body-text"/>
        <w:jc w:val="center"/>
      </w:pPr>
    </w:p>
    <w:p w14:paraId="144DE6BA" w14:textId="77777777" w:rsidR="008D2649" w:rsidRPr="00A94774" w:rsidRDefault="008D2649" w:rsidP="008D2649">
      <w:pPr>
        <w:pStyle w:val="Els-1storder-head"/>
        <w:spacing w:after="120"/>
        <w:rPr>
          <w:lang w:val="en-GB"/>
        </w:rPr>
      </w:pPr>
      <w:r w:rsidRPr="00A94774">
        <w:rPr>
          <w:lang w:val="en-GB"/>
        </w:rPr>
        <w:t>Conclusions</w:t>
      </w:r>
    </w:p>
    <w:p w14:paraId="144DE6BB" w14:textId="4CB5A3D8" w:rsidR="008D2649" w:rsidRPr="00A94774" w:rsidRDefault="00903BDA" w:rsidP="008D2649">
      <w:pPr>
        <w:pStyle w:val="Els-body-text"/>
        <w:spacing w:after="120"/>
        <w:rPr>
          <w:lang w:val="en-GB"/>
        </w:rPr>
      </w:pPr>
      <w:r>
        <w:rPr>
          <w:lang w:val="en-GB"/>
        </w:rPr>
        <w:t>T</w:t>
      </w:r>
      <w:r w:rsidRPr="00903BDA">
        <w:rPr>
          <w:lang w:val="en-GB"/>
        </w:rPr>
        <w:t xml:space="preserve">wo technologies for efficient processing of digestate, i.e., 1) hydrothermal gasification (HTG) and 2) hydrothermal carbonization coupled with thermal gasification of </w:t>
      </w:r>
      <w:proofErr w:type="spellStart"/>
      <w:r w:rsidRPr="00903BDA">
        <w:rPr>
          <w:lang w:val="en-GB"/>
        </w:rPr>
        <w:t>hydrochar</w:t>
      </w:r>
      <w:proofErr w:type="spellEnd"/>
      <w:r w:rsidRPr="00903BDA">
        <w:rPr>
          <w:lang w:val="en-GB"/>
        </w:rPr>
        <w:t xml:space="preserve"> (HTC-TG)</w:t>
      </w:r>
      <w:r>
        <w:rPr>
          <w:lang w:val="en-GB"/>
        </w:rPr>
        <w:t xml:space="preserve"> are comparatively assessed using Aspen Plus software. </w:t>
      </w:r>
      <w:r w:rsidR="005370A2">
        <w:rPr>
          <w:lang w:val="en-GB"/>
        </w:rPr>
        <w:t>The effect of temperature is observed</w:t>
      </w:r>
      <w:r w:rsidR="00D8201B">
        <w:rPr>
          <w:lang w:val="en-GB"/>
        </w:rPr>
        <w:t>, and it was found that higher temperature has a positive influence on H</w:t>
      </w:r>
      <w:r w:rsidR="00D8201B" w:rsidRPr="00D8201B">
        <w:rPr>
          <w:vertAlign w:val="subscript"/>
          <w:lang w:val="en-GB"/>
        </w:rPr>
        <w:t>2</w:t>
      </w:r>
      <w:r w:rsidR="00D8201B">
        <w:rPr>
          <w:lang w:val="en-GB"/>
        </w:rPr>
        <w:t xml:space="preserve"> and CO concentration, whereas CH</w:t>
      </w:r>
      <w:r w:rsidR="00D8201B" w:rsidRPr="00D8201B">
        <w:rPr>
          <w:vertAlign w:val="subscript"/>
          <w:lang w:val="en-GB"/>
        </w:rPr>
        <w:t>4</w:t>
      </w:r>
      <w:r w:rsidR="00D8201B">
        <w:rPr>
          <w:lang w:val="en-GB"/>
        </w:rPr>
        <w:t xml:space="preserve"> and CO</w:t>
      </w:r>
      <w:r w:rsidR="00D8201B" w:rsidRPr="00D8201B">
        <w:rPr>
          <w:vertAlign w:val="subscript"/>
          <w:lang w:val="en-GB"/>
        </w:rPr>
        <w:t>2</w:t>
      </w:r>
      <w:r w:rsidR="00D8201B">
        <w:rPr>
          <w:lang w:val="en-GB"/>
        </w:rPr>
        <w:t xml:space="preserve"> production are negatively affected.</w:t>
      </w:r>
      <w:r w:rsidR="005370A2">
        <w:rPr>
          <w:lang w:val="en-GB"/>
        </w:rPr>
        <w:t xml:space="preserve"> </w:t>
      </w:r>
      <w:r w:rsidR="007C7442">
        <w:rPr>
          <w:lang w:val="en-GB"/>
        </w:rPr>
        <w:t xml:space="preserve">At the operating conditions observed in this study, </w:t>
      </w:r>
      <w:r w:rsidR="008C797D">
        <w:rPr>
          <w:lang w:val="en-GB"/>
        </w:rPr>
        <w:t xml:space="preserve">HTC-TG is more suitable for hydrogen production, while HTG produces more methane. </w:t>
      </w:r>
      <w:r w:rsidR="00894C1C">
        <w:rPr>
          <w:lang w:val="en-GB"/>
        </w:rPr>
        <w:t xml:space="preserve">The higher temperature also increases both energy demand and </w:t>
      </w:r>
      <w:r w:rsidR="00A31E66">
        <w:rPr>
          <w:lang w:val="en-GB"/>
        </w:rPr>
        <w:t>product heating value</w:t>
      </w:r>
      <w:r w:rsidR="00725806">
        <w:rPr>
          <w:lang w:val="en-GB"/>
        </w:rPr>
        <w:t xml:space="preserve"> in both systems</w:t>
      </w:r>
      <w:r w:rsidR="00A31E66">
        <w:rPr>
          <w:lang w:val="en-GB"/>
        </w:rPr>
        <w:t xml:space="preserve">. </w:t>
      </w:r>
      <w:r w:rsidR="00725806">
        <w:rPr>
          <w:lang w:val="en-GB"/>
        </w:rPr>
        <w:t xml:space="preserve">However, </w:t>
      </w:r>
      <w:r w:rsidR="00843CF5">
        <w:rPr>
          <w:lang w:val="en-GB"/>
        </w:rPr>
        <w:t xml:space="preserve">the OSE of the two systems decreases </w:t>
      </w:r>
      <w:r w:rsidR="00002B1A">
        <w:rPr>
          <w:lang w:val="en-GB"/>
        </w:rPr>
        <w:t xml:space="preserve">with increasing temperature. </w:t>
      </w:r>
      <w:r w:rsidR="00002B1A">
        <w:t xml:space="preserve">Within the operating conditions observed in this study, HTC-TG system performs with higher OSE compared to HTG.  </w:t>
      </w:r>
    </w:p>
    <w:p w14:paraId="144DE6BF" w14:textId="608D0AD6" w:rsidR="008D2649" w:rsidRDefault="008D2649" w:rsidP="008D2649">
      <w:pPr>
        <w:pStyle w:val="Els-reference-head"/>
      </w:pPr>
      <w:r>
        <w:t>References</w:t>
      </w:r>
    </w:p>
    <w:p w14:paraId="5F024A0B" w14:textId="77777777" w:rsidR="008C6F08" w:rsidRPr="008C6F08" w:rsidRDefault="00CC06E9" w:rsidP="008C6F08">
      <w:pPr>
        <w:pStyle w:val="EndNoteBibliography"/>
      </w:pPr>
      <w:r>
        <w:fldChar w:fldCharType="begin"/>
      </w:r>
      <w:r w:rsidRPr="000A298C">
        <w:instrText xml:space="preserve"> ADDIN EN.REFLIST </w:instrText>
      </w:r>
      <w:r>
        <w:fldChar w:fldCharType="separate"/>
      </w:r>
      <w:r w:rsidR="008C6F08" w:rsidRPr="008C6F08">
        <w:t xml:space="preserve">Aragon-Briceño, C., A. Pożarlik, E. Bramer, G. Brem, S. Wang, Y. Wen, W. Yang, H. Pawlak-Kruczek, Ł. Niedźwiecki and A. Urbanowska (2022). "Integration of hydrothermal carbonization treatment for water and energy recovery from organic fraction of municipal solid waste digestate." </w:t>
      </w:r>
      <w:r w:rsidR="008C6F08" w:rsidRPr="008C6F08">
        <w:rPr>
          <w:u w:val="single"/>
        </w:rPr>
        <w:t>Renewable energy</w:t>
      </w:r>
      <w:r w:rsidR="008C6F08" w:rsidRPr="008C6F08">
        <w:t xml:space="preserve"> </w:t>
      </w:r>
      <w:r w:rsidR="008C6F08" w:rsidRPr="008C6F08">
        <w:rPr>
          <w:b/>
        </w:rPr>
        <w:t>184</w:t>
      </w:r>
      <w:r w:rsidR="008C6F08" w:rsidRPr="008C6F08">
        <w:t>: 577-591.</w:t>
      </w:r>
    </w:p>
    <w:p w14:paraId="44934240" w14:textId="77777777" w:rsidR="008C6F08" w:rsidRPr="008C6F08" w:rsidRDefault="008C6F08" w:rsidP="008C6F08">
      <w:pPr>
        <w:pStyle w:val="EndNoteBibliography"/>
      </w:pPr>
      <w:r w:rsidRPr="008C6F08">
        <w:t xml:space="preserve">Gai, C., Y. Guo, T. Liu, N. Peng and Z. Liu (2016). "Hydrogen-rich gas production by steam gasification of hydrochar derived from sewage sludge." </w:t>
      </w:r>
      <w:r w:rsidRPr="008C6F08">
        <w:rPr>
          <w:u w:val="single"/>
        </w:rPr>
        <w:t>International Journal of Hydrogen Energy</w:t>
      </w:r>
      <w:r w:rsidRPr="008C6F08">
        <w:t xml:space="preserve"> </w:t>
      </w:r>
      <w:r w:rsidRPr="008C6F08">
        <w:rPr>
          <w:b/>
        </w:rPr>
        <w:t>41</w:t>
      </w:r>
      <w:r w:rsidRPr="008C6F08">
        <w:t>(5): 3363-3372.</w:t>
      </w:r>
    </w:p>
    <w:p w14:paraId="1236DB79" w14:textId="77777777" w:rsidR="008C6F08" w:rsidRPr="008C6F08" w:rsidRDefault="008C6F08" w:rsidP="008C6F08">
      <w:pPr>
        <w:pStyle w:val="EndNoteBibliography"/>
      </w:pPr>
      <w:r w:rsidRPr="008C6F08">
        <w:t xml:space="preserve">Ghavami, N., K. Özdenkçi, S. Chianese, D. Musmarra and C. De Blasio (2022). "Process simulation of hydrothermal carbonization of digestate from energetic perspectives in Aspen Plus." </w:t>
      </w:r>
      <w:r w:rsidRPr="008C6F08">
        <w:rPr>
          <w:u w:val="single"/>
        </w:rPr>
        <w:t>Energy Conversion and Management</w:t>
      </w:r>
      <w:r w:rsidRPr="008C6F08">
        <w:t xml:space="preserve"> </w:t>
      </w:r>
      <w:r w:rsidRPr="008C6F08">
        <w:rPr>
          <w:b/>
        </w:rPr>
        <w:t>270</w:t>
      </w:r>
      <w:r w:rsidRPr="008C6F08">
        <w:t>: 116215.</w:t>
      </w:r>
    </w:p>
    <w:p w14:paraId="3393FCBC" w14:textId="77777777" w:rsidR="008C6F08" w:rsidRPr="008C6F08" w:rsidRDefault="008C6F08" w:rsidP="008C6F08">
      <w:pPr>
        <w:pStyle w:val="EndNoteBibliography"/>
      </w:pPr>
      <w:r w:rsidRPr="008C6F08">
        <w:t xml:space="preserve">Hantoko, D., E. Kanchanatip, M. Yan, Z. Weng, Z. Gao and Y. Zhong (2019). "Assessment of sewage sludge gasification in supercritical water for H2-rich syngas production." </w:t>
      </w:r>
      <w:r w:rsidRPr="008C6F08">
        <w:rPr>
          <w:u w:val="single"/>
        </w:rPr>
        <w:t>Process Safety and Environmental Protection</w:t>
      </w:r>
      <w:r w:rsidRPr="008C6F08">
        <w:t xml:space="preserve"> </w:t>
      </w:r>
      <w:r w:rsidRPr="008C6F08">
        <w:rPr>
          <w:b/>
        </w:rPr>
        <w:t>131</w:t>
      </w:r>
      <w:r w:rsidRPr="008C6F08">
        <w:t>: 63-72.</w:t>
      </w:r>
    </w:p>
    <w:p w14:paraId="21E764D4" w14:textId="77777777" w:rsidR="008C6F08" w:rsidRPr="008C6F08" w:rsidRDefault="008C6F08" w:rsidP="008C6F08">
      <w:pPr>
        <w:pStyle w:val="EndNoteBibliography"/>
      </w:pPr>
      <w:r w:rsidRPr="008C6F08">
        <w:t xml:space="preserve">Kumar, M., A. O. Oyedun and A. Kumar (2018). "A review on the current status of various hydrothermal technologies on biomass feedstock." </w:t>
      </w:r>
      <w:r w:rsidRPr="008C6F08">
        <w:rPr>
          <w:u w:val="single"/>
        </w:rPr>
        <w:t>Renewable and Sustainable Energy Reviews</w:t>
      </w:r>
      <w:r w:rsidRPr="008C6F08">
        <w:t xml:space="preserve"> </w:t>
      </w:r>
      <w:r w:rsidRPr="008C6F08">
        <w:rPr>
          <w:b/>
        </w:rPr>
        <w:t>81</w:t>
      </w:r>
      <w:r w:rsidRPr="008C6F08">
        <w:t>: 1742-1770.</w:t>
      </w:r>
    </w:p>
    <w:p w14:paraId="72FE561B" w14:textId="77777777" w:rsidR="008C6F08" w:rsidRPr="008C6F08" w:rsidRDefault="008C6F08" w:rsidP="008C6F08">
      <w:pPr>
        <w:pStyle w:val="EndNoteBibliography"/>
      </w:pPr>
      <w:r w:rsidRPr="008C6F08">
        <w:t xml:space="preserve">Macrì, D., E. Catizzone, A. Molino and M. Migliori (2020). "Supercritical water gasification of biomass and agro-food residues: Energy assessment from modelling approach." </w:t>
      </w:r>
      <w:r w:rsidRPr="008C6F08">
        <w:rPr>
          <w:u w:val="single"/>
        </w:rPr>
        <w:t>Renewable Energy</w:t>
      </w:r>
      <w:r w:rsidRPr="008C6F08">
        <w:t xml:space="preserve"> </w:t>
      </w:r>
      <w:r w:rsidRPr="008C6F08">
        <w:rPr>
          <w:b/>
        </w:rPr>
        <w:t>150</w:t>
      </w:r>
      <w:r w:rsidRPr="008C6F08">
        <w:t>: 624-636.</w:t>
      </w:r>
    </w:p>
    <w:p w14:paraId="4C631889" w14:textId="77777777" w:rsidR="008C6F08" w:rsidRPr="008C6F08" w:rsidRDefault="008C6F08" w:rsidP="008C6F08">
      <w:pPr>
        <w:pStyle w:val="EndNoteBibliography"/>
      </w:pPr>
      <w:r w:rsidRPr="008C6F08">
        <w:t xml:space="preserve">Nkoa, R. (2014). "Agricultural benefits and environmental risks of soil fertilization with anaerobic digestates: a review." </w:t>
      </w:r>
      <w:r w:rsidRPr="008C6F08">
        <w:rPr>
          <w:u w:val="single"/>
        </w:rPr>
        <w:t>Agronomy for Sustainable Development</w:t>
      </w:r>
      <w:r w:rsidRPr="008C6F08">
        <w:t xml:space="preserve"> </w:t>
      </w:r>
      <w:r w:rsidRPr="008C6F08">
        <w:rPr>
          <w:b/>
        </w:rPr>
        <w:t>34</w:t>
      </w:r>
      <w:r w:rsidRPr="008C6F08">
        <w:t>: 473-492.</w:t>
      </w:r>
    </w:p>
    <w:p w14:paraId="51BE7986" w14:textId="77777777" w:rsidR="008C6F08" w:rsidRPr="008C6F08" w:rsidRDefault="008C6F08" w:rsidP="008C6F08">
      <w:pPr>
        <w:pStyle w:val="EndNoteBibliography"/>
      </w:pPr>
      <w:r w:rsidRPr="008C6F08">
        <w:t xml:space="preserve">Okolie, J. A., S. Nanda, A. K. Dalai and J. A. Kozinski (2020). "Hydrothermal gasification of soybean straw and flax straw for hydrogen-rich syngas production: Experimental and thermodynamic modeling." </w:t>
      </w:r>
      <w:r w:rsidRPr="008C6F08">
        <w:rPr>
          <w:u w:val="single"/>
        </w:rPr>
        <w:t>Energy Conversion and Management</w:t>
      </w:r>
      <w:r w:rsidRPr="008C6F08">
        <w:t xml:space="preserve"> </w:t>
      </w:r>
      <w:r w:rsidRPr="008C6F08">
        <w:rPr>
          <w:b/>
        </w:rPr>
        <w:t>208</w:t>
      </w:r>
      <w:r w:rsidRPr="008C6F08">
        <w:t>: 112545.</w:t>
      </w:r>
    </w:p>
    <w:p w14:paraId="70E818FB" w14:textId="77777777" w:rsidR="008C6F08" w:rsidRPr="008C6F08" w:rsidRDefault="008C6F08" w:rsidP="008C6F08">
      <w:pPr>
        <w:pStyle w:val="EndNoteBibliography"/>
      </w:pPr>
      <w:r w:rsidRPr="008C6F08">
        <w:t xml:space="preserve">Parmar, K. R. and A. B. Ross (2019). "Integration of hydrothermal carbonisation with anaerobic digestion; Opportunities for valorisation of digestate." </w:t>
      </w:r>
      <w:r w:rsidRPr="008C6F08">
        <w:rPr>
          <w:u w:val="single"/>
        </w:rPr>
        <w:t>Energies</w:t>
      </w:r>
      <w:r w:rsidRPr="008C6F08">
        <w:t xml:space="preserve"> </w:t>
      </w:r>
      <w:r w:rsidRPr="008C6F08">
        <w:rPr>
          <w:b/>
        </w:rPr>
        <w:t>12</w:t>
      </w:r>
      <w:r w:rsidRPr="008C6F08">
        <w:t>(9): 1586.</w:t>
      </w:r>
    </w:p>
    <w:p w14:paraId="5F469EC2" w14:textId="77777777" w:rsidR="008C6F08" w:rsidRPr="008C6F08" w:rsidRDefault="008C6F08" w:rsidP="008C6F08">
      <w:pPr>
        <w:pStyle w:val="EndNoteBibliography"/>
      </w:pPr>
      <w:r w:rsidRPr="008C6F08">
        <w:t xml:space="preserve">Salaudeen, S. A., B. Acharya and A. Dutta (2021). "Steam gasification of hydrochar derived from hydrothermal carbonization of fruit wastes." </w:t>
      </w:r>
      <w:r w:rsidRPr="008C6F08">
        <w:rPr>
          <w:u w:val="single"/>
        </w:rPr>
        <w:t>Renewable Energy</w:t>
      </w:r>
      <w:r w:rsidRPr="008C6F08">
        <w:t xml:space="preserve"> </w:t>
      </w:r>
      <w:r w:rsidRPr="008C6F08">
        <w:rPr>
          <w:b/>
        </w:rPr>
        <w:t>171</w:t>
      </w:r>
      <w:r w:rsidRPr="008C6F08">
        <w:t>: 582-591.</w:t>
      </w:r>
    </w:p>
    <w:p w14:paraId="09766FD9" w14:textId="77777777" w:rsidR="008C6F08" w:rsidRPr="008C6F08" w:rsidRDefault="008C6F08" w:rsidP="008C6F08">
      <w:pPr>
        <w:pStyle w:val="EndNoteBibliography"/>
      </w:pPr>
      <w:r w:rsidRPr="008C6F08">
        <w:t xml:space="preserve">Sanaye, S., P. Alizadeh and M. Yazdani (2022). "Thermo-economic analysis of syngas production from wet digested sewage sludge by gasification process." </w:t>
      </w:r>
      <w:r w:rsidRPr="008C6F08">
        <w:rPr>
          <w:u w:val="single"/>
        </w:rPr>
        <w:t>Renewable Energy</w:t>
      </w:r>
      <w:r w:rsidRPr="008C6F08">
        <w:t xml:space="preserve"> </w:t>
      </w:r>
      <w:r w:rsidRPr="008C6F08">
        <w:rPr>
          <w:b/>
        </w:rPr>
        <w:t>190</w:t>
      </w:r>
      <w:r w:rsidRPr="008C6F08">
        <w:t>: 524-539.</w:t>
      </w:r>
    </w:p>
    <w:p w14:paraId="61897311" w14:textId="77777777" w:rsidR="008C6F08" w:rsidRPr="008C6F08" w:rsidRDefault="008C6F08" w:rsidP="008C6F08">
      <w:pPr>
        <w:pStyle w:val="EndNoteBibliography"/>
      </w:pPr>
      <w:r w:rsidRPr="008C6F08">
        <w:t xml:space="preserve">Tekin, K., S. Karagöz and S. Bektaş (2014). "A review of hydrothermal biomass processing." </w:t>
      </w:r>
      <w:r w:rsidRPr="008C6F08">
        <w:rPr>
          <w:u w:val="single"/>
        </w:rPr>
        <w:t>Renewable and sustainable Energy reviews</w:t>
      </w:r>
      <w:r w:rsidRPr="008C6F08">
        <w:t xml:space="preserve"> </w:t>
      </w:r>
      <w:r w:rsidRPr="008C6F08">
        <w:rPr>
          <w:b/>
        </w:rPr>
        <w:t>40</w:t>
      </w:r>
      <w:r w:rsidRPr="008C6F08">
        <w:t>: 673-687.</w:t>
      </w:r>
    </w:p>
    <w:p w14:paraId="5A13E833" w14:textId="77777777" w:rsidR="008C6F08" w:rsidRPr="008C6F08" w:rsidRDefault="008C6F08" w:rsidP="008C6F08">
      <w:pPr>
        <w:pStyle w:val="EndNoteBibliography"/>
      </w:pPr>
      <w:r w:rsidRPr="008C6F08">
        <w:t xml:space="preserve">Zhao, P., Y. Shen, S. Ge and K. Yoshikawa (2014). "Energy recycling from sewage sludge by producing solid biofuel with hydrothermal carbonization." </w:t>
      </w:r>
      <w:r w:rsidRPr="008C6F08">
        <w:rPr>
          <w:u w:val="single"/>
        </w:rPr>
        <w:t>Energy conversion and management</w:t>
      </w:r>
      <w:r w:rsidRPr="008C6F08">
        <w:t xml:space="preserve"> </w:t>
      </w:r>
      <w:r w:rsidRPr="008C6F08">
        <w:rPr>
          <w:b/>
        </w:rPr>
        <w:t>78</w:t>
      </w:r>
      <w:r w:rsidRPr="008C6F08">
        <w:t>: 815-821.</w:t>
      </w:r>
    </w:p>
    <w:p w14:paraId="144DE6C3" w14:textId="1550DBFB" w:rsidR="008D2649" w:rsidRDefault="00CC06E9" w:rsidP="008D2649">
      <w:pPr>
        <w:pStyle w:val="Els-referenceno-number"/>
        <w:rPr>
          <w:lang w:val="en-US"/>
        </w:rPr>
      </w:pPr>
      <w:r>
        <w:rPr>
          <w:lang w:val="en-US"/>
        </w:rPr>
        <w:lastRenderedPageBreak/>
        <w:fldChar w:fldCharType="end"/>
      </w:r>
    </w:p>
    <w:sectPr w:rsidR="008D2649" w:rsidSect="008B0184">
      <w:headerReference w:type="even" r:id="rId16"/>
      <w:headerReference w:type="default" r:id="rId17"/>
      <w:headerReference w:type="first" r:id="rId18"/>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6B9E" w14:textId="77777777" w:rsidR="001C0148" w:rsidRDefault="001C0148">
      <w:r>
        <w:separator/>
      </w:r>
    </w:p>
  </w:endnote>
  <w:endnote w:type="continuationSeparator" w:id="0">
    <w:p w14:paraId="18CEF74E" w14:textId="77777777" w:rsidR="001C0148" w:rsidRDefault="001C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03E0" w14:textId="77777777" w:rsidR="001C0148" w:rsidRDefault="001C0148">
      <w:r>
        <w:separator/>
      </w:r>
    </w:p>
  </w:footnote>
  <w:footnote w:type="continuationSeparator" w:id="0">
    <w:p w14:paraId="6A3F2892" w14:textId="77777777" w:rsidR="001C0148" w:rsidRDefault="001C0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DD9F282" w:rsidR="00DD3D9E" w:rsidRDefault="00DD3D9E">
    <w:pPr>
      <w:pStyle w:val="Header"/>
      <w:tabs>
        <w:tab w:val="clear" w:pos="7200"/>
        <w:tab w:val="right" w:pos="7088"/>
      </w:tabs>
    </w:pPr>
    <w:r>
      <w:rPr>
        <w:rStyle w:val="PageNumber"/>
      </w:rPr>
      <w:tab/>
    </w:r>
    <w:r>
      <w:rPr>
        <w:rStyle w:val="PageNumber"/>
        <w:i/>
      </w:rPr>
      <w:tab/>
    </w:r>
    <w:r w:rsidR="00E72AC6">
      <w:rPr>
        <w:rStyle w:val="PageNumber"/>
        <w:i/>
      </w:rPr>
      <w:t>F. Rahma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7279F957" w:rsidR="00DD3D9E" w:rsidRDefault="00E72AC6">
    <w:pPr>
      <w:pStyle w:val="Header"/>
      <w:tabs>
        <w:tab w:val="clear" w:pos="7200"/>
        <w:tab w:val="right" w:pos="7088"/>
      </w:tabs>
      <w:jc w:val="right"/>
      <w:rPr>
        <w:sz w:val="24"/>
      </w:rPr>
    </w:pPr>
    <w:r w:rsidRPr="00E72AC6">
      <w:rPr>
        <w:i/>
      </w:rPr>
      <w:t>Comparative Study on Hydrothermal Gasification and Thermal Gasification via Hydrothermal Carbonization of Digestate Residues from Anaerobic Digestion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A9D221E"/>
    <w:multiLevelType w:val="hybridMultilevel"/>
    <w:tmpl w:val="653E7202"/>
    <w:lvl w:ilvl="0" w:tplc="E21C03C2">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DA300A3A"/>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lvlText w:val="2.1.%3."/>
      <w:lvlJc w:val="left"/>
      <w:pPr>
        <w:ind w:left="360" w:hanging="36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6E733E"/>
    <w:multiLevelType w:val="hybridMultilevel"/>
    <w:tmpl w:val="CE9819B0"/>
    <w:lvl w:ilvl="0" w:tplc="D356152A">
      <w:start w:val="1"/>
      <w:numFmt w:val="decimal"/>
      <w:lvlText w:val="2.%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3"/>
  </w:num>
  <w:num w:numId="2" w16cid:durableId="47382885">
    <w:abstractNumId w:val="13"/>
  </w:num>
  <w:num w:numId="3" w16cid:durableId="967853731">
    <w:abstractNumId w:val="13"/>
  </w:num>
  <w:num w:numId="4" w16cid:durableId="1739282265">
    <w:abstractNumId w:val="13"/>
  </w:num>
  <w:num w:numId="5" w16cid:durableId="698892343">
    <w:abstractNumId w:val="0"/>
  </w:num>
  <w:num w:numId="6" w16cid:durableId="1660883641">
    <w:abstractNumId w:val="7"/>
  </w:num>
  <w:num w:numId="7" w16cid:durableId="1863349795">
    <w:abstractNumId w:val="14"/>
  </w:num>
  <w:num w:numId="8" w16cid:durableId="1750734252">
    <w:abstractNumId w:val="1"/>
  </w:num>
  <w:num w:numId="9" w16cid:durableId="203061615">
    <w:abstractNumId w:val="12"/>
  </w:num>
  <w:num w:numId="10" w16cid:durableId="1478497114">
    <w:abstractNumId w:val="16"/>
  </w:num>
  <w:num w:numId="11" w16cid:durableId="1896693444">
    <w:abstractNumId w:val="15"/>
  </w:num>
  <w:num w:numId="12" w16cid:durableId="774787662">
    <w:abstractNumId w:val="6"/>
  </w:num>
  <w:num w:numId="13" w16cid:durableId="1525900646">
    <w:abstractNumId w:val="10"/>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1"/>
  </w:num>
  <w:num w:numId="19" w16cid:durableId="1502238906">
    <w:abstractNumId w:val="5"/>
  </w:num>
  <w:num w:numId="20" w16cid:durableId="953026539">
    <w:abstractNumId w:val="5"/>
  </w:num>
  <w:num w:numId="21" w16cid:durableId="1717001558">
    <w:abstractNumId w:val="5"/>
  </w:num>
  <w:num w:numId="22" w16cid:durableId="1879589756">
    <w:abstractNumId w:val="5"/>
  </w:num>
  <w:num w:numId="23" w16cid:durableId="1945923121">
    <w:abstractNumId w:val="5"/>
  </w:num>
  <w:num w:numId="24" w16cid:durableId="907150931">
    <w:abstractNumId w:val="9"/>
  </w:num>
  <w:num w:numId="25" w16cid:durableId="80611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eez5z08wvwt5evrp7xr95rzs2ez0x9rtfv&quot;&gt;My EndNote Library&lt;record-ids&gt;&lt;item&gt;19&lt;/item&gt;&lt;item&gt;24&lt;/item&gt;&lt;item&gt;28&lt;/item&gt;&lt;item&gt;32&lt;/item&gt;&lt;item&gt;35&lt;/item&gt;&lt;item&gt;39&lt;/item&gt;&lt;/record-ids&gt;&lt;/item&gt;&lt;/Libraries&gt;"/>
  </w:docVars>
  <w:rsids>
    <w:rsidRoot w:val="00B63237"/>
    <w:rsid w:val="000018D0"/>
    <w:rsid w:val="00002B1A"/>
    <w:rsid w:val="00004ACF"/>
    <w:rsid w:val="00013000"/>
    <w:rsid w:val="00015AF9"/>
    <w:rsid w:val="00016B63"/>
    <w:rsid w:val="00030049"/>
    <w:rsid w:val="00030FE0"/>
    <w:rsid w:val="00036CFD"/>
    <w:rsid w:val="0004131E"/>
    <w:rsid w:val="00046CED"/>
    <w:rsid w:val="000556AE"/>
    <w:rsid w:val="00085F9D"/>
    <w:rsid w:val="000904CD"/>
    <w:rsid w:val="00090ED9"/>
    <w:rsid w:val="000929F4"/>
    <w:rsid w:val="000A0119"/>
    <w:rsid w:val="000A2586"/>
    <w:rsid w:val="000A298C"/>
    <w:rsid w:val="000A2D74"/>
    <w:rsid w:val="000A567D"/>
    <w:rsid w:val="000B2D70"/>
    <w:rsid w:val="000C232A"/>
    <w:rsid w:val="000C5C60"/>
    <w:rsid w:val="000D264C"/>
    <w:rsid w:val="000D3D9B"/>
    <w:rsid w:val="000E0D18"/>
    <w:rsid w:val="000E1B89"/>
    <w:rsid w:val="000E5035"/>
    <w:rsid w:val="000F0371"/>
    <w:rsid w:val="000F32CD"/>
    <w:rsid w:val="00104705"/>
    <w:rsid w:val="00106E56"/>
    <w:rsid w:val="001076DE"/>
    <w:rsid w:val="00110FB2"/>
    <w:rsid w:val="00120CBB"/>
    <w:rsid w:val="00124099"/>
    <w:rsid w:val="001261BD"/>
    <w:rsid w:val="001302D7"/>
    <w:rsid w:val="00134B1A"/>
    <w:rsid w:val="00135586"/>
    <w:rsid w:val="00136035"/>
    <w:rsid w:val="0014457B"/>
    <w:rsid w:val="00145E12"/>
    <w:rsid w:val="00150FC7"/>
    <w:rsid w:val="00152A0D"/>
    <w:rsid w:val="00153165"/>
    <w:rsid w:val="00153CAB"/>
    <w:rsid w:val="00153D6E"/>
    <w:rsid w:val="001556BB"/>
    <w:rsid w:val="0016032F"/>
    <w:rsid w:val="0016213A"/>
    <w:rsid w:val="00166030"/>
    <w:rsid w:val="001663F6"/>
    <w:rsid w:val="0016740B"/>
    <w:rsid w:val="00171348"/>
    <w:rsid w:val="00175339"/>
    <w:rsid w:val="00176826"/>
    <w:rsid w:val="001879F6"/>
    <w:rsid w:val="00190669"/>
    <w:rsid w:val="00194016"/>
    <w:rsid w:val="001A0D4E"/>
    <w:rsid w:val="001A388C"/>
    <w:rsid w:val="001A49A0"/>
    <w:rsid w:val="001A4D3F"/>
    <w:rsid w:val="001A5E24"/>
    <w:rsid w:val="001A605C"/>
    <w:rsid w:val="001B113A"/>
    <w:rsid w:val="001B59EE"/>
    <w:rsid w:val="001C0148"/>
    <w:rsid w:val="001C7574"/>
    <w:rsid w:val="001C757E"/>
    <w:rsid w:val="001C7F2F"/>
    <w:rsid w:val="001D67A6"/>
    <w:rsid w:val="001D6B47"/>
    <w:rsid w:val="001D7B5E"/>
    <w:rsid w:val="001E0069"/>
    <w:rsid w:val="001E2E06"/>
    <w:rsid w:val="001E3C62"/>
    <w:rsid w:val="001E3F60"/>
    <w:rsid w:val="001E4197"/>
    <w:rsid w:val="001E487F"/>
    <w:rsid w:val="001E6046"/>
    <w:rsid w:val="001F12AF"/>
    <w:rsid w:val="001F60E9"/>
    <w:rsid w:val="001F630B"/>
    <w:rsid w:val="001F770E"/>
    <w:rsid w:val="00203804"/>
    <w:rsid w:val="0020390F"/>
    <w:rsid w:val="00203A1E"/>
    <w:rsid w:val="002043D0"/>
    <w:rsid w:val="00206B50"/>
    <w:rsid w:val="00223C9B"/>
    <w:rsid w:val="0022575B"/>
    <w:rsid w:val="00230468"/>
    <w:rsid w:val="00230DA3"/>
    <w:rsid w:val="002403DB"/>
    <w:rsid w:val="0024151E"/>
    <w:rsid w:val="00251F38"/>
    <w:rsid w:val="00252088"/>
    <w:rsid w:val="002528E0"/>
    <w:rsid w:val="00254337"/>
    <w:rsid w:val="00260167"/>
    <w:rsid w:val="00263189"/>
    <w:rsid w:val="00264926"/>
    <w:rsid w:val="00266661"/>
    <w:rsid w:val="00267C63"/>
    <w:rsid w:val="00271505"/>
    <w:rsid w:val="00271E3F"/>
    <w:rsid w:val="00281AA6"/>
    <w:rsid w:val="002827F4"/>
    <w:rsid w:val="00284C81"/>
    <w:rsid w:val="00287033"/>
    <w:rsid w:val="002A33BE"/>
    <w:rsid w:val="002A5CD4"/>
    <w:rsid w:val="002A6154"/>
    <w:rsid w:val="002B4266"/>
    <w:rsid w:val="002C592A"/>
    <w:rsid w:val="002D0548"/>
    <w:rsid w:val="002D7FA4"/>
    <w:rsid w:val="002E30D1"/>
    <w:rsid w:val="002E3FB1"/>
    <w:rsid w:val="002E55AC"/>
    <w:rsid w:val="00300569"/>
    <w:rsid w:val="003033FD"/>
    <w:rsid w:val="00303FAA"/>
    <w:rsid w:val="00307FDE"/>
    <w:rsid w:val="00311B1D"/>
    <w:rsid w:val="00315E9D"/>
    <w:rsid w:val="00316685"/>
    <w:rsid w:val="00321A0F"/>
    <w:rsid w:val="003258B9"/>
    <w:rsid w:val="0034068E"/>
    <w:rsid w:val="003451C7"/>
    <w:rsid w:val="003478E7"/>
    <w:rsid w:val="003479B3"/>
    <w:rsid w:val="00351051"/>
    <w:rsid w:val="00361945"/>
    <w:rsid w:val="0037231B"/>
    <w:rsid w:val="0038535F"/>
    <w:rsid w:val="00390EB8"/>
    <w:rsid w:val="00392697"/>
    <w:rsid w:val="00397BCB"/>
    <w:rsid w:val="003A6135"/>
    <w:rsid w:val="003A634E"/>
    <w:rsid w:val="003C35DF"/>
    <w:rsid w:val="003D09F6"/>
    <w:rsid w:val="003D1582"/>
    <w:rsid w:val="003D1630"/>
    <w:rsid w:val="003D355A"/>
    <w:rsid w:val="003D6EA0"/>
    <w:rsid w:val="003D7E4C"/>
    <w:rsid w:val="003E41C2"/>
    <w:rsid w:val="003F0B0D"/>
    <w:rsid w:val="003F2285"/>
    <w:rsid w:val="003F6903"/>
    <w:rsid w:val="00403A32"/>
    <w:rsid w:val="00403E96"/>
    <w:rsid w:val="00404D1A"/>
    <w:rsid w:val="00405DDA"/>
    <w:rsid w:val="00411589"/>
    <w:rsid w:val="0042363B"/>
    <w:rsid w:val="0042649F"/>
    <w:rsid w:val="004313BE"/>
    <w:rsid w:val="00441102"/>
    <w:rsid w:val="00442E87"/>
    <w:rsid w:val="00444813"/>
    <w:rsid w:val="00444C84"/>
    <w:rsid w:val="00445848"/>
    <w:rsid w:val="00447413"/>
    <w:rsid w:val="00460F80"/>
    <w:rsid w:val="00461910"/>
    <w:rsid w:val="004637B1"/>
    <w:rsid w:val="00467955"/>
    <w:rsid w:val="004756BE"/>
    <w:rsid w:val="00487D58"/>
    <w:rsid w:val="00492C45"/>
    <w:rsid w:val="00496124"/>
    <w:rsid w:val="0049628D"/>
    <w:rsid w:val="00496FA6"/>
    <w:rsid w:val="0049772C"/>
    <w:rsid w:val="004A1665"/>
    <w:rsid w:val="004A55FF"/>
    <w:rsid w:val="004A7443"/>
    <w:rsid w:val="004B3010"/>
    <w:rsid w:val="004C2780"/>
    <w:rsid w:val="004D5204"/>
    <w:rsid w:val="004D774F"/>
    <w:rsid w:val="004E2CBC"/>
    <w:rsid w:val="004E40C8"/>
    <w:rsid w:val="004E5750"/>
    <w:rsid w:val="00501B90"/>
    <w:rsid w:val="0051612A"/>
    <w:rsid w:val="00516659"/>
    <w:rsid w:val="0052008A"/>
    <w:rsid w:val="00523637"/>
    <w:rsid w:val="00532D9B"/>
    <w:rsid w:val="00533CDD"/>
    <w:rsid w:val="00534A53"/>
    <w:rsid w:val="005370A2"/>
    <w:rsid w:val="005409F9"/>
    <w:rsid w:val="00541B6A"/>
    <w:rsid w:val="005439A7"/>
    <w:rsid w:val="00552EEB"/>
    <w:rsid w:val="00554791"/>
    <w:rsid w:val="00557C1F"/>
    <w:rsid w:val="00560B61"/>
    <w:rsid w:val="005748D9"/>
    <w:rsid w:val="005772E9"/>
    <w:rsid w:val="005831FD"/>
    <w:rsid w:val="00584AAE"/>
    <w:rsid w:val="00584E14"/>
    <w:rsid w:val="0058721F"/>
    <w:rsid w:val="005948B5"/>
    <w:rsid w:val="005956D4"/>
    <w:rsid w:val="005962A1"/>
    <w:rsid w:val="005A77F1"/>
    <w:rsid w:val="005B2C76"/>
    <w:rsid w:val="005B306C"/>
    <w:rsid w:val="005B38C8"/>
    <w:rsid w:val="005C1552"/>
    <w:rsid w:val="005C7FE5"/>
    <w:rsid w:val="005D35AF"/>
    <w:rsid w:val="005E0230"/>
    <w:rsid w:val="005E0967"/>
    <w:rsid w:val="005E446B"/>
    <w:rsid w:val="005E60B8"/>
    <w:rsid w:val="005F4390"/>
    <w:rsid w:val="005F43AE"/>
    <w:rsid w:val="005F5738"/>
    <w:rsid w:val="005F6470"/>
    <w:rsid w:val="00600347"/>
    <w:rsid w:val="00601424"/>
    <w:rsid w:val="00603E5C"/>
    <w:rsid w:val="00607BBB"/>
    <w:rsid w:val="00637094"/>
    <w:rsid w:val="0064064D"/>
    <w:rsid w:val="00651B44"/>
    <w:rsid w:val="006551A2"/>
    <w:rsid w:val="00661029"/>
    <w:rsid w:val="00661537"/>
    <w:rsid w:val="00676E60"/>
    <w:rsid w:val="006778D9"/>
    <w:rsid w:val="00677EED"/>
    <w:rsid w:val="00681FC7"/>
    <w:rsid w:val="00692135"/>
    <w:rsid w:val="00692985"/>
    <w:rsid w:val="00694E9A"/>
    <w:rsid w:val="006A2331"/>
    <w:rsid w:val="006A238C"/>
    <w:rsid w:val="006A57B5"/>
    <w:rsid w:val="006A65E4"/>
    <w:rsid w:val="006A69BF"/>
    <w:rsid w:val="006A7191"/>
    <w:rsid w:val="006B131D"/>
    <w:rsid w:val="006B19B7"/>
    <w:rsid w:val="006D43AE"/>
    <w:rsid w:val="006D4D8C"/>
    <w:rsid w:val="006E1609"/>
    <w:rsid w:val="006E2A5C"/>
    <w:rsid w:val="006F2099"/>
    <w:rsid w:val="006F3E2B"/>
    <w:rsid w:val="006F614E"/>
    <w:rsid w:val="007041D4"/>
    <w:rsid w:val="00706235"/>
    <w:rsid w:val="00707FB1"/>
    <w:rsid w:val="0071001F"/>
    <w:rsid w:val="00711DF4"/>
    <w:rsid w:val="007138A4"/>
    <w:rsid w:val="007154DD"/>
    <w:rsid w:val="00720BB9"/>
    <w:rsid w:val="00724C33"/>
    <w:rsid w:val="00725806"/>
    <w:rsid w:val="00726443"/>
    <w:rsid w:val="007301D2"/>
    <w:rsid w:val="007314E4"/>
    <w:rsid w:val="00736D39"/>
    <w:rsid w:val="00751A98"/>
    <w:rsid w:val="00755A45"/>
    <w:rsid w:val="0076650B"/>
    <w:rsid w:val="0077091A"/>
    <w:rsid w:val="007709CC"/>
    <w:rsid w:val="0077308C"/>
    <w:rsid w:val="00785D1F"/>
    <w:rsid w:val="007867B9"/>
    <w:rsid w:val="007915D9"/>
    <w:rsid w:val="0079286D"/>
    <w:rsid w:val="00793C80"/>
    <w:rsid w:val="00797A97"/>
    <w:rsid w:val="007A19FF"/>
    <w:rsid w:val="007A6D4D"/>
    <w:rsid w:val="007A7BE6"/>
    <w:rsid w:val="007C2B7F"/>
    <w:rsid w:val="007C3BCD"/>
    <w:rsid w:val="007C3BF3"/>
    <w:rsid w:val="007C7442"/>
    <w:rsid w:val="007C7F1D"/>
    <w:rsid w:val="007D70A1"/>
    <w:rsid w:val="007E0428"/>
    <w:rsid w:val="007E0782"/>
    <w:rsid w:val="007E0D26"/>
    <w:rsid w:val="007E486F"/>
    <w:rsid w:val="007F2DC5"/>
    <w:rsid w:val="00807DCC"/>
    <w:rsid w:val="008132E8"/>
    <w:rsid w:val="00813FA7"/>
    <w:rsid w:val="00814124"/>
    <w:rsid w:val="00814BDC"/>
    <w:rsid w:val="00822738"/>
    <w:rsid w:val="00823407"/>
    <w:rsid w:val="00824CE6"/>
    <w:rsid w:val="0082646B"/>
    <w:rsid w:val="008271DB"/>
    <w:rsid w:val="00830459"/>
    <w:rsid w:val="00835266"/>
    <w:rsid w:val="00843CF5"/>
    <w:rsid w:val="00851D3B"/>
    <w:rsid w:val="008639EB"/>
    <w:rsid w:val="008845BE"/>
    <w:rsid w:val="00886470"/>
    <w:rsid w:val="00886B5A"/>
    <w:rsid w:val="00892942"/>
    <w:rsid w:val="00893E59"/>
    <w:rsid w:val="00894C1C"/>
    <w:rsid w:val="008A1290"/>
    <w:rsid w:val="008A5D89"/>
    <w:rsid w:val="008B0184"/>
    <w:rsid w:val="008B1C81"/>
    <w:rsid w:val="008B345C"/>
    <w:rsid w:val="008B3C66"/>
    <w:rsid w:val="008B6461"/>
    <w:rsid w:val="008C0A11"/>
    <w:rsid w:val="008C4B93"/>
    <w:rsid w:val="008C5D02"/>
    <w:rsid w:val="008C6F08"/>
    <w:rsid w:val="008C7457"/>
    <w:rsid w:val="008C797D"/>
    <w:rsid w:val="008C7ABD"/>
    <w:rsid w:val="008D2649"/>
    <w:rsid w:val="008E2E30"/>
    <w:rsid w:val="008E4FE6"/>
    <w:rsid w:val="008E54FC"/>
    <w:rsid w:val="008F605A"/>
    <w:rsid w:val="00903BDA"/>
    <w:rsid w:val="0090568D"/>
    <w:rsid w:val="00910FEC"/>
    <w:rsid w:val="00911782"/>
    <w:rsid w:val="009125C9"/>
    <w:rsid w:val="00913879"/>
    <w:rsid w:val="00915E7E"/>
    <w:rsid w:val="00917661"/>
    <w:rsid w:val="0096240D"/>
    <w:rsid w:val="00964996"/>
    <w:rsid w:val="00970E5D"/>
    <w:rsid w:val="00970FC4"/>
    <w:rsid w:val="009723CC"/>
    <w:rsid w:val="0097701C"/>
    <w:rsid w:val="00980A65"/>
    <w:rsid w:val="009835A2"/>
    <w:rsid w:val="00992A6D"/>
    <w:rsid w:val="009950B5"/>
    <w:rsid w:val="009A26E8"/>
    <w:rsid w:val="009A3577"/>
    <w:rsid w:val="009A3771"/>
    <w:rsid w:val="009A5D91"/>
    <w:rsid w:val="009B09BC"/>
    <w:rsid w:val="009B184A"/>
    <w:rsid w:val="009B38D0"/>
    <w:rsid w:val="009B63F0"/>
    <w:rsid w:val="009B66FB"/>
    <w:rsid w:val="009C0736"/>
    <w:rsid w:val="009C1DED"/>
    <w:rsid w:val="009D3B4A"/>
    <w:rsid w:val="009D40A5"/>
    <w:rsid w:val="009E0D0D"/>
    <w:rsid w:val="009E504E"/>
    <w:rsid w:val="009F1FE4"/>
    <w:rsid w:val="00A01A21"/>
    <w:rsid w:val="00A04127"/>
    <w:rsid w:val="00A245F0"/>
    <w:rsid w:val="00A25093"/>
    <w:rsid w:val="00A25C4A"/>
    <w:rsid w:val="00A25E70"/>
    <w:rsid w:val="00A266AF"/>
    <w:rsid w:val="00A30F31"/>
    <w:rsid w:val="00A31E66"/>
    <w:rsid w:val="00A33765"/>
    <w:rsid w:val="00A40488"/>
    <w:rsid w:val="00A43FB8"/>
    <w:rsid w:val="00A47C54"/>
    <w:rsid w:val="00A522B4"/>
    <w:rsid w:val="00A537E8"/>
    <w:rsid w:val="00A55EF4"/>
    <w:rsid w:val="00A56EAD"/>
    <w:rsid w:val="00A63269"/>
    <w:rsid w:val="00A64719"/>
    <w:rsid w:val="00A64A58"/>
    <w:rsid w:val="00A64BF0"/>
    <w:rsid w:val="00A75BC6"/>
    <w:rsid w:val="00A82CA0"/>
    <w:rsid w:val="00A86971"/>
    <w:rsid w:val="00A87D1F"/>
    <w:rsid w:val="00A92377"/>
    <w:rsid w:val="00A94960"/>
    <w:rsid w:val="00AA04FC"/>
    <w:rsid w:val="00AA127F"/>
    <w:rsid w:val="00AA32C8"/>
    <w:rsid w:val="00AB29ED"/>
    <w:rsid w:val="00AB4BD8"/>
    <w:rsid w:val="00AC1121"/>
    <w:rsid w:val="00AC1FB2"/>
    <w:rsid w:val="00AD3499"/>
    <w:rsid w:val="00AD6C5B"/>
    <w:rsid w:val="00AD7514"/>
    <w:rsid w:val="00AE3661"/>
    <w:rsid w:val="00AE4BD8"/>
    <w:rsid w:val="00AE6D1F"/>
    <w:rsid w:val="00B073B6"/>
    <w:rsid w:val="00B11645"/>
    <w:rsid w:val="00B14876"/>
    <w:rsid w:val="00B20A31"/>
    <w:rsid w:val="00B23734"/>
    <w:rsid w:val="00B35E98"/>
    <w:rsid w:val="00B377BD"/>
    <w:rsid w:val="00B40DA1"/>
    <w:rsid w:val="00B4388F"/>
    <w:rsid w:val="00B50373"/>
    <w:rsid w:val="00B549AF"/>
    <w:rsid w:val="00B55397"/>
    <w:rsid w:val="00B55DCC"/>
    <w:rsid w:val="00B5730D"/>
    <w:rsid w:val="00B62177"/>
    <w:rsid w:val="00B62760"/>
    <w:rsid w:val="00B63237"/>
    <w:rsid w:val="00B649FD"/>
    <w:rsid w:val="00B65F74"/>
    <w:rsid w:val="00B7059A"/>
    <w:rsid w:val="00B72C79"/>
    <w:rsid w:val="00B8269E"/>
    <w:rsid w:val="00B901C0"/>
    <w:rsid w:val="00B908B9"/>
    <w:rsid w:val="00B91326"/>
    <w:rsid w:val="00B93AF1"/>
    <w:rsid w:val="00B94BE6"/>
    <w:rsid w:val="00BA5FBC"/>
    <w:rsid w:val="00BA7049"/>
    <w:rsid w:val="00BB04EB"/>
    <w:rsid w:val="00BB2599"/>
    <w:rsid w:val="00BB4D72"/>
    <w:rsid w:val="00BB4E32"/>
    <w:rsid w:val="00BB7F44"/>
    <w:rsid w:val="00BD6858"/>
    <w:rsid w:val="00BD6DBC"/>
    <w:rsid w:val="00BE2DD8"/>
    <w:rsid w:val="00BE53BC"/>
    <w:rsid w:val="00BF330B"/>
    <w:rsid w:val="00BF3E9B"/>
    <w:rsid w:val="00BF566C"/>
    <w:rsid w:val="00C0535E"/>
    <w:rsid w:val="00C10500"/>
    <w:rsid w:val="00C12634"/>
    <w:rsid w:val="00C13B3B"/>
    <w:rsid w:val="00C4132B"/>
    <w:rsid w:val="00C43B62"/>
    <w:rsid w:val="00C44B1C"/>
    <w:rsid w:val="00C50AD1"/>
    <w:rsid w:val="00C52BA4"/>
    <w:rsid w:val="00C55269"/>
    <w:rsid w:val="00C600C2"/>
    <w:rsid w:val="00C60D58"/>
    <w:rsid w:val="00C61342"/>
    <w:rsid w:val="00C711B2"/>
    <w:rsid w:val="00C726FF"/>
    <w:rsid w:val="00C731BF"/>
    <w:rsid w:val="00C738A6"/>
    <w:rsid w:val="00C7452B"/>
    <w:rsid w:val="00C771AF"/>
    <w:rsid w:val="00C85A87"/>
    <w:rsid w:val="00C86CDF"/>
    <w:rsid w:val="00C902B6"/>
    <w:rsid w:val="00C902B7"/>
    <w:rsid w:val="00C90643"/>
    <w:rsid w:val="00C960DC"/>
    <w:rsid w:val="00CA027A"/>
    <w:rsid w:val="00CA35D1"/>
    <w:rsid w:val="00CA4F6A"/>
    <w:rsid w:val="00CA5221"/>
    <w:rsid w:val="00CA670B"/>
    <w:rsid w:val="00CA6A46"/>
    <w:rsid w:val="00CB2878"/>
    <w:rsid w:val="00CB4468"/>
    <w:rsid w:val="00CC06E9"/>
    <w:rsid w:val="00CC08FC"/>
    <w:rsid w:val="00CC2B4F"/>
    <w:rsid w:val="00CC47B5"/>
    <w:rsid w:val="00CC7983"/>
    <w:rsid w:val="00CE1479"/>
    <w:rsid w:val="00CE63D4"/>
    <w:rsid w:val="00CF083F"/>
    <w:rsid w:val="00CF4A67"/>
    <w:rsid w:val="00D00EFD"/>
    <w:rsid w:val="00D02B08"/>
    <w:rsid w:val="00D02C75"/>
    <w:rsid w:val="00D06BD7"/>
    <w:rsid w:val="00D10E22"/>
    <w:rsid w:val="00D13D2C"/>
    <w:rsid w:val="00D1576A"/>
    <w:rsid w:val="00D22658"/>
    <w:rsid w:val="00D22E2E"/>
    <w:rsid w:val="00D303FB"/>
    <w:rsid w:val="00D37CB3"/>
    <w:rsid w:val="00D40135"/>
    <w:rsid w:val="00D46FAA"/>
    <w:rsid w:val="00D50EC2"/>
    <w:rsid w:val="00D55B3F"/>
    <w:rsid w:val="00D57ACC"/>
    <w:rsid w:val="00D6276A"/>
    <w:rsid w:val="00D6478B"/>
    <w:rsid w:val="00D746E5"/>
    <w:rsid w:val="00D7645A"/>
    <w:rsid w:val="00D8201B"/>
    <w:rsid w:val="00D87718"/>
    <w:rsid w:val="00D904E2"/>
    <w:rsid w:val="00D91F82"/>
    <w:rsid w:val="00D92F9E"/>
    <w:rsid w:val="00D97188"/>
    <w:rsid w:val="00D9726E"/>
    <w:rsid w:val="00DA58A6"/>
    <w:rsid w:val="00DB1A11"/>
    <w:rsid w:val="00DC0FF6"/>
    <w:rsid w:val="00DC2F94"/>
    <w:rsid w:val="00DD0A2C"/>
    <w:rsid w:val="00DD1383"/>
    <w:rsid w:val="00DD3D9E"/>
    <w:rsid w:val="00DD7908"/>
    <w:rsid w:val="00DE2D07"/>
    <w:rsid w:val="00DE5F34"/>
    <w:rsid w:val="00DF67F5"/>
    <w:rsid w:val="00E02C03"/>
    <w:rsid w:val="00E05AAC"/>
    <w:rsid w:val="00E1127C"/>
    <w:rsid w:val="00E21D9B"/>
    <w:rsid w:val="00E223D4"/>
    <w:rsid w:val="00E256F1"/>
    <w:rsid w:val="00E329B2"/>
    <w:rsid w:val="00E333CE"/>
    <w:rsid w:val="00E34593"/>
    <w:rsid w:val="00E37491"/>
    <w:rsid w:val="00E4298A"/>
    <w:rsid w:val="00E5555A"/>
    <w:rsid w:val="00E62ADF"/>
    <w:rsid w:val="00E64FED"/>
    <w:rsid w:val="00E71488"/>
    <w:rsid w:val="00E717A8"/>
    <w:rsid w:val="00E723B9"/>
    <w:rsid w:val="00E72AC6"/>
    <w:rsid w:val="00E82297"/>
    <w:rsid w:val="00E82FD8"/>
    <w:rsid w:val="00E8325D"/>
    <w:rsid w:val="00E83928"/>
    <w:rsid w:val="00E85C0A"/>
    <w:rsid w:val="00E90F15"/>
    <w:rsid w:val="00E95A0C"/>
    <w:rsid w:val="00E975A7"/>
    <w:rsid w:val="00EA1427"/>
    <w:rsid w:val="00EA1B17"/>
    <w:rsid w:val="00EA1BD8"/>
    <w:rsid w:val="00EA24FD"/>
    <w:rsid w:val="00EB62AF"/>
    <w:rsid w:val="00EC6AA3"/>
    <w:rsid w:val="00EC710A"/>
    <w:rsid w:val="00ED1FC8"/>
    <w:rsid w:val="00ED25E8"/>
    <w:rsid w:val="00ED3494"/>
    <w:rsid w:val="00ED7E44"/>
    <w:rsid w:val="00EE1635"/>
    <w:rsid w:val="00EE4BBA"/>
    <w:rsid w:val="00EE679B"/>
    <w:rsid w:val="00EE717A"/>
    <w:rsid w:val="00EF39FD"/>
    <w:rsid w:val="00EF6A8E"/>
    <w:rsid w:val="00EF7EA5"/>
    <w:rsid w:val="00F06842"/>
    <w:rsid w:val="00F107FD"/>
    <w:rsid w:val="00F1389D"/>
    <w:rsid w:val="00F14481"/>
    <w:rsid w:val="00F224D2"/>
    <w:rsid w:val="00F25C23"/>
    <w:rsid w:val="00F32F1F"/>
    <w:rsid w:val="00F40018"/>
    <w:rsid w:val="00F41B93"/>
    <w:rsid w:val="00F42A14"/>
    <w:rsid w:val="00F45805"/>
    <w:rsid w:val="00F5020C"/>
    <w:rsid w:val="00F52DAE"/>
    <w:rsid w:val="00F676C6"/>
    <w:rsid w:val="00F71B1C"/>
    <w:rsid w:val="00F72A5B"/>
    <w:rsid w:val="00F73C5B"/>
    <w:rsid w:val="00F74609"/>
    <w:rsid w:val="00F77AE4"/>
    <w:rsid w:val="00F80B54"/>
    <w:rsid w:val="00F81FE4"/>
    <w:rsid w:val="00F9351A"/>
    <w:rsid w:val="00F97487"/>
    <w:rsid w:val="00FA2EB9"/>
    <w:rsid w:val="00FB64A8"/>
    <w:rsid w:val="00FC0DCC"/>
    <w:rsid w:val="00FC4587"/>
    <w:rsid w:val="00FC6629"/>
    <w:rsid w:val="00FD5221"/>
    <w:rsid w:val="00FE2A04"/>
    <w:rsid w:val="00FF22D0"/>
    <w:rsid w:val="00FF4411"/>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EndNoteBibliographyTitle">
    <w:name w:val="EndNote Bibliography Title"/>
    <w:basedOn w:val="Normal"/>
    <w:link w:val="EndNoteBibliographyTitleChar"/>
    <w:rsid w:val="00CC06E9"/>
    <w:pPr>
      <w:jc w:val="center"/>
    </w:pPr>
    <w:rPr>
      <w:noProof/>
      <w:sz w:val="18"/>
      <w:lang w:val="en-US"/>
    </w:rPr>
  </w:style>
  <w:style w:type="character" w:customStyle="1" w:styleId="Els-body-textChar">
    <w:name w:val="Els-body-text Char"/>
    <w:basedOn w:val="DefaultParagraphFont"/>
    <w:link w:val="Els-body-text"/>
    <w:rsid w:val="00CC06E9"/>
    <w:rPr>
      <w:lang w:val="en-US" w:eastAsia="en-US"/>
    </w:rPr>
  </w:style>
  <w:style w:type="character" w:customStyle="1" w:styleId="EndNoteBibliographyTitleChar">
    <w:name w:val="EndNote Bibliography Title Char"/>
    <w:basedOn w:val="Els-body-textChar"/>
    <w:link w:val="EndNoteBibliographyTitle"/>
    <w:rsid w:val="00CC06E9"/>
    <w:rPr>
      <w:noProof/>
      <w:sz w:val="18"/>
      <w:lang w:val="en-US" w:eastAsia="en-US"/>
    </w:rPr>
  </w:style>
  <w:style w:type="paragraph" w:customStyle="1" w:styleId="EndNoteBibliography">
    <w:name w:val="EndNote Bibliography"/>
    <w:basedOn w:val="Normal"/>
    <w:link w:val="EndNoteBibliographyChar"/>
    <w:rsid w:val="00CC06E9"/>
    <w:rPr>
      <w:noProof/>
      <w:sz w:val="18"/>
      <w:lang w:val="en-US"/>
    </w:rPr>
  </w:style>
  <w:style w:type="character" w:customStyle="1" w:styleId="EndNoteBibliographyChar">
    <w:name w:val="EndNote Bibliography Char"/>
    <w:basedOn w:val="Els-body-textChar"/>
    <w:link w:val="EndNoteBibliography"/>
    <w:rsid w:val="00CC06E9"/>
    <w:rPr>
      <w:noProof/>
      <w:sz w:val="18"/>
      <w:lang w:val="en-US" w:eastAsia="en-US"/>
    </w:rPr>
  </w:style>
  <w:style w:type="table" w:styleId="TableGrid">
    <w:name w:val="Table Grid"/>
    <w:basedOn w:val="TableNormal"/>
    <w:rsid w:val="0010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2A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2093</Words>
  <Characters>26216</Characters>
  <Application>Microsoft Office Word</Application>
  <DocSecurity>0</DocSecurity>
  <Lines>218</Lines>
  <Paragraphs>56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Fadilla Noor Rahma</cp:lastModifiedBy>
  <cp:revision>16</cp:revision>
  <cp:lastPrinted>2004-12-17T09:20:00Z</cp:lastPrinted>
  <dcterms:created xsi:type="dcterms:W3CDTF">2023-12-14T13:40:00Z</dcterms:created>
  <dcterms:modified xsi:type="dcterms:W3CDTF">2024-01-16T13:48:00Z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