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2B843" w14:textId="77777777" w:rsidR="001B1E74" w:rsidRPr="00385C9E" w:rsidRDefault="001B1E74" w:rsidP="001B1E74">
      <w:pPr>
        <w:pStyle w:val="Els-Title"/>
      </w:pPr>
      <w:bookmarkStart w:id="0" w:name="_Hlk152814076"/>
      <w:r w:rsidRPr="00385C9E">
        <w:t>Towards PEA Matching from Simulation as Part of a Digital Twin Concept for Scale-Up in Modular Plants</w:t>
      </w:r>
    </w:p>
    <w:bookmarkEnd w:id="0"/>
    <w:p w14:paraId="1A73D73B" w14:textId="0A68AE95" w:rsidR="001B1E74" w:rsidRPr="002A038A" w:rsidRDefault="001B1E74" w:rsidP="001B1E74">
      <w:pPr>
        <w:pStyle w:val="Els-Author"/>
        <w:rPr>
          <w:lang w:val="it-IT"/>
        </w:rPr>
      </w:pPr>
      <w:r w:rsidRPr="002A038A">
        <w:rPr>
          <w:rFonts w:cs="Arial"/>
          <w:lang w:val="it-IT"/>
        </w:rPr>
        <w:t>A</w:t>
      </w:r>
      <w:r w:rsidR="00865B5C">
        <w:rPr>
          <w:rFonts w:cs="Arial"/>
          <w:lang w:val="it-IT"/>
        </w:rPr>
        <w:t>my</w:t>
      </w:r>
      <w:r w:rsidRPr="002A038A">
        <w:rPr>
          <w:rFonts w:cs="Arial"/>
          <w:lang w:val="it-IT"/>
        </w:rPr>
        <w:t xml:space="preserve"> Koch</w:t>
      </w:r>
      <w:r w:rsidRPr="002A038A">
        <w:rPr>
          <w:rFonts w:cs="Arial"/>
          <w:vertAlign w:val="superscript"/>
          <w:lang w:val="it-IT"/>
        </w:rPr>
        <w:t>a*</w:t>
      </w:r>
      <w:r w:rsidRPr="002A038A">
        <w:rPr>
          <w:rFonts w:cs="Arial"/>
          <w:lang w:val="it-IT"/>
        </w:rPr>
        <w:t>, J</w:t>
      </w:r>
      <w:r w:rsidR="00865B5C">
        <w:rPr>
          <w:rFonts w:cs="Arial"/>
          <w:lang w:val="it-IT"/>
        </w:rPr>
        <w:t>onathan</w:t>
      </w:r>
      <w:r w:rsidRPr="002A038A">
        <w:rPr>
          <w:rFonts w:cs="Arial"/>
          <w:lang w:val="it-IT"/>
        </w:rPr>
        <w:t xml:space="preserve"> Mädler</w:t>
      </w:r>
      <w:r w:rsidRPr="002A038A">
        <w:rPr>
          <w:rFonts w:cs="Arial"/>
          <w:vertAlign w:val="superscript"/>
          <w:lang w:val="it-IT"/>
        </w:rPr>
        <w:t>a</w:t>
      </w:r>
      <w:r w:rsidRPr="002A038A">
        <w:rPr>
          <w:rFonts w:cs="Arial"/>
          <w:lang w:val="it-IT"/>
        </w:rPr>
        <w:t>, A</w:t>
      </w:r>
      <w:r w:rsidR="00865B5C">
        <w:rPr>
          <w:rFonts w:cs="Arial"/>
          <w:lang w:val="it-IT"/>
        </w:rPr>
        <w:t>ndreas</w:t>
      </w:r>
      <w:r w:rsidRPr="002A038A">
        <w:rPr>
          <w:rFonts w:cs="Arial"/>
          <w:lang w:val="it-IT"/>
        </w:rPr>
        <w:t xml:space="preserve"> Bamberg</w:t>
      </w:r>
      <w:r w:rsidRPr="002A038A">
        <w:rPr>
          <w:rFonts w:cs="Arial"/>
          <w:vertAlign w:val="superscript"/>
          <w:lang w:val="it-IT"/>
        </w:rPr>
        <w:t>b</w:t>
      </w:r>
      <w:r w:rsidRPr="002A038A">
        <w:rPr>
          <w:rFonts w:cs="Arial"/>
          <w:lang w:val="it-IT"/>
        </w:rPr>
        <w:t>, L</w:t>
      </w:r>
      <w:r w:rsidR="00865B5C">
        <w:rPr>
          <w:rFonts w:cs="Arial"/>
          <w:lang w:val="it-IT"/>
        </w:rPr>
        <w:t>eon</w:t>
      </w:r>
      <w:bookmarkStart w:id="1" w:name="_GoBack"/>
      <w:bookmarkEnd w:id="1"/>
      <w:r w:rsidRPr="002A038A">
        <w:rPr>
          <w:rFonts w:cs="Arial"/>
          <w:lang w:val="it-IT"/>
        </w:rPr>
        <w:t xml:space="preserve"> Urbas</w:t>
      </w:r>
      <w:r w:rsidRPr="002A038A">
        <w:rPr>
          <w:rFonts w:cs="Arial"/>
          <w:vertAlign w:val="superscript"/>
          <w:lang w:val="it-IT"/>
        </w:rPr>
        <w:t>a</w:t>
      </w:r>
    </w:p>
    <w:p w14:paraId="6914B3B2" w14:textId="77777777" w:rsidR="001B1E74" w:rsidRDefault="001B1E74" w:rsidP="001B1E74">
      <w:pPr>
        <w:pStyle w:val="Default"/>
        <w:rPr>
          <w:i/>
          <w:iCs/>
          <w:sz w:val="20"/>
          <w:szCs w:val="20"/>
        </w:rPr>
      </w:pPr>
      <w:proofErr w:type="spellStart"/>
      <w:r>
        <w:rPr>
          <w:rFonts w:cs="Arial"/>
          <w:vertAlign w:val="superscript"/>
        </w:rPr>
        <w:t>a</w:t>
      </w:r>
      <w:r>
        <w:rPr>
          <w:i/>
          <w:iCs/>
          <w:sz w:val="20"/>
          <w:szCs w:val="20"/>
        </w:rPr>
        <w:t>Chair</w:t>
      </w:r>
      <w:proofErr w:type="spellEnd"/>
      <w:r>
        <w:rPr>
          <w:i/>
          <w:iCs/>
          <w:sz w:val="20"/>
          <w:szCs w:val="20"/>
        </w:rPr>
        <w:t xml:space="preserve"> of Process Control Systems &amp; Process Systems Engineering Group, </w:t>
      </w:r>
    </w:p>
    <w:p w14:paraId="5A3E9585" w14:textId="77777777" w:rsidR="001B1E74" w:rsidRPr="00385C9E" w:rsidRDefault="001B1E74" w:rsidP="001B1E74">
      <w:pPr>
        <w:pStyle w:val="Default"/>
        <w:rPr>
          <w:rFonts w:cs="Arial"/>
          <w:lang w:val="en-US"/>
        </w:rPr>
      </w:pPr>
      <w:r w:rsidRPr="00385C9E">
        <w:rPr>
          <w:i/>
          <w:iCs/>
          <w:sz w:val="20"/>
          <w:szCs w:val="20"/>
          <w:lang w:val="en-US"/>
        </w:rPr>
        <w:t>TU Dresden, Dresden 01062, Germany</w:t>
      </w:r>
      <w:r w:rsidRPr="00385C9E">
        <w:rPr>
          <w:rFonts w:cs="Arial"/>
          <w:lang w:val="en-US"/>
        </w:rPr>
        <w:t xml:space="preserve">; </w:t>
      </w:r>
    </w:p>
    <w:p w14:paraId="2DFAF1B3" w14:textId="77777777" w:rsidR="001B1E74" w:rsidRPr="00385C9E" w:rsidRDefault="001B1E74" w:rsidP="001B1E74">
      <w:pPr>
        <w:pStyle w:val="Els-Affiliation"/>
        <w:rPr>
          <w:rFonts w:cs="Arial"/>
          <w:lang w:val="en-US"/>
        </w:rPr>
      </w:pPr>
      <w:r w:rsidRPr="00385C9E">
        <w:rPr>
          <w:rFonts w:cs="Arial"/>
          <w:vertAlign w:val="superscript"/>
          <w:lang w:val="en-US"/>
        </w:rPr>
        <w:t>b</w:t>
      </w:r>
      <w:r w:rsidRPr="00385C9E">
        <w:rPr>
          <w:rFonts w:cs="Arial"/>
          <w:lang w:val="en-US"/>
        </w:rPr>
        <w:t xml:space="preserve">Merck Electronics KGaA, Frankfurter Str. 250, Darmstadt 64293, Germany, </w:t>
      </w:r>
    </w:p>
    <w:p w14:paraId="0F172677" w14:textId="77777777" w:rsidR="001B1E74" w:rsidRPr="00385C9E" w:rsidRDefault="001B1E74" w:rsidP="001B1E74">
      <w:pPr>
        <w:pStyle w:val="Els-Affiliation"/>
        <w:rPr>
          <w:lang w:val="en-US"/>
        </w:rPr>
      </w:pPr>
      <w:r w:rsidRPr="00385C9E">
        <w:rPr>
          <w:lang w:val="en-US"/>
        </w:rPr>
        <w:t>amy.koch@tu-dresden.de</w:t>
      </w:r>
    </w:p>
    <w:p w14:paraId="72A043FE" w14:textId="77777777" w:rsidR="009F04D6" w:rsidRDefault="008D2649" w:rsidP="009F04D6">
      <w:pPr>
        <w:pStyle w:val="Els-Abstract"/>
      </w:pPr>
      <w:r>
        <w:t>Abstract</w:t>
      </w:r>
    </w:p>
    <w:p w14:paraId="3FFA468C" w14:textId="071D05FE" w:rsidR="001B1E74" w:rsidRPr="009F04D6" w:rsidRDefault="00D718C7" w:rsidP="00286E67">
      <w:pPr>
        <w:jc w:val="both"/>
        <w:rPr>
          <w:b/>
          <w:sz w:val="22"/>
        </w:rPr>
      </w:pPr>
      <w:r>
        <w:rPr>
          <w:lang w:eastAsia="en-GB"/>
        </w:rPr>
        <w:t>D</w:t>
      </w:r>
      <w:r w:rsidR="001B1E74" w:rsidRPr="001B1E74">
        <w:rPr>
          <w:lang w:eastAsia="en-GB"/>
        </w:rPr>
        <w:t xml:space="preserve">igital artefacts stored in different engineering tools </w:t>
      </w:r>
      <w:r>
        <w:rPr>
          <w:lang w:eastAsia="en-GB"/>
        </w:rPr>
        <w:t xml:space="preserve">must be semantically linked </w:t>
      </w:r>
      <w:r w:rsidR="00C861BE">
        <w:rPr>
          <w:lang w:eastAsia="en-GB"/>
        </w:rPr>
        <w:t>as part of</w:t>
      </w:r>
      <w:r>
        <w:rPr>
          <w:lang w:eastAsia="en-GB"/>
        </w:rPr>
        <w:t xml:space="preserve"> a</w:t>
      </w:r>
      <w:r w:rsidR="001B1E74" w:rsidRPr="001B1E74">
        <w:rPr>
          <w:lang w:eastAsia="en-GB"/>
        </w:rPr>
        <w:t xml:space="preserve"> Digital Twin (Rosen et al., 2019). However, in the case of Digital Twins for modular plants made up of process equipment assemblies (PEAs) according to VDI 2776</w:t>
      </w:r>
      <w:r w:rsidR="00AB43B3">
        <w:rPr>
          <w:lang w:eastAsia="en-GB"/>
        </w:rPr>
        <w:t>-1</w:t>
      </w:r>
      <w:r w:rsidR="001B1E74" w:rsidRPr="001B1E74">
        <w:rPr>
          <w:lang w:eastAsia="en-GB"/>
        </w:rPr>
        <w:t>, different domains interact with different phases across a PEA asset lifecycle and a modular plant lifecycle, challenging existing vendor independent standards for information models (Koch et al., 2023</w:t>
      </w:r>
      <w:r w:rsidR="000A4816">
        <w:rPr>
          <w:lang w:eastAsia="en-GB"/>
        </w:rPr>
        <w:t>b</w:t>
      </w:r>
      <w:r w:rsidR="001B1E74" w:rsidRPr="001B1E74">
        <w:rPr>
          <w:lang w:eastAsia="en-GB"/>
        </w:rPr>
        <w:t xml:space="preserve">). </w:t>
      </w:r>
      <w:r w:rsidR="00AB43B3">
        <w:rPr>
          <w:lang w:eastAsia="en-GB"/>
        </w:rPr>
        <w:t xml:space="preserve">To address this </w:t>
      </w:r>
      <w:r w:rsidR="00B65EC9">
        <w:rPr>
          <w:lang w:eastAsia="en-GB"/>
        </w:rPr>
        <w:t>challenge,</w:t>
      </w:r>
      <w:r w:rsidR="00AB43B3">
        <w:rPr>
          <w:lang w:eastAsia="en-GB"/>
        </w:rPr>
        <w:t xml:space="preserve"> </w:t>
      </w:r>
      <w:r w:rsidR="001B1E74" w:rsidRPr="001B1E74">
        <w:rPr>
          <w:lang w:eastAsia="en-GB"/>
        </w:rPr>
        <w:t xml:space="preserve">we present a new information model </w:t>
      </w:r>
      <w:r>
        <w:rPr>
          <w:lang w:eastAsia="en-GB"/>
        </w:rPr>
        <w:t>base</w:t>
      </w:r>
      <w:r w:rsidR="000F13C6">
        <w:rPr>
          <w:lang w:eastAsia="en-GB"/>
        </w:rPr>
        <w:t>d</w:t>
      </w:r>
      <w:r>
        <w:rPr>
          <w:lang w:eastAsia="en-GB"/>
        </w:rPr>
        <w:t xml:space="preserve"> on OntoCAPE and DEXPI</w:t>
      </w:r>
      <w:r w:rsidR="000F13C6">
        <w:rPr>
          <w:lang w:eastAsia="en-GB"/>
        </w:rPr>
        <w:t xml:space="preserve"> P&amp;ID</w:t>
      </w:r>
      <w:r>
        <w:rPr>
          <w:lang w:eastAsia="en-GB"/>
        </w:rPr>
        <w:t xml:space="preserve"> </w:t>
      </w:r>
      <w:r w:rsidR="001B1E74" w:rsidRPr="001B1E74">
        <w:rPr>
          <w:lang w:eastAsia="en-GB"/>
        </w:rPr>
        <w:t>to support selecting a PEA</w:t>
      </w:r>
      <w:r>
        <w:rPr>
          <w:lang w:eastAsia="en-GB"/>
        </w:rPr>
        <w:t>s</w:t>
      </w:r>
      <w:r w:rsidR="001B1E74" w:rsidRPr="001B1E74">
        <w:rPr>
          <w:lang w:eastAsia="en-GB"/>
        </w:rPr>
        <w:t xml:space="preserve"> from a PEA </w:t>
      </w:r>
      <w:r w:rsidR="00342DD6">
        <w:rPr>
          <w:lang w:eastAsia="en-GB"/>
        </w:rPr>
        <w:t>p</w:t>
      </w:r>
      <w:r w:rsidR="001B1E74" w:rsidRPr="001B1E74">
        <w:rPr>
          <w:lang w:eastAsia="en-GB"/>
        </w:rPr>
        <w:t>ool based on queries</w:t>
      </w:r>
      <w:r w:rsidR="00AB43B3">
        <w:rPr>
          <w:lang w:eastAsia="en-GB"/>
        </w:rPr>
        <w:t xml:space="preserve">. </w:t>
      </w:r>
      <w:r w:rsidR="001B1E74" w:rsidRPr="001B1E74">
        <w:rPr>
          <w:lang w:eastAsia="en-GB"/>
        </w:rPr>
        <w:t>To illustrate the functionality of the presented information model, a</w:t>
      </w:r>
      <w:r w:rsidR="008A4D6A">
        <w:rPr>
          <w:lang w:eastAsia="en-GB"/>
        </w:rPr>
        <w:t>n</w:t>
      </w:r>
      <w:r w:rsidR="001B1E74" w:rsidRPr="001B1E74">
        <w:rPr>
          <w:lang w:eastAsia="en-GB"/>
        </w:rPr>
        <w:t xml:space="preserve"> implementation is presented for</w:t>
      </w:r>
      <w:r w:rsidR="00AB43B3">
        <w:rPr>
          <w:lang w:eastAsia="en-GB"/>
        </w:rPr>
        <w:t xml:space="preserve"> matching </w:t>
      </w:r>
      <w:r w:rsidR="00342DD6">
        <w:rPr>
          <w:lang w:eastAsia="en-GB"/>
        </w:rPr>
        <w:t xml:space="preserve">a </w:t>
      </w:r>
      <w:r w:rsidR="00AB43B3">
        <w:rPr>
          <w:lang w:eastAsia="en-GB"/>
        </w:rPr>
        <w:t xml:space="preserve">Buchwald-Hartwig </w:t>
      </w:r>
      <w:r w:rsidR="00342DD6">
        <w:rPr>
          <w:lang w:eastAsia="en-GB"/>
        </w:rPr>
        <w:t>reaction</w:t>
      </w:r>
      <w:r w:rsidR="00AB43B3">
        <w:rPr>
          <w:lang w:eastAsia="en-GB"/>
        </w:rPr>
        <w:t xml:space="preserve"> to</w:t>
      </w:r>
      <w:r w:rsidR="001B1E74" w:rsidRPr="001B1E74">
        <w:rPr>
          <w:lang w:eastAsia="en-GB"/>
        </w:rPr>
        <w:t xml:space="preserve"> a stirred tank reactor PEA using the Siemens engineering toolchain of gPROMS and COMOS.</w:t>
      </w:r>
      <w:r w:rsidR="008A4D6A">
        <w:rPr>
          <w:lang w:eastAsia="en-GB"/>
        </w:rPr>
        <w:t xml:space="preserve"> An example query is also provided.</w:t>
      </w:r>
      <w:r w:rsidR="001B1E74" w:rsidRPr="001B1E74">
        <w:rPr>
          <w:lang w:eastAsia="en-GB"/>
        </w:rPr>
        <w:t xml:space="preserve"> </w:t>
      </w:r>
    </w:p>
    <w:p w14:paraId="504450A0" w14:textId="480AC2B6" w:rsidR="001B1E74" w:rsidRPr="001B1E74" w:rsidRDefault="001B1E74" w:rsidP="001B1E74">
      <w:pPr>
        <w:pStyle w:val="Els-1storder-head"/>
        <w:numPr>
          <w:ilvl w:val="0"/>
          <w:numId w:val="0"/>
        </w:numPr>
        <w:rPr>
          <w:b w:val="0"/>
          <w:sz w:val="20"/>
          <w:lang w:eastAsia="en-GB"/>
        </w:rPr>
      </w:pPr>
      <w:r w:rsidRPr="001B1E74">
        <w:rPr>
          <w:bCs/>
          <w:sz w:val="20"/>
          <w:lang w:eastAsia="en-GB"/>
        </w:rPr>
        <w:t>Keywords</w:t>
      </w:r>
      <w:r w:rsidRPr="001B1E74">
        <w:rPr>
          <w:b w:val="0"/>
          <w:sz w:val="20"/>
          <w:lang w:eastAsia="en-GB"/>
        </w:rPr>
        <w:t xml:space="preserve">: Digital Twin, modular plants, PEA </w:t>
      </w:r>
      <w:r w:rsidR="008A4D6A">
        <w:rPr>
          <w:b w:val="0"/>
          <w:sz w:val="20"/>
          <w:lang w:eastAsia="en-GB"/>
        </w:rPr>
        <w:t>p</w:t>
      </w:r>
      <w:r w:rsidRPr="001B1E74">
        <w:rPr>
          <w:b w:val="0"/>
          <w:sz w:val="20"/>
          <w:lang w:eastAsia="en-GB"/>
        </w:rPr>
        <w:t xml:space="preserve">ool, PEA </w:t>
      </w:r>
      <w:r w:rsidR="008A4D6A">
        <w:rPr>
          <w:b w:val="0"/>
          <w:sz w:val="20"/>
          <w:lang w:eastAsia="en-GB"/>
        </w:rPr>
        <w:t>m</w:t>
      </w:r>
      <w:r w:rsidRPr="001B1E74">
        <w:rPr>
          <w:b w:val="0"/>
          <w:sz w:val="20"/>
          <w:lang w:eastAsia="en-GB"/>
        </w:rPr>
        <w:t>atch, information model</w:t>
      </w:r>
    </w:p>
    <w:p w14:paraId="144DE689" w14:textId="6F05E58D" w:rsidR="008D2649" w:rsidRDefault="00C47826" w:rsidP="001B1E74">
      <w:pPr>
        <w:pStyle w:val="Els-1storder-head"/>
        <w:numPr>
          <w:ilvl w:val="1"/>
          <w:numId w:val="22"/>
        </w:numPr>
      </w:pPr>
      <w:r>
        <w:t>Motivation</w:t>
      </w:r>
    </w:p>
    <w:p w14:paraId="4F24D458" w14:textId="5A3F196A" w:rsidR="003503F2" w:rsidRPr="003503F2" w:rsidRDefault="00CF7787" w:rsidP="00286E67">
      <w:pPr>
        <w:jc w:val="both"/>
      </w:pPr>
      <w:r>
        <w:t>The utilization of Modular Plants is crucial to maintain a competitive edge in the dynamic chemical and pharmaceutical markets by reducing time-to-process. Further benefit can be leveraged by combination of a Digital Twin with predesigned Process Equipment Assemblies (PEA) according to VDI 2776</w:t>
      </w:r>
      <w:r w:rsidR="008A4D6A">
        <w:t>-</w:t>
      </w:r>
      <w:r w:rsidR="00111ABD">
        <w:t>1</w:t>
      </w:r>
      <w:r w:rsidR="00342DD6">
        <w:t>, a standard outlining modular plants</w:t>
      </w:r>
      <w:r w:rsidR="0081411D">
        <w:t>.</w:t>
      </w:r>
      <w:r>
        <w:t xml:space="preserve"> A Digital Twin is </w:t>
      </w:r>
      <w:r w:rsidRPr="00FA3513">
        <w:t xml:space="preserve">a </w:t>
      </w:r>
      <w:r>
        <w:t xml:space="preserve">semantically linked </w:t>
      </w:r>
      <w:r w:rsidRPr="00FA3513">
        <w:t>collection of all digital artefacts</w:t>
      </w:r>
      <w:r>
        <w:t>,</w:t>
      </w:r>
      <w:r w:rsidRPr="00FA3513">
        <w:t xml:space="preserve"> including design and engineering data as well as operational data and behavior descriptions</w:t>
      </w:r>
      <w:r>
        <w:t>. Here, th</w:t>
      </w:r>
      <w:r w:rsidR="001A53C0" w:rsidRPr="001A53C0">
        <w:t xml:space="preserve">is semantic linkage between digital artefacts stored in different engineering tools is an essential part of a Digital Twin (Rosen et al., 2019). </w:t>
      </w:r>
      <w:r>
        <w:t>This semantic linkage is support</w:t>
      </w:r>
      <w:r w:rsidR="00BC00F2">
        <w:t>ed</w:t>
      </w:r>
      <w:r>
        <w:t xml:space="preserve"> by descripti</w:t>
      </w:r>
      <w:r w:rsidR="00BC00F2">
        <w:t>ve</w:t>
      </w:r>
      <w:r>
        <w:t xml:space="preserve"> models. </w:t>
      </w:r>
      <w:r w:rsidR="001A53C0" w:rsidRPr="001A53C0">
        <w:t>However, in the case of Digital Twins for modular plants made up of process equipment assemblies (PEAs) according to VDI 2776</w:t>
      </w:r>
      <w:r w:rsidR="00BC00F2">
        <w:t>-1</w:t>
      </w:r>
      <w:r w:rsidR="001A53C0" w:rsidRPr="001A53C0">
        <w:t>, different domains interact with different phases across a PEA asset lifecycle and a modular plant lifecycle, challenging existing vendor independent standards for information models (Koch et al., 2023</w:t>
      </w:r>
      <w:r w:rsidR="000A4816">
        <w:t>b</w:t>
      </w:r>
      <w:r w:rsidR="001A53C0" w:rsidRPr="001A53C0">
        <w:t xml:space="preserve">). In this paper we present a new information model to support selecting a PEA from a PEA </w:t>
      </w:r>
      <w:r w:rsidR="00BC00F2">
        <w:t>p</w:t>
      </w:r>
      <w:r w:rsidR="001A53C0" w:rsidRPr="001A53C0">
        <w:t xml:space="preserve">ool based on </w:t>
      </w:r>
      <w:r w:rsidR="00943465">
        <w:t xml:space="preserve">querying </w:t>
      </w:r>
      <w:r w:rsidR="009A5ED8">
        <w:t>technical criteria (Schindel et al., 2021)</w:t>
      </w:r>
      <w:r w:rsidR="001A53C0" w:rsidRPr="001A53C0">
        <w:t>. The presented information model extends</w:t>
      </w:r>
      <w:r w:rsidR="0081411D">
        <w:t xml:space="preserve"> the</w:t>
      </w:r>
      <w:r w:rsidR="001A53C0" w:rsidRPr="001A53C0">
        <w:t xml:space="preserve"> OntoCAPE</w:t>
      </w:r>
      <w:r w:rsidR="00DF3849">
        <w:t xml:space="preserve"> with the DEXPI</w:t>
      </w:r>
      <w:r w:rsidR="00BC00F2">
        <w:t xml:space="preserve"> </w:t>
      </w:r>
      <w:r w:rsidR="00111ABD">
        <w:t>P&amp;ID</w:t>
      </w:r>
      <w:r w:rsidR="0081411D">
        <w:t xml:space="preserve"> standard </w:t>
      </w:r>
      <w:r w:rsidR="001A53C0" w:rsidRPr="001A53C0">
        <w:t>to support PEA matching as part of a Digital Twin concept for scale-up in modular plants.</w:t>
      </w:r>
      <w:r>
        <w:t xml:space="preserve"> This paper is structured as follows: </w:t>
      </w:r>
      <w:r w:rsidR="008D2716">
        <w:t>in section 2</w:t>
      </w:r>
      <w:r>
        <w:t xml:space="preserve">, relevant workflows and </w:t>
      </w:r>
      <w:r w:rsidR="008D2716">
        <w:t>lifecycles</w:t>
      </w:r>
      <w:r>
        <w:t xml:space="preserve"> for Digital Twin</w:t>
      </w:r>
      <w:r w:rsidR="007C5BBD">
        <w:t>s</w:t>
      </w:r>
      <w:r>
        <w:t xml:space="preserve"> are presented and aligned. </w:t>
      </w:r>
      <w:r w:rsidR="008D2716">
        <w:t>Additionally</w:t>
      </w:r>
      <w:r>
        <w:t>,</w:t>
      </w:r>
      <w:r w:rsidR="007C5BBD">
        <w:t xml:space="preserve"> relevant standard</w:t>
      </w:r>
      <w:r w:rsidR="00D0384F">
        <w:t>s</w:t>
      </w:r>
      <w:r w:rsidR="007C5BBD">
        <w:t xml:space="preserve"> for information models</w:t>
      </w:r>
      <w:r w:rsidR="00D0384F">
        <w:t xml:space="preserve"> are presented</w:t>
      </w:r>
      <w:r w:rsidR="007C5BBD">
        <w:t>,</w:t>
      </w:r>
      <w:r>
        <w:t xml:space="preserve"> </w:t>
      </w:r>
      <w:r w:rsidR="007C5BBD">
        <w:t xml:space="preserve">requirements for information exchanged during PEA matching is </w:t>
      </w:r>
      <w:r w:rsidR="007C5BBD">
        <w:lastRenderedPageBreak/>
        <w:t>outlined, and</w:t>
      </w:r>
      <w:r w:rsidR="008D2716">
        <w:t xml:space="preserve"> the distinction between PEA </w:t>
      </w:r>
      <w:r w:rsidR="00D718C7">
        <w:t>t</w:t>
      </w:r>
      <w:r w:rsidR="008D2716">
        <w:t xml:space="preserve">ypes and PEA </w:t>
      </w:r>
      <w:r w:rsidR="00D718C7">
        <w:t>i</w:t>
      </w:r>
      <w:r w:rsidR="008D2716">
        <w:t xml:space="preserve">nstances is discussed. Section 3 introduces the case study, information model architecture with the Siemens toolchain of gPROMS and COMOS is presented, and </w:t>
      </w:r>
      <w:r w:rsidR="00BC00F2">
        <w:t xml:space="preserve">an </w:t>
      </w:r>
      <w:r w:rsidR="007C5BBD">
        <w:t xml:space="preserve">example </w:t>
      </w:r>
      <w:r w:rsidR="008D2716">
        <w:t>quer</w:t>
      </w:r>
      <w:r w:rsidR="00BC00F2">
        <w:t>y</w:t>
      </w:r>
      <w:r w:rsidR="007C5BBD">
        <w:t xml:space="preserve"> is provided</w:t>
      </w:r>
      <w:r w:rsidR="008D2716">
        <w:t xml:space="preserve">. We conclude with a discussion of the results </w:t>
      </w:r>
      <w:r w:rsidR="007C5BBD">
        <w:t xml:space="preserve">and </w:t>
      </w:r>
      <w:r w:rsidR="00D0384F">
        <w:t xml:space="preserve">an </w:t>
      </w:r>
      <w:r w:rsidR="008D2716">
        <w:t>outlook</w:t>
      </w:r>
      <w:r w:rsidR="00D0384F">
        <w:t xml:space="preserve"> toward future work.</w:t>
      </w:r>
      <w:r w:rsidR="008D2716">
        <w:t xml:space="preserve"> </w:t>
      </w:r>
    </w:p>
    <w:p w14:paraId="3B73621A" w14:textId="3F4BC7BB" w:rsidR="003503F2" w:rsidRDefault="003503F2" w:rsidP="003503F2">
      <w:pPr>
        <w:pStyle w:val="Els-1storder-head"/>
      </w:pPr>
      <w:r>
        <w:t>Methodology</w:t>
      </w:r>
    </w:p>
    <w:p w14:paraId="103F351F" w14:textId="26AF17C8" w:rsidR="00433123" w:rsidRPr="00433123" w:rsidRDefault="00433123" w:rsidP="00A71513">
      <w:pPr>
        <w:pStyle w:val="Els-2ndorder-head"/>
        <w:rPr>
          <w:b/>
          <w:bCs/>
        </w:rPr>
      </w:pPr>
      <w:r>
        <w:rPr>
          <w:lang w:eastAsia="en-GB"/>
        </w:rPr>
        <w:t>Digital Twin Workflows in COMOS and gPROMS</w:t>
      </w:r>
    </w:p>
    <w:p w14:paraId="66D79843" w14:textId="546EEE35" w:rsidR="00141EE0" w:rsidRDefault="006029D6" w:rsidP="000667D6">
      <w:pPr>
        <w:pStyle w:val="Els-body-text"/>
      </w:pPr>
      <w:r>
        <w:t>Engineering of modular plants requires adapted workflows</w:t>
      </w:r>
      <w:r w:rsidR="006243CB">
        <w:t xml:space="preserve"> </w:t>
      </w:r>
      <w:r>
        <w:t>compared to conventional plants. As indicated by the VDI 2776</w:t>
      </w:r>
      <w:r w:rsidR="00BC00F2">
        <w:t>-1</w:t>
      </w:r>
      <w:r>
        <w:t>, a significant portion of the design phase is dedicated to the matching of PEAs instead of the detailed engineering phase for conventional plants. Additional benefit can be taken from incorporating a Digital Twin combing structural, behavioral, and descriptive models. Koch et al. (2023</w:t>
      </w:r>
      <w:r w:rsidR="00CF5BE4">
        <w:t>a</w:t>
      </w:r>
      <w:r>
        <w:t>) has presented a Digital Twin workflow in COMOS and gPROMS based on stakeholder requiremen</w:t>
      </w:r>
      <w:r w:rsidR="00CF5BE4">
        <w:t>ts. To support this Digital Twin workflow, descriptive models based on vendor-independent standards for information models are required. F</w:t>
      </w:r>
      <w:r w:rsidR="000667D6">
        <w:t xml:space="preserve">or this purpose, the Digital Twin </w:t>
      </w:r>
      <w:r w:rsidR="004B0394">
        <w:t>w</w:t>
      </w:r>
      <w:r w:rsidR="000667D6">
        <w:t>orkflows from Koch et al. (2023</w:t>
      </w:r>
      <w:r w:rsidR="00CF5BE4">
        <w:t>a</w:t>
      </w:r>
      <w:r w:rsidR="000667D6">
        <w:t xml:space="preserve">) refined with the procedure model for process validation in modular plants from Mädler </w:t>
      </w:r>
      <w:r w:rsidR="009C7F7D">
        <w:t>(</w:t>
      </w:r>
      <w:r w:rsidR="000667D6">
        <w:t>2023</w:t>
      </w:r>
      <w:r w:rsidR="009C7F7D">
        <w:t>)</w:t>
      </w:r>
      <w:r w:rsidR="000667D6">
        <w:t xml:space="preserve"> (</w:t>
      </w:r>
      <w:r w:rsidR="00B3037E">
        <w:t xml:space="preserve">see </w:t>
      </w:r>
      <w:r w:rsidR="000667D6">
        <w:t>Figure 1</w:t>
      </w:r>
      <w:r w:rsidR="00C74419">
        <w:t>)</w:t>
      </w:r>
      <w:r w:rsidR="00B3037E">
        <w:t>.</w:t>
      </w:r>
      <w:r w:rsidR="00C74419">
        <w:t xml:space="preserve"> </w:t>
      </w:r>
      <w:r w:rsidR="00CF5BE4">
        <w:t>Additionally, this workflow is aligned to the Modular Plant Lifecycle (Mädler et al.</w:t>
      </w:r>
      <w:r w:rsidR="00EC0B41">
        <w:t>,</w:t>
      </w:r>
      <w:r w:rsidR="00CF5BE4">
        <w:t xml:space="preserve"> 2022a) and the PEA Lifecycle (</w:t>
      </w:r>
      <w:proofErr w:type="spellStart"/>
      <w:r w:rsidR="00CF5BE4">
        <w:t>Menschner</w:t>
      </w:r>
      <w:proofErr w:type="spellEnd"/>
      <w:r w:rsidR="00CF5BE4">
        <w:t xml:space="preserve"> et al.</w:t>
      </w:r>
      <w:r w:rsidR="00EC0B41">
        <w:t>,</w:t>
      </w:r>
      <w:r w:rsidR="00CF5BE4">
        <w:t xml:space="preserve"> 2018; Wiedau et al.</w:t>
      </w:r>
      <w:r w:rsidR="00EC0B41">
        <w:t>,</w:t>
      </w:r>
      <w:r w:rsidR="00CF5BE4">
        <w:t xml:space="preserve"> 2019) presented in Koch et al. (2023b) to evaluate </w:t>
      </w:r>
      <w:r w:rsidR="00B3037E">
        <w:t xml:space="preserve">the suitability of </w:t>
      </w:r>
      <w:r w:rsidR="00CF5BE4">
        <w:t xml:space="preserve">existing vendor independent </w:t>
      </w:r>
      <w:r w:rsidR="00D0384F">
        <w:t xml:space="preserve">standards </w:t>
      </w:r>
      <w:r w:rsidR="00B3037E">
        <w:t>to describe the required information in each lifecycle phase</w:t>
      </w:r>
      <w:r w:rsidR="00AD5732">
        <w:t>. The workflow is described as follo</w:t>
      </w:r>
      <w:r w:rsidR="00D0384F">
        <w:t>ws</w:t>
      </w:r>
      <w:r w:rsidR="00AD5732">
        <w:t xml:space="preserve">: (1) product specification is provided from product development, (2) development of process steps in gPROMS, (3) block flow diagram (BFD) with technical criteria in COMOS, (4) query of PEA </w:t>
      </w:r>
      <w:r w:rsidR="00D718C7">
        <w:t>t</w:t>
      </w:r>
      <w:r w:rsidR="00AD5732">
        <w:t xml:space="preserve">ypes in COMOS, (5) </w:t>
      </w:r>
      <w:r w:rsidR="009C7F7D">
        <w:t>q</w:t>
      </w:r>
      <w:r w:rsidR="00AD5732">
        <w:t xml:space="preserve">uery of PEA </w:t>
      </w:r>
      <w:r w:rsidR="004B0394">
        <w:t>i</w:t>
      </w:r>
      <w:r w:rsidR="00AD5732">
        <w:t>nstances in COMOS, followed by</w:t>
      </w:r>
      <w:r w:rsidR="00C74419">
        <w:t xml:space="preserve"> (6)</w:t>
      </w:r>
      <w:r w:rsidR="00AD5732">
        <w:t xml:space="preserve"> addition</w:t>
      </w:r>
      <w:r w:rsidR="00D0384F">
        <w:t>al</w:t>
      </w:r>
      <w:r w:rsidR="00AD5732">
        <w:t xml:space="preserve"> steps in gPROMS. </w:t>
      </w:r>
      <w:r w:rsidR="00C74419">
        <w:t>For the focus on this paper, emphasis is place</w:t>
      </w:r>
      <w:r w:rsidR="004B0394">
        <w:t>d</w:t>
      </w:r>
      <w:r w:rsidR="00C74419">
        <w:t xml:space="preserve"> on the information </w:t>
      </w:r>
      <w:r w:rsidR="00F84852">
        <w:t>used in</w:t>
      </w:r>
      <w:r w:rsidR="00C74419">
        <w:t xml:space="preserve"> steps 4 and 5 </w:t>
      </w:r>
      <w:r w:rsidR="00F84852">
        <w:t xml:space="preserve">to describe PEAs </w:t>
      </w:r>
      <w:r w:rsidR="00C74419">
        <w:t xml:space="preserve">for the PEA matching process. </w:t>
      </w:r>
    </w:p>
    <w:p w14:paraId="36DFECF3" w14:textId="3D4C67FA" w:rsidR="000667D6" w:rsidRDefault="000C2AC6" w:rsidP="007761F0">
      <w:pPr>
        <w:pStyle w:val="Didascalia"/>
      </w:pPr>
      <w:r>
        <w:rPr>
          <w:noProof/>
        </w:rPr>
        <w:drawing>
          <wp:inline distT="0" distB="0" distL="0" distR="0" wp14:anchorId="5FFEF217" wp14:editId="12433FE3">
            <wp:extent cx="4419600" cy="2171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23298" cy="2173779"/>
                    </a:xfrm>
                    <a:prstGeom prst="rect">
                      <a:avLst/>
                    </a:prstGeom>
                    <a:noFill/>
                  </pic:spPr>
                </pic:pic>
              </a:graphicData>
            </a:graphic>
          </wp:inline>
        </w:drawing>
      </w:r>
      <w:r w:rsidR="00F947E9">
        <w:t xml:space="preserve">Figure </w:t>
      </w:r>
      <w:r w:rsidR="00F947E9">
        <w:fldChar w:fldCharType="begin"/>
      </w:r>
      <w:r w:rsidR="00F947E9">
        <w:instrText xml:space="preserve"> SEQ Figure \* ARABIC </w:instrText>
      </w:r>
      <w:r w:rsidR="00F947E9">
        <w:fldChar w:fldCharType="separate"/>
      </w:r>
      <w:r w:rsidR="00160448">
        <w:rPr>
          <w:noProof/>
        </w:rPr>
        <w:t>1</w:t>
      </w:r>
      <w:r w:rsidR="00F947E9">
        <w:fldChar w:fldCharType="end"/>
      </w:r>
      <w:r w:rsidR="00F947E9">
        <w:t xml:space="preserve">: </w:t>
      </w:r>
      <w:r w:rsidR="000667D6">
        <w:t xml:space="preserve">Digital Twin workflow from Koch et al. (2023a) </w:t>
      </w:r>
      <w:r w:rsidR="00A62C97">
        <w:t>derived from</w:t>
      </w:r>
      <w:r w:rsidR="000667D6">
        <w:t xml:space="preserve"> Mädler (2023) aligned to the PEA Lifecycle and Modular Plant</w:t>
      </w:r>
      <w:r w:rsidR="000A4816">
        <w:t xml:space="preserve"> Lifecycles illustrated in </w:t>
      </w:r>
      <w:r w:rsidR="000667D6">
        <w:t>Koch et al. (2023b)</w:t>
      </w:r>
      <w:r w:rsidR="000A4816">
        <w:t>.</w:t>
      </w:r>
    </w:p>
    <w:p w14:paraId="58CC59B9" w14:textId="2870DD7E" w:rsidR="00D04036" w:rsidRPr="00821CEF" w:rsidRDefault="00FD2F56" w:rsidP="00D04036">
      <w:pPr>
        <w:pStyle w:val="Els-2ndorder-head"/>
        <w:rPr>
          <w:lang w:eastAsia="en-GB"/>
        </w:rPr>
      </w:pPr>
      <w:r>
        <w:rPr>
          <w:lang w:eastAsia="en-GB"/>
        </w:rPr>
        <w:t>M</w:t>
      </w:r>
      <w:r w:rsidR="00D04036">
        <w:rPr>
          <w:lang w:eastAsia="en-GB"/>
        </w:rPr>
        <w:t>ethodology for PEA Matching</w:t>
      </w:r>
    </w:p>
    <w:p w14:paraId="21CF1B64" w14:textId="101BB97F" w:rsidR="00B65EC9" w:rsidRDefault="00D04036" w:rsidP="00B65EC9">
      <w:pPr>
        <w:pStyle w:val="Els-body-text"/>
      </w:pPr>
      <w:r>
        <w:t xml:space="preserve">The selection of PEAs is well described in literature. The VDI 2776-1 outlines the PEA selection process generally, describing a database with modular planning documentation to compare process requirements and PEA characteristics. In literature, </w:t>
      </w:r>
      <w:r w:rsidR="00402A19">
        <w:t>Harding et al.</w:t>
      </w:r>
      <w:r w:rsidR="009C7F7D">
        <w:t> </w:t>
      </w:r>
      <w:r w:rsidR="00402A19">
        <w:t xml:space="preserve">(2021) have also proposed using technical criteria along with a Master Block Flowchart </w:t>
      </w:r>
      <w:r w:rsidR="00B3037E">
        <w:t>describing required process functions to</w:t>
      </w:r>
      <w:r w:rsidR="00402A19">
        <w:t xml:space="preserve"> evaluate different</w:t>
      </w:r>
      <w:r w:rsidR="00B3037E">
        <w:t xml:space="preserve"> potential</w:t>
      </w:r>
      <w:r w:rsidR="00402A19">
        <w:t xml:space="preserve"> </w:t>
      </w:r>
      <w:r w:rsidR="00402A19">
        <w:lastRenderedPageBreak/>
        <w:t>technologies</w:t>
      </w:r>
      <w:r w:rsidR="00D718C7">
        <w:t xml:space="preserve"> while</w:t>
      </w:r>
      <w:r w:rsidR="00402A19">
        <w:t xml:space="preserve"> </w:t>
      </w:r>
      <w:r>
        <w:t>Schindel et al. (2021) suggest matching PEAs based on technical and evaluate criteria</w:t>
      </w:r>
      <w:r w:rsidR="00D718C7">
        <w:t xml:space="preserve"> using matching matrices</w:t>
      </w:r>
      <w:r w:rsidR="00B65EC9">
        <w:t xml:space="preserve">. </w:t>
      </w:r>
      <w:r w:rsidR="00D718C7">
        <w:t xml:space="preserve">First, technical </w:t>
      </w:r>
      <w:r>
        <w:t>criteria are used to knock out unsuitable technolog</w:t>
      </w:r>
      <w:r w:rsidR="00B3037E">
        <w:t>ies</w:t>
      </w:r>
      <w:r w:rsidR="000F13C6">
        <w:t>. T</w:t>
      </w:r>
      <w:r w:rsidR="00D718C7">
        <w:t>he s</w:t>
      </w:r>
      <w:r w:rsidR="006243CB">
        <w:t>uitable technologies are ranked based on evaluative criteria.</w:t>
      </w:r>
    </w:p>
    <w:p w14:paraId="300840EC" w14:textId="77777777" w:rsidR="001A53C0" w:rsidRDefault="001A53C0" w:rsidP="001A53C0">
      <w:pPr>
        <w:pStyle w:val="Els-2ndorder-head"/>
        <w:rPr>
          <w:lang w:eastAsia="en-GB"/>
        </w:rPr>
      </w:pPr>
      <w:r>
        <w:rPr>
          <w:lang w:eastAsia="en-GB"/>
        </w:rPr>
        <w:t>Selection of PEA Types and Instances</w:t>
      </w:r>
    </w:p>
    <w:p w14:paraId="0C951E37" w14:textId="776670C3" w:rsidR="009249D3" w:rsidRDefault="001A53C0" w:rsidP="00286E67">
      <w:pPr>
        <w:jc w:val="both"/>
      </w:pPr>
      <w:r>
        <w:rPr>
          <w:lang w:eastAsia="en-GB"/>
        </w:rPr>
        <w:t xml:space="preserve">In the procedure </w:t>
      </w:r>
      <w:r w:rsidR="00DA25AE">
        <w:rPr>
          <w:lang w:eastAsia="en-GB"/>
        </w:rPr>
        <w:t>workflow</w:t>
      </w:r>
      <w:r>
        <w:rPr>
          <w:lang w:eastAsia="en-GB"/>
        </w:rPr>
        <w:t xml:space="preserve"> of Mädler (2023), the </w:t>
      </w:r>
      <w:r w:rsidR="00455EF2">
        <w:rPr>
          <w:lang w:eastAsia="en-GB"/>
        </w:rPr>
        <w:t>q</w:t>
      </w:r>
      <w:r>
        <w:rPr>
          <w:lang w:eastAsia="en-GB"/>
        </w:rPr>
        <w:t>uer</w:t>
      </w:r>
      <w:r w:rsidR="00455EF2">
        <w:rPr>
          <w:lang w:eastAsia="en-GB"/>
        </w:rPr>
        <w:t>ying of</w:t>
      </w:r>
      <w:r>
        <w:rPr>
          <w:lang w:eastAsia="en-GB"/>
        </w:rPr>
        <w:t xml:space="preserve"> PEA </w:t>
      </w:r>
      <w:r w:rsidR="00827A0F">
        <w:rPr>
          <w:lang w:eastAsia="en-GB"/>
        </w:rPr>
        <w:t>t</w:t>
      </w:r>
      <w:r>
        <w:rPr>
          <w:lang w:eastAsia="en-GB"/>
        </w:rPr>
        <w:t>ypes serves to match the capability requirements with the capabilities of the PEA using technical and evaluative criteria of Schindel at al. (2021), process function</w:t>
      </w:r>
      <w:r w:rsidR="002B1D59">
        <w:rPr>
          <w:lang w:eastAsia="en-GB"/>
        </w:rPr>
        <w:t>s</w:t>
      </w:r>
      <w:r>
        <w:rPr>
          <w:lang w:eastAsia="en-GB"/>
        </w:rPr>
        <w:t xml:space="preserve"> from H</w:t>
      </w:r>
      <w:r w:rsidR="002B1D59">
        <w:rPr>
          <w:lang w:eastAsia="en-GB"/>
        </w:rPr>
        <w:t>a</w:t>
      </w:r>
      <w:r>
        <w:rPr>
          <w:lang w:eastAsia="en-GB"/>
        </w:rPr>
        <w:t xml:space="preserve">rding et al. (2021), and the </w:t>
      </w:r>
      <w:r w:rsidR="00DA25AE">
        <w:rPr>
          <w:lang w:eastAsia="en-GB"/>
        </w:rPr>
        <w:t>Module Type Package (</w:t>
      </w:r>
      <w:r>
        <w:rPr>
          <w:lang w:eastAsia="en-GB"/>
        </w:rPr>
        <w:t>MTP</w:t>
      </w:r>
      <w:r w:rsidR="00DA25AE">
        <w:rPr>
          <w:lang w:eastAsia="en-GB"/>
        </w:rPr>
        <w:t>)</w:t>
      </w:r>
      <w:r>
        <w:rPr>
          <w:lang w:eastAsia="en-GB"/>
        </w:rPr>
        <w:t xml:space="preserve"> </w:t>
      </w:r>
      <w:r w:rsidR="004B0394">
        <w:rPr>
          <w:lang w:eastAsia="en-GB"/>
        </w:rPr>
        <w:t>(VDI/VDE/NAMUR 2658)</w:t>
      </w:r>
      <w:r>
        <w:rPr>
          <w:lang w:eastAsia="en-GB"/>
        </w:rPr>
        <w:t xml:space="preserve">. Once non-suitable technologies are </w:t>
      </w:r>
      <w:r w:rsidR="002B1D59">
        <w:rPr>
          <w:lang w:eastAsia="en-GB"/>
        </w:rPr>
        <w:t xml:space="preserve">knocked </w:t>
      </w:r>
      <w:r>
        <w:rPr>
          <w:lang w:eastAsia="en-GB"/>
        </w:rPr>
        <w:t xml:space="preserve">out, a list of potential PEA </w:t>
      </w:r>
      <w:r w:rsidR="00D718C7">
        <w:rPr>
          <w:lang w:eastAsia="en-GB"/>
        </w:rPr>
        <w:t>t</w:t>
      </w:r>
      <w:r>
        <w:rPr>
          <w:lang w:eastAsia="en-GB"/>
        </w:rPr>
        <w:t xml:space="preserve">ypes is generated. </w:t>
      </w:r>
      <w:r w:rsidR="00EA4517">
        <w:rPr>
          <w:lang w:eastAsia="en-GB"/>
        </w:rPr>
        <w:t xml:space="preserve">In the subsequent step, PEA </w:t>
      </w:r>
      <w:r w:rsidR="00D718C7">
        <w:rPr>
          <w:lang w:eastAsia="en-GB"/>
        </w:rPr>
        <w:t>i</w:t>
      </w:r>
      <w:r w:rsidR="00EA4517">
        <w:rPr>
          <w:lang w:eastAsia="en-GB"/>
        </w:rPr>
        <w:t xml:space="preserve">nstances are queried and again a list of potential PEA </w:t>
      </w:r>
      <w:r w:rsidR="00D718C7">
        <w:rPr>
          <w:lang w:eastAsia="en-GB"/>
        </w:rPr>
        <w:t>i</w:t>
      </w:r>
      <w:r w:rsidR="00EA4517">
        <w:rPr>
          <w:lang w:eastAsia="en-GB"/>
        </w:rPr>
        <w:t xml:space="preserve">nstances is propagated and ranked based on the relevant technical and evaluative criteria (Mädler, 2023). </w:t>
      </w:r>
      <w:r>
        <w:t xml:space="preserve">Klose et al. (2022) </w:t>
      </w:r>
      <w:r w:rsidR="00EA4517">
        <w:t xml:space="preserve">also </w:t>
      </w:r>
      <w:r>
        <w:t xml:space="preserve">distinguish between </w:t>
      </w:r>
      <w:r w:rsidR="00827A0F">
        <w:t>t</w:t>
      </w:r>
      <w:r>
        <w:t xml:space="preserve">ype-based </w:t>
      </w:r>
      <w:r w:rsidR="00EA4517">
        <w:t>and</w:t>
      </w:r>
      <w:r>
        <w:t xml:space="preserve"> </w:t>
      </w:r>
      <w:r w:rsidR="00827A0F">
        <w:t>i</w:t>
      </w:r>
      <w:r>
        <w:t>nstance-based engineering workflow</w:t>
      </w:r>
      <w:r w:rsidR="00EA4517">
        <w:t>s</w:t>
      </w:r>
      <w:r>
        <w:t xml:space="preserve">. Here, </w:t>
      </w:r>
      <w:r w:rsidR="00827A0F">
        <w:t>t</w:t>
      </w:r>
      <w:r>
        <w:t>ype-based engineering is part of the functional design phase whi</w:t>
      </w:r>
      <w:r w:rsidR="00D0384F">
        <w:t>le</w:t>
      </w:r>
      <w:r>
        <w:t xml:space="preserve"> instance-based engineering is part of the asset specification phase. Analogue to the DT </w:t>
      </w:r>
      <w:r w:rsidR="004B0394">
        <w:t>w</w:t>
      </w:r>
      <w:r>
        <w:t>orkflow in Figure 1, the process begins with a general recipe (</w:t>
      </w:r>
      <w:r w:rsidR="000A4816">
        <w:t xml:space="preserve">IEC </w:t>
      </w:r>
      <w:r>
        <w:t>61512</w:t>
      </w:r>
      <w:r w:rsidR="000A4816">
        <w:t>-1</w:t>
      </w:r>
      <w:r>
        <w:t>), from which a block flow diagram (ISO</w:t>
      </w:r>
      <w:r w:rsidR="00DA25AE">
        <w:t> </w:t>
      </w:r>
      <w:r>
        <w:t xml:space="preserve">10628), functional plant topology, process-based safety requirements, and process-based service requirements are derived. </w:t>
      </w:r>
      <w:r w:rsidR="009249D3">
        <w:t xml:space="preserve">For </w:t>
      </w:r>
      <w:r w:rsidR="000A4816">
        <w:t>i</w:t>
      </w:r>
      <w:r w:rsidR="009249D3">
        <w:t>nstance-based engineering, the MTP (VDI/VDE/NAMUR</w:t>
      </w:r>
      <w:r w:rsidR="00DA25AE">
        <w:t> </w:t>
      </w:r>
      <w:r w:rsidR="009249D3">
        <w:t>2658) is used to define the software instances, from which the plant topology is derived and used for recipe design, design of control and interlocks, as well as safety aspects such as HAZOP.</w:t>
      </w:r>
    </w:p>
    <w:p w14:paraId="5E05EA4B" w14:textId="4CAC1EB2" w:rsidR="00141EE0" w:rsidRPr="00821CEF" w:rsidRDefault="001A53C0" w:rsidP="00141EE0">
      <w:pPr>
        <w:pStyle w:val="Els-2ndorder-head"/>
        <w:rPr>
          <w:lang w:eastAsia="en-GB"/>
        </w:rPr>
      </w:pPr>
      <w:r>
        <w:rPr>
          <w:lang w:eastAsia="en-GB"/>
        </w:rPr>
        <w:t>Vendor-Independent Standards</w:t>
      </w:r>
    </w:p>
    <w:p w14:paraId="07F67E28" w14:textId="7DC334B4" w:rsidR="00AD5732" w:rsidRPr="00AD5732" w:rsidRDefault="00AD5732" w:rsidP="000A4816">
      <w:pPr>
        <w:jc w:val="both"/>
        <w:rPr>
          <w:lang w:eastAsia="en-GB"/>
        </w:rPr>
      </w:pPr>
      <w:r w:rsidRPr="00EA4517">
        <w:rPr>
          <w:lang w:eastAsia="en-GB"/>
        </w:rPr>
        <w:t xml:space="preserve">Koch et al. </w:t>
      </w:r>
      <w:r w:rsidRPr="00AD5732">
        <w:rPr>
          <w:lang w:eastAsia="en-GB"/>
        </w:rPr>
        <w:t xml:space="preserve">(2023b) illustrated the </w:t>
      </w:r>
      <w:r w:rsidR="00D04036" w:rsidRPr="00AD5732">
        <w:rPr>
          <w:lang w:eastAsia="en-GB"/>
        </w:rPr>
        <w:t>suitability</w:t>
      </w:r>
      <w:r w:rsidRPr="00AD5732">
        <w:rPr>
          <w:lang w:eastAsia="en-GB"/>
        </w:rPr>
        <w:t xml:space="preserve"> </w:t>
      </w:r>
      <w:r>
        <w:rPr>
          <w:lang w:eastAsia="en-GB"/>
        </w:rPr>
        <w:t xml:space="preserve">of </w:t>
      </w:r>
      <w:r w:rsidR="000F13C6">
        <w:rPr>
          <w:lang w:eastAsia="en-GB"/>
        </w:rPr>
        <w:t>DEXPI P&amp;ID</w:t>
      </w:r>
      <w:r>
        <w:rPr>
          <w:lang w:eastAsia="en-GB"/>
        </w:rPr>
        <w:t xml:space="preserve">, OntoCAPE, IEC 61512-1, and </w:t>
      </w:r>
      <w:r w:rsidR="00D718C7">
        <w:rPr>
          <w:lang w:eastAsia="en-GB"/>
        </w:rPr>
        <w:t xml:space="preserve">VDI/VDE/NAMUR 2658 </w:t>
      </w:r>
      <w:r>
        <w:rPr>
          <w:lang w:eastAsia="en-GB"/>
        </w:rPr>
        <w:t xml:space="preserve">to describe the different phases of the PEA and Modular Plant Lifecycles. For the functional design phase, OntoCAPE and </w:t>
      </w:r>
      <w:r w:rsidR="000F13C6">
        <w:rPr>
          <w:lang w:eastAsia="en-GB"/>
        </w:rPr>
        <w:t>DEXPI P&amp;ID</w:t>
      </w:r>
      <w:r>
        <w:rPr>
          <w:lang w:eastAsia="en-GB"/>
        </w:rPr>
        <w:t xml:space="preserve"> were classified as potentially </w:t>
      </w:r>
      <w:r w:rsidR="00EA4517">
        <w:rPr>
          <w:lang w:eastAsia="en-GB"/>
        </w:rPr>
        <w:t>s</w:t>
      </w:r>
      <w:r>
        <w:rPr>
          <w:lang w:eastAsia="en-GB"/>
        </w:rPr>
        <w:t xml:space="preserve">uitable to describe the information exchanged during this phase, which </w:t>
      </w:r>
      <w:r w:rsidR="000F13C6">
        <w:rPr>
          <w:lang w:eastAsia="en-GB"/>
        </w:rPr>
        <w:t>DEXPI P&amp;ID</w:t>
      </w:r>
      <w:r>
        <w:rPr>
          <w:lang w:eastAsia="en-GB"/>
        </w:rPr>
        <w:t>, OntoCAPE, IEC</w:t>
      </w:r>
      <w:r w:rsidR="00DA25AE">
        <w:rPr>
          <w:lang w:eastAsia="en-GB"/>
        </w:rPr>
        <w:t> </w:t>
      </w:r>
      <w:r>
        <w:rPr>
          <w:lang w:eastAsia="en-GB"/>
        </w:rPr>
        <w:t>61512</w:t>
      </w:r>
      <w:r w:rsidR="000A4816">
        <w:rPr>
          <w:lang w:eastAsia="en-GB"/>
        </w:rPr>
        <w:t>-1</w:t>
      </w:r>
      <w:r>
        <w:rPr>
          <w:lang w:eastAsia="en-GB"/>
        </w:rPr>
        <w:t xml:space="preserve"> and </w:t>
      </w:r>
      <w:r w:rsidR="00490543">
        <w:rPr>
          <w:lang w:eastAsia="en-GB"/>
        </w:rPr>
        <w:t>VDI/VDE/NAMUR 2658</w:t>
      </w:r>
      <w:r>
        <w:rPr>
          <w:lang w:eastAsia="en-GB"/>
        </w:rPr>
        <w:t xml:space="preserve"> were all considered to be potentially suitable</w:t>
      </w:r>
      <w:r w:rsidR="00404DC1">
        <w:rPr>
          <w:lang w:eastAsia="en-GB"/>
        </w:rPr>
        <w:t xml:space="preserve"> for description of the asset specification phase</w:t>
      </w:r>
      <w:r>
        <w:rPr>
          <w:lang w:eastAsia="en-GB"/>
        </w:rPr>
        <w:t xml:space="preserve">. </w:t>
      </w:r>
      <w:r w:rsidR="000F13C6">
        <w:rPr>
          <w:lang w:eastAsia="en-GB"/>
        </w:rPr>
        <w:t>DEXPI P&amp;ID</w:t>
      </w:r>
      <w:r w:rsidR="00D04036">
        <w:rPr>
          <w:lang w:eastAsia="en-GB"/>
        </w:rPr>
        <w:t xml:space="preserve"> is an industry wide standard for the exchange of P&amp;ID data between CAE tools, OntoCAPE is an ontology describing the domain of chemical engineering, </w:t>
      </w:r>
      <w:bookmarkStart w:id="2" w:name="_Hlk151567699"/>
      <w:r w:rsidR="00D04036">
        <w:rPr>
          <w:lang w:eastAsia="en-GB"/>
        </w:rPr>
        <w:t>VDI</w:t>
      </w:r>
      <w:r w:rsidR="00DA25AE">
        <w:rPr>
          <w:lang w:eastAsia="en-GB"/>
        </w:rPr>
        <w:t>/VDE/NAMUR </w:t>
      </w:r>
      <w:r w:rsidR="00D04036">
        <w:rPr>
          <w:lang w:eastAsia="en-GB"/>
        </w:rPr>
        <w:t xml:space="preserve">2658 </w:t>
      </w:r>
      <w:bookmarkEnd w:id="2"/>
      <w:r w:rsidR="00D04036">
        <w:rPr>
          <w:lang w:eastAsia="en-GB"/>
        </w:rPr>
        <w:t xml:space="preserve">describes the </w:t>
      </w:r>
      <w:r w:rsidR="00DA25AE">
        <w:rPr>
          <w:lang w:eastAsia="en-GB"/>
        </w:rPr>
        <w:t>MTP</w:t>
      </w:r>
      <w:r w:rsidR="00D04036">
        <w:rPr>
          <w:lang w:eastAsia="en-GB"/>
        </w:rPr>
        <w:t xml:space="preserve"> which describe the automation perspective of the PEA, and IEC</w:t>
      </w:r>
      <w:r w:rsidR="00DA25AE">
        <w:rPr>
          <w:lang w:eastAsia="en-GB"/>
        </w:rPr>
        <w:t> </w:t>
      </w:r>
      <w:r w:rsidR="00D04036">
        <w:rPr>
          <w:lang w:eastAsia="en-GB"/>
        </w:rPr>
        <w:t xml:space="preserve">61512-1 is a widely adopted information model for describing Batch Control and is used in the </w:t>
      </w:r>
      <w:r w:rsidR="00490543">
        <w:rPr>
          <w:lang w:eastAsia="en-GB"/>
        </w:rPr>
        <w:t xml:space="preserve">VDI/VDE/NAMUR 2658 </w:t>
      </w:r>
      <w:r w:rsidR="00D04036">
        <w:rPr>
          <w:lang w:eastAsia="en-GB"/>
        </w:rPr>
        <w:t xml:space="preserve">for the description of services. </w:t>
      </w:r>
    </w:p>
    <w:p w14:paraId="144DE69A" w14:textId="6DE6AE9A" w:rsidR="008D2649" w:rsidRDefault="003503F2" w:rsidP="007B21AE">
      <w:pPr>
        <w:pStyle w:val="Els-1storder-head"/>
      </w:pPr>
      <w:r>
        <w:t>C</w:t>
      </w:r>
      <w:r w:rsidR="001B1E74">
        <w:t>ase Study</w:t>
      </w:r>
    </w:p>
    <w:p w14:paraId="05502BF4" w14:textId="77777777" w:rsidR="00FA4108" w:rsidRPr="00821CEF" w:rsidRDefault="00FA4108" w:rsidP="00FA4108">
      <w:pPr>
        <w:pStyle w:val="Els-2ndorder-head"/>
        <w:rPr>
          <w:lang w:eastAsia="en-GB"/>
        </w:rPr>
      </w:pPr>
      <w:bookmarkStart w:id="3" w:name="_Hlk150171165"/>
      <w:r>
        <w:t>Example System</w:t>
      </w:r>
      <w:bookmarkEnd w:id="3"/>
    </w:p>
    <w:p w14:paraId="095A8493" w14:textId="3EB53FE5" w:rsidR="009F04D6" w:rsidRDefault="00372FAC" w:rsidP="00EE0D71">
      <w:pPr>
        <w:jc w:val="both"/>
      </w:pPr>
      <w:r>
        <w:rPr>
          <w:shd w:val="clear" w:color="auto" w:fill="FFFFFF"/>
        </w:rPr>
        <w:t>The</w:t>
      </w:r>
      <w:r w:rsidR="0081083D">
        <w:rPr>
          <w:shd w:val="clear" w:color="auto" w:fill="FFFFFF"/>
        </w:rPr>
        <w:t xml:space="preserve"> owner/operator</w:t>
      </w:r>
      <w:r>
        <w:rPr>
          <w:shd w:val="clear" w:color="auto" w:fill="FFFFFF"/>
        </w:rPr>
        <w:t xml:space="preserve"> </w:t>
      </w:r>
      <w:r w:rsidR="0081083D">
        <w:rPr>
          <w:shd w:val="clear" w:color="auto" w:fill="FFFFFF"/>
        </w:rPr>
        <w:t>(</w:t>
      </w:r>
      <w:r>
        <w:rPr>
          <w:shd w:val="clear" w:color="auto" w:fill="FFFFFF"/>
        </w:rPr>
        <w:t>O/O</w:t>
      </w:r>
      <w:r w:rsidR="0081083D">
        <w:rPr>
          <w:shd w:val="clear" w:color="auto" w:fill="FFFFFF"/>
        </w:rPr>
        <w:t>)</w:t>
      </w:r>
      <w:r>
        <w:rPr>
          <w:shd w:val="clear" w:color="auto" w:fill="FFFFFF"/>
        </w:rPr>
        <w:t xml:space="preserve"> of a PEA is often from the </w:t>
      </w:r>
      <w:r w:rsidR="000C2AC6">
        <w:rPr>
          <w:shd w:val="clear" w:color="auto" w:fill="FFFFFF"/>
        </w:rPr>
        <w:t>pharmaceutical</w:t>
      </w:r>
      <w:r>
        <w:rPr>
          <w:shd w:val="clear" w:color="auto" w:fill="FFFFFF"/>
        </w:rPr>
        <w:t xml:space="preserve"> and speciality chemical industry where rapid time to market and short product lifecycles are</w:t>
      </w:r>
      <w:r w:rsidR="00490543">
        <w:rPr>
          <w:shd w:val="clear" w:color="auto" w:fill="FFFFFF"/>
        </w:rPr>
        <w:t xml:space="preserve"> a</w:t>
      </w:r>
      <w:r>
        <w:rPr>
          <w:shd w:val="clear" w:color="auto" w:fill="FFFFFF"/>
        </w:rPr>
        <w:t xml:space="preserve"> consistent reality and challenge. Thus, the Buchwald-Hartwig </w:t>
      </w:r>
      <w:r w:rsidR="003503F2">
        <w:t>coupling</w:t>
      </w:r>
      <w:r>
        <w:t xml:space="preserve">, </w:t>
      </w:r>
      <w:r w:rsidR="003503F2">
        <w:t xml:space="preserve">a </w:t>
      </w:r>
      <w:r w:rsidR="004975C0">
        <w:t>p</w:t>
      </w:r>
      <w:r w:rsidR="003503F2">
        <w:t xml:space="preserve">alladium </w:t>
      </w:r>
      <w:r w:rsidR="000C2AC6" w:rsidRPr="00490543">
        <w:rPr>
          <w:lang w:val="en-US"/>
        </w:rPr>
        <w:t>cataly</w:t>
      </w:r>
      <w:r w:rsidR="00490543" w:rsidRPr="00490543">
        <w:rPr>
          <w:lang w:val="en-US"/>
        </w:rPr>
        <w:t>z</w:t>
      </w:r>
      <w:r w:rsidR="000C2AC6" w:rsidRPr="00490543">
        <w:rPr>
          <w:lang w:val="en-US"/>
        </w:rPr>
        <w:t>ed</w:t>
      </w:r>
      <w:r w:rsidR="003503F2">
        <w:t xml:space="preserve"> reaction </w:t>
      </w:r>
      <w:r w:rsidR="00225225">
        <w:t>mechanism</w:t>
      </w:r>
      <w:r w:rsidR="00AB43B3">
        <w:t xml:space="preserve"> for the synthesis </w:t>
      </w:r>
      <w:r w:rsidR="00AB43B3" w:rsidRPr="002B1D59">
        <w:t xml:space="preserve">of aryl </w:t>
      </w:r>
      <w:r w:rsidR="00D04036" w:rsidRPr="002B1D59">
        <w:t>amines</w:t>
      </w:r>
      <w:r w:rsidR="00D04036">
        <w:t xml:space="preserve"> from amines and aryl halides</w:t>
      </w:r>
      <w:r>
        <w:t>, was selected</w:t>
      </w:r>
      <w:r w:rsidR="004B0394">
        <w:t xml:space="preserve"> as a case study</w:t>
      </w:r>
      <w:r>
        <w:t xml:space="preserve"> due to its relevance in the production of</w:t>
      </w:r>
      <w:r w:rsidR="003503F2">
        <w:t xml:space="preserve"> </w:t>
      </w:r>
      <w:r w:rsidR="00225225">
        <w:t>pharmaceutical</w:t>
      </w:r>
      <w:r w:rsidR="003503F2">
        <w:t xml:space="preserve"> products. The </w:t>
      </w:r>
      <w:r w:rsidR="00225225">
        <w:t>overall schema f</w:t>
      </w:r>
      <w:r>
        <w:t xml:space="preserve">or </w:t>
      </w:r>
      <w:r w:rsidR="004B0394">
        <w:t>the Buchwald-Hartwig reaction mechanism</w:t>
      </w:r>
      <w:r w:rsidR="003503F2">
        <w:t xml:space="preserve"> is shown in </w:t>
      </w:r>
      <w:r w:rsidR="009F04D6">
        <w:t>(</w:t>
      </w:r>
      <w:r w:rsidR="003503F2">
        <w:t>1</w:t>
      </w:r>
      <w:r w:rsidR="009F04D6">
        <w:t>)</w:t>
      </w:r>
      <w:r w:rsidR="003503F2">
        <w:t>:</w:t>
      </w:r>
    </w:p>
    <w:tbl>
      <w:tblPr>
        <w:tblW w:w="0" w:type="auto"/>
        <w:tblLook w:val="04A0" w:firstRow="1" w:lastRow="0" w:firstColumn="1" w:lastColumn="0" w:noHBand="0" w:noVBand="1"/>
      </w:tblPr>
      <w:tblGrid>
        <w:gridCol w:w="6168"/>
        <w:gridCol w:w="919"/>
      </w:tblGrid>
      <w:tr w:rsidR="009F04D6" w14:paraId="6452C980" w14:textId="77777777" w:rsidTr="00802F00">
        <w:tc>
          <w:tcPr>
            <w:tcW w:w="6317" w:type="dxa"/>
            <w:vAlign w:val="center"/>
            <w:hideMark/>
          </w:tcPr>
          <w:p w14:paraId="709CB475" w14:textId="4C0AD2F3" w:rsidR="009F04D6" w:rsidRDefault="00F84852" w:rsidP="009F04D6">
            <w:pPr>
              <w:pStyle w:val="Els-body-text"/>
              <w:spacing w:before="120" w:after="120" w:line="264" w:lineRule="auto"/>
              <w:jc w:val="center"/>
              <w:rPr>
                <w:lang w:val="en-GB"/>
              </w:rPr>
            </w:pPr>
            <w:r>
              <w:rPr>
                <w:noProof/>
              </w:rPr>
              <w:drawing>
                <wp:inline distT="0" distB="0" distL="0" distR="0" wp14:anchorId="564B9802" wp14:editId="2DB7BDA1">
                  <wp:extent cx="3114675" cy="41694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1287" cy="423189"/>
                          </a:xfrm>
                          <a:prstGeom prst="rect">
                            <a:avLst/>
                          </a:prstGeom>
                        </pic:spPr>
                      </pic:pic>
                    </a:graphicData>
                  </a:graphic>
                </wp:inline>
              </w:drawing>
            </w:r>
          </w:p>
        </w:tc>
        <w:tc>
          <w:tcPr>
            <w:tcW w:w="985" w:type="dxa"/>
            <w:vAlign w:val="center"/>
          </w:tcPr>
          <w:p w14:paraId="46C3E5C6" w14:textId="631A08F6" w:rsidR="009F04D6" w:rsidRDefault="0081411D">
            <w:pPr>
              <w:pStyle w:val="Els-body-text"/>
              <w:spacing w:before="120" w:after="120" w:line="264" w:lineRule="auto"/>
              <w:jc w:val="right"/>
              <w:rPr>
                <w:lang w:val="en-GB"/>
              </w:rPr>
            </w:pPr>
            <w:r>
              <w:rPr>
                <w:lang w:val="en-GB"/>
              </w:rPr>
              <w:t>(1)</w:t>
            </w:r>
          </w:p>
        </w:tc>
      </w:tr>
    </w:tbl>
    <w:p w14:paraId="44AC3C53" w14:textId="38039DA2" w:rsidR="00433123" w:rsidRDefault="00802F00" w:rsidP="00EE0D71">
      <w:pPr>
        <w:jc w:val="both"/>
      </w:pPr>
      <w:r>
        <w:t>In the reaction schema</w:t>
      </w:r>
      <w:r w:rsidR="007C5BBD">
        <w:t>, X is Cl or Br, R</w:t>
      </w:r>
      <w:r w:rsidR="007C5BBD" w:rsidRPr="007C5BBD">
        <w:rPr>
          <w:vertAlign w:val="subscript"/>
        </w:rPr>
        <w:t>1</w:t>
      </w:r>
      <w:r w:rsidR="007C5BBD">
        <w:t xml:space="preserve"> is an Alkyl, CN, or </w:t>
      </w:r>
      <w:r w:rsidR="002A0FFD">
        <w:t xml:space="preserve">a </w:t>
      </w:r>
      <w:r w:rsidR="007C5BBD">
        <w:t>CON group</w:t>
      </w:r>
      <w:r w:rsidR="002A0FFD">
        <w:t>,</w:t>
      </w:r>
      <w:r w:rsidR="007C5BBD">
        <w:t xml:space="preserve"> and R</w:t>
      </w:r>
      <w:r w:rsidR="007C5BBD" w:rsidRPr="007C5BBD">
        <w:rPr>
          <w:vertAlign w:val="subscript"/>
        </w:rPr>
        <w:t>2</w:t>
      </w:r>
      <w:r w:rsidR="007C5BBD">
        <w:t xml:space="preserve"> is an Alkyl or Aryl group. </w:t>
      </w:r>
      <w:r w:rsidR="009F04D6">
        <w:t>In addition to the generalized reaction schema</w:t>
      </w:r>
      <w:r>
        <w:t>, r</w:t>
      </w:r>
      <w:r w:rsidR="009F04D6">
        <w:t xml:space="preserve">elevant technical criteria, cf. Mädler (2023) </w:t>
      </w:r>
      <w:r w:rsidR="00D04036">
        <w:t xml:space="preserve">for </w:t>
      </w:r>
      <w:r w:rsidR="007C5BBD">
        <w:t xml:space="preserve">the Buchwald-Hartwig </w:t>
      </w:r>
      <w:r w:rsidR="00D04036">
        <w:t>reaction</w:t>
      </w:r>
      <w:r w:rsidR="004975C0">
        <w:t>, an STR PEA type description, and a PEA instance of an STR “M02”</w:t>
      </w:r>
      <w:r w:rsidR="00D04036">
        <w:t xml:space="preserve"> </w:t>
      </w:r>
      <w:r w:rsidR="009F04D6">
        <w:t xml:space="preserve">are </w:t>
      </w:r>
      <w:r w:rsidR="002C73B9">
        <w:t xml:space="preserve">provided in Table 1. </w:t>
      </w:r>
    </w:p>
    <w:p w14:paraId="70828385" w14:textId="5FAB2264" w:rsidR="00433123" w:rsidRDefault="00433123" w:rsidP="00433123">
      <w:pPr>
        <w:pStyle w:val="Didascalia"/>
        <w:keepNext/>
      </w:pPr>
      <w:r>
        <w:lastRenderedPageBreak/>
        <w:t xml:space="preserve">Table </w:t>
      </w:r>
      <w:r>
        <w:fldChar w:fldCharType="begin"/>
      </w:r>
      <w:r>
        <w:instrText xml:space="preserve"> SEQ Table \* ARABIC </w:instrText>
      </w:r>
      <w:r>
        <w:fldChar w:fldCharType="separate"/>
      </w:r>
      <w:r w:rsidR="00160448">
        <w:rPr>
          <w:noProof/>
        </w:rPr>
        <w:t>1</w:t>
      </w:r>
      <w:r>
        <w:fldChar w:fldCharType="end"/>
      </w:r>
      <w:r>
        <w:t xml:space="preserve">: </w:t>
      </w:r>
      <w:r w:rsidR="002C73B9">
        <w:t xml:space="preserve">Technical Criteria for selection of </w:t>
      </w:r>
      <w:r w:rsidR="00827A0F">
        <w:t>reactor type</w:t>
      </w:r>
      <w:r w:rsidR="00802F00">
        <w:t xml:space="preserve"> </w:t>
      </w:r>
      <w:r w:rsidR="002C73B9">
        <w:t xml:space="preserve">with technical criteria for the Buchwald-Hartwig </w:t>
      </w:r>
      <w:r w:rsidR="002A0FFD">
        <w:t>reaction mechanism</w:t>
      </w:r>
      <w:r w:rsidR="009C434F">
        <w:t xml:space="preserve">, an STR PEA type, and a PEA </w:t>
      </w:r>
      <w:r w:rsidR="004975C0">
        <w:t>instance (</w:t>
      </w:r>
      <w:r w:rsidR="00802F00">
        <w:t>c.f. Mädler, 2023</w:t>
      </w:r>
      <w:r w:rsidR="00AB43B3">
        <w:t>)</w:t>
      </w:r>
      <w:r>
        <w:t>.</w:t>
      </w:r>
    </w:p>
    <w:tbl>
      <w:tblPr>
        <w:tblStyle w:val="Grigliatabella"/>
        <w:tblW w:w="5000" w:type="pct"/>
        <w:tblLook w:val="04A0" w:firstRow="1" w:lastRow="0" w:firstColumn="1" w:lastColumn="0" w:noHBand="0" w:noVBand="1"/>
      </w:tblPr>
      <w:tblGrid>
        <w:gridCol w:w="1769"/>
        <w:gridCol w:w="1769"/>
        <w:gridCol w:w="1769"/>
        <w:gridCol w:w="1769"/>
      </w:tblGrid>
      <w:tr w:rsidR="00796075" w:rsidRPr="000F464B" w14:paraId="6567E185" w14:textId="6878EF64" w:rsidTr="00796075">
        <w:tc>
          <w:tcPr>
            <w:tcW w:w="1250" w:type="pct"/>
          </w:tcPr>
          <w:p w14:paraId="59FC7928" w14:textId="10AEDC82" w:rsidR="00796075" w:rsidRPr="000A4816" w:rsidRDefault="00796075" w:rsidP="000A4816">
            <w:pPr>
              <w:pStyle w:val="Els-body-text"/>
              <w:rPr>
                <w:lang w:val="en-GB"/>
              </w:rPr>
            </w:pPr>
            <w:r w:rsidRPr="000A4816">
              <w:rPr>
                <w:lang w:val="en-GB"/>
              </w:rPr>
              <w:t xml:space="preserve">Technical Criteria </w:t>
            </w:r>
          </w:p>
        </w:tc>
        <w:tc>
          <w:tcPr>
            <w:tcW w:w="1250" w:type="pct"/>
          </w:tcPr>
          <w:p w14:paraId="45C0C67A" w14:textId="5ED0FAFA" w:rsidR="00796075" w:rsidRPr="000A4816" w:rsidRDefault="00796075" w:rsidP="000A4816">
            <w:pPr>
              <w:pStyle w:val="Els-body-text"/>
              <w:rPr>
                <w:lang w:val="en-GB"/>
              </w:rPr>
            </w:pPr>
            <w:r w:rsidRPr="000A4816">
              <w:rPr>
                <w:lang w:val="en-GB"/>
              </w:rPr>
              <w:t xml:space="preserve">Buchwald-Hartwig </w:t>
            </w:r>
            <w:r w:rsidR="002A0FFD">
              <w:rPr>
                <w:lang w:val="en-GB"/>
              </w:rPr>
              <w:t>Reaction</w:t>
            </w:r>
          </w:p>
        </w:tc>
        <w:tc>
          <w:tcPr>
            <w:tcW w:w="1250" w:type="pct"/>
          </w:tcPr>
          <w:p w14:paraId="0284C5DE" w14:textId="7427B2AE" w:rsidR="00796075" w:rsidRPr="000A4816" w:rsidRDefault="00796075" w:rsidP="000A4816">
            <w:pPr>
              <w:pStyle w:val="Els-body-text"/>
              <w:rPr>
                <w:lang w:val="en-GB"/>
              </w:rPr>
            </w:pPr>
            <w:r w:rsidRPr="000A4816">
              <w:rPr>
                <w:lang w:val="en-GB"/>
              </w:rPr>
              <w:t>PEA Type STR</w:t>
            </w:r>
          </w:p>
        </w:tc>
        <w:tc>
          <w:tcPr>
            <w:tcW w:w="1250" w:type="pct"/>
          </w:tcPr>
          <w:p w14:paraId="3AA796C3" w14:textId="7F553EFF" w:rsidR="00796075" w:rsidRPr="000A4816" w:rsidRDefault="00796075" w:rsidP="000A4816">
            <w:pPr>
              <w:pStyle w:val="Els-body-text"/>
              <w:rPr>
                <w:lang w:val="en-GB"/>
              </w:rPr>
            </w:pPr>
            <w:r w:rsidRPr="000A4816">
              <w:rPr>
                <w:lang w:val="en-GB"/>
              </w:rPr>
              <w:t>PEA Instance M02</w:t>
            </w:r>
          </w:p>
        </w:tc>
      </w:tr>
      <w:tr w:rsidR="00796075" w14:paraId="3E9F971C" w14:textId="4A4F8AC3" w:rsidTr="00796075">
        <w:tc>
          <w:tcPr>
            <w:tcW w:w="1250" w:type="pct"/>
          </w:tcPr>
          <w:p w14:paraId="7EFF3245" w14:textId="2FCFCF0C" w:rsidR="00796075" w:rsidRPr="000A4816" w:rsidRDefault="00796075" w:rsidP="000A4816">
            <w:pPr>
              <w:pStyle w:val="Els-body-text"/>
              <w:rPr>
                <w:lang w:val="en-GB"/>
              </w:rPr>
            </w:pPr>
            <w:r w:rsidRPr="000A4816">
              <w:rPr>
                <w:lang w:val="en-GB"/>
              </w:rPr>
              <w:t>Reaction Type</w:t>
            </w:r>
          </w:p>
        </w:tc>
        <w:tc>
          <w:tcPr>
            <w:tcW w:w="1250" w:type="pct"/>
          </w:tcPr>
          <w:p w14:paraId="1F387FC6" w14:textId="4E561BA7" w:rsidR="00796075" w:rsidRPr="000A4816" w:rsidRDefault="00796075" w:rsidP="000A4816">
            <w:pPr>
              <w:pStyle w:val="Els-body-text"/>
              <w:rPr>
                <w:lang w:val="en-GB"/>
              </w:rPr>
            </w:pPr>
            <w:r w:rsidRPr="000A4816">
              <w:rPr>
                <w:lang w:val="en-GB"/>
              </w:rPr>
              <w:t>Liquid-Liquid</w:t>
            </w:r>
          </w:p>
        </w:tc>
        <w:tc>
          <w:tcPr>
            <w:tcW w:w="1250" w:type="pct"/>
          </w:tcPr>
          <w:p w14:paraId="688B361A" w14:textId="610E51D9" w:rsidR="00796075" w:rsidRPr="000A4816" w:rsidRDefault="00796075" w:rsidP="000A4816">
            <w:pPr>
              <w:pStyle w:val="Els-body-text"/>
              <w:rPr>
                <w:lang w:val="en-GB"/>
              </w:rPr>
            </w:pPr>
            <w:r w:rsidRPr="000A4816">
              <w:rPr>
                <w:lang w:val="en-GB"/>
              </w:rPr>
              <w:t>Liquid-Liquid</w:t>
            </w:r>
          </w:p>
        </w:tc>
        <w:tc>
          <w:tcPr>
            <w:tcW w:w="1250" w:type="pct"/>
          </w:tcPr>
          <w:p w14:paraId="3FA7666D" w14:textId="03DF7877" w:rsidR="00796075" w:rsidRPr="000A4816" w:rsidRDefault="00796075" w:rsidP="000A4816">
            <w:pPr>
              <w:pStyle w:val="Els-body-text"/>
              <w:rPr>
                <w:lang w:val="en-GB"/>
              </w:rPr>
            </w:pPr>
            <w:r w:rsidRPr="000A4816">
              <w:rPr>
                <w:lang w:val="en-GB"/>
              </w:rPr>
              <w:t>Liquid-Liquid</w:t>
            </w:r>
          </w:p>
        </w:tc>
      </w:tr>
      <w:tr w:rsidR="00796075" w14:paraId="70FFF7CC" w14:textId="14113B6B" w:rsidTr="00796075">
        <w:tc>
          <w:tcPr>
            <w:tcW w:w="1250" w:type="pct"/>
          </w:tcPr>
          <w:p w14:paraId="0B74CFC9" w14:textId="1159E64A" w:rsidR="00796075" w:rsidRPr="000A4816" w:rsidRDefault="00796075" w:rsidP="000A4816">
            <w:pPr>
              <w:pStyle w:val="Els-body-text"/>
              <w:rPr>
                <w:lang w:val="en-GB"/>
              </w:rPr>
            </w:pPr>
            <w:r w:rsidRPr="000A4816">
              <w:rPr>
                <w:lang w:val="en-GB"/>
              </w:rPr>
              <w:t>Pressure</w:t>
            </w:r>
          </w:p>
        </w:tc>
        <w:tc>
          <w:tcPr>
            <w:tcW w:w="1250" w:type="pct"/>
          </w:tcPr>
          <w:p w14:paraId="1B5417DB" w14:textId="622FAB75" w:rsidR="00796075" w:rsidRPr="000A4816" w:rsidRDefault="00796075" w:rsidP="000A4816">
            <w:pPr>
              <w:pStyle w:val="Els-body-text"/>
              <w:rPr>
                <w:lang w:val="en-GB"/>
              </w:rPr>
            </w:pPr>
            <w:r w:rsidRPr="000A4816">
              <w:rPr>
                <w:lang w:val="en-GB"/>
              </w:rPr>
              <w:t>Atmospheric</w:t>
            </w:r>
          </w:p>
        </w:tc>
        <w:tc>
          <w:tcPr>
            <w:tcW w:w="1250" w:type="pct"/>
          </w:tcPr>
          <w:p w14:paraId="742126D9" w14:textId="7ED96514" w:rsidR="00796075" w:rsidRPr="000A4816" w:rsidRDefault="00796075" w:rsidP="000A4816">
            <w:pPr>
              <w:pStyle w:val="Els-body-text"/>
              <w:rPr>
                <w:lang w:val="en-GB"/>
              </w:rPr>
            </w:pPr>
            <w:r w:rsidRPr="000A4816">
              <w:rPr>
                <w:lang w:val="en-GB"/>
              </w:rPr>
              <w:t>Mild</w:t>
            </w:r>
          </w:p>
        </w:tc>
        <w:tc>
          <w:tcPr>
            <w:tcW w:w="1250" w:type="pct"/>
          </w:tcPr>
          <w:p w14:paraId="36DC4EC4" w14:textId="63D2519A" w:rsidR="00796075" w:rsidRPr="000A4816" w:rsidRDefault="00796075" w:rsidP="000A4816">
            <w:pPr>
              <w:pStyle w:val="Els-body-text"/>
              <w:rPr>
                <w:lang w:val="en-GB"/>
              </w:rPr>
            </w:pPr>
            <w:r w:rsidRPr="000A4816">
              <w:rPr>
                <w:lang w:val="en-GB"/>
              </w:rPr>
              <w:t>Mild</w:t>
            </w:r>
          </w:p>
        </w:tc>
      </w:tr>
      <w:tr w:rsidR="00796075" w14:paraId="639C1161" w14:textId="3CC67977" w:rsidTr="00796075">
        <w:tc>
          <w:tcPr>
            <w:tcW w:w="1250" w:type="pct"/>
          </w:tcPr>
          <w:p w14:paraId="26D250C3" w14:textId="29514927" w:rsidR="00796075" w:rsidRPr="000A4816" w:rsidRDefault="00796075" w:rsidP="000A4816">
            <w:pPr>
              <w:pStyle w:val="Els-body-text"/>
              <w:rPr>
                <w:lang w:val="en-GB"/>
              </w:rPr>
            </w:pPr>
            <w:r w:rsidRPr="000A4816">
              <w:rPr>
                <w:lang w:val="en-GB"/>
              </w:rPr>
              <w:t>Temperature</w:t>
            </w:r>
          </w:p>
        </w:tc>
        <w:tc>
          <w:tcPr>
            <w:tcW w:w="1250" w:type="pct"/>
          </w:tcPr>
          <w:p w14:paraId="6D7101DC" w14:textId="24DE8670" w:rsidR="00796075" w:rsidRPr="000A4816" w:rsidRDefault="00796075" w:rsidP="000A4816">
            <w:pPr>
              <w:pStyle w:val="Els-body-text"/>
              <w:rPr>
                <w:lang w:val="en-GB"/>
              </w:rPr>
            </w:pPr>
            <w:r w:rsidRPr="000A4816">
              <w:rPr>
                <w:lang w:val="en-GB"/>
              </w:rPr>
              <w:t>25 – 100°C</w:t>
            </w:r>
          </w:p>
        </w:tc>
        <w:tc>
          <w:tcPr>
            <w:tcW w:w="1250" w:type="pct"/>
          </w:tcPr>
          <w:p w14:paraId="252E8FEA" w14:textId="73A19B83" w:rsidR="00796075" w:rsidRPr="000A4816" w:rsidRDefault="00FB49D3" w:rsidP="000A4816">
            <w:pPr>
              <w:pStyle w:val="Els-body-text"/>
              <w:rPr>
                <w:lang w:val="en-GB"/>
              </w:rPr>
            </w:pPr>
            <w:r w:rsidRPr="000A4816">
              <w:rPr>
                <w:lang w:val="en-GB"/>
              </w:rPr>
              <w:t>30 – 150 °C</w:t>
            </w:r>
          </w:p>
        </w:tc>
        <w:tc>
          <w:tcPr>
            <w:tcW w:w="1250" w:type="pct"/>
          </w:tcPr>
          <w:p w14:paraId="0653DB01" w14:textId="048941FE" w:rsidR="00796075" w:rsidRPr="000A4816" w:rsidRDefault="009C434F" w:rsidP="000A4816">
            <w:pPr>
              <w:pStyle w:val="Els-body-text"/>
              <w:rPr>
                <w:lang w:val="en-GB"/>
              </w:rPr>
            </w:pPr>
            <w:r w:rsidRPr="000A4816">
              <w:rPr>
                <w:lang w:val="en-GB"/>
              </w:rPr>
              <w:t>2</w:t>
            </w:r>
            <w:r w:rsidR="009330C9" w:rsidRPr="000A4816">
              <w:rPr>
                <w:lang w:val="en-GB"/>
              </w:rPr>
              <w:t xml:space="preserve">5 – </w:t>
            </w:r>
            <w:r w:rsidR="00464D4B">
              <w:rPr>
                <w:lang w:val="en-GB"/>
              </w:rPr>
              <w:t>1</w:t>
            </w:r>
            <w:r w:rsidR="00630BEC">
              <w:rPr>
                <w:lang w:val="en-GB"/>
              </w:rPr>
              <w:t>00</w:t>
            </w:r>
            <w:r w:rsidR="009330C9" w:rsidRPr="000A4816">
              <w:rPr>
                <w:lang w:val="en-GB"/>
              </w:rPr>
              <w:t>°C</w:t>
            </w:r>
          </w:p>
        </w:tc>
      </w:tr>
      <w:tr w:rsidR="00796075" w14:paraId="40D66154" w14:textId="5A05646B" w:rsidTr="00796075">
        <w:tc>
          <w:tcPr>
            <w:tcW w:w="1250" w:type="pct"/>
          </w:tcPr>
          <w:p w14:paraId="1C63B864" w14:textId="55D630F3" w:rsidR="00796075" w:rsidRPr="000A4816" w:rsidRDefault="00796075" w:rsidP="000A4816">
            <w:pPr>
              <w:pStyle w:val="Els-body-text"/>
              <w:rPr>
                <w:lang w:val="en-GB"/>
              </w:rPr>
            </w:pPr>
            <w:r w:rsidRPr="000A4816">
              <w:rPr>
                <w:lang w:val="en-GB"/>
              </w:rPr>
              <w:t>Reaction Time</w:t>
            </w:r>
          </w:p>
        </w:tc>
        <w:tc>
          <w:tcPr>
            <w:tcW w:w="1250" w:type="pct"/>
          </w:tcPr>
          <w:p w14:paraId="38A5846F" w14:textId="16A95603" w:rsidR="00796075" w:rsidRPr="000A4816" w:rsidRDefault="00796075" w:rsidP="000A4816">
            <w:pPr>
              <w:pStyle w:val="Els-body-text"/>
              <w:rPr>
                <w:lang w:val="en-GB"/>
              </w:rPr>
            </w:pPr>
            <w:r w:rsidRPr="000A4816">
              <w:rPr>
                <w:lang w:val="en-GB"/>
              </w:rPr>
              <w:t>6 to 24 hours</w:t>
            </w:r>
          </w:p>
        </w:tc>
        <w:tc>
          <w:tcPr>
            <w:tcW w:w="1250" w:type="pct"/>
          </w:tcPr>
          <w:p w14:paraId="1BEA3969" w14:textId="78E5B84F" w:rsidR="00796075" w:rsidRPr="000A4816" w:rsidRDefault="00FB49D3" w:rsidP="000A4816">
            <w:pPr>
              <w:pStyle w:val="Els-body-text"/>
              <w:rPr>
                <w:lang w:val="en-GB"/>
              </w:rPr>
            </w:pPr>
            <w:r w:rsidRPr="000A4816">
              <w:rPr>
                <w:lang w:val="en-GB"/>
              </w:rPr>
              <w:t>Broad</w:t>
            </w:r>
          </w:p>
        </w:tc>
        <w:tc>
          <w:tcPr>
            <w:tcW w:w="1250" w:type="pct"/>
          </w:tcPr>
          <w:p w14:paraId="03A93123" w14:textId="35127383" w:rsidR="00796075" w:rsidRPr="000A4816" w:rsidRDefault="00FB49D3" w:rsidP="000A4816">
            <w:pPr>
              <w:pStyle w:val="Els-body-text"/>
              <w:rPr>
                <w:lang w:val="en-GB"/>
              </w:rPr>
            </w:pPr>
            <w:r w:rsidRPr="000A4816">
              <w:rPr>
                <w:lang w:val="en-GB"/>
              </w:rPr>
              <w:t>Broad</w:t>
            </w:r>
          </w:p>
        </w:tc>
      </w:tr>
    </w:tbl>
    <w:p w14:paraId="3B29C08A" w14:textId="77777777" w:rsidR="005D7063" w:rsidRDefault="005D7063" w:rsidP="00C47826">
      <w:pPr>
        <w:pStyle w:val="Els-body-text"/>
      </w:pPr>
    </w:p>
    <w:p w14:paraId="4FDEC4DB" w14:textId="7F8E6C41" w:rsidR="00CF7787" w:rsidRDefault="00D718C7" w:rsidP="00CF7787">
      <w:pPr>
        <w:pStyle w:val="Els-2ndorder-head"/>
      </w:pPr>
      <w:r>
        <w:t xml:space="preserve">OntoCAPE and </w:t>
      </w:r>
      <w:r w:rsidR="000F13C6">
        <w:t>DEXPI P&amp;ID</w:t>
      </w:r>
      <w:r>
        <w:t xml:space="preserve"> </w:t>
      </w:r>
    </w:p>
    <w:p w14:paraId="30DDA44C" w14:textId="64719AF4" w:rsidR="000563E1" w:rsidRDefault="00FD3FF8" w:rsidP="004975C0">
      <w:pPr>
        <w:pStyle w:val="Els-body-text"/>
      </w:pPr>
      <w:r>
        <w:t>The goal of the information model is to describe the capability models of the PEA type and instance</w:t>
      </w:r>
      <w:r w:rsidR="004015F4">
        <w:t xml:space="preserve">. As this is the first step towards </w:t>
      </w:r>
      <w:r w:rsidR="00C244A7">
        <w:t>PEA match</w:t>
      </w:r>
      <w:r w:rsidR="006F55F2">
        <w:t>ing</w:t>
      </w:r>
      <w:r w:rsidR="004015F4">
        <w:t xml:space="preserve">, the information model </w:t>
      </w:r>
      <w:r w:rsidR="00C244A7">
        <w:t>only considers</w:t>
      </w:r>
      <w:r w:rsidR="00455EF2">
        <w:t xml:space="preserve"> the technical criteria</w:t>
      </w:r>
      <w:r w:rsidR="000A14A9">
        <w:t xml:space="preserve"> as described by Schindel et al. (2021)</w:t>
      </w:r>
      <w:r w:rsidR="00C244A7">
        <w:t>.</w:t>
      </w:r>
      <w:r w:rsidR="008011AC">
        <w:t xml:space="preserve"> </w:t>
      </w:r>
      <w:r w:rsidR="000A14A9">
        <w:t>As this information in the PEA pool must be searchable, linked data is use</w:t>
      </w:r>
      <w:r w:rsidR="009C434F">
        <w:t>d</w:t>
      </w:r>
      <w:r w:rsidR="000A14A9">
        <w:t xml:space="preserve"> due to </w:t>
      </w:r>
      <w:r w:rsidR="00C244A7">
        <w:t>enable searchability with SPARQL</w:t>
      </w:r>
      <w:r w:rsidR="009C434F">
        <w:t xml:space="preserve"> or SQL query languages</w:t>
      </w:r>
      <w:r w:rsidR="00C244A7">
        <w:t xml:space="preserve">. As a first step, </w:t>
      </w:r>
      <w:r w:rsidR="00EA4517">
        <w:t>OntoCAPE (Marquardt et al</w:t>
      </w:r>
      <w:r w:rsidR="002A0FFD">
        <w:t>.,</w:t>
      </w:r>
      <w:r w:rsidR="00EA4517">
        <w:t xml:space="preserve"> 2010)</w:t>
      </w:r>
      <w:r w:rsidR="000A14A9">
        <w:t xml:space="preserve">, </w:t>
      </w:r>
      <w:r w:rsidR="00D145B4">
        <w:t>is used due</w:t>
      </w:r>
      <w:r w:rsidR="006F55F2">
        <w:t xml:space="preserve"> to </w:t>
      </w:r>
      <w:r>
        <w:t>its</w:t>
      </w:r>
      <w:r w:rsidR="006F55F2">
        <w:t xml:space="preserve"> suitability to describe </w:t>
      </w:r>
      <w:r w:rsidR="00460832">
        <w:t xml:space="preserve">both </w:t>
      </w:r>
      <w:r w:rsidR="009C434F">
        <w:t xml:space="preserve">the </w:t>
      </w:r>
      <w:r w:rsidR="00460832">
        <w:t xml:space="preserve">process and </w:t>
      </w:r>
      <w:r w:rsidR="009C434F">
        <w:t>PEA</w:t>
      </w:r>
      <w:r w:rsidR="00FD2F56">
        <w:t xml:space="preserve"> </w:t>
      </w:r>
      <w:r w:rsidR="00460832">
        <w:t>resources</w:t>
      </w:r>
      <w:r w:rsidR="006F55F2">
        <w:t xml:space="preserve"> </w:t>
      </w:r>
      <w:r w:rsidR="004015F4">
        <w:t xml:space="preserve">domains </w:t>
      </w:r>
      <w:r w:rsidR="006F55F2">
        <w:t>(Koch et al., 2023b</w:t>
      </w:r>
      <w:r>
        <w:t xml:space="preserve">). </w:t>
      </w:r>
      <w:r w:rsidR="004015F4">
        <w:t>Also</w:t>
      </w:r>
      <w:r w:rsidR="00455EF2">
        <w:t>,</w:t>
      </w:r>
      <w:r w:rsidR="00EA4517">
        <w:t xml:space="preserve"> </w:t>
      </w:r>
      <w:r w:rsidR="000F13C6">
        <w:t>DEXPI P&amp;ID</w:t>
      </w:r>
      <w:r w:rsidR="00EA4517">
        <w:t xml:space="preserve"> (Wiedau et al., 2019) is used </w:t>
      </w:r>
      <w:r w:rsidR="00EB7FCD">
        <w:t>to</w:t>
      </w:r>
      <w:r w:rsidR="00EA4517">
        <w:t xml:space="preserve"> extend the descriptions </w:t>
      </w:r>
      <w:r w:rsidR="00D718C7">
        <w:t>of the PEA instance</w:t>
      </w:r>
      <w:r w:rsidR="00455EF2">
        <w:t>s</w:t>
      </w:r>
      <w:r w:rsidR="00C244A7">
        <w:t xml:space="preserve">. </w:t>
      </w:r>
      <w:r w:rsidR="008011AC">
        <w:t xml:space="preserve">Although for </w:t>
      </w:r>
      <w:r w:rsidR="002A0FFD">
        <w:t>the</w:t>
      </w:r>
      <w:r w:rsidR="008011AC">
        <w:t xml:space="preserve"> </w:t>
      </w:r>
      <w:r w:rsidR="006F55F2">
        <w:t>information model in this paper</w:t>
      </w:r>
      <w:r w:rsidR="008011AC">
        <w:t xml:space="preserve">, OntoCAPE </w:t>
      </w:r>
      <w:r w:rsidR="006F55F2">
        <w:t>would be entirely suitable,</w:t>
      </w:r>
      <w:r w:rsidR="008011AC">
        <w:t xml:space="preserve"> </w:t>
      </w:r>
      <w:r w:rsidR="000F13C6">
        <w:t>DEXPI P&amp;ID</w:t>
      </w:r>
      <w:r w:rsidR="008011AC">
        <w:t xml:space="preserve"> has large support in the process industry, meaning</w:t>
      </w:r>
      <w:r w:rsidR="006F55F2">
        <w:t xml:space="preserve"> that the P&amp;ID data of </w:t>
      </w:r>
      <w:r w:rsidR="008011AC">
        <w:t xml:space="preserve">documented PEA instances </w:t>
      </w:r>
      <w:r w:rsidR="006F55F2">
        <w:t xml:space="preserve">might often already exist in </w:t>
      </w:r>
      <w:r w:rsidR="000F13C6">
        <w:t>DEXPI P&amp;ID</w:t>
      </w:r>
      <w:r w:rsidR="006F55F2">
        <w:t xml:space="preserve"> or is easily done so using a plant engineering tool such as COMOS</w:t>
      </w:r>
      <w:r w:rsidR="00F943FF">
        <w:t xml:space="preserve">. </w:t>
      </w:r>
      <w:r w:rsidR="002A644A">
        <w:t xml:space="preserve">The information model architecture using OntoCAPE is as follows: </w:t>
      </w:r>
      <w:r w:rsidR="002A0FFD">
        <w:t>t</w:t>
      </w:r>
      <w:r w:rsidR="005457EE">
        <w:t xml:space="preserve">o describe the relationship between capability requirements for PEA matching with the PEA capabilities, the </w:t>
      </w:r>
      <w:r w:rsidR="005457EE" w:rsidRPr="00D67A25">
        <w:rPr>
          <w:i/>
          <w:iCs/>
        </w:rPr>
        <w:t>System Module</w:t>
      </w:r>
      <w:r w:rsidR="005457EE">
        <w:t xml:space="preserve"> and </w:t>
      </w:r>
      <w:r w:rsidR="005457EE" w:rsidRPr="00D67A25">
        <w:rPr>
          <w:i/>
          <w:iCs/>
        </w:rPr>
        <w:t>Technical System Modules</w:t>
      </w:r>
      <w:r w:rsidR="005457EE">
        <w:t xml:space="preserve"> in the Upper Layer of OntoCAPE are </w:t>
      </w:r>
      <w:r w:rsidR="00A62C97">
        <w:t>used</w:t>
      </w:r>
      <w:r w:rsidR="00AD5A78">
        <w:t>. In the</w:t>
      </w:r>
      <w:r w:rsidR="005457EE">
        <w:t xml:space="preserve"> conceptual design</w:t>
      </w:r>
      <w:r w:rsidR="00AD5A78">
        <w:t xml:space="preserve"> phase</w:t>
      </w:r>
      <w:r w:rsidR="005457EE">
        <w:t xml:space="preserve">, </w:t>
      </w:r>
      <w:r w:rsidR="005457EE" w:rsidRPr="005457EE">
        <w:rPr>
          <w:i/>
          <w:iCs/>
        </w:rPr>
        <w:t>system requirements</w:t>
      </w:r>
      <w:r w:rsidR="005457EE">
        <w:t xml:space="preserve"> (function</w:t>
      </w:r>
      <w:r w:rsidR="002351FC">
        <w:t>al</w:t>
      </w:r>
      <w:r w:rsidR="005457EE">
        <w:t xml:space="preserve"> requirements) are transformed into system functions (PEA </w:t>
      </w:r>
      <w:r w:rsidR="00460832">
        <w:t>ty</w:t>
      </w:r>
      <w:r w:rsidR="005457EE">
        <w:t xml:space="preserve">pe) during the basic design (functional design phase), which are detailed in the </w:t>
      </w:r>
      <w:r w:rsidR="005457EE" w:rsidRPr="005457EE">
        <w:rPr>
          <w:i/>
          <w:iCs/>
        </w:rPr>
        <w:t>system realization</w:t>
      </w:r>
      <w:r w:rsidR="005457EE">
        <w:t xml:space="preserve"> (PEA </w:t>
      </w:r>
      <w:r w:rsidR="00460832">
        <w:t>i</w:t>
      </w:r>
      <w:r w:rsidR="005457EE">
        <w:t>nstan</w:t>
      </w:r>
      <w:r w:rsidR="00FD2F56">
        <w:t>ce</w:t>
      </w:r>
      <w:r w:rsidR="004975C0">
        <w:t>)</w:t>
      </w:r>
      <w:r w:rsidR="00FD2F56">
        <w:t>.</w:t>
      </w:r>
      <w:r w:rsidR="004975C0">
        <w:t xml:space="preserve"> </w:t>
      </w:r>
      <w:r w:rsidR="0002721B">
        <w:t>Ultimately</w:t>
      </w:r>
      <w:r w:rsidR="00FD2F56">
        <w:t xml:space="preserve"> it is the</w:t>
      </w:r>
      <w:r w:rsidR="004975C0">
        <w:t xml:space="preserve"> capabilities of</w:t>
      </w:r>
      <w:r w:rsidR="00FD2F56">
        <w:t xml:space="preserve"> PEA instance which constrain the </w:t>
      </w:r>
      <w:r w:rsidR="00FD2F56" w:rsidRPr="005457EE">
        <w:rPr>
          <w:i/>
          <w:iCs/>
        </w:rPr>
        <w:t>system behavio</w:t>
      </w:r>
      <w:r w:rsidR="00FD2F56">
        <w:rPr>
          <w:i/>
          <w:iCs/>
        </w:rPr>
        <w:t xml:space="preserve">r </w:t>
      </w:r>
      <w:r w:rsidR="00FD2F56">
        <w:t xml:space="preserve">during the asset specification and operation phases. This is in good agreement with the proposed Digital Twin workflow and the alignment to the PEA </w:t>
      </w:r>
      <w:r w:rsidR="004015F4">
        <w:t>l</w:t>
      </w:r>
      <w:r w:rsidR="00FD2F56">
        <w:t>ifecycle in Figure 1</w:t>
      </w:r>
      <w:r w:rsidR="004975C0">
        <w:t>.</w:t>
      </w:r>
      <w:r w:rsidR="00FD2F56">
        <w:t xml:space="preserve"> </w:t>
      </w:r>
    </w:p>
    <w:p w14:paraId="712D2DB1" w14:textId="56D4AE8E" w:rsidR="007C1D40" w:rsidRDefault="00DB385A" w:rsidP="00385702">
      <w:pPr>
        <w:pStyle w:val="Els-body-text"/>
        <w:keepNext/>
        <w:jc w:val="center"/>
      </w:pPr>
      <w:r>
        <w:rPr>
          <w:noProof/>
        </w:rPr>
        <w:drawing>
          <wp:inline distT="0" distB="0" distL="0" distR="0" wp14:anchorId="38395A59" wp14:editId="766B8848">
            <wp:extent cx="4510457" cy="161480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33" r="33"/>
                    <a:stretch>
                      <a:fillRect/>
                    </a:stretch>
                  </pic:blipFill>
                  <pic:spPr bwMode="auto">
                    <a:xfrm>
                      <a:off x="0" y="0"/>
                      <a:ext cx="4512020" cy="1615365"/>
                    </a:xfrm>
                    <a:prstGeom prst="rect">
                      <a:avLst/>
                    </a:prstGeom>
                    <a:noFill/>
                    <a:ln>
                      <a:noFill/>
                    </a:ln>
                    <a:extLst>
                      <a:ext uri="{53640926-AAD7-44D8-BBD7-CCE9431645EC}">
                        <a14:shadowObscured xmlns:a14="http://schemas.microsoft.com/office/drawing/2010/main"/>
                      </a:ext>
                    </a:extLst>
                  </pic:spPr>
                </pic:pic>
              </a:graphicData>
            </a:graphic>
          </wp:inline>
        </w:drawing>
      </w:r>
    </w:p>
    <w:p w14:paraId="01B58E77" w14:textId="7C6A4BAB" w:rsidR="00D67A25" w:rsidRDefault="000563E1" w:rsidP="00FD2F56">
      <w:pPr>
        <w:pStyle w:val="Didascalia"/>
        <w:jc w:val="both"/>
      </w:pPr>
      <w:bookmarkStart w:id="4" w:name="_Ref152007863"/>
      <w:r>
        <w:t xml:space="preserve">Figure </w:t>
      </w:r>
      <w:r>
        <w:fldChar w:fldCharType="begin"/>
      </w:r>
      <w:r>
        <w:instrText xml:space="preserve"> SEQ Figure \* ARABIC </w:instrText>
      </w:r>
      <w:r>
        <w:fldChar w:fldCharType="separate"/>
      </w:r>
      <w:r w:rsidR="00160448">
        <w:rPr>
          <w:noProof/>
        </w:rPr>
        <w:t>2</w:t>
      </w:r>
      <w:r>
        <w:fldChar w:fldCharType="end"/>
      </w:r>
      <w:bookmarkEnd w:id="4"/>
      <w:r>
        <w:t>: Linked-data based information model</w:t>
      </w:r>
      <w:r w:rsidR="007C5BBD">
        <w:t xml:space="preserve"> architecture</w:t>
      </w:r>
      <w:r>
        <w:t xml:space="preserve"> for querying PEA</w:t>
      </w:r>
      <w:r w:rsidR="00DB385A">
        <w:t>s</w:t>
      </w:r>
      <w:r w:rsidR="00FD2F56">
        <w:t xml:space="preserve"> in COMOS</w:t>
      </w:r>
      <w:r w:rsidR="00DB385A">
        <w:t>.</w:t>
      </w:r>
      <w:r>
        <w:t xml:space="preserve"> </w:t>
      </w:r>
    </w:p>
    <w:p w14:paraId="1590781D" w14:textId="4914C85D" w:rsidR="009F0CB7" w:rsidRPr="00FD2F56" w:rsidRDefault="00FD2F56" w:rsidP="009F0CB7">
      <w:pPr>
        <w:jc w:val="both"/>
      </w:pPr>
      <w:r>
        <w:t xml:space="preserve">Figure 2 illustrates the architecture of the information model with respect to the data sources of gPROMS and COMOS. Here, the PEA description is extended with the </w:t>
      </w:r>
      <w:r w:rsidR="000F13C6">
        <w:t>DEXPI P&amp;ID</w:t>
      </w:r>
      <w:r>
        <w:t xml:space="preserve"> classes and attributes</w:t>
      </w:r>
      <w:r w:rsidR="00371399">
        <w:t xml:space="preserve"> as</w:t>
      </w:r>
      <w:r>
        <w:t xml:space="preserve"> </w:t>
      </w:r>
      <w:r w:rsidR="000F13C6">
        <w:t>DEXPI P&amp;ID</w:t>
      </w:r>
      <w:r>
        <w:t xml:space="preserve"> is widely us</w:t>
      </w:r>
      <w:r w:rsidR="00490543">
        <w:t>ed</w:t>
      </w:r>
      <w:r>
        <w:t xml:space="preserve"> in the process industry to document the equipment capabilities. </w:t>
      </w:r>
      <w:r w:rsidR="00771184">
        <w:t>The information model</w:t>
      </w:r>
      <w:r w:rsidR="00734A9A">
        <w:t xml:space="preserve"> architecture</w:t>
      </w:r>
      <w:r w:rsidR="00771184">
        <w:t xml:space="preserve"> </w:t>
      </w:r>
      <w:r w:rsidR="00F943FF">
        <w:t xml:space="preserve">in </w:t>
      </w:r>
      <w:r w:rsidR="00460832">
        <w:t>F</w:t>
      </w:r>
      <w:r w:rsidR="00F943FF">
        <w:t xml:space="preserve">igure 2 shows how the relevant technical criteria for PEA matching for both PEA types and instances can be linked </w:t>
      </w:r>
      <w:r w:rsidR="00DB385A">
        <w:t>t</w:t>
      </w:r>
      <w:r w:rsidR="00490543">
        <w:t xml:space="preserve">o the </w:t>
      </w:r>
      <w:r w:rsidR="00156851">
        <w:t>capability requirements</w:t>
      </w:r>
      <w:r w:rsidR="00C861BE">
        <w:t xml:space="preserve"> propagated by gPROMS and </w:t>
      </w:r>
      <w:r w:rsidR="00C861BE">
        <w:lastRenderedPageBreak/>
        <w:t>transferred to COMOS via BFD</w:t>
      </w:r>
      <w:r>
        <w:t xml:space="preserve">. </w:t>
      </w:r>
      <w:r w:rsidRPr="00A30893">
        <w:t xml:space="preserve">In order to query the PEA </w:t>
      </w:r>
      <w:r w:rsidR="007B3127">
        <w:t>i</w:t>
      </w:r>
      <w:r w:rsidRPr="00A30893">
        <w:t xml:space="preserve">nstances and </w:t>
      </w:r>
      <w:r w:rsidR="007B3127">
        <w:t>t</w:t>
      </w:r>
      <w:r w:rsidRPr="00A30893">
        <w:t xml:space="preserve">ypes, capability models must be </w:t>
      </w:r>
      <w:r w:rsidR="009F0CB7" w:rsidRPr="00A30893">
        <w:t>catalogued</w:t>
      </w:r>
      <w:r w:rsidRPr="00A30893">
        <w:t xml:space="preserve"> in</w:t>
      </w:r>
      <w:r w:rsidR="00490543">
        <w:t xml:space="preserve"> a</w:t>
      </w:r>
      <w:r w:rsidRPr="00A30893">
        <w:t xml:space="preserve"> PEA Pool database. The</w:t>
      </w:r>
      <w:r>
        <w:t xml:space="preserve"> technical criteria of a PEA </w:t>
      </w:r>
      <w:r w:rsidR="00F56ACF">
        <w:t>are</w:t>
      </w:r>
      <w:r w:rsidRPr="00A30893">
        <w:t xml:space="preserve"> described using the </w:t>
      </w:r>
      <w:proofErr w:type="spellStart"/>
      <w:r w:rsidRPr="009F0CB7">
        <w:rPr>
          <w:i/>
          <w:iCs/>
        </w:rPr>
        <w:t>ProcessStep</w:t>
      </w:r>
      <w:proofErr w:type="spellEnd"/>
      <w:r w:rsidR="00490543">
        <w:t xml:space="preserve"> and</w:t>
      </w:r>
      <w:r w:rsidRPr="00A30893">
        <w:t xml:space="preserve"> capabilit</w:t>
      </w:r>
      <w:r>
        <w:t>y requirements</w:t>
      </w:r>
      <w:r w:rsidRPr="00A30893">
        <w:t xml:space="preserve"> are described with </w:t>
      </w:r>
      <w:proofErr w:type="spellStart"/>
      <w:r w:rsidRPr="009F0CB7">
        <w:rPr>
          <w:i/>
          <w:iCs/>
        </w:rPr>
        <w:t>ProcessStepProperty</w:t>
      </w:r>
      <w:proofErr w:type="spellEnd"/>
      <w:r w:rsidRPr="00A30893">
        <w:t xml:space="preserve">. For the PEA </w:t>
      </w:r>
      <w:r>
        <w:t>description</w:t>
      </w:r>
      <w:r w:rsidRPr="00A30893">
        <w:t xml:space="preserve">, the </w:t>
      </w:r>
      <w:r w:rsidRPr="009F0CB7">
        <w:rPr>
          <w:i/>
          <w:iCs/>
        </w:rPr>
        <w:t>Plant Item</w:t>
      </w:r>
      <w:r w:rsidRPr="00A30893">
        <w:t xml:space="preserve"> is used and the </w:t>
      </w:r>
      <w:proofErr w:type="spellStart"/>
      <w:r w:rsidRPr="009F0CB7">
        <w:rPr>
          <w:i/>
          <w:iCs/>
        </w:rPr>
        <w:t>DesignProperty</w:t>
      </w:r>
      <w:proofErr w:type="spellEnd"/>
      <w:r w:rsidRPr="00A30893">
        <w:t xml:space="preserve"> describes the technical capabilities</w:t>
      </w:r>
      <w:r>
        <w:t xml:space="preserve">. </w:t>
      </w:r>
      <w:r w:rsidR="00960B73">
        <w:t xml:space="preserve">Here we suggest </w:t>
      </w:r>
      <w:r>
        <w:t xml:space="preserve">to extend the PEA description with </w:t>
      </w:r>
      <w:r w:rsidR="000F13C6">
        <w:t>DEXPI P&amp;ID</w:t>
      </w:r>
      <w:r>
        <w:t xml:space="preserve">, due to </w:t>
      </w:r>
      <w:r w:rsidR="004975C0">
        <w:t>its</w:t>
      </w:r>
      <w:r>
        <w:t xml:space="preserve"> acceptance in the process industry to descri</w:t>
      </w:r>
      <w:r w:rsidR="000A4816">
        <w:t>be</w:t>
      </w:r>
      <w:r>
        <w:t xml:space="preserve"> the equipment topography and design capabilities.</w:t>
      </w:r>
      <w:r w:rsidR="004975C0">
        <w:t xml:space="preserve"> </w:t>
      </w:r>
      <w:r w:rsidR="005B03DB">
        <w:t>The distinction is that</w:t>
      </w:r>
      <w:r w:rsidR="004975C0" w:rsidRPr="009330C9">
        <w:t xml:space="preserve"> PEA type has a more generalized description and the PEA instance has a more concrete constraint of the system behavior as the description considers additional aspects beyond the technical criteria.</w:t>
      </w:r>
      <w:r w:rsidR="007B3127">
        <w:t xml:space="preserve"> </w:t>
      </w:r>
      <w:r w:rsidR="009F0CB7">
        <w:t xml:space="preserve">Next, we use the architecture in </w:t>
      </w:r>
      <w:r w:rsidR="009F0CB7">
        <w:fldChar w:fldCharType="begin"/>
      </w:r>
      <w:r w:rsidR="009F0CB7">
        <w:instrText xml:space="preserve"> REF _Ref152007863 \h  \* MERGEFORMAT </w:instrText>
      </w:r>
      <w:r w:rsidR="009F0CB7">
        <w:fldChar w:fldCharType="separate"/>
      </w:r>
      <w:r w:rsidR="009F0CB7">
        <w:t xml:space="preserve">Figure </w:t>
      </w:r>
      <w:r w:rsidR="009F0CB7">
        <w:rPr>
          <w:noProof/>
        </w:rPr>
        <w:t>2</w:t>
      </w:r>
      <w:r w:rsidR="009F0CB7">
        <w:fldChar w:fldCharType="end"/>
      </w:r>
      <w:r w:rsidR="009F0CB7">
        <w:t xml:space="preserve"> to describe the capability requirements of the Buchwald – Hartwig reaction with the </w:t>
      </w:r>
      <w:r w:rsidR="009F0CB7" w:rsidRPr="009330C9">
        <w:t>PEA type “STR”</w:t>
      </w:r>
      <w:r w:rsidR="009F0CB7">
        <w:t>, and the PEA</w:t>
      </w:r>
      <w:r w:rsidR="009F0CB7" w:rsidRPr="009330C9">
        <w:t xml:space="preserve"> instance M02</w:t>
      </w:r>
      <w:r w:rsidR="009F0CB7">
        <w:t>.</w:t>
      </w:r>
      <w:r w:rsidR="009F0CB7" w:rsidRPr="009330C9">
        <w:t xml:space="preserve"> </w:t>
      </w:r>
      <w:r w:rsidR="009F0CB7">
        <w:t xml:space="preserve">These connections are modelled in </w:t>
      </w:r>
      <w:r w:rsidR="009F0CB7">
        <w:fldChar w:fldCharType="begin"/>
      </w:r>
      <w:r w:rsidR="009F0CB7">
        <w:instrText xml:space="preserve"> REF _Ref152010332 \h </w:instrText>
      </w:r>
      <w:r w:rsidR="009F0CB7">
        <w:fldChar w:fldCharType="separate"/>
      </w:r>
      <w:r w:rsidR="009F0CB7">
        <w:t xml:space="preserve">Figure </w:t>
      </w:r>
      <w:r w:rsidR="009F0CB7">
        <w:rPr>
          <w:noProof/>
        </w:rPr>
        <w:t>3</w:t>
      </w:r>
      <w:r w:rsidR="009F0CB7">
        <w:fldChar w:fldCharType="end"/>
      </w:r>
      <w:r w:rsidR="009F0CB7">
        <w:t>. Here, a distinct</w:t>
      </w:r>
      <w:r w:rsidR="000A4816">
        <w:t>ion</w:t>
      </w:r>
      <w:r w:rsidR="009F0CB7">
        <w:t xml:space="preserve"> is made between the PEA type “STR” and the P</w:t>
      </w:r>
      <w:r w:rsidR="00490543">
        <w:t>EA</w:t>
      </w:r>
      <w:r w:rsidR="009F0CB7">
        <w:t xml:space="preserve"> instance “M02” via the use of </w:t>
      </w:r>
      <w:r w:rsidR="000F13C6">
        <w:t>DEXPI P&amp;ID</w:t>
      </w:r>
      <w:r w:rsidR="009F0CB7">
        <w:t xml:space="preserve"> classes and attributes for the description of the technical criteria </w:t>
      </w:r>
      <w:r w:rsidR="0047763B">
        <w:t>of</w:t>
      </w:r>
      <w:r w:rsidR="009F0CB7">
        <w:t xml:space="preserve"> the M02 PEA instance.</w:t>
      </w:r>
    </w:p>
    <w:p w14:paraId="132F69DE" w14:textId="77D06BB3" w:rsidR="00734A9A" w:rsidRDefault="00156851" w:rsidP="00156851">
      <w:pPr>
        <w:jc w:val="center"/>
      </w:pPr>
      <w:r>
        <w:rPr>
          <w:noProof/>
        </w:rPr>
        <w:drawing>
          <wp:inline distT="0" distB="0" distL="0" distR="0" wp14:anchorId="1CD3BA6B" wp14:editId="1C110237">
            <wp:extent cx="4410075" cy="15712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t="2836" b="2836"/>
                    <a:stretch>
                      <a:fillRect/>
                    </a:stretch>
                  </pic:blipFill>
                  <pic:spPr bwMode="auto">
                    <a:xfrm>
                      <a:off x="0" y="0"/>
                      <a:ext cx="4424147" cy="1576233"/>
                    </a:xfrm>
                    <a:prstGeom prst="rect">
                      <a:avLst/>
                    </a:prstGeom>
                    <a:noFill/>
                    <a:ln>
                      <a:noFill/>
                    </a:ln>
                    <a:extLst>
                      <a:ext uri="{53640926-AAD7-44D8-BBD7-CCE9431645EC}">
                        <a14:shadowObscured xmlns:a14="http://schemas.microsoft.com/office/drawing/2010/main"/>
                      </a:ext>
                    </a:extLst>
                  </pic:spPr>
                </pic:pic>
              </a:graphicData>
            </a:graphic>
          </wp:inline>
        </w:drawing>
      </w:r>
    </w:p>
    <w:p w14:paraId="2E5E31E4" w14:textId="4AD38B9A" w:rsidR="00160448" w:rsidRDefault="00160448" w:rsidP="00FD2F56">
      <w:pPr>
        <w:pStyle w:val="Didascalia"/>
        <w:jc w:val="both"/>
      </w:pPr>
      <w:bookmarkStart w:id="5" w:name="_Ref152010332"/>
      <w:r>
        <w:t xml:space="preserve">Figure </w:t>
      </w:r>
      <w:r>
        <w:fldChar w:fldCharType="begin"/>
      </w:r>
      <w:r>
        <w:instrText xml:space="preserve"> SEQ Figure \* ARABIC </w:instrText>
      </w:r>
      <w:r>
        <w:fldChar w:fldCharType="separate"/>
      </w:r>
      <w:r>
        <w:rPr>
          <w:noProof/>
        </w:rPr>
        <w:t>3</w:t>
      </w:r>
      <w:r>
        <w:fldChar w:fldCharType="end"/>
      </w:r>
      <w:bookmarkEnd w:id="5"/>
      <w:r>
        <w:t>: Connection of the Buchwald</w:t>
      </w:r>
      <w:r w:rsidR="005B03DB">
        <w:t>-</w:t>
      </w:r>
      <w:r>
        <w:t xml:space="preserve">Hartwig </w:t>
      </w:r>
      <w:r w:rsidR="0002721B">
        <w:t>r</w:t>
      </w:r>
      <w:r>
        <w:t xml:space="preserve">eaction with the STR PEA </w:t>
      </w:r>
      <w:r w:rsidR="00D54799">
        <w:t>t</w:t>
      </w:r>
      <w:r>
        <w:t>ype</w:t>
      </w:r>
      <w:r w:rsidR="00490543">
        <w:t xml:space="preserve"> and</w:t>
      </w:r>
      <w:r>
        <w:t xml:space="preserve"> with the PEA Instance M</w:t>
      </w:r>
      <w:r w:rsidR="009F0CB7">
        <w:t>0</w:t>
      </w:r>
      <w:r>
        <w:t xml:space="preserve">2 </w:t>
      </w:r>
      <w:r w:rsidR="0002721B">
        <w:t xml:space="preserve">for the technical criteria </w:t>
      </w:r>
      <w:r w:rsidR="0002721B" w:rsidRPr="000F13C6">
        <w:rPr>
          <w:i/>
          <w:iCs/>
        </w:rPr>
        <w:t xml:space="preserve">upper temperature </w:t>
      </w:r>
      <w:r w:rsidR="003A2D60" w:rsidRPr="000F13C6">
        <w:rPr>
          <w:i/>
          <w:iCs/>
        </w:rPr>
        <w:t>limit</w:t>
      </w:r>
      <w:r w:rsidR="009F0CB7">
        <w:t xml:space="preserve"> </w:t>
      </w:r>
      <w:r w:rsidR="003A2D60">
        <w:t>using</w:t>
      </w:r>
      <w:r>
        <w:t xml:space="preserve"> OntoCAPE</w:t>
      </w:r>
      <w:r w:rsidR="000F13C6">
        <w:t xml:space="preserve"> </w:t>
      </w:r>
      <w:r>
        <w:t xml:space="preserve">and </w:t>
      </w:r>
      <w:r w:rsidR="000F13C6">
        <w:t>DEXPI P&amp;ID</w:t>
      </w:r>
      <w:r>
        <w:t xml:space="preserve">. </w:t>
      </w:r>
    </w:p>
    <w:p w14:paraId="6CA95B9D" w14:textId="21A0991E" w:rsidR="00CF7787" w:rsidRDefault="00EA0C04" w:rsidP="00CF7787">
      <w:pPr>
        <w:pStyle w:val="Els-2ndorder-head"/>
      </w:pPr>
      <w:r>
        <w:t>Formulation of Queries</w:t>
      </w:r>
    </w:p>
    <w:p w14:paraId="0A0FE51E" w14:textId="75B28AC7" w:rsidR="00160448" w:rsidRDefault="00960B73" w:rsidP="008D2716">
      <w:pPr>
        <w:pStyle w:val="Els-body-text"/>
      </w:pPr>
      <w:r>
        <w:t>The</w:t>
      </w:r>
      <w:r w:rsidR="00A62C97">
        <w:t xml:space="preserve"> </w:t>
      </w:r>
      <w:r w:rsidR="00CF7787">
        <w:t>goal of the queries i</w:t>
      </w:r>
      <w:r w:rsidR="008D2716">
        <w:t xml:space="preserve">s to </w:t>
      </w:r>
      <w:r w:rsidR="00FD3FF8">
        <w:t>generate</w:t>
      </w:r>
      <w:r w:rsidR="008D2716">
        <w:t xml:space="preserve"> lists of suitable PEA </w:t>
      </w:r>
      <w:r w:rsidR="00814656">
        <w:t>t</w:t>
      </w:r>
      <w:r w:rsidR="008D2716">
        <w:t xml:space="preserve">ypes and </w:t>
      </w:r>
      <w:r w:rsidR="00814656">
        <w:t>i</w:t>
      </w:r>
      <w:r w:rsidR="008D2716">
        <w:t>nstances, with the intention of ranking th</w:t>
      </w:r>
      <w:r w:rsidR="009F0563">
        <w:t xml:space="preserve">e suitability </w:t>
      </w:r>
      <w:r w:rsidR="008D2716">
        <w:t>based on technical and evaluative criteria</w:t>
      </w:r>
      <w:r>
        <w:t xml:space="preserve"> (Mädler, 2023)</w:t>
      </w:r>
      <w:r w:rsidR="008D2716">
        <w:t>.</w:t>
      </w:r>
      <w:r w:rsidR="00A64A70">
        <w:t xml:space="preserve"> We propose the use of the SPARQL </w:t>
      </w:r>
      <w:r w:rsidR="005B03DB">
        <w:t>query l</w:t>
      </w:r>
      <w:r w:rsidR="00A64A70">
        <w:t>anguage to search the capability models</w:t>
      </w:r>
      <w:r w:rsidR="00F943FF">
        <w:t xml:space="preserve"> of both </w:t>
      </w:r>
      <w:r w:rsidR="002C3CF7">
        <w:t xml:space="preserve">PEA types and instances </w:t>
      </w:r>
      <w:r w:rsidR="00A64A70">
        <w:t>in the PEA Poo</w:t>
      </w:r>
      <w:r w:rsidR="002B1D59">
        <w:t>l.</w:t>
      </w:r>
      <w:r w:rsidR="002C3CF7">
        <w:t xml:space="preserve"> In the example provided in Table 2, all PEA </w:t>
      </w:r>
      <w:r w:rsidR="005B03DB">
        <w:t>t</w:t>
      </w:r>
      <w:r w:rsidR="002C3CF7">
        <w:t xml:space="preserve">ypes </w:t>
      </w:r>
      <w:r w:rsidR="00F07A1B">
        <w:t xml:space="preserve">are queried for </w:t>
      </w:r>
      <w:r w:rsidR="00814656">
        <w:t xml:space="preserve">the </w:t>
      </w:r>
      <w:proofErr w:type="spellStart"/>
      <w:r w:rsidR="00814656">
        <w:t>ProcessStep</w:t>
      </w:r>
      <w:proofErr w:type="spellEnd"/>
      <w:r w:rsidR="00814656">
        <w:t xml:space="preserve"> </w:t>
      </w:r>
      <w:r w:rsidR="00D54799">
        <w:t xml:space="preserve">of </w:t>
      </w:r>
      <w:r w:rsidR="00AF6A6B">
        <w:t>r</w:t>
      </w:r>
      <w:r w:rsidR="00814656">
        <w:t xml:space="preserve">eaction, </w:t>
      </w:r>
      <w:r w:rsidR="00F07A1B">
        <w:t xml:space="preserve">and </w:t>
      </w:r>
      <w:proofErr w:type="gramStart"/>
      <w:r w:rsidR="00F07A1B">
        <w:t>the ?Properties</w:t>
      </w:r>
      <w:proofErr w:type="gramEnd"/>
      <w:r w:rsidR="00F07A1B">
        <w:t>, which are the</w:t>
      </w:r>
      <w:r w:rsidR="00A64A70">
        <w:t xml:space="preserve"> </w:t>
      </w:r>
      <w:r w:rsidR="00EA0C04">
        <w:t>technical criteri</w:t>
      </w:r>
      <w:r w:rsidR="00D54799">
        <w:t>a</w:t>
      </w:r>
      <w:r w:rsidR="00F07A1B">
        <w:t xml:space="preserve">, are displayed for </w:t>
      </w:r>
      <w:r w:rsidR="00D54799">
        <w:t>two example</w:t>
      </w:r>
      <w:r w:rsidR="00F07A1B">
        <w:t xml:space="preserve"> reactor type</w:t>
      </w:r>
      <w:r w:rsidR="00D54799">
        <w:t>s (STR and PFR)</w:t>
      </w:r>
      <w:r>
        <w:t>.</w:t>
      </w:r>
      <w:r w:rsidR="009F0CB7" w:rsidRPr="009F0CB7">
        <w:t xml:space="preserve"> </w:t>
      </w:r>
      <w:r w:rsidR="009F0CB7">
        <w:t xml:space="preserve">We propose, that these technical criteria-based queries be used to propagate the lists of suitable PEA types and PEA instances. However, to evaluate these criteria, </w:t>
      </w:r>
      <w:r w:rsidR="005B03DB">
        <w:t xml:space="preserve">the methods from </w:t>
      </w:r>
      <w:r w:rsidR="009F0CB7">
        <w:t>Schindel et al.</w:t>
      </w:r>
      <w:r w:rsidR="005B03DB">
        <w:t xml:space="preserve"> (</w:t>
      </w:r>
      <w:r w:rsidR="009F0CB7">
        <w:t>2021) or Harding et al.</w:t>
      </w:r>
      <w:r w:rsidR="005B03DB">
        <w:t xml:space="preserve"> (</w:t>
      </w:r>
      <w:r w:rsidR="009F0CB7">
        <w:t>2021) should be employed.</w:t>
      </w:r>
    </w:p>
    <w:p w14:paraId="68936E93" w14:textId="71E26BA5" w:rsidR="00EA0C04" w:rsidRDefault="00EA0C04" w:rsidP="00D20224">
      <w:pPr>
        <w:pStyle w:val="Didascalia"/>
        <w:keepNext/>
      </w:pPr>
      <w:bookmarkStart w:id="6" w:name="_Ref150325747"/>
      <w:r>
        <w:t xml:space="preserve">Table </w:t>
      </w:r>
      <w:r>
        <w:fldChar w:fldCharType="begin"/>
      </w:r>
      <w:r>
        <w:instrText xml:space="preserve"> SEQ Table \* ARABIC </w:instrText>
      </w:r>
      <w:r>
        <w:fldChar w:fldCharType="separate"/>
      </w:r>
      <w:r w:rsidR="00160448">
        <w:rPr>
          <w:noProof/>
        </w:rPr>
        <w:t>2</w:t>
      </w:r>
      <w:r>
        <w:fldChar w:fldCharType="end"/>
      </w:r>
      <w:bookmarkEnd w:id="6"/>
      <w:r>
        <w:t xml:space="preserve">: Example </w:t>
      </w:r>
      <w:r w:rsidR="00D54799">
        <w:t xml:space="preserve">result from a </w:t>
      </w:r>
      <w:r w:rsidR="000563E1">
        <w:t>SPARQL q</w:t>
      </w:r>
      <w:r>
        <w:t>uery</w:t>
      </w:r>
      <w:r w:rsidR="00D54799">
        <w:t xml:space="preserve"> for </w:t>
      </w:r>
      <w:proofErr w:type="spellStart"/>
      <w:r w:rsidR="00D54799">
        <w:t>ProcessStep</w:t>
      </w:r>
      <w:proofErr w:type="spellEnd"/>
      <w:r w:rsidR="00D54799">
        <w:t xml:space="preserve"> = Reaction from a PEA databank.</w:t>
      </w:r>
    </w:p>
    <w:tbl>
      <w:tblPr>
        <w:tblStyle w:val="Grigliatabella"/>
        <w:tblW w:w="7076" w:type="dxa"/>
        <w:jc w:val="center"/>
        <w:tblLook w:val="04A0" w:firstRow="1" w:lastRow="0" w:firstColumn="1" w:lastColumn="0" w:noHBand="0" w:noVBand="1"/>
      </w:tblPr>
      <w:tblGrid>
        <w:gridCol w:w="1746"/>
        <w:gridCol w:w="1651"/>
        <w:gridCol w:w="1560"/>
        <w:gridCol w:w="2119"/>
      </w:tblGrid>
      <w:tr w:rsidR="00D54799" w14:paraId="5F8967AB" w14:textId="4EC8FD24" w:rsidTr="00D54799">
        <w:trPr>
          <w:trHeight w:val="137"/>
          <w:jc w:val="center"/>
        </w:trPr>
        <w:tc>
          <w:tcPr>
            <w:tcW w:w="1746" w:type="dxa"/>
            <w:vMerge w:val="restart"/>
          </w:tcPr>
          <w:p w14:paraId="7646DC70" w14:textId="275033D7" w:rsidR="00D54799" w:rsidRPr="009F0CB7" w:rsidRDefault="00D54799" w:rsidP="009F0CB7">
            <w:pPr>
              <w:pStyle w:val="Els-body-text"/>
              <w:jc w:val="left"/>
              <w:rPr>
                <w:sz w:val="18"/>
                <w:szCs w:val="18"/>
              </w:rPr>
            </w:pPr>
            <w:r w:rsidRPr="009F0CB7">
              <w:rPr>
                <w:sz w:val="18"/>
                <w:szCs w:val="18"/>
              </w:rPr>
              <w:t>Query</w:t>
            </w:r>
          </w:p>
        </w:tc>
        <w:tc>
          <w:tcPr>
            <w:tcW w:w="5330" w:type="dxa"/>
            <w:gridSpan w:val="3"/>
          </w:tcPr>
          <w:p w14:paraId="0FA427D8" w14:textId="5598E0D5" w:rsidR="00D54799" w:rsidRPr="009F0CB7" w:rsidRDefault="00D54799" w:rsidP="009F0CB7">
            <w:pPr>
              <w:pStyle w:val="Els-body-text"/>
              <w:jc w:val="left"/>
              <w:rPr>
                <w:sz w:val="18"/>
                <w:szCs w:val="18"/>
              </w:rPr>
            </w:pPr>
            <w:r w:rsidRPr="009F0CB7">
              <w:rPr>
                <w:sz w:val="18"/>
                <w:szCs w:val="18"/>
              </w:rPr>
              <w:t>Result</w:t>
            </w:r>
          </w:p>
        </w:tc>
      </w:tr>
      <w:tr w:rsidR="00D54799" w14:paraId="7AE92C23" w14:textId="2799542D" w:rsidTr="00D54799">
        <w:trPr>
          <w:trHeight w:val="137"/>
          <w:jc w:val="center"/>
        </w:trPr>
        <w:tc>
          <w:tcPr>
            <w:tcW w:w="1746" w:type="dxa"/>
            <w:vMerge/>
          </w:tcPr>
          <w:p w14:paraId="1D665C21" w14:textId="3C0F056E" w:rsidR="00D54799" w:rsidRPr="009F0CB7" w:rsidRDefault="00D54799" w:rsidP="009F0CB7">
            <w:pPr>
              <w:pStyle w:val="Els-body-text"/>
              <w:jc w:val="left"/>
              <w:rPr>
                <w:sz w:val="18"/>
                <w:szCs w:val="18"/>
              </w:rPr>
            </w:pPr>
          </w:p>
        </w:tc>
        <w:tc>
          <w:tcPr>
            <w:tcW w:w="1651" w:type="dxa"/>
          </w:tcPr>
          <w:p w14:paraId="23F0B780" w14:textId="271BE2EF" w:rsidR="00D54799" w:rsidRPr="009F0CB7" w:rsidRDefault="00D54799" w:rsidP="009F0CB7">
            <w:pPr>
              <w:pStyle w:val="Els-body-text"/>
              <w:jc w:val="left"/>
              <w:rPr>
                <w:sz w:val="18"/>
                <w:szCs w:val="18"/>
              </w:rPr>
            </w:pPr>
            <w:proofErr w:type="gramStart"/>
            <w:r w:rsidRPr="009F0CB7">
              <w:rPr>
                <w:sz w:val="18"/>
                <w:szCs w:val="18"/>
              </w:rPr>
              <w:t>?Property</w:t>
            </w:r>
            <w:proofErr w:type="gramEnd"/>
          </w:p>
        </w:tc>
        <w:tc>
          <w:tcPr>
            <w:tcW w:w="1560" w:type="dxa"/>
          </w:tcPr>
          <w:p w14:paraId="3B9267D5" w14:textId="3534DF01" w:rsidR="00D54799" w:rsidRPr="009F0CB7" w:rsidRDefault="00D54799" w:rsidP="009F0CB7">
            <w:pPr>
              <w:pStyle w:val="Els-body-text"/>
              <w:jc w:val="left"/>
              <w:rPr>
                <w:sz w:val="18"/>
                <w:szCs w:val="18"/>
              </w:rPr>
            </w:pPr>
            <w:r w:rsidRPr="009F0CB7">
              <w:rPr>
                <w:sz w:val="18"/>
                <w:szCs w:val="18"/>
              </w:rPr>
              <w:t>STR</w:t>
            </w:r>
          </w:p>
        </w:tc>
        <w:tc>
          <w:tcPr>
            <w:tcW w:w="2119" w:type="dxa"/>
          </w:tcPr>
          <w:p w14:paraId="403EF97F" w14:textId="2E8F2EEA" w:rsidR="00D54799" w:rsidRPr="009F0CB7" w:rsidRDefault="00D54799" w:rsidP="009F0CB7">
            <w:pPr>
              <w:pStyle w:val="Els-body-text"/>
              <w:jc w:val="left"/>
              <w:rPr>
                <w:sz w:val="18"/>
                <w:szCs w:val="18"/>
              </w:rPr>
            </w:pPr>
            <w:r w:rsidRPr="009F0CB7">
              <w:rPr>
                <w:sz w:val="18"/>
                <w:szCs w:val="18"/>
              </w:rPr>
              <w:t>PFR</w:t>
            </w:r>
          </w:p>
        </w:tc>
      </w:tr>
      <w:tr w:rsidR="00D54799" w14:paraId="6199D2D9" w14:textId="4AF64AFD" w:rsidTr="00D54799">
        <w:trPr>
          <w:trHeight w:val="733"/>
          <w:jc w:val="center"/>
        </w:trPr>
        <w:tc>
          <w:tcPr>
            <w:tcW w:w="1746" w:type="dxa"/>
          </w:tcPr>
          <w:p w14:paraId="1D6C5F89" w14:textId="51A9D07C" w:rsidR="00D54799" w:rsidRPr="006243CB" w:rsidRDefault="00D54799" w:rsidP="0073244D">
            <w:pPr>
              <w:pStyle w:val="Els-body-text"/>
              <w:rPr>
                <w:sz w:val="18"/>
                <w:szCs w:val="18"/>
              </w:rPr>
            </w:pPr>
            <w:proofErr w:type="gramStart"/>
            <w:r>
              <w:rPr>
                <w:sz w:val="18"/>
                <w:szCs w:val="18"/>
              </w:rPr>
              <w:t>?</w:t>
            </w:r>
            <w:proofErr w:type="spellStart"/>
            <w:r>
              <w:rPr>
                <w:sz w:val="18"/>
                <w:szCs w:val="18"/>
              </w:rPr>
              <w:t>Reaction</w:t>
            </w:r>
            <w:proofErr w:type="gramEnd"/>
            <w:r>
              <w:rPr>
                <w:sz w:val="18"/>
                <w:szCs w:val="18"/>
              </w:rPr>
              <w:t>?Properties</w:t>
            </w:r>
            <w:proofErr w:type="spellEnd"/>
          </w:p>
        </w:tc>
        <w:tc>
          <w:tcPr>
            <w:tcW w:w="1651" w:type="dxa"/>
          </w:tcPr>
          <w:p w14:paraId="7CC4921C" w14:textId="77777777" w:rsidR="00D54799" w:rsidRDefault="00D54799" w:rsidP="008D2716">
            <w:pPr>
              <w:pStyle w:val="Els-body-text"/>
              <w:rPr>
                <w:sz w:val="18"/>
                <w:szCs w:val="18"/>
              </w:rPr>
            </w:pPr>
            <w:proofErr w:type="gramStart"/>
            <w:r>
              <w:rPr>
                <w:sz w:val="18"/>
                <w:szCs w:val="18"/>
              </w:rPr>
              <w:t>?</w:t>
            </w:r>
            <w:proofErr w:type="spellStart"/>
            <w:r>
              <w:rPr>
                <w:sz w:val="18"/>
                <w:szCs w:val="18"/>
              </w:rPr>
              <w:t>ReactionType</w:t>
            </w:r>
            <w:proofErr w:type="spellEnd"/>
            <w:proofErr w:type="gramEnd"/>
          </w:p>
          <w:p w14:paraId="29FCCC59" w14:textId="354A573E" w:rsidR="00D54799" w:rsidRPr="00571754" w:rsidRDefault="00D54799" w:rsidP="008D2716">
            <w:pPr>
              <w:pStyle w:val="Els-body-text"/>
              <w:rPr>
                <w:sz w:val="18"/>
                <w:szCs w:val="18"/>
              </w:rPr>
            </w:pPr>
            <w:proofErr w:type="gramStart"/>
            <w:r>
              <w:rPr>
                <w:sz w:val="18"/>
                <w:szCs w:val="18"/>
              </w:rPr>
              <w:t>?</w:t>
            </w:r>
            <w:proofErr w:type="spellStart"/>
            <w:r>
              <w:rPr>
                <w:sz w:val="18"/>
                <w:szCs w:val="18"/>
              </w:rPr>
              <w:t>ReactionTime</w:t>
            </w:r>
            <w:proofErr w:type="spellEnd"/>
            <w:proofErr w:type="gramEnd"/>
            <w:r>
              <w:rPr>
                <w:sz w:val="18"/>
                <w:szCs w:val="18"/>
              </w:rPr>
              <w:br/>
              <w:t>?Temperature</w:t>
            </w:r>
            <w:r>
              <w:rPr>
                <w:sz w:val="18"/>
                <w:szCs w:val="18"/>
              </w:rPr>
              <w:br/>
              <w:t>?Pressure</w:t>
            </w:r>
          </w:p>
        </w:tc>
        <w:tc>
          <w:tcPr>
            <w:tcW w:w="1560" w:type="dxa"/>
          </w:tcPr>
          <w:p w14:paraId="27071F04" w14:textId="77777777" w:rsidR="00D54799" w:rsidRDefault="00D54799" w:rsidP="008D2716">
            <w:pPr>
              <w:pStyle w:val="Els-body-text"/>
              <w:rPr>
                <w:sz w:val="18"/>
                <w:szCs w:val="18"/>
              </w:rPr>
            </w:pPr>
            <w:r>
              <w:rPr>
                <w:sz w:val="18"/>
                <w:szCs w:val="18"/>
              </w:rPr>
              <w:t>Liquid-liquid</w:t>
            </w:r>
          </w:p>
          <w:p w14:paraId="3BEE26C0" w14:textId="5D59B465" w:rsidR="00D54799" w:rsidRDefault="00D54799" w:rsidP="008D2716">
            <w:pPr>
              <w:pStyle w:val="Els-body-text"/>
              <w:rPr>
                <w:sz w:val="18"/>
                <w:szCs w:val="18"/>
              </w:rPr>
            </w:pPr>
            <w:r>
              <w:rPr>
                <w:sz w:val="18"/>
                <w:szCs w:val="18"/>
              </w:rPr>
              <w:t>Broad</w:t>
            </w:r>
          </w:p>
          <w:p w14:paraId="09CF7321" w14:textId="3BFCF294" w:rsidR="00D54799" w:rsidRDefault="00A56C1A" w:rsidP="008D2716">
            <w:pPr>
              <w:pStyle w:val="Els-body-text"/>
              <w:rPr>
                <w:sz w:val="18"/>
                <w:szCs w:val="18"/>
              </w:rPr>
            </w:pPr>
            <w:r>
              <w:rPr>
                <w:sz w:val="18"/>
                <w:szCs w:val="18"/>
              </w:rPr>
              <w:t>30</w:t>
            </w:r>
            <w:r w:rsidR="00D54799">
              <w:rPr>
                <w:sz w:val="18"/>
                <w:szCs w:val="18"/>
              </w:rPr>
              <w:t xml:space="preserve"> – 150 °C</w:t>
            </w:r>
          </w:p>
          <w:p w14:paraId="52FF5840" w14:textId="6FCBE11F" w:rsidR="00D54799" w:rsidRDefault="00D54799" w:rsidP="008D2716">
            <w:pPr>
              <w:pStyle w:val="Els-body-text"/>
              <w:rPr>
                <w:sz w:val="18"/>
                <w:szCs w:val="18"/>
              </w:rPr>
            </w:pPr>
            <w:r>
              <w:rPr>
                <w:sz w:val="18"/>
                <w:szCs w:val="18"/>
              </w:rPr>
              <w:t>Mild</w:t>
            </w:r>
          </w:p>
        </w:tc>
        <w:tc>
          <w:tcPr>
            <w:tcW w:w="2119" w:type="dxa"/>
          </w:tcPr>
          <w:p w14:paraId="34CF6A0A" w14:textId="77777777" w:rsidR="00D54799" w:rsidRDefault="00D54799" w:rsidP="008D2716">
            <w:pPr>
              <w:pStyle w:val="Els-body-text"/>
              <w:rPr>
                <w:sz w:val="18"/>
                <w:szCs w:val="18"/>
              </w:rPr>
            </w:pPr>
            <w:r>
              <w:rPr>
                <w:sz w:val="18"/>
                <w:szCs w:val="18"/>
              </w:rPr>
              <w:t>Gas-liquid; liquid-liquid</w:t>
            </w:r>
          </w:p>
          <w:p w14:paraId="1399A5FC" w14:textId="77777777" w:rsidR="00D54799" w:rsidRDefault="00D54799" w:rsidP="008D2716">
            <w:pPr>
              <w:pStyle w:val="Els-body-text"/>
              <w:rPr>
                <w:sz w:val="18"/>
                <w:szCs w:val="18"/>
              </w:rPr>
            </w:pPr>
            <w:r>
              <w:rPr>
                <w:sz w:val="18"/>
                <w:szCs w:val="18"/>
              </w:rPr>
              <w:t>Narrow</w:t>
            </w:r>
          </w:p>
          <w:p w14:paraId="363773D3" w14:textId="4170ED67" w:rsidR="00D54799" w:rsidRDefault="00D54799" w:rsidP="008D2716">
            <w:pPr>
              <w:pStyle w:val="Els-body-text"/>
              <w:rPr>
                <w:sz w:val="18"/>
                <w:szCs w:val="18"/>
              </w:rPr>
            </w:pPr>
            <w:r>
              <w:rPr>
                <w:sz w:val="18"/>
                <w:szCs w:val="18"/>
              </w:rPr>
              <w:t xml:space="preserve">80 </w:t>
            </w:r>
            <w:r w:rsidR="00071414">
              <w:rPr>
                <w:sz w:val="18"/>
                <w:szCs w:val="18"/>
              </w:rPr>
              <w:t>–</w:t>
            </w:r>
            <w:r w:rsidR="00A56C1A">
              <w:rPr>
                <w:sz w:val="18"/>
                <w:szCs w:val="18"/>
              </w:rPr>
              <w:t xml:space="preserve"> </w:t>
            </w:r>
            <w:r>
              <w:rPr>
                <w:sz w:val="18"/>
                <w:szCs w:val="18"/>
              </w:rPr>
              <w:t>200</w:t>
            </w:r>
            <w:r w:rsidR="00071414">
              <w:rPr>
                <w:sz w:val="18"/>
                <w:szCs w:val="18"/>
              </w:rPr>
              <w:t xml:space="preserve"> </w:t>
            </w:r>
            <w:r>
              <w:rPr>
                <w:sz w:val="18"/>
                <w:szCs w:val="18"/>
              </w:rPr>
              <w:t>°C</w:t>
            </w:r>
          </w:p>
          <w:p w14:paraId="65A79B2F" w14:textId="7B17B00F" w:rsidR="00D54799" w:rsidRDefault="00D54799" w:rsidP="008D2716">
            <w:pPr>
              <w:pStyle w:val="Els-body-text"/>
              <w:rPr>
                <w:sz w:val="18"/>
                <w:szCs w:val="18"/>
              </w:rPr>
            </w:pPr>
            <w:r>
              <w:rPr>
                <w:sz w:val="18"/>
                <w:szCs w:val="18"/>
              </w:rPr>
              <w:t xml:space="preserve">Up to 20 </w:t>
            </w:r>
            <w:proofErr w:type="gramStart"/>
            <w:r>
              <w:rPr>
                <w:sz w:val="18"/>
                <w:szCs w:val="18"/>
              </w:rPr>
              <w:t>bar</w:t>
            </w:r>
            <w:proofErr w:type="gramEnd"/>
          </w:p>
        </w:tc>
      </w:tr>
    </w:tbl>
    <w:p w14:paraId="3E0E75AD" w14:textId="3D540D0E" w:rsidR="003503F2" w:rsidRDefault="008D2716" w:rsidP="003503F2">
      <w:pPr>
        <w:pStyle w:val="Els-1storder-head"/>
      </w:pPr>
      <w:r>
        <w:t>D</w:t>
      </w:r>
      <w:r w:rsidR="003503F2">
        <w:t>iscussi</w:t>
      </w:r>
      <w:r w:rsidR="00AD5A78">
        <w:t>on</w:t>
      </w:r>
      <w:r w:rsidR="00684144">
        <w:t xml:space="preserve"> and Conclusion</w:t>
      </w:r>
    </w:p>
    <w:p w14:paraId="206FD4BB" w14:textId="6BF740F9" w:rsidR="006243CB" w:rsidRDefault="00814656" w:rsidP="003503F2">
      <w:pPr>
        <w:pStyle w:val="Els-body-text"/>
      </w:pPr>
      <w:r>
        <w:t xml:space="preserve">This paper presented </w:t>
      </w:r>
      <w:r w:rsidR="00455EF2">
        <w:t xml:space="preserve">an </w:t>
      </w:r>
      <w:r>
        <w:t xml:space="preserve">information model describing </w:t>
      </w:r>
      <w:r w:rsidR="00455EF2">
        <w:t>capability models of both PEA types</w:t>
      </w:r>
      <w:r w:rsidR="003C095D">
        <w:t xml:space="preserve"> and instances</w:t>
      </w:r>
      <w:r w:rsidR="00455EF2">
        <w:t>, with emphasis on th</w:t>
      </w:r>
      <w:r w:rsidR="00F07A1B">
        <w:t xml:space="preserve">e </w:t>
      </w:r>
      <w:r w:rsidR="00455EF2">
        <w:t>technical criteria</w:t>
      </w:r>
      <w:r w:rsidR="003C095D">
        <w:t xml:space="preserve">. Using this information model, an example </w:t>
      </w:r>
      <w:r w:rsidR="00FE57A7">
        <w:t>que</w:t>
      </w:r>
      <w:r w:rsidR="00455EF2">
        <w:t>ry</w:t>
      </w:r>
      <w:r w:rsidR="003C095D">
        <w:t xml:space="preserve"> and result was illustrat</w:t>
      </w:r>
      <w:r w:rsidR="00771184">
        <w:t>ed</w:t>
      </w:r>
      <w:r w:rsidR="003C095D">
        <w:t xml:space="preserve"> for PEA types for the process step </w:t>
      </w:r>
      <w:r w:rsidR="003C095D">
        <w:lastRenderedPageBreak/>
        <w:t>“react</w:t>
      </w:r>
      <w:r w:rsidR="00771184">
        <w:t>ion</w:t>
      </w:r>
      <w:r w:rsidR="003C095D">
        <w:t>”.</w:t>
      </w:r>
      <w:r w:rsidR="00FE57A7">
        <w:t xml:space="preserve"> </w:t>
      </w:r>
      <w:r w:rsidR="00771184">
        <w:t>As a use case, the technical criteria from the</w:t>
      </w:r>
      <w:r w:rsidR="00FE57A7">
        <w:t xml:space="preserve"> Buchwald-</w:t>
      </w:r>
      <w:r w:rsidR="007B3127">
        <w:t>Hartwig r</w:t>
      </w:r>
      <w:r w:rsidR="00FE57A7">
        <w:t xml:space="preserve">eaction </w:t>
      </w:r>
      <w:r w:rsidR="00C861BE">
        <w:t xml:space="preserve">linked to a </w:t>
      </w:r>
      <w:r w:rsidR="002A644A">
        <w:t xml:space="preserve">stirred tank reactor </w:t>
      </w:r>
      <w:r w:rsidR="00C861BE">
        <w:t xml:space="preserve">type, and </w:t>
      </w:r>
      <w:r w:rsidR="00FD2F56">
        <w:t>a</w:t>
      </w:r>
      <w:r w:rsidR="00C861BE">
        <w:t xml:space="preserve"> specific PEA instance</w:t>
      </w:r>
      <w:r w:rsidR="007B3127">
        <w:t xml:space="preserve"> of M02</w:t>
      </w:r>
      <w:r w:rsidR="00C861BE">
        <w:t xml:space="preserve">. Although the information model presented in this paper is a reasonable step towards PEA matching, the problem is in reality much more complex. Here, aspects such as service matching and recipes must be considered with respect to the IEC 61512-1 and VDI/VDI/NAMUR 2658 standard for the MTP. </w:t>
      </w:r>
      <w:r w:rsidR="004975C0">
        <w:t xml:space="preserve">Additionally, the product specification in the DT workflow is considered to be a recipe </w:t>
      </w:r>
      <w:r w:rsidR="00937C85">
        <w:t>therefore</w:t>
      </w:r>
      <w:r w:rsidR="004975C0">
        <w:t xml:space="preserve"> alignment and integration of the IEC 61512-1 is a </w:t>
      </w:r>
      <w:r w:rsidR="007B3127">
        <w:t>key</w:t>
      </w:r>
      <w:r w:rsidR="004975C0">
        <w:t xml:space="preserve"> next step to expand upon the </w:t>
      </w:r>
      <w:r w:rsidR="007B3127">
        <w:t xml:space="preserve">presented </w:t>
      </w:r>
      <w:r w:rsidR="004975C0">
        <w:t xml:space="preserve">information model. </w:t>
      </w:r>
    </w:p>
    <w:p w14:paraId="144DE6BF" w14:textId="608D0AD6" w:rsidR="008D2649" w:rsidRDefault="008D2649" w:rsidP="008D2649">
      <w:pPr>
        <w:pStyle w:val="Els-reference-head"/>
      </w:pPr>
      <w:r>
        <w:t>References</w:t>
      </w:r>
    </w:p>
    <w:p w14:paraId="175BC6D9" w14:textId="0ADDCD7A" w:rsidR="009F0CB7" w:rsidRDefault="009F0CB7" w:rsidP="009F0CB7">
      <w:pPr>
        <w:pStyle w:val="Els-referenceno-number"/>
        <w:rPr>
          <w:szCs w:val="18"/>
          <w:lang w:val="en-US"/>
        </w:rPr>
      </w:pPr>
      <w:r w:rsidRPr="00464D4B">
        <w:rPr>
          <w:szCs w:val="18"/>
          <w:lang w:val="en-US"/>
        </w:rPr>
        <w:t xml:space="preserve">A. Bamberg, L. Urbas, S. Bröcker, M. Bortz, and N. Kockmann, 2021. </w:t>
      </w:r>
      <w:r w:rsidRPr="00054D4B">
        <w:rPr>
          <w:szCs w:val="18"/>
          <w:lang w:val="en-US"/>
        </w:rPr>
        <w:t>The Digital Twin – Your Ingenious Companion for Process Engineering and Smart Production. Chemical Engineering &amp; Technology 44, 954–961. https://doi.org/10.1002/ceat.202000562</w:t>
      </w:r>
    </w:p>
    <w:p w14:paraId="7A2065BB" w14:textId="04D51E33" w:rsidR="007B3127" w:rsidRPr="007B3127" w:rsidRDefault="007B3127" w:rsidP="009F0CB7">
      <w:pPr>
        <w:pStyle w:val="Els-referenceno-number"/>
        <w:rPr>
          <w:szCs w:val="18"/>
        </w:rPr>
      </w:pPr>
      <w:r>
        <w:rPr>
          <w:szCs w:val="18"/>
        </w:rPr>
        <w:t>D. H</w:t>
      </w:r>
      <w:r w:rsidRPr="007B3127">
        <w:rPr>
          <w:szCs w:val="18"/>
        </w:rPr>
        <w:t xml:space="preserve">arding, </w:t>
      </w:r>
      <w:r>
        <w:rPr>
          <w:szCs w:val="18"/>
        </w:rPr>
        <w:t>M.</w:t>
      </w:r>
      <w:r w:rsidRPr="007B3127">
        <w:rPr>
          <w:szCs w:val="18"/>
        </w:rPr>
        <w:t xml:space="preserve"> Polyakova, </w:t>
      </w:r>
      <w:r>
        <w:rPr>
          <w:szCs w:val="18"/>
        </w:rPr>
        <w:t>D.</w:t>
      </w:r>
      <w:r w:rsidRPr="007B3127">
        <w:rPr>
          <w:szCs w:val="18"/>
        </w:rPr>
        <w:t xml:space="preserve"> Nowara, </w:t>
      </w:r>
      <w:r>
        <w:rPr>
          <w:szCs w:val="18"/>
        </w:rPr>
        <w:t>S.</w:t>
      </w:r>
      <w:r w:rsidRPr="007B3127">
        <w:rPr>
          <w:szCs w:val="18"/>
        </w:rPr>
        <w:t xml:space="preserve"> Rech, </w:t>
      </w:r>
      <w:r>
        <w:rPr>
          <w:szCs w:val="18"/>
        </w:rPr>
        <w:t>M.</w:t>
      </w:r>
      <w:r w:rsidRPr="007B3127">
        <w:rPr>
          <w:szCs w:val="18"/>
        </w:rPr>
        <w:t xml:space="preserve"> Grünewald, &amp; </w:t>
      </w:r>
      <w:r>
        <w:rPr>
          <w:szCs w:val="18"/>
        </w:rPr>
        <w:t xml:space="preserve">C. </w:t>
      </w:r>
      <w:r w:rsidRPr="007B3127">
        <w:rPr>
          <w:szCs w:val="18"/>
        </w:rPr>
        <w:t>Bramsiepe, 2021. New process function-based selection and configuration methodology for Process Equipment Assemblies (PEAs) exemplified on the unit operation distillation. Chemical Engineering and Processing - Process Intensification, 168, 108531. https://doi.org/10.1016/j.cep.2021.108531</w:t>
      </w:r>
    </w:p>
    <w:p w14:paraId="152A1F66" w14:textId="7D11C150" w:rsidR="009F0CB7" w:rsidRPr="00464D4B" w:rsidRDefault="009F0CB7" w:rsidP="007B3127">
      <w:pPr>
        <w:pStyle w:val="Els-referenceno-number"/>
        <w:rPr>
          <w:lang w:val="en-US"/>
        </w:rPr>
      </w:pPr>
      <w:r>
        <w:rPr>
          <w:lang w:val="de-DE"/>
        </w:rPr>
        <w:t xml:space="preserve">A. </w:t>
      </w:r>
      <w:r w:rsidRPr="009F0CB7">
        <w:rPr>
          <w:lang w:val="de-DE"/>
        </w:rPr>
        <w:t xml:space="preserve">Klose, </w:t>
      </w:r>
      <w:r>
        <w:rPr>
          <w:lang w:val="de-DE"/>
        </w:rPr>
        <w:t>J.</w:t>
      </w:r>
      <w:r w:rsidRPr="009F0CB7">
        <w:rPr>
          <w:lang w:val="de-DE"/>
        </w:rPr>
        <w:t xml:space="preserve"> Lorenz, </w:t>
      </w:r>
      <w:r>
        <w:rPr>
          <w:lang w:val="de-DE"/>
        </w:rPr>
        <w:t>L.</w:t>
      </w:r>
      <w:r w:rsidRPr="009F0CB7">
        <w:rPr>
          <w:lang w:val="de-DE"/>
        </w:rPr>
        <w:t xml:space="preserve"> Bittorf, </w:t>
      </w:r>
      <w:r>
        <w:rPr>
          <w:lang w:val="de-DE"/>
        </w:rPr>
        <w:t>K.</w:t>
      </w:r>
      <w:r w:rsidRPr="009F0CB7">
        <w:rPr>
          <w:lang w:val="de-DE"/>
        </w:rPr>
        <w:t xml:space="preserve"> Stark, </w:t>
      </w:r>
      <w:r>
        <w:rPr>
          <w:lang w:val="de-DE"/>
        </w:rPr>
        <w:t>M.</w:t>
      </w:r>
      <w:r w:rsidRPr="009F0CB7">
        <w:rPr>
          <w:lang w:val="de-DE"/>
        </w:rPr>
        <w:t xml:space="preserve"> Hoernicke, </w:t>
      </w:r>
      <w:r>
        <w:rPr>
          <w:lang w:val="de-DE"/>
        </w:rPr>
        <w:t>A.</w:t>
      </w:r>
      <w:r w:rsidRPr="009F0CB7">
        <w:rPr>
          <w:lang w:val="de-DE"/>
        </w:rPr>
        <w:t xml:space="preserve"> Stutz, </w:t>
      </w:r>
      <w:r>
        <w:rPr>
          <w:lang w:val="de-DE"/>
        </w:rPr>
        <w:t xml:space="preserve">H. </w:t>
      </w:r>
      <w:r w:rsidRPr="009F0CB7">
        <w:rPr>
          <w:lang w:val="de-DE"/>
        </w:rPr>
        <w:t xml:space="preserve">Weinhold, </w:t>
      </w:r>
      <w:r>
        <w:rPr>
          <w:lang w:val="de-DE"/>
        </w:rPr>
        <w:t>N.</w:t>
      </w:r>
      <w:r w:rsidRPr="009F0CB7">
        <w:rPr>
          <w:lang w:val="de-DE"/>
        </w:rPr>
        <w:t xml:space="preserve"> Kr</w:t>
      </w:r>
      <w:r>
        <w:rPr>
          <w:lang w:val="de-DE"/>
        </w:rPr>
        <w:t>ink</w:t>
      </w:r>
      <w:r w:rsidRPr="009F0CB7">
        <w:rPr>
          <w:lang w:val="de-DE"/>
        </w:rPr>
        <w:t xml:space="preserve">, </w:t>
      </w:r>
      <w:r>
        <w:rPr>
          <w:lang w:val="de-DE"/>
        </w:rPr>
        <w:t xml:space="preserve">W. </w:t>
      </w:r>
      <w:r w:rsidRPr="009F0CB7">
        <w:rPr>
          <w:lang w:val="de-DE"/>
        </w:rPr>
        <w:t xml:space="preserve">Welscher, </w:t>
      </w:r>
      <w:r>
        <w:rPr>
          <w:lang w:val="de-DE"/>
        </w:rPr>
        <w:t>M.</w:t>
      </w:r>
      <w:r w:rsidRPr="009F0CB7">
        <w:rPr>
          <w:lang w:val="de-DE"/>
        </w:rPr>
        <w:t xml:space="preserve"> Eckert, </w:t>
      </w:r>
      <w:r w:rsidR="007B3127">
        <w:rPr>
          <w:lang w:val="de-DE"/>
        </w:rPr>
        <w:t>S.</w:t>
      </w:r>
      <w:r w:rsidRPr="009F0CB7">
        <w:rPr>
          <w:lang w:val="de-DE"/>
        </w:rPr>
        <w:t xml:space="preserve"> Unland, </w:t>
      </w:r>
      <w:r w:rsidR="007B3127">
        <w:rPr>
          <w:lang w:val="de-DE"/>
        </w:rPr>
        <w:t xml:space="preserve">A. </w:t>
      </w:r>
      <w:r w:rsidRPr="009F0CB7">
        <w:rPr>
          <w:lang w:val="de-DE"/>
        </w:rPr>
        <w:t>Menschner,</w:t>
      </w:r>
      <w:r w:rsidR="007B3127">
        <w:rPr>
          <w:lang w:val="de-DE"/>
        </w:rPr>
        <w:t xml:space="preserve"> P.</w:t>
      </w:r>
      <w:r w:rsidRPr="009F0CB7">
        <w:rPr>
          <w:lang w:val="de-DE"/>
        </w:rPr>
        <w:t xml:space="preserve"> Da Silva Santos, </w:t>
      </w:r>
      <w:r w:rsidR="007B3127">
        <w:rPr>
          <w:lang w:val="de-DE"/>
        </w:rPr>
        <w:t>N.</w:t>
      </w:r>
      <w:r w:rsidRPr="009F0CB7">
        <w:rPr>
          <w:lang w:val="de-DE"/>
        </w:rPr>
        <w:t xml:space="preserve"> Kockmann, </w:t>
      </w:r>
      <w:r w:rsidR="007B3127">
        <w:rPr>
          <w:lang w:val="de-DE"/>
        </w:rPr>
        <w:t>L.</w:t>
      </w:r>
      <w:r w:rsidRPr="009F0CB7">
        <w:rPr>
          <w:lang w:val="de-DE"/>
        </w:rPr>
        <w:t xml:space="preserve"> Urbas, 2022. </w:t>
      </w:r>
      <w:r w:rsidRPr="009F0CB7">
        <w:rPr>
          <w:lang w:val="en-US"/>
        </w:rPr>
        <w:t xml:space="preserve">Orchestration of modular plants: Procedure and application for orchestration engineering. atp 63, 68–77. </w:t>
      </w:r>
      <w:hyperlink r:id="rId12" w:history="1">
        <w:r w:rsidRPr="005F7344">
          <w:rPr>
            <w:rStyle w:val="Collegamentoipertestuale"/>
            <w:lang w:val="en-US"/>
          </w:rPr>
          <w:t>https://doi.org/10.17560/atp.v63i9.2599</w:t>
        </w:r>
      </w:hyperlink>
    </w:p>
    <w:p w14:paraId="7B1A2571" w14:textId="59ADF126" w:rsidR="00AD5732" w:rsidRPr="00464D4B" w:rsidRDefault="00AD5732" w:rsidP="00F07A0D">
      <w:pPr>
        <w:pStyle w:val="Els-referenceno-number"/>
        <w:rPr>
          <w:lang w:val="de-DE"/>
        </w:rPr>
      </w:pPr>
      <w:r w:rsidRPr="00AD5732">
        <w:rPr>
          <w:lang w:val="en-US"/>
        </w:rPr>
        <w:t xml:space="preserve">A. Koch, J. Mädler, A. Bamberg, and L. Urbas, </w:t>
      </w:r>
      <w:r w:rsidR="007B3127" w:rsidRPr="007B3127">
        <w:rPr>
          <w:lang w:val="en-US"/>
        </w:rPr>
        <w:t xml:space="preserve">Digital Twins for Scale-Up in Modular Plants: Requirements, Concept, and Roadmap. In A. C. Kokossis, M. C. Georgiadis, &amp; E. Pistikopoulos (Eds.), Computer Aided Chemical Engineering (Vol. 52, pp. 2063–2068). </w:t>
      </w:r>
      <w:r w:rsidR="007B3127" w:rsidRPr="00464D4B">
        <w:rPr>
          <w:lang w:val="de-DE"/>
        </w:rPr>
        <w:t>Elsevier. https://doi.org/10.1016/B978-0-443-15274-0.50328-0</w:t>
      </w:r>
      <w:r w:rsidRPr="00464D4B">
        <w:rPr>
          <w:lang w:val="de-DE"/>
        </w:rPr>
        <w:t>.</w:t>
      </w:r>
    </w:p>
    <w:p w14:paraId="4FD5E306" w14:textId="373A37F7" w:rsidR="00F07A0D" w:rsidRDefault="00CF5BE4" w:rsidP="00F07A0D">
      <w:pPr>
        <w:pStyle w:val="Els-referenceno-number"/>
        <w:rPr>
          <w:lang w:val="en-US"/>
        </w:rPr>
      </w:pPr>
      <w:r w:rsidRPr="00CF5BE4">
        <w:rPr>
          <w:lang w:val="de-DE"/>
        </w:rPr>
        <w:t>A.</w:t>
      </w:r>
      <w:r>
        <w:rPr>
          <w:lang w:val="de-DE"/>
        </w:rPr>
        <w:t xml:space="preserve"> </w:t>
      </w:r>
      <w:r w:rsidR="00F07A0D" w:rsidRPr="00CF5BE4">
        <w:rPr>
          <w:lang w:val="de-DE"/>
        </w:rPr>
        <w:t>Koch,</w:t>
      </w:r>
      <w:r>
        <w:rPr>
          <w:lang w:val="de-DE"/>
        </w:rPr>
        <w:t xml:space="preserve"> N.</w:t>
      </w:r>
      <w:r w:rsidR="00F07A0D" w:rsidRPr="00CF5BE4">
        <w:rPr>
          <w:lang w:val="de-DE"/>
        </w:rPr>
        <w:t xml:space="preserve"> Hamedi, </w:t>
      </w:r>
      <w:r>
        <w:rPr>
          <w:lang w:val="de-DE"/>
        </w:rPr>
        <w:t>L.</w:t>
      </w:r>
      <w:r w:rsidR="00F07A0D" w:rsidRPr="00CF5BE4">
        <w:rPr>
          <w:lang w:val="de-DE"/>
        </w:rPr>
        <w:t xml:space="preserve"> Furtner, </w:t>
      </w:r>
      <w:r>
        <w:rPr>
          <w:lang w:val="de-DE"/>
        </w:rPr>
        <w:t>T.</w:t>
      </w:r>
      <w:r w:rsidR="00F07A0D" w:rsidRPr="00CF5BE4">
        <w:rPr>
          <w:lang w:val="de-DE"/>
        </w:rPr>
        <w:t xml:space="preserve"> Kock, </w:t>
      </w:r>
      <w:r>
        <w:rPr>
          <w:lang w:val="de-DE"/>
        </w:rPr>
        <w:t xml:space="preserve">A. </w:t>
      </w:r>
      <w:r w:rsidR="00F07A0D" w:rsidRPr="00CF5BE4">
        <w:rPr>
          <w:lang w:val="de-DE"/>
        </w:rPr>
        <w:t xml:space="preserve">Klose, &amp; </w:t>
      </w:r>
      <w:r>
        <w:rPr>
          <w:lang w:val="de-DE"/>
        </w:rPr>
        <w:t xml:space="preserve">J. </w:t>
      </w:r>
      <w:r w:rsidR="00F07A0D" w:rsidRPr="00CF5BE4">
        <w:rPr>
          <w:lang w:val="de-DE"/>
        </w:rPr>
        <w:t xml:space="preserve">Mädler, (2023). </w:t>
      </w:r>
      <w:r w:rsidR="00F07A0D" w:rsidRPr="00F07A0D">
        <w:rPr>
          <w:lang w:val="en-US"/>
        </w:rPr>
        <w:t xml:space="preserve">Standards for Information Models Considering Knowledge Distribution in Modular Plants. 2023 IEEE 21st International Conference on Industrial Informatics (INDIN), 1–7. </w:t>
      </w:r>
      <w:hyperlink r:id="rId13" w:history="1">
        <w:r w:rsidRPr="00EC1C65">
          <w:rPr>
            <w:rStyle w:val="Collegamentoipertestuale"/>
            <w:lang w:val="en-US"/>
          </w:rPr>
          <w:t>https://doi.org/10.1109/INDIN51400.2023.10218218</w:t>
        </w:r>
      </w:hyperlink>
    </w:p>
    <w:p w14:paraId="1291CEF9" w14:textId="77777777" w:rsidR="00CF5BE4" w:rsidRPr="00A30893" w:rsidRDefault="00CF5BE4" w:rsidP="00F07A0D">
      <w:pPr>
        <w:pStyle w:val="Els-referenceno-number"/>
      </w:pPr>
      <w:r w:rsidRPr="00CF5BE4">
        <w:rPr>
          <w:lang w:val="en-US"/>
        </w:rPr>
        <w:t xml:space="preserve">IEC 61512-1:1997, “Batch control - Part 1: Models and terminology.” </w:t>
      </w:r>
      <w:r w:rsidRPr="00A30893">
        <w:t>IEC, Aug. 1997.</w:t>
      </w:r>
    </w:p>
    <w:p w14:paraId="35FD8861" w14:textId="2736A049" w:rsidR="00CF5BE4" w:rsidRPr="00464D4B" w:rsidRDefault="00CF5BE4" w:rsidP="00F07A0D">
      <w:pPr>
        <w:pStyle w:val="Els-referenceno-number"/>
        <w:rPr>
          <w:lang w:val="de-DE"/>
        </w:rPr>
      </w:pPr>
      <w:r w:rsidRPr="00CF5BE4">
        <w:rPr>
          <w:lang w:val="en-US"/>
        </w:rPr>
        <w:t xml:space="preserve">W. Marquardt, J. Morbach, A. Wiesner, and A. Yang, OntoCAPE. in RWTHedition. </w:t>
      </w:r>
      <w:r w:rsidRPr="00464D4B">
        <w:rPr>
          <w:lang w:val="de-DE"/>
        </w:rPr>
        <w:t>Berlin, Heidelberg: Springer Berlin Heidelberg, 2010. doi: 10.1007/978-3-642-04655-1</w:t>
      </w:r>
    </w:p>
    <w:p w14:paraId="75AFCF9B" w14:textId="7B4D9FC5" w:rsidR="005B03DB" w:rsidRPr="005B03DB" w:rsidRDefault="005B03DB" w:rsidP="00F07A0D">
      <w:pPr>
        <w:pStyle w:val="Els-referenceno-number"/>
      </w:pPr>
      <w:r>
        <w:rPr>
          <w:lang w:val="de-DE"/>
        </w:rPr>
        <w:t xml:space="preserve">J. </w:t>
      </w:r>
      <w:r w:rsidRPr="005B03DB">
        <w:rPr>
          <w:lang w:val="de-DE"/>
        </w:rPr>
        <w:t>Mädler, 2023. Smarte Process Equipment Assemblies zur Unterstützung der Prozessvalidierung in modularen Anlagen.</w:t>
      </w:r>
    </w:p>
    <w:p w14:paraId="7A46E0B1" w14:textId="77777777" w:rsidR="009F0CB7" w:rsidRPr="00960B73" w:rsidRDefault="009F0CB7" w:rsidP="009F0CB7">
      <w:pPr>
        <w:pStyle w:val="Els-referenceno-number"/>
        <w:rPr>
          <w:szCs w:val="18"/>
          <w:lang w:val="de-DE"/>
        </w:rPr>
      </w:pPr>
      <w:r w:rsidRPr="00054D4B">
        <w:rPr>
          <w:szCs w:val="18"/>
          <w:lang w:val="en-US"/>
        </w:rPr>
        <w:t xml:space="preserve">J. Mädler, J. Rahm, I. Viedt, and L. Urbas, 2022, </w:t>
      </w:r>
      <w:r w:rsidRPr="00054D4B">
        <w:rPr>
          <w:szCs w:val="18"/>
        </w:rPr>
        <w:t xml:space="preserve">A digital twin-concept for smart process equipment assemblies supporting process validation in modular plants. In L. Montastruc &amp; S. Negny (Eds.), Computer Aided Chemical Engineering (Vol. 51, pp. 1435–1440). </w:t>
      </w:r>
      <w:r w:rsidRPr="00960B73">
        <w:rPr>
          <w:szCs w:val="18"/>
          <w:lang w:val="de-DE"/>
        </w:rPr>
        <w:t>Elsevier. https://doi.org/10.1016/B978-0-323-95879-0.50240-X</w:t>
      </w:r>
    </w:p>
    <w:p w14:paraId="1C3FF5FA" w14:textId="3D51B7E0" w:rsidR="00CF5BE4" w:rsidRPr="00082745" w:rsidRDefault="00CF5BE4" w:rsidP="00082745">
      <w:pPr>
        <w:pStyle w:val="Els-referenceno-number"/>
        <w:rPr>
          <w:lang w:val="en-US"/>
        </w:rPr>
      </w:pPr>
      <w:r w:rsidRPr="00960B73">
        <w:rPr>
          <w:lang w:val="de-DE"/>
        </w:rPr>
        <w:t>A. Menschner</w:t>
      </w:r>
      <w:r w:rsidR="00960B73">
        <w:rPr>
          <w:lang w:val="de-DE"/>
        </w:rPr>
        <w:t>, S.</w:t>
      </w:r>
      <w:r w:rsidRPr="00960B73">
        <w:rPr>
          <w:lang w:val="de-DE"/>
        </w:rPr>
        <w:t xml:space="preserve"> </w:t>
      </w:r>
      <w:r w:rsidR="00960B73" w:rsidRPr="00960B73">
        <w:rPr>
          <w:lang w:val="de-DE"/>
        </w:rPr>
        <w:t xml:space="preserve">Hensel, </w:t>
      </w:r>
      <w:r w:rsidR="00960B73">
        <w:rPr>
          <w:lang w:val="de-DE"/>
        </w:rPr>
        <w:t xml:space="preserve">L. </w:t>
      </w:r>
      <w:r w:rsidR="00960B73" w:rsidRPr="00960B73">
        <w:rPr>
          <w:lang w:val="de-DE"/>
        </w:rPr>
        <w:t xml:space="preserve">Urbas, </w:t>
      </w:r>
      <w:r w:rsidR="00960B73">
        <w:rPr>
          <w:lang w:val="de-DE"/>
        </w:rPr>
        <w:t>T.</w:t>
      </w:r>
      <w:r w:rsidR="00960B73" w:rsidRPr="00960B73">
        <w:rPr>
          <w:lang w:val="de-DE"/>
        </w:rPr>
        <w:t xml:space="preserve"> Holm, </w:t>
      </w:r>
      <w:r w:rsidR="00960B73">
        <w:rPr>
          <w:lang w:val="de-DE"/>
        </w:rPr>
        <w:t>C.</w:t>
      </w:r>
      <w:r w:rsidR="00960B73" w:rsidRPr="00960B73">
        <w:rPr>
          <w:lang w:val="de-DE"/>
        </w:rPr>
        <w:t xml:space="preserve"> Schäfer, </w:t>
      </w:r>
      <w:r w:rsidR="00960B73">
        <w:rPr>
          <w:lang w:val="de-DE"/>
        </w:rPr>
        <w:t>T.</w:t>
      </w:r>
      <w:r w:rsidR="00960B73" w:rsidRPr="00960B73">
        <w:rPr>
          <w:lang w:val="de-DE"/>
        </w:rPr>
        <w:t xml:space="preserve"> Scherwietes, </w:t>
      </w:r>
      <w:r w:rsidR="00960B73">
        <w:rPr>
          <w:lang w:val="de-DE"/>
        </w:rPr>
        <w:t>A.</w:t>
      </w:r>
      <w:r w:rsidR="00960B73" w:rsidRPr="00960B73">
        <w:rPr>
          <w:lang w:val="de-DE"/>
        </w:rPr>
        <w:t xml:space="preserve"> Stutz, </w:t>
      </w:r>
      <w:r w:rsidR="00960B73">
        <w:rPr>
          <w:lang w:val="de-DE"/>
        </w:rPr>
        <w:t>M.</w:t>
      </w:r>
      <w:r w:rsidR="00960B73" w:rsidRPr="00960B73">
        <w:rPr>
          <w:lang w:val="de-DE"/>
        </w:rPr>
        <w:t xml:space="preserve"> Maumaier, </w:t>
      </w:r>
      <w:r w:rsidR="00960B73">
        <w:rPr>
          <w:lang w:val="de-DE"/>
        </w:rPr>
        <w:t>and M.</w:t>
      </w:r>
      <w:r w:rsidR="00960B73" w:rsidRPr="00960B73">
        <w:rPr>
          <w:lang w:val="de-DE"/>
        </w:rPr>
        <w:t xml:space="preserve"> Hoernicke</w:t>
      </w:r>
      <w:r w:rsidR="00960B73">
        <w:rPr>
          <w:lang w:val="de-DE"/>
        </w:rPr>
        <w:t>, 2018</w:t>
      </w:r>
      <w:r w:rsidR="00960B73" w:rsidRPr="00960B73">
        <w:rPr>
          <w:lang w:val="de-DE"/>
        </w:rPr>
        <w:t>.</w:t>
      </w:r>
      <w:r w:rsidRPr="00960B73">
        <w:rPr>
          <w:lang w:val="de-DE"/>
        </w:rPr>
        <w:t xml:space="preserve">“Module Lifecycle Model for Modular Plants,” Chem. Ing. </w:t>
      </w:r>
      <w:r w:rsidRPr="00CF5BE4">
        <w:rPr>
          <w:lang w:val="en-US"/>
        </w:rPr>
        <w:t xml:space="preserve">Tech., </w:t>
      </w:r>
      <w:r w:rsidR="00960B73">
        <w:rPr>
          <w:lang w:val="en-US"/>
        </w:rPr>
        <w:t>90(9),</w:t>
      </w:r>
      <w:r w:rsidRPr="00CF5BE4">
        <w:rPr>
          <w:lang w:val="en-US"/>
        </w:rPr>
        <w:t xml:space="preserve"> 1220</w:t>
      </w:r>
      <w:r w:rsidR="00960B73">
        <w:rPr>
          <w:lang w:val="en-US"/>
        </w:rPr>
        <w:t>-</w:t>
      </w:r>
      <w:r w:rsidRPr="00CF5BE4">
        <w:rPr>
          <w:lang w:val="en-US"/>
        </w:rPr>
        <w:t>1220, doi: 10.1002/cite.201855192.</w:t>
      </w:r>
    </w:p>
    <w:p w14:paraId="12597E7C" w14:textId="3B3E3531" w:rsidR="00082745" w:rsidRPr="00082745" w:rsidRDefault="00082745" w:rsidP="00082745">
      <w:pPr>
        <w:pStyle w:val="Els-referenceno-number"/>
        <w:rPr>
          <w:lang w:val="en-US"/>
        </w:rPr>
      </w:pPr>
      <w:r w:rsidRPr="00082745">
        <w:rPr>
          <w:lang w:val="en-US"/>
        </w:rPr>
        <w:t xml:space="preserve">R. Rosen, J. Fischer, &amp; S. Boschert, 2019, Next generation digital twin: An ecosystem for mechatronic systems?, IFAC-Paper, 52, 15, 265-270. </w:t>
      </w:r>
      <w:r w:rsidR="007B3127" w:rsidRPr="007B3127">
        <w:rPr>
          <w:lang w:val="en-US"/>
        </w:rPr>
        <w:t>https://doi.org/10.1016/j.ifacol.2019.11.685</w:t>
      </w:r>
    </w:p>
    <w:p w14:paraId="0E5628FA" w14:textId="7B06B090" w:rsidR="00082745" w:rsidRPr="00082745" w:rsidRDefault="00082745" w:rsidP="00082745">
      <w:pPr>
        <w:pStyle w:val="Els-referenceno-number"/>
        <w:rPr>
          <w:lang w:val="en-US"/>
        </w:rPr>
      </w:pPr>
      <w:r w:rsidRPr="00082745">
        <w:rPr>
          <w:lang w:val="en-US"/>
        </w:rPr>
        <w:t>A.-L. Schindel, M. Polyakova, D. Harding, H. Weinhold, F. Stenger, M. Grünewald, and C. Bramsiepe, 2021, General approach for technology and Process Equipment Assembly (PEA) selection in process design, CEP:PI, 159, 108223.</w:t>
      </w:r>
      <w:r w:rsidR="007B3127" w:rsidRPr="007B3127">
        <w:t xml:space="preserve"> </w:t>
      </w:r>
      <w:r w:rsidR="007B3127" w:rsidRPr="007B3127">
        <w:rPr>
          <w:lang w:val="en-US"/>
        </w:rPr>
        <w:t>https://doi.org/10.1016/j.cep.2020.108223</w:t>
      </w:r>
    </w:p>
    <w:p w14:paraId="1477F7AA" w14:textId="77777777" w:rsidR="009F0CB7" w:rsidRPr="00054D4B" w:rsidRDefault="009F0CB7" w:rsidP="009F0CB7">
      <w:pPr>
        <w:pStyle w:val="Els-referenceno-number"/>
        <w:rPr>
          <w:szCs w:val="18"/>
          <w:lang w:val="en-US"/>
        </w:rPr>
      </w:pPr>
      <w:r w:rsidRPr="00054D4B">
        <w:rPr>
          <w:szCs w:val="18"/>
          <w:lang w:val="en-US"/>
        </w:rPr>
        <w:t>VDI/VDE/NAMUR, 2019, VDI/VDE/NAMUR 2658-Automation engineering of modular systems in the process industry-General concept and interfaces – Part 1, Beuth Verlag GmbH.</w:t>
      </w:r>
    </w:p>
    <w:p w14:paraId="5964FFD6" w14:textId="77777777" w:rsidR="009F0CB7" w:rsidRPr="00054D4B" w:rsidRDefault="009F0CB7" w:rsidP="009F0CB7">
      <w:pPr>
        <w:pStyle w:val="Els-referenceno-number"/>
        <w:rPr>
          <w:szCs w:val="18"/>
          <w:lang w:val="de-DE"/>
        </w:rPr>
      </w:pPr>
      <w:r w:rsidRPr="00054D4B">
        <w:rPr>
          <w:szCs w:val="18"/>
        </w:rPr>
        <w:t xml:space="preserve">VDI 2776-1:2020, “Process engineering plants - Modular plants - Fundamentals and planning modular plants - Part 1 (VDI 2776:2020-11).” </w:t>
      </w:r>
      <w:r w:rsidRPr="00054D4B">
        <w:rPr>
          <w:szCs w:val="18"/>
          <w:lang w:val="de-DE"/>
        </w:rPr>
        <w:t>Beuth Verlag, Nov. 2020.</w:t>
      </w:r>
    </w:p>
    <w:p w14:paraId="144DE6C3" w14:textId="5C8B6035" w:rsidR="008D2649" w:rsidRDefault="009F0CB7" w:rsidP="009F0CB7">
      <w:pPr>
        <w:pStyle w:val="Els-referenceno-number"/>
        <w:rPr>
          <w:lang w:val="en-US"/>
        </w:rPr>
      </w:pPr>
      <w:r w:rsidRPr="00054D4B">
        <w:rPr>
          <w:szCs w:val="18"/>
          <w:lang w:val="de-DE"/>
        </w:rPr>
        <w:t xml:space="preserve">M. Wiedau, L. von Wedel, H. Temmen, R. Welke and N. Papkonstantinous, 2019. </w:t>
      </w:r>
      <w:r w:rsidRPr="00054D4B">
        <w:rPr>
          <w:szCs w:val="18"/>
          <w:lang w:val="en-US"/>
        </w:rPr>
        <w:t>ENPRO Data Integration: Extending DEXPI Towards the Asset Lifecycle. Chemie Ingenieur Technik, 91(3), 240–255. https://doi.org/10.1002/cite.201800112</w:t>
      </w:r>
    </w:p>
    <w:sectPr w:rsidR="008D2649"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C07A9" w14:textId="77777777" w:rsidR="00C17F95" w:rsidRDefault="00C17F95">
      <w:r>
        <w:separator/>
      </w:r>
    </w:p>
  </w:endnote>
  <w:endnote w:type="continuationSeparator" w:id="0">
    <w:p w14:paraId="2F149D20" w14:textId="77777777" w:rsidR="00C17F95" w:rsidRDefault="00C1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8749C" w14:textId="77777777" w:rsidR="00C17F95" w:rsidRDefault="00C17F95">
      <w:r>
        <w:separator/>
      </w:r>
    </w:p>
  </w:footnote>
  <w:footnote w:type="continuationSeparator" w:id="0">
    <w:p w14:paraId="0927308B" w14:textId="77777777" w:rsidR="00C17F95" w:rsidRDefault="00C17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76912A40" w:rsidR="00DD3D9E" w:rsidRDefault="00C92F8A" w:rsidP="00C92F8A">
    <w:pPr>
      <w:pStyle w:val="Intestazione"/>
      <w:tabs>
        <w:tab w:val="clear" w:pos="7200"/>
        <w:tab w:val="right" w:pos="7088"/>
      </w:tabs>
    </w:pPr>
    <w:r w:rsidRPr="00C92F8A">
      <w:rPr>
        <w:i/>
      </w:rPr>
      <w:tab/>
    </w:r>
    <w:r w:rsidRPr="00C92F8A">
      <w:rPr>
        <w:i/>
      </w:rPr>
      <w:tab/>
    </w:r>
    <w:r>
      <w:rPr>
        <w:i/>
      </w:rPr>
      <w:t xml:space="preserve">A. </w:t>
    </w:r>
    <w:r w:rsidR="00D62AF8">
      <w:rPr>
        <w:i/>
      </w:rPr>
      <w:t>Koch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3A60885" w:rsidR="00DD3D9E" w:rsidRDefault="00937C85" w:rsidP="00937C85">
    <w:pPr>
      <w:pStyle w:val="Intestazione"/>
      <w:tabs>
        <w:tab w:val="clear" w:pos="7200"/>
        <w:tab w:val="right" w:pos="7088"/>
      </w:tabs>
      <w:rPr>
        <w:sz w:val="24"/>
      </w:rPr>
    </w:pPr>
    <w:r w:rsidRPr="00937C85">
      <w:rPr>
        <w:i/>
      </w:rPr>
      <w:t>Towards PEA Matching from Simulation as Part of a Digital Twin Concept for Scale-Up in Modular Plants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A3A"/>
    <w:multiLevelType w:val="hybridMultilevel"/>
    <w:tmpl w:val="CD805C7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9AD6284"/>
    <w:multiLevelType w:val="hybridMultilevel"/>
    <w:tmpl w:val="56BA8A04"/>
    <w:lvl w:ilvl="0" w:tplc="1D4076CE">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D43C0B"/>
    <w:multiLevelType w:val="multilevel"/>
    <w:tmpl w:val="6376FA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906AC8"/>
    <w:multiLevelType w:val="hybridMultilevel"/>
    <w:tmpl w:val="59D26AD6"/>
    <w:lvl w:ilvl="0" w:tplc="89BA4466">
      <w:start w:val="1"/>
      <w:numFmt w:val="upperLetter"/>
      <w:lvlText w:val="%1."/>
      <w:lvlJc w:val="left"/>
      <w:pPr>
        <w:ind w:left="6350" w:hanging="360"/>
      </w:pPr>
      <w:rPr>
        <w:rFonts w:hint="default"/>
        <w:i/>
      </w:rPr>
    </w:lvl>
    <w:lvl w:ilvl="1" w:tplc="20000019" w:tentative="1">
      <w:start w:val="1"/>
      <w:numFmt w:val="lowerLetter"/>
      <w:lvlText w:val="%2."/>
      <w:lvlJc w:val="left"/>
      <w:pPr>
        <w:ind w:left="7070" w:hanging="360"/>
      </w:pPr>
    </w:lvl>
    <w:lvl w:ilvl="2" w:tplc="2000001B" w:tentative="1">
      <w:start w:val="1"/>
      <w:numFmt w:val="lowerRoman"/>
      <w:lvlText w:val="%3."/>
      <w:lvlJc w:val="right"/>
      <w:pPr>
        <w:ind w:left="7790" w:hanging="180"/>
      </w:pPr>
    </w:lvl>
    <w:lvl w:ilvl="3" w:tplc="2000000F" w:tentative="1">
      <w:start w:val="1"/>
      <w:numFmt w:val="decimal"/>
      <w:lvlText w:val="%4."/>
      <w:lvlJc w:val="left"/>
      <w:pPr>
        <w:ind w:left="8510" w:hanging="360"/>
      </w:pPr>
    </w:lvl>
    <w:lvl w:ilvl="4" w:tplc="20000019" w:tentative="1">
      <w:start w:val="1"/>
      <w:numFmt w:val="lowerLetter"/>
      <w:lvlText w:val="%5."/>
      <w:lvlJc w:val="left"/>
      <w:pPr>
        <w:ind w:left="9230" w:hanging="360"/>
      </w:pPr>
    </w:lvl>
    <w:lvl w:ilvl="5" w:tplc="2000001B" w:tentative="1">
      <w:start w:val="1"/>
      <w:numFmt w:val="lowerRoman"/>
      <w:lvlText w:val="%6."/>
      <w:lvlJc w:val="right"/>
      <w:pPr>
        <w:ind w:left="9950" w:hanging="180"/>
      </w:pPr>
    </w:lvl>
    <w:lvl w:ilvl="6" w:tplc="2000000F" w:tentative="1">
      <w:start w:val="1"/>
      <w:numFmt w:val="decimal"/>
      <w:lvlText w:val="%7."/>
      <w:lvlJc w:val="left"/>
      <w:pPr>
        <w:ind w:left="10670" w:hanging="360"/>
      </w:pPr>
    </w:lvl>
    <w:lvl w:ilvl="7" w:tplc="20000019" w:tentative="1">
      <w:start w:val="1"/>
      <w:numFmt w:val="lowerLetter"/>
      <w:lvlText w:val="%8."/>
      <w:lvlJc w:val="left"/>
      <w:pPr>
        <w:ind w:left="11390" w:hanging="360"/>
      </w:pPr>
    </w:lvl>
    <w:lvl w:ilvl="8" w:tplc="2000001B" w:tentative="1">
      <w:start w:val="1"/>
      <w:numFmt w:val="lowerRoman"/>
      <w:lvlText w:val="%9."/>
      <w:lvlJc w:val="right"/>
      <w:pPr>
        <w:ind w:left="12110" w:hanging="180"/>
      </w:pPr>
    </w:lvl>
  </w:abstractNum>
  <w:abstractNum w:abstractNumId="5"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7"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8" w15:restartNumberingAfterBreak="0">
    <w:nsid w:val="2438217E"/>
    <w:multiLevelType w:val="multilevel"/>
    <w:tmpl w:val="AC7E0F96"/>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0"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7C6166"/>
    <w:multiLevelType w:val="hybridMultilevel"/>
    <w:tmpl w:val="609A9026"/>
    <w:lvl w:ilvl="0" w:tplc="74623068">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C0B2EB9"/>
    <w:multiLevelType w:val="hybridMultilevel"/>
    <w:tmpl w:val="6318FA5E"/>
    <w:lvl w:ilvl="0" w:tplc="0EEE2E44">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9" w15:restartNumberingAfterBreak="0">
    <w:nsid w:val="66C2705D"/>
    <w:multiLevelType w:val="hybridMultilevel"/>
    <w:tmpl w:val="EA2E64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C402C58"/>
    <w:multiLevelType w:val="hybridMultilevel"/>
    <w:tmpl w:val="46BAB3CC"/>
    <w:lvl w:ilvl="0" w:tplc="11DA168C">
      <w:start w:val="1"/>
      <w:numFmt w:val="decimal"/>
      <w:pStyle w:val="figurecaption"/>
      <w:lvlText w:val="Fig. %1."/>
      <w:lvlJc w:val="left"/>
      <w:pPr>
        <w:ind w:left="5322" w:hanging="360"/>
      </w:pPr>
      <w:rPr>
        <w:rFonts w:ascii="Times New Roman" w:hAnsi="Times New Roman" w:cs="Times New Roman" w:hint="default"/>
        <w:b w:val="0"/>
        <w:bCs w:val="0"/>
        <w:i w:val="0"/>
        <w:iCs w:val="0"/>
        <w:color w:val="auto"/>
        <w:sz w:val="16"/>
        <w:szCs w:val="16"/>
        <w:lang w:val="x-none"/>
      </w:rPr>
    </w:lvl>
    <w:lvl w:ilvl="1" w:tplc="04090019">
      <w:start w:val="1"/>
      <w:numFmt w:val="lowerLetter"/>
      <w:lvlText w:val="%2."/>
      <w:lvlJc w:val="left"/>
      <w:pPr>
        <w:tabs>
          <w:tab w:val="num" w:pos="2008"/>
        </w:tabs>
        <w:ind w:left="2008" w:hanging="360"/>
      </w:pPr>
      <w:rPr>
        <w:rFonts w:cs="Times New Roman"/>
      </w:rPr>
    </w:lvl>
    <w:lvl w:ilvl="2" w:tplc="0409001B">
      <w:start w:val="1"/>
      <w:numFmt w:val="lowerRoman"/>
      <w:lvlText w:val="%3."/>
      <w:lvlJc w:val="right"/>
      <w:pPr>
        <w:tabs>
          <w:tab w:val="num" w:pos="2728"/>
        </w:tabs>
        <w:ind w:left="2728" w:hanging="180"/>
      </w:pPr>
      <w:rPr>
        <w:rFonts w:cs="Times New Roman"/>
      </w:rPr>
    </w:lvl>
    <w:lvl w:ilvl="3" w:tplc="0409000F">
      <w:start w:val="1"/>
      <w:numFmt w:val="decimal"/>
      <w:lvlText w:val="%4."/>
      <w:lvlJc w:val="left"/>
      <w:pPr>
        <w:tabs>
          <w:tab w:val="num" w:pos="3448"/>
        </w:tabs>
        <w:ind w:left="3448" w:hanging="360"/>
      </w:pPr>
      <w:rPr>
        <w:rFonts w:cs="Times New Roman"/>
      </w:rPr>
    </w:lvl>
    <w:lvl w:ilvl="4" w:tplc="04090019">
      <w:start w:val="1"/>
      <w:numFmt w:val="lowerLetter"/>
      <w:lvlText w:val="%5."/>
      <w:lvlJc w:val="left"/>
      <w:pPr>
        <w:tabs>
          <w:tab w:val="num" w:pos="4168"/>
        </w:tabs>
        <w:ind w:left="4168" w:hanging="360"/>
      </w:pPr>
      <w:rPr>
        <w:rFonts w:cs="Times New Roman"/>
      </w:rPr>
    </w:lvl>
    <w:lvl w:ilvl="5" w:tplc="0409001B">
      <w:start w:val="1"/>
      <w:numFmt w:val="lowerRoman"/>
      <w:lvlText w:val="%6."/>
      <w:lvlJc w:val="right"/>
      <w:pPr>
        <w:tabs>
          <w:tab w:val="num" w:pos="4888"/>
        </w:tabs>
        <w:ind w:left="4888" w:hanging="180"/>
      </w:pPr>
      <w:rPr>
        <w:rFonts w:cs="Times New Roman"/>
      </w:rPr>
    </w:lvl>
    <w:lvl w:ilvl="6" w:tplc="0409000F">
      <w:start w:val="1"/>
      <w:numFmt w:val="decimal"/>
      <w:lvlText w:val="%7."/>
      <w:lvlJc w:val="left"/>
      <w:pPr>
        <w:tabs>
          <w:tab w:val="num" w:pos="5608"/>
        </w:tabs>
        <w:ind w:left="5608" w:hanging="360"/>
      </w:pPr>
      <w:rPr>
        <w:rFonts w:cs="Times New Roman"/>
      </w:rPr>
    </w:lvl>
    <w:lvl w:ilvl="7" w:tplc="04090019">
      <w:start w:val="1"/>
      <w:numFmt w:val="lowerLetter"/>
      <w:lvlText w:val="%8."/>
      <w:lvlJc w:val="left"/>
      <w:pPr>
        <w:tabs>
          <w:tab w:val="num" w:pos="6328"/>
        </w:tabs>
        <w:ind w:left="6328" w:hanging="360"/>
      </w:pPr>
      <w:rPr>
        <w:rFonts w:cs="Times New Roman"/>
      </w:rPr>
    </w:lvl>
    <w:lvl w:ilvl="8" w:tplc="0409001B">
      <w:start w:val="1"/>
      <w:numFmt w:val="lowerRoman"/>
      <w:lvlText w:val="%9."/>
      <w:lvlJc w:val="right"/>
      <w:pPr>
        <w:tabs>
          <w:tab w:val="num" w:pos="7048"/>
        </w:tabs>
        <w:ind w:left="7048" w:hanging="180"/>
      </w:pPr>
      <w:rPr>
        <w:rFonts w:cs="Times New Roman"/>
      </w:rPr>
    </w:lvl>
  </w:abstractNum>
  <w:abstractNum w:abstractNumId="21"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2"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7"/>
  </w:num>
  <w:num w:numId="3">
    <w:abstractNumId w:val="17"/>
  </w:num>
  <w:num w:numId="4">
    <w:abstractNumId w:val="17"/>
  </w:num>
  <w:num w:numId="5">
    <w:abstractNumId w:val="1"/>
  </w:num>
  <w:num w:numId="6">
    <w:abstractNumId w:val="10"/>
  </w:num>
  <w:num w:numId="7">
    <w:abstractNumId w:val="18"/>
  </w:num>
  <w:num w:numId="8">
    <w:abstractNumId w:val="5"/>
  </w:num>
  <w:num w:numId="9">
    <w:abstractNumId w:val="16"/>
  </w:num>
  <w:num w:numId="10">
    <w:abstractNumId w:val="22"/>
  </w:num>
  <w:num w:numId="11">
    <w:abstractNumId w:val="21"/>
  </w:num>
  <w:num w:numId="12">
    <w:abstractNumId w:val="9"/>
  </w:num>
  <w:num w:numId="13">
    <w:abstractNumId w:val="14"/>
  </w:num>
  <w:num w:numId="14">
    <w:abstractNumId w:val="6"/>
  </w:num>
  <w:num w:numId="15">
    <w:abstractNumId w:val="11"/>
  </w:num>
  <w:num w:numId="16">
    <w:abstractNumId w:val="7"/>
  </w:num>
  <w:num w:numId="17">
    <w:abstractNumId w:val="8"/>
  </w:num>
  <w:num w:numId="18">
    <w:abstractNumId w:val="15"/>
  </w:num>
  <w:num w:numId="19">
    <w:abstractNumId w:val="3"/>
  </w:num>
  <w:num w:numId="20">
    <w:abstractNumId w:val="20"/>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
  </w:num>
  <w:num w:numId="25">
    <w:abstractNumId w:val="13"/>
  </w:num>
  <w:num w:numId="26">
    <w:abstractNumId w:val="12"/>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DF0"/>
    <w:rsid w:val="00006372"/>
    <w:rsid w:val="00017BA5"/>
    <w:rsid w:val="0002721B"/>
    <w:rsid w:val="000376B6"/>
    <w:rsid w:val="00043618"/>
    <w:rsid w:val="000563E1"/>
    <w:rsid w:val="000667D6"/>
    <w:rsid w:val="00066DA1"/>
    <w:rsid w:val="00071414"/>
    <w:rsid w:val="00074C8E"/>
    <w:rsid w:val="00081DF5"/>
    <w:rsid w:val="00082745"/>
    <w:rsid w:val="000876A8"/>
    <w:rsid w:val="00093A2F"/>
    <w:rsid w:val="00097ABF"/>
    <w:rsid w:val="000A14A9"/>
    <w:rsid w:val="000A4816"/>
    <w:rsid w:val="000C2AC6"/>
    <w:rsid w:val="000D3D9B"/>
    <w:rsid w:val="000F13C6"/>
    <w:rsid w:val="000F464B"/>
    <w:rsid w:val="000F7126"/>
    <w:rsid w:val="00106B29"/>
    <w:rsid w:val="00111ABD"/>
    <w:rsid w:val="00141EE0"/>
    <w:rsid w:val="00156851"/>
    <w:rsid w:val="0016032F"/>
    <w:rsid w:val="00160448"/>
    <w:rsid w:val="00162E25"/>
    <w:rsid w:val="00170317"/>
    <w:rsid w:val="001819FB"/>
    <w:rsid w:val="001868AF"/>
    <w:rsid w:val="001879F6"/>
    <w:rsid w:val="001902C1"/>
    <w:rsid w:val="00193F08"/>
    <w:rsid w:val="001A061B"/>
    <w:rsid w:val="001A363F"/>
    <w:rsid w:val="001A3738"/>
    <w:rsid w:val="001A53C0"/>
    <w:rsid w:val="001B1E74"/>
    <w:rsid w:val="001B57D0"/>
    <w:rsid w:val="001C0148"/>
    <w:rsid w:val="001C757E"/>
    <w:rsid w:val="001D583E"/>
    <w:rsid w:val="001D662A"/>
    <w:rsid w:val="001E2640"/>
    <w:rsid w:val="001F3C56"/>
    <w:rsid w:val="0020390F"/>
    <w:rsid w:val="00203958"/>
    <w:rsid w:val="00225225"/>
    <w:rsid w:val="002256A7"/>
    <w:rsid w:val="002351FC"/>
    <w:rsid w:val="00261FF2"/>
    <w:rsid w:val="00264926"/>
    <w:rsid w:val="00282B95"/>
    <w:rsid w:val="00286E5A"/>
    <w:rsid w:val="00286E67"/>
    <w:rsid w:val="002A038A"/>
    <w:rsid w:val="002A0FFD"/>
    <w:rsid w:val="002A2613"/>
    <w:rsid w:val="002A42C2"/>
    <w:rsid w:val="002A644A"/>
    <w:rsid w:val="002B1D59"/>
    <w:rsid w:val="002C3CF7"/>
    <w:rsid w:val="002C73B9"/>
    <w:rsid w:val="002D6C41"/>
    <w:rsid w:val="002F1067"/>
    <w:rsid w:val="00313C1C"/>
    <w:rsid w:val="00342DD6"/>
    <w:rsid w:val="003503F2"/>
    <w:rsid w:val="00354158"/>
    <w:rsid w:val="00371399"/>
    <w:rsid w:val="00372FAC"/>
    <w:rsid w:val="0038512E"/>
    <w:rsid w:val="00385702"/>
    <w:rsid w:val="003A2D60"/>
    <w:rsid w:val="003A7988"/>
    <w:rsid w:val="003C095D"/>
    <w:rsid w:val="003C164F"/>
    <w:rsid w:val="003D1582"/>
    <w:rsid w:val="003D7E4C"/>
    <w:rsid w:val="003E41C2"/>
    <w:rsid w:val="004015F4"/>
    <w:rsid w:val="00402A19"/>
    <w:rsid w:val="00404DC1"/>
    <w:rsid w:val="00421EE6"/>
    <w:rsid w:val="00433123"/>
    <w:rsid w:val="00455EF2"/>
    <w:rsid w:val="00460832"/>
    <w:rsid w:val="00462A10"/>
    <w:rsid w:val="00464D4B"/>
    <w:rsid w:val="0047513A"/>
    <w:rsid w:val="0047763B"/>
    <w:rsid w:val="00485619"/>
    <w:rsid w:val="00490543"/>
    <w:rsid w:val="004975C0"/>
    <w:rsid w:val="0049772C"/>
    <w:rsid w:val="004B0394"/>
    <w:rsid w:val="004C72A0"/>
    <w:rsid w:val="004F0C8A"/>
    <w:rsid w:val="00545290"/>
    <w:rsid w:val="005457EE"/>
    <w:rsid w:val="00552EEB"/>
    <w:rsid w:val="00571754"/>
    <w:rsid w:val="00587684"/>
    <w:rsid w:val="005A58B3"/>
    <w:rsid w:val="005B03DB"/>
    <w:rsid w:val="005B14D6"/>
    <w:rsid w:val="005D7063"/>
    <w:rsid w:val="005F32FE"/>
    <w:rsid w:val="005F4716"/>
    <w:rsid w:val="006029D6"/>
    <w:rsid w:val="00611B53"/>
    <w:rsid w:val="006243CB"/>
    <w:rsid w:val="00630BEC"/>
    <w:rsid w:val="006612BD"/>
    <w:rsid w:val="00684144"/>
    <w:rsid w:val="00691689"/>
    <w:rsid w:val="006A69BF"/>
    <w:rsid w:val="006C214C"/>
    <w:rsid w:val="006F1F6B"/>
    <w:rsid w:val="006F55F2"/>
    <w:rsid w:val="00711DF4"/>
    <w:rsid w:val="0073244D"/>
    <w:rsid w:val="00734A9A"/>
    <w:rsid w:val="00751535"/>
    <w:rsid w:val="007524F5"/>
    <w:rsid w:val="0075465D"/>
    <w:rsid w:val="00771184"/>
    <w:rsid w:val="00771A43"/>
    <w:rsid w:val="007761F0"/>
    <w:rsid w:val="00796075"/>
    <w:rsid w:val="007A11E9"/>
    <w:rsid w:val="007B21AE"/>
    <w:rsid w:val="007B3127"/>
    <w:rsid w:val="007C1D40"/>
    <w:rsid w:val="007C5BBD"/>
    <w:rsid w:val="007D70A1"/>
    <w:rsid w:val="007E3C93"/>
    <w:rsid w:val="008011AC"/>
    <w:rsid w:val="00802F00"/>
    <w:rsid w:val="0081083D"/>
    <w:rsid w:val="008131AB"/>
    <w:rsid w:val="008132E8"/>
    <w:rsid w:val="0081411D"/>
    <w:rsid w:val="00814656"/>
    <w:rsid w:val="00823407"/>
    <w:rsid w:val="00827A0F"/>
    <w:rsid w:val="0083276E"/>
    <w:rsid w:val="00845D02"/>
    <w:rsid w:val="008463A6"/>
    <w:rsid w:val="00853C4B"/>
    <w:rsid w:val="00865B5C"/>
    <w:rsid w:val="0088478C"/>
    <w:rsid w:val="008A4D6A"/>
    <w:rsid w:val="008B0184"/>
    <w:rsid w:val="008B3EE3"/>
    <w:rsid w:val="008C5D02"/>
    <w:rsid w:val="008D2649"/>
    <w:rsid w:val="008D2716"/>
    <w:rsid w:val="008D744E"/>
    <w:rsid w:val="00901CAB"/>
    <w:rsid w:val="00904E2E"/>
    <w:rsid w:val="0090568D"/>
    <w:rsid w:val="00907D0B"/>
    <w:rsid w:val="009125C9"/>
    <w:rsid w:val="00913879"/>
    <w:rsid w:val="00917661"/>
    <w:rsid w:val="00924008"/>
    <w:rsid w:val="009249D3"/>
    <w:rsid w:val="00925455"/>
    <w:rsid w:val="009330C9"/>
    <w:rsid w:val="00937C85"/>
    <w:rsid w:val="00941C25"/>
    <w:rsid w:val="00942271"/>
    <w:rsid w:val="00943465"/>
    <w:rsid w:val="00952A11"/>
    <w:rsid w:val="0095578A"/>
    <w:rsid w:val="00960B73"/>
    <w:rsid w:val="00970E5D"/>
    <w:rsid w:val="00970FB2"/>
    <w:rsid w:val="0097701C"/>
    <w:rsid w:val="009770B4"/>
    <w:rsid w:val="00980A65"/>
    <w:rsid w:val="009864B0"/>
    <w:rsid w:val="00991F0B"/>
    <w:rsid w:val="00994DC8"/>
    <w:rsid w:val="009A5ED8"/>
    <w:rsid w:val="009A76F8"/>
    <w:rsid w:val="009C434F"/>
    <w:rsid w:val="009C7F7D"/>
    <w:rsid w:val="009F04D6"/>
    <w:rsid w:val="009F0563"/>
    <w:rsid w:val="009F0CB7"/>
    <w:rsid w:val="009F59FD"/>
    <w:rsid w:val="009F5CB9"/>
    <w:rsid w:val="00A06AAA"/>
    <w:rsid w:val="00A12598"/>
    <w:rsid w:val="00A25E70"/>
    <w:rsid w:val="00A30893"/>
    <w:rsid w:val="00A33765"/>
    <w:rsid w:val="00A5247B"/>
    <w:rsid w:val="00A5336D"/>
    <w:rsid w:val="00A56C1A"/>
    <w:rsid w:val="00A62C97"/>
    <w:rsid w:val="00A63269"/>
    <w:rsid w:val="00A64A70"/>
    <w:rsid w:val="00A71513"/>
    <w:rsid w:val="00A728EB"/>
    <w:rsid w:val="00A92377"/>
    <w:rsid w:val="00AB29ED"/>
    <w:rsid w:val="00AB43B3"/>
    <w:rsid w:val="00AC292B"/>
    <w:rsid w:val="00AC5ADA"/>
    <w:rsid w:val="00AC7AAC"/>
    <w:rsid w:val="00AD5732"/>
    <w:rsid w:val="00AD5A78"/>
    <w:rsid w:val="00AE4BD8"/>
    <w:rsid w:val="00AF6A6B"/>
    <w:rsid w:val="00B0019A"/>
    <w:rsid w:val="00B02495"/>
    <w:rsid w:val="00B06046"/>
    <w:rsid w:val="00B0713D"/>
    <w:rsid w:val="00B139EB"/>
    <w:rsid w:val="00B22788"/>
    <w:rsid w:val="00B3037E"/>
    <w:rsid w:val="00B4388F"/>
    <w:rsid w:val="00B57406"/>
    <w:rsid w:val="00B63237"/>
    <w:rsid w:val="00B65EC9"/>
    <w:rsid w:val="00B74945"/>
    <w:rsid w:val="00B83154"/>
    <w:rsid w:val="00BB23FC"/>
    <w:rsid w:val="00BC00F2"/>
    <w:rsid w:val="00BC4242"/>
    <w:rsid w:val="00BD74D5"/>
    <w:rsid w:val="00C114AF"/>
    <w:rsid w:val="00C1563C"/>
    <w:rsid w:val="00C158EA"/>
    <w:rsid w:val="00C17F95"/>
    <w:rsid w:val="00C244A7"/>
    <w:rsid w:val="00C4071C"/>
    <w:rsid w:val="00C47826"/>
    <w:rsid w:val="00C47E2F"/>
    <w:rsid w:val="00C579F1"/>
    <w:rsid w:val="00C61369"/>
    <w:rsid w:val="00C74419"/>
    <w:rsid w:val="00C76C3E"/>
    <w:rsid w:val="00C81533"/>
    <w:rsid w:val="00C8536D"/>
    <w:rsid w:val="00C861BE"/>
    <w:rsid w:val="00C92F8A"/>
    <w:rsid w:val="00C960DC"/>
    <w:rsid w:val="00CA7299"/>
    <w:rsid w:val="00CB3C7A"/>
    <w:rsid w:val="00CC2A78"/>
    <w:rsid w:val="00CC4765"/>
    <w:rsid w:val="00CC7797"/>
    <w:rsid w:val="00CF5BE4"/>
    <w:rsid w:val="00CF7787"/>
    <w:rsid w:val="00D02C75"/>
    <w:rsid w:val="00D0384F"/>
    <w:rsid w:val="00D04036"/>
    <w:rsid w:val="00D10E22"/>
    <w:rsid w:val="00D13D2C"/>
    <w:rsid w:val="00D145B4"/>
    <w:rsid w:val="00D20224"/>
    <w:rsid w:val="00D53A42"/>
    <w:rsid w:val="00D54799"/>
    <w:rsid w:val="00D62AF8"/>
    <w:rsid w:val="00D67A25"/>
    <w:rsid w:val="00D718C7"/>
    <w:rsid w:val="00DA25AE"/>
    <w:rsid w:val="00DB385A"/>
    <w:rsid w:val="00DC2F94"/>
    <w:rsid w:val="00DD1D7E"/>
    <w:rsid w:val="00DD3D9E"/>
    <w:rsid w:val="00DD7908"/>
    <w:rsid w:val="00DE2711"/>
    <w:rsid w:val="00DE29F1"/>
    <w:rsid w:val="00DF1267"/>
    <w:rsid w:val="00DF3849"/>
    <w:rsid w:val="00DF5F01"/>
    <w:rsid w:val="00E05372"/>
    <w:rsid w:val="00E14B6A"/>
    <w:rsid w:val="00E22E66"/>
    <w:rsid w:val="00E25F73"/>
    <w:rsid w:val="00E42435"/>
    <w:rsid w:val="00E61B82"/>
    <w:rsid w:val="00E67E1C"/>
    <w:rsid w:val="00E71899"/>
    <w:rsid w:val="00E82297"/>
    <w:rsid w:val="00E95C4C"/>
    <w:rsid w:val="00EA0C04"/>
    <w:rsid w:val="00EA4517"/>
    <w:rsid w:val="00EA721B"/>
    <w:rsid w:val="00EB7FCD"/>
    <w:rsid w:val="00EC0B41"/>
    <w:rsid w:val="00ED3A32"/>
    <w:rsid w:val="00EE0D71"/>
    <w:rsid w:val="00EF39FD"/>
    <w:rsid w:val="00EF66F5"/>
    <w:rsid w:val="00F06842"/>
    <w:rsid w:val="00F07A0D"/>
    <w:rsid w:val="00F07A1B"/>
    <w:rsid w:val="00F107FD"/>
    <w:rsid w:val="00F2104C"/>
    <w:rsid w:val="00F246FF"/>
    <w:rsid w:val="00F313D1"/>
    <w:rsid w:val="00F40F26"/>
    <w:rsid w:val="00F56ACF"/>
    <w:rsid w:val="00F844D6"/>
    <w:rsid w:val="00F84852"/>
    <w:rsid w:val="00F85C03"/>
    <w:rsid w:val="00F943FF"/>
    <w:rsid w:val="00F947E9"/>
    <w:rsid w:val="00FA4108"/>
    <w:rsid w:val="00FB49D3"/>
    <w:rsid w:val="00FB64A8"/>
    <w:rsid w:val="00FD2F56"/>
    <w:rsid w:val="00FD3FF8"/>
    <w:rsid w:val="00FD7CCB"/>
    <w:rsid w:val="00FE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55522A09-F659-4D5C-8A0F-3E12AAAE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21"/>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21"/>
      </w:numPr>
      <w:suppressAutoHyphens/>
      <w:spacing w:before="80"/>
    </w:pPr>
    <w:rPr>
      <w:i/>
    </w:rPr>
  </w:style>
  <w:style w:type="paragraph" w:customStyle="1" w:styleId="Els-3rdorder-head">
    <w:name w:val="Els-3rdorder-head"/>
    <w:basedOn w:val="Els-body-text"/>
    <w:next w:val="Els-body-text"/>
    <w:rsid w:val="008B0184"/>
    <w:pPr>
      <w:keepNext/>
      <w:numPr>
        <w:ilvl w:val="3"/>
        <w:numId w:val="21"/>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21"/>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paragraph" w:customStyle="1" w:styleId="Default">
    <w:name w:val="Default"/>
    <w:rsid w:val="00F2104C"/>
    <w:pPr>
      <w:autoSpaceDE w:val="0"/>
      <w:autoSpaceDN w:val="0"/>
      <w:adjustRightInd w:val="0"/>
    </w:pPr>
    <w:rPr>
      <w:color w:val="000000"/>
      <w:sz w:val="24"/>
      <w:szCs w:val="24"/>
    </w:rPr>
  </w:style>
  <w:style w:type="paragraph" w:styleId="Corpotesto">
    <w:name w:val="Body Text"/>
    <w:basedOn w:val="Normale"/>
    <w:link w:val="CorpotestoCarattere"/>
    <w:semiHidden/>
    <w:unhideWhenUsed/>
    <w:rsid w:val="00162E25"/>
    <w:pPr>
      <w:spacing w:after="120"/>
    </w:pPr>
  </w:style>
  <w:style w:type="character" w:customStyle="1" w:styleId="CorpotestoCarattere">
    <w:name w:val="Corpo testo Carattere"/>
    <w:basedOn w:val="Carpredefinitoparagrafo"/>
    <w:link w:val="Corpotesto"/>
    <w:semiHidden/>
    <w:rsid w:val="00162E25"/>
    <w:rPr>
      <w:lang w:eastAsia="en-US"/>
    </w:rPr>
  </w:style>
  <w:style w:type="paragraph" w:customStyle="1" w:styleId="figurecaption">
    <w:name w:val="figure caption"/>
    <w:rsid w:val="00162E25"/>
    <w:pPr>
      <w:numPr>
        <w:numId w:val="20"/>
      </w:numPr>
      <w:tabs>
        <w:tab w:val="left" w:pos="533"/>
      </w:tabs>
      <w:spacing w:before="80" w:after="200"/>
      <w:ind w:left="3621"/>
      <w:jc w:val="both"/>
    </w:pPr>
    <w:rPr>
      <w:rFonts w:eastAsia="SimSun"/>
      <w:noProof/>
      <w:sz w:val="16"/>
      <w:szCs w:val="16"/>
      <w:lang w:val="en-US" w:eastAsia="en-US"/>
    </w:rPr>
  </w:style>
  <w:style w:type="paragraph" w:styleId="Paragrafoelenco">
    <w:name w:val="List Paragraph"/>
    <w:basedOn w:val="Normale"/>
    <w:uiPriority w:val="34"/>
    <w:qFormat/>
    <w:rsid w:val="00F07A0D"/>
    <w:pPr>
      <w:ind w:left="720"/>
      <w:contextualSpacing/>
    </w:pPr>
  </w:style>
  <w:style w:type="table" w:styleId="Grigliatabella">
    <w:name w:val="Table Grid"/>
    <w:basedOn w:val="Tabellanormale"/>
    <w:rsid w:val="000F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F5BE4"/>
    <w:rPr>
      <w:color w:val="605E5C"/>
      <w:shd w:val="clear" w:color="auto" w:fill="E1DFDD"/>
    </w:rPr>
  </w:style>
  <w:style w:type="paragraph" w:styleId="Revisione">
    <w:name w:val="Revision"/>
    <w:hidden/>
    <w:uiPriority w:val="99"/>
    <w:semiHidden/>
    <w:rsid w:val="009C7F7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38017">
      <w:bodyDiv w:val="1"/>
      <w:marLeft w:val="0"/>
      <w:marRight w:val="0"/>
      <w:marTop w:val="0"/>
      <w:marBottom w:val="0"/>
      <w:divBdr>
        <w:top w:val="none" w:sz="0" w:space="0" w:color="auto"/>
        <w:left w:val="none" w:sz="0" w:space="0" w:color="auto"/>
        <w:bottom w:val="none" w:sz="0" w:space="0" w:color="auto"/>
        <w:right w:val="none" w:sz="0" w:space="0" w:color="auto"/>
      </w:divBdr>
    </w:div>
    <w:div w:id="641229504">
      <w:bodyDiv w:val="1"/>
      <w:marLeft w:val="0"/>
      <w:marRight w:val="0"/>
      <w:marTop w:val="0"/>
      <w:marBottom w:val="0"/>
      <w:divBdr>
        <w:top w:val="none" w:sz="0" w:space="0" w:color="auto"/>
        <w:left w:val="none" w:sz="0" w:space="0" w:color="auto"/>
        <w:bottom w:val="none" w:sz="0" w:space="0" w:color="auto"/>
        <w:right w:val="none" w:sz="0" w:space="0" w:color="auto"/>
      </w:divBdr>
    </w:div>
    <w:div w:id="1871455516">
      <w:bodyDiv w:val="1"/>
      <w:marLeft w:val="0"/>
      <w:marRight w:val="0"/>
      <w:marTop w:val="0"/>
      <w:marBottom w:val="0"/>
      <w:divBdr>
        <w:top w:val="none" w:sz="0" w:space="0" w:color="auto"/>
        <w:left w:val="none" w:sz="0" w:space="0" w:color="auto"/>
        <w:bottom w:val="none" w:sz="0" w:space="0" w:color="auto"/>
        <w:right w:val="none" w:sz="0" w:space="0" w:color="auto"/>
      </w:divBdr>
    </w:div>
    <w:div w:id="19145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09/INDIN51400.2023.102182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560/atp.v63i9.25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E92B-A002-48ED-AC02-5A616FE0D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6</Pages>
  <Words>2805</Words>
  <Characters>16195</Characters>
  <Application>Microsoft Office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Sauro Pierucci</cp:lastModifiedBy>
  <cp:revision>3</cp:revision>
  <cp:lastPrinted>2004-12-17T09:20:00Z</cp:lastPrinted>
  <dcterms:created xsi:type="dcterms:W3CDTF">2024-01-15T14:30:00Z</dcterms:created>
  <dcterms:modified xsi:type="dcterms:W3CDTF">2024-01-21T15:46:00Z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