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4DDA2" w14:textId="77777777" w:rsidR="00501EA1" w:rsidRDefault="00501EA1" w:rsidP="00501EA1">
      <w:pPr>
        <w:pStyle w:val="Els-Title"/>
      </w:pPr>
      <w:bookmarkStart w:id="0" w:name="_Hlk88262256"/>
      <w:r w:rsidRPr="006F621D">
        <w:t>Optimization-based framework for</w:t>
      </w:r>
      <w:r>
        <w:t xml:space="preserve"> techno-economic and environmental assessment of CO</w:t>
      </w:r>
      <w:r w:rsidRPr="006B247E">
        <w:rPr>
          <w:vertAlign w:val="subscript"/>
        </w:rPr>
        <w:t>2</w:t>
      </w:r>
      <w:r>
        <w:t xml:space="preserve"> capture, utilization, and storage strategies</w:t>
      </w:r>
    </w:p>
    <w:bookmarkEnd w:id="0"/>
    <w:p w14:paraId="1188F41B" w14:textId="66D980E9" w:rsidR="00B23646" w:rsidRDefault="00B23646" w:rsidP="00B23646">
      <w:pPr>
        <w:pStyle w:val="Els-Author"/>
        <w:ind w:right="-285"/>
      </w:pPr>
      <w:r>
        <w:rPr>
          <w:rFonts w:eastAsia="MS Mincho"/>
          <w:lang w:eastAsia="ja-JP"/>
        </w:rPr>
        <w:t>Chanhee You,</w:t>
      </w:r>
      <w:r w:rsidRPr="00E322CD">
        <w:rPr>
          <w:rFonts w:eastAsia="MS Mincho"/>
          <w:vertAlign w:val="superscript"/>
          <w:lang w:eastAsia="ja-JP"/>
        </w:rPr>
        <w:t>a</w:t>
      </w:r>
      <w:r>
        <w:rPr>
          <w:rFonts w:eastAsia="MS Mincho"/>
          <w:lang w:eastAsia="ja-JP"/>
        </w:rPr>
        <w:t xml:space="preserve"> Chanmok</w:t>
      </w:r>
      <w:r w:rsidRPr="00EE2BD0">
        <w:rPr>
          <w:rFonts w:eastAsia="MS Mincho"/>
          <w:lang w:eastAsia="ja-JP"/>
        </w:rPr>
        <w:t xml:space="preserve"> </w:t>
      </w:r>
      <w:r>
        <w:rPr>
          <w:rFonts w:eastAsia="MS Mincho"/>
          <w:lang w:eastAsia="ja-JP"/>
        </w:rPr>
        <w:t>Kim</w:t>
      </w:r>
      <w:r w:rsidRPr="00EE2BD0">
        <w:rPr>
          <w:rFonts w:eastAsia="MS Mincho"/>
          <w:lang w:eastAsia="ja-JP"/>
        </w:rPr>
        <w:t>,</w:t>
      </w:r>
      <w:r w:rsidRPr="00E322CD">
        <w:rPr>
          <w:rFonts w:eastAsia="MS Mincho"/>
          <w:vertAlign w:val="superscript"/>
          <w:lang w:eastAsia="ja-JP"/>
        </w:rPr>
        <w:t>a</w:t>
      </w:r>
      <w:r w:rsidRPr="00EE2BD0">
        <w:rPr>
          <w:rFonts w:eastAsia="MS Mincho"/>
          <w:lang w:eastAsia="ja-JP"/>
        </w:rPr>
        <w:t xml:space="preserve"> </w:t>
      </w:r>
      <w:r>
        <w:rPr>
          <w:rFonts w:eastAsia="MS Mincho"/>
          <w:lang w:eastAsia="ja-JP"/>
        </w:rPr>
        <w:t>Hy</w:t>
      </w:r>
      <w:r w:rsidR="00FA1DA2">
        <w:rPr>
          <w:rFonts w:eastAsia="MS Mincho"/>
          <w:lang w:eastAsia="ja-JP"/>
        </w:rPr>
        <w:t>eo</w:t>
      </w:r>
      <w:r>
        <w:rPr>
          <w:rFonts w:eastAsia="MS Mincho"/>
          <w:lang w:eastAsia="ja-JP"/>
        </w:rPr>
        <w:t>n</w:t>
      </w:r>
      <w:r w:rsidRPr="00EE2BD0">
        <w:rPr>
          <w:rFonts w:eastAsia="MS Mincho"/>
          <w:lang w:eastAsia="ja-JP"/>
        </w:rPr>
        <w:t xml:space="preserve"> </w:t>
      </w:r>
      <w:r>
        <w:rPr>
          <w:rFonts w:eastAsia="MS Mincho"/>
          <w:lang w:eastAsia="ja-JP"/>
        </w:rPr>
        <w:t>Yang</w:t>
      </w:r>
      <w:r w:rsidRPr="00EE2BD0">
        <w:rPr>
          <w:rFonts w:eastAsia="MS Mincho"/>
          <w:lang w:eastAsia="ja-JP"/>
        </w:rPr>
        <w:t>,</w:t>
      </w:r>
      <w:r w:rsidRPr="00E322CD">
        <w:rPr>
          <w:rFonts w:eastAsia="MS Mincho"/>
          <w:vertAlign w:val="superscript"/>
          <w:lang w:eastAsia="ja-JP"/>
        </w:rPr>
        <w:t>a</w:t>
      </w:r>
      <w:r w:rsidRPr="00EE2BD0">
        <w:rPr>
          <w:rFonts w:eastAsia="MS Mincho"/>
          <w:lang w:eastAsia="ja-JP"/>
        </w:rPr>
        <w:t xml:space="preserve"> and Jiyong Kim</w:t>
      </w:r>
      <w:r>
        <w:rPr>
          <w:rFonts w:eastAsia="MS Mincho"/>
          <w:lang w:eastAsia="ja-JP"/>
        </w:rPr>
        <w:t xml:space="preserve"> </w:t>
      </w:r>
      <w:r w:rsidRPr="00E322CD">
        <w:rPr>
          <w:rFonts w:eastAsia="MS Mincho"/>
          <w:vertAlign w:val="superscript"/>
          <w:lang w:eastAsia="ja-JP"/>
        </w:rPr>
        <w:t>a,</w:t>
      </w:r>
      <w:r w:rsidRPr="00C230EE">
        <w:rPr>
          <w:rFonts w:eastAsia="MS Mincho"/>
          <w:vertAlign w:val="superscript"/>
          <w:lang w:eastAsia="ja-JP"/>
        </w:rPr>
        <w:t>*</w:t>
      </w:r>
    </w:p>
    <w:p w14:paraId="4E0978B7" w14:textId="77777777" w:rsidR="00B23646" w:rsidRDefault="00B23646" w:rsidP="00B23646">
      <w:pPr>
        <w:rPr>
          <w:i/>
          <w:noProof/>
        </w:rPr>
      </w:pPr>
      <w:r>
        <w:rPr>
          <w:i/>
          <w:noProof/>
          <w:vertAlign w:val="superscript"/>
        </w:rPr>
        <w:t>a</w:t>
      </w:r>
      <w:r w:rsidRPr="00073650">
        <w:rPr>
          <w:i/>
          <w:noProof/>
        </w:rPr>
        <w:t>School of Chemical Engineering, Sungkyungkwan University, 16419, Republic of Korea</w:t>
      </w:r>
    </w:p>
    <w:p w14:paraId="5C68D434" w14:textId="77777777" w:rsidR="00B23646" w:rsidRDefault="00B23646" w:rsidP="00B23646">
      <w:pPr>
        <w:pStyle w:val="Els-Affiliation"/>
      </w:pPr>
      <w:r w:rsidRPr="00C230EE">
        <w:rPr>
          <w:vertAlign w:val="superscript"/>
        </w:rPr>
        <w:t>*</w:t>
      </w:r>
      <w:r w:rsidRPr="004219DE">
        <w:t>Corresponding Author’s E-mail: jiyongkim@skku.edu</w:t>
      </w:r>
    </w:p>
    <w:p w14:paraId="144DE684" w14:textId="77777777" w:rsidR="008D2649" w:rsidRDefault="008D2649" w:rsidP="008D2649">
      <w:pPr>
        <w:pStyle w:val="Els-Abstract"/>
      </w:pPr>
      <w:r>
        <w:t>Abstract</w:t>
      </w:r>
    </w:p>
    <w:p w14:paraId="6A59E90A" w14:textId="42C8CDBF" w:rsidR="003927E9" w:rsidRDefault="003927E9" w:rsidP="003927E9">
      <w:pPr>
        <w:pStyle w:val="Els-body-text"/>
      </w:pPr>
      <w:r w:rsidRPr="00EE60FC">
        <w:t>Carbon capture</w:t>
      </w:r>
      <w:r>
        <w:t>, utilization, and storage</w:t>
      </w:r>
      <w:r w:rsidRPr="00EE60FC">
        <w:t xml:space="preserve"> </w:t>
      </w:r>
      <w:r>
        <w:t xml:space="preserve">(CCUS) is one of the promising and effective solutions addressing </w:t>
      </w:r>
      <w:r w:rsidRPr="00AB0987">
        <w:t xml:space="preserve">climate change </w:t>
      </w:r>
      <w:r>
        <w:t xml:space="preserve">and </w:t>
      </w:r>
      <w:r w:rsidRPr="00AB0987">
        <w:t>energy security</w:t>
      </w:r>
      <w:r>
        <w:t xml:space="preserve"> in the near-term. Since the CCUS technologies have different technological constraints for CO</w:t>
      </w:r>
      <w:r w:rsidRPr="009155F7">
        <w:rPr>
          <w:vertAlign w:val="subscript"/>
        </w:rPr>
        <w:t>2</w:t>
      </w:r>
      <w:r>
        <w:t xml:space="preserve"> sequestration, </w:t>
      </w:r>
      <w:r w:rsidRPr="00BB11A1">
        <w:t xml:space="preserve">it is essential to apply a unified evaluation framework to </w:t>
      </w:r>
      <w:r>
        <w:t>assess and analyze</w:t>
      </w:r>
      <w:r w:rsidRPr="00BB11A1">
        <w:t xml:space="preserve"> </w:t>
      </w:r>
      <w:r>
        <w:t xml:space="preserve">various </w:t>
      </w:r>
      <w:r w:rsidRPr="00BB11A1">
        <w:t>CCUS technolog</w:t>
      </w:r>
      <w:r>
        <w:t>ies</w:t>
      </w:r>
      <w:r w:rsidRPr="00BB11A1">
        <w:t xml:space="preserve"> in perspective of </w:t>
      </w:r>
      <w:r w:rsidRPr="0037003F">
        <w:t>CO</w:t>
      </w:r>
      <w:r w:rsidRPr="0037003F">
        <w:rPr>
          <w:vertAlign w:val="subscript"/>
        </w:rPr>
        <w:t>2</w:t>
      </w:r>
      <w:r w:rsidRPr="0037003F">
        <w:t xml:space="preserve"> disposal</w:t>
      </w:r>
      <w:r w:rsidRPr="00BB11A1">
        <w:t>.</w:t>
      </w:r>
      <w:r>
        <w:t xml:space="preserve"> In this study, we aim to assess and analyze</w:t>
      </w:r>
      <w:r w:rsidRPr="00D9318C">
        <w:t xml:space="preserve"> </w:t>
      </w:r>
      <w:r>
        <w:t xml:space="preserve">the CCUS technologies in </w:t>
      </w:r>
      <w:r w:rsidRPr="00D9318C">
        <w:t xml:space="preserve">specific problems of </w:t>
      </w:r>
      <w:r>
        <w:t>maximizing</w:t>
      </w:r>
      <w:r w:rsidRPr="00D9318C">
        <w:t xml:space="preserve"> </w:t>
      </w:r>
      <w:r>
        <w:t>net present value (NPV)</w:t>
      </w:r>
      <w:r w:rsidRPr="00D9318C">
        <w:t xml:space="preserve"> and CO</w:t>
      </w:r>
      <w:r w:rsidRPr="00D9318C">
        <w:rPr>
          <w:vertAlign w:val="subscript"/>
        </w:rPr>
        <w:t>2</w:t>
      </w:r>
      <w:r>
        <w:rPr>
          <w:vertAlign w:val="subscript"/>
        </w:rPr>
        <w:t>-eq</w:t>
      </w:r>
      <w:r w:rsidRPr="00D9318C">
        <w:t xml:space="preserve"> </w:t>
      </w:r>
      <w:r>
        <w:t>reduction considering various constraints</w:t>
      </w:r>
      <w:r w:rsidRPr="00D9318C">
        <w:t>.</w:t>
      </w:r>
      <w:r>
        <w:t xml:space="preserve"> This study developed an optimization-based framework to analyze and assess the CCUS technologies regarding technical, economic, and environmental performance. To achieve this goal, we developed a superstructure involving a series of technologies (e.g., CO</w:t>
      </w:r>
      <w:r w:rsidRPr="00F31A4A">
        <w:rPr>
          <w:vertAlign w:val="subscript"/>
        </w:rPr>
        <w:t>2</w:t>
      </w:r>
      <w:r>
        <w:t xml:space="preserve"> capture, transportation, CO</w:t>
      </w:r>
      <w:r w:rsidRPr="00F31A4A">
        <w:rPr>
          <w:vertAlign w:val="subscript"/>
        </w:rPr>
        <w:t>2</w:t>
      </w:r>
      <w:r>
        <w:t xml:space="preserve"> conversion, and separation) to storage and utilize captured CO</w:t>
      </w:r>
      <w:r w:rsidRPr="005D4395">
        <w:rPr>
          <w:vertAlign w:val="subscript"/>
        </w:rPr>
        <w:t>2</w:t>
      </w:r>
      <w:r>
        <w:t xml:space="preserve">. </w:t>
      </w:r>
      <w:r w:rsidRPr="00AA0B29">
        <w:t xml:space="preserve">We </w:t>
      </w:r>
      <w:r>
        <w:t xml:space="preserve">then </w:t>
      </w:r>
      <w:r w:rsidRPr="00AA0B29">
        <w:t>estimated</w:t>
      </w:r>
      <w:r>
        <w:t xml:space="preserve"> the</w:t>
      </w:r>
      <w:r w:rsidRPr="00AA0B29">
        <w:t xml:space="preserve"> technical and economic parameters</w:t>
      </w:r>
      <w:r>
        <w:t xml:space="preserve"> (i.e., mass flow, energy flow, sizing data and costing data) based on the literature and the process model by developed Aspen Plus. The optimization models were developed to identify the optimal CCUS strategies with different criteria: NPV, and CO</w:t>
      </w:r>
      <w:r w:rsidRPr="004B5D72">
        <w:rPr>
          <w:vertAlign w:val="subscript"/>
        </w:rPr>
        <w:t>2</w:t>
      </w:r>
      <w:r>
        <w:rPr>
          <w:vertAlign w:val="subscript"/>
        </w:rPr>
        <w:t>-eq</w:t>
      </w:r>
      <w:r>
        <w:t xml:space="preserve"> reduction. With </w:t>
      </w:r>
      <w:r w:rsidR="001D2763">
        <w:t>scenario-based</w:t>
      </w:r>
      <w:r>
        <w:t xml:space="preserve"> analysis, t</w:t>
      </w:r>
      <w:r w:rsidRPr="00D9318C">
        <w:t xml:space="preserve">his study also determined that </w:t>
      </w:r>
      <w:r>
        <w:t xml:space="preserve">the priority of various CCUS technologies considering </w:t>
      </w:r>
      <w:r>
        <w:rPr>
          <w:lang w:eastAsia="ko-KR"/>
        </w:rPr>
        <w:t xml:space="preserve">critical </w:t>
      </w:r>
      <w:r>
        <w:t>constraints such as the cost</w:t>
      </w:r>
      <w:r w:rsidR="00377720">
        <w:t xml:space="preserve"> and CO</w:t>
      </w:r>
      <w:r w:rsidR="00377720" w:rsidRPr="00377720">
        <w:rPr>
          <w:vertAlign w:val="subscript"/>
        </w:rPr>
        <w:t>2-eq</w:t>
      </w:r>
      <w:r w:rsidR="00377720">
        <w:t xml:space="preserve"> inventory</w:t>
      </w:r>
      <w:r>
        <w:t xml:space="preserve"> </w:t>
      </w:r>
      <w:r w:rsidR="00377720">
        <w:t>of H</w:t>
      </w:r>
      <w:r w:rsidR="00377720" w:rsidRPr="00377720">
        <w:rPr>
          <w:vertAlign w:val="subscript"/>
        </w:rPr>
        <w:t>2</w:t>
      </w:r>
      <w:r w:rsidR="00377720">
        <w:t xml:space="preserve"> </w:t>
      </w:r>
      <w:r w:rsidR="0022465B">
        <w:t xml:space="preserve">according to </w:t>
      </w:r>
      <w:r w:rsidR="0022465B">
        <w:rPr>
          <w:rFonts w:hint="eastAsia"/>
          <w:lang w:eastAsia="ko-KR"/>
        </w:rPr>
        <w:t>t</w:t>
      </w:r>
      <w:r w:rsidR="0022465B">
        <w:rPr>
          <w:lang w:eastAsia="ko-KR"/>
        </w:rPr>
        <w:t xml:space="preserve">he resource of </w:t>
      </w:r>
      <w:r w:rsidR="00377720">
        <w:rPr>
          <w:lang w:eastAsia="ko-KR"/>
        </w:rPr>
        <w:t>H</w:t>
      </w:r>
      <w:r w:rsidR="00377720" w:rsidRPr="00377720">
        <w:rPr>
          <w:vertAlign w:val="subscript"/>
          <w:lang w:eastAsia="ko-KR"/>
        </w:rPr>
        <w:t>2</w:t>
      </w:r>
      <w:r w:rsidR="00377720">
        <w:rPr>
          <w:lang w:eastAsia="ko-KR"/>
        </w:rPr>
        <w:t xml:space="preserve"> and utility</w:t>
      </w:r>
      <w:r w:rsidRPr="00D9318C">
        <w:t>.</w:t>
      </w:r>
      <w:r>
        <w:t xml:space="preserve"> </w:t>
      </w:r>
      <w:r w:rsidRPr="007B1DFD">
        <w:t xml:space="preserve">This </w:t>
      </w:r>
      <w:r>
        <w:rPr>
          <w:lang w:eastAsia="ko-KR"/>
        </w:rPr>
        <w:t>paper</w:t>
      </w:r>
      <w:r w:rsidRPr="007B1DFD">
        <w:t xml:space="preserve"> offers actionable policy guidance </w:t>
      </w:r>
      <w:r>
        <w:t>with NPV and CO</w:t>
      </w:r>
      <w:r w:rsidRPr="00F86F8C">
        <w:rPr>
          <w:vertAlign w:val="subscript"/>
        </w:rPr>
        <w:t>2</w:t>
      </w:r>
      <w:r>
        <w:rPr>
          <w:vertAlign w:val="subscript"/>
        </w:rPr>
        <w:t>-eq</w:t>
      </w:r>
      <w:r>
        <w:t xml:space="preserve"> reduction </w:t>
      </w:r>
      <w:r w:rsidRPr="007B1DFD">
        <w:t xml:space="preserve">for high carbon-footprint nations </w:t>
      </w:r>
      <w:r>
        <w:t>considering</w:t>
      </w:r>
      <w:r w:rsidRPr="007B1DFD">
        <w:t xml:space="preserve"> the CCU</w:t>
      </w:r>
      <w:r>
        <w:t>S</w:t>
      </w:r>
      <w:r w:rsidRPr="007B1DFD">
        <w:t xml:space="preserve"> </w:t>
      </w:r>
      <w:r>
        <w:t>strategy</w:t>
      </w:r>
      <w:r w:rsidRPr="007B1DFD">
        <w:t>.</w:t>
      </w:r>
    </w:p>
    <w:p w14:paraId="144DE687" w14:textId="6B7AE8A5" w:rsidR="008D2649" w:rsidRDefault="008D2649" w:rsidP="008D2649">
      <w:pPr>
        <w:pStyle w:val="Els-body-text"/>
        <w:spacing w:after="120"/>
        <w:rPr>
          <w:lang w:val="en-GB"/>
        </w:rPr>
      </w:pPr>
      <w:r>
        <w:rPr>
          <w:b/>
          <w:bCs/>
          <w:lang w:val="en-GB"/>
        </w:rPr>
        <w:t>Keywords</w:t>
      </w:r>
      <w:r>
        <w:rPr>
          <w:lang w:val="en-GB"/>
        </w:rPr>
        <w:t xml:space="preserve">: </w:t>
      </w:r>
      <w:r w:rsidR="003A2322" w:rsidRPr="00D9318C">
        <w:rPr>
          <w:rFonts w:eastAsia="HYSinMyeongJo-Medium"/>
          <w:bCs/>
          <w:szCs w:val="24"/>
        </w:rPr>
        <w:t>CO</w:t>
      </w:r>
      <w:r w:rsidR="003A2322" w:rsidRPr="00D9318C">
        <w:rPr>
          <w:rFonts w:eastAsia="HYSinMyeongJo-Medium"/>
          <w:bCs/>
          <w:szCs w:val="24"/>
          <w:vertAlign w:val="subscript"/>
        </w:rPr>
        <w:t>2</w:t>
      </w:r>
      <w:r w:rsidR="003A2322" w:rsidRPr="00D9318C">
        <w:rPr>
          <w:rFonts w:eastAsia="HYSinMyeongJo-Medium"/>
          <w:bCs/>
          <w:szCs w:val="24"/>
        </w:rPr>
        <w:t xml:space="preserve"> </w:t>
      </w:r>
      <w:r w:rsidR="003A2322">
        <w:rPr>
          <w:rFonts w:eastAsia="HYSinMyeongJo-Medium"/>
          <w:bCs/>
          <w:szCs w:val="24"/>
        </w:rPr>
        <w:t>utilization and storage</w:t>
      </w:r>
      <w:r w:rsidR="003A2322" w:rsidRPr="00D9318C">
        <w:rPr>
          <w:rFonts w:eastAsia="HYSinMyeongJo-Medium"/>
          <w:bCs/>
          <w:szCs w:val="24"/>
        </w:rPr>
        <w:t xml:space="preserve">, optimization-based assessment, techno–economic analysis, </w:t>
      </w:r>
      <w:r w:rsidR="003A2322">
        <w:rPr>
          <w:rFonts w:eastAsia="HYSinMyeongJo-Medium"/>
          <w:bCs/>
          <w:szCs w:val="24"/>
        </w:rPr>
        <w:t>life cycle assessment.</w:t>
      </w:r>
    </w:p>
    <w:p w14:paraId="3888CDF4" w14:textId="77777777" w:rsidR="009B36D5" w:rsidRDefault="009B36D5" w:rsidP="009B36D5">
      <w:pPr>
        <w:pStyle w:val="Els-1storder-head"/>
      </w:pPr>
      <w:r>
        <w:t>Introduction</w:t>
      </w:r>
    </w:p>
    <w:p w14:paraId="5395A610" w14:textId="16A5C114" w:rsidR="001379AF" w:rsidRDefault="001379AF" w:rsidP="001379AF">
      <w:pPr>
        <w:pStyle w:val="Els-body-text"/>
      </w:pPr>
      <w:r w:rsidRPr="0027567B">
        <w:t xml:space="preserve">The increasing </w:t>
      </w:r>
      <w:r>
        <w:t>challenge</w:t>
      </w:r>
      <w:r w:rsidRPr="0027567B">
        <w:t xml:space="preserve"> of climate change has amplified the significance of </w:t>
      </w:r>
      <w:r>
        <w:t>c</w:t>
      </w:r>
      <w:r w:rsidRPr="0027567B">
        <w:t xml:space="preserve">arbon </w:t>
      </w:r>
      <w:r>
        <w:t>cap</w:t>
      </w:r>
      <w:r w:rsidRPr="0027567B">
        <w:t xml:space="preserve">ture, </w:t>
      </w:r>
      <w:r>
        <w:t>u</w:t>
      </w:r>
      <w:r w:rsidRPr="0027567B">
        <w:t xml:space="preserve">tilization, and </w:t>
      </w:r>
      <w:r>
        <w:t>s</w:t>
      </w:r>
      <w:r w:rsidRPr="0027567B">
        <w:t>torage (CCUS) technology</w:t>
      </w:r>
      <w:r>
        <w:t xml:space="preserve"> </w:t>
      </w:r>
      <w:sdt>
        <w:sdtPr>
          <w:tag w:val="MENDELEY_CITATION_v3_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"/>
          <w:id w:val="-1967738079"/>
          <w:placeholder>
            <w:docPart w:val="DefaultPlaceholder_-1854013440"/>
          </w:placeholder>
        </w:sdtPr>
        <w:sdtEndPr/>
        <w:sdtContent>
          <w:r w:rsidR="00A1466E">
            <w:rPr>
              <w:rFonts w:eastAsia="Times New Roman"/>
            </w:rPr>
            <w:t>(Naims &amp; Eppinger, 2022)</w:t>
          </w:r>
        </w:sdtContent>
      </w:sdt>
      <w:r w:rsidRPr="0027567B">
        <w:t>. Given the increasing global temperatures and the growing urgency of environmental issues,</w:t>
      </w:r>
      <w:r>
        <w:t xml:space="preserve"> CCUS</w:t>
      </w:r>
      <w:r w:rsidRPr="0027567B">
        <w:t xml:space="preserve"> has </w:t>
      </w:r>
      <w:r>
        <w:t>become</w:t>
      </w:r>
      <w:r w:rsidRPr="0027567B">
        <w:t xml:space="preserve"> an </w:t>
      </w:r>
      <w:r>
        <w:t>essential</w:t>
      </w:r>
      <w:r w:rsidRPr="0027567B">
        <w:t xml:space="preserve"> </w:t>
      </w:r>
      <w:r>
        <w:t>technology</w:t>
      </w:r>
      <w:r w:rsidRPr="0027567B">
        <w:t xml:space="preserve"> in combating these cha</w:t>
      </w:r>
      <w:r>
        <w:t>llenges</w:t>
      </w:r>
      <w:sdt>
        <w:sdtPr>
          <w:rPr>
            <w:color w:val="000000"/>
          </w:rPr>
          <w:tag w:val="MENDELEY_CITATION_v3_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"/>
          <w:id w:val="1154646694"/>
          <w:placeholder>
            <w:docPart w:val="DefaultPlaceholder_-1854013440"/>
          </w:placeholder>
        </w:sdtPr>
        <w:sdtEndPr/>
        <w:sdtContent>
          <w:r w:rsidR="00EF61F0">
            <w:rPr>
              <w:color w:val="000000"/>
            </w:rPr>
            <w:t xml:space="preserve"> </w:t>
          </w:r>
          <w:r w:rsidR="00EF61F0" w:rsidRPr="00EF61F0">
            <w:rPr>
              <w:color w:val="000000"/>
            </w:rPr>
            <w:t>(</w:t>
          </w:r>
          <w:proofErr w:type="spellStart"/>
          <w:r w:rsidR="00EF61F0" w:rsidRPr="00EF61F0">
            <w:rPr>
              <w:color w:val="000000"/>
            </w:rPr>
            <w:t>Abanades</w:t>
          </w:r>
          <w:proofErr w:type="spellEnd"/>
          <w:r w:rsidR="00EF61F0" w:rsidRPr="00EF61F0">
            <w:rPr>
              <w:color w:val="000000"/>
            </w:rPr>
            <w:t xml:space="preserve"> et al., 2017)</w:t>
          </w:r>
        </w:sdtContent>
      </w:sdt>
      <w:r w:rsidRPr="0027567B">
        <w:t xml:space="preserve">. The importance of this technology is emphasized by global </w:t>
      </w:r>
      <w:r>
        <w:t>efforts</w:t>
      </w:r>
      <w:r w:rsidRPr="0027567B">
        <w:t xml:space="preserve"> aimed at reducing </w:t>
      </w:r>
      <w:r>
        <w:t>CO</w:t>
      </w:r>
      <w:r w:rsidRPr="00A34B3A">
        <w:rPr>
          <w:vertAlign w:val="subscript"/>
        </w:rPr>
        <w:t>2</w:t>
      </w:r>
      <w:r w:rsidRPr="0027567B">
        <w:t xml:space="preserve"> emissions and shifting towards environmentally sustainable energy alternatives.</w:t>
      </w:r>
      <w:r>
        <w:t xml:space="preserve"> </w:t>
      </w:r>
      <w:r w:rsidRPr="00A34B3A">
        <w:t xml:space="preserve">Despite the recognized </w:t>
      </w:r>
      <w:r>
        <w:t>importance</w:t>
      </w:r>
      <w:r w:rsidRPr="00A34B3A">
        <w:t xml:space="preserve"> of CCUS, its global implementation remains limited, with less than 1% of the projected CO</w:t>
      </w:r>
      <w:r w:rsidRPr="00A34B3A">
        <w:rPr>
          <w:vertAlign w:val="subscript"/>
        </w:rPr>
        <w:t>2</w:t>
      </w:r>
      <w:r w:rsidRPr="00A34B3A">
        <w:t xml:space="preserve"> captured</w:t>
      </w:r>
      <w:sdt>
        <w:sdtPr>
          <w:rPr>
            <w:color w:val="000000"/>
          </w:rPr>
          <w:tag w:val="MENDELEY_CITATION_v3_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"/>
          <w:id w:val="1597289125"/>
          <w:placeholder>
            <w:docPart w:val="DefaultPlaceholder_-1854013440"/>
          </w:placeholder>
        </w:sdtPr>
        <w:sdtEndPr/>
        <w:sdtContent>
          <w:r w:rsidR="00756EA7">
            <w:rPr>
              <w:color w:val="000000"/>
            </w:rPr>
            <w:t xml:space="preserve"> </w:t>
          </w:r>
          <w:r w:rsidR="00A1466E" w:rsidRPr="00A1466E">
            <w:rPr>
              <w:color w:val="000000"/>
            </w:rPr>
            <w:t>(Mac Dowell et al., 2017)</w:t>
          </w:r>
        </w:sdtContent>
      </w:sdt>
      <w:r w:rsidRPr="00A34B3A">
        <w:t xml:space="preserve">. </w:t>
      </w:r>
      <w:r w:rsidRPr="009A1204">
        <w:t>This is primarily attributed to the slow pace of CCUS implementation, compounded by issues such as high costs, regulatory obstacles, and technological limitations.</w:t>
      </w:r>
      <w:r>
        <w:t xml:space="preserve"> </w:t>
      </w:r>
      <w:r w:rsidRPr="00146E4B">
        <w:t>The significant disparity between the p</w:t>
      </w:r>
      <w:r>
        <w:t>rojected CO</w:t>
      </w:r>
      <w:r w:rsidRPr="00956929">
        <w:rPr>
          <w:vertAlign w:val="subscript"/>
        </w:rPr>
        <w:t>2</w:t>
      </w:r>
      <w:r>
        <w:t xml:space="preserve"> captured</w:t>
      </w:r>
      <w:r w:rsidRPr="00146E4B">
        <w:t xml:space="preserve"> and actual</w:t>
      </w:r>
      <w:r>
        <w:t xml:space="preserve"> CCUS</w:t>
      </w:r>
      <w:r w:rsidRPr="00146E4B">
        <w:t xml:space="preserve"> implementation </w:t>
      </w:r>
      <w:r>
        <w:t>highlights</w:t>
      </w:r>
      <w:r w:rsidRPr="00146E4B">
        <w:t xml:space="preserve"> the </w:t>
      </w:r>
      <w:r>
        <w:t>need for more efforts</w:t>
      </w:r>
      <w:r w:rsidRPr="00146E4B">
        <w:t xml:space="preserve"> and strategic </w:t>
      </w:r>
      <w:r>
        <w:t>planning</w:t>
      </w:r>
      <w:r w:rsidRPr="00146E4B">
        <w:t xml:space="preserve"> in the field of </w:t>
      </w:r>
      <w:r>
        <w:t>CCUS</w:t>
      </w:r>
      <w:r w:rsidRPr="00146E4B">
        <w:t>.</w:t>
      </w:r>
      <w:r>
        <w:t xml:space="preserve"> </w:t>
      </w:r>
      <w:r w:rsidRPr="00DD20DA">
        <w:t xml:space="preserve">Carbon </w:t>
      </w:r>
      <w:r>
        <w:t>c</w:t>
      </w:r>
      <w:r w:rsidRPr="00DD20DA">
        <w:t xml:space="preserve">apture </w:t>
      </w:r>
      <w:r>
        <w:t>u</w:t>
      </w:r>
      <w:r w:rsidRPr="00DD20DA">
        <w:t xml:space="preserve">tilization for </w:t>
      </w:r>
      <w:r>
        <w:t>e</w:t>
      </w:r>
      <w:r w:rsidRPr="00DD20DA">
        <w:t xml:space="preserve">nergy (CCU4E) technologies have </w:t>
      </w:r>
      <w:r w:rsidRPr="00DD20DA">
        <w:lastRenderedPageBreak/>
        <w:t>demonstrated significant promise among the several CCUS</w:t>
      </w:r>
      <w:r>
        <w:t xml:space="preserve"> technologies</w:t>
      </w:r>
      <w:r w:rsidRPr="00DD20DA">
        <w:t xml:space="preserve">, </w:t>
      </w:r>
      <w:r>
        <w:t>particularly</w:t>
      </w:r>
      <w:r w:rsidRPr="00DD20DA">
        <w:t xml:space="preserve"> in the generation of energy products</w:t>
      </w:r>
      <w:r>
        <w:t xml:space="preserve"> </w:t>
      </w:r>
      <w:sdt>
        <w:sdtPr>
          <w:rPr>
            <w:color w:val="000000"/>
          </w:rPr>
          <w:tag w:val="MENDELEY_CITATION_v3_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"/>
          <w:id w:val="1154953218"/>
          <w:placeholder>
            <w:docPart w:val="DefaultPlaceholder_-1854013440"/>
          </w:placeholder>
        </w:sdtPr>
        <w:sdtEndPr/>
        <w:sdtContent>
          <w:r w:rsidR="00A1466E" w:rsidRPr="00A1466E">
            <w:rPr>
              <w:color w:val="000000"/>
            </w:rPr>
            <w:t>(Hepburn et al., 2019)</w:t>
          </w:r>
        </w:sdtContent>
      </w:sdt>
      <w:r w:rsidRPr="00DD20DA">
        <w:t xml:space="preserve">. </w:t>
      </w:r>
      <w:r w:rsidRPr="00014259">
        <w:t xml:space="preserve">In our previous study, we conducted a techno-economic assessment of CCU4E technologies </w:t>
      </w:r>
      <w:r>
        <w:t>comparing</w:t>
      </w:r>
      <w:r w:rsidRPr="00014259">
        <w:t xml:space="preserve"> their viability and competitiveness with conventional energy sources</w:t>
      </w:r>
      <w:r>
        <w:t xml:space="preserve"> </w:t>
      </w:r>
      <w:sdt>
        <w:sdtPr>
          <w:rPr>
            <w:color w:val="000000"/>
          </w:rPr>
          <w:tag w:val="MENDELEY_CITATION_v3_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"/>
          <w:id w:val="505564014"/>
          <w:placeholder>
            <w:docPart w:val="DefaultPlaceholder_-1854013440"/>
          </w:placeholder>
        </w:sdtPr>
        <w:sdtEndPr/>
        <w:sdtContent>
          <w:r w:rsidR="00A1466E" w:rsidRPr="00A1466E">
            <w:rPr>
              <w:color w:val="000000"/>
            </w:rPr>
            <w:t>(Do et al., 2022)</w:t>
          </w:r>
        </w:sdtContent>
      </w:sdt>
      <w:r w:rsidRPr="00014259">
        <w:t xml:space="preserve">. </w:t>
      </w:r>
      <w:r w:rsidRPr="00291761">
        <w:t>However, for successful implementation of CCU4E technologies, it is essential to not only assess their techno-economic viability but also to clearly identify and understand the actual constraints and potential</w:t>
      </w:r>
      <w:r>
        <w:t xml:space="preserve"> of CCU4E technologies</w:t>
      </w:r>
      <w:r w:rsidRPr="00291761">
        <w:t>.</w:t>
      </w:r>
      <w:r w:rsidRPr="00014259">
        <w:t xml:space="preserve"> This involves a detailed understanding of market </w:t>
      </w:r>
      <w:r>
        <w:t>information (e.g.,</w:t>
      </w:r>
      <w:r w:rsidRPr="00014259">
        <w:t xml:space="preserve"> market size, </w:t>
      </w:r>
      <w:r>
        <w:t>market price)</w:t>
      </w:r>
      <w:r w:rsidRPr="00014259">
        <w:t xml:space="preserve"> and </w:t>
      </w:r>
      <w:r>
        <w:t>global information</w:t>
      </w:r>
      <w:r w:rsidRPr="00014259">
        <w:t xml:space="preserve"> </w:t>
      </w:r>
      <w:r>
        <w:t xml:space="preserve">(e.g., renewable energy potential and </w:t>
      </w:r>
      <w:r w:rsidRPr="00014259">
        <w:t>hydrogen</w:t>
      </w:r>
      <w:r>
        <w:t xml:space="preserve"> availability)</w:t>
      </w:r>
      <w:r w:rsidRPr="00014259">
        <w:t xml:space="preserve">. </w:t>
      </w:r>
      <w:r>
        <w:t>In this study</w:t>
      </w:r>
      <w:r w:rsidRPr="00282B37">
        <w:t xml:space="preserve">, </w:t>
      </w:r>
      <w:r>
        <w:t xml:space="preserve">we developed </w:t>
      </w:r>
      <w:r w:rsidRPr="00282B37">
        <w:t>an optimization-based assessment framework</w:t>
      </w:r>
      <w:r>
        <w:t xml:space="preserve"> for planning</w:t>
      </w:r>
      <w:r w:rsidRPr="00282B37">
        <w:t xml:space="preserve"> CCU4E technologies from technical and environmental perspectives. This framework aims to offer a strategic approach to planning CCU4E </w:t>
      </w:r>
      <w:r>
        <w:t>implementation</w:t>
      </w:r>
      <w:r w:rsidRPr="00282B37">
        <w:t>, considering a</w:t>
      </w:r>
      <w:r>
        <w:t xml:space="preserve"> </w:t>
      </w:r>
      <w:r>
        <w:rPr>
          <w:lang w:eastAsia="ko-KR"/>
        </w:rPr>
        <w:t xml:space="preserve">practical </w:t>
      </w:r>
      <w:r>
        <w:t xml:space="preserve">constraint </w:t>
      </w:r>
      <w:r w:rsidRPr="00282B37">
        <w:t xml:space="preserve">that impact its feasibility and effectiveness. By integrating technical, economic, and environmental analyses, </w:t>
      </w:r>
      <w:r>
        <w:t>we</w:t>
      </w:r>
      <w:r w:rsidRPr="00282B37">
        <w:t xml:space="preserve"> identif</w:t>
      </w:r>
      <w:r>
        <w:t>ied</w:t>
      </w:r>
      <w:r w:rsidRPr="00282B37">
        <w:t xml:space="preserve"> optimal pathways for CO</w:t>
      </w:r>
      <w:r w:rsidRPr="00282B37">
        <w:rPr>
          <w:vertAlign w:val="subscript"/>
        </w:rPr>
        <w:t>2</w:t>
      </w:r>
      <w:r w:rsidRPr="00282B37">
        <w:t xml:space="preserve"> utilization in energy production, balancing the goals of sustainability, economic viability, and environmental protection.</w:t>
      </w:r>
    </w:p>
    <w:p w14:paraId="79BAD1A7" w14:textId="77777777" w:rsidR="007F2680" w:rsidRDefault="007F2680" w:rsidP="007F2680">
      <w:pPr>
        <w:pStyle w:val="Els-1storder-head"/>
      </w:pPr>
      <w:r>
        <w:t>Methodology</w:t>
      </w:r>
    </w:p>
    <w:p w14:paraId="66A4A2D6" w14:textId="3EEF2561" w:rsidR="00A108F1" w:rsidRDefault="00A108F1" w:rsidP="00A108F1">
      <w:pPr>
        <w:pStyle w:val="Els-body-text"/>
      </w:pPr>
      <w:r>
        <w:t>Figure 1 presents our methodological approach for assessing CCU4E. We developed a CCU4E superstructure which includes a variety of technologies for converting captured CO</w:t>
      </w:r>
      <w:r w:rsidRPr="00AE5A76">
        <w:rPr>
          <w:vertAlign w:val="subscript"/>
        </w:rPr>
        <w:t>2</w:t>
      </w:r>
      <w:r>
        <w:t xml:space="preserve"> into valuable energy products</w:t>
      </w:r>
      <w:r w:rsidR="008E5FA3">
        <w:t xml:space="preserve"> as shown in Figure 2</w:t>
      </w:r>
      <w:r>
        <w:t xml:space="preserve">. </w:t>
      </w:r>
      <w:r w:rsidR="000B2891">
        <w:t>W</w:t>
      </w:r>
      <w:r>
        <w:t xml:space="preserve">e developed </w:t>
      </w:r>
      <w:r w:rsidRPr="00921963">
        <w:t>process model</w:t>
      </w:r>
      <w:r>
        <w:t xml:space="preserve">s for </w:t>
      </w:r>
      <w:r w:rsidR="00597EFB">
        <w:t>2</w:t>
      </w:r>
      <w:r>
        <w:t>0 CCU4E pathways</w:t>
      </w:r>
      <w:r w:rsidRPr="00921963">
        <w:t xml:space="preserve">. </w:t>
      </w:r>
      <w:r>
        <w:t xml:space="preserve">The mass and energy balance were obtained from developed process model. Sizing and costing data were also estimated. We obtained chemical market information (i.e., product prices and market sizes) and global information (i.e., </w:t>
      </w:r>
      <w:r>
        <w:rPr>
          <w:rFonts w:hint="eastAsia"/>
          <w:lang w:eastAsia="ko-KR"/>
        </w:rPr>
        <w:t>r</w:t>
      </w:r>
      <w:r>
        <w:rPr>
          <w:lang w:eastAsia="ko-KR"/>
        </w:rPr>
        <w:t>enewable energy potential and hydrogen availability</w:t>
      </w:r>
      <w:sdt>
        <w:sdtPr>
          <w:rPr>
            <w:color w:val="000000"/>
            <w:lang w:eastAsia="ko-KR"/>
          </w:rPr>
          <w:tag w:val="MENDELEY_CITATION_v3_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"/>
          <w:id w:val="-1689364716"/>
          <w:placeholder>
            <w:docPart w:val="DefaultPlaceholder_-1854013440"/>
          </w:placeholder>
        </w:sdtPr>
        <w:sdtEndPr/>
        <w:sdtContent>
          <w:r w:rsidR="00902F93">
            <w:rPr>
              <w:color w:val="000000"/>
              <w:lang w:eastAsia="ko-KR"/>
            </w:rPr>
            <w:t xml:space="preserve"> </w:t>
          </w:r>
          <w:r w:rsidR="00902F93" w:rsidRPr="00902F93">
            <w:rPr>
              <w:color w:val="000000"/>
              <w:lang w:eastAsia="ko-KR"/>
            </w:rPr>
            <w:t>(Hepburn et al., 2019)</w:t>
          </w:r>
        </w:sdtContent>
      </w:sdt>
      <w:r>
        <w:t xml:space="preserve">. </w:t>
      </w:r>
      <w:r w:rsidR="00EB67AC">
        <w:t>We</w:t>
      </w:r>
      <w:r w:rsidRPr="00E15FFF">
        <w:t xml:space="preserve"> developed an optimization model </w:t>
      </w:r>
      <w:r>
        <w:t>considering various constraints such as</w:t>
      </w:r>
      <w:r w:rsidRPr="00E15FFF">
        <w:t xml:space="preserve"> technical, market, and global </w:t>
      </w:r>
      <w:r>
        <w:t>information</w:t>
      </w:r>
      <w:r w:rsidRPr="00E15FFF">
        <w:t xml:space="preserve">. </w:t>
      </w:r>
      <w:r>
        <w:t xml:space="preserve">To </w:t>
      </w:r>
      <w:r w:rsidR="00842DA2">
        <w:t xml:space="preserve">analyze </w:t>
      </w:r>
      <w:r>
        <w:t xml:space="preserve">the capability of </w:t>
      </w:r>
      <w:r w:rsidR="006D5FD5">
        <w:t>optimization model</w:t>
      </w:r>
      <w:r>
        <w:t xml:space="preserve">, we developed different scenarios considering different resource type. By analyzing different scenarios, we could provide practical insights for CCU4E implementation, contributing to efforts in combating global climate change. </w:t>
      </w:r>
      <w:r w:rsidRPr="00834CB5">
        <w:t>Our methodology also encompasses a long-term perspective, extending our planning and analysis horizon up to the year 2050. This extended timeframe allows for a more comprehensive assessment of the evolving landscape of CO</w:t>
      </w:r>
      <w:r w:rsidRPr="00834CB5">
        <w:rPr>
          <w:vertAlign w:val="subscript"/>
        </w:rPr>
        <w:t>2</w:t>
      </w:r>
      <w:r w:rsidRPr="00834CB5">
        <w:t xml:space="preserve"> utilization and the changing dynamics of energy production.</w:t>
      </w:r>
      <w:r>
        <w:t xml:space="preserve"> </w:t>
      </w:r>
    </w:p>
    <w:p w14:paraId="4A381690" w14:textId="77777777" w:rsidR="00E337A5" w:rsidRDefault="00E337A5" w:rsidP="00A108F1">
      <w:pPr>
        <w:pStyle w:val="Els-body-text"/>
      </w:pPr>
    </w:p>
    <w:p w14:paraId="003BAD2D" w14:textId="0A1E92C3" w:rsidR="00305829" w:rsidRDefault="001247D8" w:rsidP="00305829">
      <w:pPr>
        <w:pStyle w:val="Els-body-text"/>
      </w:pPr>
      <w:r>
        <w:object w:dxaOrig="5405" w:dyaOrig="7808" w14:anchorId="68B844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4pt;height:168pt" o:ole="">
            <v:imagedata r:id="rId8" o:title="" croptop="23119f" cropbottom="20871f"/>
          </v:shape>
          <o:OLEObject Type="Embed" ProgID="PowerPoint.Show.12" ShapeID="_x0000_i1025" DrawAspect="Content" ObjectID="_1766914789" r:id="rId9"/>
        </w:object>
      </w:r>
    </w:p>
    <w:p w14:paraId="0C6F5637" w14:textId="77777777" w:rsidR="00305829" w:rsidRDefault="00305829" w:rsidP="00305829">
      <w:pPr>
        <w:pStyle w:val="Els-caption"/>
        <w:jc w:val="center"/>
      </w:pPr>
      <w:r w:rsidRPr="003B6908">
        <w:rPr>
          <w:b/>
          <w:bCs/>
        </w:rPr>
        <w:t xml:space="preserve">Figure </w:t>
      </w:r>
      <w:r w:rsidRPr="003B6908">
        <w:rPr>
          <w:b/>
          <w:bCs/>
        </w:rPr>
        <w:fldChar w:fldCharType="begin"/>
      </w:r>
      <w:r w:rsidRPr="003B6908">
        <w:rPr>
          <w:b/>
          <w:bCs/>
        </w:rPr>
        <w:instrText xml:space="preserve"> SEQ Figure \* ARABIC </w:instrText>
      </w:r>
      <w:r w:rsidRPr="003B6908">
        <w:rPr>
          <w:b/>
          <w:bCs/>
        </w:rPr>
        <w:fldChar w:fldCharType="separate"/>
      </w:r>
      <w:r>
        <w:rPr>
          <w:b/>
          <w:bCs/>
          <w:noProof/>
        </w:rPr>
        <w:t>1</w:t>
      </w:r>
      <w:r w:rsidRPr="003B6908">
        <w:rPr>
          <w:b/>
          <w:bCs/>
        </w:rPr>
        <w:fldChar w:fldCharType="end"/>
      </w:r>
      <w:r w:rsidRPr="003B6908">
        <w:rPr>
          <w:b/>
          <w:bCs/>
        </w:rPr>
        <w:t>.</w:t>
      </w:r>
      <w:r>
        <w:t xml:space="preserve"> </w:t>
      </w:r>
      <w:r w:rsidRPr="003B6908">
        <w:t>Methodology for the assessment of</w:t>
      </w:r>
      <w:r>
        <w:t xml:space="preserve"> CO</w:t>
      </w:r>
      <w:r w:rsidRPr="00F6348C">
        <w:rPr>
          <w:vertAlign w:val="subscript"/>
        </w:rPr>
        <w:t>2</w:t>
      </w:r>
      <w:r>
        <w:t xml:space="preserve"> utilization strategy for energy products</w:t>
      </w:r>
    </w:p>
    <w:p w14:paraId="7CA3131A" w14:textId="0B30ECE9" w:rsidR="00ED2560" w:rsidRDefault="00ED2560">
      <w:r>
        <w:br w:type="page"/>
      </w:r>
      <w:r>
        <w:object w:dxaOrig="5405" w:dyaOrig="7808" w14:anchorId="13C77C0E">
          <v:shape id="_x0000_i1026" type="#_x0000_t75" style="width:353.4pt;height:174.6pt" o:ole="">
            <v:imagedata r:id="rId10" o:title="" croptop="21375f" cropbottom="21715f"/>
          </v:shape>
          <o:OLEObject Type="Embed" ProgID="PowerPoint.Show.12" ShapeID="_x0000_i1026" DrawAspect="Content" ObjectID="_1766914790" r:id="rId11"/>
        </w:object>
      </w:r>
    </w:p>
    <w:p w14:paraId="58A44102" w14:textId="2E939EBD" w:rsidR="00ED2560" w:rsidRDefault="00ED2560" w:rsidP="00ED2560">
      <w:pPr>
        <w:pStyle w:val="Els-caption"/>
        <w:jc w:val="center"/>
      </w:pPr>
      <w:r w:rsidRPr="003B6908">
        <w:rPr>
          <w:b/>
          <w:bCs/>
        </w:rPr>
        <w:t xml:space="preserve">Figure </w:t>
      </w:r>
      <w:r>
        <w:rPr>
          <w:b/>
          <w:bCs/>
        </w:rPr>
        <w:t>2</w:t>
      </w:r>
      <w:r w:rsidRPr="003B6908">
        <w:rPr>
          <w:b/>
          <w:bCs/>
        </w:rPr>
        <w:t>.</w:t>
      </w:r>
      <w:r w:rsidR="00EF7377">
        <w:rPr>
          <w:b/>
          <w:bCs/>
        </w:rPr>
        <w:t xml:space="preserve"> </w:t>
      </w:r>
      <w:r w:rsidR="00EF7377">
        <w:t>Superstructure of CO</w:t>
      </w:r>
      <w:r w:rsidR="00EF7377" w:rsidRPr="00EF7377">
        <w:rPr>
          <w:vertAlign w:val="subscript"/>
        </w:rPr>
        <w:t>2</w:t>
      </w:r>
      <w:r w:rsidR="00EF7377">
        <w:t xml:space="preserve"> utilization for energy products</w:t>
      </w:r>
    </w:p>
    <w:p w14:paraId="144DE6A1" w14:textId="55DF8FF8" w:rsidR="008D2649" w:rsidRPr="00A94774" w:rsidRDefault="001D65DA" w:rsidP="008D2649">
      <w:pPr>
        <w:pStyle w:val="Els-1storder-head"/>
        <w:spacing w:after="120"/>
        <w:rPr>
          <w:lang w:val="en-GB"/>
        </w:rPr>
      </w:pPr>
      <w:r>
        <w:rPr>
          <w:lang w:val="en-GB"/>
        </w:rPr>
        <w:t>Optimization model</w:t>
      </w:r>
    </w:p>
    <w:p w14:paraId="4DF7EAA4" w14:textId="77777777" w:rsidR="0075706A" w:rsidRDefault="0075706A" w:rsidP="0075706A">
      <w:pPr>
        <w:pStyle w:val="Els-body-text"/>
      </w:pPr>
      <w:r>
        <w:t>In this study, we developed an optimization model using mixed integer linear programming (MILP) to identify the optimal CO</w:t>
      </w:r>
      <w:r w:rsidRPr="00A25ADD">
        <w:rPr>
          <w:vertAlign w:val="subscript"/>
        </w:rPr>
        <w:t>2</w:t>
      </w:r>
      <w:r>
        <w:t xml:space="preserve"> utilization strategies. This model is composed of a comprehensive set of data, including technology-specific, market, and global information. Our strategy for CO</w:t>
      </w:r>
      <w:r w:rsidRPr="00A25ADD">
        <w:rPr>
          <w:vertAlign w:val="subscript"/>
        </w:rPr>
        <w:t>2</w:t>
      </w:r>
      <w:r>
        <w:t xml:space="preserve"> utilization encompasses various pathways for producing multiple energy products. Each pathway begins with feedstocks like CO</w:t>
      </w:r>
      <w:r w:rsidRPr="00A25ADD">
        <w:rPr>
          <w:vertAlign w:val="subscript"/>
        </w:rPr>
        <w:t>2</w:t>
      </w:r>
      <w:r>
        <w:t xml:space="preserve"> and hydrogen and involves a sequence of conversion and separation technologies to produce one or more target fuels. </w:t>
      </w:r>
      <w:r>
        <w:rPr>
          <w:rFonts w:hint="eastAsia"/>
          <w:lang w:eastAsia="ko-KR"/>
        </w:rPr>
        <w:t>I</w:t>
      </w:r>
      <w:r>
        <w:rPr>
          <w:lang w:eastAsia="ko-KR"/>
        </w:rPr>
        <w:t xml:space="preserve">n this study, we developed two objective functions. </w:t>
      </w:r>
      <w:r>
        <w:t xml:space="preserve">The first, defined in Eq. (1), aims at maximizing NPV. </w:t>
      </w:r>
      <w:r w:rsidRPr="00082308">
        <w:t>The</w:t>
      </w:r>
      <w:r>
        <w:t xml:space="preserve"> NPV </w:t>
      </w:r>
      <w:r w:rsidRPr="00082308">
        <w:t>is calculated by considering the total revenue</w:t>
      </w:r>
      <w:r>
        <w:t xml:space="preserve"> (TRE)</w:t>
      </w:r>
      <w:r w:rsidRPr="00082308">
        <w:t xml:space="preserve"> and the total costs</w:t>
      </w:r>
      <w:r>
        <w:t xml:space="preserve"> (TCO)</w:t>
      </w:r>
      <w:r w:rsidRPr="00082308">
        <w:t xml:space="preserve"> associated with the CO</w:t>
      </w:r>
      <w:r w:rsidRPr="00082308">
        <w:rPr>
          <w:vertAlign w:val="subscript"/>
        </w:rPr>
        <w:t>2</w:t>
      </w:r>
      <w:r w:rsidRPr="00082308">
        <w:t xml:space="preserve"> utilization processes, along with depreciation</w:t>
      </w:r>
      <w:r>
        <w:t xml:space="preserve"> (</w:t>
      </w:r>
      <w:proofErr w:type="spellStart"/>
      <w:r>
        <w:t>dp</w:t>
      </w:r>
      <w:proofErr w:type="spellEnd"/>
      <w:r>
        <w:t>)</w:t>
      </w:r>
      <w:r w:rsidRPr="00082308">
        <w:t>, the discount rate</w:t>
      </w:r>
      <w:r>
        <w:t xml:space="preserve"> (d)</w:t>
      </w:r>
      <w:r w:rsidRPr="00082308">
        <w:t>, and tax considerations</w:t>
      </w:r>
      <w:r>
        <w:t xml:space="preserve"> (TAX)</w:t>
      </w:r>
      <w:r w:rsidRPr="00082308">
        <w:t xml:space="preserve">. The total revenue is derived from the combined profits of selling </w:t>
      </w:r>
      <w:r>
        <w:t>energy products</w:t>
      </w:r>
      <w:r w:rsidRPr="00082308">
        <w:t xml:space="preserve"> and by-products and includes the salvage value of facilities at the end of their life cycle</w:t>
      </w:r>
      <w:r>
        <w:t xml:space="preserve">. </w:t>
      </w:r>
      <w:r w:rsidRPr="001C31EB">
        <w:t>On the other hand, total costs encompass the investment required for facility establishment, operational expenditures, and variable costs like feedstock and utility expenses.</w:t>
      </w:r>
      <w:r>
        <w:t xml:space="preserve"> In the optimization model, our second objective function is focused on maximizing CO</w:t>
      </w:r>
      <w:r w:rsidRPr="00DC06B5">
        <w:rPr>
          <w:vertAlign w:val="subscript"/>
        </w:rPr>
        <w:t>2-eq</w:t>
      </w:r>
      <w:r>
        <w:t xml:space="preserve"> reduction, which is crucial for assessing the environmental impact of the CO</w:t>
      </w:r>
      <w:r w:rsidRPr="00DC06B5">
        <w:rPr>
          <w:vertAlign w:val="subscript"/>
        </w:rPr>
        <w:t>2</w:t>
      </w:r>
      <w:r>
        <w:t xml:space="preserve"> utilization strategies. This evaluation is conducted through two key parameters: the CO</w:t>
      </w:r>
      <w:r w:rsidRPr="00561292">
        <w:rPr>
          <w:vertAlign w:val="subscript"/>
        </w:rPr>
        <w:t>2</w:t>
      </w:r>
      <w:r>
        <w:t xml:space="preserve"> inventory of products (CP) and net CO</w:t>
      </w:r>
      <w:r w:rsidRPr="00B2538F">
        <w:rPr>
          <w:vertAlign w:val="subscript"/>
        </w:rPr>
        <w:t>2</w:t>
      </w:r>
      <w:r>
        <w:t xml:space="preserve"> equivalent emissions (NCE). The CP is a measure of the total CO</w:t>
      </w:r>
      <w:r w:rsidRPr="00DC06B5">
        <w:rPr>
          <w:vertAlign w:val="subscript"/>
        </w:rPr>
        <w:t>2</w:t>
      </w:r>
      <w:r>
        <w:t xml:space="preserve"> emissions associated with each produced fuel or by-product. It reflects the environmental footprint of producing these energy products considering all emissions from the point of CO</w:t>
      </w:r>
      <w:r w:rsidRPr="00DC06B5">
        <w:rPr>
          <w:vertAlign w:val="subscript"/>
        </w:rPr>
        <w:t>2</w:t>
      </w:r>
      <w:r>
        <w:t xml:space="preserve"> capture to the final product output. On the other hand, the NCE refer to the balance of CO</w:t>
      </w:r>
      <w:r w:rsidRPr="00B52610">
        <w:rPr>
          <w:vertAlign w:val="subscript"/>
        </w:rPr>
        <w:t>2</w:t>
      </w:r>
      <w:r>
        <w:t xml:space="preserve"> emissions and reductions throughout the entire process of CO</w:t>
      </w:r>
      <w:r w:rsidRPr="00B52610">
        <w:rPr>
          <w:vertAlign w:val="subscript"/>
        </w:rPr>
        <w:t>2</w:t>
      </w:r>
      <w:r>
        <w:t xml:space="preserve"> utilization.</w:t>
      </w:r>
    </w:p>
    <w:tbl>
      <w:tblPr>
        <w:tblW w:w="7087" w:type="dxa"/>
        <w:tblLook w:val="04A0" w:firstRow="1" w:lastRow="0" w:firstColumn="1" w:lastColumn="0" w:noHBand="0" w:noVBand="1"/>
      </w:tblPr>
      <w:tblGrid>
        <w:gridCol w:w="5670"/>
        <w:gridCol w:w="1417"/>
      </w:tblGrid>
      <w:tr w:rsidR="00316DE6" w:rsidRPr="003C30DA" w14:paraId="60CBF9C0" w14:textId="77777777" w:rsidTr="00903A8F">
        <w:tc>
          <w:tcPr>
            <w:tcW w:w="5670" w:type="dxa"/>
            <w:shd w:val="clear" w:color="auto" w:fill="auto"/>
            <w:vAlign w:val="center"/>
          </w:tcPr>
          <w:p w14:paraId="4F016305" w14:textId="77777777" w:rsidR="00316DE6" w:rsidRPr="00442DD1" w:rsidRDefault="00316DE6" w:rsidP="00903A8F">
            <w:pPr>
              <w:pStyle w:val="Els-body-text"/>
              <w:spacing w:before="120"/>
              <w:jc w:val="left"/>
              <w:rPr>
                <w:rFonts w:ascii="Cambria Math" w:hAnsi="Cambria Math"/>
                <w:oMath/>
              </w:rPr>
            </w:pPr>
            <m:oMathPara>
              <m:oMath>
                <m:r>
                  <w:rPr>
                    <w:rFonts w:ascii="Cambria Math" w:hAnsi="Cambria Math"/>
                  </w:rPr>
                  <m:t>MaxNPV=</m:t>
                </m:r>
                <m:nary>
                  <m:naryPr>
                    <m:chr m:val="∑"/>
                    <m:limLoc m:val="undOvr"/>
                    <m:supHide m:val="1"/>
                    <m:ctrlPr>
                      <w:rPr>
                        <w:rFonts w:ascii="Cambria Math" w:hAnsi="Cambria Math"/>
                        <w:i/>
                      </w:rPr>
                    </m:ctrlPr>
                  </m:naryPr>
                  <m:sub>
                    <m:r>
                      <w:rPr>
                        <w:rFonts w:ascii="Cambria Math" w:hAnsi="Cambria Math"/>
                      </w:rPr>
                      <m:t>t</m:t>
                    </m:r>
                  </m:sub>
                  <m:sup/>
                  <m:e>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TRE</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TCO</m:t>
                                </m:r>
                              </m:e>
                              <m:sub>
                                <m:r>
                                  <w:rPr>
                                    <w:rFonts w:ascii="Cambria Math" w:hAnsi="Cambria Math"/>
                                  </w:rPr>
                                  <m:t>t</m:t>
                                </m:r>
                              </m:sub>
                            </m:sSub>
                          </m:e>
                        </m:d>
                        <m:d>
                          <m:dPr>
                            <m:ctrlPr>
                              <w:rPr>
                                <w:rFonts w:ascii="Cambria Math" w:hAnsi="Cambria Math"/>
                                <w:i/>
                              </w:rPr>
                            </m:ctrlPr>
                          </m:dPr>
                          <m:e>
                            <m:r>
                              <w:rPr>
                                <w:rFonts w:ascii="Cambria Math" w:hAnsi="Cambria Math"/>
                              </w:rPr>
                              <m:t>1-TAX</m:t>
                            </m:r>
                          </m:e>
                        </m:d>
                        <m:r>
                          <w:rPr>
                            <w:rFonts w:ascii="Cambria Math" w:hAnsi="Cambria Math"/>
                          </w:rPr>
                          <m:t>+dp</m:t>
                        </m:r>
                      </m:num>
                      <m:den>
                        <m:sSup>
                          <m:sSupPr>
                            <m:ctrlPr>
                              <w:rPr>
                                <w:rFonts w:ascii="Cambria Math" w:hAnsi="Cambria Math"/>
                                <w:i/>
                              </w:rPr>
                            </m:ctrlPr>
                          </m:sSupPr>
                          <m:e>
                            <m:r>
                              <w:rPr>
                                <w:rFonts w:ascii="Cambria Math" w:hAnsi="Cambria Math"/>
                              </w:rPr>
                              <m:t>(1+d)</m:t>
                            </m:r>
                          </m:e>
                          <m:sup>
                            <m:r>
                              <w:rPr>
                                <w:rFonts w:ascii="Cambria Math" w:hAnsi="Cambria Math"/>
                              </w:rPr>
                              <m:t>t</m:t>
                            </m:r>
                          </m:sup>
                        </m:sSup>
                      </m:den>
                    </m:f>
                  </m:e>
                </m:nary>
              </m:oMath>
            </m:oMathPara>
          </w:p>
        </w:tc>
        <w:tc>
          <w:tcPr>
            <w:tcW w:w="1417" w:type="dxa"/>
            <w:shd w:val="clear" w:color="auto" w:fill="auto"/>
            <w:vAlign w:val="center"/>
          </w:tcPr>
          <w:p w14:paraId="03409CCC" w14:textId="77777777" w:rsidR="00316DE6" w:rsidRPr="003C30DA" w:rsidRDefault="00316DE6" w:rsidP="00903A8F">
            <w:pPr>
              <w:pStyle w:val="Els-body-text"/>
              <w:spacing w:before="120"/>
              <w:ind w:leftChars="-4" w:left="-8"/>
              <w:jc w:val="right"/>
              <w:rPr>
                <w:lang w:val="en-GB" w:eastAsia="ko-KR"/>
              </w:rPr>
            </w:pPr>
            <w:r w:rsidRPr="003C30DA">
              <w:rPr>
                <w:rFonts w:hint="eastAsia"/>
                <w:lang w:val="en-GB" w:eastAsia="ko-KR"/>
              </w:rPr>
              <w:t>(</w:t>
            </w:r>
            <w:r>
              <w:rPr>
                <w:lang w:val="en-GB" w:eastAsia="ko-KR"/>
              </w:rPr>
              <w:t>1</w:t>
            </w:r>
            <w:r w:rsidRPr="003C30DA">
              <w:rPr>
                <w:lang w:val="en-GB" w:eastAsia="ko-KR"/>
              </w:rPr>
              <w:t>)</w:t>
            </w:r>
          </w:p>
        </w:tc>
      </w:tr>
      <w:tr w:rsidR="00316DE6" w:rsidRPr="003C30DA" w14:paraId="2078C1EE" w14:textId="77777777" w:rsidTr="00903A8F">
        <w:tc>
          <w:tcPr>
            <w:tcW w:w="5670" w:type="dxa"/>
            <w:shd w:val="clear" w:color="auto" w:fill="auto"/>
            <w:vAlign w:val="center"/>
          </w:tcPr>
          <w:p w14:paraId="0C392B13" w14:textId="77777777" w:rsidR="00316DE6" w:rsidRPr="003C30DA" w:rsidRDefault="00316DE6" w:rsidP="00903A8F">
            <w:pPr>
              <w:pStyle w:val="Els-body-text"/>
              <w:spacing w:before="120"/>
              <w:jc w:val="left"/>
              <w:rPr>
                <w:lang w:val="en-GB"/>
              </w:rPr>
            </w:pPr>
            <m:oMathPara>
              <m:oMath>
                <m:r>
                  <w:rPr>
                    <w:rFonts w:ascii="Cambria Math" w:hAnsi="Cambria Math"/>
                  </w:rPr>
                  <m:t>MaxCR=</m:t>
                </m:r>
                <m:nary>
                  <m:naryPr>
                    <m:chr m:val="∑"/>
                    <m:limLoc m:val="undOvr"/>
                    <m:supHide m:val="1"/>
                    <m:ctrlPr>
                      <w:rPr>
                        <w:rFonts w:ascii="Cambria Math" w:hAnsi="Cambria Math"/>
                        <w:i/>
                      </w:rPr>
                    </m:ctrlPr>
                  </m:naryPr>
                  <m:sub>
                    <m:r>
                      <w:rPr>
                        <w:rFonts w:ascii="Cambria Math" w:hAnsi="Cambria Math"/>
                      </w:rPr>
                      <m:t>lt</m:t>
                    </m:r>
                  </m:sub>
                  <m:sup/>
                  <m:e>
                    <m:r>
                      <w:rPr>
                        <w:rFonts w:ascii="Cambria Math" w:hAnsi="Cambria Math"/>
                      </w:rPr>
                      <m:t>(</m:t>
                    </m:r>
                    <m:sSub>
                      <m:sSubPr>
                        <m:ctrlPr>
                          <w:rPr>
                            <w:rFonts w:ascii="Cambria Math" w:eastAsia="Batang" w:hAnsi="Cambria Math"/>
                            <w:i/>
                          </w:rPr>
                        </m:ctrlPr>
                      </m:sSubPr>
                      <m:e>
                        <m:r>
                          <w:rPr>
                            <w:rFonts w:ascii="Cambria Math" w:eastAsia="Batang" w:hAnsi="Cambria Math"/>
                          </w:rPr>
                          <m:t>CP</m:t>
                        </m:r>
                      </m:e>
                      <m:sub>
                        <m:r>
                          <w:rPr>
                            <w:rFonts w:ascii="Cambria Math" w:eastAsia="Batang" w:hAnsi="Cambria Math"/>
                          </w:rPr>
                          <m:t>lt</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NCE</m:t>
                        </m:r>
                      </m:e>
                      <m:sub>
                        <m:r>
                          <w:rPr>
                            <w:rFonts w:ascii="Cambria Math" w:eastAsia="Batang" w:hAnsi="Cambria Math"/>
                          </w:rPr>
                          <m:t>lt</m:t>
                        </m:r>
                      </m:sub>
                    </m:sSub>
                    <m:r>
                      <w:rPr>
                        <w:rFonts w:ascii="Cambria Math" w:eastAsia="Batang" w:hAnsi="Cambria Math"/>
                      </w:rPr>
                      <m:t>)</m:t>
                    </m:r>
                  </m:e>
                </m:nary>
                <m:r>
                  <w:rPr>
                    <w:rFonts w:ascii="Cambria Math" w:eastAsia="Batang" w:hAnsi="Cambria Math"/>
                  </w:rPr>
                  <m:t xml:space="preserve"> </m:t>
                </m:r>
              </m:oMath>
            </m:oMathPara>
          </w:p>
        </w:tc>
        <w:tc>
          <w:tcPr>
            <w:tcW w:w="1417" w:type="dxa"/>
            <w:shd w:val="clear" w:color="auto" w:fill="auto"/>
            <w:vAlign w:val="center"/>
          </w:tcPr>
          <w:p w14:paraId="083626BC" w14:textId="77777777" w:rsidR="00316DE6" w:rsidRPr="00330E9D" w:rsidRDefault="00316DE6" w:rsidP="00903A8F">
            <w:pPr>
              <w:pStyle w:val="Els-body-text"/>
              <w:spacing w:before="120"/>
              <w:jc w:val="right"/>
              <w:rPr>
                <w:i/>
                <w:lang w:val="en-GB" w:eastAsia="ko-KR"/>
              </w:rPr>
            </w:pPr>
            <w:r w:rsidRPr="003C30DA">
              <w:rPr>
                <w:rFonts w:hint="eastAsia"/>
                <w:lang w:val="en-GB" w:eastAsia="ko-KR"/>
              </w:rPr>
              <w:t>(</w:t>
            </w:r>
            <w:r>
              <w:rPr>
                <w:lang w:val="en-GB" w:eastAsia="ko-KR"/>
              </w:rPr>
              <w:t>2</w:t>
            </w:r>
            <w:r w:rsidRPr="003C30DA">
              <w:rPr>
                <w:lang w:val="en-GB" w:eastAsia="ko-KR"/>
              </w:rPr>
              <w:t>)</w:t>
            </w:r>
          </w:p>
        </w:tc>
      </w:tr>
    </w:tbl>
    <w:p w14:paraId="53B493D0" w14:textId="77777777" w:rsidR="00316DE6" w:rsidRDefault="00316DE6" w:rsidP="00316DE6">
      <w:pPr>
        <w:pStyle w:val="Els-body-text"/>
      </w:pPr>
      <w:r>
        <w:t xml:space="preserve">The optimization model was constrained by the demand satisfaction and feed availability as expressed in </w:t>
      </w:r>
      <w:proofErr w:type="spellStart"/>
      <w:r>
        <w:t>Eqs</w:t>
      </w:r>
      <w:proofErr w:type="spellEnd"/>
      <w:r>
        <w:t>. (3) – (5).</w:t>
      </w:r>
    </w:p>
    <w:tbl>
      <w:tblPr>
        <w:tblStyle w:val="Grigliatabella"/>
        <w:tblW w:w="708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
        <w:gridCol w:w="6119"/>
        <w:gridCol w:w="7"/>
        <w:gridCol w:w="488"/>
      </w:tblGrid>
      <w:tr w:rsidR="00316DE6" w:rsidRPr="0003424B" w14:paraId="02BA8B25" w14:textId="77777777" w:rsidTr="00903A8F">
        <w:trPr>
          <w:trHeight w:val="605"/>
          <w:jc w:val="center"/>
        </w:trPr>
        <w:tc>
          <w:tcPr>
            <w:tcW w:w="471" w:type="dxa"/>
            <w:vAlign w:val="center"/>
          </w:tcPr>
          <w:p w14:paraId="51976FEC" w14:textId="77777777" w:rsidR="00316DE6" w:rsidRPr="0003424B" w:rsidRDefault="00316DE6" w:rsidP="00903A8F">
            <w:pPr>
              <w:rPr>
                <w:rFonts w:ascii="Times New Roman" w:hAnsi="Times New Roman" w:cs="Times New Roman"/>
                <w:szCs w:val="20"/>
              </w:rPr>
            </w:pPr>
          </w:p>
        </w:tc>
        <w:tc>
          <w:tcPr>
            <w:tcW w:w="6128" w:type="dxa"/>
            <w:gridSpan w:val="2"/>
            <w:vAlign w:val="center"/>
          </w:tcPr>
          <w:p w14:paraId="39AD9703" w14:textId="77777777" w:rsidR="00316DE6" w:rsidRPr="0003424B" w:rsidRDefault="008E20F8" w:rsidP="00903A8F">
            <w:pPr>
              <w:rPr>
                <w:rFonts w:ascii="Times New Roman" w:eastAsia="Malgun Gothic" w:hAnsi="Times New Roman" w:cs="Times New Roman"/>
                <w:szCs w:val="20"/>
              </w:rPr>
            </w:pPr>
            <m:oMathPara>
              <m:oMath>
                <m:sSub>
                  <m:sSubPr>
                    <m:ctrlPr>
                      <w:rPr>
                        <w:rFonts w:ascii="Cambria Math" w:hAnsi="Times New Roman" w:cs="Times New Roman"/>
                        <w:i/>
                        <w:szCs w:val="20"/>
                      </w:rPr>
                    </m:ctrlPr>
                  </m:sSubPr>
                  <m:e>
                    <m:r>
                      <w:rPr>
                        <w:rFonts w:ascii="Cambria Math" w:hAnsi="Times New Roman" w:cs="Times New Roman"/>
                        <w:szCs w:val="20"/>
                      </w:rPr>
                      <m:t>S</m:t>
                    </m:r>
                  </m:e>
                  <m:sub>
                    <m:r>
                      <w:rPr>
                        <w:rFonts w:ascii="Cambria Math" w:hAnsi="Times New Roman" w:cs="Times New Roman"/>
                        <w:szCs w:val="20"/>
                      </w:rPr>
                      <m:t>ilt</m:t>
                    </m:r>
                  </m:sub>
                </m:sSub>
                <m:r>
                  <w:rPr>
                    <w:rFonts w:ascii="Cambria Math" w:hAnsi="Times New Roman" w:cs="Times New Roman"/>
                    <w:szCs w:val="20"/>
                  </w:rPr>
                  <m:t>≤</m:t>
                </m:r>
                <m:sSub>
                  <m:sSubPr>
                    <m:ctrlPr>
                      <w:rPr>
                        <w:rFonts w:ascii="Cambria Math" w:hAnsi="Times New Roman" w:cs="Times New Roman"/>
                        <w:i/>
                        <w:szCs w:val="20"/>
                      </w:rPr>
                    </m:ctrlPr>
                  </m:sSubPr>
                  <m:e>
                    <m:r>
                      <w:rPr>
                        <w:rFonts w:ascii="Cambria Math" w:hAnsi="Times New Roman" w:cs="Times New Roman"/>
                        <w:szCs w:val="20"/>
                      </w:rPr>
                      <m:t>M</m:t>
                    </m:r>
                  </m:e>
                  <m:sub>
                    <m:r>
                      <w:rPr>
                        <w:rFonts w:ascii="Cambria Math" w:hAnsi="Times New Roman" w:cs="Times New Roman"/>
                        <w:szCs w:val="20"/>
                      </w:rPr>
                      <m:t>ilt</m:t>
                    </m:r>
                  </m:sub>
                </m:sSub>
                <m:r>
                  <w:rPr>
                    <w:rFonts w:ascii="Cambria Math" w:eastAsia="Malgun Gothic" w:hAnsi="Malgun Gothic" w:cs="Malgun Gothic"/>
                    <w:szCs w:val="20"/>
                  </w:rPr>
                  <m:t xml:space="preserve">    </m:t>
                </m:r>
                <m:r>
                  <w:rPr>
                    <w:rFonts w:ascii="Cambria Math" w:eastAsia="Malgun Gothic" w:hAnsi="Cambria Math" w:cs="Malgun Gothic" w:hint="eastAsia"/>
                    <w:szCs w:val="20"/>
                  </w:rPr>
                  <m:t>∀</m:t>
                </m:r>
                <m:r>
                  <w:rPr>
                    <w:rFonts w:ascii="Cambria Math" w:hAnsi="Times New Roman" w:cs="Times New Roman"/>
                    <w:szCs w:val="20"/>
                  </w:rPr>
                  <m:t>i</m:t>
                </m:r>
                <m:r>
                  <w:rPr>
                    <w:rFonts w:ascii="Cambria Math" w:eastAsia="Malgun Gothic" w:hAnsi="Cambria Math" w:cs="Malgun Gothic" w:hint="eastAsia"/>
                    <w:szCs w:val="20"/>
                  </w:rPr>
                  <m:t>∈</m:t>
                </m:r>
                <m:sSup>
                  <m:sSupPr>
                    <m:ctrlPr>
                      <w:rPr>
                        <w:rFonts w:ascii="Cambria Math" w:hAnsi="Times New Roman" w:cs="Times New Roman"/>
                        <w:i/>
                        <w:szCs w:val="20"/>
                      </w:rPr>
                    </m:ctrlPr>
                  </m:sSupPr>
                  <m:e>
                    <m:r>
                      <w:rPr>
                        <w:rFonts w:ascii="Cambria Math" w:hAnsi="Times New Roman" w:cs="Times New Roman"/>
                        <w:szCs w:val="20"/>
                      </w:rPr>
                      <m:t>I</m:t>
                    </m:r>
                  </m:e>
                  <m:sup>
                    <m:r>
                      <w:rPr>
                        <w:rFonts w:ascii="Cambria Math" w:hAnsi="Times New Roman" w:cs="Times New Roman"/>
                        <w:szCs w:val="20"/>
                      </w:rPr>
                      <m:t>P</m:t>
                    </m:r>
                  </m:sup>
                </m:sSup>
                <m:r>
                  <w:rPr>
                    <w:rFonts w:ascii="Cambria Math" w:hAnsi="Cambria Math" w:cs="Times New Roman"/>
                    <w:szCs w:val="20"/>
                  </w:rPr>
                  <m:t>,∀l∈L, t∈T</m:t>
                </m:r>
              </m:oMath>
            </m:oMathPara>
          </w:p>
        </w:tc>
        <w:tc>
          <w:tcPr>
            <w:tcW w:w="488" w:type="dxa"/>
            <w:vAlign w:val="center"/>
          </w:tcPr>
          <w:p w14:paraId="5387259B" w14:textId="77777777" w:rsidR="00316DE6" w:rsidRPr="0003424B" w:rsidRDefault="00316DE6" w:rsidP="00903A8F">
            <w:pPr>
              <w:ind w:leftChars="-13" w:left="-25" w:hanging="1"/>
              <w:rPr>
                <w:rFonts w:ascii="Times New Roman" w:hAnsi="Times New Roman" w:cs="Times New Roman"/>
                <w:szCs w:val="20"/>
              </w:rPr>
            </w:pPr>
            <w:r w:rsidRPr="0003424B">
              <w:rPr>
                <w:rFonts w:ascii="Times New Roman" w:hAnsi="Times New Roman" w:cs="Times New Roman"/>
                <w:iCs/>
                <w:szCs w:val="20"/>
              </w:rPr>
              <w:t>(</w:t>
            </w:r>
            <w:r>
              <w:rPr>
                <w:rFonts w:ascii="Times New Roman" w:hAnsi="Times New Roman" w:cs="Times New Roman"/>
                <w:iCs/>
                <w:szCs w:val="20"/>
              </w:rPr>
              <w:t>3</w:t>
            </w:r>
            <w:r w:rsidRPr="0003424B">
              <w:rPr>
                <w:rFonts w:ascii="Times New Roman" w:hAnsi="Times New Roman" w:cs="Times New Roman"/>
                <w:iCs/>
                <w:szCs w:val="20"/>
              </w:rPr>
              <w:t>)</w:t>
            </w:r>
          </w:p>
        </w:tc>
      </w:tr>
      <w:tr w:rsidR="00316DE6" w:rsidRPr="0003424B" w14:paraId="43A3128A" w14:textId="77777777" w:rsidTr="00903A8F">
        <w:trPr>
          <w:trHeight w:val="605"/>
          <w:jc w:val="center"/>
        </w:trPr>
        <w:tc>
          <w:tcPr>
            <w:tcW w:w="471" w:type="dxa"/>
            <w:vAlign w:val="center"/>
          </w:tcPr>
          <w:p w14:paraId="4978CA21" w14:textId="77777777" w:rsidR="00316DE6" w:rsidRPr="0003424B" w:rsidRDefault="00316DE6" w:rsidP="00903A8F">
            <w:pPr>
              <w:rPr>
                <w:rFonts w:ascii="Times New Roman" w:hAnsi="Times New Roman" w:cs="Times New Roman"/>
                <w:szCs w:val="20"/>
              </w:rPr>
            </w:pPr>
          </w:p>
        </w:tc>
        <w:tc>
          <w:tcPr>
            <w:tcW w:w="6121" w:type="dxa"/>
            <w:vAlign w:val="center"/>
          </w:tcPr>
          <w:p w14:paraId="39EF3CF7" w14:textId="77777777" w:rsidR="00316DE6" w:rsidRPr="0003424B" w:rsidRDefault="008E20F8" w:rsidP="00903A8F">
            <w:pPr>
              <w:rPr>
                <w:rFonts w:ascii="Times New Roman" w:eastAsia="Malgun Gothic" w:hAnsi="Times New Roman" w:cs="Times New Roman"/>
                <w:szCs w:val="20"/>
              </w:rPr>
            </w:pPr>
            <m:oMathPara>
              <m:oMath>
                <m:sSub>
                  <m:sSubPr>
                    <m:ctrlPr>
                      <w:rPr>
                        <w:rFonts w:ascii="Cambria Math" w:hAnsi="Times New Roman" w:cs="Times New Roman"/>
                        <w:i/>
                        <w:szCs w:val="20"/>
                      </w:rPr>
                    </m:ctrlPr>
                  </m:sSubPr>
                  <m:e>
                    <m:r>
                      <w:rPr>
                        <w:rFonts w:ascii="Cambria Math" w:hAnsi="Times New Roman" w:cs="Times New Roman"/>
                        <w:szCs w:val="20"/>
                      </w:rPr>
                      <m:t>F</m:t>
                    </m:r>
                  </m:e>
                  <m:sub>
                    <m:r>
                      <w:rPr>
                        <w:rFonts w:ascii="Cambria Math" w:hAnsi="Times New Roman" w:cs="Times New Roman"/>
                        <w:szCs w:val="20"/>
                      </w:rPr>
                      <m:t>ilt</m:t>
                    </m:r>
                  </m:sub>
                </m:sSub>
                <m:r>
                  <w:rPr>
                    <w:rFonts w:ascii="Cambria Math" w:hAnsi="Times New Roman" w:cs="Times New Roman"/>
                    <w:szCs w:val="20"/>
                  </w:rPr>
                  <m:t>=</m:t>
                </m:r>
                <m:sSub>
                  <m:sSubPr>
                    <m:ctrlPr>
                      <w:rPr>
                        <w:rFonts w:ascii="Cambria Math" w:hAnsi="Times New Roman" w:cs="Times New Roman"/>
                        <w:i/>
                        <w:szCs w:val="20"/>
                      </w:rPr>
                    </m:ctrlPr>
                  </m:sSubPr>
                  <m:e>
                    <m:r>
                      <w:rPr>
                        <w:rFonts w:ascii="Cambria Math" w:hAnsi="Times New Roman" w:cs="Times New Roman"/>
                        <w:szCs w:val="20"/>
                      </w:rPr>
                      <m:t>ρ</m:t>
                    </m:r>
                  </m:e>
                  <m:sub>
                    <m:r>
                      <w:rPr>
                        <w:rFonts w:ascii="Cambria Math" w:hAnsi="Times New Roman" w:cs="Times New Roman"/>
                        <w:szCs w:val="20"/>
                      </w:rPr>
                      <m:t>lt</m:t>
                    </m:r>
                  </m:sub>
                </m:sSub>
                <m:r>
                  <w:rPr>
                    <w:rFonts w:ascii="Cambria Math" w:eastAsia="Malgun Gothic" w:hAnsi="Malgun Gothic" w:cs="Malgun Gothic"/>
                    <w:szCs w:val="20"/>
                  </w:rPr>
                  <m:t xml:space="preserve">    </m:t>
                </m:r>
                <m:r>
                  <w:rPr>
                    <w:rFonts w:ascii="Cambria Math" w:eastAsia="Malgun Gothic" w:hAnsi="Cambria Math" w:cs="Malgun Gothic" w:hint="eastAsia"/>
                    <w:szCs w:val="20"/>
                  </w:rPr>
                  <m:t>∀</m:t>
                </m:r>
                <m:r>
                  <w:rPr>
                    <w:rFonts w:ascii="Cambria Math" w:hAnsi="Times New Roman" w:cs="Times New Roman"/>
                    <w:szCs w:val="20"/>
                  </w:rPr>
                  <m:t>i</m:t>
                </m:r>
                <m:r>
                  <w:rPr>
                    <w:rFonts w:ascii="Cambria Math" w:eastAsia="Malgun Gothic" w:hAnsi="Cambria Math" w:cs="Malgun Gothic" w:hint="eastAsia"/>
                    <w:szCs w:val="20"/>
                  </w:rPr>
                  <m:t>∈</m:t>
                </m:r>
                <m:sSup>
                  <m:sSupPr>
                    <m:ctrlPr>
                      <w:rPr>
                        <w:rFonts w:ascii="Cambria Math" w:hAnsi="Times New Roman" w:cs="Times New Roman"/>
                        <w:i/>
                        <w:szCs w:val="20"/>
                      </w:rPr>
                    </m:ctrlPr>
                  </m:sSupPr>
                  <m:e>
                    <m:r>
                      <w:rPr>
                        <w:rFonts w:ascii="Cambria Math" w:hAnsi="Times New Roman" w:cs="Times New Roman"/>
                        <w:szCs w:val="20"/>
                      </w:rPr>
                      <m:t>I</m:t>
                    </m:r>
                  </m:e>
                  <m:sup>
                    <m:sSup>
                      <m:sSupPr>
                        <m:ctrlPr>
                          <w:rPr>
                            <w:rFonts w:ascii="Cambria Math" w:hAnsi="Times New Roman" w:cs="Times New Roman"/>
                            <w:i/>
                            <w:szCs w:val="20"/>
                          </w:rPr>
                        </m:ctrlPr>
                      </m:sSupPr>
                      <m:e>
                        <m:r>
                          <w:rPr>
                            <w:rFonts w:ascii="Cambria Math" w:hAnsi="Times New Roman" w:cs="Times New Roman"/>
                            <w:szCs w:val="20"/>
                          </w:rPr>
                          <m:t>F</m:t>
                        </m:r>
                      </m:e>
                      <m:sup>
                        <m:r>
                          <w:rPr>
                            <w:rFonts w:ascii="Cambria Math" w:hAnsi="Times New Roman" w:cs="Times New Roman"/>
                            <w:szCs w:val="20"/>
                          </w:rPr>
                          <m:t>'</m:t>
                        </m:r>
                      </m:sup>
                    </m:sSup>
                  </m:sup>
                </m:sSup>
                <m:r>
                  <w:rPr>
                    <w:rFonts w:ascii="Cambria Math" w:hAnsi="Times New Roman" w:cs="Times New Roman"/>
                    <w:szCs w:val="20"/>
                  </w:rPr>
                  <m:t>,</m:t>
                </m:r>
                <m:r>
                  <w:rPr>
                    <w:rFonts w:ascii="Cambria Math" w:hAnsi="Cambria Math" w:cs="Times New Roman"/>
                    <w:szCs w:val="20"/>
                  </w:rPr>
                  <m:t>∀l∈L, t∈T</m:t>
                </m:r>
              </m:oMath>
            </m:oMathPara>
          </w:p>
        </w:tc>
        <w:tc>
          <w:tcPr>
            <w:tcW w:w="495" w:type="dxa"/>
            <w:gridSpan w:val="2"/>
            <w:vAlign w:val="center"/>
          </w:tcPr>
          <w:p w14:paraId="2A02AC91" w14:textId="77777777" w:rsidR="00316DE6" w:rsidRPr="0003424B" w:rsidRDefault="00316DE6" w:rsidP="00903A8F">
            <w:pPr>
              <w:tabs>
                <w:tab w:val="left" w:pos="2977"/>
                <w:tab w:val="left" w:pos="8647"/>
              </w:tabs>
              <w:jc w:val="center"/>
              <w:rPr>
                <w:rFonts w:ascii="Times New Roman" w:hAnsi="Times New Roman" w:cs="Times New Roman"/>
                <w:szCs w:val="20"/>
              </w:rPr>
            </w:pPr>
            <w:r w:rsidRPr="0003424B">
              <w:rPr>
                <w:rFonts w:ascii="Times New Roman" w:hAnsi="Times New Roman" w:cs="Times New Roman" w:hint="eastAsia"/>
                <w:iCs/>
                <w:szCs w:val="20"/>
              </w:rPr>
              <w:t>(</w:t>
            </w:r>
            <w:r>
              <w:rPr>
                <w:rFonts w:ascii="Times New Roman" w:hAnsi="Times New Roman" w:cs="Times New Roman"/>
                <w:iCs/>
                <w:szCs w:val="20"/>
              </w:rPr>
              <w:t>4</w:t>
            </w:r>
            <w:r w:rsidRPr="0003424B">
              <w:rPr>
                <w:rFonts w:ascii="Times New Roman" w:hAnsi="Times New Roman" w:cs="Times New Roman"/>
                <w:iCs/>
                <w:szCs w:val="20"/>
              </w:rPr>
              <w:t>)</w:t>
            </w:r>
          </w:p>
        </w:tc>
      </w:tr>
      <w:tr w:rsidR="00316DE6" w:rsidRPr="0003424B" w14:paraId="59909D6D" w14:textId="77777777" w:rsidTr="00903A8F">
        <w:trPr>
          <w:trHeight w:val="605"/>
          <w:jc w:val="center"/>
        </w:trPr>
        <w:tc>
          <w:tcPr>
            <w:tcW w:w="473" w:type="dxa"/>
            <w:vAlign w:val="center"/>
          </w:tcPr>
          <w:p w14:paraId="620B0622" w14:textId="77777777" w:rsidR="00316DE6" w:rsidRPr="0003424B" w:rsidRDefault="00316DE6" w:rsidP="00903A8F">
            <w:pPr>
              <w:rPr>
                <w:rFonts w:ascii="Times New Roman" w:hAnsi="Times New Roman" w:cs="Times New Roman"/>
                <w:szCs w:val="20"/>
              </w:rPr>
            </w:pPr>
          </w:p>
        </w:tc>
        <w:tc>
          <w:tcPr>
            <w:tcW w:w="6126" w:type="dxa"/>
            <w:gridSpan w:val="2"/>
            <w:vAlign w:val="center"/>
          </w:tcPr>
          <w:p w14:paraId="5BF72390" w14:textId="77777777" w:rsidR="00316DE6" w:rsidRPr="0003424B" w:rsidRDefault="008E20F8" w:rsidP="00903A8F">
            <w:pPr>
              <w:rPr>
                <w:rFonts w:ascii="Times New Roman" w:eastAsia="Malgun Gothic" w:hAnsi="Times New Roman" w:cs="Times New Roman"/>
                <w:szCs w:val="20"/>
              </w:rPr>
            </w:pPr>
            <m:oMathPara>
              <m:oMath>
                <m:sSub>
                  <m:sSubPr>
                    <m:ctrlPr>
                      <w:rPr>
                        <w:rFonts w:ascii="Cambria Math" w:hAnsi="Times New Roman" w:cs="Times New Roman"/>
                        <w:i/>
                        <w:szCs w:val="20"/>
                      </w:rPr>
                    </m:ctrlPr>
                  </m:sSubPr>
                  <m:e>
                    <m:r>
                      <w:rPr>
                        <w:rFonts w:ascii="Cambria Math" w:hAnsi="Times New Roman" w:cs="Times New Roman"/>
                        <w:szCs w:val="20"/>
                      </w:rPr>
                      <m:t>F</m:t>
                    </m:r>
                  </m:e>
                  <m:sub>
                    <m:r>
                      <w:rPr>
                        <w:rFonts w:ascii="Cambria Math" w:hAnsi="Times New Roman" w:cs="Times New Roman"/>
                        <w:szCs w:val="20"/>
                      </w:rPr>
                      <m:t>ilt</m:t>
                    </m:r>
                  </m:sub>
                </m:sSub>
                <m:r>
                  <w:rPr>
                    <w:rFonts w:ascii="Cambria Math" w:hAnsi="Times New Roman" w:cs="Times New Roman"/>
                    <w:szCs w:val="20"/>
                  </w:rPr>
                  <m:t>≤</m:t>
                </m:r>
                <m:sSub>
                  <m:sSubPr>
                    <m:ctrlPr>
                      <w:rPr>
                        <w:rFonts w:ascii="Cambria Math" w:hAnsi="Times New Roman" w:cs="Times New Roman"/>
                        <w:i/>
                        <w:szCs w:val="20"/>
                      </w:rPr>
                    </m:ctrlPr>
                  </m:sSubPr>
                  <m:e>
                    <m:r>
                      <w:rPr>
                        <w:rFonts w:ascii="Cambria Math" w:hAnsi="Cambria Math" w:cs="Times New Roman"/>
                        <w:szCs w:val="20"/>
                      </w:rPr>
                      <m:t>ζ</m:t>
                    </m:r>
                  </m:e>
                  <m:sub>
                    <m:r>
                      <w:rPr>
                        <w:rFonts w:ascii="Cambria Math" w:hAnsi="Times New Roman" w:cs="Times New Roman"/>
                        <w:szCs w:val="20"/>
                      </w:rPr>
                      <m:t>lt</m:t>
                    </m:r>
                  </m:sub>
                </m:sSub>
                <m:r>
                  <w:rPr>
                    <w:rFonts w:ascii="Cambria Math" w:eastAsia="Malgun Gothic" w:hAnsi="Malgun Gothic" w:cs="Malgun Gothic"/>
                    <w:szCs w:val="20"/>
                  </w:rPr>
                  <m:t xml:space="preserve">    </m:t>
                </m:r>
                <m:r>
                  <w:rPr>
                    <w:rFonts w:ascii="Cambria Math" w:eastAsia="Malgun Gothic" w:hAnsi="Cambria Math" w:cs="Malgun Gothic" w:hint="eastAsia"/>
                    <w:szCs w:val="20"/>
                  </w:rPr>
                  <m:t>∀</m:t>
                </m:r>
                <m:r>
                  <w:rPr>
                    <w:rFonts w:ascii="Cambria Math" w:hAnsi="Times New Roman" w:cs="Times New Roman"/>
                    <w:szCs w:val="20"/>
                  </w:rPr>
                  <m:t>i</m:t>
                </m:r>
                <m:r>
                  <w:rPr>
                    <w:rFonts w:ascii="Cambria Math" w:eastAsia="Malgun Gothic" w:hAnsi="Cambria Math" w:cs="Malgun Gothic" w:hint="eastAsia"/>
                    <w:szCs w:val="20"/>
                  </w:rPr>
                  <m:t>∈</m:t>
                </m:r>
                <m:sSup>
                  <m:sSupPr>
                    <m:ctrlPr>
                      <w:rPr>
                        <w:rFonts w:ascii="Cambria Math" w:hAnsi="Times New Roman" w:cs="Times New Roman"/>
                        <w:i/>
                        <w:szCs w:val="20"/>
                      </w:rPr>
                    </m:ctrlPr>
                  </m:sSupPr>
                  <m:e>
                    <m:r>
                      <w:rPr>
                        <w:rFonts w:ascii="Cambria Math" w:hAnsi="Times New Roman" w:cs="Times New Roman"/>
                        <w:szCs w:val="20"/>
                      </w:rPr>
                      <m:t>I</m:t>
                    </m:r>
                  </m:e>
                  <m:sup>
                    <m:sSup>
                      <m:sSupPr>
                        <m:ctrlPr>
                          <w:rPr>
                            <w:rFonts w:ascii="Cambria Math" w:hAnsi="Times New Roman" w:cs="Times New Roman"/>
                            <w:i/>
                            <w:szCs w:val="20"/>
                          </w:rPr>
                        </m:ctrlPr>
                      </m:sSupPr>
                      <m:e>
                        <m:r>
                          <w:rPr>
                            <w:rFonts w:ascii="Cambria Math" w:hAnsi="Times New Roman" w:cs="Times New Roman"/>
                            <w:szCs w:val="20"/>
                          </w:rPr>
                          <m:t>F</m:t>
                        </m:r>
                      </m:e>
                      <m:sup>
                        <m:r>
                          <w:rPr>
                            <w:rFonts w:ascii="Cambria Math" w:hAnsi="Times New Roman" w:cs="Times New Roman"/>
                            <w:szCs w:val="20"/>
                          </w:rPr>
                          <m:t>''</m:t>
                        </m:r>
                      </m:sup>
                    </m:sSup>
                  </m:sup>
                </m:sSup>
                <m:r>
                  <w:rPr>
                    <w:rFonts w:ascii="Cambria Math" w:hAnsi="Cambria Math" w:cs="Times New Roman"/>
                    <w:szCs w:val="20"/>
                  </w:rPr>
                  <m:t>,l∈L, t∈T</m:t>
                </m:r>
              </m:oMath>
            </m:oMathPara>
          </w:p>
        </w:tc>
        <w:tc>
          <w:tcPr>
            <w:tcW w:w="488" w:type="dxa"/>
            <w:vAlign w:val="center"/>
          </w:tcPr>
          <w:p w14:paraId="331C23A7" w14:textId="77777777" w:rsidR="00316DE6" w:rsidRPr="0003424B" w:rsidRDefault="00316DE6" w:rsidP="00903A8F">
            <w:pPr>
              <w:ind w:leftChars="-13" w:left="-25" w:hanging="1"/>
              <w:rPr>
                <w:rFonts w:ascii="Times New Roman" w:hAnsi="Times New Roman" w:cs="Times New Roman"/>
                <w:szCs w:val="20"/>
              </w:rPr>
            </w:pPr>
            <w:r w:rsidRPr="0003424B">
              <w:rPr>
                <w:rFonts w:ascii="Times New Roman" w:hAnsi="Times New Roman" w:cs="Times New Roman"/>
                <w:iCs/>
                <w:szCs w:val="20"/>
              </w:rPr>
              <w:t>(</w:t>
            </w:r>
            <w:r>
              <w:rPr>
                <w:rFonts w:ascii="Times New Roman" w:hAnsi="Times New Roman" w:cs="Times New Roman"/>
                <w:iCs/>
                <w:szCs w:val="20"/>
              </w:rPr>
              <w:t>5</w:t>
            </w:r>
            <w:r w:rsidRPr="0003424B">
              <w:rPr>
                <w:rFonts w:ascii="Times New Roman" w:hAnsi="Times New Roman" w:cs="Times New Roman"/>
                <w:iCs/>
                <w:szCs w:val="20"/>
              </w:rPr>
              <w:t>)</w:t>
            </w:r>
          </w:p>
        </w:tc>
      </w:tr>
    </w:tbl>
    <w:p w14:paraId="1BF43DAF" w14:textId="77777777" w:rsidR="00316DE6" w:rsidRDefault="00316DE6" w:rsidP="00316DE6">
      <w:pPr>
        <w:ind w:leftChars="-8" w:hangingChars="8" w:hanging="16"/>
        <w:jc w:val="both"/>
      </w:pPr>
      <w:r>
        <w:t>w</w:t>
      </w:r>
      <w:r w:rsidRPr="0003424B">
        <w:t>here</w:t>
      </w:r>
      <w:r>
        <w:t xml:space="preserve"> </w:t>
      </w:r>
      <w:r>
        <w:rPr>
          <w:rFonts w:ascii="Cambria Math" w:hAnsi="Cambria Math"/>
          <w:i/>
        </w:rPr>
        <w:t xml:space="preserve"> </w:t>
      </w:r>
      <m:oMath>
        <m:sSub>
          <m:sSubPr>
            <m:ctrlPr>
              <w:rPr>
                <w:rFonts w:ascii="Cambria Math" w:hAnsi="Cambria Math"/>
                <w:i/>
              </w:rPr>
            </m:ctrlPr>
          </m:sSubPr>
          <m:e>
            <m:r>
              <w:rPr>
                <w:rFonts w:ascii="Cambria Math"/>
              </w:rPr>
              <m:t>S</m:t>
            </m:r>
          </m:e>
          <m:sub>
            <m:r>
              <w:rPr>
                <w:rFonts w:ascii="Cambria Math"/>
              </w:rPr>
              <m:t>ilt</m:t>
            </m:r>
          </m:sub>
        </m:sSub>
      </m:oMath>
      <w:r w:rsidRPr="00E45778">
        <w:t xml:space="preserve"> is the production of product </w:t>
      </w:r>
      <m:oMath>
        <m:sSup>
          <m:sSupPr>
            <m:ctrlPr>
              <w:rPr>
                <w:rFonts w:ascii="Cambria Math" w:hAnsi="Cambria Math"/>
                <w:i/>
              </w:rPr>
            </m:ctrlPr>
          </m:sSupPr>
          <m:e>
            <m:r>
              <w:rPr>
                <w:rFonts w:ascii="Cambria Math"/>
              </w:rPr>
              <m:t>I</m:t>
            </m:r>
          </m:e>
          <m:sup>
            <m:r>
              <w:rPr>
                <w:rFonts w:ascii="Cambria Math"/>
              </w:rPr>
              <m:t>P</m:t>
            </m:r>
          </m:sup>
        </m:sSup>
      </m:oMath>
      <w:r w:rsidRPr="00E45778">
        <w:t xml:space="preserve"> and by-product </w:t>
      </w:r>
      <m:oMath>
        <m:sSup>
          <m:sSupPr>
            <m:ctrlPr>
              <w:rPr>
                <w:rFonts w:ascii="Cambria Math" w:hAnsi="Cambria Math"/>
                <w:i/>
              </w:rPr>
            </m:ctrlPr>
          </m:sSupPr>
          <m:e>
            <m:r>
              <w:rPr>
                <w:rFonts w:ascii="Cambria Math"/>
              </w:rPr>
              <m:t>I</m:t>
            </m:r>
          </m:e>
          <m:sup>
            <m:r>
              <w:rPr>
                <w:rFonts w:ascii="Cambria Math"/>
              </w:rPr>
              <m:t>B</m:t>
            </m:r>
          </m:sup>
        </m:sSup>
      </m:oMath>
      <w:r w:rsidRPr="00E45778">
        <w:rPr>
          <w:rFonts w:hint="eastAsia"/>
        </w:rPr>
        <w:t xml:space="preserve"> </w:t>
      </w:r>
      <w:r w:rsidRPr="00E45778">
        <w:t xml:space="preserve">in country </w:t>
      </w:r>
      <m:oMath>
        <m:r>
          <w:rPr>
            <w:rFonts w:ascii="Cambria Math" w:hAnsi="Cambria Math"/>
          </w:rPr>
          <m:t>l</m:t>
        </m:r>
      </m:oMath>
      <w:r w:rsidRPr="00E45778">
        <w:t xml:space="preserve"> during time</w:t>
      </w:r>
      <w:r w:rsidRPr="00E45778">
        <w:rPr>
          <w:rFonts w:ascii="Cambria Math" w:hAnsi="Cambria Math"/>
          <w:i/>
        </w:rPr>
        <w:t xml:space="preserve"> </w:t>
      </w:r>
      <m:oMath>
        <m:r>
          <w:rPr>
            <w:rFonts w:ascii="Cambria Math" w:hAnsi="Cambria Math"/>
          </w:rPr>
          <m:t>t</m:t>
        </m:r>
      </m:oMath>
      <w:r>
        <w:t>,</w:t>
      </w:r>
      <w:r w:rsidRPr="006B4979">
        <w:rPr>
          <w:rFonts w:ascii="Cambria Math"/>
          <w:i/>
          <w:sz w:val="24"/>
          <w:szCs w:val="24"/>
        </w:rPr>
        <w:t xml:space="preserve"> </w:t>
      </w:r>
      <m:oMath>
        <m:sSub>
          <m:sSubPr>
            <m:ctrlPr>
              <w:rPr>
                <w:rFonts w:ascii="Cambria Math" w:hAnsi="Cambria Math"/>
                <w:i/>
              </w:rPr>
            </m:ctrlPr>
          </m:sSubPr>
          <m:e>
            <m:r>
              <w:rPr>
                <w:rFonts w:ascii="Cambria Math"/>
              </w:rPr>
              <m:t>M</m:t>
            </m:r>
          </m:e>
          <m:sub>
            <m:r>
              <w:rPr>
                <w:rFonts w:ascii="Cambria Math"/>
              </w:rPr>
              <m:t>ilt</m:t>
            </m:r>
          </m:sub>
        </m:sSub>
      </m:oMath>
      <w:r w:rsidRPr="0003424B">
        <w:rPr>
          <w:rFonts w:hint="eastAsia"/>
          <w:i/>
        </w:rPr>
        <w:t xml:space="preserve"> </w:t>
      </w:r>
      <w:r w:rsidRPr="0003424B">
        <w:rPr>
          <w:iCs/>
        </w:rPr>
        <w:t xml:space="preserve">is the potential market size of product </w:t>
      </w:r>
      <m:oMath>
        <m:sSup>
          <m:sSupPr>
            <m:ctrlPr>
              <w:rPr>
                <w:rFonts w:ascii="Cambria Math" w:hAnsi="Cambria Math"/>
                <w:i/>
              </w:rPr>
            </m:ctrlPr>
          </m:sSupPr>
          <m:e>
            <m:r>
              <w:rPr>
                <w:rFonts w:ascii="Cambria Math"/>
              </w:rPr>
              <m:t>I</m:t>
            </m:r>
          </m:e>
          <m:sup>
            <m:r>
              <w:rPr>
                <w:rFonts w:ascii="Cambria Math"/>
              </w:rPr>
              <m:t>P</m:t>
            </m:r>
          </m:sup>
        </m:sSup>
      </m:oMath>
      <w:r w:rsidRPr="0003424B">
        <w:rPr>
          <w:iCs/>
        </w:rPr>
        <w:t xml:space="preserve"> in </w:t>
      </w:r>
      <w:r w:rsidRPr="0003424B">
        <w:t xml:space="preserve">country </w:t>
      </w:r>
      <m:oMath>
        <m:r>
          <w:rPr>
            <w:rFonts w:ascii="Cambria Math" w:hAnsi="Cambria Math"/>
          </w:rPr>
          <m:t>l</m:t>
        </m:r>
      </m:oMath>
      <w:r w:rsidRPr="0003424B">
        <w:t xml:space="preserve"> during time</w:t>
      </w:r>
      <w:r w:rsidRPr="0003424B">
        <w:rPr>
          <w:rFonts w:ascii="Cambria Math" w:hAnsi="Cambria Math"/>
          <w:i/>
        </w:rPr>
        <w:t xml:space="preserve"> </w:t>
      </w:r>
      <m:oMath>
        <m:r>
          <w:rPr>
            <w:rFonts w:ascii="Cambria Math" w:hAnsi="Cambria Math"/>
          </w:rPr>
          <m:t>t</m:t>
        </m:r>
      </m:oMath>
      <w:r>
        <w:t>,</w:t>
      </w:r>
      <m:oMath>
        <m:sSub>
          <m:sSubPr>
            <m:ctrlPr>
              <w:rPr>
                <w:rFonts w:ascii="Cambria Math" w:hAnsi="Cambria Math"/>
                <w:i/>
              </w:rPr>
            </m:ctrlPr>
          </m:sSubPr>
          <m:e>
            <m:r>
              <w:rPr>
                <w:rFonts w:ascii="Cambria Math"/>
              </w:rPr>
              <m:t>F</m:t>
            </m:r>
          </m:e>
          <m:sub>
            <m:r>
              <w:rPr>
                <w:rFonts w:ascii="Cambria Math"/>
              </w:rPr>
              <m:t>ilt</m:t>
            </m:r>
          </m:sub>
        </m:sSub>
      </m:oMath>
      <w:r w:rsidRPr="006B4979">
        <w:t xml:space="preserve"> the consumption of feedstock </w:t>
      </w:r>
      <m:oMath>
        <m:sSup>
          <m:sSupPr>
            <m:ctrlPr>
              <w:rPr>
                <w:rFonts w:ascii="Cambria Math" w:hAnsi="Cambria Math"/>
                <w:i/>
              </w:rPr>
            </m:ctrlPr>
          </m:sSupPr>
          <m:e>
            <m:r>
              <w:rPr>
                <w:rFonts w:ascii="Cambria Math"/>
              </w:rPr>
              <m:t>I</m:t>
            </m:r>
          </m:e>
          <m:sup>
            <m:r>
              <w:rPr>
                <w:rFonts w:ascii="Cambria Math"/>
              </w:rPr>
              <m:t>F</m:t>
            </m:r>
          </m:sup>
        </m:sSup>
      </m:oMath>
      <w:r w:rsidRPr="006B4979">
        <w:t xml:space="preserve"> in country </w:t>
      </w:r>
      <m:oMath>
        <m:r>
          <w:rPr>
            <w:rFonts w:ascii="Cambria Math" w:hAnsi="Cambria Math"/>
          </w:rPr>
          <m:t>l</m:t>
        </m:r>
      </m:oMath>
      <w:r w:rsidRPr="006B4979">
        <w:t xml:space="preserve"> during time</w:t>
      </w:r>
      <w:r w:rsidRPr="006B4979">
        <w:rPr>
          <w:rFonts w:ascii="Cambria Math" w:hAnsi="Cambria Math"/>
          <w:i/>
        </w:rPr>
        <w:t xml:space="preserve"> </w:t>
      </w:r>
      <m:oMath>
        <m:r>
          <w:rPr>
            <w:rFonts w:ascii="Cambria Math" w:hAnsi="Cambria Math"/>
          </w:rPr>
          <m:t>t</m:t>
        </m:r>
      </m:oMath>
      <w:r w:rsidRPr="0003424B">
        <w:rPr>
          <w:iCs/>
        </w:rPr>
        <w:t xml:space="preserve">, </w:t>
      </w:r>
      <m:oMath>
        <m:sSub>
          <m:sSubPr>
            <m:ctrlPr>
              <w:rPr>
                <w:rFonts w:ascii="Cambria Math" w:hAnsi="Cambria Math"/>
                <w:i/>
              </w:rPr>
            </m:ctrlPr>
          </m:sSubPr>
          <m:e>
            <m:r>
              <w:rPr>
                <w:rFonts w:ascii="Cambria Math"/>
              </w:rPr>
              <m:t>ρ</m:t>
            </m:r>
          </m:e>
          <m:sub>
            <m:r>
              <w:rPr>
                <w:rFonts w:ascii="Cambria Math"/>
              </w:rPr>
              <m:t>lt</m:t>
            </m:r>
          </m:sub>
        </m:sSub>
      </m:oMath>
      <w:r w:rsidRPr="0003424B">
        <w:rPr>
          <w:iCs/>
        </w:rPr>
        <w:t xml:space="preserve"> is the amount of CO</w:t>
      </w:r>
      <w:r w:rsidRPr="0003424B">
        <w:rPr>
          <w:iCs/>
          <w:vertAlign w:val="subscript"/>
        </w:rPr>
        <w:t>2</w:t>
      </w:r>
      <w:r w:rsidRPr="0003424B">
        <w:rPr>
          <w:iCs/>
        </w:rPr>
        <w:t xml:space="preserve"> captured in country </w:t>
      </w:r>
      <m:oMath>
        <m:r>
          <w:rPr>
            <w:rFonts w:ascii="Cambria Math" w:hAnsi="Cambria Math"/>
          </w:rPr>
          <m:t>l</m:t>
        </m:r>
      </m:oMath>
      <w:r w:rsidRPr="0003424B">
        <w:rPr>
          <w:iCs/>
        </w:rPr>
        <w:t xml:space="preserve"> during time </w:t>
      </w:r>
      <m:oMath>
        <m:r>
          <w:rPr>
            <w:rFonts w:ascii="Cambria Math" w:hAnsi="Cambria Math"/>
          </w:rPr>
          <m:t>t</m:t>
        </m:r>
      </m:oMath>
      <w:r>
        <w:t xml:space="preserve">, </w:t>
      </w:r>
      <m:oMath>
        <m:sSub>
          <m:sSubPr>
            <m:ctrlPr>
              <w:rPr>
                <w:rFonts w:ascii="Cambria Math" w:hAnsi="Cambria Math"/>
                <w:i/>
              </w:rPr>
            </m:ctrlPr>
          </m:sSubPr>
          <m:e>
            <m:r>
              <w:rPr>
                <w:rFonts w:ascii="Cambria Math" w:hAnsi="Cambria Math"/>
              </w:rPr>
              <m:t>ζ</m:t>
            </m:r>
          </m:e>
          <m:sub>
            <m:r>
              <w:rPr>
                <w:rFonts w:ascii="Cambria Math"/>
              </w:rPr>
              <m:t>lt</m:t>
            </m:r>
          </m:sub>
        </m:sSub>
      </m:oMath>
      <w:r w:rsidRPr="0003424B">
        <w:rPr>
          <w:rFonts w:hint="eastAsia"/>
        </w:rPr>
        <w:t xml:space="preserve"> </w:t>
      </w:r>
      <w:r w:rsidRPr="0003424B">
        <w:t>is the amount of hydrogen</w:t>
      </w:r>
      <w:r w:rsidRPr="0003424B">
        <w:rPr>
          <w:vertAlign w:val="subscript"/>
        </w:rPr>
        <w:t xml:space="preserve"> </w:t>
      </w:r>
      <w:r w:rsidRPr="0003424B">
        <w:rPr>
          <w:iCs/>
        </w:rPr>
        <w:t xml:space="preserve">in country </w:t>
      </w:r>
      <m:oMath>
        <m:r>
          <w:rPr>
            <w:rFonts w:ascii="Cambria Math" w:hAnsi="Cambria Math"/>
          </w:rPr>
          <m:t>l</m:t>
        </m:r>
      </m:oMath>
      <w:r w:rsidRPr="0003424B">
        <w:rPr>
          <w:iCs/>
        </w:rPr>
        <w:t xml:space="preserve"> during time </w:t>
      </w:r>
      <m:oMath>
        <m:r>
          <w:rPr>
            <w:rFonts w:ascii="Cambria Math" w:hAnsi="Cambria Math"/>
          </w:rPr>
          <m:t>t</m:t>
        </m:r>
      </m:oMath>
      <w:r>
        <w:t xml:space="preserve">.  </w:t>
      </w:r>
    </w:p>
    <w:p w14:paraId="144DE6A5" w14:textId="22F6D584" w:rsidR="008D2649" w:rsidRPr="00A94774" w:rsidRDefault="00316DE6" w:rsidP="008D2649">
      <w:pPr>
        <w:pStyle w:val="Els-1storder-head"/>
        <w:spacing w:after="120"/>
        <w:rPr>
          <w:lang w:val="en-GB"/>
        </w:rPr>
      </w:pPr>
      <w:r>
        <w:rPr>
          <w:lang w:val="en-GB"/>
        </w:rPr>
        <w:t>Case study</w:t>
      </w:r>
    </w:p>
    <w:p w14:paraId="144DE6AE" w14:textId="2A89F248" w:rsidR="008D2649" w:rsidRPr="00A94774" w:rsidRDefault="00760534" w:rsidP="006071EC">
      <w:pPr>
        <w:pStyle w:val="Els-body-text"/>
        <w:rPr>
          <w:lang w:val="en-GB"/>
        </w:rPr>
      </w:pPr>
      <w:r>
        <w:t xml:space="preserve">In this study, we </w:t>
      </w:r>
      <w:r w:rsidRPr="00235802">
        <w:t>consider CO</w:t>
      </w:r>
      <w:r w:rsidRPr="00235802">
        <w:rPr>
          <w:vertAlign w:val="subscript"/>
        </w:rPr>
        <w:t>2</w:t>
      </w:r>
      <w:r w:rsidRPr="00235802">
        <w:t xml:space="preserve"> captured from the flue gas of a 500 MW coal-powered electric utility, amounting to approximately 3.1 million tons of CO</w:t>
      </w:r>
      <w:r w:rsidRPr="00235802">
        <w:rPr>
          <w:vertAlign w:val="subscript"/>
        </w:rPr>
        <w:t>2</w:t>
      </w:r>
      <w:r w:rsidRPr="00235802">
        <w:t xml:space="preserve"> annually.</w:t>
      </w:r>
      <w:r w:rsidRPr="00755591">
        <w:t xml:space="preserve"> The detailed process modeling was conducted using Aspen Plus V.11, and the comprehensive specifics of each process can be found in Do et al. (2022). This reference elaborates on mass and energy flow, as well as sizing and costing data for all processes, which were crucial inputs for our model's analysis and development</w:t>
      </w:r>
      <w:r>
        <w:t>.</w:t>
      </w:r>
      <w:r w:rsidR="006071EC">
        <w:t xml:space="preserve"> </w:t>
      </w:r>
      <w:r>
        <w:rPr>
          <w:rFonts w:eastAsia="HYSinMyeongJo-Medium"/>
          <w:bCs/>
        </w:rPr>
        <w:t>Several organizations</w:t>
      </w:r>
      <w:r w:rsidRPr="00A4631F">
        <w:rPr>
          <w:rFonts w:eastAsia="HYSinMyeongJo-Medium"/>
          <w:bCs/>
        </w:rPr>
        <w:t xml:space="preserve"> have projected the </w:t>
      </w:r>
      <w:r>
        <w:rPr>
          <w:rFonts w:eastAsia="HYSinMyeongJo-Medium"/>
          <w:bCs/>
        </w:rPr>
        <w:t>availability of CO</w:t>
      </w:r>
      <w:r w:rsidRPr="00A4631F">
        <w:rPr>
          <w:rFonts w:eastAsia="HYSinMyeongJo-Medium"/>
          <w:bCs/>
          <w:vertAlign w:val="subscript"/>
        </w:rPr>
        <w:t>2</w:t>
      </w:r>
      <w:r w:rsidRPr="00A4631F">
        <w:rPr>
          <w:rFonts w:eastAsia="HYSinMyeongJo-Medium"/>
          <w:bCs/>
        </w:rPr>
        <w:t xml:space="preserve"> captured in the future</w:t>
      </w:r>
      <w:r>
        <w:rPr>
          <w:rFonts w:eastAsia="HYSinMyeongJo-Medium"/>
          <w:bCs/>
        </w:rPr>
        <w:t>.</w:t>
      </w:r>
      <w:r w:rsidRPr="00A4631F">
        <w:rPr>
          <w:rFonts w:eastAsia="HYSinMyeongJo-Medium"/>
          <w:bCs/>
        </w:rPr>
        <w:t xml:space="preserve"> Based on these predictions, there will be a reduction of </w:t>
      </w:r>
      <w:r>
        <w:rPr>
          <w:rFonts w:eastAsia="HYSinMyeongJo-Medium"/>
          <w:bCs/>
        </w:rPr>
        <w:t>20</w:t>
      </w:r>
      <w:r w:rsidRPr="00A4631F">
        <w:rPr>
          <w:rFonts w:eastAsia="HYSinMyeongJo-Medium"/>
          <w:bCs/>
        </w:rPr>
        <w:t xml:space="preserve"> Gt of CO</w:t>
      </w:r>
      <w:r w:rsidRPr="00D41C4F">
        <w:rPr>
          <w:rFonts w:eastAsia="HYSinMyeongJo-Medium"/>
          <w:bCs/>
          <w:vertAlign w:val="subscript"/>
        </w:rPr>
        <w:t>2</w:t>
      </w:r>
      <w:r w:rsidRPr="00A4631F">
        <w:rPr>
          <w:rFonts w:eastAsia="HYSinMyeongJo-Medium"/>
          <w:bCs/>
        </w:rPr>
        <w:t xml:space="preserve"> emissions in the </w:t>
      </w:r>
      <w:r>
        <w:rPr>
          <w:rFonts w:eastAsia="HYSinMyeongJo-Medium"/>
          <w:bCs/>
        </w:rPr>
        <w:t xml:space="preserve">announced pledges </w:t>
      </w:r>
      <w:r w:rsidRPr="00A4631F">
        <w:rPr>
          <w:rFonts w:eastAsia="HYSinMyeongJo-Medium"/>
          <w:bCs/>
        </w:rPr>
        <w:t>scenario</w:t>
      </w:r>
      <w:r>
        <w:rPr>
          <w:rFonts w:eastAsia="HYSinMyeongJo-Medium"/>
          <w:bCs/>
        </w:rPr>
        <w:t xml:space="preserve"> (APS) in</w:t>
      </w:r>
      <w:r w:rsidRPr="00A4631F">
        <w:rPr>
          <w:rFonts w:eastAsia="HYSinMyeongJo-Medium"/>
          <w:bCs/>
        </w:rPr>
        <w:t xml:space="preserve"> 2050</w:t>
      </w:r>
      <w:r>
        <w:rPr>
          <w:rFonts w:eastAsia="HYSinMyeongJo-Medium"/>
          <w:bCs/>
        </w:rPr>
        <w:t>, compared to stated policies scenario (STEPS)</w:t>
      </w:r>
      <w:r w:rsidRPr="00A4631F">
        <w:rPr>
          <w:rFonts w:eastAsia="HYSinMyeongJo-Medium"/>
          <w:bCs/>
        </w:rPr>
        <w:t>.</w:t>
      </w:r>
      <w:r>
        <w:rPr>
          <w:rFonts w:eastAsia="HYSinMyeongJo-Medium"/>
          <w:bCs/>
        </w:rPr>
        <w:t xml:space="preserve"> </w:t>
      </w:r>
      <w:r w:rsidRPr="00702C5A">
        <w:rPr>
          <w:rFonts w:eastAsia="HYSinMyeongJo-Medium"/>
          <w:bCs/>
        </w:rPr>
        <w:t xml:space="preserve">This reduction can be attributed to advancements in </w:t>
      </w:r>
      <w:r>
        <w:rPr>
          <w:rFonts w:eastAsia="HYSinMyeongJo-Medium"/>
          <w:bCs/>
        </w:rPr>
        <w:t>CO</w:t>
      </w:r>
      <w:r w:rsidRPr="009E460C">
        <w:rPr>
          <w:rFonts w:eastAsia="HYSinMyeongJo-Medium"/>
          <w:bCs/>
          <w:vertAlign w:val="subscript"/>
        </w:rPr>
        <w:t>2</w:t>
      </w:r>
      <w:r w:rsidRPr="00702C5A">
        <w:rPr>
          <w:rFonts w:eastAsia="HYSinMyeongJo-Medium"/>
          <w:bCs/>
        </w:rPr>
        <w:t xml:space="preserve"> capture technologies, improved energy efficiency in industries, and a significant shift towards renewable energy sources</w:t>
      </w:r>
      <w:r>
        <w:rPr>
          <w:rFonts w:eastAsia="HYSinMyeongJo-Medium"/>
          <w:bCs/>
        </w:rPr>
        <w:t xml:space="preserve">. </w:t>
      </w:r>
      <w:r w:rsidRPr="00AB0929">
        <w:rPr>
          <w:rFonts w:eastAsia="HYSinMyeongJo-Medium"/>
          <w:bCs/>
        </w:rPr>
        <w:t>By 2020, under the APS, it's anticipated that there will be a cumulative capture of 42 Mt of CO</w:t>
      </w:r>
      <w:r w:rsidRPr="006E199A">
        <w:rPr>
          <w:rFonts w:eastAsia="HYSinMyeongJo-Medium"/>
          <w:bCs/>
          <w:vertAlign w:val="subscript"/>
        </w:rPr>
        <w:t>2</w:t>
      </w:r>
      <w:r w:rsidRPr="00AB0929">
        <w:rPr>
          <w:rFonts w:eastAsia="HYSinMyeongJo-Medium"/>
          <w:bCs/>
        </w:rPr>
        <w:t xml:space="preserve">. Driven by technological advancements and policy implementations, this amount is expected to see a substantial rise, reaching an estimated </w:t>
      </w:r>
      <w:r>
        <w:rPr>
          <w:rFonts w:eastAsia="HYSinMyeongJo-Medium"/>
          <w:bCs/>
        </w:rPr>
        <w:t>4300 Mt</w:t>
      </w:r>
      <w:r w:rsidR="007D548B">
        <w:rPr>
          <w:rFonts w:eastAsia="HYSinMyeongJo-Medium"/>
          <w:bCs/>
        </w:rPr>
        <w:t>/y</w:t>
      </w:r>
      <w:r>
        <w:rPr>
          <w:rFonts w:eastAsia="HYSinMyeongJo-Medium"/>
          <w:bCs/>
        </w:rPr>
        <w:t xml:space="preserve"> </w:t>
      </w:r>
      <w:r w:rsidRPr="00AB0929">
        <w:rPr>
          <w:rFonts w:eastAsia="HYSinMyeongJo-Medium"/>
          <w:bCs/>
        </w:rPr>
        <w:t>by 20</w:t>
      </w:r>
      <w:r>
        <w:rPr>
          <w:rFonts w:eastAsia="HYSinMyeongJo-Medium"/>
          <w:bCs/>
        </w:rPr>
        <w:t>5</w:t>
      </w:r>
      <w:r w:rsidRPr="00AB0929">
        <w:rPr>
          <w:rFonts w:eastAsia="HYSinMyeongJo-Medium"/>
          <w:bCs/>
        </w:rPr>
        <w:t>0</w:t>
      </w:r>
      <w:r>
        <w:rPr>
          <w:rFonts w:eastAsia="HYSinMyeongJo-Medium"/>
          <w:bCs/>
        </w:rPr>
        <w:t xml:space="preserve">. </w:t>
      </w:r>
      <w:r>
        <w:t>The economics of CO</w:t>
      </w:r>
      <w:r w:rsidRPr="00485CC6">
        <w:rPr>
          <w:vertAlign w:val="subscript"/>
        </w:rPr>
        <w:t>2</w:t>
      </w:r>
      <w:r>
        <w:t xml:space="preserve"> utilization, particularly for liquid fuel production, are intricately tied to the costs of CO</w:t>
      </w:r>
      <w:r w:rsidRPr="00485CC6">
        <w:rPr>
          <w:vertAlign w:val="subscript"/>
        </w:rPr>
        <w:t>2</w:t>
      </w:r>
      <w:r>
        <w:t xml:space="preserve"> capture. It's noteworthy that almost half (47%) of the expenses of a CO</w:t>
      </w:r>
      <w:r w:rsidRPr="00236AC0">
        <w:rPr>
          <w:vertAlign w:val="subscript"/>
        </w:rPr>
        <w:t>2</w:t>
      </w:r>
      <w:r>
        <w:t>-EOR project are attributed to CO</w:t>
      </w:r>
      <w:r w:rsidRPr="00236AC0">
        <w:rPr>
          <w:vertAlign w:val="subscript"/>
        </w:rPr>
        <w:t>2</w:t>
      </w:r>
      <w:r>
        <w:t xml:space="preserve"> capture.</w:t>
      </w:r>
      <w:r w:rsidRPr="00DE1BCF">
        <w:rPr>
          <w:rFonts w:eastAsia="HYSinMyeongJo-Medium"/>
          <w:color w:val="000000"/>
          <w:vertAlign w:val="superscript"/>
        </w:rPr>
        <w:t xml:space="preserve"> </w:t>
      </w:r>
      <w:r>
        <w:t>For example, costs in the power and heat sector can range from 62 to 163 $/ton</w:t>
      </w:r>
      <w:r w:rsidR="008A6A09">
        <w:t xml:space="preserve">. </w:t>
      </w:r>
      <w:r>
        <w:t>Such fluctuations in costs highlight the uncertainties in gauging the availability of low-cost CO</w:t>
      </w:r>
      <w:r w:rsidRPr="008C4060">
        <w:rPr>
          <w:vertAlign w:val="subscript"/>
        </w:rPr>
        <w:t>2</w:t>
      </w:r>
      <w:r>
        <w:t xml:space="preserve"> for future capture. Given the range of CO</w:t>
      </w:r>
      <w:r w:rsidRPr="002B610E">
        <w:rPr>
          <w:vertAlign w:val="subscript"/>
        </w:rPr>
        <w:t>2</w:t>
      </w:r>
      <w:r>
        <w:t xml:space="preserve"> prices and the inherent uncertainties in predicting low-cost CO</w:t>
      </w:r>
      <w:r w:rsidRPr="002B610E">
        <w:rPr>
          <w:vertAlign w:val="subscript"/>
        </w:rPr>
        <w:t>2</w:t>
      </w:r>
      <w:r>
        <w:t xml:space="preserve"> availability, we assumed that only about 30% of the total CO</w:t>
      </w:r>
      <w:r w:rsidRPr="002B610E">
        <w:rPr>
          <w:vertAlign w:val="subscript"/>
        </w:rPr>
        <w:t>2</w:t>
      </w:r>
      <w:r>
        <w:t xml:space="preserve"> captured by 2050 in the APS scenario will be available at a cost-effective rate of 35 $/ton. To estimate hydrogen availability</w:t>
      </w:r>
      <w:r w:rsidRPr="0017175A">
        <w:t xml:space="preserve">, we utilized forecasts for low-carbon hydrogen production up to 2050, as provided by Wood Mackenzie. Based on these projections, we </w:t>
      </w:r>
      <w:r>
        <w:t xml:space="preserve">assumed that </w:t>
      </w:r>
      <w:r w:rsidRPr="0017175A">
        <w:t>the availability of green hydrogen to be equivalent to the</w:t>
      </w:r>
      <w:r>
        <w:t xml:space="preserve"> hydrogen</w:t>
      </w:r>
      <w:r w:rsidRPr="0017175A">
        <w:t xml:space="preserve"> production </w:t>
      </w:r>
      <w:r>
        <w:t xml:space="preserve">from </w:t>
      </w:r>
      <w:r w:rsidRPr="0017175A">
        <w:t xml:space="preserve">electrolysis, while black hydrogen availability was assumed to correspond with the production from </w:t>
      </w:r>
      <w:r>
        <w:t>f</w:t>
      </w:r>
      <w:r w:rsidRPr="0017175A">
        <w:t>ossil with CCS.</w:t>
      </w:r>
    </w:p>
    <w:p w14:paraId="144DE6B5" w14:textId="5DB8CCD0" w:rsidR="008D2649" w:rsidRPr="00A94774" w:rsidRDefault="001867AF" w:rsidP="008D2649">
      <w:pPr>
        <w:pStyle w:val="Els-1storder-head"/>
        <w:spacing w:after="120"/>
        <w:rPr>
          <w:lang w:val="en-GB"/>
        </w:rPr>
      </w:pPr>
      <w:r>
        <w:rPr>
          <w:lang w:val="en-GB"/>
        </w:rPr>
        <w:t>Results and discussion</w:t>
      </w:r>
    </w:p>
    <w:p w14:paraId="1736AAE4" w14:textId="6EDCE56F" w:rsidR="00E3152B" w:rsidRDefault="00E3152B" w:rsidP="00E3152B">
      <w:pPr>
        <w:pStyle w:val="Els-body-text"/>
        <w:rPr>
          <w:lang w:val="en-GB"/>
        </w:rPr>
      </w:pPr>
      <w:r w:rsidRPr="00ED543C">
        <w:t>Our study primarily aimed to identify</w:t>
      </w:r>
      <w:r>
        <w:t xml:space="preserve"> optimal</w:t>
      </w:r>
      <w:r w:rsidRPr="00ED543C">
        <w:t xml:space="preserve"> </w:t>
      </w:r>
      <w:r>
        <w:t xml:space="preserve">CCU4E </w:t>
      </w:r>
      <w:r w:rsidRPr="00ED543C">
        <w:t xml:space="preserve">strategies that maximized </w:t>
      </w:r>
      <w:r>
        <w:t xml:space="preserve">NPV </w:t>
      </w:r>
      <w:r w:rsidRPr="00ED543C">
        <w:t>and CO</w:t>
      </w:r>
      <w:r w:rsidRPr="00ED543C">
        <w:rPr>
          <w:vertAlign w:val="subscript"/>
        </w:rPr>
        <w:t>2</w:t>
      </w:r>
      <w:r>
        <w:rPr>
          <w:vertAlign w:val="subscript"/>
        </w:rPr>
        <w:t>-eq</w:t>
      </w:r>
      <w:r w:rsidRPr="00ED543C">
        <w:t xml:space="preserve"> reduction</w:t>
      </w:r>
      <w:r>
        <w:t>. To achieve this goal, w</w:t>
      </w:r>
      <w:r w:rsidRPr="000B0B10">
        <w:t>e developed</w:t>
      </w:r>
      <w:r>
        <w:t xml:space="preserve"> </w:t>
      </w:r>
      <w:r w:rsidR="005A2F75">
        <w:t>two different</w:t>
      </w:r>
      <w:r>
        <w:t xml:space="preserve"> scenarios</w:t>
      </w:r>
      <w:r w:rsidRPr="000B0B10">
        <w:t xml:space="preserve"> consider</w:t>
      </w:r>
      <w:r>
        <w:t>ing</w:t>
      </w:r>
      <w:r w:rsidRPr="000B0B10">
        <w:t xml:space="preserve"> different combinations of utility and hydrogen types</w:t>
      </w:r>
      <w:r w:rsidR="00163BD0">
        <w:t xml:space="preserve">. </w:t>
      </w:r>
      <w:r w:rsidR="00780861">
        <w:t xml:space="preserve">Note that </w:t>
      </w:r>
      <w:r w:rsidR="00780861" w:rsidRPr="000B0B10">
        <w:t xml:space="preserve">black utility refers to conventional utility sources from the grid, while green utility </w:t>
      </w:r>
      <w:r w:rsidR="00780861">
        <w:t>denotes</w:t>
      </w:r>
      <w:r w:rsidR="00780861" w:rsidRPr="000B0B10">
        <w:t xml:space="preserve"> renewable electricity and heat sources.</w:t>
      </w:r>
      <w:r w:rsidR="00780861">
        <w:t xml:space="preserve"> </w:t>
      </w:r>
      <w:r w:rsidR="009432B8" w:rsidRPr="009432B8">
        <w:t>For considering hydrogen types, black hydrogen refers to natural gas-based hydrogen with a CO</w:t>
      </w:r>
      <w:r w:rsidR="009432B8" w:rsidRPr="009432B8">
        <w:rPr>
          <w:vertAlign w:val="subscript"/>
        </w:rPr>
        <w:t>2</w:t>
      </w:r>
      <w:r w:rsidR="009432B8" w:rsidRPr="009432B8">
        <w:t xml:space="preserve"> capture process, which is one of the most widely used.</w:t>
      </w:r>
      <w:r w:rsidR="009432B8">
        <w:t xml:space="preserve"> Green hydrogen refers</w:t>
      </w:r>
      <w:r w:rsidR="00EB2898">
        <w:t xml:space="preserve"> to </w:t>
      </w:r>
      <w:r w:rsidR="00EB2898" w:rsidRPr="0017175A">
        <w:t>the</w:t>
      </w:r>
      <w:r w:rsidR="00EB2898">
        <w:t xml:space="preserve"> hydrogen</w:t>
      </w:r>
      <w:r w:rsidR="00EB2898" w:rsidRPr="0017175A">
        <w:t xml:space="preserve"> </w:t>
      </w:r>
      <w:r w:rsidR="00EB2898">
        <w:t xml:space="preserve">from </w:t>
      </w:r>
      <w:r w:rsidR="00EB2898" w:rsidRPr="0017175A">
        <w:t>electrolysis</w:t>
      </w:r>
      <w:r w:rsidR="00EB2898">
        <w:t xml:space="preserve"> which is one of the most </w:t>
      </w:r>
      <w:r w:rsidR="00EB2898">
        <w:lastRenderedPageBreak/>
        <w:t xml:space="preserve">ecofriendly </w:t>
      </w:r>
      <w:r w:rsidR="000935EA">
        <w:t>hydrogens</w:t>
      </w:r>
      <w:r w:rsidR="00EB2898">
        <w:t>.</w:t>
      </w:r>
      <w:r w:rsidR="00A64D17">
        <w:t xml:space="preserve"> </w:t>
      </w:r>
      <w:r w:rsidR="0005261D" w:rsidRPr="0005261D">
        <w:rPr>
          <w:lang w:eastAsia="ko-KR"/>
        </w:rPr>
        <w:t xml:space="preserve">By analyzing the most widely used and </w:t>
      </w:r>
      <w:r w:rsidR="0005261D">
        <w:rPr>
          <w:lang w:eastAsia="ko-KR"/>
        </w:rPr>
        <w:t>ecofriendly</w:t>
      </w:r>
      <w:r w:rsidR="0005261D" w:rsidRPr="0005261D">
        <w:rPr>
          <w:lang w:eastAsia="ko-KR"/>
        </w:rPr>
        <w:t xml:space="preserve"> hydrogen through cost and environmental optimization</w:t>
      </w:r>
      <w:r w:rsidR="00F97CCD">
        <w:rPr>
          <w:rFonts w:hint="eastAsia"/>
          <w:lang w:eastAsia="ko-KR"/>
        </w:rPr>
        <w:t>,</w:t>
      </w:r>
      <w:r w:rsidR="00F97CCD">
        <w:rPr>
          <w:lang w:eastAsia="ko-KR"/>
        </w:rPr>
        <w:t xml:space="preserve"> we could identify the </w:t>
      </w:r>
      <w:r w:rsidR="00394BB3">
        <w:rPr>
          <w:lang w:eastAsia="ko-KR"/>
        </w:rPr>
        <w:t>optimal strategy</w:t>
      </w:r>
      <w:r w:rsidR="00394BB3" w:rsidRPr="00394BB3">
        <w:rPr>
          <w:lang w:eastAsia="ko-KR"/>
        </w:rPr>
        <w:t xml:space="preserve"> in terms of financial viability and CO</w:t>
      </w:r>
      <w:r w:rsidR="00394BB3" w:rsidRPr="00394BB3">
        <w:rPr>
          <w:vertAlign w:val="subscript"/>
          <w:lang w:eastAsia="ko-KR"/>
        </w:rPr>
        <w:t>2-eq</w:t>
      </w:r>
      <w:r w:rsidR="00394BB3" w:rsidRPr="00394BB3">
        <w:rPr>
          <w:lang w:eastAsia="ko-KR"/>
        </w:rPr>
        <w:t xml:space="preserve"> reduction for CCUS technologies</w:t>
      </w:r>
      <w:r w:rsidR="0005261D">
        <w:rPr>
          <w:lang w:eastAsia="ko-KR"/>
        </w:rPr>
        <w:t>.</w:t>
      </w:r>
      <w:r w:rsidR="00A41568">
        <w:rPr>
          <w:lang w:eastAsia="ko-KR"/>
        </w:rPr>
        <w:t xml:space="preserve"> </w:t>
      </w:r>
      <w:r w:rsidR="003E537E">
        <w:t xml:space="preserve">In P1 and C1 scenarios, the CCUS technologies only utilizes black hydrogen </w:t>
      </w:r>
      <w:r w:rsidR="003E390C">
        <w:t>and black</w:t>
      </w:r>
      <w:r w:rsidR="003E537E">
        <w:t xml:space="preserve"> utility</w:t>
      </w:r>
      <w:r w:rsidRPr="000B0B10">
        <w:t>.</w:t>
      </w:r>
      <w:r w:rsidR="003E390C">
        <w:t xml:space="preserve"> On the other </w:t>
      </w:r>
      <w:r w:rsidR="00AB5FD0">
        <w:t>h</w:t>
      </w:r>
      <w:r w:rsidR="003E390C">
        <w:t xml:space="preserve">and, in P2 and C2 scenarios, the CCUS technologies only utilizes green hydrogen and green utility. </w:t>
      </w:r>
      <w:r>
        <w:t>It is identified that</w:t>
      </w:r>
      <w:r w:rsidRPr="007E46B7">
        <w:t xml:space="preserve"> the P1 scenario, utilizing black hydrogen and utility, was found to be the most financially viable option among the scenarios, with the lowest financial loss at -174 MM$/y. </w:t>
      </w:r>
      <w:r>
        <w:t>On the other hand</w:t>
      </w:r>
      <w:r w:rsidRPr="00A3459D">
        <w:t xml:space="preserve">, </w:t>
      </w:r>
      <w:r>
        <w:t>the P1 scenario also resulted in</w:t>
      </w:r>
      <w:r w:rsidRPr="00855CA2">
        <w:t xml:space="preserve"> the least CO</w:t>
      </w:r>
      <w:r w:rsidRPr="004B53A7">
        <w:rPr>
          <w:vertAlign w:val="subscript"/>
        </w:rPr>
        <w:t>2</w:t>
      </w:r>
      <w:r>
        <w:rPr>
          <w:vertAlign w:val="subscript"/>
        </w:rPr>
        <w:t>-eq</w:t>
      </w:r>
      <w:r w:rsidRPr="00855CA2">
        <w:t xml:space="preserve"> reduction</w:t>
      </w:r>
      <w:r>
        <w:t xml:space="preserve"> </w:t>
      </w:r>
      <w:r w:rsidRPr="007E46B7">
        <w:t xml:space="preserve">among </w:t>
      </w:r>
      <w:r>
        <w:t xml:space="preserve">all </w:t>
      </w:r>
      <w:r w:rsidRPr="007E46B7">
        <w:t>scenarios</w:t>
      </w:r>
      <w:r w:rsidRPr="00855CA2">
        <w:t>, achieving only 472 Mt</w:t>
      </w:r>
      <w:r w:rsidR="007D548B">
        <w:t>/y</w:t>
      </w:r>
      <w:r w:rsidRPr="00855CA2">
        <w:t>.</w:t>
      </w:r>
      <w:r>
        <w:t xml:space="preserve"> </w:t>
      </w:r>
      <w:r w:rsidRPr="009E4CD6">
        <w:rPr>
          <w:lang w:eastAsia="ko-KR"/>
        </w:rPr>
        <w:t xml:space="preserve">This is because the P1 scenario relies on black utility and hydrogen which are more cost-effective but </w:t>
      </w:r>
      <w:r w:rsidRPr="00DC1BF3">
        <w:rPr>
          <w:lang w:eastAsia="ko-KR"/>
        </w:rPr>
        <w:t xml:space="preserve">result in comparatively lower </w:t>
      </w:r>
      <w:r>
        <w:rPr>
          <w:lang w:eastAsia="ko-KR"/>
        </w:rPr>
        <w:t>CO</w:t>
      </w:r>
      <w:r w:rsidRPr="00DC1BF3">
        <w:rPr>
          <w:vertAlign w:val="subscript"/>
          <w:lang w:eastAsia="ko-KR"/>
        </w:rPr>
        <w:t>2-eq</w:t>
      </w:r>
      <w:r>
        <w:rPr>
          <w:lang w:eastAsia="ko-KR"/>
        </w:rPr>
        <w:t xml:space="preserve"> </w:t>
      </w:r>
      <w:r w:rsidRPr="00DC1BF3">
        <w:rPr>
          <w:lang w:eastAsia="ko-KR"/>
        </w:rPr>
        <w:t>reductions</w:t>
      </w:r>
      <w:r>
        <w:rPr>
          <w:lang w:eastAsia="ko-KR"/>
        </w:rPr>
        <w:t xml:space="preserve">. </w:t>
      </w:r>
      <w:r w:rsidRPr="002F2D07">
        <w:rPr>
          <w:lang w:val="en-GB"/>
        </w:rPr>
        <w:t>Within the P1 scenario, the optimal strategy included producing a range of fuels through specific processes.</w:t>
      </w:r>
      <w:r>
        <w:rPr>
          <w:lang w:val="en-GB"/>
        </w:rPr>
        <w:t xml:space="preserve"> </w:t>
      </w:r>
      <w:r w:rsidRPr="001A5308">
        <w:rPr>
          <w:lang w:val="en-GB"/>
        </w:rPr>
        <w:t>Th</w:t>
      </w:r>
      <w:r>
        <w:rPr>
          <w:lang w:val="en-GB"/>
        </w:rPr>
        <w:t>e optimal</w:t>
      </w:r>
      <w:r w:rsidRPr="001A5308">
        <w:rPr>
          <w:lang w:val="en-GB"/>
        </w:rPr>
        <w:t xml:space="preserve"> strategy </w:t>
      </w:r>
      <w:r>
        <w:rPr>
          <w:lang w:val="en-GB"/>
        </w:rPr>
        <w:t xml:space="preserve">in the P1 scenario </w:t>
      </w:r>
      <w:r w:rsidRPr="001A5308">
        <w:rPr>
          <w:lang w:val="en-GB"/>
        </w:rPr>
        <w:t>involved the production of MeOH via direct hydrogenation, the synthesis of DME from MeOH, the creation of olefin through the MTO process, and the conversion of MTG.</w:t>
      </w:r>
    </w:p>
    <w:p w14:paraId="55425421" w14:textId="77777777" w:rsidR="00E3152B" w:rsidRPr="00E3152B" w:rsidRDefault="00E3152B" w:rsidP="008D2649">
      <w:pPr>
        <w:pStyle w:val="Els-body-text"/>
        <w:spacing w:after="120"/>
        <w:rPr>
          <w:lang w:val="en-GB"/>
        </w:rPr>
      </w:pPr>
    </w:p>
    <w:p w14:paraId="1A29544F" w14:textId="0C1695A5" w:rsidR="00E77097" w:rsidRDefault="00FC4685" w:rsidP="00E77097">
      <w:pPr>
        <w:pStyle w:val="Els-body-text"/>
      </w:pPr>
      <w:r>
        <w:object w:dxaOrig="5405" w:dyaOrig="7808" w14:anchorId="0F967593">
          <v:shape id="_x0000_i1027" type="#_x0000_t75" style="width:362.4pt;height:239.4pt" o:ole="">
            <v:imagedata r:id="rId12" o:title="" croptop="2676f" cropbottom="32966f"/>
          </v:shape>
          <o:OLEObject Type="Embed" ProgID="PowerPoint.Show.12" ShapeID="_x0000_i1027" DrawAspect="Content" ObjectID="_1766914791" r:id="rId13"/>
        </w:object>
      </w:r>
    </w:p>
    <w:p w14:paraId="3E940E40" w14:textId="4C60EFF1" w:rsidR="00E77097" w:rsidRDefault="00E77097" w:rsidP="00E77097">
      <w:pPr>
        <w:pStyle w:val="Els-caption"/>
        <w:jc w:val="center"/>
      </w:pPr>
      <w:r w:rsidRPr="00FC50F8">
        <w:rPr>
          <w:b/>
          <w:bCs/>
        </w:rPr>
        <w:t xml:space="preserve">Figure </w:t>
      </w:r>
      <w:r>
        <w:rPr>
          <w:b/>
          <w:bCs/>
        </w:rPr>
        <w:t>2</w:t>
      </w:r>
      <w:r w:rsidRPr="00FC50F8">
        <w:rPr>
          <w:b/>
          <w:bCs/>
        </w:rPr>
        <w:t>.</w:t>
      </w:r>
      <w:r>
        <w:t xml:space="preserve"> </w:t>
      </w:r>
      <w:r w:rsidRPr="00763C96">
        <w:t>Optimal CO</w:t>
      </w:r>
      <w:r w:rsidRPr="00763C96">
        <w:rPr>
          <w:vertAlign w:val="subscript"/>
        </w:rPr>
        <w:t>2</w:t>
      </w:r>
      <w:r w:rsidRPr="00763C96">
        <w:t xml:space="preserve"> </w:t>
      </w:r>
      <w:r>
        <w:t>u</w:t>
      </w:r>
      <w:r w:rsidRPr="00763C96">
        <w:t xml:space="preserve">tilization </w:t>
      </w:r>
      <w:r>
        <w:t>s</w:t>
      </w:r>
      <w:r w:rsidRPr="00763C96">
        <w:t xml:space="preserve">trategies for </w:t>
      </w:r>
      <w:r>
        <w:t>energy products</w:t>
      </w:r>
      <w:r w:rsidRPr="00763C96">
        <w:t xml:space="preserve"> in </w:t>
      </w:r>
      <w:r>
        <w:t>different s</w:t>
      </w:r>
      <w:r w:rsidRPr="00763C96">
        <w:t>cenarios</w:t>
      </w:r>
      <w:r w:rsidR="00FC4685">
        <w:t>.</w:t>
      </w:r>
      <w:r w:rsidR="003A6FC2">
        <w:t xml:space="preserve"> </w:t>
      </w:r>
    </w:p>
    <w:p w14:paraId="2A6A235A" w14:textId="0B2AD26E" w:rsidR="00E3152B" w:rsidRDefault="00DC0464" w:rsidP="008D2649">
      <w:pPr>
        <w:pStyle w:val="Els-body-text"/>
        <w:spacing w:after="120"/>
        <w:rPr>
          <w:lang w:val="en-GB"/>
        </w:rPr>
      </w:pPr>
      <w:r w:rsidRPr="008B45B8">
        <w:rPr>
          <w:lang w:val="en-GB"/>
        </w:rPr>
        <w:t>In the P2 scenario, where green hydrogen and utility were implemented, a significant shift in fuel production strategy was observed</w:t>
      </w:r>
      <w:r>
        <w:rPr>
          <w:lang w:val="en-GB"/>
        </w:rPr>
        <w:t xml:space="preserve"> </w:t>
      </w:r>
      <w:r>
        <w:rPr>
          <w:lang w:val="en-GB" w:eastAsia="ko-KR"/>
        </w:rPr>
        <w:t>compared to the P1 scenario</w:t>
      </w:r>
      <w:r w:rsidRPr="008B45B8">
        <w:rPr>
          <w:lang w:val="en-GB"/>
        </w:rPr>
        <w:t xml:space="preserve">. </w:t>
      </w:r>
      <w:r w:rsidRPr="004D2B3B">
        <w:rPr>
          <w:lang w:val="en-GB"/>
        </w:rPr>
        <w:t>For example, while the P1 scenario involved the production of FT fuel, Olefin, MeOH, and DME, the P2 scenario shifted to producing FT fuel, Olefin, DME, and Gasoline</w:t>
      </w:r>
      <w:r>
        <w:rPr>
          <w:lang w:val="en-GB"/>
        </w:rPr>
        <w:t xml:space="preserve">. </w:t>
      </w:r>
      <w:r w:rsidRPr="00053DB7">
        <w:rPr>
          <w:lang w:val="en-GB"/>
        </w:rPr>
        <w:t>This is because the adoption of green hydrogen and utility in the P2 scenario led to higher costs, influencing the shift in fuel production strategy</w:t>
      </w:r>
      <w:r>
        <w:rPr>
          <w:lang w:val="en-GB"/>
        </w:rPr>
        <w:t xml:space="preserve">. </w:t>
      </w:r>
      <w:r w:rsidRPr="004F5B8A">
        <w:rPr>
          <w:lang w:val="en-GB"/>
        </w:rPr>
        <w:t xml:space="preserve">In the P2 scenario, we observed significant shifts in both </w:t>
      </w:r>
      <w:r>
        <w:rPr>
          <w:lang w:val="en-GB"/>
        </w:rPr>
        <w:t>NPV</w:t>
      </w:r>
      <w:r w:rsidRPr="004F5B8A">
        <w:rPr>
          <w:lang w:val="en-GB"/>
        </w:rPr>
        <w:t xml:space="preserve"> and CO</w:t>
      </w:r>
      <w:r w:rsidRPr="004F5B8A">
        <w:rPr>
          <w:vertAlign w:val="subscript"/>
          <w:lang w:val="en-GB"/>
        </w:rPr>
        <w:t>2</w:t>
      </w:r>
      <w:r>
        <w:rPr>
          <w:vertAlign w:val="subscript"/>
          <w:lang w:val="en-GB"/>
        </w:rPr>
        <w:t>-eq</w:t>
      </w:r>
      <w:r w:rsidRPr="004F5B8A">
        <w:rPr>
          <w:lang w:val="en-GB"/>
        </w:rPr>
        <w:t xml:space="preserve"> reduction compared to the P1 scenario.</w:t>
      </w:r>
      <w:r>
        <w:rPr>
          <w:lang w:val="en-GB"/>
        </w:rPr>
        <w:t xml:space="preserve"> </w:t>
      </w:r>
      <w:r w:rsidRPr="004D0DCA">
        <w:rPr>
          <w:lang w:val="en-GB"/>
        </w:rPr>
        <w:t xml:space="preserve">For instance, the </w:t>
      </w:r>
      <w:r>
        <w:rPr>
          <w:lang w:val="en-GB"/>
        </w:rPr>
        <w:t>NPV</w:t>
      </w:r>
      <w:r w:rsidRPr="004D0DCA">
        <w:rPr>
          <w:lang w:val="en-GB"/>
        </w:rPr>
        <w:t xml:space="preserve"> in the P2 scenario decreased to -421 MM$/y, compared to -174 MM$/y in the P1 scenario, representing a relative decrease of about 142%.</w:t>
      </w:r>
      <w:r>
        <w:rPr>
          <w:lang w:val="en-GB"/>
        </w:rPr>
        <w:t xml:space="preserve"> On the other hand, the </w:t>
      </w:r>
      <w:r w:rsidRPr="007C6D17">
        <w:rPr>
          <w:lang w:val="en-GB"/>
        </w:rPr>
        <w:t>CO</w:t>
      </w:r>
      <w:r>
        <w:rPr>
          <w:vertAlign w:val="subscript"/>
          <w:lang w:val="en-GB"/>
        </w:rPr>
        <w:t>2-eq</w:t>
      </w:r>
      <w:r w:rsidRPr="007C6D17">
        <w:rPr>
          <w:lang w:val="en-GB"/>
        </w:rPr>
        <w:t xml:space="preserve"> reduction markedly increased to 1469 </w:t>
      </w:r>
      <w:r>
        <w:rPr>
          <w:lang w:val="en-GB"/>
        </w:rPr>
        <w:t>Mt</w:t>
      </w:r>
      <w:r w:rsidR="007D548B">
        <w:rPr>
          <w:lang w:val="en-GB"/>
        </w:rPr>
        <w:t>/y</w:t>
      </w:r>
      <w:r w:rsidRPr="007C6D17">
        <w:rPr>
          <w:lang w:val="en-GB"/>
        </w:rPr>
        <w:t xml:space="preserve">, up from 472 </w:t>
      </w:r>
      <w:r>
        <w:rPr>
          <w:lang w:val="en-GB"/>
        </w:rPr>
        <w:t>Mt</w:t>
      </w:r>
      <w:r w:rsidR="007D548B">
        <w:rPr>
          <w:lang w:val="en-GB"/>
        </w:rPr>
        <w:t>/y</w:t>
      </w:r>
      <w:r w:rsidRPr="007C6D17">
        <w:rPr>
          <w:lang w:val="en-GB"/>
        </w:rPr>
        <w:t xml:space="preserve"> in the P1 scenario, representing a </w:t>
      </w:r>
      <w:r w:rsidRPr="007C6D17">
        <w:rPr>
          <w:lang w:val="en-GB"/>
        </w:rPr>
        <w:lastRenderedPageBreak/>
        <w:t>substantial increment of approximately 211%.</w:t>
      </w:r>
      <w:r>
        <w:rPr>
          <w:lang w:val="en-GB"/>
        </w:rPr>
        <w:t xml:space="preserve"> With</w:t>
      </w:r>
      <w:r w:rsidRPr="00703706">
        <w:rPr>
          <w:lang w:val="en-GB"/>
        </w:rPr>
        <w:t xml:space="preserve"> these </w:t>
      </w:r>
      <w:r>
        <w:rPr>
          <w:lang w:val="en-GB"/>
        </w:rPr>
        <w:t>results</w:t>
      </w:r>
      <w:r w:rsidRPr="00703706">
        <w:rPr>
          <w:lang w:val="en-GB"/>
        </w:rPr>
        <w:t>, we have identified a clear trade-off between economic costs and environmental benefits in CO</w:t>
      </w:r>
      <w:r w:rsidRPr="00703706">
        <w:rPr>
          <w:vertAlign w:val="subscript"/>
          <w:lang w:val="en-GB"/>
        </w:rPr>
        <w:t>2</w:t>
      </w:r>
      <w:r w:rsidRPr="00703706">
        <w:rPr>
          <w:lang w:val="en-GB"/>
        </w:rPr>
        <w:t xml:space="preserve"> utilization strategies</w:t>
      </w:r>
      <w:r>
        <w:rPr>
          <w:lang w:val="en-GB"/>
        </w:rPr>
        <w:t xml:space="preserve">. </w:t>
      </w:r>
      <w:r w:rsidRPr="00983316">
        <w:t>In the C1 and C2 scenarios, which prioritized maximizing CO</w:t>
      </w:r>
      <w:r w:rsidRPr="00983316">
        <w:rPr>
          <w:vertAlign w:val="subscript"/>
        </w:rPr>
        <w:t>2-eq</w:t>
      </w:r>
      <w:r w:rsidRPr="00983316">
        <w:t xml:space="preserve"> reduction, the </w:t>
      </w:r>
      <w:r>
        <w:t xml:space="preserve">optimal </w:t>
      </w:r>
      <w:r w:rsidRPr="00983316">
        <w:t xml:space="preserve">strategy </w:t>
      </w:r>
      <w:r>
        <w:t>only consists of</w:t>
      </w:r>
      <w:r w:rsidRPr="00983316">
        <w:t xml:space="preserve"> the production of olefin and gasoline, due to </w:t>
      </w:r>
      <w:r>
        <w:t xml:space="preserve">the </w:t>
      </w:r>
      <w:r w:rsidRPr="00983316">
        <w:t>CO</w:t>
      </w:r>
      <w:r>
        <w:rPr>
          <w:vertAlign w:val="subscript"/>
        </w:rPr>
        <w:t>2-eq</w:t>
      </w:r>
      <w:r w:rsidRPr="00983316">
        <w:t xml:space="preserve"> inventory</w:t>
      </w:r>
      <w:r>
        <w:t xml:space="preserve"> of olefin and gasoline</w:t>
      </w:r>
      <w:r w:rsidRPr="00983316">
        <w:t>.</w:t>
      </w:r>
      <w:r>
        <w:t xml:space="preserve"> </w:t>
      </w:r>
      <w:r w:rsidRPr="00045DB6">
        <w:t>With these results, we identified that focusing on fuels with a high CO</w:t>
      </w:r>
      <w:r w:rsidRPr="00045DB6">
        <w:rPr>
          <w:vertAlign w:val="subscript"/>
        </w:rPr>
        <w:t>2-eq</w:t>
      </w:r>
      <w:r w:rsidRPr="00045DB6">
        <w:t xml:space="preserve"> inventory can lead to significant environmental improvements</w:t>
      </w:r>
      <w:r>
        <w:t xml:space="preserve">. </w:t>
      </w:r>
      <w:r w:rsidRPr="006F281C">
        <w:t>When focusing solely on the CO</w:t>
      </w:r>
      <w:r w:rsidRPr="006F281C">
        <w:rPr>
          <w:vertAlign w:val="subscript"/>
        </w:rPr>
        <w:t>2-eq</w:t>
      </w:r>
      <w:r w:rsidRPr="006F281C">
        <w:t xml:space="preserve"> inventory of products, there is an inherent trade-off in terms of economic implications. For example, while the P1 scenario resulted in a financial loss of -174 MM$/y, the C1 scenario</w:t>
      </w:r>
      <w:r>
        <w:t xml:space="preserve"> results</w:t>
      </w:r>
      <w:r w:rsidRPr="006F281C">
        <w:t xml:space="preserve"> </w:t>
      </w:r>
      <w:r>
        <w:t>at</w:t>
      </w:r>
      <w:r w:rsidRPr="006F281C">
        <w:t xml:space="preserve"> higher financial loss of -212 MM$/y</w:t>
      </w:r>
      <w:r>
        <w:t xml:space="preserve">. </w:t>
      </w:r>
      <w:r w:rsidRPr="001A6F27">
        <w:t xml:space="preserve">From our analysis, </w:t>
      </w:r>
      <w:r>
        <w:t>we identify</w:t>
      </w:r>
      <w:r w:rsidRPr="001A6F27">
        <w:t xml:space="preserve"> that CCU4E strategies present a complex interplay between economic costs</w:t>
      </w:r>
      <w:r>
        <w:t xml:space="preserve"> and </w:t>
      </w:r>
      <w:r w:rsidRPr="001A6F27">
        <w:t>environmental benefits. These findings highlight the necessity of carefully considering both economic and environmental factors in CO</w:t>
      </w:r>
      <w:r w:rsidRPr="001A6F27">
        <w:rPr>
          <w:vertAlign w:val="subscript"/>
        </w:rPr>
        <w:t>2</w:t>
      </w:r>
      <w:r w:rsidRPr="001A6F27">
        <w:t xml:space="preserve"> utilization strategies.</w:t>
      </w:r>
    </w:p>
    <w:p w14:paraId="144DE6BA" w14:textId="77777777" w:rsidR="008D2649" w:rsidRPr="00A94774" w:rsidRDefault="008D2649" w:rsidP="008D2649">
      <w:pPr>
        <w:pStyle w:val="Els-1storder-head"/>
        <w:spacing w:after="120"/>
        <w:rPr>
          <w:lang w:val="en-GB"/>
        </w:rPr>
      </w:pPr>
      <w:r w:rsidRPr="00A94774">
        <w:rPr>
          <w:lang w:val="en-GB"/>
        </w:rPr>
        <w:t>Conclusions</w:t>
      </w:r>
    </w:p>
    <w:p w14:paraId="4630691C" w14:textId="77777777" w:rsidR="00517FAF" w:rsidRDefault="00517FAF" w:rsidP="00517FAF">
      <w:pPr>
        <w:pStyle w:val="Els-body-text"/>
      </w:pPr>
      <w:r w:rsidRPr="00A4076C">
        <w:t>In this study, we developed an optimization-based framework for</w:t>
      </w:r>
      <w:r>
        <w:t xml:space="preserve"> the systematic analysis and evaluation of</w:t>
      </w:r>
      <w:r w:rsidRPr="00A4076C">
        <w:t xml:space="preserve"> CO</w:t>
      </w:r>
      <w:r w:rsidRPr="00CD150B">
        <w:rPr>
          <w:vertAlign w:val="subscript"/>
        </w:rPr>
        <w:t>2</w:t>
      </w:r>
      <w:r w:rsidRPr="00A4076C">
        <w:t xml:space="preserve"> utilization strategies</w:t>
      </w:r>
      <w:r>
        <w:t xml:space="preserve"> considering economics and environmental impacts</w:t>
      </w:r>
      <w:r w:rsidRPr="00A4076C">
        <w:t>. This framework integrates a range of conversion and separation technologies for various fuel production.</w:t>
      </w:r>
      <w:r>
        <w:t xml:space="preserve"> Then, we developed optimization model with objective functions considering various constraints. With</w:t>
      </w:r>
      <w:r w:rsidRPr="00A4076C">
        <w:t xml:space="preserve"> </w:t>
      </w:r>
      <w:r>
        <w:t>the optimization</w:t>
      </w:r>
      <w:r w:rsidRPr="00A4076C">
        <w:t xml:space="preserve"> model, we explored different scenarios with black and green hydrogen and utility sources. </w:t>
      </w:r>
      <w:r>
        <w:t>I</w:t>
      </w:r>
      <w:r w:rsidRPr="004566CE">
        <w:t>t was identified that the P1 scenario, employing black hydrogen and utility, emerged as the most financially sustainable option, incurring the least financial loss. However, th</w:t>
      </w:r>
      <w:r>
        <w:t>e P1</w:t>
      </w:r>
      <w:r w:rsidRPr="004566CE">
        <w:t xml:space="preserve"> scenario also achieved the lowest CO</w:t>
      </w:r>
      <w:r w:rsidRPr="004566CE">
        <w:rPr>
          <w:vertAlign w:val="subscript"/>
        </w:rPr>
        <w:t>2</w:t>
      </w:r>
      <w:r>
        <w:rPr>
          <w:vertAlign w:val="subscript"/>
        </w:rPr>
        <w:t>-eq</w:t>
      </w:r>
      <w:r w:rsidRPr="004566CE">
        <w:t xml:space="preserve"> reduction, indicating a trade-off between economic feasibility and environmental impact. The P2 scenario, with green hydrogen and utility, demonstrated a notable shift towards increased CO</w:t>
      </w:r>
      <w:r w:rsidRPr="004566CE">
        <w:rPr>
          <w:vertAlign w:val="subscript"/>
        </w:rPr>
        <w:t>2-eq</w:t>
      </w:r>
      <w:r w:rsidRPr="004566CE">
        <w:t xml:space="preserve"> reduction but at a higher economic cost. </w:t>
      </w:r>
      <w:r w:rsidRPr="00A4076C">
        <w:t xml:space="preserve">The results highlight the significance of resource selection </w:t>
      </w:r>
      <w:r>
        <w:t xml:space="preserve">and objective function </w:t>
      </w:r>
      <w:r w:rsidRPr="00A4076C">
        <w:t xml:space="preserve">in </w:t>
      </w:r>
      <w:r>
        <w:t>the planning of CCU4E strategy for</w:t>
      </w:r>
      <w:r w:rsidRPr="00A4076C">
        <w:t xml:space="preserve"> the financial viability and CO</w:t>
      </w:r>
      <w:r w:rsidRPr="000B17D3">
        <w:rPr>
          <w:vertAlign w:val="subscript"/>
        </w:rPr>
        <w:t>2</w:t>
      </w:r>
      <w:r>
        <w:rPr>
          <w:vertAlign w:val="subscript"/>
        </w:rPr>
        <w:t>-eq</w:t>
      </w:r>
      <w:r w:rsidRPr="00A4076C">
        <w:t xml:space="preserve"> reduction potential. Our study contributes to the understanding of sustainable CO</w:t>
      </w:r>
      <w:r w:rsidRPr="000B17D3">
        <w:rPr>
          <w:vertAlign w:val="subscript"/>
        </w:rPr>
        <w:t>2</w:t>
      </w:r>
      <w:r w:rsidRPr="00A4076C">
        <w:t xml:space="preserve"> utilization, offering guidance for policymakers and companies in developing strategies that balance environmental impact with economic feasibility.</w:t>
      </w:r>
    </w:p>
    <w:p w14:paraId="144DE6BF" w14:textId="608D0AD6" w:rsidR="008D2649" w:rsidRDefault="008D2649" w:rsidP="008D2649">
      <w:pPr>
        <w:pStyle w:val="Els-reference-head"/>
      </w:pPr>
      <w:r>
        <w:t>References</w:t>
      </w:r>
    </w:p>
    <w:sdt>
      <w:sdtPr>
        <w:rPr>
          <w:noProof/>
          <w:sz w:val="18"/>
          <w:lang w:val="en-US"/>
        </w:rPr>
        <w:tag w:val="MENDELEY_BIBLIOGRAPHY"/>
        <w:id w:val="-2075810103"/>
        <w:placeholder>
          <w:docPart w:val="DefaultPlaceholder_-1854013440"/>
        </w:placeholder>
      </w:sdtPr>
      <w:sdtEndPr/>
      <w:sdtContent>
        <w:p w14:paraId="70E6F00B" w14:textId="77777777" w:rsidR="00EF61F0" w:rsidRDefault="00EF61F0">
          <w:pPr>
            <w:autoSpaceDE w:val="0"/>
            <w:autoSpaceDN w:val="0"/>
            <w:ind w:hanging="480"/>
            <w:divId w:val="1906792932"/>
            <w:rPr>
              <w:rFonts w:eastAsia="Times New Roman"/>
              <w:szCs w:val="24"/>
            </w:rPr>
          </w:pPr>
          <w:proofErr w:type="spellStart"/>
          <w:r>
            <w:rPr>
              <w:rFonts w:eastAsia="Times New Roman"/>
            </w:rPr>
            <w:t>Abanades</w:t>
          </w:r>
          <w:proofErr w:type="spellEnd"/>
          <w:r>
            <w:rPr>
              <w:rFonts w:eastAsia="Times New Roman"/>
            </w:rPr>
            <w:t xml:space="preserve">, J. C., Rubin, E. S., Mazzotti, M., &amp; Herzog, H. J. (2017). On the climate change mitigation potential of CO 2 conversion to fuels. </w:t>
          </w:r>
          <w:r>
            <w:rPr>
              <w:rFonts w:eastAsia="Times New Roman"/>
              <w:i/>
              <w:iCs/>
            </w:rPr>
            <w:t>Energy Environ. Sci</w:t>
          </w:r>
          <w:r>
            <w:rPr>
              <w:rFonts w:eastAsia="Times New Roman"/>
            </w:rPr>
            <w:t xml:space="preserve">, </w:t>
          </w:r>
          <w:r>
            <w:rPr>
              <w:rFonts w:eastAsia="Times New Roman"/>
              <w:i/>
              <w:iCs/>
            </w:rPr>
            <w:t>10</w:t>
          </w:r>
          <w:r>
            <w:rPr>
              <w:rFonts w:eastAsia="Times New Roman"/>
            </w:rPr>
            <w:t>, 2491. https://doi.org/10.1039/c7ee02819a</w:t>
          </w:r>
        </w:p>
        <w:p w14:paraId="6693D18D" w14:textId="77777777" w:rsidR="00EF61F0" w:rsidRDefault="00EF61F0">
          <w:pPr>
            <w:autoSpaceDE w:val="0"/>
            <w:autoSpaceDN w:val="0"/>
            <w:ind w:hanging="480"/>
            <w:divId w:val="459149107"/>
            <w:rPr>
              <w:rFonts w:eastAsia="Times New Roman"/>
            </w:rPr>
          </w:pPr>
          <w:r>
            <w:rPr>
              <w:rFonts w:eastAsia="Times New Roman"/>
            </w:rPr>
            <w:t xml:space="preserve">Do, T. N., You, C., &amp; Kim, J. (2022). A CO 2 utilization framework for liquid fuels and chemical production: techno-economic and environmental analysis. </w:t>
          </w:r>
          <w:r>
            <w:rPr>
              <w:rFonts w:eastAsia="Times New Roman"/>
              <w:i/>
              <w:iCs/>
            </w:rPr>
            <w:t>Energy &amp; Environmental Science</w:t>
          </w:r>
          <w:r>
            <w:rPr>
              <w:rFonts w:eastAsia="Times New Roman"/>
            </w:rPr>
            <w:t xml:space="preserve">, </w:t>
          </w:r>
          <w:r>
            <w:rPr>
              <w:rFonts w:eastAsia="Times New Roman"/>
              <w:i/>
              <w:iCs/>
            </w:rPr>
            <w:t>15</w:t>
          </w:r>
          <w:r>
            <w:rPr>
              <w:rFonts w:eastAsia="Times New Roman"/>
            </w:rPr>
            <w:t>(1), 169–184. https://doi.org/10.1039/D1EE01444G</w:t>
          </w:r>
        </w:p>
        <w:p w14:paraId="4FDAFC4B" w14:textId="77777777" w:rsidR="00EF61F0" w:rsidRDefault="00EF61F0">
          <w:pPr>
            <w:autoSpaceDE w:val="0"/>
            <w:autoSpaceDN w:val="0"/>
            <w:ind w:hanging="480"/>
            <w:divId w:val="326370176"/>
            <w:rPr>
              <w:rFonts w:eastAsia="Times New Roman"/>
            </w:rPr>
          </w:pPr>
          <w:r>
            <w:rPr>
              <w:rFonts w:eastAsia="Times New Roman"/>
            </w:rPr>
            <w:t xml:space="preserve">Hepburn, C., Adlen, E., Beddington, J., Carter, E. A., Fuss, S., Mac Dowell, N., Minx, J. C., Smith, P., &amp; Williams, C. K. (2019). The technological and economic prospects for CO2 utilization and removal. </w:t>
          </w:r>
          <w:r>
            <w:rPr>
              <w:rFonts w:eastAsia="Times New Roman"/>
              <w:i/>
              <w:iCs/>
            </w:rPr>
            <w:t>Nature 2019 575:7781</w:t>
          </w:r>
          <w:r>
            <w:rPr>
              <w:rFonts w:eastAsia="Times New Roman"/>
            </w:rPr>
            <w:t xml:space="preserve">, </w:t>
          </w:r>
          <w:r>
            <w:rPr>
              <w:rFonts w:eastAsia="Times New Roman"/>
              <w:i/>
              <w:iCs/>
            </w:rPr>
            <w:t>575</w:t>
          </w:r>
          <w:r>
            <w:rPr>
              <w:rFonts w:eastAsia="Times New Roman"/>
            </w:rPr>
            <w:t>(7781), 87–97. https://doi.org/10.1038/s41586-019-1681-6</w:t>
          </w:r>
        </w:p>
        <w:p w14:paraId="1F0D9C92" w14:textId="77777777" w:rsidR="00EF61F0" w:rsidRDefault="00EF61F0">
          <w:pPr>
            <w:autoSpaceDE w:val="0"/>
            <w:autoSpaceDN w:val="0"/>
            <w:ind w:hanging="480"/>
            <w:divId w:val="1417088598"/>
            <w:rPr>
              <w:rFonts w:eastAsia="Times New Roman"/>
            </w:rPr>
          </w:pPr>
          <w:r>
            <w:rPr>
              <w:rFonts w:eastAsia="Times New Roman"/>
            </w:rPr>
            <w:t xml:space="preserve">Mac Dowell, N., Fennell, P. S., Shah, N., &amp; Maitland, G. C. (2017). The role of CO2 capture and utilization in mitigating climate change. </w:t>
          </w:r>
          <w:r>
            <w:rPr>
              <w:rFonts w:eastAsia="Times New Roman"/>
              <w:i/>
              <w:iCs/>
            </w:rPr>
            <w:t>Nature Climate Change 2017 7:4</w:t>
          </w:r>
          <w:r>
            <w:rPr>
              <w:rFonts w:eastAsia="Times New Roman"/>
            </w:rPr>
            <w:t xml:space="preserve">, </w:t>
          </w:r>
          <w:r>
            <w:rPr>
              <w:rFonts w:eastAsia="Times New Roman"/>
              <w:i/>
              <w:iCs/>
            </w:rPr>
            <w:t>7</w:t>
          </w:r>
          <w:r>
            <w:rPr>
              <w:rFonts w:eastAsia="Times New Roman"/>
            </w:rPr>
            <w:t>(4), 243–249. https://doi.org/10.1038/nclimate3231</w:t>
          </w:r>
        </w:p>
        <w:p w14:paraId="144DE6C3" w14:textId="6A6CDAA8" w:rsidR="008D2649" w:rsidRDefault="00EF61F0" w:rsidP="008D2649">
          <w:pPr>
            <w:pStyle w:val="Els-referenceno-number"/>
            <w:rPr>
              <w:lang w:val="en-US"/>
            </w:rPr>
          </w:pPr>
          <w:r>
            <w:rPr>
              <w:rFonts w:eastAsia="Times New Roman"/>
            </w:rPr>
            <w:t> </w:t>
          </w:r>
        </w:p>
      </w:sdtContent>
    </w:sdt>
    <w:bookmarkStart w:id="1" w:name="_GoBack" w:displacedByCustomXml="prev"/>
    <w:bookmarkEnd w:id="1" w:displacedByCustomXml="prev"/>
    <w:sectPr w:rsidR="008D2649" w:rsidSect="008B0184">
      <w:headerReference w:type="even" r:id="rId14"/>
      <w:headerReference w:type="default" r:id="rId15"/>
      <w:headerReference w:type="first" r:id="rId16"/>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74624" w14:textId="77777777" w:rsidR="00D26996" w:rsidRDefault="00D26996">
      <w:r>
        <w:separator/>
      </w:r>
    </w:p>
  </w:endnote>
  <w:endnote w:type="continuationSeparator" w:id="0">
    <w:p w14:paraId="261DB39A" w14:textId="77777777" w:rsidR="00D26996" w:rsidRDefault="00D26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YSinMyeongJo-Medium">
    <w:altName w:val="HY신명조"/>
    <w:charset w:val="81"/>
    <w:family w:val="roman"/>
    <w:pitch w:val="variable"/>
    <w:sig w:usb0="900002A7" w:usb1="29D77CF9"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67B60" w14:textId="77777777" w:rsidR="00D26996" w:rsidRDefault="00D26996">
      <w:r>
        <w:separator/>
      </w:r>
    </w:p>
  </w:footnote>
  <w:footnote w:type="continuationSeparator" w:id="0">
    <w:p w14:paraId="13B3F976" w14:textId="77777777" w:rsidR="00D26996" w:rsidRDefault="00D26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52154817" w:rsidR="00DD3D9E" w:rsidRDefault="00DD3D9E">
    <w:pPr>
      <w:pStyle w:val="Intestazione"/>
      <w:tabs>
        <w:tab w:val="clear" w:pos="7200"/>
        <w:tab w:val="right" w:pos="7088"/>
      </w:tabs>
    </w:pPr>
    <w:r>
      <w:rPr>
        <w:rStyle w:val="Numeropagina"/>
      </w:rPr>
      <w:tab/>
    </w:r>
    <w:r>
      <w:rPr>
        <w:rStyle w:val="Numeropagina"/>
        <w:i/>
      </w:rPr>
      <w:tab/>
    </w:r>
    <w:r w:rsidR="00B53721">
      <w:rPr>
        <w:i/>
      </w:rPr>
      <w:t>C</w:t>
    </w:r>
    <w:r w:rsidR="002C3318">
      <w:rPr>
        <w:i/>
      </w:rPr>
      <w:t>.H.</w:t>
    </w:r>
    <w:r w:rsidR="00B53721">
      <w:rPr>
        <w:i/>
      </w:rPr>
      <w:t xml:space="preserve"> </w:t>
    </w:r>
    <w:r w:rsidR="002C3318">
      <w:rPr>
        <w:i/>
      </w:rPr>
      <w:t>Y</w:t>
    </w:r>
    <w:r w:rsidR="00B53721">
      <w:rPr>
        <w:i/>
      </w:rPr>
      <w:t>ou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48CED34D" w:rsidR="00DD3D9E" w:rsidRDefault="002C3318" w:rsidP="0088141F">
    <w:pPr>
      <w:pStyle w:val="Intestazione"/>
      <w:tabs>
        <w:tab w:val="clear" w:pos="7200"/>
        <w:tab w:val="right" w:pos="7088"/>
      </w:tabs>
      <w:rPr>
        <w:sz w:val="24"/>
      </w:rPr>
    </w:pPr>
    <w:r w:rsidRPr="002C3318">
      <w:rPr>
        <w:i/>
      </w:rPr>
      <w:t>Optimization-based framework for techno-economic and environmental assessment of CO</w:t>
    </w:r>
    <w:r w:rsidRPr="0088141F">
      <w:rPr>
        <w:i/>
        <w:vertAlign w:val="subscript"/>
      </w:rPr>
      <w:t>2</w:t>
    </w:r>
    <w:r w:rsidRPr="002C3318">
      <w:rPr>
        <w:i/>
      </w:rPr>
      <w:t xml:space="preserve"> capture, utilization, and storage strategies</w:t>
    </w:r>
    <w:r w:rsidR="00DD3D9E">
      <w:rPr>
        <w:rStyle w:val="Numeropagina"/>
        <w:i/>
        <w:sz w:val="24"/>
      </w:rPr>
      <w:tab/>
    </w:r>
    <w:r w:rsidR="00DD3D9E">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68AFD" w14:textId="77777777" w:rsidR="008E20F8" w:rsidRPr="003B50B5" w:rsidRDefault="008E20F8" w:rsidP="008E20F8">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15EED112" w:rsidR="00DD3D9E" w:rsidRDefault="008E20F8" w:rsidP="008E20F8">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2"/>
  </w:num>
  <w:num w:numId="8">
    <w:abstractNumId w:val="1"/>
  </w:num>
  <w:num w:numId="9">
    <w:abstractNumId w:val="10"/>
  </w:num>
  <w:num w:numId="10">
    <w:abstractNumId w:val="14"/>
  </w:num>
  <w:num w:numId="11">
    <w:abstractNumId w:val="13"/>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5261D"/>
    <w:rsid w:val="000935EA"/>
    <w:rsid w:val="000B2891"/>
    <w:rsid w:val="000D08FE"/>
    <w:rsid w:val="000D3D9B"/>
    <w:rsid w:val="000D6BDD"/>
    <w:rsid w:val="001247D8"/>
    <w:rsid w:val="001379AF"/>
    <w:rsid w:val="0016032F"/>
    <w:rsid w:val="00163BD0"/>
    <w:rsid w:val="00182D24"/>
    <w:rsid w:val="00183C8D"/>
    <w:rsid w:val="001867AF"/>
    <w:rsid w:val="001879F6"/>
    <w:rsid w:val="001C0148"/>
    <w:rsid w:val="001C757E"/>
    <w:rsid w:val="001D2763"/>
    <w:rsid w:val="001D65DA"/>
    <w:rsid w:val="0020390F"/>
    <w:rsid w:val="0022465B"/>
    <w:rsid w:val="00264926"/>
    <w:rsid w:val="002808CA"/>
    <w:rsid w:val="002C3318"/>
    <w:rsid w:val="002D38D8"/>
    <w:rsid w:val="00305829"/>
    <w:rsid w:val="00316DE6"/>
    <w:rsid w:val="00377720"/>
    <w:rsid w:val="003927E9"/>
    <w:rsid w:val="00394BB3"/>
    <w:rsid w:val="003A2322"/>
    <w:rsid w:val="003A6FC2"/>
    <w:rsid w:val="003D1582"/>
    <w:rsid w:val="003D7E4C"/>
    <w:rsid w:val="003E390C"/>
    <w:rsid w:val="003E41C2"/>
    <w:rsid w:val="003E537E"/>
    <w:rsid w:val="004809DE"/>
    <w:rsid w:val="00494992"/>
    <w:rsid w:val="004966A9"/>
    <w:rsid w:val="0049772C"/>
    <w:rsid w:val="00501EA1"/>
    <w:rsid w:val="005159AF"/>
    <w:rsid w:val="00517FAF"/>
    <w:rsid w:val="00552EEB"/>
    <w:rsid w:val="00597EFB"/>
    <w:rsid w:val="005A2F75"/>
    <w:rsid w:val="005B6C9D"/>
    <w:rsid w:val="005E0419"/>
    <w:rsid w:val="006071EC"/>
    <w:rsid w:val="006A479C"/>
    <w:rsid w:val="006A69BF"/>
    <w:rsid w:val="006D5FD5"/>
    <w:rsid w:val="006D6605"/>
    <w:rsid w:val="006E06DC"/>
    <w:rsid w:val="00702EA5"/>
    <w:rsid w:val="00704275"/>
    <w:rsid w:val="00704C99"/>
    <w:rsid w:val="00711DF4"/>
    <w:rsid w:val="00747A89"/>
    <w:rsid w:val="00756EA7"/>
    <w:rsid w:val="0075706A"/>
    <w:rsid w:val="00760534"/>
    <w:rsid w:val="00774C20"/>
    <w:rsid w:val="00780861"/>
    <w:rsid w:val="007C0776"/>
    <w:rsid w:val="007D548B"/>
    <w:rsid w:val="007D70A1"/>
    <w:rsid w:val="007F2680"/>
    <w:rsid w:val="008012B4"/>
    <w:rsid w:val="0081054E"/>
    <w:rsid w:val="008132E8"/>
    <w:rsid w:val="00823407"/>
    <w:rsid w:val="00842DA2"/>
    <w:rsid w:val="0086652E"/>
    <w:rsid w:val="00871604"/>
    <w:rsid w:val="0088141F"/>
    <w:rsid w:val="008A6A09"/>
    <w:rsid w:val="008B0184"/>
    <w:rsid w:val="008C5D02"/>
    <w:rsid w:val="008D2649"/>
    <w:rsid w:val="008E20F8"/>
    <w:rsid w:val="008E5FA3"/>
    <w:rsid w:val="00902F93"/>
    <w:rsid w:val="0090568D"/>
    <w:rsid w:val="009125C9"/>
    <w:rsid w:val="00913879"/>
    <w:rsid w:val="00917661"/>
    <w:rsid w:val="009432B8"/>
    <w:rsid w:val="00970E5D"/>
    <w:rsid w:val="0097701C"/>
    <w:rsid w:val="00980A65"/>
    <w:rsid w:val="009910EF"/>
    <w:rsid w:val="009B36D5"/>
    <w:rsid w:val="00A062BB"/>
    <w:rsid w:val="00A108F1"/>
    <w:rsid w:val="00A1466E"/>
    <w:rsid w:val="00A25E70"/>
    <w:rsid w:val="00A33765"/>
    <w:rsid w:val="00A41568"/>
    <w:rsid w:val="00A63269"/>
    <w:rsid w:val="00A64D17"/>
    <w:rsid w:val="00A92377"/>
    <w:rsid w:val="00AB29ED"/>
    <w:rsid w:val="00AB5FD0"/>
    <w:rsid w:val="00AE4BD8"/>
    <w:rsid w:val="00B23646"/>
    <w:rsid w:val="00B4388F"/>
    <w:rsid w:val="00B53721"/>
    <w:rsid w:val="00B63237"/>
    <w:rsid w:val="00BF47EF"/>
    <w:rsid w:val="00C1087D"/>
    <w:rsid w:val="00C357F4"/>
    <w:rsid w:val="00C960DC"/>
    <w:rsid w:val="00CA10C7"/>
    <w:rsid w:val="00D02C75"/>
    <w:rsid w:val="00D10E22"/>
    <w:rsid w:val="00D13D2C"/>
    <w:rsid w:val="00D218FA"/>
    <w:rsid w:val="00D25729"/>
    <w:rsid w:val="00D26996"/>
    <w:rsid w:val="00D30FF4"/>
    <w:rsid w:val="00DC0464"/>
    <w:rsid w:val="00DC2F94"/>
    <w:rsid w:val="00DD3D9E"/>
    <w:rsid w:val="00DD7908"/>
    <w:rsid w:val="00E3152B"/>
    <w:rsid w:val="00E337A5"/>
    <w:rsid w:val="00E47CC2"/>
    <w:rsid w:val="00E67A67"/>
    <w:rsid w:val="00E77097"/>
    <w:rsid w:val="00E82297"/>
    <w:rsid w:val="00EB1C89"/>
    <w:rsid w:val="00EB2898"/>
    <w:rsid w:val="00EB67AC"/>
    <w:rsid w:val="00ED2560"/>
    <w:rsid w:val="00EF39FD"/>
    <w:rsid w:val="00EF61F0"/>
    <w:rsid w:val="00EF7377"/>
    <w:rsid w:val="00F06842"/>
    <w:rsid w:val="00F107FD"/>
    <w:rsid w:val="00F97CCD"/>
    <w:rsid w:val="00FA1DA2"/>
    <w:rsid w:val="00FA569C"/>
    <w:rsid w:val="00FB64A8"/>
    <w:rsid w:val="00FC4685"/>
    <w:rsid w:val="00FD321F"/>
    <w:rsid w:val="00FF778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uiPriority w:val="99"/>
    <w:semiHidden/>
    <w:rsid w:val="008B0184"/>
    <w:rPr>
      <w:sz w:val="16"/>
      <w:szCs w:val="16"/>
    </w:rPr>
  </w:style>
  <w:style w:type="paragraph" w:styleId="Testocommento">
    <w:name w:val="annotation text"/>
    <w:basedOn w:val="Normale"/>
    <w:link w:val="TestocommentoCarattere"/>
    <w:uiPriority w:val="99"/>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character" w:customStyle="1" w:styleId="TestocommentoCarattere">
    <w:name w:val="Testo commento Carattere"/>
    <w:basedOn w:val="Carpredefinitoparagrafo"/>
    <w:link w:val="Testocommento"/>
    <w:uiPriority w:val="99"/>
    <w:rsid w:val="001379AF"/>
    <w:rPr>
      <w:lang w:eastAsia="en-US"/>
    </w:rPr>
  </w:style>
  <w:style w:type="table" w:styleId="Grigliatabella">
    <w:name w:val="Table Grid"/>
    <w:basedOn w:val="Tabellanormale"/>
    <w:uiPriority w:val="39"/>
    <w:rsid w:val="00316DE6"/>
    <w:pPr>
      <w:jc w:val="both"/>
    </w:pPr>
    <w:rPr>
      <w:rFonts w:asciiTheme="minorHAnsi" w:hAnsiTheme="minorHAnsi" w:cstheme="minorBidi"/>
      <w:kern w:val="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7C077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398065">
      <w:bodyDiv w:val="1"/>
      <w:marLeft w:val="0"/>
      <w:marRight w:val="0"/>
      <w:marTop w:val="0"/>
      <w:marBottom w:val="0"/>
      <w:divBdr>
        <w:top w:val="none" w:sz="0" w:space="0" w:color="auto"/>
        <w:left w:val="none" w:sz="0" w:space="0" w:color="auto"/>
        <w:bottom w:val="none" w:sz="0" w:space="0" w:color="auto"/>
        <w:right w:val="none" w:sz="0" w:space="0" w:color="auto"/>
      </w:divBdr>
      <w:divsChild>
        <w:div w:id="1586649176">
          <w:marLeft w:val="480"/>
          <w:marRight w:val="0"/>
          <w:marTop w:val="0"/>
          <w:marBottom w:val="0"/>
          <w:divBdr>
            <w:top w:val="none" w:sz="0" w:space="0" w:color="auto"/>
            <w:left w:val="none" w:sz="0" w:space="0" w:color="auto"/>
            <w:bottom w:val="none" w:sz="0" w:space="0" w:color="auto"/>
            <w:right w:val="none" w:sz="0" w:space="0" w:color="auto"/>
          </w:divBdr>
        </w:div>
        <w:div w:id="1167525718">
          <w:marLeft w:val="480"/>
          <w:marRight w:val="0"/>
          <w:marTop w:val="0"/>
          <w:marBottom w:val="0"/>
          <w:divBdr>
            <w:top w:val="none" w:sz="0" w:space="0" w:color="auto"/>
            <w:left w:val="none" w:sz="0" w:space="0" w:color="auto"/>
            <w:bottom w:val="none" w:sz="0" w:space="0" w:color="auto"/>
            <w:right w:val="none" w:sz="0" w:space="0" w:color="auto"/>
          </w:divBdr>
        </w:div>
        <w:div w:id="13774200">
          <w:marLeft w:val="480"/>
          <w:marRight w:val="0"/>
          <w:marTop w:val="0"/>
          <w:marBottom w:val="0"/>
          <w:divBdr>
            <w:top w:val="none" w:sz="0" w:space="0" w:color="auto"/>
            <w:left w:val="none" w:sz="0" w:space="0" w:color="auto"/>
            <w:bottom w:val="none" w:sz="0" w:space="0" w:color="auto"/>
            <w:right w:val="none" w:sz="0" w:space="0" w:color="auto"/>
          </w:divBdr>
        </w:div>
        <w:div w:id="1468357045">
          <w:marLeft w:val="480"/>
          <w:marRight w:val="0"/>
          <w:marTop w:val="0"/>
          <w:marBottom w:val="0"/>
          <w:divBdr>
            <w:top w:val="none" w:sz="0" w:space="0" w:color="auto"/>
            <w:left w:val="none" w:sz="0" w:space="0" w:color="auto"/>
            <w:bottom w:val="none" w:sz="0" w:space="0" w:color="auto"/>
            <w:right w:val="none" w:sz="0" w:space="0" w:color="auto"/>
          </w:divBdr>
        </w:div>
      </w:divsChild>
    </w:div>
    <w:div w:id="287006117">
      <w:bodyDiv w:val="1"/>
      <w:marLeft w:val="0"/>
      <w:marRight w:val="0"/>
      <w:marTop w:val="0"/>
      <w:marBottom w:val="0"/>
      <w:divBdr>
        <w:top w:val="none" w:sz="0" w:space="0" w:color="auto"/>
        <w:left w:val="none" w:sz="0" w:space="0" w:color="auto"/>
        <w:bottom w:val="none" w:sz="0" w:space="0" w:color="auto"/>
        <w:right w:val="none" w:sz="0" w:space="0" w:color="auto"/>
      </w:divBdr>
      <w:divsChild>
        <w:div w:id="1906792932">
          <w:marLeft w:val="480"/>
          <w:marRight w:val="0"/>
          <w:marTop w:val="0"/>
          <w:marBottom w:val="0"/>
          <w:divBdr>
            <w:top w:val="none" w:sz="0" w:space="0" w:color="auto"/>
            <w:left w:val="none" w:sz="0" w:space="0" w:color="auto"/>
            <w:bottom w:val="none" w:sz="0" w:space="0" w:color="auto"/>
            <w:right w:val="none" w:sz="0" w:space="0" w:color="auto"/>
          </w:divBdr>
        </w:div>
        <w:div w:id="459149107">
          <w:marLeft w:val="480"/>
          <w:marRight w:val="0"/>
          <w:marTop w:val="0"/>
          <w:marBottom w:val="0"/>
          <w:divBdr>
            <w:top w:val="none" w:sz="0" w:space="0" w:color="auto"/>
            <w:left w:val="none" w:sz="0" w:space="0" w:color="auto"/>
            <w:bottom w:val="none" w:sz="0" w:space="0" w:color="auto"/>
            <w:right w:val="none" w:sz="0" w:space="0" w:color="auto"/>
          </w:divBdr>
        </w:div>
        <w:div w:id="326370176">
          <w:marLeft w:val="480"/>
          <w:marRight w:val="0"/>
          <w:marTop w:val="0"/>
          <w:marBottom w:val="0"/>
          <w:divBdr>
            <w:top w:val="none" w:sz="0" w:space="0" w:color="auto"/>
            <w:left w:val="none" w:sz="0" w:space="0" w:color="auto"/>
            <w:bottom w:val="none" w:sz="0" w:space="0" w:color="auto"/>
            <w:right w:val="none" w:sz="0" w:space="0" w:color="auto"/>
          </w:divBdr>
        </w:div>
        <w:div w:id="1417088598">
          <w:marLeft w:val="480"/>
          <w:marRight w:val="0"/>
          <w:marTop w:val="0"/>
          <w:marBottom w:val="0"/>
          <w:divBdr>
            <w:top w:val="none" w:sz="0" w:space="0" w:color="auto"/>
            <w:left w:val="none" w:sz="0" w:space="0" w:color="auto"/>
            <w:bottom w:val="none" w:sz="0" w:space="0" w:color="auto"/>
            <w:right w:val="none" w:sz="0" w:space="0" w:color="auto"/>
          </w:divBdr>
        </w:div>
        <w:div w:id="1953827811">
          <w:marLeft w:val="480"/>
          <w:marRight w:val="0"/>
          <w:marTop w:val="0"/>
          <w:marBottom w:val="0"/>
          <w:divBdr>
            <w:top w:val="none" w:sz="0" w:space="0" w:color="auto"/>
            <w:left w:val="none" w:sz="0" w:space="0" w:color="auto"/>
            <w:bottom w:val="none" w:sz="0" w:space="0" w:color="auto"/>
            <w:right w:val="none" w:sz="0" w:space="0" w:color="auto"/>
          </w:divBdr>
        </w:div>
      </w:divsChild>
    </w:div>
    <w:div w:id="709452694">
      <w:bodyDiv w:val="1"/>
      <w:marLeft w:val="0"/>
      <w:marRight w:val="0"/>
      <w:marTop w:val="0"/>
      <w:marBottom w:val="0"/>
      <w:divBdr>
        <w:top w:val="none" w:sz="0" w:space="0" w:color="auto"/>
        <w:left w:val="none" w:sz="0" w:space="0" w:color="auto"/>
        <w:bottom w:val="none" w:sz="0" w:space="0" w:color="auto"/>
        <w:right w:val="none" w:sz="0" w:space="0" w:color="auto"/>
      </w:divBdr>
      <w:divsChild>
        <w:div w:id="986938996">
          <w:marLeft w:val="480"/>
          <w:marRight w:val="0"/>
          <w:marTop w:val="0"/>
          <w:marBottom w:val="0"/>
          <w:divBdr>
            <w:top w:val="none" w:sz="0" w:space="0" w:color="auto"/>
            <w:left w:val="none" w:sz="0" w:space="0" w:color="auto"/>
            <w:bottom w:val="none" w:sz="0" w:space="0" w:color="auto"/>
            <w:right w:val="none" w:sz="0" w:space="0" w:color="auto"/>
          </w:divBdr>
        </w:div>
        <w:div w:id="1292054279">
          <w:marLeft w:val="480"/>
          <w:marRight w:val="0"/>
          <w:marTop w:val="0"/>
          <w:marBottom w:val="0"/>
          <w:divBdr>
            <w:top w:val="none" w:sz="0" w:space="0" w:color="auto"/>
            <w:left w:val="none" w:sz="0" w:space="0" w:color="auto"/>
            <w:bottom w:val="none" w:sz="0" w:space="0" w:color="auto"/>
            <w:right w:val="none" w:sz="0" w:space="0" w:color="auto"/>
          </w:divBdr>
        </w:div>
        <w:div w:id="1170683594">
          <w:marLeft w:val="480"/>
          <w:marRight w:val="0"/>
          <w:marTop w:val="0"/>
          <w:marBottom w:val="0"/>
          <w:divBdr>
            <w:top w:val="none" w:sz="0" w:space="0" w:color="auto"/>
            <w:left w:val="none" w:sz="0" w:space="0" w:color="auto"/>
            <w:bottom w:val="none" w:sz="0" w:space="0" w:color="auto"/>
            <w:right w:val="none" w:sz="0" w:space="0" w:color="auto"/>
          </w:divBdr>
        </w:div>
        <w:div w:id="1911193053">
          <w:marLeft w:val="480"/>
          <w:marRight w:val="0"/>
          <w:marTop w:val="0"/>
          <w:marBottom w:val="0"/>
          <w:divBdr>
            <w:top w:val="none" w:sz="0" w:space="0" w:color="auto"/>
            <w:left w:val="none" w:sz="0" w:space="0" w:color="auto"/>
            <w:bottom w:val="none" w:sz="0" w:space="0" w:color="auto"/>
            <w:right w:val="none" w:sz="0" w:space="0" w:color="auto"/>
          </w:divBdr>
        </w:div>
      </w:divsChild>
    </w:div>
    <w:div w:id="781068841">
      <w:bodyDiv w:val="1"/>
      <w:marLeft w:val="0"/>
      <w:marRight w:val="0"/>
      <w:marTop w:val="0"/>
      <w:marBottom w:val="0"/>
      <w:divBdr>
        <w:top w:val="none" w:sz="0" w:space="0" w:color="auto"/>
        <w:left w:val="none" w:sz="0" w:space="0" w:color="auto"/>
        <w:bottom w:val="none" w:sz="0" w:space="0" w:color="auto"/>
        <w:right w:val="none" w:sz="0" w:space="0" w:color="auto"/>
      </w:divBdr>
    </w:div>
    <w:div w:id="884681504">
      <w:bodyDiv w:val="1"/>
      <w:marLeft w:val="0"/>
      <w:marRight w:val="0"/>
      <w:marTop w:val="0"/>
      <w:marBottom w:val="0"/>
      <w:divBdr>
        <w:top w:val="none" w:sz="0" w:space="0" w:color="auto"/>
        <w:left w:val="none" w:sz="0" w:space="0" w:color="auto"/>
        <w:bottom w:val="none" w:sz="0" w:space="0" w:color="auto"/>
        <w:right w:val="none" w:sz="0" w:space="0" w:color="auto"/>
      </w:divBdr>
    </w:div>
    <w:div w:id="1236669616">
      <w:bodyDiv w:val="1"/>
      <w:marLeft w:val="0"/>
      <w:marRight w:val="0"/>
      <w:marTop w:val="0"/>
      <w:marBottom w:val="0"/>
      <w:divBdr>
        <w:top w:val="none" w:sz="0" w:space="0" w:color="auto"/>
        <w:left w:val="none" w:sz="0" w:space="0" w:color="auto"/>
        <w:bottom w:val="none" w:sz="0" w:space="0" w:color="auto"/>
        <w:right w:val="none" w:sz="0" w:space="0" w:color="auto"/>
      </w:divBdr>
      <w:divsChild>
        <w:div w:id="132724592">
          <w:marLeft w:val="480"/>
          <w:marRight w:val="0"/>
          <w:marTop w:val="0"/>
          <w:marBottom w:val="0"/>
          <w:divBdr>
            <w:top w:val="none" w:sz="0" w:space="0" w:color="auto"/>
            <w:left w:val="none" w:sz="0" w:space="0" w:color="auto"/>
            <w:bottom w:val="none" w:sz="0" w:space="0" w:color="auto"/>
            <w:right w:val="none" w:sz="0" w:space="0" w:color="auto"/>
          </w:divBdr>
        </w:div>
        <w:div w:id="1568342682">
          <w:marLeft w:val="480"/>
          <w:marRight w:val="0"/>
          <w:marTop w:val="0"/>
          <w:marBottom w:val="0"/>
          <w:divBdr>
            <w:top w:val="none" w:sz="0" w:space="0" w:color="auto"/>
            <w:left w:val="none" w:sz="0" w:space="0" w:color="auto"/>
            <w:bottom w:val="none" w:sz="0" w:space="0" w:color="auto"/>
            <w:right w:val="none" w:sz="0" w:space="0" w:color="auto"/>
          </w:divBdr>
        </w:div>
        <w:div w:id="1668051426">
          <w:marLeft w:val="480"/>
          <w:marRight w:val="0"/>
          <w:marTop w:val="0"/>
          <w:marBottom w:val="0"/>
          <w:divBdr>
            <w:top w:val="none" w:sz="0" w:space="0" w:color="auto"/>
            <w:left w:val="none" w:sz="0" w:space="0" w:color="auto"/>
            <w:bottom w:val="none" w:sz="0" w:space="0" w:color="auto"/>
            <w:right w:val="none" w:sz="0" w:space="0" w:color="auto"/>
          </w:divBdr>
        </w:div>
        <w:div w:id="615911627">
          <w:marLeft w:val="480"/>
          <w:marRight w:val="0"/>
          <w:marTop w:val="0"/>
          <w:marBottom w:val="0"/>
          <w:divBdr>
            <w:top w:val="none" w:sz="0" w:space="0" w:color="auto"/>
            <w:left w:val="none" w:sz="0" w:space="0" w:color="auto"/>
            <w:bottom w:val="none" w:sz="0" w:space="0" w:color="auto"/>
            <w:right w:val="none" w:sz="0" w:space="0" w:color="auto"/>
          </w:divBdr>
        </w:div>
      </w:divsChild>
    </w:div>
    <w:div w:id="1247109412">
      <w:bodyDiv w:val="1"/>
      <w:marLeft w:val="0"/>
      <w:marRight w:val="0"/>
      <w:marTop w:val="0"/>
      <w:marBottom w:val="0"/>
      <w:divBdr>
        <w:top w:val="none" w:sz="0" w:space="0" w:color="auto"/>
        <w:left w:val="none" w:sz="0" w:space="0" w:color="auto"/>
        <w:bottom w:val="none" w:sz="0" w:space="0" w:color="auto"/>
        <w:right w:val="none" w:sz="0" w:space="0" w:color="auto"/>
      </w:divBdr>
      <w:divsChild>
        <w:div w:id="1856922722">
          <w:marLeft w:val="480"/>
          <w:marRight w:val="0"/>
          <w:marTop w:val="0"/>
          <w:marBottom w:val="0"/>
          <w:divBdr>
            <w:top w:val="none" w:sz="0" w:space="0" w:color="auto"/>
            <w:left w:val="none" w:sz="0" w:space="0" w:color="auto"/>
            <w:bottom w:val="none" w:sz="0" w:space="0" w:color="auto"/>
            <w:right w:val="none" w:sz="0" w:space="0" w:color="auto"/>
          </w:divBdr>
        </w:div>
        <w:div w:id="437020445">
          <w:marLeft w:val="480"/>
          <w:marRight w:val="0"/>
          <w:marTop w:val="0"/>
          <w:marBottom w:val="0"/>
          <w:divBdr>
            <w:top w:val="none" w:sz="0" w:space="0" w:color="auto"/>
            <w:left w:val="none" w:sz="0" w:space="0" w:color="auto"/>
            <w:bottom w:val="none" w:sz="0" w:space="0" w:color="auto"/>
            <w:right w:val="none" w:sz="0" w:space="0" w:color="auto"/>
          </w:divBdr>
        </w:div>
        <w:div w:id="1712223824">
          <w:marLeft w:val="480"/>
          <w:marRight w:val="0"/>
          <w:marTop w:val="0"/>
          <w:marBottom w:val="0"/>
          <w:divBdr>
            <w:top w:val="none" w:sz="0" w:space="0" w:color="auto"/>
            <w:left w:val="none" w:sz="0" w:space="0" w:color="auto"/>
            <w:bottom w:val="none" w:sz="0" w:space="0" w:color="auto"/>
            <w:right w:val="none" w:sz="0" w:space="0" w:color="auto"/>
          </w:divBdr>
        </w:div>
        <w:div w:id="2086031568">
          <w:marLeft w:val="480"/>
          <w:marRight w:val="0"/>
          <w:marTop w:val="0"/>
          <w:marBottom w:val="0"/>
          <w:divBdr>
            <w:top w:val="none" w:sz="0" w:space="0" w:color="auto"/>
            <w:left w:val="none" w:sz="0" w:space="0" w:color="auto"/>
            <w:bottom w:val="none" w:sz="0" w:space="0" w:color="auto"/>
            <w:right w:val="none" w:sz="0" w:space="0" w:color="auto"/>
          </w:divBdr>
        </w:div>
      </w:divsChild>
    </w:div>
    <w:div w:id="213602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PowerPoint_Presentation2.pptx"/><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PowerPoint_Presentation1.pptx"/><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PowerPoint_Presentation.pptx"/><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일반"/>
          <w:gallery w:val="placeholder"/>
        </w:category>
        <w:types>
          <w:type w:val="bbPlcHdr"/>
        </w:types>
        <w:behaviors>
          <w:behavior w:val="content"/>
        </w:behaviors>
        <w:guid w:val="{7BFC4C2A-7EBC-4379-A98A-642F0610CCDC}"/>
      </w:docPartPr>
      <w:docPartBody>
        <w:p w:rsidR="008A6828" w:rsidRDefault="008A6828">
          <w:r w:rsidRPr="006414B7">
            <w:rPr>
              <w:rStyle w:val="Testosegnaposto"/>
              <w:rFonts w:hint="eastAsia"/>
            </w:rPr>
            <w:t>텍스트를</w:t>
          </w:r>
          <w:r w:rsidRPr="006414B7">
            <w:rPr>
              <w:rStyle w:val="Testosegnaposto"/>
              <w:rFonts w:hint="eastAsia"/>
            </w:rPr>
            <w:t xml:space="preserve"> </w:t>
          </w:r>
          <w:r w:rsidRPr="006414B7">
            <w:rPr>
              <w:rStyle w:val="Testosegnaposto"/>
              <w:rFonts w:hint="eastAsia"/>
            </w:rPr>
            <w:t>입력하려면</w:t>
          </w:r>
          <w:r w:rsidRPr="006414B7">
            <w:rPr>
              <w:rStyle w:val="Testosegnaposto"/>
              <w:rFonts w:hint="eastAsia"/>
            </w:rPr>
            <w:t xml:space="preserve"> </w:t>
          </w:r>
          <w:r w:rsidRPr="006414B7">
            <w:rPr>
              <w:rStyle w:val="Testosegnaposto"/>
              <w:rFonts w:hint="eastAsia"/>
            </w:rPr>
            <w:t>여기를</w:t>
          </w:r>
          <w:r w:rsidRPr="006414B7">
            <w:rPr>
              <w:rStyle w:val="Testosegnaposto"/>
              <w:rFonts w:hint="eastAsia"/>
            </w:rPr>
            <w:t xml:space="preserve"> </w:t>
          </w:r>
          <w:r w:rsidRPr="006414B7">
            <w:rPr>
              <w:rStyle w:val="Testosegnaposto"/>
              <w:rFonts w:hint="eastAsia"/>
            </w:rPr>
            <w:t>클릭하거나</w:t>
          </w:r>
          <w:r w:rsidRPr="006414B7">
            <w:rPr>
              <w:rStyle w:val="Testosegnaposto"/>
              <w:rFonts w:hint="eastAsia"/>
            </w:rPr>
            <w:t xml:space="preserve"> </w:t>
          </w:r>
          <w:r w:rsidRPr="006414B7">
            <w:rPr>
              <w:rStyle w:val="Testosegnaposto"/>
              <w:rFonts w:hint="eastAsia"/>
            </w:rPr>
            <w:t>탭하세요</w:t>
          </w:r>
          <w:r w:rsidRPr="006414B7">
            <w:rPr>
              <w:rStyle w:val="Testosegnaposto"/>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YSinMyeongJo-Medium">
    <w:altName w:val="HY신명조"/>
    <w:charset w:val="81"/>
    <w:family w:val="roman"/>
    <w:pitch w:val="variable"/>
    <w:sig w:usb0="900002A7" w:usb1="29D77CF9"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800"/>
  <w:hyphenationZone w:val="283"/>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828"/>
    <w:rsid w:val="008A68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14:ligatures w14:val="standardContextual"/>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widowControl w:val="0"/>
      <w:wordWrap w:val="0"/>
      <w:autoSpaceDE w:val="0"/>
      <w:autoSpaceDN w:val="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8A6828"/>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5E31FE1-CD14-487D-A04B-DD33CC920886}">
  <we:reference id="wa104382081" version="1.55.1.0" store="ko-KR" storeType="OMEX"/>
  <we:alternateReferences>
    <we:reference id="wa104382081" version="1.55.1.0" store="" storeType="OMEX"/>
  </we:alternateReferences>
  <we:properties>
    <we:property name="MENDELEY_CITATIONS" value="[{&quot;citationID&quot;:&quot;MENDELEY_CITATION_e783d0ed-8563-42a6-9b50-41ace213b911&quot;,&quot;properties&quot;:{&quot;noteIndex&quot;:0},&quot;isEdited&quot;:false,&quot;manualOverride&quot;:{&quot;isManuallyOverridden&quot;:false,&quot;citeprocText&quot;:&quot;(Naims &amp;#38; Eppinger, 2022)&quot;,&quot;manualOverrideText&quot;:&quot;&quot;},&quot;citationTag&quot;:&quot;MENDELEY_CITATION_v3_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&quot;,&quot;citationItems&quot;:[{&quot;id&quot;:&quot;78997b58-f24b-3088-87fb-f31b0547dd43&quot;,&quot;itemData&quot;:{&quot;type&quot;:&quot;article-journal&quot;,&quot;id&quot;:&quot;78997b58-f24b-3088-87fb-f31b0547dd43&quot;,&quot;title&quot;:&quot;Transformation strategies connected to carbon capture and utilization: A cross-sectoral configurational study&quot;,&quot;author&quot;:[{&quot;family&quot;:&quot;Naims&quot;,&quot;given&quot;:&quot;Henriette&quot;,&quot;parse-names&quot;:false,&quot;dropping-particle&quot;:&quot;&quot;,&quot;non-dropping-particle&quot;:&quot;&quot;},{&quot;family&quot;:&quot;Eppinger&quot;,&quot;given&quot;:&quot;Elisabeth&quot;,&quot;parse-names&quot;:false,&quot;dropping-particle&quot;:&quot;&quot;,&quot;non-dropping-particle&quot;:&quot;&quot;}],&quot;container-title&quot;:&quot;Journal of Cleaner Production&quot;,&quot;container-title-short&quot;:&quot;J Clean Prod&quot;,&quot;accessed&quot;:{&quot;date-parts&quot;:[[2023,6,28]]},&quot;DOI&quot;:&quot;10.1016/J.JCLEPRO.2022.131391&quot;,&quot;ISSN&quot;:&quot;0959-6526&quot;,&quot;issued&quot;:{&quot;date-parts&quot;:[[2022,6,1]]},&quot;page&quot;:&quot;131391&quot;,&quot;abstract&quot;:&quot;Firms from various industries are investing in carbon capture and utilization (CCU) technologies as part of their circular economy efforts. Hence, managers and policy makers need to develop strategies to create value and “win” sustainability transformations. This study investigates how CCU innovations are connected to economic progress at the firm and industry levels. First, we characterize economic progress from sustainability innovations as a spectrum of combinations of transformation and growth targets, and derive a configurational perspective for such innovations. Consequently, through an empirical study based on 25 in-depth expert interviews with corporate innovation managers, triangulated via additional quantitative and qualitative data, we investigate the causal configurations of R&amp;D activities in CCU that are expected to lead to economic progress, using a fuzzy set qualitative comparative analysis. Our results show a hierarchy of transformation strategies based on investments and value creation which may support policy makers in deciding on appropriate support mechanisms. To enable the emergence of more profitable CCU solutions and facilitate their commercialization, regulators should adapt existing policies to accommodate CCU and consider developing an integrated policy framework. Moreover, managers across industry should develop adaptive strategies for achieving value creation and progress from CCU within changing environments.&quot;,&quot;publisher&quot;:&quot;Elsevier&quot;,&quot;volume&quot;:&quot;351&quot;},&quot;isTemporary&quot;:false}]},{&quot;citationID&quot;:&quot;MENDELEY_CITATION_3832e80d-286e-47e5-b67a-79cc004c7937&quot;,&quot;properties&quot;:{&quot;noteIndex&quot;:0},&quot;isEdited&quot;:false,&quot;manualOverride&quot;:{&quot;isManuallyOverridden&quot;:false,&quot;citeprocText&quot;:&quot;(Abanades et al., 2017)&quot;,&quot;manualOverrideText&quot;:&quot;&quot;},&quot;citationTag&quot;:&quot;MENDELEY_CITATION_v3_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&quot;,&quot;citationItems&quot;:[{&quot;id&quot;:&quot;78679a5f-1e90-3af7-9f57-23916647c784&quot;,&quot;itemData&quot;:{&quot;type&quot;:&quot;article-journal&quot;,&quot;id&quot;:&quot;78679a5f-1e90-3af7-9f57-23916647c784&quot;,&quot;title&quot;:&quot;On the climate change mitigation potential of CO 2 conversion to fuels&quot;,&quot;author&quot;:[{&quot;family&quot;:&quot;Abanades&quot;,&quot;given&quot;:&quot;J Carlos&quot;,&quot;parse-names&quot;:false,&quot;dropping-particle&quot;:&quot;&quot;,&quot;non-dropping-particle&quot;:&quot;&quot;},{&quot;family&quot;:&quot;Rubin&quot;,&quot;given&quot;:&quot;Edward S&quot;,&quot;parse-names&quot;:false,&quot;dropping-particle&quot;:&quot;&quot;,&quot;non-dropping-particle&quot;:&quot;&quot;},{&quot;family&quot;:&quot;Mazzotti&quot;,&quot;given&quot;:&quot;Marco&quot;,&quot;parse-names&quot;:false,&quot;dropping-particle&quot;:&quot;&quot;,&quot;non-dropping-particle&quot;:&quot;&quot;},{&quot;family&quot;:&quot;Herzog&quot;,&quot;given&quot;:&quot;Howard J&quot;,&quot;parse-names&quot;:false,&quot;dropping-particle&quot;:&quot;&quot;,&quot;non-dropping-particle&quot;:&quot;&quot;}],&quot;container-title&quot;:&quot;Energy Environ. Sci&quot;,&quot;accessed&quot;:{&quot;date-parts&quot;:[[2023,6,28]]},&quot;DOI&quot;:&quot;10.1039/c7ee02819a&quot;,&quot;issued&quot;:{&quot;date-parts&quot;:[[2017]]},&quot;page&quot;:&quot;2491&quot;,&quot;abstract&quot;:&quot;CO 2 capture and conversion to fuels using renewable energy is being promoted as a climate change mitigation measure that reduces fossil fuel use by effectively recycling carbon. We examine this claim, first for a typical CO 2 capture and utilization (CCU) system producing methanol (MeOH), and then for a generalized system producing fuels from fossil carbon. The MeOH analysis shows CCU to be an inferior mitigation option compared to a system with CCS producing the same fuel without CO 2 utilization. CCU also is far more costly. The generalized analysis further reveals that the mitigation potential of CCU for fuels production is limited to 50% of the original emissions of the reference system without CCU. We further highlight that the main challenge to CCU cost reduction is not the CO 2-to-fuel conversion step but the production of required carbon-free electricity at very low cost. Broader context Carbon dioxide (CO 2) capture and storage (CCS) is a major climate change mitigation option applicable to large point sources of CO 2 such as power plants and industrial processes. Most research to date has focused on storing captured CO 2 in deep geological formations. However the concept of CO 2 capture and utilization (CCU) is gaining attention as a potential means of using the CO 2 to economically produce desired products while avoiding the extraction of additional fossil carbon resources. In this paper, we analyze the manufacture of transportation fuels from CO 2 , a major proposed CCU pathway. To avoid increasing CO 2 emissions from process energy requirements, CCU systems require large quantities of zero-carbon electricity with high availability and low cost-systems not generally available today. Even if such electricity were available, the maximum mitigation potential of any CCU system is shown to be only 50% compared to an equivalent system with geological storage of CO 2. A preliminary economic analysis further shows mitigation costs for CCU to be much higher than CCS-based systems delivering the same fuel product. So while large-scale CO 2 utilization sounds attractive, our analysis shows that this concept has severe limitations as a mitigation measure or cost-effective strategy for reducing CO 2 emissions.&quot;,&quot;volume&quot;:&quot;10&quot;,&quot;container-title-short&quot;:&quot;&quot;},&quot;isTemporary&quot;:false}]},{&quot;citationID&quot;:&quot;MENDELEY_CITATION_b0ca903c-4e13-43a1-bbb4-76d84ab9522a&quot;,&quot;properties&quot;:{&quot;noteIndex&quot;:0},&quot;isEdited&quot;:false,&quot;manualOverride&quot;:{&quot;isManuallyOverridden&quot;:false,&quot;citeprocText&quot;:&quot;(Mac Dowell et al., 2017)&quot;,&quot;manualOverrideText&quot;:&quot;&quot;},&quot;citationTag&quot;:&quot;MENDELEY_CITATION_v3_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&quot;,&quot;citationItems&quot;:[{&quot;id&quot;:&quot;d15ad9f2-ab93-33a4-ac0c-18acb2ce97f5&quot;,&quot;itemData&quot;:{&quot;type&quot;:&quot;article-journal&quot;,&quot;id&quot;:&quot;d15ad9f2-ab93-33a4-ac0c-18acb2ce97f5&quot;,&quot;title&quot;:&quot;The role of CO2 capture and utilization in mitigating climate change&quot;,&quot;author&quot;:[{&quot;family&quot;:&quot;Dowell&quot;,&quot;given&quot;:&quot;Niall&quot;,&quot;parse-names&quot;:false,&quot;dropping-particle&quot;:&quot;&quot;,&quot;non-dropping-particle&quot;:&quot;Mac&quot;},{&quot;family&quot;:&quot;Fennell&quot;,&quot;given&quot;:&quot;Paul S.&quot;,&quot;parse-names&quot;:false,&quot;dropping-particle&quot;:&quot;&quot;,&quot;non-dropping-particle&quot;:&quot;&quot;},{&quot;family&quot;:&quot;Shah&quot;,&quot;given&quot;:&quot;Nilay&quot;,&quot;parse-names&quot;:false,&quot;dropping-particle&quot;:&quot;&quot;,&quot;non-dropping-particle&quot;:&quot;&quot;},{&quot;family&quot;:&quot;Maitland&quot;,&quot;given&quot;:&quot;Geoffrey C.&quot;,&quot;parse-names&quot;:false,&quot;dropping-particle&quot;:&quot;&quot;,&quot;non-dropping-particle&quot;:&quot;&quot;}],&quot;container-title&quot;:&quot;Nature Climate Change 2017 7:4&quot;,&quot;accessed&quot;:{&quot;date-parts&quot;:[[2023,6,28]]},&quot;DOI&quot;:&quot;10.1038/nclimate3231&quot;,&quot;ISSN&quot;:&quot;1758-6798&quot;,&quot;URL&quot;:&quot;https://www.nature.com/articles/nclimate3231&quot;,&quot;issued&quot;:{&quot;date-parts&quot;:[[2017,4,5]]},&quot;page&quot;:&quot;243-249&quot;,&quot;abstract&quot;:&quot;This Perspective considers the potential mitigation contribution of carbon capture and utilization, such as chemical conversation or to enhance oil recovery. The authors find it will account for a small amount of the required total mitigation effort. To offset the cost associated with CO2 capture and storage (CCS), there is growing interest in finding commercially viable end-use opportunities for the captured CO2. In this Perspective, we discuss the potential contribution of carbon capture and utilization (CCU). Owing to the scale and rate of CO2 production compared to that of utilization allowing long-term sequestration, it is highly improbable the chemical conversion of CO2 will account for more than 1% of the mitigation challenge, and even a scaled-up enhanced oil recovery (EOR)-CCS industry will likely only account for 4–8%. Therefore, whilst CO2-EOR may be an important economic incentive for some early CCS projects, CCU may prove to be a costly distraction, financially and politically, from the real task of mitigation.&quot;,&quot;publisher&quot;:&quot;Nature Publishing Group&quot;,&quot;issue&quot;:&quot;4&quot;,&quot;volume&quot;:&quot;7&quot;,&quot;container-title-short&quot;:&quot;&quot;},&quot;isTemporary&quot;:false}]},{&quot;citationID&quot;:&quot;MENDELEY_CITATION_be1ab015-7196-44c3-9c0c-1294f35d1261&quot;,&quot;properties&quot;:{&quot;noteIndex&quot;:0},&quot;isEdited&quot;:false,&quot;manualOverride&quot;:{&quot;isManuallyOverridden&quot;:false,&quot;citeprocText&quot;:&quot;(Hepburn et al., 2019)&quot;,&quot;manualOverrideText&quot;:&quot;&quot;},&quot;citationTag&quot;:&quot;MENDELEY_CITATION_v3_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&quot;,&quot;citationItems&quot;:[{&quot;id&quot;:&quot;53e23981-ea3d-36c9-9ddd-718aa63c8f59&quot;,&quot;itemData&quot;:{&quot;type&quot;:&quot;article-journal&quot;,&quot;id&quot;:&quot;53e23981-ea3d-36c9-9ddd-718aa63c8f59&quot;,&quot;title&quot;:&quot;The technological and economic prospects for CO2 utilization and removal&quot;,&quot;author&quot;:[{&quot;family&quot;:&quot;Hepburn&quot;,&quot;given&quot;:&quot;Cameron&quot;,&quot;parse-names&quot;:false,&quot;dropping-particle&quot;:&quot;&quot;,&quot;non-dropping-particle&quot;:&quot;&quot;},{&quot;family&quot;:&quot;Adlen&quot;,&quot;given&quot;:&quot;Ella&quot;,&quot;parse-names&quot;:false,&quot;dropping-particle&quot;:&quot;&quot;,&quot;non-dropping-particle&quot;:&quot;&quot;},{&quot;family&quot;:&quot;Beddington&quot;,&quot;given&quot;:&quot;John&quot;,&quot;parse-names&quot;:false,&quot;dropping-particle&quot;:&quot;&quot;,&quot;non-dropping-particle&quot;:&quot;&quot;},{&quot;family&quot;:&quot;Carter&quot;,&quot;given&quot;:&quot;Emily A.&quot;,&quot;parse-names&quot;:false,&quot;dropping-particle&quot;:&quot;&quot;,&quot;non-dropping-particle&quot;:&quot;&quot;},{&quot;family&quot;:&quot;Fuss&quot;,&quot;given&quot;:&quot;Sabine&quot;,&quot;parse-names&quot;:false,&quot;dropping-particle&quot;:&quot;&quot;,&quot;non-dropping-particle&quot;:&quot;&quot;},{&quot;family&quot;:&quot;Dowell&quot;,&quot;given&quot;:&quot;Niall&quot;,&quot;parse-names&quot;:false,&quot;dropping-particle&quot;:&quot;&quot;,&quot;non-dropping-particle&quot;:&quot;Mac&quot;},{&quot;family&quot;:&quot;Minx&quot;,&quot;given&quot;:&quot;Jan C.&quot;,&quot;parse-names&quot;:false,&quot;dropping-particle&quot;:&quot;&quot;,&quot;non-dropping-particle&quot;:&quot;&quot;},{&quot;family&quot;:&quot;Smith&quot;,&quot;given&quot;:&quot;Pete&quot;,&quot;parse-names&quot;:false,&quot;dropping-particle&quot;:&quot;&quot;,&quot;non-dropping-particle&quot;:&quot;&quot;},{&quot;family&quot;:&quot;Williams&quot;,&quot;given&quot;:&quot;Charlotte K.&quot;,&quot;parse-names&quot;:false,&quot;dropping-particle&quot;:&quot;&quot;,&quot;non-dropping-particle&quot;:&quot;&quot;}],&quot;container-title&quot;:&quot;Nature 2019 575:7781&quot;,&quot;accessed&quot;:{&quot;date-parts&quot;:[[2023,6,28]]},&quot;DOI&quot;:&quot;10.1038/s41586-019-1681-6&quot;,&quot;ISSN&quot;:&quot;1476-4687&quot;,&quot;PMID&quot;:&quot;31695213&quot;,&quot;URL&quot;:&quot;https://www.nature.com/articles/s41586-019-1681-6&quot;,&quot;issued&quot;:{&quot;date-parts&quot;:[[2019,11,6]]},&quot;page&quot;:&quot;87-97&quot;,&quot;abstract&quot;:&quot;The capture and use of carbon dioxide to create valuable products might lower the net costs of reducing emissions or removing carbon dioxide from the atmosphere. Here we review ten pathways for the utilization of carbon dioxide. Pathways that involve chemicals, fuels and microalgae might reduce emissions of&amp;nbsp;carbon dioxide but have limited potential for its removal, whereas pathways that involve construction materials can both utilize and remove carbon dioxide. Land-based pathways can increase agricultural output and remove carbon dioxide. Our assessment suggests that each pathway could scale to over 0.5 gigatonnes of carbon dioxide utilization annually. However, barriers to implementation remain substantial and resource constraints prevent the simultaneous deployment of all pathways. Ten pathways for the utilization of carbon dioxide are reviewed, considering their potential scale, economics and barriers to implementation.&quot;,&quot;publisher&quot;:&quot;Nature Publishing Group&quot;,&quot;issue&quot;:&quot;7781&quot;,&quot;volume&quot;:&quot;575&quot;,&quot;container-title-short&quot;:&quot;&quot;},&quot;isTemporary&quot;:false}]},{&quot;citationID&quot;:&quot;MENDELEY_CITATION_4e3ebdba-577e-474f-af2e-3dc5624555b6&quot;,&quot;properties&quot;:{&quot;noteIndex&quot;:0},&quot;isEdited&quot;:false,&quot;manualOverride&quot;:{&quot;isManuallyOverridden&quot;:false,&quot;citeprocText&quot;:&quot;(Do et al., 2022)&quot;,&quot;manualOverrideText&quot;:&quot;&quot;},&quot;citationTag&quot;:&quot;MENDELEY_CITATION_v3_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&quot;,&quot;citationItems&quot;:[{&quot;id&quot;:&quot;c35ef869-ad02-3ace-8838-0c4ca7fbcfcf&quot;,&quot;itemData&quot;:{&quot;type&quot;:&quot;article-journal&quot;,&quot;id&quot;:&quot;c35ef869-ad02-3ace-8838-0c4ca7fbcfcf&quot;,&quot;title&quot;:&quot;A CO 2 utilization framework for liquid fuels and chemical production: techno-economic and environmental analysis&quot;,&quot;author&quot;:[{&quot;family&quot;:&quot;Do&quot;,&quot;given&quot;:&quot;Thai Ngan&quot;,&quot;parse-names&quot;:false,&quot;dropping-particle&quot;:&quot;&quot;,&quot;non-dropping-particle&quot;:&quot;&quot;},{&quot;family&quot;:&quot;You&quot;,&quot;given&quot;:&quot;Chanhee&quot;,&quot;parse-names&quot;:false,&quot;dropping-particle&quot;:&quot;&quot;,&quot;non-dropping-particle&quot;:&quot;&quot;},{&quot;family&quot;:&quot;Kim&quot;,&quot;given&quot;:&quot;Jiyong&quot;,&quot;parse-names&quot;:false,&quot;dropping-particle&quot;:&quot;&quot;,&quot;non-dropping-particle&quot;:&quot;&quot;}],&quot;container-title&quot;:&quot;Energy &amp; Environmental Science&quot;,&quot;container-title-short&quot;:&quot;Energy Environ Sci&quot;,&quot;accessed&quot;:{&quot;date-parts&quot;:[[2023,6,28]]},&quot;DOI&quot;:&quot;10.1039/D1EE01444G&quot;,&quot;ISSN&quot;:&quot;17545706&quot;,&quot;URL&quot;:&quot;https://pubs.rsc.org/en/content/articlehtml/2022/ee/d1ee01444g&quot;,&quot;issued&quot;:{&quot;date-parts&quot;:[[2022,1,19]]},&quot;page&quot;:&quot;169-184&quot;,&quot;abstract&quot;:&quot;In this work, we developed a framework for CO2 capture and utilization for energy products (CCU4E) and examined techno-economic and environmental performance in different scenarios. The framework includes process synthesis and design, process simulation, and modeling toward the technical, economic, and environmental performance of the CO2-to-fuel pathway. Based on the 72 CO2-to-fuel pathways examined, we discussed the trade-off between economic output (via the unit production cost of fuels) and environmental impact (via net CO2 equivalent emissions). In addition, an optimization model was used to identify the optimal pathway and the decision to use conventional (black) or renewable (green) hydrogen in different scenarios. An extended sensitivity analysis was performed to understand the important role of H2 in the mitigation of CO2eq and its economic potential, globally and locally, as well as the prospect of future CO2-based fuels. This study provides practical decision-making strategies to major carbon-emitting countries to make decisions on using domestic resources to balance economics and environmental protection in the CCU4E framework. The green hydrogen price is revealed as the key factor in future CCU4E by allowing a huge reduction in CO2eq emissions at a more stable and lower price. This journal is&quot;,&quot;publisher&quot;:&quot;Royal Society of Chemistry&quot;,&quot;issue&quot;:&quot;1&quot;,&quot;volume&quot;:&quot;15&quot;},&quot;isTemporary&quot;:false}]},{&quot;citationID&quot;:&quot;MENDELEY_CITATION_faf9e19d-8a21-4131-98b6-362bf47dcd95&quot;,&quot;properties&quot;:{&quot;noteIndex&quot;:0},&quot;isEdited&quot;:false,&quot;manualOverride&quot;:{&quot;isManuallyOverridden&quot;:false,&quot;citeprocText&quot;:&quot;(Hepburn et al., 2019)&quot;,&quot;manualOverrideText&quot;:&quot;&quot;},&quot;citationTag&quot;:&quot;MENDELEY_CITATION_v3_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&quot;,&quot;citationItems&quot;:[{&quot;id&quot;:&quot;53e23981-ea3d-36c9-9ddd-718aa63c8f59&quot;,&quot;itemData&quot;:{&quot;type&quot;:&quot;article-journal&quot;,&quot;id&quot;:&quot;53e23981-ea3d-36c9-9ddd-718aa63c8f59&quot;,&quot;title&quot;:&quot;The technological and economic prospects for CO2 utilization and removal&quot;,&quot;author&quot;:[{&quot;family&quot;:&quot;Hepburn&quot;,&quot;given&quot;:&quot;Cameron&quot;,&quot;parse-names&quot;:false,&quot;dropping-particle&quot;:&quot;&quot;,&quot;non-dropping-particle&quot;:&quot;&quot;},{&quot;family&quot;:&quot;Adlen&quot;,&quot;given&quot;:&quot;Ella&quot;,&quot;parse-names&quot;:false,&quot;dropping-particle&quot;:&quot;&quot;,&quot;non-dropping-particle&quot;:&quot;&quot;},{&quot;family&quot;:&quot;Beddington&quot;,&quot;given&quot;:&quot;John&quot;,&quot;parse-names&quot;:false,&quot;dropping-particle&quot;:&quot;&quot;,&quot;non-dropping-particle&quot;:&quot;&quot;},{&quot;family&quot;:&quot;Carter&quot;,&quot;given&quot;:&quot;Emily A.&quot;,&quot;parse-names&quot;:false,&quot;dropping-particle&quot;:&quot;&quot;,&quot;non-dropping-particle&quot;:&quot;&quot;},{&quot;family&quot;:&quot;Fuss&quot;,&quot;given&quot;:&quot;Sabine&quot;,&quot;parse-names&quot;:false,&quot;dropping-particle&quot;:&quot;&quot;,&quot;non-dropping-particle&quot;:&quot;&quot;},{&quot;family&quot;:&quot;Dowell&quot;,&quot;given&quot;:&quot;Niall&quot;,&quot;parse-names&quot;:false,&quot;dropping-particle&quot;:&quot;&quot;,&quot;non-dropping-particle&quot;:&quot;Mac&quot;},{&quot;family&quot;:&quot;Minx&quot;,&quot;given&quot;:&quot;Jan C.&quot;,&quot;parse-names&quot;:false,&quot;dropping-particle&quot;:&quot;&quot;,&quot;non-dropping-particle&quot;:&quot;&quot;},{&quot;family&quot;:&quot;Smith&quot;,&quot;given&quot;:&quot;Pete&quot;,&quot;parse-names&quot;:false,&quot;dropping-particle&quot;:&quot;&quot;,&quot;non-dropping-particle&quot;:&quot;&quot;},{&quot;family&quot;:&quot;Williams&quot;,&quot;given&quot;:&quot;Charlotte K.&quot;,&quot;parse-names&quot;:false,&quot;dropping-particle&quot;:&quot;&quot;,&quot;non-dropping-particle&quot;:&quot;&quot;}],&quot;container-title&quot;:&quot;Nature 2019 575:7781&quot;,&quot;accessed&quot;:{&quot;date-parts&quot;:[[2023,6,28]]},&quot;DOI&quot;:&quot;10.1038/s41586-019-1681-6&quot;,&quot;ISSN&quot;:&quot;1476-4687&quot;,&quot;PMID&quot;:&quot;31695213&quot;,&quot;URL&quot;:&quot;https://www.nature.com/articles/s41586-019-1681-6&quot;,&quot;issued&quot;:{&quot;date-parts&quot;:[[2019,11,6]]},&quot;page&quot;:&quot;87-97&quot;,&quot;abstract&quot;:&quot;The capture and use of carbon dioxide to create valuable products might lower the net costs of reducing emissions or removing carbon dioxide from the atmosphere. Here we review ten pathways for the utilization of carbon dioxide. Pathways that involve chemicals, fuels and microalgae might reduce emissions of&amp;nbsp;carbon dioxide but have limited potential for its removal, whereas pathways that involve construction materials can both utilize and remove carbon dioxide. Land-based pathways can increase agricultural output and remove carbon dioxide. Our assessment suggests that each pathway could scale to over 0.5 gigatonnes of carbon dioxide utilization annually. However, barriers to implementation remain substantial and resource constraints prevent the simultaneous deployment of all pathways. Ten pathways for the utilization of carbon dioxide are reviewed, considering their potential scale, economics and barriers to implementation.&quot;,&quot;publisher&quot;:&quot;Nature Publishing Group&quot;,&quot;issue&quot;:&quot;7781&quot;,&quot;volume&quot;:&quot;575&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5E142-457E-42F5-9B3B-B3B46888A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48</TotalTime>
  <Pages>6</Pages>
  <Words>2468</Words>
  <Characters>14744</Characters>
  <Application>Microsoft Office Word</Application>
  <DocSecurity>0</DocSecurity>
  <Lines>122</Lines>
  <Paragraphs>34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17178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Sauro Pierucci</cp:lastModifiedBy>
  <cp:revision>57</cp:revision>
  <cp:lastPrinted>2004-12-17T09:20:00Z</cp:lastPrinted>
  <dcterms:created xsi:type="dcterms:W3CDTF">2023-11-29T05:11:00Z</dcterms:created>
  <dcterms:modified xsi:type="dcterms:W3CDTF">2024-01-16T11:47:00Z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