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3A33E4B6" w:rsidR="00DD3D9E" w:rsidRPr="00962F1C" w:rsidRDefault="00EA5A29">
      <w:pPr>
        <w:pStyle w:val="Els-Title"/>
        <w:rPr>
          <w:color w:val="000000" w:themeColor="text1"/>
        </w:rPr>
      </w:pPr>
      <w:r w:rsidRPr="00962F1C">
        <w:rPr>
          <w:color w:val="000000" w:themeColor="text1"/>
        </w:rPr>
        <w:t xml:space="preserve">Enhanced kinetic model parameters for xylitol bioproduction from </w:t>
      </w:r>
      <w:r w:rsidRPr="009916D3">
        <w:rPr>
          <w:i/>
          <w:iCs/>
          <w:color w:val="000000" w:themeColor="text1"/>
        </w:rPr>
        <w:t xml:space="preserve">Candida </w:t>
      </w:r>
      <w:proofErr w:type="spellStart"/>
      <w:r w:rsidRPr="009916D3">
        <w:rPr>
          <w:i/>
          <w:iCs/>
          <w:color w:val="000000" w:themeColor="text1"/>
        </w:rPr>
        <w:t>mogii</w:t>
      </w:r>
      <w:proofErr w:type="spellEnd"/>
      <w:r w:rsidRPr="00962F1C">
        <w:rPr>
          <w:color w:val="000000" w:themeColor="text1"/>
        </w:rPr>
        <w:t xml:space="preserve"> ATCC 18364</w:t>
      </w:r>
    </w:p>
    <w:p w14:paraId="144DE680" w14:textId="168DF82C" w:rsidR="00DD3D9E" w:rsidRPr="00FE338B" w:rsidRDefault="00EA5A29">
      <w:pPr>
        <w:pStyle w:val="Els-Author"/>
        <w:rPr>
          <w:lang w:val="es-CO"/>
        </w:rPr>
      </w:pPr>
      <w:r w:rsidRPr="00FE338B">
        <w:rPr>
          <w:lang w:val="es-CO"/>
        </w:rPr>
        <w:t>Julio César Sánchez-Rendón</w:t>
      </w:r>
      <w:r w:rsidRPr="00FE338B">
        <w:rPr>
          <w:vertAlign w:val="superscript"/>
          <w:lang w:val="es-CO"/>
        </w:rPr>
        <w:t>a</w:t>
      </w:r>
      <w:r w:rsidRPr="00FE338B">
        <w:rPr>
          <w:lang w:val="es-CO"/>
        </w:rPr>
        <w:t>, Luis Gerónimo Matallana</w:t>
      </w:r>
      <w:r w:rsidRPr="00FE338B">
        <w:rPr>
          <w:vertAlign w:val="superscript"/>
          <w:lang w:val="es-CO"/>
        </w:rPr>
        <w:t>b</w:t>
      </w:r>
      <w:r w:rsidRPr="00FE338B">
        <w:rPr>
          <w:lang w:val="es-CO"/>
        </w:rPr>
        <w:t>, Ricardo Morales-Rodriguez</w:t>
      </w:r>
      <w:r w:rsidRPr="00FE338B">
        <w:rPr>
          <w:vertAlign w:val="superscript"/>
          <w:lang w:val="es-CO"/>
        </w:rPr>
        <w:t>c</w:t>
      </w:r>
      <w:r w:rsidRPr="00FE338B">
        <w:rPr>
          <w:lang w:val="es-CO"/>
        </w:rPr>
        <w:t>, Oscar Andrés Prado-Rubio</w:t>
      </w:r>
      <w:r w:rsidRPr="00FE338B">
        <w:rPr>
          <w:vertAlign w:val="superscript"/>
          <w:lang w:val="es-CO"/>
        </w:rPr>
        <w:t>a,d</w:t>
      </w:r>
      <w:r w:rsidR="00950E22">
        <w:rPr>
          <w:vertAlign w:val="superscript"/>
          <w:lang w:val="es-CO"/>
        </w:rPr>
        <w:t>*</w:t>
      </w:r>
      <w:r w:rsidRPr="00FE338B">
        <w:rPr>
          <w:lang w:val="es-CO"/>
        </w:rPr>
        <w:t xml:space="preserve"> </w:t>
      </w:r>
    </w:p>
    <w:p w14:paraId="5A6F1A10" w14:textId="30820144" w:rsidR="00EA5A29" w:rsidRPr="00FE338B" w:rsidRDefault="00EA5A29" w:rsidP="00EA5A29">
      <w:pPr>
        <w:pStyle w:val="Els-Affiliation"/>
        <w:jc w:val="both"/>
        <w:rPr>
          <w:lang w:val="es-CO"/>
        </w:rPr>
      </w:pPr>
      <w:r w:rsidRPr="00FE338B">
        <w:rPr>
          <w:vertAlign w:val="superscript"/>
          <w:lang w:val="es-CO"/>
        </w:rPr>
        <w:t>a</w:t>
      </w:r>
      <w:r w:rsidRPr="00FE338B">
        <w:rPr>
          <w:lang w:val="es-CO"/>
        </w:rPr>
        <w:t>Departamento de Ingeniería Química, Universidad Nacional de Colombia –Manizales  170003, Colombia</w:t>
      </w:r>
    </w:p>
    <w:p w14:paraId="7347C97A" w14:textId="11332643" w:rsidR="00EA5A29" w:rsidRPr="00FE338B" w:rsidRDefault="00EA5A29" w:rsidP="00EA5A29">
      <w:pPr>
        <w:pStyle w:val="Els-Affiliation"/>
        <w:jc w:val="both"/>
        <w:rPr>
          <w:lang w:val="es-CO"/>
        </w:rPr>
      </w:pPr>
      <w:r w:rsidRPr="00FE338B">
        <w:rPr>
          <w:vertAlign w:val="superscript"/>
          <w:lang w:val="es-CO"/>
        </w:rPr>
        <w:t>b</w:t>
      </w:r>
      <w:r w:rsidRPr="00FE338B">
        <w:rPr>
          <w:lang w:val="es-CO"/>
        </w:rPr>
        <w:t>Grupo de Investigación en Alimentos y Agroindustria, Universidad de Caldas, Calle 65, No. 26-10, C.P. Manizales 170002, Colombia</w:t>
      </w:r>
    </w:p>
    <w:p w14:paraId="24093C37" w14:textId="31CC39E6" w:rsidR="00EA5A29" w:rsidRPr="00FE338B" w:rsidRDefault="00EA5A29" w:rsidP="00EA5A29">
      <w:pPr>
        <w:pStyle w:val="Els-Affiliation"/>
        <w:jc w:val="both"/>
        <w:rPr>
          <w:lang w:val="es-CO"/>
        </w:rPr>
      </w:pPr>
      <w:bookmarkStart w:id="0" w:name="_Hlk145505271"/>
      <w:r w:rsidRPr="00FE338B">
        <w:rPr>
          <w:vertAlign w:val="superscript"/>
          <w:lang w:val="es-CO"/>
        </w:rPr>
        <w:t>c</w:t>
      </w:r>
      <w:r w:rsidRPr="00FE338B">
        <w:rPr>
          <w:lang w:val="es-CO"/>
        </w:rPr>
        <w:t xml:space="preserve">Departamento de Ingeniería Química, Universidad de Guanajuato, Noria Alta S/N; Guanajuato, </w:t>
      </w:r>
      <w:r w:rsidR="005F4622">
        <w:rPr>
          <w:lang w:val="es-CO"/>
        </w:rPr>
        <w:t xml:space="preserve">Guanajuato, 36050, </w:t>
      </w:r>
      <w:r w:rsidRPr="00FE338B">
        <w:rPr>
          <w:lang w:val="es-CO"/>
        </w:rPr>
        <w:t>México.</w:t>
      </w:r>
    </w:p>
    <w:bookmarkEnd w:id="0"/>
    <w:p w14:paraId="1157DD3B" w14:textId="01983486" w:rsidR="00EA5A29" w:rsidRPr="00962F1C" w:rsidRDefault="00EA5A29" w:rsidP="00EA5A29">
      <w:pPr>
        <w:pStyle w:val="Els-Affiliation"/>
        <w:jc w:val="both"/>
        <w:rPr>
          <w:lang w:val="en-US"/>
        </w:rPr>
      </w:pPr>
      <w:r w:rsidRPr="00962F1C">
        <w:rPr>
          <w:vertAlign w:val="superscript"/>
          <w:lang w:val="en-US"/>
        </w:rPr>
        <w:t>d</w:t>
      </w:r>
      <w:r w:rsidRPr="00962F1C">
        <w:rPr>
          <w:lang w:val="en-US"/>
        </w:rPr>
        <w:t xml:space="preserve">Department of Chemical and Biochemical Engineering, Technical University of Denmark (DTU), Lyngby DK-2800, Denmark </w:t>
      </w:r>
    </w:p>
    <w:p w14:paraId="72CECC57" w14:textId="2FBEB72A" w:rsidR="00EA5A29" w:rsidRDefault="00950E22" w:rsidP="00EA5A29">
      <w:pPr>
        <w:pStyle w:val="Els-Affiliation"/>
        <w:rPr>
          <w:lang w:val="en-US"/>
        </w:rPr>
      </w:pPr>
      <w:r>
        <w:rPr>
          <w:lang w:val="en-US"/>
        </w:rPr>
        <w:t>*</w:t>
      </w:r>
      <w:r w:rsidR="00EA5A29" w:rsidRPr="00962F1C">
        <w:rPr>
          <w:lang w:val="en-US"/>
        </w:rPr>
        <w:t>oaprador@kt.dtu.dk</w:t>
      </w:r>
    </w:p>
    <w:p w14:paraId="5F73E6F6" w14:textId="77777777" w:rsidR="000228B4" w:rsidRDefault="000228B4" w:rsidP="00EA5A29">
      <w:pPr>
        <w:pStyle w:val="Els-Affiliation"/>
        <w:rPr>
          <w:lang w:val="en-US"/>
        </w:rPr>
      </w:pPr>
    </w:p>
    <w:p w14:paraId="72E4811E" w14:textId="42FF7DE1" w:rsidR="000228B4" w:rsidRDefault="000228B4" w:rsidP="00153497">
      <w:pPr>
        <w:pStyle w:val="Els-Abstract"/>
        <w:rPr>
          <w:i/>
          <w:lang w:val="en-US"/>
        </w:rPr>
      </w:pPr>
      <w:r w:rsidRPr="000228B4">
        <w:rPr>
          <w:lang w:val="en-US"/>
        </w:rPr>
        <w:t>Abstract</w:t>
      </w:r>
    </w:p>
    <w:p w14:paraId="53F0F8C2" w14:textId="2A1B9E66" w:rsidR="001B390A" w:rsidRDefault="00C30F92" w:rsidP="00153497">
      <w:pPr>
        <w:pStyle w:val="Els-body-text"/>
      </w:pPr>
      <w:r w:rsidRPr="00C30F92">
        <w:t>Xylitol is a</w:t>
      </w:r>
      <w:r>
        <w:t xml:space="preserve"> common</w:t>
      </w:r>
      <w:r w:rsidRPr="00C30F92">
        <w:t xml:space="preserve"> sweetener</w:t>
      </w:r>
      <w:r>
        <w:t xml:space="preserve"> used in </w:t>
      </w:r>
      <w:r w:rsidR="00E212D8">
        <w:t xml:space="preserve">the </w:t>
      </w:r>
      <w:r>
        <w:t xml:space="preserve">dental and pharmaceutical </w:t>
      </w:r>
      <w:r w:rsidR="00E212D8">
        <w:t>industries</w:t>
      </w:r>
      <w:r>
        <w:t xml:space="preserve">. </w:t>
      </w:r>
      <w:r w:rsidR="00937732">
        <w:t>T</w:t>
      </w:r>
      <w:r>
        <w:t xml:space="preserve">his molecule can be obtained from </w:t>
      </w:r>
      <w:r w:rsidR="00937732">
        <w:t xml:space="preserve">renewable sources </w:t>
      </w:r>
      <w:r>
        <w:t>and</w:t>
      </w:r>
      <w:r w:rsidR="00FF79CE">
        <w:t>,</w:t>
      </w:r>
      <w:r>
        <w:t xml:space="preserve"> is also a building block with the potential to produce</w:t>
      </w:r>
      <w:r w:rsidR="001B390A">
        <w:t xml:space="preserve"> </w:t>
      </w:r>
      <w:r>
        <w:t>a wide variety of chemical compounds</w:t>
      </w:r>
      <w:r w:rsidR="001B390A">
        <w:t xml:space="preserve">. However, </w:t>
      </w:r>
      <w:r w:rsidR="00540985">
        <w:t xml:space="preserve">xylitol bioproduction is still economically </w:t>
      </w:r>
      <w:r w:rsidR="00E212D8">
        <w:t xml:space="preserve">unattractive </w:t>
      </w:r>
      <w:r w:rsidR="00540985">
        <w:t>and</w:t>
      </w:r>
      <w:r w:rsidR="00FF79CE">
        <w:t>,</w:t>
      </w:r>
      <w:r w:rsidR="00540985">
        <w:t xml:space="preserve"> there is a need for investigating optimal process design and operation. For that, </w:t>
      </w:r>
      <w:r w:rsidR="001B390A">
        <w:t>a</w:t>
      </w:r>
      <w:r w:rsidR="007E0486">
        <w:t xml:space="preserve"> mathematical model that</w:t>
      </w:r>
      <w:r w:rsidR="001B390A">
        <w:t xml:space="preserve"> </w:t>
      </w:r>
      <w:r w:rsidR="00E212D8">
        <w:t xml:space="preserve">accurately </w:t>
      </w:r>
      <w:r w:rsidR="001B390A">
        <w:t>predict</w:t>
      </w:r>
      <w:r w:rsidR="007E0486">
        <w:t>s</w:t>
      </w:r>
      <w:r w:rsidR="001B390A">
        <w:t xml:space="preserve"> the xylitol fermentation </w:t>
      </w:r>
      <w:r w:rsidR="00540985">
        <w:t xml:space="preserve">is fundamental to reduce </w:t>
      </w:r>
      <w:r w:rsidR="00E212D8">
        <w:t xml:space="preserve">uncertainties </w:t>
      </w:r>
      <w:r w:rsidR="00540985">
        <w:t xml:space="preserve">during process </w:t>
      </w:r>
      <w:r w:rsidR="00FF79CE">
        <w:t>production</w:t>
      </w:r>
      <w:r w:rsidR="00540985">
        <w:t xml:space="preserve">. </w:t>
      </w:r>
      <w:r w:rsidR="00ED262D">
        <w:t>In this</w:t>
      </w:r>
      <w:r w:rsidR="00ED262D" w:rsidRPr="00073839">
        <w:t xml:space="preserve"> study</w:t>
      </w:r>
      <w:r w:rsidR="00540985">
        <w:t>,</w:t>
      </w:r>
      <w:r w:rsidR="00ED262D" w:rsidRPr="00073839">
        <w:t xml:space="preserve"> a framework for structural and practical parameter identification</w:t>
      </w:r>
      <w:r w:rsidR="00540985">
        <w:t xml:space="preserve"> is </w:t>
      </w:r>
      <w:r w:rsidR="00E212D8">
        <w:t xml:space="preserve">implemented </w:t>
      </w:r>
      <w:r w:rsidR="00540985">
        <w:t>to</w:t>
      </w:r>
      <w:r w:rsidR="00ED262D" w:rsidRPr="00073839">
        <w:t xml:space="preserve"> increase the number of identifiable </w:t>
      </w:r>
      <w:r w:rsidR="003F54CA">
        <w:t xml:space="preserve">kinetic </w:t>
      </w:r>
      <w:r w:rsidR="00ED262D" w:rsidRPr="00073839">
        <w:t>parameters</w:t>
      </w:r>
      <w:r w:rsidR="003F54CA">
        <w:t xml:space="preserve">, using a </w:t>
      </w:r>
      <w:r w:rsidR="007E0486">
        <w:t>mathematical model composed of 5 states and 11 parameters</w:t>
      </w:r>
      <w:r w:rsidR="00ED262D" w:rsidRPr="00073839">
        <w:t>.</w:t>
      </w:r>
      <w:r w:rsidR="00ED262D">
        <w:t xml:space="preserve"> The methodology </w:t>
      </w:r>
      <w:r w:rsidR="00ED262D" w:rsidRPr="00073839">
        <w:t>use</w:t>
      </w:r>
      <w:r w:rsidR="003F54CA">
        <w:t>s</w:t>
      </w:r>
      <w:r w:rsidR="00ED262D" w:rsidRPr="00073839">
        <w:t xml:space="preserve"> well-established methods that unfortunately are not commonly used together such as a) experimental data processing, b) structural identifiability analysis</w:t>
      </w:r>
      <w:r w:rsidR="00FF79CE">
        <w:t>,</w:t>
      </w:r>
      <w:r w:rsidR="00ED262D" w:rsidRPr="00073839">
        <w:t xml:space="preserve"> c) </w:t>
      </w:r>
      <w:r w:rsidR="00950E22">
        <w:t xml:space="preserve">enhanced </w:t>
      </w:r>
      <w:r w:rsidR="00ED262D" w:rsidRPr="00073839">
        <w:t>parameters identification using a nested optimization approach for self-</w:t>
      </w:r>
      <w:r w:rsidR="003F54CA" w:rsidRPr="00073839">
        <w:t>tun</w:t>
      </w:r>
      <w:r w:rsidR="003F54CA">
        <w:t>ing</w:t>
      </w:r>
      <w:r w:rsidR="003F54CA" w:rsidRPr="00073839">
        <w:t xml:space="preserve"> </w:t>
      </w:r>
      <w:r w:rsidR="00ED262D" w:rsidRPr="00073839">
        <w:t>stochastic optimization and</w:t>
      </w:r>
      <w:r w:rsidR="00FF79CE">
        <w:t>,</w:t>
      </w:r>
      <w:r w:rsidR="00ED262D" w:rsidRPr="00073839">
        <w:t xml:space="preserve"> d) validation</w:t>
      </w:r>
      <w:r w:rsidR="007E0486">
        <w:t xml:space="preserve">. </w:t>
      </w:r>
      <w:r w:rsidR="007E0486" w:rsidRPr="00073839">
        <w:t>The employed methodology allows to determine that the full set of parameters is locally identifiable, and the number of identifiable parameters was increased from 4 to 10, also with reduced confidence intervals</w:t>
      </w:r>
      <w:r w:rsidR="007E0486">
        <w:t xml:space="preserve">. </w:t>
      </w:r>
      <w:r w:rsidR="00C9649A">
        <w:t xml:space="preserve">The </w:t>
      </w:r>
      <w:r w:rsidR="00E212D8">
        <w:t xml:space="preserve">increased </w:t>
      </w:r>
      <w:r w:rsidR="00C9649A">
        <w:t xml:space="preserve">confidence in the model parameters brings </w:t>
      </w:r>
      <w:r w:rsidR="00E212D8">
        <w:t xml:space="preserve">interesting </w:t>
      </w:r>
      <w:r w:rsidR="00C9649A">
        <w:t xml:space="preserve">insights </w:t>
      </w:r>
      <w:r w:rsidR="00036434">
        <w:t xml:space="preserve">into </w:t>
      </w:r>
      <w:r w:rsidR="00C9649A">
        <w:t>this fermentation</w:t>
      </w:r>
      <w:r w:rsidR="00FF79CE">
        <w:t>, which might permit peforming further and more certain analysis</w:t>
      </w:r>
      <w:r w:rsidR="00C9649A">
        <w:t xml:space="preserve">. </w:t>
      </w:r>
    </w:p>
    <w:p w14:paraId="5F90074B" w14:textId="77777777" w:rsidR="000228B4" w:rsidRDefault="000228B4" w:rsidP="00EA5A29">
      <w:pPr>
        <w:pStyle w:val="Els-Affiliation"/>
        <w:rPr>
          <w:i w:val="0"/>
          <w:iCs/>
          <w:lang w:val="en-US"/>
        </w:rPr>
      </w:pPr>
    </w:p>
    <w:p w14:paraId="5620823B" w14:textId="4223117A" w:rsidR="000228B4" w:rsidRPr="000228B4" w:rsidRDefault="000228B4" w:rsidP="00EA5A29">
      <w:pPr>
        <w:pStyle w:val="Els-Affiliation"/>
        <w:rPr>
          <w:i w:val="0"/>
          <w:iCs/>
          <w:lang w:val="en-US"/>
        </w:rPr>
      </w:pPr>
      <w:r w:rsidRPr="000228B4">
        <w:rPr>
          <w:b/>
          <w:bCs/>
          <w:lang w:val="en-US"/>
        </w:rPr>
        <w:t xml:space="preserve">Keywords: </w:t>
      </w:r>
      <w:r>
        <w:rPr>
          <w:i w:val="0"/>
          <w:iCs/>
          <w:lang w:val="en-US"/>
        </w:rPr>
        <w:t>xylitol bioproduction, parameter estimation, mathematical modeling, global optimization</w:t>
      </w:r>
      <w:r w:rsidR="009B28C2">
        <w:rPr>
          <w:i w:val="0"/>
          <w:iCs/>
          <w:lang w:val="en-US"/>
        </w:rPr>
        <w:t xml:space="preserve">. </w:t>
      </w:r>
    </w:p>
    <w:p w14:paraId="07204736" w14:textId="77777777" w:rsidR="00F24CAC" w:rsidRPr="00451585" w:rsidRDefault="00F24CAC" w:rsidP="00F24CAC">
      <w:pPr>
        <w:pStyle w:val="Els-1storder-head"/>
        <w:rPr>
          <w:lang w:val="en-GB"/>
        </w:rPr>
      </w:pPr>
      <w:r w:rsidRPr="00451585">
        <w:rPr>
          <w:lang w:val="en-GB"/>
        </w:rPr>
        <w:t>Introduction</w:t>
      </w:r>
    </w:p>
    <w:p w14:paraId="4BCB586D" w14:textId="009866E1" w:rsidR="00352D11" w:rsidRPr="00962F1C" w:rsidRDefault="003F54CA" w:rsidP="00153497">
      <w:pPr>
        <w:pStyle w:val="Els-body-text"/>
      </w:pPr>
      <w:r w:rsidRPr="00962F1C">
        <w:t>The European</w:t>
      </w:r>
      <w:r w:rsidR="00352D11" w:rsidRPr="00962F1C">
        <w:t xml:space="preserve"> sustainability agenda for 2,050 proposed to achieve up to 38 % of biobased products in the market to migrate to a more balanced future. One of the interesting platform components to be obtained from biomass is xylitol. Xylitol is a sweetener and additive used in food, pharma, dental, </w:t>
      </w:r>
      <w:r w:rsidR="00E212D8">
        <w:t>cosmetics</w:t>
      </w:r>
      <w:r w:rsidR="00352D11" w:rsidRPr="00962F1C">
        <w:t>, and others. Additionally, xylitol could be used to obtain xylaric and xylonic acids, propylene</w:t>
      </w:r>
      <w:r w:rsidR="00E212D8">
        <w:t>,</w:t>
      </w:r>
      <w:r w:rsidR="00352D11" w:rsidRPr="00962F1C">
        <w:t xml:space="preserve"> and ethylene glycol, among others. </w:t>
      </w:r>
      <w:r>
        <w:t>X</w:t>
      </w:r>
      <w:r w:rsidR="00352D11" w:rsidRPr="00962F1C">
        <w:t xml:space="preserve">ylitol market size is expected to grow up to USD </w:t>
      </w:r>
      <w:r>
        <w:t>~</w:t>
      </w:r>
      <w:r w:rsidR="00352D11" w:rsidRPr="00962F1C">
        <w:t>1.</w:t>
      </w:r>
      <w:r>
        <w:t>5</w:t>
      </w:r>
      <w:r w:rsidRPr="00962F1C">
        <w:t xml:space="preserve">0 </w:t>
      </w:r>
      <w:r w:rsidR="00352D11" w:rsidRPr="00962F1C">
        <w:t xml:space="preserve">billion at a compound annual </w:t>
      </w:r>
      <w:r w:rsidR="00352D11" w:rsidRPr="00962F1C">
        <w:lastRenderedPageBreak/>
        <w:t xml:space="preserve">growth rate (CAGR) of </w:t>
      </w:r>
      <w:r>
        <w:t>6</w:t>
      </w:r>
      <w:r w:rsidR="00352D11" w:rsidRPr="00962F1C">
        <w:t xml:space="preserve"> % (2023-</w:t>
      </w:r>
      <w:r w:rsidRPr="00962F1C">
        <w:t>20</w:t>
      </w:r>
      <w:r>
        <w:t>30</w:t>
      </w:r>
      <w:r w:rsidR="00352D11" w:rsidRPr="00962F1C">
        <w:t>)</w:t>
      </w:r>
      <w:r>
        <w:t xml:space="preserve"> </w:t>
      </w:r>
      <w:r w:rsidR="00C9649A">
        <w:fldChar w:fldCharType="begin" w:fldLock="1"/>
      </w:r>
      <w:r w:rsidR="00C9649A">
        <w:instrText>ADDIN CSL_CITATION {"citationItems":[{"id":"ITEM-1","itemData":{"URL":"https://www.custommarketinsights.com/press-releases/xylitol-market/","accessed":{"date-parts":[["2023","11","23"]]},"author":[{"dropping-particle":"","family":"Custom Market Insights","given":"","non-dropping-particle":"","parse-names":false,"suffix":""}],"container-title":"online","id":"ITEM-1","issued":{"date-parts":[["2022"]]},"title":"Global Xylitol Market Size To Reach USD 1475.87 Million 2030","type":"webpage"},"uris":["http://www.mendeley.com/documents/?uuid=21253a41-23f6-3d8e-a308-2ed07988e935"]}],"mendeley":{"formattedCitation":"(Custom Market Insights, 2022)","plainTextFormattedCitation":"(Custom Market Insights, 2022)","previouslyFormattedCitation":"(Custom Market Insights, n.d.)"},"properties":{"noteIndex":0},"schema":"https://github.com/citation-style-language/schema/raw/master/csl-citation.json"}</w:instrText>
      </w:r>
      <w:r w:rsidR="00C9649A">
        <w:fldChar w:fldCharType="separate"/>
      </w:r>
      <w:r w:rsidR="00C9649A" w:rsidRPr="00C9649A">
        <w:t>(Custom Market Insights, 2022)</w:t>
      </w:r>
      <w:r w:rsidR="00C9649A">
        <w:fldChar w:fldCharType="end"/>
      </w:r>
      <w:r w:rsidR="00352D11" w:rsidRPr="00962F1C">
        <w:t xml:space="preserve">. Xylitol bioproduction has been investigated, obtaining production cost from 1.59 USD/kg up to 5 USD/kg depending on the raw material and production scheme </w:t>
      </w:r>
      <w:r w:rsidR="0018415A" w:rsidRPr="00962F1C">
        <w:t>(</w:t>
      </w:r>
      <w:r w:rsidR="0018415A" w:rsidRPr="00EE46CA">
        <w:t>Ruales-Salcedo et al., 2022</w:t>
      </w:r>
      <w:r w:rsidR="0018415A" w:rsidRPr="00962F1C">
        <w:t>)</w:t>
      </w:r>
      <w:r w:rsidR="00352D11" w:rsidRPr="00962F1C">
        <w:t xml:space="preserve">. With a xylitol selling price of ~3.5 USD/kg, it can be said that the bioprocess is economically unattractive and, from the </w:t>
      </w:r>
      <w:proofErr w:type="gramStart"/>
      <w:r w:rsidR="00352D11" w:rsidRPr="00C9649A">
        <w:rPr>
          <w:i/>
          <w:iCs/>
        </w:rPr>
        <w:t>in silico</w:t>
      </w:r>
      <w:proofErr w:type="gramEnd"/>
      <w:r w:rsidR="00352D11" w:rsidRPr="00962F1C">
        <w:t xml:space="preserve"> process design, predictions could be still lacking</w:t>
      </w:r>
      <w:r w:rsidR="00E424EB">
        <w:t xml:space="preserve"> of</w:t>
      </w:r>
      <w:r w:rsidR="00352D11" w:rsidRPr="00962F1C">
        <w:t xml:space="preserve"> quality especially due to the fermentation model uncertainties. Recently, </w:t>
      </w:r>
      <w:r w:rsidR="00E212D8">
        <w:t xml:space="preserve">a </w:t>
      </w:r>
      <w:r w:rsidR="00352D11" w:rsidRPr="00962F1C">
        <w:t xml:space="preserve">xylitol kinetic model from </w:t>
      </w:r>
      <w:r w:rsidR="00352D11" w:rsidRPr="00C9649A">
        <w:rPr>
          <w:i/>
          <w:iCs/>
        </w:rPr>
        <w:t xml:space="preserve">Candida </w:t>
      </w:r>
      <w:proofErr w:type="spellStart"/>
      <w:r w:rsidR="00352D11" w:rsidRPr="00C9649A">
        <w:rPr>
          <w:i/>
          <w:iCs/>
        </w:rPr>
        <w:t>mogii</w:t>
      </w:r>
      <w:proofErr w:type="spellEnd"/>
      <w:r w:rsidR="00352D11" w:rsidRPr="00962F1C">
        <w:t xml:space="preserve"> ATCC 18364 was investigated, showing that only 4 out of 11 model parameters were identifiable using local optimization </w:t>
      </w:r>
      <w:r w:rsidR="0018415A" w:rsidRPr="00C9649A">
        <w:t>(</w:t>
      </w:r>
      <w:r w:rsidR="0018415A" w:rsidRPr="00EE46CA">
        <w:t>Prado-Rubio et al., 2015</w:t>
      </w:r>
      <w:r w:rsidR="0018415A" w:rsidRPr="00C9649A">
        <w:t>)</w:t>
      </w:r>
      <w:r w:rsidR="00352D11" w:rsidRPr="00C9649A">
        <w:t>. Therefore, there is a need for obtaining a more representative and interpretable xylitol kin</w:t>
      </w:r>
      <w:r w:rsidR="00352D11" w:rsidRPr="00962F1C">
        <w:t>etic model that could be reliably used for system understanding, experimental design</w:t>
      </w:r>
      <w:r w:rsidR="00E212D8">
        <w:t>,</w:t>
      </w:r>
      <w:r w:rsidR="00352D11" w:rsidRPr="00962F1C">
        <w:t xml:space="preserve"> and optimal process design/control.</w:t>
      </w:r>
      <w:r w:rsidR="00073839">
        <w:t xml:space="preserve"> </w:t>
      </w:r>
      <w:r w:rsidR="00BA32F3">
        <w:t>This study aims</w:t>
      </w:r>
      <w:r w:rsidR="00073839" w:rsidRPr="00073839">
        <w:t xml:space="preserve"> to </w:t>
      </w:r>
      <w:r w:rsidR="00C9649A">
        <w:t>implement</w:t>
      </w:r>
      <w:r w:rsidR="00C9649A" w:rsidRPr="00073839">
        <w:t xml:space="preserve"> </w:t>
      </w:r>
      <w:r w:rsidR="00073839" w:rsidRPr="00073839">
        <w:t>a robust framework for structural and practical parameter identification, which leads to an increase in the number of identifiable parameters.</w:t>
      </w:r>
      <w:r w:rsidR="00C9649A" w:rsidRPr="00C9649A">
        <w:rPr>
          <w:iCs/>
        </w:rPr>
        <w:t xml:space="preserve"> </w:t>
      </w:r>
      <w:r w:rsidR="00C9649A">
        <w:rPr>
          <w:iCs/>
        </w:rPr>
        <w:t xml:space="preserve">Thus, </w:t>
      </w:r>
      <w:r w:rsidR="00BA32F3">
        <w:rPr>
          <w:iCs/>
        </w:rPr>
        <w:t>the quality and interpretability of the improved parameters</w:t>
      </w:r>
      <w:r w:rsidR="00C9649A" w:rsidRPr="00073839">
        <w:rPr>
          <w:iCs/>
        </w:rPr>
        <w:t xml:space="preserve"> allows </w:t>
      </w:r>
      <w:r w:rsidR="00E733E1">
        <w:rPr>
          <w:iCs/>
        </w:rPr>
        <w:t xml:space="preserve">for </w:t>
      </w:r>
      <w:r w:rsidR="00C9649A" w:rsidRPr="00073839">
        <w:rPr>
          <w:iCs/>
        </w:rPr>
        <w:t>obtaining new system understanding</w:t>
      </w:r>
      <w:r w:rsidR="00B2320E">
        <w:rPr>
          <w:iCs/>
        </w:rPr>
        <w:t>,</w:t>
      </w:r>
      <w:r w:rsidR="00C9649A" w:rsidRPr="00073839">
        <w:rPr>
          <w:iCs/>
        </w:rPr>
        <w:t xml:space="preserve"> evidencing the time-variant nature of the repeated fed-batch fermentations</w:t>
      </w:r>
      <w:r w:rsidR="005F509C">
        <w:rPr>
          <w:iCs/>
        </w:rPr>
        <w:t xml:space="preserve"> and, the possible intracellular dynamic behavior of the biochemical system during the process.</w:t>
      </w:r>
    </w:p>
    <w:p w14:paraId="65CAB34F" w14:textId="653E788A" w:rsidR="00073839" w:rsidRPr="00F24CAC" w:rsidRDefault="00073839" w:rsidP="00F24CAC">
      <w:pPr>
        <w:pStyle w:val="Els-1storder-head"/>
        <w:rPr>
          <w:lang w:val="en-GB"/>
        </w:rPr>
      </w:pPr>
      <w:r w:rsidRPr="00F24CAC">
        <w:rPr>
          <w:lang w:val="en-GB"/>
        </w:rPr>
        <w:t>Methodology</w:t>
      </w:r>
    </w:p>
    <w:p w14:paraId="6637D076" w14:textId="2321978C" w:rsidR="00950E22" w:rsidRDefault="00C9649A" w:rsidP="00153497">
      <w:pPr>
        <w:pStyle w:val="Els-body-text"/>
      </w:pPr>
      <w:r w:rsidRPr="00950E22">
        <w:t xml:space="preserve">The methodology is shown in Fig. 1. As </w:t>
      </w:r>
      <w:r w:rsidR="00950E22" w:rsidRPr="00950E22">
        <w:t>a starting</w:t>
      </w:r>
      <w:r w:rsidRPr="00950E22">
        <w:t xml:space="preserve"> point</w:t>
      </w:r>
      <w:r w:rsidR="00950E22" w:rsidRPr="00950E22">
        <w:t>,</w:t>
      </w:r>
      <w:r w:rsidRPr="00950E22">
        <w:t xml:space="preserve"> both the mathematical model and the experimental data are needed. The data is treated to remove outliers (via signal filters and mobile median analysis) and random noise (via polynomial fitting with 4th order </w:t>
      </w:r>
      <w:proofErr w:type="spellStart"/>
      <w:r w:rsidRPr="00950E22">
        <w:t>Savitzky</w:t>
      </w:r>
      <w:proofErr w:type="spellEnd"/>
      <w:r w:rsidRPr="00950E22">
        <w:t xml:space="preserve">-Golay polynomial). </w:t>
      </w:r>
      <w:r w:rsidR="00950E22" w:rsidRPr="00950E22">
        <w:t>Considering</w:t>
      </w:r>
      <w:r w:rsidRPr="00950E22">
        <w:t xml:space="preserve"> the mathematical model and the characteristics of the experimental data (number and type of variables, type of experiment</w:t>
      </w:r>
      <w:r w:rsidR="00F24CAC" w:rsidRPr="00950E22">
        <w:t>s</w:t>
      </w:r>
      <w:r w:rsidRPr="00950E22">
        <w:t>)</w:t>
      </w:r>
      <w:r w:rsidR="005F509C">
        <w:t>,</w:t>
      </w:r>
      <w:r w:rsidRPr="00950E22">
        <w:t xml:space="preserve"> </w:t>
      </w:r>
      <w:r w:rsidR="00F24CAC" w:rsidRPr="00950E22">
        <w:t>a</w:t>
      </w:r>
      <w:r w:rsidRPr="00950E22">
        <w:t xml:space="preserve"> structural identifiability analysis is performed</w:t>
      </w:r>
      <w:r w:rsidR="00F24CAC" w:rsidRPr="00950E22">
        <w:t xml:space="preserve"> to determine if the parameters are identifiable globally/locally or not identifiable</w:t>
      </w:r>
      <w:r w:rsidRPr="00950E22">
        <w:t xml:space="preserve"> (</w:t>
      </w:r>
      <w:proofErr w:type="spellStart"/>
      <w:r w:rsidR="00EE46CA" w:rsidRPr="00950E22">
        <w:t>GenSII</w:t>
      </w:r>
      <w:proofErr w:type="spellEnd"/>
      <w:r w:rsidR="00EE46CA" w:rsidRPr="00950E22">
        <w:t xml:space="preserve"> </w:t>
      </w:r>
      <w:proofErr w:type="spellStart"/>
      <w:r w:rsidR="00EE46CA" w:rsidRPr="00950E22">
        <w:t>tollbox</w:t>
      </w:r>
      <w:proofErr w:type="spellEnd"/>
      <w:r w:rsidRPr="00950E22">
        <w:t xml:space="preserve">). </w:t>
      </w:r>
      <w:r w:rsidR="001302D5">
        <w:t>Whether</w:t>
      </w:r>
      <w:r w:rsidR="00BF6412" w:rsidRPr="00950E22">
        <w:t xml:space="preserve"> </w:t>
      </w:r>
      <w:r w:rsidRPr="00950E22">
        <w:t>the model is not structurally identifiable</w:t>
      </w:r>
      <w:r w:rsidR="005F509C">
        <w:t>,</w:t>
      </w:r>
      <w:r w:rsidRPr="00950E22">
        <w:t xml:space="preserve"> either the experimental design or the mathematical model </w:t>
      </w:r>
      <w:r w:rsidR="00BA32F3">
        <w:t>must</w:t>
      </w:r>
      <w:r w:rsidRPr="00950E22">
        <w:t xml:space="preserve"> be adjusted. </w:t>
      </w:r>
      <w:r w:rsidR="003854B0">
        <w:t>When</w:t>
      </w:r>
      <w:r w:rsidRPr="00950E22">
        <w:t xml:space="preserve"> the model is structurally identifiable</w:t>
      </w:r>
      <w:r w:rsidR="00F24CAC" w:rsidRPr="00950E22">
        <w:t>,</w:t>
      </w:r>
      <w:r w:rsidRPr="00950E22">
        <w:t xml:space="preserve"> an optimization problem is defined and used for optimizer tuning (via </w:t>
      </w:r>
      <w:r w:rsidR="00E733E1" w:rsidRPr="00950E22">
        <w:t xml:space="preserve">the </w:t>
      </w:r>
      <w:r w:rsidRPr="00950E22">
        <w:t xml:space="preserve">IRACE package in R®). Hyperparameter tuning is an extremely important step </w:t>
      </w:r>
      <w:r w:rsidR="00E733E1" w:rsidRPr="00950E22">
        <w:t xml:space="preserve">that </w:t>
      </w:r>
      <w:r w:rsidRPr="00950E22">
        <w:t>is unfortunately rarely reported,</w:t>
      </w:r>
      <w:r w:rsidR="00497847">
        <w:t xml:space="preserve"> but it is</w:t>
      </w:r>
      <w:r w:rsidR="00300BCC">
        <w:t xml:space="preserve"> important to mention that</w:t>
      </w:r>
      <w:r w:rsidR="00497847">
        <w:t xml:space="preserve"> only </w:t>
      </w:r>
      <w:r w:rsidR="00497847" w:rsidRPr="00497847">
        <w:t xml:space="preserve">through </w:t>
      </w:r>
      <w:r w:rsidRPr="00950E22">
        <w:t xml:space="preserve">a specific configuration for a given optimization problem </w:t>
      </w:r>
      <w:r w:rsidR="00300BCC">
        <w:t>(incorporating</w:t>
      </w:r>
      <w:r w:rsidR="00300BCC" w:rsidRPr="00950E22">
        <w:t xml:space="preserve"> </w:t>
      </w:r>
      <w:r w:rsidRPr="00950E22">
        <w:t>experimental data</w:t>
      </w:r>
      <w:r w:rsidR="00300BCC">
        <w:t>), it possible to</w:t>
      </w:r>
      <w:r w:rsidRPr="00950E22">
        <w:t xml:space="preserve"> </w:t>
      </w:r>
      <w:r w:rsidR="00300BCC">
        <w:t>guarantee</w:t>
      </w:r>
      <w:r w:rsidRPr="00950E22">
        <w:t xml:space="preserve"> </w:t>
      </w:r>
      <w:r w:rsidR="00300BCC" w:rsidRPr="00300BCC">
        <w:t>the correct behavior of the optimizer</w:t>
      </w:r>
      <w:r w:rsidR="00C042FF">
        <w:t xml:space="preserve"> </w:t>
      </w:r>
      <w:r w:rsidRPr="00950E22">
        <w:t>(Wolpert et al., 1997). The tuned hyperparameters are then used to solve the complete parameter estimation problem and calculate the optimal model parameters. As the mathematical model is complete, the practical identifiability (validation) test is performed within several categories as confidence intervals (in parameters and prediction), goodness-of-fit metrics (SSE</w:t>
      </w:r>
      <w:r w:rsidR="00F24CAC" w:rsidRPr="00950E22">
        <w:t>,</w:t>
      </w:r>
      <w:r w:rsidRPr="00950E22">
        <w:t xml:space="preserve"> MRSE, </w:t>
      </w:r>
      <w:proofErr w:type="spellStart"/>
      <w:r w:rsidRPr="00950E22">
        <w:t>GoF</w:t>
      </w:r>
      <w:proofErr w:type="spellEnd"/>
      <w:r w:rsidRPr="00950E22">
        <w:t xml:space="preserve">, R2, </w:t>
      </w:r>
      <w:proofErr w:type="spellStart"/>
      <w:r w:rsidRPr="00950E22">
        <w:t>etc</w:t>
      </w:r>
      <w:proofErr w:type="spellEnd"/>
      <w:r w:rsidRPr="00950E22">
        <w:t>)</w:t>
      </w:r>
      <w:r w:rsidR="00E733E1" w:rsidRPr="00950E22">
        <w:t>,</w:t>
      </w:r>
      <w:r w:rsidRPr="00950E22">
        <w:t xml:space="preserve"> and sensibility indexes (</w:t>
      </w:r>
      <w:r w:rsidR="00C042FF">
        <w:t>standardized regression coefficients</w:t>
      </w:r>
      <w:r w:rsidR="00C042FF" w:rsidRPr="00F53F92">
        <w:t xml:space="preserve"> </w:t>
      </w:r>
      <w:r w:rsidRPr="00950E22">
        <w:t xml:space="preserve">method) (Sánchez-Rendón et al., 2020). If the validation process is not satisfactory, modifications in the model or the experimental design are required. </w:t>
      </w:r>
    </w:p>
    <w:p w14:paraId="247DBBAA" w14:textId="77777777" w:rsidR="00950E22" w:rsidRDefault="00950E22" w:rsidP="00153497">
      <w:pPr>
        <w:pStyle w:val="Els-2ndorder-head"/>
      </w:pPr>
      <w:r w:rsidRPr="00962F1C">
        <w:t xml:space="preserve">Case of study: xylitol bioproduction </w:t>
      </w:r>
    </w:p>
    <w:p w14:paraId="784931FB" w14:textId="201F4F39" w:rsidR="00950E22" w:rsidRDefault="00950E22" w:rsidP="00153497">
      <w:pPr>
        <w:pStyle w:val="Els-body-text"/>
      </w:pPr>
      <w:r w:rsidRPr="00962F1C">
        <w:t xml:space="preserve">Xylitol is a C5 alcohol widely used as a sweetener and additive to dental and pharmaceutical products. </w:t>
      </w:r>
      <w:r>
        <w:t>X</w:t>
      </w:r>
      <w:r w:rsidRPr="00962F1C">
        <w:t xml:space="preserve">ylitol </w:t>
      </w:r>
      <w:r>
        <w:t>is also</w:t>
      </w:r>
      <w:r w:rsidRPr="00962F1C">
        <w:t xml:space="preserve"> a </w:t>
      </w:r>
      <w:r>
        <w:t>platform</w:t>
      </w:r>
      <w:r w:rsidRPr="00962F1C">
        <w:t xml:space="preserve"> </w:t>
      </w:r>
      <w:r>
        <w:t>chemical fundamental</w:t>
      </w:r>
      <w:r w:rsidRPr="00962F1C">
        <w:t xml:space="preserve"> for other chemical compounds production (Ur-Rehman et al., 2015). Xylitol bioproduction experimental data used in this work was taken from Sirisansaneeyakul et al. (2013), who performed a </w:t>
      </w:r>
      <w:r>
        <w:t>sequential</w:t>
      </w:r>
      <w:r w:rsidRPr="00962F1C">
        <w:t xml:space="preserve"> experiment of 22 </w:t>
      </w:r>
      <w:r>
        <w:t>fed-batch</w:t>
      </w:r>
      <w:r w:rsidRPr="00962F1C">
        <w:t xml:space="preserve"> fermentations. The mathematical model of xylitol bioproduction is composed </w:t>
      </w:r>
      <w:r>
        <w:t>of</w:t>
      </w:r>
      <w:r w:rsidRPr="00962F1C">
        <w:t xml:space="preserve"> 5 states</w:t>
      </w:r>
      <w:r>
        <w:t xml:space="preserve"> (glucose, xylose, biomass, intra and extra xylitol)</w:t>
      </w:r>
      <w:r w:rsidRPr="00962F1C">
        <w:t xml:space="preserve"> and 11 parameters </w:t>
      </w:r>
      <w:r>
        <w:t>that</w:t>
      </w:r>
      <w:r w:rsidRPr="00962F1C">
        <w:t xml:space="preserve"> describe complex biological non-linear phenomena </w:t>
      </w:r>
      <w:r>
        <w:t xml:space="preserve">such </w:t>
      </w:r>
      <w:r w:rsidRPr="00962F1C">
        <w:t>as</w:t>
      </w:r>
      <w:r w:rsidR="001B6C97">
        <w:t>,</w:t>
      </w:r>
      <w:r w:rsidRPr="00962F1C">
        <w:t xml:space="preserve"> inhibition of glucose and xylose</w:t>
      </w:r>
      <w:r>
        <w:t xml:space="preserve"> uptake</w:t>
      </w:r>
      <w:r w:rsidRPr="00962F1C">
        <w:t xml:space="preserve">, intra- and extracellular </w:t>
      </w:r>
      <w:r w:rsidRPr="00962F1C">
        <w:lastRenderedPageBreak/>
        <w:t>transport and reaction stoichiometry (</w:t>
      </w:r>
      <w:proofErr w:type="spellStart"/>
      <w:r w:rsidRPr="00962F1C">
        <w:t>Tochampa</w:t>
      </w:r>
      <w:proofErr w:type="spellEnd"/>
      <w:r w:rsidRPr="00962F1C">
        <w:t xml:space="preserve"> et al., 2015, Hernández-Escoto et al., 2016).</w:t>
      </w:r>
    </w:p>
    <w:p w14:paraId="5620D0FE" w14:textId="77777777" w:rsidR="00950E22" w:rsidRPr="00950E22" w:rsidRDefault="00950E22" w:rsidP="00950E22">
      <w:pPr>
        <w:pStyle w:val="ElsevierBodyTextCentredNospace"/>
        <w:jc w:val="both"/>
        <w:rPr>
          <w:sz w:val="20"/>
          <w:szCs w:val="20"/>
        </w:rPr>
      </w:pPr>
    </w:p>
    <w:p w14:paraId="0A3B5970" w14:textId="5E715304" w:rsidR="00073839" w:rsidRPr="00C9649A" w:rsidRDefault="00377E93" w:rsidP="00950E22">
      <w:pPr>
        <w:pStyle w:val="Els-body-text"/>
        <w:jc w:val="center"/>
      </w:pPr>
      <w:r>
        <w:rPr>
          <w:noProof/>
        </w:rPr>
        <w:drawing>
          <wp:inline distT="0" distB="0" distL="0" distR="0" wp14:anchorId="013F9F46" wp14:editId="0647B566">
            <wp:extent cx="3600000" cy="3306859"/>
            <wp:effectExtent l="0" t="0" r="0" b="0"/>
            <wp:docPr id="225411370" name="Picture 1" descr="A diagram of a scientific mod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11370" name="Picture 1" descr="A diagram of a scientific model&#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3306859"/>
                    </a:xfrm>
                    <a:prstGeom prst="rect">
                      <a:avLst/>
                    </a:prstGeom>
                  </pic:spPr>
                </pic:pic>
              </a:graphicData>
            </a:graphic>
          </wp:inline>
        </w:drawing>
      </w:r>
    </w:p>
    <w:p w14:paraId="68D829C1" w14:textId="207D288C" w:rsidR="0011396F" w:rsidRPr="00962F1C" w:rsidRDefault="0011396F" w:rsidP="00153497">
      <w:pPr>
        <w:pStyle w:val="Els-caption"/>
      </w:pPr>
      <w:r w:rsidRPr="00367C29">
        <w:t xml:space="preserve">Figure </w:t>
      </w:r>
      <w:r w:rsidR="005F39E9" w:rsidRPr="00367C29">
        <w:t>1</w:t>
      </w:r>
      <w:r w:rsidRPr="00367C29">
        <w:t>. Methodology</w:t>
      </w:r>
      <w:r w:rsidRPr="00962F1C">
        <w:t xml:space="preserve"> for robust parameter estimation in bioprocess mathematical models</w:t>
      </w:r>
      <w:r w:rsidR="0061068E">
        <w:t xml:space="preserve"> with inputs (Green block), methods (blue block) and results (orange block). </w:t>
      </w:r>
    </w:p>
    <w:p w14:paraId="7BB75F65" w14:textId="37AF5D89" w:rsidR="007A26DD" w:rsidRPr="00722BF9" w:rsidRDefault="007A26DD" w:rsidP="00722BF9">
      <w:pPr>
        <w:pStyle w:val="Els-1storder-head"/>
        <w:rPr>
          <w:lang w:val="en-GB"/>
        </w:rPr>
      </w:pPr>
      <w:r w:rsidRPr="00722BF9">
        <w:rPr>
          <w:lang w:val="en-GB"/>
        </w:rPr>
        <w:t xml:space="preserve">Results </w:t>
      </w:r>
    </w:p>
    <w:p w14:paraId="54B7ADA4" w14:textId="0E9AC8E1" w:rsidR="00C12296" w:rsidRPr="00153497" w:rsidRDefault="00A15F5D" w:rsidP="00153497">
      <w:pPr>
        <w:pStyle w:val="Els-body-text"/>
      </w:pPr>
      <w:r w:rsidRPr="00153497">
        <w:t xml:space="preserve">After the </w:t>
      </w:r>
      <w:r w:rsidR="00A157C8" w:rsidRPr="00153497">
        <w:t xml:space="preserve">data preprocessing, </w:t>
      </w:r>
      <w:r w:rsidRPr="00153497">
        <w:t>outliers and overall random noise w</w:t>
      </w:r>
      <w:r w:rsidR="00722BF9" w:rsidRPr="00153497">
        <w:t>ere</w:t>
      </w:r>
      <w:r w:rsidRPr="00153497">
        <w:t xml:space="preserve"> </w:t>
      </w:r>
      <w:r w:rsidR="00342DA6" w:rsidRPr="00153497">
        <w:t xml:space="preserve">systematically </w:t>
      </w:r>
      <w:r w:rsidRPr="00153497">
        <w:t xml:space="preserve">removed. This is beneficial </w:t>
      </w:r>
      <w:r w:rsidR="00342DA6" w:rsidRPr="00153497">
        <w:t xml:space="preserve">for </w:t>
      </w:r>
      <w:r w:rsidRPr="00153497">
        <w:t>the solution of the parameter estimation problem</w:t>
      </w:r>
      <w:r w:rsidR="00300BCC" w:rsidRPr="00153497">
        <w:t>,</w:t>
      </w:r>
      <w:r w:rsidRPr="00153497">
        <w:t xml:space="preserve"> because it reduces the number of possible trajectories that </w:t>
      </w:r>
      <w:r w:rsidR="000C0D21" w:rsidRPr="00153497">
        <w:t xml:space="preserve">the model can describe. In terms of structural </w:t>
      </w:r>
      <w:r w:rsidR="00962F1C" w:rsidRPr="00153497">
        <w:t>identifiability,</w:t>
      </w:r>
      <w:r w:rsidR="000C0D21" w:rsidRPr="00153497">
        <w:t xml:space="preserve"> the 11 </w:t>
      </w:r>
      <w:r w:rsidR="002A02A7" w:rsidRPr="00153497">
        <w:t>parameters</w:t>
      </w:r>
      <w:r w:rsidR="000C0D21" w:rsidRPr="00153497">
        <w:t xml:space="preserve"> of the mathematical model were found to be locally identifiable as seen in Table 1. </w:t>
      </w:r>
      <w:r w:rsidR="00342DA6" w:rsidRPr="00153497">
        <w:t>For practical identifi</w:t>
      </w:r>
      <w:r w:rsidR="00C25880" w:rsidRPr="00153497">
        <w:t>a</w:t>
      </w:r>
      <w:r w:rsidR="00342DA6" w:rsidRPr="00153497">
        <w:t>bil</w:t>
      </w:r>
      <w:r w:rsidR="00E733E1" w:rsidRPr="00153497">
        <w:t>it</w:t>
      </w:r>
      <w:r w:rsidR="00342DA6" w:rsidRPr="00153497">
        <w:t>y</w:t>
      </w:r>
      <w:r w:rsidR="002A02A7" w:rsidRPr="00153497">
        <w:t xml:space="preserve">, </w:t>
      </w:r>
      <w:r w:rsidR="00342DA6" w:rsidRPr="00153497">
        <w:t xml:space="preserve">the nested </w:t>
      </w:r>
      <w:r w:rsidR="002A02A7" w:rsidRPr="00153497">
        <w:t xml:space="preserve">optimization problem </w:t>
      </w:r>
      <w:r w:rsidR="00342DA6" w:rsidRPr="00153497">
        <w:t xml:space="preserve">was solved </w:t>
      </w:r>
      <w:r w:rsidR="002A02A7" w:rsidRPr="00153497">
        <w:t>with dataset 1</w:t>
      </w:r>
      <w:r w:rsidR="00342DA6" w:rsidRPr="00153497">
        <w:t xml:space="preserve">, with the objective of </w:t>
      </w:r>
      <w:r w:rsidR="002A02A7" w:rsidRPr="00153497">
        <w:t xml:space="preserve">hyperparameter </w:t>
      </w:r>
      <w:r w:rsidR="00036434" w:rsidRPr="00153497">
        <w:t xml:space="preserve">tuning </w:t>
      </w:r>
      <w:r w:rsidR="00342DA6" w:rsidRPr="00153497">
        <w:t xml:space="preserve">for </w:t>
      </w:r>
      <w:r w:rsidR="00E733E1" w:rsidRPr="00153497">
        <w:t xml:space="preserve">the </w:t>
      </w:r>
      <w:r w:rsidR="005E2FAE" w:rsidRPr="00153497">
        <w:t>Particle Swarm Optimization (PSO) algorithm</w:t>
      </w:r>
      <w:r w:rsidR="002A02A7" w:rsidRPr="00153497">
        <w:t>.</w:t>
      </w:r>
      <w:r w:rsidR="005E2FAE" w:rsidRPr="00153497">
        <w:t xml:space="preserve"> This stochastic global optimizer has the desired property </w:t>
      </w:r>
      <w:r w:rsidR="00E53300" w:rsidRPr="00153497">
        <w:t>of guaranteed</w:t>
      </w:r>
      <w:r w:rsidR="005E2FAE" w:rsidRPr="00153497">
        <w:t xml:space="preserve"> theoretical convergence, meaning that with a correct hyperparameter configuration</w:t>
      </w:r>
      <w:r w:rsidR="00342DA6" w:rsidRPr="00153497">
        <w:t>,</w:t>
      </w:r>
      <w:r w:rsidR="005E2FAE" w:rsidRPr="00153497">
        <w:t xml:space="preserve"> </w:t>
      </w:r>
      <w:r w:rsidR="00E53300" w:rsidRPr="00153497">
        <w:t>this algorithm</w:t>
      </w:r>
      <w:r w:rsidR="00665741">
        <w:t xml:space="preserve"> </w:t>
      </w:r>
      <w:r w:rsidR="00665741" w:rsidRPr="00665741">
        <w:t>of consistently find points within the neighborhood of the global optimum</w:t>
      </w:r>
      <w:r w:rsidR="00467F38">
        <w:t xml:space="preserve"> (Huang et al., 2023)</w:t>
      </w:r>
      <w:r w:rsidR="00E53300" w:rsidRPr="00153497">
        <w:t>.</w:t>
      </w:r>
      <w:r w:rsidR="00C12296" w:rsidRPr="00153497">
        <w:t xml:space="preserve"> IRACE </w:t>
      </w:r>
      <w:r w:rsidR="00984926" w:rsidRPr="00153497">
        <w:t>can</w:t>
      </w:r>
      <w:r w:rsidR="00C12296" w:rsidRPr="00153497">
        <w:t xml:space="preserve"> calculate the optimizer hyperparameters through a statistical process </w:t>
      </w:r>
      <w:r w:rsidR="00B048E5" w:rsidRPr="00153497">
        <w:t>capable of</w:t>
      </w:r>
      <w:r w:rsidR="00C12296" w:rsidRPr="00153497">
        <w:t xml:space="preserve"> increas</w:t>
      </w:r>
      <w:r w:rsidR="00B048E5" w:rsidRPr="00153497">
        <w:t>ing</w:t>
      </w:r>
      <w:r w:rsidR="00C12296" w:rsidRPr="00153497">
        <w:t xml:space="preserve"> the reproducibility of the results while decreas</w:t>
      </w:r>
      <w:r w:rsidR="00B048E5" w:rsidRPr="00153497">
        <w:t>ing</w:t>
      </w:r>
      <w:r w:rsidR="00C12296" w:rsidRPr="00153497">
        <w:t xml:space="preserve"> the computational effort. For this </w:t>
      </w:r>
      <w:r w:rsidR="00984926" w:rsidRPr="00153497">
        <w:t>case</w:t>
      </w:r>
      <w:r w:rsidR="00C12296" w:rsidRPr="00153497">
        <w:t xml:space="preserve">, 96 candidate </w:t>
      </w:r>
      <w:r w:rsidR="00B048E5" w:rsidRPr="00153497">
        <w:t>configurations</w:t>
      </w:r>
      <w:r w:rsidR="00C12296" w:rsidRPr="00153497">
        <w:t xml:space="preserve"> were found during the tunning process</w:t>
      </w:r>
      <w:r w:rsidR="00B048E5" w:rsidRPr="00153497">
        <w:t xml:space="preserve">. The </w:t>
      </w:r>
      <w:r w:rsidR="00036434" w:rsidRPr="00153497">
        <w:t>best-calculated</w:t>
      </w:r>
      <w:r w:rsidR="00B048E5" w:rsidRPr="00153497">
        <w:t xml:space="preserve"> hyperparameters for the PSO algorithm are inertia range of [0.25, 0.50], </w:t>
      </w:r>
      <w:proofErr w:type="spellStart"/>
      <w:r w:rsidR="00B048E5" w:rsidRPr="00153497">
        <w:t>MinNeighborsFraction</w:t>
      </w:r>
      <w:proofErr w:type="spellEnd"/>
      <w:r w:rsidR="00B048E5" w:rsidRPr="00153497">
        <w:t xml:space="preserve"> of 0.36, </w:t>
      </w:r>
      <w:proofErr w:type="spellStart"/>
      <w:r w:rsidR="00B048E5" w:rsidRPr="00153497">
        <w:t>SelfAdjustmentWeight</w:t>
      </w:r>
      <w:proofErr w:type="spellEnd"/>
      <w:r w:rsidR="00B048E5" w:rsidRPr="00153497">
        <w:t xml:space="preserve"> of 1.58, </w:t>
      </w:r>
      <w:proofErr w:type="spellStart"/>
      <w:r w:rsidR="00B048E5" w:rsidRPr="00153497">
        <w:t>SocialAdjustmentWeight</w:t>
      </w:r>
      <w:proofErr w:type="spellEnd"/>
      <w:r w:rsidR="00B048E5" w:rsidRPr="00153497">
        <w:t xml:space="preserve"> of 1.44, and </w:t>
      </w:r>
      <w:proofErr w:type="spellStart"/>
      <w:r w:rsidR="00B048E5" w:rsidRPr="00153497">
        <w:t>SwarmSize</w:t>
      </w:r>
      <w:proofErr w:type="spellEnd"/>
      <w:r w:rsidR="00B048E5" w:rsidRPr="00153497">
        <w:t xml:space="preserve"> of 185</w:t>
      </w:r>
      <w:r w:rsidR="006F4EE0" w:rsidRPr="00153497">
        <w:t xml:space="preserve">. The value of the calculated hyperparameters </w:t>
      </w:r>
      <w:r w:rsidR="00036434" w:rsidRPr="00153497">
        <w:t>contrasts</w:t>
      </w:r>
      <w:r w:rsidR="006F4EE0" w:rsidRPr="00153497">
        <w:t xml:space="preserve"> with those of the default configuration </w:t>
      </w:r>
      <w:r w:rsidR="005A5911" w:rsidRPr="00153497">
        <w:t>i.e.</w:t>
      </w:r>
      <w:r w:rsidR="00950E22" w:rsidRPr="00153497">
        <w:t>,</w:t>
      </w:r>
      <w:r w:rsidR="005A5911" w:rsidRPr="00153497">
        <w:t xml:space="preserve"> inertia range of [0.1, 1.1], </w:t>
      </w:r>
      <w:proofErr w:type="spellStart"/>
      <w:r w:rsidR="005A5911" w:rsidRPr="00153497">
        <w:t>MinNeighborsFraction</w:t>
      </w:r>
      <w:proofErr w:type="spellEnd"/>
      <w:r w:rsidR="005A5911" w:rsidRPr="00153497">
        <w:t xml:space="preserve"> of 0.25, </w:t>
      </w:r>
      <w:proofErr w:type="spellStart"/>
      <w:r w:rsidR="005A5911" w:rsidRPr="00153497">
        <w:t>SelfAdjustmentWeight</w:t>
      </w:r>
      <w:proofErr w:type="spellEnd"/>
      <w:r w:rsidR="005A5911" w:rsidRPr="00153497">
        <w:t xml:space="preserve"> of 1.49, </w:t>
      </w:r>
      <w:proofErr w:type="spellStart"/>
      <w:r w:rsidR="005A5911" w:rsidRPr="00153497">
        <w:t>SocialAdjustmentWeight</w:t>
      </w:r>
      <w:proofErr w:type="spellEnd"/>
      <w:r w:rsidR="005A5911" w:rsidRPr="00153497">
        <w:t xml:space="preserve"> of 1.49, and </w:t>
      </w:r>
      <w:proofErr w:type="spellStart"/>
      <w:r w:rsidR="005A5911" w:rsidRPr="00153497">
        <w:t>SwarmSize</w:t>
      </w:r>
      <w:proofErr w:type="spellEnd"/>
      <w:r w:rsidR="005A5911" w:rsidRPr="00153497">
        <w:t xml:space="preserve"> of 100.</w:t>
      </w:r>
    </w:p>
    <w:p w14:paraId="7EF8C563" w14:textId="11A343CF" w:rsidR="00962F1C" w:rsidRDefault="005A5911" w:rsidP="00153497">
      <w:pPr>
        <w:pStyle w:val="Els-body-text"/>
      </w:pPr>
      <w:r w:rsidRPr="00153497">
        <w:lastRenderedPageBreak/>
        <w:t>In terms of the PSO inner working, the calculated configuration favors local search with slow-moving particles</w:t>
      </w:r>
      <w:r w:rsidR="004515D8" w:rsidRPr="00153497">
        <w:t xml:space="preserve"> that highly communicate with each other, while the global search is compensated with a</w:t>
      </w:r>
      <w:r w:rsidR="00154C66" w:rsidRPr="00153497">
        <w:t>n increased</w:t>
      </w:r>
      <w:r w:rsidR="004515D8" w:rsidRPr="00153497">
        <w:t xml:space="preserve"> number of particles. </w:t>
      </w:r>
      <w:r w:rsidR="00036434" w:rsidRPr="00153497">
        <w:t>The</w:t>
      </w:r>
      <w:r w:rsidR="00154C66" w:rsidRPr="00153497">
        <w:t xml:space="preserve"> previously described</w:t>
      </w:r>
      <w:r w:rsidR="00BA32F3" w:rsidRPr="00153497">
        <w:t xml:space="preserve"> </w:t>
      </w:r>
      <w:r w:rsidR="004650C4" w:rsidRPr="00153497">
        <w:t>hyperparameter</w:t>
      </w:r>
      <w:r w:rsidR="002A02A7" w:rsidRPr="00153497">
        <w:t xml:space="preserve"> configuration</w:t>
      </w:r>
      <w:r w:rsidR="004650C4" w:rsidRPr="00153497">
        <w:t xml:space="preserve"> and a new optimization problem defined with 9 datasets (</w:t>
      </w:r>
      <w:r w:rsidR="00E733E1" w:rsidRPr="00153497">
        <w:t xml:space="preserve">datasets </w:t>
      </w:r>
      <w:r w:rsidR="004650C4" w:rsidRPr="00153497">
        <w:t xml:space="preserve">1 to 9) </w:t>
      </w:r>
      <w:r w:rsidR="006C2D87" w:rsidRPr="00153497">
        <w:t>led</w:t>
      </w:r>
      <w:r w:rsidR="004650C4" w:rsidRPr="00153497">
        <w:t xml:space="preserve"> to the estimated parameter values shown in Table 1. </w:t>
      </w:r>
      <w:r w:rsidR="006C2D87" w:rsidRPr="00153497">
        <w:t>However, as shown by the practical identifiability analysis</w:t>
      </w:r>
      <w:r w:rsidR="00AE15E8" w:rsidRPr="00153497">
        <w:t>,</w:t>
      </w:r>
      <w:r w:rsidR="006C2D87" w:rsidRPr="00153497">
        <w:t xml:space="preserve"> the estimated values </w:t>
      </w:r>
      <w:r w:rsidR="00342DA6" w:rsidRPr="00153497">
        <w:t xml:space="preserve">can be classified </w:t>
      </w:r>
      <w:r w:rsidR="00E733E1" w:rsidRPr="00153497">
        <w:t xml:space="preserve">into </w:t>
      </w:r>
      <w:r w:rsidR="00342DA6" w:rsidRPr="00153497">
        <w:t>different categories in accordance with the</w:t>
      </w:r>
      <w:r w:rsidR="006C2D87" w:rsidRPr="00153497">
        <w:t xml:space="preserve"> </w:t>
      </w:r>
      <w:r w:rsidR="00AE15E8" w:rsidRPr="00153497">
        <w:t xml:space="preserve">confidence </w:t>
      </w:r>
      <w:r w:rsidR="006C2D87" w:rsidRPr="00153497">
        <w:t>levels</w:t>
      </w:r>
      <w:r w:rsidR="00AE15E8" w:rsidRPr="00153497">
        <w:t>. First,</w:t>
      </w:r>
      <w:r w:rsidR="006C2D87" w:rsidRPr="00153497">
        <w:t xml:space="preserve"> the parameter </w:t>
      </w:r>
      <w:bookmarkStart w:id="1" w:name="_Hlk151328494"/>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i, glu</m:t>
            </m:r>
          </m:sub>
        </m:sSub>
      </m:oMath>
      <w:r w:rsidR="006C2D87" w:rsidRPr="00153497">
        <w:t xml:space="preserve"> </w:t>
      </w:r>
      <w:bookmarkEnd w:id="1"/>
      <w:r w:rsidR="006C2D87" w:rsidRPr="00153497">
        <w:t>is practically non-identifiable</w:t>
      </w:r>
      <w:r w:rsidR="00AE15E8" w:rsidRPr="00153497">
        <w:t xml:space="preserve"> (xylose uptake inhibition due to glucose).</w:t>
      </w:r>
      <w:r w:rsidR="006C2D87" w:rsidRPr="00153497">
        <w:t xml:space="preserve"> </w:t>
      </w:r>
      <m:oMath>
        <m:sSubSup>
          <m:sSubSupPr>
            <m:ctrlPr>
              <w:rPr>
                <w:rFonts w:ascii="Cambria Math" w:hAnsi="Cambria Math"/>
              </w:rPr>
            </m:ctrlPr>
          </m:sSubSupPr>
          <m:e>
            <m:r>
              <m:rPr>
                <m:sty m:val="p"/>
              </m:rPr>
              <w:rPr>
                <w:rFonts w:ascii="Cambria Math" w:hAnsi="Cambria Math"/>
              </w:rPr>
              <m:t>μ</m:t>
            </m:r>
          </m:e>
          <m:sub>
            <m:r>
              <m:rPr>
                <m:sty m:val="p"/>
              </m:rPr>
              <w:rPr>
                <w:rFonts w:ascii="Cambria Math" w:hAnsi="Cambria Math"/>
              </w:rPr>
              <m:t>glu</m:t>
            </m:r>
          </m:sub>
          <m:sup>
            <m:r>
              <m:rPr>
                <m:sty m:val="p"/>
              </m:rPr>
              <w:rPr>
                <w:rFonts w:ascii="Cambria Math" w:hAnsi="Cambria Math"/>
              </w:rPr>
              <m:t>max</m:t>
            </m:r>
          </m:sup>
        </m:sSubSup>
      </m:oMath>
      <w:r w:rsidR="006C2D87" w:rsidRPr="00153497">
        <w:t xml:space="preserv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r</m:t>
            </m:r>
          </m:sub>
        </m:sSub>
      </m:oMath>
      <w:r w:rsidR="006C2D87" w:rsidRPr="00153497">
        <w:t xml:space="preserv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S,xil</m:t>
            </m:r>
          </m:sub>
        </m:sSub>
      </m:oMath>
      <w:r w:rsidR="006C2D87" w:rsidRPr="00153497">
        <w:t xml:space="preserve"> </w:t>
      </w:r>
      <w:r w:rsidR="00AE15E8" w:rsidRPr="00153497">
        <w:t xml:space="preserve">depict </w:t>
      </w:r>
      <w:r w:rsidR="006C2D87" w:rsidRPr="00153497">
        <w:t>high uncertainty</w:t>
      </w:r>
      <w:r w:rsidR="00905287" w:rsidRPr="00153497">
        <w:t xml:space="preserve"> and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S, glu</m:t>
            </m:r>
          </m:sub>
        </m:sSub>
      </m:oMath>
      <w:r w:rsidR="00905287" w:rsidRPr="00153497">
        <w:t xml:space="preserve">, </w:t>
      </w:r>
      <m:oMath>
        <m:sSubSup>
          <m:sSubSupPr>
            <m:ctrlPr>
              <w:rPr>
                <w:rFonts w:ascii="Cambria Math" w:hAnsi="Cambria Math"/>
              </w:rPr>
            </m:ctrlPr>
          </m:sSubSupPr>
          <m:e>
            <m:r>
              <m:rPr>
                <m:sty m:val="p"/>
              </m:rPr>
              <w:rPr>
                <w:rFonts w:ascii="Cambria Math" w:hAnsi="Cambria Math"/>
              </w:rPr>
              <m:t>q</m:t>
            </m:r>
          </m:e>
          <m:sub>
            <m:r>
              <m:rPr>
                <m:sty m:val="p"/>
              </m:rPr>
              <w:rPr>
                <w:rFonts w:ascii="Cambria Math" w:hAnsi="Cambria Math"/>
              </w:rPr>
              <m:t>glu</m:t>
            </m:r>
          </m:sub>
          <m:sup>
            <m:r>
              <m:rPr>
                <m:sty m:val="p"/>
              </m:rPr>
              <w:rPr>
                <w:rFonts w:ascii="Cambria Math" w:hAnsi="Cambria Math"/>
              </w:rPr>
              <m:t>max</m:t>
            </m:r>
          </m:sup>
        </m:sSubSup>
      </m:oMath>
      <w:r w:rsidR="00905287" w:rsidRPr="00153497">
        <w:t xml:space="preserve">, </w:t>
      </w:r>
      <m:oMath>
        <m:sSubSup>
          <m:sSubSupPr>
            <m:ctrlPr>
              <w:rPr>
                <w:rFonts w:ascii="Cambria Math" w:hAnsi="Cambria Math"/>
              </w:rPr>
            </m:ctrlPr>
          </m:sSubSupPr>
          <m:e>
            <m:r>
              <m:rPr>
                <m:sty m:val="p"/>
              </m:rPr>
              <w:rPr>
                <w:rFonts w:ascii="Cambria Math" w:hAnsi="Cambria Math"/>
              </w:rPr>
              <m:t>q</m:t>
            </m:r>
          </m:e>
          <m:sub>
            <m:r>
              <m:rPr>
                <m:sty m:val="p"/>
              </m:rPr>
              <w:rPr>
                <w:rFonts w:ascii="Cambria Math" w:hAnsi="Cambria Math"/>
              </w:rPr>
              <m:t>xil</m:t>
            </m:r>
          </m:sub>
          <m:sup>
            <m:r>
              <m:rPr>
                <m:sty m:val="p"/>
              </m:rPr>
              <w:rPr>
                <w:rFonts w:ascii="Cambria Math" w:hAnsi="Cambria Math"/>
              </w:rPr>
              <m:t>max</m:t>
            </m:r>
          </m:sup>
        </m:sSubSup>
      </m:oMath>
      <w:r w:rsidR="00905287" w:rsidRPr="00153497">
        <w:t xml:space="preserv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i,xil</m:t>
            </m:r>
          </m:sub>
        </m:sSub>
      </m:oMath>
      <w:r w:rsidR="00905287" w:rsidRPr="00153497">
        <w:t xml:space="preserve">,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xit</m:t>
            </m:r>
          </m:sub>
        </m:sSub>
      </m:oMath>
      <w:r w:rsidR="00905287" w:rsidRPr="00153497">
        <w:t xml:space="preserve"> </w:t>
      </w:r>
      <w:r w:rsidR="00AE15E8" w:rsidRPr="00153497">
        <w:t xml:space="preserve">have very </w:t>
      </w:r>
      <w:r w:rsidR="00905287" w:rsidRPr="00153497">
        <w:t>low uncertainty (less than 1</w:t>
      </w:r>
      <w:r w:rsidR="005E35B1">
        <w:t xml:space="preserve"> </w:t>
      </w:r>
      <w:r w:rsidR="00905287" w:rsidRPr="00153497">
        <w:t>%). These differences can be attributed to</w:t>
      </w:r>
      <w:r w:rsidR="00722BF9" w:rsidRPr="00153497">
        <w:t xml:space="preserve"> the</w:t>
      </w:r>
      <w:r w:rsidR="00905287" w:rsidRPr="00153497">
        <w:t xml:space="preserve"> </w:t>
      </w:r>
      <w:r w:rsidR="00342DA6" w:rsidRPr="00153497">
        <w:t>type of experiments performed where there</w:t>
      </w:r>
      <w:r w:rsidR="00905287" w:rsidRPr="00153497">
        <w:t xml:space="preserve"> is only one </w:t>
      </w:r>
      <w:r w:rsidR="00AE15E8" w:rsidRPr="00153497">
        <w:t>experiment using diauxic growth (i.e.,</w:t>
      </w:r>
      <w:r w:rsidR="002714E5" w:rsidRPr="00153497">
        <w:t xml:space="preserve"> </w:t>
      </w:r>
      <w:r w:rsidR="00905287" w:rsidRPr="00153497">
        <w:t>glucose and xylose</w:t>
      </w:r>
      <w:r w:rsidR="00AE15E8" w:rsidRPr="00153497">
        <w:t>)</w:t>
      </w:r>
      <w:r w:rsidR="00905287" w:rsidRPr="00153497">
        <w:t xml:space="preserve">. </w:t>
      </w:r>
      <w:r w:rsidR="00984926" w:rsidRPr="00153497">
        <w:t>Consequently</w:t>
      </w:r>
      <w:r w:rsidR="00AE15E8" w:rsidRPr="00153497">
        <w:t>, there is</w:t>
      </w:r>
      <w:r w:rsidR="00905287" w:rsidRPr="00153497">
        <w:t xml:space="preserve"> insufficient information to estimate with high precision </w:t>
      </w:r>
      <w:r w:rsidR="00342DA6" w:rsidRPr="00153497">
        <w:t>the</w:t>
      </w:r>
      <w:r w:rsidR="00905287" w:rsidRPr="00153497">
        <w:t xml:space="preserve"> parameters </w:t>
      </w:r>
      <w:r w:rsidR="00342DA6" w:rsidRPr="00153497">
        <w:t>involving</w:t>
      </w:r>
      <w:r w:rsidR="008E4F04" w:rsidRPr="00153497">
        <w:t xml:space="preserve"> glucose </w:t>
      </w:r>
      <w:r w:rsidR="00342DA6" w:rsidRPr="00153497">
        <w:t xml:space="preserve">behavior </w:t>
      </w:r>
      <w:r w:rsidR="008E4F04" w:rsidRPr="00153497">
        <w:t>and the</w:t>
      </w:r>
      <w:r w:rsidR="00905287" w:rsidRPr="00153497">
        <w:t xml:space="preserve"> interaction of </w:t>
      </w:r>
      <w:r w:rsidR="002714E5" w:rsidRPr="00153497">
        <w:t xml:space="preserve">both carbon sources within the cell, reflected </w:t>
      </w:r>
      <w:r w:rsidR="00C25880" w:rsidRPr="00153497">
        <w:t xml:space="preserve">in </w:t>
      </w:r>
      <w:r w:rsidR="002714E5" w:rsidRPr="00153497">
        <w:t>the</w:t>
      </w:r>
      <w:r w:rsidR="008E4F04" w:rsidRPr="00153497">
        <w:t xml:space="preserve"> low</w:t>
      </w:r>
      <w:r w:rsidR="002714E5" w:rsidRPr="00153497">
        <w:t xml:space="preserve"> accuracy</w:t>
      </w:r>
      <w:r w:rsidR="008E4F04" w:rsidRPr="00153497">
        <w:t xml:space="preserve"> of </w:t>
      </w:r>
      <m:oMath>
        <m:sSubSup>
          <m:sSubSupPr>
            <m:ctrlPr>
              <w:rPr>
                <w:rFonts w:ascii="Cambria Math" w:hAnsi="Cambria Math"/>
              </w:rPr>
            </m:ctrlPr>
          </m:sSubSupPr>
          <m:e>
            <m:r>
              <m:rPr>
                <m:sty m:val="p"/>
              </m:rPr>
              <w:rPr>
                <w:rFonts w:ascii="Cambria Math" w:hAnsi="Cambria Math"/>
              </w:rPr>
              <m:t>μ</m:t>
            </m:r>
          </m:e>
          <m:sub>
            <m:r>
              <m:rPr>
                <m:sty m:val="p"/>
              </m:rPr>
              <w:rPr>
                <w:rFonts w:ascii="Cambria Math" w:hAnsi="Cambria Math"/>
              </w:rPr>
              <m:t>glu</m:t>
            </m:r>
          </m:sub>
          <m:sup>
            <m:r>
              <m:rPr>
                <m:sty m:val="p"/>
              </m:rPr>
              <w:rPr>
                <w:rFonts w:ascii="Cambria Math" w:hAnsi="Cambria Math"/>
              </w:rPr>
              <m:t>max</m:t>
            </m:r>
          </m:sup>
        </m:sSubSup>
      </m:oMath>
      <w:r w:rsidR="008E4F04" w:rsidRPr="00153497">
        <w:t xml:space="preserv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r</m:t>
            </m:r>
          </m:sub>
        </m:sSub>
      </m:oMath>
      <w:r w:rsidR="008E4F04" w:rsidRPr="00153497">
        <w:t xml:space="preserv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S,xil</m:t>
            </m:r>
          </m:sub>
        </m:sSub>
      </m:oMath>
      <w:r w:rsidR="008E4F04" w:rsidRPr="00153497">
        <w:t xml:space="preserve"> and the non-identifiability of</w:t>
      </w:r>
      <w:r w:rsidR="002714E5" w:rsidRPr="00153497">
        <w:t xml:space="preserv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i, glu</m:t>
            </m:r>
          </m:sub>
        </m:sSub>
      </m:oMath>
      <w:r w:rsidR="00AE15E8" w:rsidRPr="00153497">
        <w:t>.</w:t>
      </w:r>
      <w:r w:rsidR="00D15E54" w:rsidRPr="00153497">
        <w:t xml:space="preserve"> </w:t>
      </w:r>
    </w:p>
    <w:p w14:paraId="3DE77A3C" w14:textId="7449200B" w:rsidR="00364712" w:rsidRPr="00153497" w:rsidRDefault="00364712" w:rsidP="00364712">
      <w:pPr>
        <w:pStyle w:val="Els-caption"/>
      </w:pPr>
      <w:r w:rsidRPr="00962F1C">
        <w:t xml:space="preserve">Table </w:t>
      </w:r>
      <w:r w:rsidRPr="00962F1C">
        <w:fldChar w:fldCharType="begin"/>
      </w:r>
      <w:r w:rsidRPr="00962F1C">
        <w:instrText xml:space="preserve"> SEQ Tabla \* ARABIC </w:instrText>
      </w:r>
      <w:r w:rsidRPr="00962F1C">
        <w:fldChar w:fldCharType="separate"/>
      </w:r>
      <w:r w:rsidRPr="00962F1C">
        <w:rPr>
          <w:noProof/>
        </w:rPr>
        <w:t>1</w:t>
      </w:r>
      <w:r w:rsidRPr="00962F1C">
        <w:fldChar w:fldCharType="end"/>
      </w:r>
      <w:r w:rsidRPr="00962F1C">
        <w:t>. Structural identifiability and estimated parameter values.</w:t>
      </w:r>
    </w:p>
    <w:tbl>
      <w:tblPr>
        <w:tblW w:w="7083" w:type="dxa"/>
        <w:jc w:val="center"/>
        <w:tblLook w:val="0420" w:firstRow="1" w:lastRow="0" w:firstColumn="0" w:lastColumn="0" w:noHBand="0" w:noVBand="1"/>
      </w:tblPr>
      <w:tblGrid>
        <w:gridCol w:w="1077"/>
        <w:gridCol w:w="1442"/>
        <w:gridCol w:w="1141"/>
        <w:gridCol w:w="1149"/>
        <w:gridCol w:w="1144"/>
        <w:gridCol w:w="1130"/>
      </w:tblGrid>
      <w:tr w:rsidR="00191368" w:rsidRPr="00364712" w14:paraId="28101205" w14:textId="233F3BA2" w:rsidTr="00191368">
        <w:trPr>
          <w:trHeight w:val="567"/>
          <w:jc w:val="center"/>
        </w:trPr>
        <w:tc>
          <w:tcPr>
            <w:tcW w:w="1077" w:type="dxa"/>
            <w:tcBorders>
              <w:top w:val="single" w:sz="4" w:space="0" w:color="auto"/>
              <w:bottom w:val="single" w:sz="4" w:space="0" w:color="auto"/>
            </w:tcBorders>
            <w:shd w:val="clear" w:color="auto" w:fill="auto"/>
            <w:noWrap/>
            <w:vAlign w:val="center"/>
            <w:hideMark/>
          </w:tcPr>
          <w:p w14:paraId="36FC91A9" w14:textId="039E5E6B" w:rsidR="00191368" w:rsidRPr="00364712" w:rsidRDefault="00191368" w:rsidP="003E3B8D">
            <w:pPr>
              <w:jc w:val="center"/>
              <w:rPr>
                <w:color w:val="000000"/>
                <w:sz w:val="18"/>
                <w:szCs w:val="18"/>
                <w:lang w:val="en-US"/>
              </w:rPr>
            </w:pPr>
            <w:r w:rsidRPr="00364712">
              <w:rPr>
                <w:color w:val="000000"/>
                <w:sz w:val="18"/>
                <w:szCs w:val="18"/>
                <w:lang w:val="en-US"/>
              </w:rPr>
              <w:t>Parameter</w:t>
            </w:r>
          </w:p>
        </w:tc>
        <w:tc>
          <w:tcPr>
            <w:tcW w:w="1442" w:type="dxa"/>
            <w:tcBorders>
              <w:top w:val="single" w:sz="4" w:space="0" w:color="auto"/>
              <w:bottom w:val="single" w:sz="4" w:space="0" w:color="auto"/>
            </w:tcBorders>
            <w:shd w:val="clear" w:color="auto" w:fill="auto"/>
            <w:noWrap/>
            <w:vAlign w:val="center"/>
            <w:hideMark/>
          </w:tcPr>
          <w:p w14:paraId="126CCEC6" w14:textId="3294F657" w:rsidR="00191368" w:rsidRPr="00364712" w:rsidRDefault="00191368" w:rsidP="003E3B8D">
            <w:pPr>
              <w:jc w:val="center"/>
              <w:rPr>
                <w:color w:val="000000"/>
                <w:sz w:val="18"/>
                <w:szCs w:val="18"/>
                <w:lang w:val="en-US"/>
              </w:rPr>
            </w:pPr>
            <w:r w:rsidRPr="00364712">
              <w:rPr>
                <w:color w:val="000000"/>
                <w:sz w:val="18"/>
                <w:szCs w:val="18"/>
                <w:lang w:val="en-US"/>
              </w:rPr>
              <w:t>Structural identifiability</w:t>
            </w:r>
          </w:p>
        </w:tc>
        <w:tc>
          <w:tcPr>
            <w:tcW w:w="1141" w:type="dxa"/>
            <w:tcBorders>
              <w:top w:val="single" w:sz="4" w:space="0" w:color="auto"/>
              <w:bottom w:val="single" w:sz="4" w:space="0" w:color="auto"/>
            </w:tcBorders>
            <w:shd w:val="clear" w:color="auto" w:fill="auto"/>
            <w:noWrap/>
            <w:vAlign w:val="center"/>
            <w:hideMark/>
          </w:tcPr>
          <w:p w14:paraId="73453541" w14:textId="4226C6B8" w:rsidR="00191368" w:rsidRPr="00364712" w:rsidRDefault="00191368" w:rsidP="003E3B8D">
            <w:pPr>
              <w:jc w:val="center"/>
              <w:rPr>
                <w:color w:val="000000"/>
                <w:sz w:val="18"/>
                <w:szCs w:val="18"/>
                <w:lang w:val="en-US"/>
              </w:rPr>
            </w:pPr>
            <w:r w:rsidRPr="00364712">
              <w:rPr>
                <w:color w:val="000000"/>
                <w:sz w:val="18"/>
                <w:szCs w:val="18"/>
                <w:lang w:val="en-US"/>
              </w:rPr>
              <w:t>Estimated value</w:t>
            </w:r>
          </w:p>
        </w:tc>
        <w:tc>
          <w:tcPr>
            <w:tcW w:w="1149" w:type="dxa"/>
            <w:tcBorders>
              <w:top w:val="single" w:sz="4" w:space="0" w:color="auto"/>
              <w:bottom w:val="single" w:sz="4" w:space="0" w:color="auto"/>
            </w:tcBorders>
            <w:shd w:val="clear" w:color="auto" w:fill="auto"/>
            <w:noWrap/>
            <w:vAlign w:val="center"/>
            <w:hideMark/>
          </w:tcPr>
          <w:p w14:paraId="73A46FBF" w14:textId="400F58D9" w:rsidR="00191368" w:rsidRPr="00364712" w:rsidRDefault="00191368" w:rsidP="003E3B8D">
            <w:pPr>
              <w:jc w:val="center"/>
              <w:rPr>
                <w:color w:val="000000"/>
                <w:sz w:val="18"/>
                <w:szCs w:val="18"/>
                <w:lang w:val="en-US"/>
              </w:rPr>
            </w:pPr>
            <w:r w:rsidRPr="00364712">
              <w:rPr>
                <w:color w:val="000000"/>
                <w:sz w:val="18"/>
                <w:szCs w:val="18"/>
                <w:lang w:val="en-US"/>
              </w:rPr>
              <w:t>Confidence interval</w:t>
            </w:r>
          </w:p>
        </w:tc>
        <w:tc>
          <w:tcPr>
            <w:tcW w:w="1144" w:type="dxa"/>
            <w:tcBorders>
              <w:top w:val="single" w:sz="4" w:space="0" w:color="auto"/>
              <w:bottom w:val="single" w:sz="4" w:space="0" w:color="auto"/>
            </w:tcBorders>
            <w:vAlign w:val="center"/>
          </w:tcPr>
          <w:p w14:paraId="5D5828DA" w14:textId="5AF4A4B6" w:rsidR="00191368" w:rsidRPr="00364712" w:rsidRDefault="00191368" w:rsidP="00191368">
            <w:pPr>
              <w:jc w:val="center"/>
              <w:rPr>
                <w:color w:val="000000"/>
                <w:sz w:val="18"/>
                <w:szCs w:val="18"/>
                <w:lang w:val="en-US"/>
              </w:rPr>
            </w:pPr>
            <w:r w:rsidRPr="00364712">
              <w:rPr>
                <w:sz w:val="18"/>
                <w:szCs w:val="18"/>
              </w:rPr>
              <w:t>Hernández-Escoto et al., 2016</w:t>
            </w:r>
          </w:p>
        </w:tc>
        <w:tc>
          <w:tcPr>
            <w:tcW w:w="1130" w:type="dxa"/>
            <w:tcBorders>
              <w:top w:val="single" w:sz="4" w:space="0" w:color="auto"/>
              <w:bottom w:val="single" w:sz="4" w:space="0" w:color="auto"/>
            </w:tcBorders>
            <w:vAlign w:val="center"/>
          </w:tcPr>
          <w:p w14:paraId="4BDF7431" w14:textId="30160A0E" w:rsidR="00191368" w:rsidRPr="00364712" w:rsidRDefault="00191368" w:rsidP="00191368">
            <w:pPr>
              <w:jc w:val="center"/>
              <w:rPr>
                <w:sz w:val="18"/>
                <w:szCs w:val="18"/>
              </w:rPr>
            </w:pPr>
            <w:r w:rsidRPr="00364712">
              <w:rPr>
                <w:sz w:val="18"/>
                <w:szCs w:val="18"/>
              </w:rPr>
              <w:t>Variation (%)</w:t>
            </w:r>
          </w:p>
        </w:tc>
      </w:tr>
      <w:tr w:rsidR="00191368" w:rsidRPr="00364712" w14:paraId="5516647C" w14:textId="13CA50CA" w:rsidTr="00191368">
        <w:trPr>
          <w:trHeight w:val="283"/>
          <w:jc w:val="center"/>
        </w:trPr>
        <w:tc>
          <w:tcPr>
            <w:tcW w:w="1077" w:type="dxa"/>
            <w:tcBorders>
              <w:top w:val="single" w:sz="4" w:space="0" w:color="auto"/>
            </w:tcBorders>
            <w:shd w:val="clear" w:color="auto" w:fill="auto"/>
            <w:noWrap/>
          </w:tcPr>
          <w:p w14:paraId="0B900038" w14:textId="77777777" w:rsidR="00191368" w:rsidRPr="00364712" w:rsidRDefault="00000000" w:rsidP="00191368">
            <w:pPr>
              <w:rPr>
                <w:sz w:val="18"/>
                <w:szCs w:val="18"/>
                <w:lang w:val="en-US"/>
              </w:rPr>
            </w:pPr>
            <m:oMathPara>
              <m:oMath>
                <m:sSubSup>
                  <m:sSubSupPr>
                    <m:ctrlPr>
                      <w:rPr>
                        <w:rFonts w:ascii="Cambria Math" w:hAnsi="Cambria Math"/>
                        <w:sz w:val="18"/>
                        <w:szCs w:val="18"/>
                        <w:lang w:val="en-US"/>
                      </w:rPr>
                    </m:ctrlPr>
                  </m:sSubSupPr>
                  <m:e>
                    <m:r>
                      <m:rPr>
                        <m:sty m:val="p"/>
                      </m:rPr>
                      <w:rPr>
                        <w:rFonts w:ascii="Cambria Math" w:hAnsi="Cambria Math"/>
                        <w:sz w:val="18"/>
                        <w:szCs w:val="18"/>
                        <w:lang w:val="en-US"/>
                      </w:rPr>
                      <m:t>μ</m:t>
                    </m:r>
                  </m:e>
                  <m:sub>
                    <m:r>
                      <m:rPr>
                        <m:sty m:val="p"/>
                      </m:rPr>
                      <w:rPr>
                        <w:rFonts w:ascii="Cambria Math" w:hAnsi="Cambria Math"/>
                        <w:sz w:val="18"/>
                        <w:szCs w:val="18"/>
                        <w:lang w:val="en-US"/>
                      </w:rPr>
                      <m:t>glu</m:t>
                    </m:r>
                  </m:sub>
                  <m:sup>
                    <m:r>
                      <m:rPr>
                        <m:sty m:val="p"/>
                      </m:rPr>
                      <w:rPr>
                        <w:rFonts w:ascii="Cambria Math" w:hAnsi="Cambria Math"/>
                        <w:sz w:val="18"/>
                        <w:szCs w:val="18"/>
                        <w:lang w:val="en-US"/>
                      </w:rPr>
                      <m:t>max</m:t>
                    </m:r>
                  </m:sup>
                </m:sSubSup>
              </m:oMath>
            </m:oMathPara>
          </w:p>
        </w:tc>
        <w:tc>
          <w:tcPr>
            <w:tcW w:w="1442" w:type="dxa"/>
            <w:tcBorders>
              <w:top w:val="single" w:sz="4" w:space="0" w:color="auto"/>
            </w:tcBorders>
            <w:shd w:val="clear" w:color="auto" w:fill="auto"/>
            <w:noWrap/>
            <w:vAlign w:val="center"/>
            <w:hideMark/>
          </w:tcPr>
          <w:p w14:paraId="2E6512E0" w14:textId="77777777" w:rsidR="00191368" w:rsidRPr="00364712" w:rsidRDefault="00191368" w:rsidP="00191368">
            <w:pPr>
              <w:jc w:val="center"/>
              <w:rPr>
                <w:color w:val="000000"/>
                <w:sz w:val="18"/>
                <w:szCs w:val="18"/>
                <w:lang w:val="en-US"/>
              </w:rPr>
            </w:pPr>
            <w:r w:rsidRPr="00364712">
              <w:rPr>
                <w:color w:val="000000"/>
                <w:sz w:val="18"/>
                <w:szCs w:val="18"/>
                <w:lang w:val="en-US"/>
              </w:rPr>
              <w:t>Local</w:t>
            </w:r>
          </w:p>
        </w:tc>
        <w:tc>
          <w:tcPr>
            <w:tcW w:w="1141" w:type="dxa"/>
            <w:tcBorders>
              <w:top w:val="single" w:sz="4" w:space="0" w:color="auto"/>
            </w:tcBorders>
            <w:shd w:val="clear" w:color="auto" w:fill="auto"/>
            <w:noWrap/>
            <w:vAlign w:val="center"/>
            <w:hideMark/>
          </w:tcPr>
          <w:p w14:paraId="7691ED7E" w14:textId="77777777" w:rsidR="00191368" w:rsidRPr="00364712" w:rsidRDefault="00191368" w:rsidP="00191368">
            <w:pPr>
              <w:jc w:val="center"/>
              <w:rPr>
                <w:color w:val="000000"/>
                <w:sz w:val="18"/>
                <w:szCs w:val="18"/>
                <w:lang w:val="en-US"/>
              </w:rPr>
            </w:pPr>
            <w:r w:rsidRPr="00364712">
              <w:rPr>
                <w:color w:val="000000"/>
                <w:sz w:val="18"/>
                <w:szCs w:val="18"/>
                <w:lang w:val="en-US"/>
              </w:rPr>
              <w:t>6.183x10</w:t>
            </w:r>
            <w:r w:rsidRPr="00364712">
              <w:rPr>
                <w:color w:val="000000"/>
                <w:sz w:val="18"/>
                <w:szCs w:val="18"/>
                <w:vertAlign w:val="superscript"/>
                <w:lang w:val="en-US"/>
              </w:rPr>
              <w:t>-2</w:t>
            </w:r>
          </w:p>
        </w:tc>
        <w:tc>
          <w:tcPr>
            <w:tcW w:w="1149" w:type="dxa"/>
            <w:tcBorders>
              <w:top w:val="single" w:sz="4" w:space="0" w:color="auto"/>
            </w:tcBorders>
            <w:shd w:val="clear" w:color="auto" w:fill="auto"/>
            <w:noWrap/>
            <w:vAlign w:val="center"/>
            <w:hideMark/>
          </w:tcPr>
          <w:p w14:paraId="592C1565" w14:textId="77777777" w:rsidR="00191368" w:rsidRPr="00364712" w:rsidRDefault="00191368" w:rsidP="00191368">
            <w:pPr>
              <w:jc w:val="center"/>
              <w:rPr>
                <w:color w:val="000000"/>
                <w:sz w:val="18"/>
                <w:szCs w:val="18"/>
                <w:lang w:val="en-US"/>
              </w:rPr>
            </w:pPr>
            <w:r w:rsidRPr="00364712">
              <w:rPr>
                <w:color w:val="000000"/>
                <w:sz w:val="18"/>
                <w:szCs w:val="18"/>
                <w:lang w:val="en-US"/>
              </w:rPr>
              <w:t>5.32x10</w:t>
            </w:r>
            <w:r w:rsidRPr="00364712">
              <w:rPr>
                <w:color w:val="000000"/>
                <w:sz w:val="18"/>
                <w:szCs w:val="18"/>
                <w:vertAlign w:val="superscript"/>
                <w:lang w:val="en-US"/>
              </w:rPr>
              <w:t>-2</w:t>
            </w:r>
          </w:p>
        </w:tc>
        <w:tc>
          <w:tcPr>
            <w:tcW w:w="1144" w:type="dxa"/>
            <w:tcBorders>
              <w:top w:val="single" w:sz="4" w:space="0" w:color="auto"/>
            </w:tcBorders>
          </w:tcPr>
          <w:p w14:paraId="74AA5D37" w14:textId="588C900E" w:rsidR="00191368" w:rsidRPr="00364712" w:rsidRDefault="00191368" w:rsidP="00191368">
            <w:pPr>
              <w:jc w:val="center"/>
              <w:rPr>
                <w:color w:val="000000"/>
                <w:sz w:val="18"/>
                <w:szCs w:val="18"/>
                <w:lang w:val="en-US"/>
              </w:rPr>
            </w:pPr>
            <w:r w:rsidRPr="00364712">
              <w:rPr>
                <w:color w:val="000000"/>
                <w:sz w:val="18"/>
                <w:szCs w:val="18"/>
                <w:lang w:val="en-US"/>
              </w:rPr>
              <w:t>-</w:t>
            </w:r>
          </w:p>
        </w:tc>
        <w:tc>
          <w:tcPr>
            <w:tcW w:w="1130" w:type="dxa"/>
            <w:tcBorders>
              <w:top w:val="single" w:sz="4" w:space="0" w:color="auto"/>
            </w:tcBorders>
          </w:tcPr>
          <w:p w14:paraId="088F3DFA" w14:textId="237F422E" w:rsidR="00191368" w:rsidRPr="00364712" w:rsidRDefault="00191368" w:rsidP="00191368">
            <w:pPr>
              <w:jc w:val="center"/>
              <w:rPr>
                <w:color w:val="000000"/>
                <w:sz w:val="18"/>
                <w:szCs w:val="18"/>
                <w:lang w:val="en-US"/>
              </w:rPr>
            </w:pPr>
            <w:r w:rsidRPr="00364712">
              <w:rPr>
                <w:color w:val="000000"/>
                <w:sz w:val="18"/>
                <w:szCs w:val="18"/>
                <w:lang w:val="en-US"/>
              </w:rPr>
              <w:t>-</w:t>
            </w:r>
          </w:p>
        </w:tc>
      </w:tr>
      <w:tr w:rsidR="00191368" w:rsidRPr="00364712" w14:paraId="09673E1A" w14:textId="7A4957A3" w:rsidTr="00191368">
        <w:trPr>
          <w:trHeight w:val="283"/>
          <w:jc w:val="center"/>
        </w:trPr>
        <w:tc>
          <w:tcPr>
            <w:tcW w:w="1077" w:type="dxa"/>
            <w:shd w:val="clear" w:color="auto" w:fill="auto"/>
            <w:noWrap/>
          </w:tcPr>
          <w:p w14:paraId="5719C1C3" w14:textId="77777777" w:rsidR="00191368" w:rsidRPr="00364712" w:rsidRDefault="00000000" w:rsidP="00191368">
            <w:pPr>
              <w:jc w:val="right"/>
              <w:rPr>
                <w:sz w:val="18"/>
                <w:szCs w:val="18"/>
                <w:lang w:val="en-US"/>
              </w:rPr>
            </w:pPr>
            <m:oMathPara>
              <m:oMath>
                <m:sSub>
                  <m:sSubPr>
                    <m:ctrlPr>
                      <w:rPr>
                        <w:rFonts w:ascii="Cambria Math" w:hAnsi="Cambria Math"/>
                        <w:sz w:val="18"/>
                        <w:szCs w:val="18"/>
                        <w:lang w:val="en-US"/>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S, glu</m:t>
                    </m:r>
                  </m:sub>
                </m:sSub>
              </m:oMath>
            </m:oMathPara>
          </w:p>
        </w:tc>
        <w:tc>
          <w:tcPr>
            <w:tcW w:w="1442" w:type="dxa"/>
            <w:shd w:val="clear" w:color="auto" w:fill="auto"/>
            <w:noWrap/>
            <w:vAlign w:val="center"/>
            <w:hideMark/>
          </w:tcPr>
          <w:p w14:paraId="122B3214" w14:textId="77777777" w:rsidR="00191368" w:rsidRPr="00364712" w:rsidRDefault="00191368" w:rsidP="00191368">
            <w:pPr>
              <w:jc w:val="center"/>
              <w:rPr>
                <w:color w:val="000000"/>
                <w:sz w:val="18"/>
                <w:szCs w:val="18"/>
                <w:lang w:val="en-US"/>
              </w:rPr>
            </w:pPr>
            <w:r w:rsidRPr="00364712">
              <w:rPr>
                <w:color w:val="000000"/>
                <w:sz w:val="18"/>
                <w:szCs w:val="18"/>
                <w:lang w:val="en-US"/>
              </w:rPr>
              <w:t>Local</w:t>
            </w:r>
          </w:p>
        </w:tc>
        <w:tc>
          <w:tcPr>
            <w:tcW w:w="1141" w:type="dxa"/>
            <w:shd w:val="clear" w:color="auto" w:fill="auto"/>
            <w:noWrap/>
            <w:vAlign w:val="center"/>
            <w:hideMark/>
          </w:tcPr>
          <w:p w14:paraId="1E2CF3BF" w14:textId="77777777" w:rsidR="00191368" w:rsidRPr="00364712" w:rsidRDefault="00191368" w:rsidP="00191368">
            <w:pPr>
              <w:jc w:val="center"/>
              <w:rPr>
                <w:color w:val="000000"/>
                <w:sz w:val="18"/>
                <w:szCs w:val="18"/>
                <w:lang w:val="en-US"/>
              </w:rPr>
            </w:pPr>
            <w:r w:rsidRPr="00364712">
              <w:rPr>
                <w:color w:val="000000"/>
                <w:sz w:val="18"/>
                <w:szCs w:val="18"/>
                <w:lang w:val="en-US"/>
              </w:rPr>
              <w:t>7.5586</w:t>
            </w:r>
          </w:p>
        </w:tc>
        <w:tc>
          <w:tcPr>
            <w:tcW w:w="1149" w:type="dxa"/>
            <w:shd w:val="clear" w:color="auto" w:fill="auto"/>
            <w:noWrap/>
            <w:vAlign w:val="center"/>
            <w:hideMark/>
          </w:tcPr>
          <w:p w14:paraId="4C39207D" w14:textId="77777777" w:rsidR="00191368" w:rsidRPr="00364712" w:rsidRDefault="00191368" w:rsidP="00191368">
            <w:pPr>
              <w:jc w:val="center"/>
              <w:rPr>
                <w:color w:val="000000"/>
                <w:sz w:val="18"/>
                <w:szCs w:val="18"/>
                <w:lang w:val="en-US"/>
              </w:rPr>
            </w:pPr>
            <w:r w:rsidRPr="00364712">
              <w:rPr>
                <w:color w:val="000000"/>
                <w:sz w:val="18"/>
                <w:szCs w:val="18"/>
                <w:lang w:val="en-US"/>
              </w:rPr>
              <w:t>3.54x10</w:t>
            </w:r>
            <w:r w:rsidRPr="00364712">
              <w:rPr>
                <w:color w:val="000000"/>
                <w:sz w:val="18"/>
                <w:szCs w:val="18"/>
                <w:vertAlign w:val="superscript"/>
                <w:lang w:val="en-US"/>
              </w:rPr>
              <w:t>-3</w:t>
            </w:r>
          </w:p>
        </w:tc>
        <w:tc>
          <w:tcPr>
            <w:tcW w:w="1144" w:type="dxa"/>
          </w:tcPr>
          <w:p w14:paraId="58FBCF65" w14:textId="58133AFB" w:rsidR="00191368" w:rsidRPr="00364712" w:rsidRDefault="00191368" w:rsidP="00191368">
            <w:pPr>
              <w:jc w:val="center"/>
              <w:rPr>
                <w:color w:val="000000"/>
                <w:sz w:val="18"/>
                <w:szCs w:val="18"/>
                <w:lang w:val="en-US"/>
              </w:rPr>
            </w:pPr>
            <w:r w:rsidRPr="00364712">
              <w:rPr>
                <w:color w:val="000000"/>
                <w:sz w:val="18"/>
                <w:szCs w:val="18"/>
                <w:lang w:val="en-US"/>
              </w:rPr>
              <w:t>-</w:t>
            </w:r>
          </w:p>
        </w:tc>
        <w:tc>
          <w:tcPr>
            <w:tcW w:w="1130" w:type="dxa"/>
          </w:tcPr>
          <w:p w14:paraId="6AB414C7" w14:textId="74CA996E" w:rsidR="00191368" w:rsidRPr="00364712" w:rsidRDefault="00191368" w:rsidP="00191368">
            <w:pPr>
              <w:jc w:val="center"/>
              <w:rPr>
                <w:color w:val="000000"/>
                <w:sz w:val="18"/>
                <w:szCs w:val="18"/>
                <w:lang w:val="en-US"/>
              </w:rPr>
            </w:pPr>
            <w:r w:rsidRPr="00364712">
              <w:rPr>
                <w:color w:val="000000"/>
                <w:sz w:val="18"/>
                <w:szCs w:val="18"/>
                <w:lang w:val="en-US"/>
              </w:rPr>
              <w:t>-</w:t>
            </w:r>
          </w:p>
        </w:tc>
      </w:tr>
      <w:tr w:rsidR="00191368" w:rsidRPr="00364712" w14:paraId="4CEB0CFE" w14:textId="198E0D35" w:rsidTr="00191368">
        <w:trPr>
          <w:trHeight w:val="283"/>
          <w:jc w:val="center"/>
        </w:trPr>
        <w:tc>
          <w:tcPr>
            <w:tcW w:w="1077" w:type="dxa"/>
            <w:shd w:val="clear" w:color="auto" w:fill="auto"/>
            <w:noWrap/>
          </w:tcPr>
          <w:p w14:paraId="58C6152E" w14:textId="77777777" w:rsidR="00191368" w:rsidRPr="00364712" w:rsidRDefault="00000000" w:rsidP="00191368">
            <w:pPr>
              <w:jc w:val="right"/>
              <w:rPr>
                <w:sz w:val="18"/>
                <w:szCs w:val="18"/>
                <w:lang w:val="en-US"/>
              </w:rPr>
            </w:pPr>
            <m:oMathPara>
              <m:oMath>
                <m:sSubSup>
                  <m:sSubSupPr>
                    <m:ctrlPr>
                      <w:rPr>
                        <w:rFonts w:ascii="Cambria Math" w:hAnsi="Cambria Math"/>
                        <w:sz w:val="18"/>
                        <w:szCs w:val="18"/>
                        <w:lang w:val="en-US"/>
                      </w:rPr>
                    </m:ctrlPr>
                  </m:sSubSupPr>
                  <m:e>
                    <m:r>
                      <m:rPr>
                        <m:sty m:val="p"/>
                      </m:rPr>
                      <w:rPr>
                        <w:rFonts w:ascii="Cambria Math" w:hAnsi="Cambria Math"/>
                        <w:sz w:val="18"/>
                        <w:szCs w:val="18"/>
                        <w:lang w:val="en-US"/>
                      </w:rPr>
                      <m:t>q</m:t>
                    </m:r>
                  </m:e>
                  <m:sub>
                    <m:r>
                      <m:rPr>
                        <m:sty m:val="p"/>
                      </m:rPr>
                      <w:rPr>
                        <w:rFonts w:ascii="Cambria Math" w:hAnsi="Cambria Math"/>
                        <w:sz w:val="18"/>
                        <w:szCs w:val="18"/>
                        <w:lang w:val="en-US"/>
                      </w:rPr>
                      <m:t>glu</m:t>
                    </m:r>
                  </m:sub>
                  <m:sup>
                    <m:r>
                      <m:rPr>
                        <m:sty m:val="p"/>
                      </m:rPr>
                      <w:rPr>
                        <w:rFonts w:ascii="Cambria Math" w:hAnsi="Cambria Math"/>
                        <w:sz w:val="18"/>
                        <w:szCs w:val="18"/>
                        <w:lang w:val="en-US"/>
                      </w:rPr>
                      <m:t>max</m:t>
                    </m:r>
                  </m:sup>
                </m:sSubSup>
              </m:oMath>
            </m:oMathPara>
          </w:p>
        </w:tc>
        <w:tc>
          <w:tcPr>
            <w:tcW w:w="1442" w:type="dxa"/>
            <w:shd w:val="clear" w:color="auto" w:fill="auto"/>
            <w:noWrap/>
            <w:vAlign w:val="center"/>
            <w:hideMark/>
          </w:tcPr>
          <w:p w14:paraId="42276638" w14:textId="77777777" w:rsidR="00191368" w:rsidRPr="00364712" w:rsidRDefault="00191368" w:rsidP="00191368">
            <w:pPr>
              <w:jc w:val="center"/>
              <w:rPr>
                <w:color w:val="000000"/>
                <w:sz w:val="18"/>
                <w:szCs w:val="18"/>
                <w:lang w:val="en-US"/>
              </w:rPr>
            </w:pPr>
            <w:r w:rsidRPr="00364712">
              <w:rPr>
                <w:color w:val="000000"/>
                <w:sz w:val="18"/>
                <w:szCs w:val="18"/>
                <w:lang w:val="en-US"/>
              </w:rPr>
              <w:t>Local</w:t>
            </w:r>
          </w:p>
        </w:tc>
        <w:tc>
          <w:tcPr>
            <w:tcW w:w="1141" w:type="dxa"/>
            <w:shd w:val="clear" w:color="auto" w:fill="auto"/>
            <w:noWrap/>
            <w:vAlign w:val="center"/>
            <w:hideMark/>
          </w:tcPr>
          <w:p w14:paraId="7C894A62" w14:textId="77777777" w:rsidR="00191368" w:rsidRPr="00364712" w:rsidRDefault="00191368" w:rsidP="00191368">
            <w:pPr>
              <w:jc w:val="center"/>
              <w:rPr>
                <w:color w:val="000000"/>
                <w:sz w:val="18"/>
                <w:szCs w:val="18"/>
                <w:lang w:val="en-US"/>
              </w:rPr>
            </w:pPr>
            <w:r w:rsidRPr="00364712">
              <w:rPr>
                <w:color w:val="000000"/>
                <w:sz w:val="18"/>
                <w:szCs w:val="18"/>
                <w:lang w:val="en-US"/>
              </w:rPr>
              <w:t>2.1546</w:t>
            </w:r>
          </w:p>
        </w:tc>
        <w:tc>
          <w:tcPr>
            <w:tcW w:w="1149" w:type="dxa"/>
            <w:shd w:val="clear" w:color="auto" w:fill="auto"/>
            <w:noWrap/>
            <w:vAlign w:val="center"/>
            <w:hideMark/>
          </w:tcPr>
          <w:p w14:paraId="6657238C" w14:textId="77777777" w:rsidR="00191368" w:rsidRPr="00364712" w:rsidRDefault="00191368" w:rsidP="00191368">
            <w:pPr>
              <w:jc w:val="center"/>
              <w:rPr>
                <w:color w:val="000000"/>
                <w:sz w:val="18"/>
                <w:szCs w:val="18"/>
                <w:lang w:val="en-US"/>
              </w:rPr>
            </w:pPr>
            <w:r w:rsidRPr="00364712">
              <w:rPr>
                <w:color w:val="000000"/>
                <w:sz w:val="18"/>
                <w:szCs w:val="18"/>
                <w:lang w:val="en-US"/>
              </w:rPr>
              <w:t>2.78x10</w:t>
            </w:r>
            <w:r w:rsidRPr="00364712">
              <w:rPr>
                <w:color w:val="000000"/>
                <w:sz w:val="18"/>
                <w:szCs w:val="18"/>
                <w:vertAlign w:val="superscript"/>
                <w:lang w:val="en-US"/>
              </w:rPr>
              <w:t>-2</w:t>
            </w:r>
          </w:p>
        </w:tc>
        <w:tc>
          <w:tcPr>
            <w:tcW w:w="1144" w:type="dxa"/>
          </w:tcPr>
          <w:p w14:paraId="5278A35D" w14:textId="5458C446" w:rsidR="00191368" w:rsidRPr="00364712" w:rsidRDefault="00191368" w:rsidP="00191368">
            <w:pPr>
              <w:jc w:val="center"/>
              <w:rPr>
                <w:color w:val="000000"/>
                <w:sz w:val="18"/>
                <w:szCs w:val="18"/>
                <w:lang w:val="en-US"/>
              </w:rPr>
            </w:pPr>
            <w:r w:rsidRPr="00364712">
              <w:rPr>
                <w:color w:val="000000"/>
                <w:sz w:val="18"/>
                <w:szCs w:val="18"/>
                <w:lang w:val="en-US"/>
              </w:rPr>
              <w:t>-</w:t>
            </w:r>
          </w:p>
        </w:tc>
        <w:tc>
          <w:tcPr>
            <w:tcW w:w="1130" w:type="dxa"/>
          </w:tcPr>
          <w:p w14:paraId="799D67D7" w14:textId="6C6E8306" w:rsidR="00191368" w:rsidRPr="00364712" w:rsidRDefault="00191368" w:rsidP="00191368">
            <w:pPr>
              <w:jc w:val="center"/>
              <w:rPr>
                <w:color w:val="000000"/>
                <w:sz w:val="18"/>
                <w:szCs w:val="18"/>
                <w:lang w:val="en-US"/>
              </w:rPr>
            </w:pPr>
            <w:r w:rsidRPr="00364712">
              <w:rPr>
                <w:color w:val="000000"/>
                <w:sz w:val="18"/>
                <w:szCs w:val="18"/>
                <w:lang w:val="en-US"/>
              </w:rPr>
              <w:t>-</w:t>
            </w:r>
          </w:p>
        </w:tc>
      </w:tr>
      <w:tr w:rsidR="00191368" w:rsidRPr="00364712" w14:paraId="6ACA43CA" w14:textId="26A5AF26" w:rsidTr="00191368">
        <w:trPr>
          <w:trHeight w:val="283"/>
          <w:jc w:val="center"/>
        </w:trPr>
        <w:tc>
          <w:tcPr>
            <w:tcW w:w="1077" w:type="dxa"/>
            <w:shd w:val="clear" w:color="auto" w:fill="auto"/>
            <w:noWrap/>
          </w:tcPr>
          <w:p w14:paraId="705E5B2A" w14:textId="77777777" w:rsidR="00191368" w:rsidRPr="00364712" w:rsidRDefault="00000000" w:rsidP="00191368">
            <w:pPr>
              <w:jc w:val="right"/>
              <w:rPr>
                <w:sz w:val="18"/>
                <w:szCs w:val="18"/>
                <w:lang w:val="en-US"/>
              </w:rPr>
            </w:pPr>
            <m:oMathPara>
              <m:oMath>
                <m:sSub>
                  <m:sSubPr>
                    <m:ctrlPr>
                      <w:rPr>
                        <w:rFonts w:ascii="Cambria Math" w:hAnsi="Cambria Math"/>
                        <w:sz w:val="18"/>
                        <w:szCs w:val="18"/>
                        <w:lang w:val="en-US"/>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i, glu</m:t>
                    </m:r>
                  </m:sub>
                </m:sSub>
              </m:oMath>
            </m:oMathPara>
          </w:p>
        </w:tc>
        <w:tc>
          <w:tcPr>
            <w:tcW w:w="1442" w:type="dxa"/>
            <w:shd w:val="clear" w:color="auto" w:fill="auto"/>
            <w:noWrap/>
            <w:vAlign w:val="center"/>
            <w:hideMark/>
          </w:tcPr>
          <w:p w14:paraId="6EDC53DD" w14:textId="77777777" w:rsidR="00191368" w:rsidRPr="00364712" w:rsidRDefault="00191368" w:rsidP="00191368">
            <w:pPr>
              <w:jc w:val="center"/>
              <w:rPr>
                <w:color w:val="000000"/>
                <w:sz w:val="18"/>
                <w:szCs w:val="18"/>
                <w:lang w:val="en-US"/>
              </w:rPr>
            </w:pPr>
            <w:r w:rsidRPr="00364712">
              <w:rPr>
                <w:color w:val="000000"/>
                <w:sz w:val="18"/>
                <w:szCs w:val="18"/>
                <w:lang w:val="en-US"/>
              </w:rPr>
              <w:t>Local</w:t>
            </w:r>
          </w:p>
        </w:tc>
        <w:tc>
          <w:tcPr>
            <w:tcW w:w="1141" w:type="dxa"/>
            <w:shd w:val="clear" w:color="auto" w:fill="auto"/>
            <w:noWrap/>
            <w:vAlign w:val="center"/>
            <w:hideMark/>
          </w:tcPr>
          <w:p w14:paraId="158A3DFF" w14:textId="77777777" w:rsidR="00191368" w:rsidRPr="00364712" w:rsidRDefault="00191368" w:rsidP="00191368">
            <w:pPr>
              <w:jc w:val="center"/>
              <w:rPr>
                <w:color w:val="000000"/>
                <w:sz w:val="18"/>
                <w:szCs w:val="18"/>
                <w:lang w:val="en-US"/>
              </w:rPr>
            </w:pPr>
            <w:r w:rsidRPr="00364712">
              <w:rPr>
                <w:color w:val="000000"/>
                <w:sz w:val="18"/>
                <w:szCs w:val="18"/>
                <w:lang w:val="en-US"/>
              </w:rPr>
              <w:t>9.747x10</w:t>
            </w:r>
            <w:r w:rsidRPr="00364712">
              <w:rPr>
                <w:color w:val="000000"/>
                <w:sz w:val="18"/>
                <w:szCs w:val="18"/>
                <w:vertAlign w:val="superscript"/>
                <w:lang w:val="en-US"/>
              </w:rPr>
              <w:t>-2</w:t>
            </w:r>
          </w:p>
        </w:tc>
        <w:tc>
          <w:tcPr>
            <w:tcW w:w="1149" w:type="dxa"/>
            <w:shd w:val="clear" w:color="auto" w:fill="auto"/>
            <w:noWrap/>
            <w:vAlign w:val="center"/>
            <w:hideMark/>
          </w:tcPr>
          <w:p w14:paraId="0A76E7D4" w14:textId="77777777" w:rsidR="00191368" w:rsidRPr="00364712" w:rsidRDefault="00191368" w:rsidP="00191368">
            <w:pPr>
              <w:jc w:val="center"/>
              <w:rPr>
                <w:color w:val="000000"/>
                <w:sz w:val="18"/>
                <w:szCs w:val="18"/>
                <w:lang w:val="en-US"/>
              </w:rPr>
            </w:pPr>
            <w:r w:rsidRPr="00364712">
              <w:rPr>
                <w:color w:val="000000"/>
                <w:sz w:val="18"/>
                <w:szCs w:val="18"/>
                <w:lang w:val="en-US"/>
              </w:rPr>
              <w:t>0.798</w:t>
            </w:r>
          </w:p>
        </w:tc>
        <w:tc>
          <w:tcPr>
            <w:tcW w:w="1144" w:type="dxa"/>
          </w:tcPr>
          <w:p w14:paraId="5A3AFD83" w14:textId="7FF48FFD" w:rsidR="00191368" w:rsidRPr="00364712" w:rsidRDefault="00191368" w:rsidP="00191368">
            <w:pPr>
              <w:jc w:val="center"/>
              <w:rPr>
                <w:color w:val="000000"/>
                <w:sz w:val="18"/>
                <w:szCs w:val="18"/>
                <w:lang w:val="en-US"/>
              </w:rPr>
            </w:pPr>
            <w:r w:rsidRPr="00364712">
              <w:rPr>
                <w:color w:val="000000"/>
                <w:sz w:val="18"/>
                <w:szCs w:val="18"/>
                <w:lang w:val="en-US"/>
              </w:rPr>
              <w:t>-</w:t>
            </w:r>
          </w:p>
        </w:tc>
        <w:tc>
          <w:tcPr>
            <w:tcW w:w="1130" w:type="dxa"/>
          </w:tcPr>
          <w:p w14:paraId="3D3D0B03" w14:textId="6444D4A5" w:rsidR="00191368" w:rsidRPr="00364712" w:rsidRDefault="00191368" w:rsidP="00191368">
            <w:pPr>
              <w:jc w:val="center"/>
              <w:rPr>
                <w:color w:val="000000"/>
                <w:sz w:val="18"/>
                <w:szCs w:val="18"/>
                <w:lang w:val="en-US"/>
              </w:rPr>
            </w:pPr>
            <w:r w:rsidRPr="00364712">
              <w:rPr>
                <w:color w:val="000000"/>
                <w:sz w:val="18"/>
                <w:szCs w:val="18"/>
                <w:lang w:val="en-US"/>
              </w:rPr>
              <w:t>-</w:t>
            </w:r>
          </w:p>
        </w:tc>
      </w:tr>
      <w:tr w:rsidR="00191368" w:rsidRPr="00364712" w14:paraId="3A98D091" w14:textId="69DC537F" w:rsidTr="00191368">
        <w:trPr>
          <w:trHeight w:val="283"/>
          <w:jc w:val="center"/>
        </w:trPr>
        <w:tc>
          <w:tcPr>
            <w:tcW w:w="1077" w:type="dxa"/>
            <w:shd w:val="clear" w:color="auto" w:fill="auto"/>
            <w:noWrap/>
          </w:tcPr>
          <w:p w14:paraId="6C979E3B" w14:textId="77777777" w:rsidR="00191368" w:rsidRPr="00364712" w:rsidRDefault="00000000" w:rsidP="00191368">
            <w:pPr>
              <w:jc w:val="right"/>
              <w:rPr>
                <w:sz w:val="18"/>
                <w:szCs w:val="18"/>
                <w:lang w:val="en-US"/>
              </w:rPr>
            </w:pPr>
            <m:oMathPara>
              <m:oMath>
                <m:sSub>
                  <m:sSubPr>
                    <m:ctrlPr>
                      <w:rPr>
                        <w:rFonts w:ascii="Cambria Math" w:hAnsi="Cambria Math"/>
                        <w:sz w:val="18"/>
                        <w:szCs w:val="18"/>
                        <w:lang w:val="en-US"/>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r</m:t>
                    </m:r>
                  </m:sub>
                </m:sSub>
              </m:oMath>
            </m:oMathPara>
          </w:p>
        </w:tc>
        <w:tc>
          <w:tcPr>
            <w:tcW w:w="1442" w:type="dxa"/>
            <w:shd w:val="clear" w:color="auto" w:fill="auto"/>
            <w:noWrap/>
            <w:vAlign w:val="center"/>
            <w:hideMark/>
          </w:tcPr>
          <w:p w14:paraId="0F9E3566" w14:textId="77777777" w:rsidR="00191368" w:rsidRPr="00364712" w:rsidRDefault="00191368" w:rsidP="00191368">
            <w:pPr>
              <w:jc w:val="center"/>
              <w:rPr>
                <w:color w:val="000000"/>
                <w:sz w:val="18"/>
                <w:szCs w:val="18"/>
                <w:lang w:val="en-US"/>
              </w:rPr>
            </w:pPr>
            <w:r w:rsidRPr="00364712">
              <w:rPr>
                <w:color w:val="000000"/>
                <w:sz w:val="18"/>
                <w:szCs w:val="18"/>
                <w:lang w:val="en-US"/>
              </w:rPr>
              <w:t>Local</w:t>
            </w:r>
          </w:p>
        </w:tc>
        <w:tc>
          <w:tcPr>
            <w:tcW w:w="1141" w:type="dxa"/>
            <w:shd w:val="clear" w:color="auto" w:fill="auto"/>
            <w:noWrap/>
            <w:vAlign w:val="center"/>
            <w:hideMark/>
          </w:tcPr>
          <w:p w14:paraId="43733630" w14:textId="77777777" w:rsidR="00191368" w:rsidRPr="00364712" w:rsidRDefault="00191368" w:rsidP="00191368">
            <w:pPr>
              <w:jc w:val="center"/>
              <w:rPr>
                <w:color w:val="000000"/>
                <w:sz w:val="18"/>
                <w:szCs w:val="18"/>
                <w:lang w:val="en-US"/>
              </w:rPr>
            </w:pPr>
            <w:r w:rsidRPr="00364712">
              <w:rPr>
                <w:color w:val="000000"/>
                <w:sz w:val="18"/>
                <w:szCs w:val="18"/>
                <w:lang w:val="en-US"/>
              </w:rPr>
              <w:t>1.452x10</w:t>
            </w:r>
            <w:r w:rsidRPr="00364712">
              <w:rPr>
                <w:color w:val="000000"/>
                <w:sz w:val="18"/>
                <w:szCs w:val="18"/>
                <w:vertAlign w:val="superscript"/>
                <w:lang w:val="en-US"/>
              </w:rPr>
              <w:t>-2</w:t>
            </w:r>
          </w:p>
        </w:tc>
        <w:tc>
          <w:tcPr>
            <w:tcW w:w="1149" w:type="dxa"/>
            <w:shd w:val="clear" w:color="auto" w:fill="auto"/>
            <w:noWrap/>
            <w:vAlign w:val="center"/>
            <w:hideMark/>
          </w:tcPr>
          <w:p w14:paraId="3940BB5F" w14:textId="77777777" w:rsidR="00191368" w:rsidRPr="00364712" w:rsidRDefault="00191368" w:rsidP="00191368">
            <w:pPr>
              <w:jc w:val="center"/>
              <w:rPr>
                <w:color w:val="000000"/>
                <w:sz w:val="18"/>
                <w:szCs w:val="18"/>
                <w:lang w:val="en-US"/>
              </w:rPr>
            </w:pPr>
            <w:r w:rsidRPr="00364712">
              <w:rPr>
                <w:color w:val="000000"/>
                <w:sz w:val="18"/>
                <w:szCs w:val="18"/>
                <w:lang w:val="en-US"/>
              </w:rPr>
              <w:t>1.39x10</w:t>
            </w:r>
            <w:r w:rsidRPr="00364712">
              <w:rPr>
                <w:color w:val="000000"/>
                <w:sz w:val="18"/>
                <w:szCs w:val="18"/>
                <w:vertAlign w:val="superscript"/>
                <w:lang w:val="en-US"/>
              </w:rPr>
              <w:t>-2</w:t>
            </w:r>
          </w:p>
        </w:tc>
        <w:tc>
          <w:tcPr>
            <w:tcW w:w="1144" w:type="dxa"/>
          </w:tcPr>
          <w:p w14:paraId="745632D0" w14:textId="02521B2B" w:rsidR="00191368" w:rsidRPr="00364712" w:rsidRDefault="00191368" w:rsidP="00191368">
            <w:pPr>
              <w:jc w:val="center"/>
              <w:rPr>
                <w:color w:val="000000"/>
                <w:sz w:val="18"/>
                <w:szCs w:val="18"/>
                <w:lang w:val="en-US"/>
              </w:rPr>
            </w:pPr>
            <w:r w:rsidRPr="00364712">
              <w:rPr>
                <w:color w:val="000000"/>
                <w:sz w:val="18"/>
                <w:szCs w:val="18"/>
                <w:lang w:val="en-US"/>
              </w:rPr>
              <w:t>-</w:t>
            </w:r>
          </w:p>
        </w:tc>
        <w:tc>
          <w:tcPr>
            <w:tcW w:w="1130" w:type="dxa"/>
          </w:tcPr>
          <w:p w14:paraId="447C0E12" w14:textId="22E8E470" w:rsidR="00191368" w:rsidRPr="00364712" w:rsidRDefault="00191368" w:rsidP="00191368">
            <w:pPr>
              <w:jc w:val="center"/>
              <w:rPr>
                <w:color w:val="000000"/>
                <w:sz w:val="18"/>
                <w:szCs w:val="18"/>
                <w:lang w:val="en-US"/>
              </w:rPr>
            </w:pPr>
            <w:r w:rsidRPr="00364712">
              <w:rPr>
                <w:color w:val="000000"/>
                <w:sz w:val="18"/>
                <w:szCs w:val="18"/>
                <w:lang w:val="en-US"/>
              </w:rPr>
              <w:t>-</w:t>
            </w:r>
          </w:p>
        </w:tc>
      </w:tr>
      <w:tr w:rsidR="00191368" w:rsidRPr="00364712" w14:paraId="0499AEEB" w14:textId="3BB84E0D" w:rsidTr="00191368">
        <w:trPr>
          <w:trHeight w:val="283"/>
          <w:jc w:val="center"/>
        </w:trPr>
        <w:tc>
          <w:tcPr>
            <w:tcW w:w="1077" w:type="dxa"/>
            <w:shd w:val="clear" w:color="auto" w:fill="auto"/>
            <w:noWrap/>
          </w:tcPr>
          <w:p w14:paraId="13862F15" w14:textId="77777777" w:rsidR="00191368" w:rsidRPr="00364712" w:rsidRDefault="00000000" w:rsidP="00191368">
            <w:pPr>
              <w:rPr>
                <w:sz w:val="18"/>
                <w:szCs w:val="18"/>
                <w:lang w:val="en-US"/>
              </w:rPr>
            </w:pPr>
            <m:oMathPara>
              <m:oMath>
                <m:sSubSup>
                  <m:sSubSupPr>
                    <m:ctrlPr>
                      <w:rPr>
                        <w:rFonts w:ascii="Cambria Math" w:hAnsi="Cambria Math"/>
                        <w:sz w:val="18"/>
                        <w:szCs w:val="18"/>
                        <w:lang w:val="en-US"/>
                      </w:rPr>
                    </m:ctrlPr>
                  </m:sSubSupPr>
                  <m:e>
                    <m:r>
                      <m:rPr>
                        <m:sty m:val="p"/>
                      </m:rPr>
                      <w:rPr>
                        <w:rFonts w:ascii="Cambria Math" w:hAnsi="Cambria Math"/>
                        <w:sz w:val="18"/>
                        <w:szCs w:val="18"/>
                        <w:lang w:val="en-US"/>
                      </w:rPr>
                      <m:t>μ</m:t>
                    </m:r>
                  </m:e>
                  <m:sub>
                    <m:r>
                      <m:rPr>
                        <m:sty m:val="p"/>
                      </m:rPr>
                      <w:rPr>
                        <w:rFonts w:ascii="Cambria Math" w:hAnsi="Cambria Math"/>
                        <w:sz w:val="18"/>
                        <w:szCs w:val="18"/>
                        <w:lang w:val="en-US"/>
                      </w:rPr>
                      <m:t>xit</m:t>
                    </m:r>
                  </m:sub>
                  <m:sup>
                    <m:r>
                      <m:rPr>
                        <m:sty m:val="p"/>
                      </m:rPr>
                      <w:rPr>
                        <w:rFonts w:ascii="Cambria Math" w:hAnsi="Cambria Math"/>
                        <w:sz w:val="18"/>
                        <w:szCs w:val="18"/>
                        <w:lang w:val="en-US"/>
                      </w:rPr>
                      <m:t>max</m:t>
                    </m:r>
                  </m:sup>
                </m:sSubSup>
              </m:oMath>
            </m:oMathPara>
          </w:p>
        </w:tc>
        <w:tc>
          <w:tcPr>
            <w:tcW w:w="1442" w:type="dxa"/>
            <w:shd w:val="clear" w:color="auto" w:fill="auto"/>
            <w:noWrap/>
            <w:vAlign w:val="center"/>
            <w:hideMark/>
          </w:tcPr>
          <w:p w14:paraId="1DC8FB64" w14:textId="77777777" w:rsidR="00191368" w:rsidRPr="00364712" w:rsidRDefault="00191368" w:rsidP="00191368">
            <w:pPr>
              <w:jc w:val="center"/>
              <w:rPr>
                <w:color w:val="000000"/>
                <w:sz w:val="18"/>
                <w:szCs w:val="18"/>
                <w:lang w:val="en-US"/>
              </w:rPr>
            </w:pPr>
            <w:r w:rsidRPr="00364712">
              <w:rPr>
                <w:color w:val="000000"/>
                <w:sz w:val="18"/>
                <w:szCs w:val="18"/>
                <w:lang w:val="en-US"/>
              </w:rPr>
              <w:t>Local</w:t>
            </w:r>
          </w:p>
        </w:tc>
        <w:tc>
          <w:tcPr>
            <w:tcW w:w="1141" w:type="dxa"/>
            <w:shd w:val="clear" w:color="auto" w:fill="auto"/>
            <w:noWrap/>
            <w:vAlign w:val="center"/>
            <w:hideMark/>
          </w:tcPr>
          <w:p w14:paraId="4260FF19" w14:textId="77777777" w:rsidR="00191368" w:rsidRPr="00364712" w:rsidRDefault="00191368" w:rsidP="00191368">
            <w:pPr>
              <w:jc w:val="center"/>
              <w:rPr>
                <w:color w:val="000000"/>
                <w:sz w:val="18"/>
                <w:szCs w:val="18"/>
                <w:lang w:val="en-US"/>
              </w:rPr>
            </w:pPr>
            <w:r w:rsidRPr="00364712">
              <w:rPr>
                <w:color w:val="000000"/>
                <w:sz w:val="18"/>
                <w:szCs w:val="18"/>
                <w:lang w:val="en-US"/>
              </w:rPr>
              <w:t>4.458x10</w:t>
            </w:r>
            <w:r w:rsidRPr="00364712">
              <w:rPr>
                <w:color w:val="000000"/>
                <w:sz w:val="18"/>
                <w:szCs w:val="18"/>
                <w:vertAlign w:val="superscript"/>
                <w:lang w:val="en-US"/>
              </w:rPr>
              <w:t>-3</w:t>
            </w:r>
          </w:p>
        </w:tc>
        <w:tc>
          <w:tcPr>
            <w:tcW w:w="1149" w:type="dxa"/>
            <w:shd w:val="clear" w:color="auto" w:fill="auto"/>
            <w:noWrap/>
            <w:vAlign w:val="center"/>
            <w:hideMark/>
          </w:tcPr>
          <w:p w14:paraId="629FD97D" w14:textId="77777777" w:rsidR="00191368" w:rsidRPr="00364712" w:rsidRDefault="00191368" w:rsidP="00191368">
            <w:pPr>
              <w:jc w:val="center"/>
              <w:rPr>
                <w:color w:val="000000"/>
                <w:sz w:val="18"/>
                <w:szCs w:val="18"/>
                <w:lang w:val="en-US"/>
              </w:rPr>
            </w:pPr>
            <w:r w:rsidRPr="00364712">
              <w:rPr>
                <w:color w:val="000000"/>
                <w:sz w:val="18"/>
                <w:szCs w:val="18"/>
                <w:lang w:val="en-US"/>
              </w:rPr>
              <w:t>2.26x10</w:t>
            </w:r>
            <w:r w:rsidRPr="00364712">
              <w:rPr>
                <w:color w:val="000000"/>
                <w:sz w:val="18"/>
                <w:szCs w:val="18"/>
                <w:vertAlign w:val="superscript"/>
                <w:lang w:val="en-US"/>
              </w:rPr>
              <w:t>-3</w:t>
            </w:r>
          </w:p>
        </w:tc>
        <w:tc>
          <w:tcPr>
            <w:tcW w:w="1144" w:type="dxa"/>
          </w:tcPr>
          <w:p w14:paraId="51C48B39" w14:textId="470D719C" w:rsidR="00191368" w:rsidRPr="00364712" w:rsidRDefault="00191368" w:rsidP="00191368">
            <w:pPr>
              <w:jc w:val="center"/>
              <w:rPr>
                <w:color w:val="000000"/>
                <w:sz w:val="18"/>
                <w:szCs w:val="18"/>
                <w:lang w:val="en-US"/>
              </w:rPr>
            </w:pPr>
            <w:r w:rsidRPr="00364712">
              <w:rPr>
                <w:sz w:val="18"/>
                <w:szCs w:val="18"/>
              </w:rPr>
              <w:t>0.189</w:t>
            </w:r>
          </w:p>
        </w:tc>
        <w:tc>
          <w:tcPr>
            <w:tcW w:w="1130" w:type="dxa"/>
            <w:vAlign w:val="center"/>
          </w:tcPr>
          <w:p w14:paraId="0D124BBB" w14:textId="6F1BF95A" w:rsidR="00191368" w:rsidRPr="00364712" w:rsidRDefault="00191368" w:rsidP="00191368">
            <w:pPr>
              <w:jc w:val="center"/>
              <w:rPr>
                <w:color w:val="000000"/>
                <w:sz w:val="18"/>
                <w:szCs w:val="18"/>
                <w:lang w:val="en-US"/>
              </w:rPr>
            </w:pPr>
            <w:r w:rsidRPr="00364712">
              <w:rPr>
                <w:color w:val="000000"/>
                <w:sz w:val="18"/>
                <w:szCs w:val="18"/>
              </w:rPr>
              <w:t>4</w:t>
            </w:r>
            <w:r w:rsidRPr="00364712">
              <w:rPr>
                <w:sz w:val="18"/>
                <w:szCs w:val="18"/>
              </w:rPr>
              <w:t>x10</w:t>
            </w:r>
            <w:r w:rsidRPr="00364712">
              <w:rPr>
                <w:sz w:val="18"/>
                <w:szCs w:val="18"/>
                <w:vertAlign w:val="superscript"/>
              </w:rPr>
              <w:t>3</w:t>
            </w:r>
            <w:r w:rsidRPr="00364712">
              <w:rPr>
                <w:color w:val="000000"/>
                <w:sz w:val="18"/>
                <w:szCs w:val="18"/>
              </w:rPr>
              <w:t xml:space="preserve"> %</w:t>
            </w:r>
          </w:p>
        </w:tc>
      </w:tr>
      <w:tr w:rsidR="00191368" w:rsidRPr="00364712" w14:paraId="03EDD2F7" w14:textId="53279132" w:rsidTr="00191368">
        <w:trPr>
          <w:trHeight w:val="283"/>
          <w:jc w:val="center"/>
        </w:trPr>
        <w:tc>
          <w:tcPr>
            <w:tcW w:w="1077" w:type="dxa"/>
            <w:shd w:val="clear" w:color="auto" w:fill="auto"/>
            <w:noWrap/>
          </w:tcPr>
          <w:p w14:paraId="16D82665" w14:textId="77777777" w:rsidR="00191368" w:rsidRPr="00364712" w:rsidRDefault="00000000" w:rsidP="00191368">
            <w:pPr>
              <w:rPr>
                <w:sz w:val="18"/>
                <w:szCs w:val="18"/>
                <w:lang w:val="en-US"/>
              </w:rPr>
            </w:pPr>
            <m:oMathPara>
              <m:oMath>
                <m:sSub>
                  <m:sSubPr>
                    <m:ctrlPr>
                      <w:rPr>
                        <w:rFonts w:ascii="Cambria Math" w:hAnsi="Cambria Math"/>
                        <w:sz w:val="18"/>
                        <w:szCs w:val="18"/>
                        <w:lang w:val="en-US"/>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S,xil</m:t>
                    </m:r>
                  </m:sub>
                </m:sSub>
              </m:oMath>
            </m:oMathPara>
          </w:p>
        </w:tc>
        <w:tc>
          <w:tcPr>
            <w:tcW w:w="1442" w:type="dxa"/>
            <w:shd w:val="clear" w:color="auto" w:fill="auto"/>
            <w:noWrap/>
            <w:vAlign w:val="center"/>
            <w:hideMark/>
          </w:tcPr>
          <w:p w14:paraId="7D45ACEE" w14:textId="77777777" w:rsidR="00191368" w:rsidRPr="00364712" w:rsidRDefault="00191368" w:rsidP="00191368">
            <w:pPr>
              <w:jc w:val="center"/>
              <w:rPr>
                <w:color w:val="000000"/>
                <w:sz w:val="18"/>
                <w:szCs w:val="18"/>
                <w:lang w:val="en-US"/>
              </w:rPr>
            </w:pPr>
            <w:r w:rsidRPr="00364712">
              <w:rPr>
                <w:color w:val="000000"/>
                <w:sz w:val="18"/>
                <w:szCs w:val="18"/>
                <w:lang w:val="en-US"/>
              </w:rPr>
              <w:t>Local</w:t>
            </w:r>
          </w:p>
        </w:tc>
        <w:tc>
          <w:tcPr>
            <w:tcW w:w="1141" w:type="dxa"/>
            <w:shd w:val="clear" w:color="auto" w:fill="auto"/>
            <w:noWrap/>
            <w:vAlign w:val="center"/>
            <w:hideMark/>
          </w:tcPr>
          <w:p w14:paraId="75082829" w14:textId="77777777" w:rsidR="00191368" w:rsidRPr="00364712" w:rsidRDefault="00191368" w:rsidP="00191368">
            <w:pPr>
              <w:jc w:val="center"/>
              <w:rPr>
                <w:color w:val="000000"/>
                <w:sz w:val="18"/>
                <w:szCs w:val="18"/>
                <w:lang w:val="en-US"/>
              </w:rPr>
            </w:pPr>
            <w:r w:rsidRPr="00364712">
              <w:rPr>
                <w:color w:val="000000"/>
                <w:sz w:val="18"/>
                <w:szCs w:val="18"/>
                <w:lang w:val="en-US"/>
              </w:rPr>
              <w:t>5.909x10</w:t>
            </w:r>
            <w:r w:rsidRPr="00364712">
              <w:rPr>
                <w:color w:val="000000"/>
                <w:sz w:val="18"/>
                <w:szCs w:val="18"/>
                <w:vertAlign w:val="superscript"/>
                <w:lang w:val="en-US"/>
              </w:rPr>
              <w:t>-3</w:t>
            </w:r>
          </w:p>
        </w:tc>
        <w:tc>
          <w:tcPr>
            <w:tcW w:w="1149" w:type="dxa"/>
            <w:shd w:val="clear" w:color="auto" w:fill="auto"/>
            <w:noWrap/>
            <w:vAlign w:val="center"/>
            <w:hideMark/>
          </w:tcPr>
          <w:p w14:paraId="061F901D" w14:textId="77777777" w:rsidR="00191368" w:rsidRPr="00364712" w:rsidRDefault="00191368" w:rsidP="00191368">
            <w:pPr>
              <w:jc w:val="center"/>
              <w:rPr>
                <w:color w:val="000000"/>
                <w:sz w:val="18"/>
                <w:szCs w:val="18"/>
                <w:lang w:val="en-US"/>
              </w:rPr>
            </w:pPr>
            <w:r w:rsidRPr="00364712">
              <w:rPr>
                <w:color w:val="000000"/>
                <w:sz w:val="18"/>
                <w:szCs w:val="18"/>
                <w:lang w:val="en-US"/>
              </w:rPr>
              <w:t>4.34x10</w:t>
            </w:r>
            <w:r w:rsidRPr="00364712">
              <w:rPr>
                <w:color w:val="000000"/>
                <w:sz w:val="18"/>
                <w:szCs w:val="18"/>
                <w:vertAlign w:val="superscript"/>
                <w:lang w:val="en-US"/>
              </w:rPr>
              <w:t>-3</w:t>
            </w:r>
          </w:p>
        </w:tc>
        <w:tc>
          <w:tcPr>
            <w:tcW w:w="1144" w:type="dxa"/>
          </w:tcPr>
          <w:p w14:paraId="250ABCDD" w14:textId="78256902" w:rsidR="00191368" w:rsidRPr="00364712" w:rsidRDefault="00191368" w:rsidP="00191368">
            <w:pPr>
              <w:jc w:val="center"/>
              <w:rPr>
                <w:color w:val="000000"/>
                <w:sz w:val="18"/>
                <w:szCs w:val="18"/>
                <w:lang w:val="en-US"/>
              </w:rPr>
            </w:pPr>
            <w:r w:rsidRPr="00364712">
              <w:rPr>
                <w:sz w:val="18"/>
                <w:szCs w:val="18"/>
              </w:rPr>
              <w:t>11.761</w:t>
            </w:r>
          </w:p>
        </w:tc>
        <w:tc>
          <w:tcPr>
            <w:tcW w:w="1130" w:type="dxa"/>
            <w:vAlign w:val="center"/>
          </w:tcPr>
          <w:p w14:paraId="402D6DE4" w14:textId="25E0E610" w:rsidR="00191368" w:rsidRPr="00364712" w:rsidRDefault="00191368" w:rsidP="00191368">
            <w:pPr>
              <w:jc w:val="center"/>
              <w:rPr>
                <w:color w:val="000000"/>
                <w:sz w:val="18"/>
                <w:szCs w:val="18"/>
                <w:lang w:val="en-US"/>
              </w:rPr>
            </w:pPr>
            <w:r w:rsidRPr="00364712">
              <w:rPr>
                <w:sz w:val="18"/>
                <w:szCs w:val="18"/>
              </w:rPr>
              <w:t>198x10</w:t>
            </w:r>
            <w:r w:rsidRPr="00364712">
              <w:rPr>
                <w:sz w:val="18"/>
                <w:szCs w:val="18"/>
                <w:vertAlign w:val="superscript"/>
              </w:rPr>
              <w:t xml:space="preserve">3 </w:t>
            </w:r>
            <w:r w:rsidRPr="00364712">
              <w:rPr>
                <w:sz w:val="18"/>
                <w:szCs w:val="18"/>
              </w:rPr>
              <w:t>%</w:t>
            </w:r>
          </w:p>
        </w:tc>
      </w:tr>
      <w:tr w:rsidR="00191368" w:rsidRPr="00364712" w14:paraId="2CAEE7C0" w14:textId="29DDA217" w:rsidTr="00191368">
        <w:trPr>
          <w:trHeight w:val="283"/>
          <w:jc w:val="center"/>
        </w:trPr>
        <w:tc>
          <w:tcPr>
            <w:tcW w:w="1077" w:type="dxa"/>
            <w:shd w:val="clear" w:color="auto" w:fill="auto"/>
            <w:noWrap/>
          </w:tcPr>
          <w:p w14:paraId="55C2FA16" w14:textId="77777777" w:rsidR="00191368" w:rsidRPr="00364712" w:rsidRDefault="00000000" w:rsidP="00191368">
            <w:pPr>
              <w:rPr>
                <w:sz w:val="18"/>
                <w:szCs w:val="18"/>
                <w:lang w:val="en-US"/>
              </w:rPr>
            </w:pPr>
            <m:oMathPara>
              <m:oMath>
                <m:sSub>
                  <m:sSubPr>
                    <m:ctrlPr>
                      <w:rPr>
                        <w:rFonts w:ascii="Cambria Math" w:hAnsi="Cambria Math"/>
                        <w:sz w:val="18"/>
                        <w:szCs w:val="18"/>
                        <w:lang w:val="en-US"/>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S,xit</m:t>
                    </m:r>
                  </m:sub>
                </m:sSub>
              </m:oMath>
            </m:oMathPara>
          </w:p>
        </w:tc>
        <w:tc>
          <w:tcPr>
            <w:tcW w:w="1442" w:type="dxa"/>
            <w:shd w:val="clear" w:color="auto" w:fill="auto"/>
            <w:noWrap/>
            <w:vAlign w:val="center"/>
            <w:hideMark/>
          </w:tcPr>
          <w:p w14:paraId="34010C36" w14:textId="77777777" w:rsidR="00191368" w:rsidRPr="00364712" w:rsidRDefault="00191368" w:rsidP="00191368">
            <w:pPr>
              <w:jc w:val="center"/>
              <w:rPr>
                <w:color w:val="000000"/>
                <w:sz w:val="18"/>
                <w:szCs w:val="18"/>
                <w:lang w:val="en-US"/>
              </w:rPr>
            </w:pPr>
            <w:r w:rsidRPr="00364712">
              <w:rPr>
                <w:color w:val="000000"/>
                <w:sz w:val="18"/>
                <w:szCs w:val="18"/>
                <w:lang w:val="en-US"/>
              </w:rPr>
              <w:t>Local</w:t>
            </w:r>
          </w:p>
        </w:tc>
        <w:tc>
          <w:tcPr>
            <w:tcW w:w="1141" w:type="dxa"/>
            <w:shd w:val="clear" w:color="auto" w:fill="auto"/>
            <w:noWrap/>
            <w:vAlign w:val="center"/>
            <w:hideMark/>
          </w:tcPr>
          <w:p w14:paraId="273E54E0" w14:textId="77777777" w:rsidR="00191368" w:rsidRPr="00364712" w:rsidRDefault="00191368" w:rsidP="00191368">
            <w:pPr>
              <w:jc w:val="center"/>
              <w:rPr>
                <w:color w:val="000000"/>
                <w:sz w:val="18"/>
                <w:szCs w:val="18"/>
                <w:lang w:val="en-US"/>
              </w:rPr>
            </w:pPr>
            <w:r w:rsidRPr="00364712">
              <w:rPr>
                <w:color w:val="000000"/>
                <w:sz w:val="18"/>
                <w:szCs w:val="18"/>
                <w:lang w:val="en-US"/>
              </w:rPr>
              <w:t>5.116x10</w:t>
            </w:r>
            <w:r w:rsidRPr="00364712">
              <w:rPr>
                <w:color w:val="000000"/>
                <w:sz w:val="18"/>
                <w:szCs w:val="18"/>
                <w:vertAlign w:val="superscript"/>
                <w:lang w:val="en-US"/>
              </w:rPr>
              <w:t>-5</w:t>
            </w:r>
          </w:p>
        </w:tc>
        <w:tc>
          <w:tcPr>
            <w:tcW w:w="1149" w:type="dxa"/>
            <w:shd w:val="clear" w:color="auto" w:fill="auto"/>
            <w:noWrap/>
            <w:vAlign w:val="center"/>
            <w:hideMark/>
          </w:tcPr>
          <w:p w14:paraId="5D74B1E9" w14:textId="77777777" w:rsidR="00191368" w:rsidRPr="00364712" w:rsidRDefault="00191368" w:rsidP="00191368">
            <w:pPr>
              <w:jc w:val="center"/>
              <w:rPr>
                <w:color w:val="000000"/>
                <w:sz w:val="18"/>
                <w:szCs w:val="18"/>
                <w:lang w:val="en-US"/>
              </w:rPr>
            </w:pPr>
            <w:r w:rsidRPr="00364712">
              <w:rPr>
                <w:color w:val="000000"/>
                <w:sz w:val="18"/>
                <w:szCs w:val="18"/>
                <w:lang w:val="en-US"/>
              </w:rPr>
              <w:t>1.99x10</w:t>
            </w:r>
            <w:r w:rsidRPr="00364712">
              <w:rPr>
                <w:color w:val="000000"/>
                <w:sz w:val="18"/>
                <w:szCs w:val="18"/>
                <w:vertAlign w:val="superscript"/>
                <w:lang w:val="en-US"/>
              </w:rPr>
              <w:t>-5</w:t>
            </w:r>
          </w:p>
        </w:tc>
        <w:tc>
          <w:tcPr>
            <w:tcW w:w="1144" w:type="dxa"/>
          </w:tcPr>
          <w:p w14:paraId="131099D6" w14:textId="76BDC6FD" w:rsidR="00191368" w:rsidRPr="00364712" w:rsidRDefault="00191368" w:rsidP="00191368">
            <w:pPr>
              <w:jc w:val="center"/>
              <w:rPr>
                <w:color w:val="000000"/>
                <w:sz w:val="18"/>
                <w:szCs w:val="18"/>
                <w:lang w:val="en-US"/>
              </w:rPr>
            </w:pPr>
            <w:r w:rsidRPr="00364712">
              <w:rPr>
                <w:sz w:val="18"/>
                <w:szCs w:val="18"/>
              </w:rPr>
              <w:t>16.06</w:t>
            </w:r>
          </w:p>
        </w:tc>
        <w:tc>
          <w:tcPr>
            <w:tcW w:w="1130" w:type="dxa"/>
            <w:vAlign w:val="center"/>
          </w:tcPr>
          <w:p w14:paraId="36A0132A" w14:textId="1892EE13" w:rsidR="00191368" w:rsidRPr="00364712" w:rsidRDefault="00191368" w:rsidP="00191368">
            <w:pPr>
              <w:jc w:val="center"/>
              <w:rPr>
                <w:color w:val="000000"/>
                <w:sz w:val="18"/>
                <w:szCs w:val="18"/>
                <w:lang w:val="en-US"/>
              </w:rPr>
            </w:pPr>
            <w:r w:rsidRPr="00364712">
              <w:rPr>
                <w:sz w:val="18"/>
                <w:szCs w:val="18"/>
              </w:rPr>
              <w:t>31x10</w:t>
            </w:r>
            <w:r w:rsidRPr="00364712">
              <w:rPr>
                <w:sz w:val="18"/>
                <w:szCs w:val="18"/>
                <w:vertAlign w:val="superscript"/>
              </w:rPr>
              <w:t>6</w:t>
            </w:r>
            <w:r w:rsidRPr="00364712">
              <w:rPr>
                <w:sz w:val="18"/>
                <w:szCs w:val="18"/>
              </w:rPr>
              <w:t xml:space="preserve"> %</w:t>
            </w:r>
          </w:p>
        </w:tc>
      </w:tr>
      <w:tr w:rsidR="00191368" w:rsidRPr="00364712" w14:paraId="496D96AC" w14:textId="7357D5C2" w:rsidTr="00191368">
        <w:trPr>
          <w:trHeight w:val="283"/>
          <w:jc w:val="center"/>
        </w:trPr>
        <w:tc>
          <w:tcPr>
            <w:tcW w:w="1077" w:type="dxa"/>
            <w:shd w:val="clear" w:color="auto" w:fill="auto"/>
            <w:noWrap/>
          </w:tcPr>
          <w:p w14:paraId="4CFD760F" w14:textId="77777777" w:rsidR="00191368" w:rsidRPr="00364712" w:rsidRDefault="00000000" w:rsidP="00191368">
            <w:pPr>
              <w:rPr>
                <w:sz w:val="18"/>
                <w:szCs w:val="18"/>
                <w:lang w:val="en-US"/>
              </w:rPr>
            </w:pPr>
            <m:oMathPara>
              <m:oMath>
                <m:sSubSup>
                  <m:sSubSupPr>
                    <m:ctrlPr>
                      <w:rPr>
                        <w:rFonts w:ascii="Cambria Math" w:hAnsi="Cambria Math"/>
                        <w:sz w:val="18"/>
                        <w:szCs w:val="18"/>
                        <w:lang w:val="en-US"/>
                      </w:rPr>
                    </m:ctrlPr>
                  </m:sSubSupPr>
                  <m:e>
                    <m:r>
                      <m:rPr>
                        <m:sty m:val="p"/>
                      </m:rPr>
                      <w:rPr>
                        <w:rFonts w:ascii="Cambria Math" w:hAnsi="Cambria Math"/>
                        <w:sz w:val="18"/>
                        <w:szCs w:val="18"/>
                        <w:lang w:val="en-US"/>
                      </w:rPr>
                      <m:t>q</m:t>
                    </m:r>
                  </m:e>
                  <m:sub>
                    <m:r>
                      <m:rPr>
                        <m:sty m:val="p"/>
                      </m:rPr>
                      <w:rPr>
                        <w:rFonts w:ascii="Cambria Math" w:hAnsi="Cambria Math"/>
                        <w:sz w:val="18"/>
                        <w:szCs w:val="18"/>
                        <w:lang w:val="en-US"/>
                      </w:rPr>
                      <m:t>xil</m:t>
                    </m:r>
                  </m:sub>
                  <m:sup>
                    <m:r>
                      <m:rPr>
                        <m:sty m:val="p"/>
                      </m:rPr>
                      <w:rPr>
                        <w:rFonts w:ascii="Cambria Math" w:hAnsi="Cambria Math"/>
                        <w:sz w:val="18"/>
                        <w:szCs w:val="18"/>
                        <w:lang w:val="en-US"/>
                      </w:rPr>
                      <m:t>max</m:t>
                    </m:r>
                  </m:sup>
                </m:sSubSup>
              </m:oMath>
            </m:oMathPara>
          </w:p>
        </w:tc>
        <w:tc>
          <w:tcPr>
            <w:tcW w:w="1442" w:type="dxa"/>
            <w:shd w:val="clear" w:color="auto" w:fill="auto"/>
            <w:noWrap/>
            <w:vAlign w:val="center"/>
            <w:hideMark/>
          </w:tcPr>
          <w:p w14:paraId="32A6F7F7" w14:textId="77777777" w:rsidR="00191368" w:rsidRPr="00364712" w:rsidRDefault="00191368" w:rsidP="00191368">
            <w:pPr>
              <w:jc w:val="center"/>
              <w:rPr>
                <w:color w:val="000000"/>
                <w:sz w:val="18"/>
                <w:szCs w:val="18"/>
                <w:lang w:val="en-US"/>
              </w:rPr>
            </w:pPr>
            <w:r w:rsidRPr="00364712">
              <w:rPr>
                <w:color w:val="000000"/>
                <w:sz w:val="18"/>
                <w:szCs w:val="18"/>
                <w:lang w:val="en-US"/>
              </w:rPr>
              <w:t>Local</w:t>
            </w:r>
          </w:p>
        </w:tc>
        <w:tc>
          <w:tcPr>
            <w:tcW w:w="1141" w:type="dxa"/>
            <w:shd w:val="clear" w:color="auto" w:fill="auto"/>
            <w:noWrap/>
            <w:vAlign w:val="center"/>
            <w:hideMark/>
          </w:tcPr>
          <w:p w14:paraId="4A838264" w14:textId="77777777" w:rsidR="00191368" w:rsidRPr="00364712" w:rsidRDefault="00191368" w:rsidP="00191368">
            <w:pPr>
              <w:jc w:val="center"/>
              <w:rPr>
                <w:color w:val="000000"/>
                <w:sz w:val="18"/>
                <w:szCs w:val="18"/>
                <w:lang w:val="en-US"/>
              </w:rPr>
            </w:pPr>
            <w:r w:rsidRPr="00364712">
              <w:rPr>
                <w:color w:val="000000"/>
                <w:sz w:val="18"/>
                <w:szCs w:val="18"/>
                <w:lang w:val="en-US"/>
              </w:rPr>
              <w:t>8.284x10</w:t>
            </w:r>
            <w:r w:rsidRPr="00364712">
              <w:rPr>
                <w:color w:val="000000"/>
                <w:sz w:val="18"/>
                <w:szCs w:val="18"/>
                <w:vertAlign w:val="superscript"/>
                <w:lang w:val="en-US"/>
              </w:rPr>
              <w:t>-2</w:t>
            </w:r>
          </w:p>
        </w:tc>
        <w:tc>
          <w:tcPr>
            <w:tcW w:w="1149" w:type="dxa"/>
            <w:shd w:val="clear" w:color="auto" w:fill="auto"/>
            <w:noWrap/>
            <w:vAlign w:val="center"/>
            <w:hideMark/>
          </w:tcPr>
          <w:p w14:paraId="2C4EB1DF" w14:textId="77777777" w:rsidR="00191368" w:rsidRPr="00364712" w:rsidRDefault="00191368" w:rsidP="00191368">
            <w:pPr>
              <w:jc w:val="center"/>
              <w:rPr>
                <w:color w:val="000000"/>
                <w:sz w:val="18"/>
                <w:szCs w:val="18"/>
                <w:lang w:val="en-US"/>
              </w:rPr>
            </w:pPr>
            <w:r w:rsidRPr="00364712">
              <w:rPr>
                <w:color w:val="000000"/>
                <w:sz w:val="18"/>
                <w:szCs w:val="18"/>
                <w:lang w:val="en-US"/>
              </w:rPr>
              <w:t>3.47x10</w:t>
            </w:r>
            <w:r w:rsidRPr="00364712">
              <w:rPr>
                <w:color w:val="000000"/>
                <w:sz w:val="18"/>
                <w:szCs w:val="18"/>
                <w:vertAlign w:val="superscript"/>
                <w:lang w:val="en-US"/>
              </w:rPr>
              <w:t>-4</w:t>
            </w:r>
          </w:p>
        </w:tc>
        <w:tc>
          <w:tcPr>
            <w:tcW w:w="1144" w:type="dxa"/>
          </w:tcPr>
          <w:p w14:paraId="0006E2D9" w14:textId="3E9CA917" w:rsidR="00191368" w:rsidRPr="00364712" w:rsidRDefault="00191368" w:rsidP="00191368">
            <w:pPr>
              <w:jc w:val="center"/>
              <w:rPr>
                <w:color w:val="000000"/>
                <w:sz w:val="18"/>
                <w:szCs w:val="18"/>
                <w:lang w:val="en-US"/>
              </w:rPr>
            </w:pPr>
            <w:r w:rsidRPr="00364712">
              <w:rPr>
                <w:sz w:val="18"/>
                <w:szCs w:val="18"/>
              </w:rPr>
              <w:t>0.342</w:t>
            </w:r>
          </w:p>
        </w:tc>
        <w:tc>
          <w:tcPr>
            <w:tcW w:w="1130" w:type="dxa"/>
            <w:vAlign w:val="center"/>
          </w:tcPr>
          <w:p w14:paraId="053663E8" w14:textId="0B52ABF6" w:rsidR="00191368" w:rsidRPr="00364712" w:rsidRDefault="00191368" w:rsidP="00191368">
            <w:pPr>
              <w:jc w:val="center"/>
              <w:rPr>
                <w:color w:val="000000"/>
                <w:sz w:val="18"/>
                <w:szCs w:val="18"/>
                <w:lang w:val="en-US"/>
              </w:rPr>
            </w:pPr>
            <w:r w:rsidRPr="00364712">
              <w:rPr>
                <w:color w:val="000000"/>
                <w:sz w:val="18"/>
                <w:szCs w:val="18"/>
              </w:rPr>
              <w:t>312 %</w:t>
            </w:r>
          </w:p>
        </w:tc>
      </w:tr>
      <w:tr w:rsidR="00191368" w:rsidRPr="00364712" w14:paraId="1EE3FA6F" w14:textId="12A37714" w:rsidTr="00191368">
        <w:trPr>
          <w:trHeight w:val="283"/>
          <w:jc w:val="center"/>
        </w:trPr>
        <w:tc>
          <w:tcPr>
            <w:tcW w:w="1077" w:type="dxa"/>
            <w:shd w:val="clear" w:color="auto" w:fill="auto"/>
            <w:noWrap/>
          </w:tcPr>
          <w:p w14:paraId="0C3A0FDE" w14:textId="77777777" w:rsidR="00191368" w:rsidRPr="00364712" w:rsidRDefault="00000000" w:rsidP="00191368">
            <w:pPr>
              <w:rPr>
                <w:sz w:val="18"/>
                <w:szCs w:val="18"/>
                <w:lang w:val="en-US"/>
              </w:rPr>
            </w:pPr>
            <m:oMathPara>
              <m:oMath>
                <m:sSub>
                  <m:sSubPr>
                    <m:ctrlPr>
                      <w:rPr>
                        <w:rFonts w:ascii="Cambria Math" w:hAnsi="Cambria Math"/>
                        <w:sz w:val="18"/>
                        <w:szCs w:val="18"/>
                        <w:lang w:val="en-US"/>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i,xil</m:t>
                    </m:r>
                  </m:sub>
                </m:sSub>
              </m:oMath>
            </m:oMathPara>
          </w:p>
        </w:tc>
        <w:tc>
          <w:tcPr>
            <w:tcW w:w="1442" w:type="dxa"/>
            <w:shd w:val="clear" w:color="auto" w:fill="auto"/>
            <w:noWrap/>
            <w:vAlign w:val="center"/>
            <w:hideMark/>
          </w:tcPr>
          <w:p w14:paraId="2A7F60C9" w14:textId="77777777" w:rsidR="00191368" w:rsidRPr="00364712" w:rsidRDefault="00191368" w:rsidP="00191368">
            <w:pPr>
              <w:jc w:val="center"/>
              <w:rPr>
                <w:color w:val="000000"/>
                <w:sz w:val="18"/>
                <w:szCs w:val="18"/>
                <w:lang w:val="en-US"/>
              </w:rPr>
            </w:pPr>
            <w:r w:rsidRPr="00364712">
              <w:rPr>
                <w:color w:val="000000"/>
                <w:sz w:val="18"/>
                <w:szCs w:val="18"/>
                <w:lang w:val="en-US"/>
              </w:rPr>
              <w:t>Local</w:t>
            </w:r>
          </w:p>
        </w:tc>
        <w:tc>
          <w:tcPr>
            <w:tcW w:w="1141" w:type="dxa"/>
            <w:shd w:val="clear" w:color="auto" w:fill="auto"/>
            <w:noWrap/>
            <w:vAlign w:val="center"/>
            <w:hideMark/>
          </w:tcPr>
          <w:p w14:paraId="73B0CE24" w14:textId="77777777" w:rsidR="00191368" w:rsidRPr="00364712" w:rsidRDefault="00191368" w:rsidP="00191368">
            <w:pPr>
              <w:jc w:val="center"/>
              <w:rPr>
                <w:color w:val="000000"/>
                <w:sz w:val="18"/>
                <w:szCs w:val="18"/>
                <w:lang w:val="en-US"/>
              </w:rPr>
            </w:pPr>
            <w:r w:rsidRPr="00364712">
              <w:rPr>
                <w:color w:val="000000"/>
                <w:sz w:val="18"/>
                <w:szCs w:val="18"/>
                <w:lang w:val="en-US"/>
              </w:rPr>
              <w:t>19.318</w:t>
            </w:r>
          </w:p>
        </w:tc>
        <w:tc>
          <w:tcPr>
            <w:tcW w:w="1149" w:type="dxa"/>
            <w:shd w:val="clear" w:color="auto" w:fill="auto"/>
            <w:noWrap/>
            <w:vAlign w:val="center"/>
            <w:hideMark/>
          </w:tcPr>
          <w:p w14:paraId="3A981752" w14:textId="77777777" w:rsidR="00191368" w:rsidRPr="00364712" w:rsidRDefault="00191368" w:rsidP="00191368">
            <w:pPr>
              <w:jc w:val="center"/>
              <w:rPr>
                <w:color w:val="000000"/>
                <w:sz w:val="18"/>
                <w:szCs w:val="18"/>
                <w:lang w:val="en-US"/>
              </w:rPr>
            </w:pPr>
            <w:r w:rsidRPr="00364712">
              <w:rPr>
                <w:color w:val="000000"/>
                <w:sz w:val="18"/>
                <w:szCs w:val="18"/>
                <w:lang w:val="en-US"/>
              </w:rPr>
              <w:t>0.28</w:t>
            </w:r>
          </w:p>
        </w:tc>
        <w:tc>
          <w:tcPr>
            <w:tcW w:w="1144" w:type="dxa"/>
          </w:tcPr>
          <w:p w14:paraId="6757068C" w14:textId="5D4DDAF3" w:rsidR="00191368" w:rsidRPr="00364712" w:rsidRDefault="00191368" w:rsidP="00191368">
            <w:pPr>
              <w:jc w:val="center"/>
              <w:rPr>
                <w:color w:val="000000"/>
                <w:sz w:val="18"/>
                <w:szCs w:val="18"/>
                <w:lang w:val="en-US"/>
              </w:rPr>
            </w:pPr>
            <w:r w:rsidRPr="00364712">
              <w:rPr>
                <w:color w:val="000000"/>
                <w:sz w:val="18"/>
                <w:szCs w:val="18"/>
                <w:lang w:val="en-US"/>
              </w:rPr>
              <w:t>-</w:t>
            </w:r>
          </w:p>
        </w:tc>
        <w:tc>
          <w:tcPr>
            <w:tcW w:w="1130" w:type="dxa"/>
          </w:tcPr>
          <w:p w14:paraId="241BEBCC" w14:textId="0ED594B1" w:rsidR="00191368" w:rsidRPr="00364712" w:rsidRDefault="00191368" w:rsidP="00191368">
            <w:pPr>
              <w:jc w:val="center"/>
              <w:rPr>
                <w:color w:val="000000"/>
                <w:sz w:val="18"/>
                <w:szCs w:val="18"/>
                <w:lang w:val="en-US"/>
              </w:rPr>
            </w:pPr>
            <w:r w:rsidRPr="00364712">
              <w:rPr>
                <w:color w:val="000000"/>
                <w:sz w:val="18"/>
                <w:szCs w:val="18"/>
                <w:lang w:val="en-US"/>
              </w:rPr>
              <w:t>-</w:t>
            </w:r>
          </w:p>
        </w:tc>
      </w:tr>
      <w:tr w:rsidR="00191368" w:rsidRPr="00364712" w14:paraId="7AB91F68" w14:textId="5E31A70E" w:rsidTr="00191368">
        <w:trPr>
          <w:trHeight w:val="283"/>
          <w:jc w:val="center"/>
        </w:trPr>
        <w:tc>
          <w:tcPr>
            <w:tcW w:w="1077" w:type="dxa"/>
            <w:tcBorders>
              <w:bottom w:val="single" w:sz="4" w:space="0" w:color="auto"/>
            </w:tcBorders>
            <w:shd w:val="clear" w:color="auto" w:fill="auto"/>
            <w:noWrap/>
            <w:hideMark/>
          </w:tcPr>
          <w:p w14:paraId="2B0B3956" w14:textId="77777777" w:rsidR="00191368" w:rsidRPr="00364712" w:rsidRDefault="00000000" w:rsidP="00191368">
            <w:pPr>
              <w:rPr>
                <w:sz w:val="18"/>
                <w:szCs w:val="18"/>
                <w:lang w:val="en-US"/>
              </w:rPr>
            </w:pPr>
            <m:oMathPara>
              <m:oMath>
                <m:sSub>
                  <m:sSubPr>
                    <m:ctrlPr>
                      <w:rPr>
                        <w:rFonts w:ascii="Cambria Math" w:hAnsi="Cambria Math"/>
                        <w:sz w:val="18"/>
                        <w:szCs w:val="18"/>
                        <w:lang w:val="en-US"/>
                      </w:rPr>
                    </m:ctrlPr>
                  </m:sSubPr>
                  <m:e>
                    <m:r>
                      <m:rPr>
                        <m:sty m:val="p"/>
                      </m:rPr>
                      <w:rPr>
                        <w:rFonts w:ascii="Cambria Math" w:hAnsi="Cambria Math"/>
                        <w:sz w:val="18"/>
                        <w:szCs w:val="18"/>
                        <w:lang w:val="en-US"/>
                      </w:rPr>
                      <m:t>P</m:t>
                    </m:r>
                  </m:e>
                  <m:sub>
                    <m:r>
                      <m:rPr>
                        <m:sty m:val="p"/>
                      </m:rPr>
                      <w:rPr>
                        <w:rFonts w:ascii="Cambria Math" w:hAnsi="Cambria Math"/>
                        <w:sz w:val="18"/>
                        <w:szCs w:val="18"/>
                        <w:lang w:val="en-US"/>
                      </w:rPr>
                      <m:t>xit</m:t>
                    </m:r>
                  </m:sub>
                </m:sSub>
              </m:oMath>
            </m:oMathPara>
          </w:p>
        </w:tc>
        <w:tc>
          <w:tcPr>
            <w:tcW w:w="1442" w:type="dxa"/>
            <w:tcBorders>
              <w:bottom w:val="single" w:sz="4" w:space="0" w:color="auto"/>
            </w:tcBorders>
            <w:shd w:val="clear" w:color="auto" w:fill="auto"/>
            <w:noWrap/>
            <w:vAlign w:val="center"/>
            <w:hideMark/>
          </w:tcPr>
          <w:p w14:paraId="68A356E1" w14:textId="77777777" w:rsidR="00191368" w:rsidRPr="00364712" w:rsidRDefault="00191368" w:rsidP="00191368">
            <w:pPr>
              <w:jc w:val="center"/>
              <w:rPr>
                <w:color w:val="000000"/>
                <w:sz w:val="18"/>
                <w:szCs w:val="18"/>
                <w:lang w:val="en-US"/>
              </w:rPr>
            </w:pPr>
            <w:r w:rsidRPr="00364712">
              <w:rPr>
                <w:color w:val="000000"/>
                <w:sz w:val="18"/>
                <w:szCs w:val="18"/>
                <w:lang w:val="en-US"/>
              </w:rPr>
              <w:t>Local</w:t>
            </w:r>
          </w:p>
        </w:tc>
        <w:tc>
          <w:tcPr>
            <w:tcW w:w="1141" w:type="dxa"/>
            <w:tcBorders>
              <w:bottom w:val="single" w:sz="4" w:space="0" w:color="auto"/>
            </w:tcBorders>
            <w:shd w:val="clear" w:color="auto" w:fill="auto"/>
            <w:noWrap/>
            <w:vAlign w:val="center"/>
            <w:hideMark/>
          </w:tcPr>
          <w:p w14:paraId="5D48F03F" w14:textId="77777777" w:rsidR="00191368" w:rsidRPr="00364712" w:rsidRDefault="00191368" w:rsidP="00191368">
            <w:pPr>
              <w:jc w:val="center"/>
              <w:rPr>
                <w:color w:val="000000"/>
                <w:sz w:val="18"/>
                <w:szCs w:val="18"/>
                <w:lang w:val="en-US"/>
              </w:rPr>
            </w:pPr>
            <w:r w:rsidRPr="00364712">
              <w:rPr>
                <w:color w:val="000000"/>
                <w:sz w:val="18"/>
                <w:szCs w:val="18"/>
                <w:lang w:val="en-US"/>
              </w:rPr>
              <w:t>7.823x10</w:t>
            </w:r>
            <w:r w:rsidRPr="00364712">
              <w:rPr>
                <w:color w:val="000000"/>
                <w:sz w:val="18"/>
                <w:szCs w:val="18"/>
                <w:vertAlign w:val="superscript"/>
                <w:lang w:val="en-US"/>
              </w:rPr>
              <w:t>-11</w:t>
            </w:r>
          </w:p>
        </w:tc>
        <w:tc>
          <w:tcPr>
            <w:tcW w:w="1149" w:type="dxa"/>
            <w:tcBorders>
              <w:bottom w:val="single" w:sz="4" w:space="0" w:color="auto"/>
            </w:tcBorders>
            <w:shd w:val="clear" w:color="auto" w:fill="auto"/>
            <w:noWrap/>
            <w:vAlign w:val="center"/>
            <w:hideMark/>
          </w:tcPr>
          <w:p w14:paraId="68982467" w14:textId="77777777" w:rsidR="00191368" w:rsidRPr="00364712" w:rsidRDefault="00191368" w:rsidP="00191368">
            <w:pPr>
              <w:jc w:val="center"/>
              <w:rPr>
                <w:color w:val="000000"/>
                <w:sz w:val="18"/>
                <w:szCs w:val="18"/>
                <w:lang w:val="en-US"/>
              </w:rPr>
            </w:pPr>
            <w:r w:rsidRPr="00364712">
              <w:rPr>
                <w:color w:val="000000"/>
                <w:sz w:val="18"/>
                <w:szCs w:val="18"/>
                <w:lang w:val="en-US"/>
              </w:rPr>
              <w:t>2.02x10</w:t>
            </w:r>
            <w:r w:rsidRPr="00364712">
              <w:rPr>
                <w:color w:val="000000"/>
                <w:sz w:val="18"/>
                <w:szCs w:val="18"/>
                <w:vertAlign w:val="superscript"/>
                <w:lang w:val="en-US"/>
              </w:rPr>
              <w:t>-13</w:t>
            </w:r>
          </w:p>
        </w:tc>
        <w:tc>
          <w:tcPr>
            <w:tcW w:w="1144" w:type="dxa"/>
            <w:tcBorders>
              <w:bottom w:val="single" w:sz="4" w:space="0" w:color="auto"/>
            </w:tcBorders>
          </w:tcPr>
          <w:p w14:paraId="5940D7F9" w14:textId="2516F89C" w:rsidR="00191368" w:rsidRPr="00364712" w:rsidRDefault="00191368" w:rsidP="00191368">
            <w:pPr>
              <w:jc w:val="center"/>
              <w:rPr>
                <w:color w:val="000000"/>
                <w:sz w:val="18"/>
                <w:szCs w:val="18"/>
                <w:lang w:val="en-US"/>
              </w:rPr>
            </w:pPr>
            <w:r w:rsidRPr="00364712">
              <w:rPr>
                <w:color w:val="000000"/>
                <w:sz w:val="18"/>
                <w:szCs w:val="18"/>
                <w:lang w:val="en-US"/>
              </w:rPr>
              <w:t>-</w:t>
            </w:r>
          </w:p>
        </w:tc>
        <w:tc>
          <w:tcPr>
            <w:tcW w:w="1130" w:type="dxa"/>
            <w:tcBorders>
              <w:bottom w:val="single" w:sz="4" w:space="0" w:color="auto"/>
            </w:tcBorders>
          </w:tcPr>
          <w:p w14:paraId="31E2BBE6" w14:textId="7D4C3031" w:rsidR="00191368" w:rsidRPr="00364712" w:rsidRDefault="00191368" w:rsidP="00191368">
            <w:pPr>
              <w:jc w:val="center"/>
              <w:rPr>
                <w:color w:val="000000"/>
                <w:sz w:val="18"/>
                <w:szCs w:val="18"/>
                <w:lang w:val="en-US"/>
              </w:rPr>
            </w:pPr>
            <w:r w:rsidRPr="00364712">
              <w:rPr>
                <w:color w:val="000000"/>
                <w:sz w:val="18"/>
                <w:szCs w:val="18"/>
                <w:lang w:val="en-US"/>
              </w:rPr>
              <w:t>-</w:t>
            </w:r>
          </w:p>
        </w:tc>
      </w:tr>
    </w:tbl>
    <w:p w14:paraId="6C4767E6" w14:textId="77777777" w:rsidR="00962F1C" w:rsidRDefault="00962F1C" w:rsidP="00A25C87">
      <w:pPr>
        <w:pStyle w:val="Els-body-text"/>
      </w:pPr>
    </w:p>
    <w:p w14:paraId="49778C24" w14:textId="6F1AEEE6" w:rsidR="00950E22" w:rsidRPr="00364712" w:rsidRDefault="0060690B" w:rsidP="00364712">
      <w:pPr>
        <w:pStyle w:val="Els-body-text"/>
      </w:pPr>
      <w:r w:rsidRPr="00364712">
        <w:t xml:space="preserve">Interestingly, </w:t>
      </w:r>
      <w:r w:rsidR="00342DA6" w:rsidRPr="00364712">
        <w:t>comparing these results</w:t>
      </w:r>
      <w:r w:rsidRPr="00364712">
        <w:t xml:space="preserve"> </w:t>
      </w:r>
      <w:r w:rsidR="00B00205" w:rsidRPr="00364712">
        <w:t>with previous efforts in kinetic model tuning done</w:t>
      </w:r>
      <w:r w:rsidRPr="00364712">
        <w:t xml:space="preserve"> by Hernández-Escoto et al. (2016)</w:t>
      </w:r>
      <w:r w:rsidR="00B00205" w:rsidRPr="00364712">
        <w:t>,</w:t>
      </w:r>
      <w:r w:rsidRPr="00364712">
        <w:t xml:space="preserve"> </w:t>
      </w:r>
      <w:r w:rsidR="00342DA6" w:rsidRPr="00364712">
        <w:t>it can be seen</w:t>
      </w:r>
      <w:r w:rsidRPr="00364712">
        <w:t xml:space="preserve"> that the parameter </w:t>
      </w:r>
      <w:r w:rsidR="00342DA6" w:rsidRPr="00364712">
        <w:t>values highly depend on how</w:t>
      </w:r>
      <w:r w:rsidR="00722BF9" w:rsidRPr="00364712">
        <w:t xml:space="preserve"> the</w:t>
      </w:r>
      <w:r w:rsidR="00342DA6" w:rsidRPr="00364712">
        <w:t xml:space="preserve"> </w:t>
      </w:r>
      <w:r w:rsidRPr="00364712">
        <w:t>optimization problem</w:t>
      </w:r>
      <w:r w:rsidR="00342DA6" w:rsidRPr="00364712">
        <w:t xml:space="preserve"> is solved</w:t>
      </w:r>
      <w:r w:rsidR="007A5251" w:rsidRPr="00364712">
        <w:t xml:space="preserve">, as shown in Table </w:t>
      </w:r>
      <w:r w:rsidR="00C27ABB" w:rsidRPr="00364712">
        <w:t>1</w:t>
      </w:r>
      <w:r w:rsidRPr="00364712">
        <w:t xml:space="preserve">. Specifically, the authors used </w:t>
      </w:r>
      <w:r w:rsidR="00B00205" w:rsidRPr="00364712">
        <w:t>the full data available with</w:t>
      </w:r>
      <w:r w:rsidR="007A5251" w:rsidRPr="00364712">
        <w:t xml:space="preserve"> a local optimizer</w:t>
      </w:r>
      <w:r w:rsidR="00B00205" w:rsidRPr="00364712">
        <w:t xml:space="preserve"> (gradient-based</w:t>
      </w:r>
      <w:r w:rsidR="00EC0E49" w:rsidRPr="00364712">
        <w:t>) and</w:t>
      </w:r>
      <w:r w:rsidR="007A5251" w:rsidRPr="00364712">
        <w:t xml:space="preserve"> </w:t>
      </w:r>
      <w:r w:rsidR="00B00205" w:rsidRPr="00364712">
        <w:t xml:space="preserve">determined that </w:t>
      </w:r>
      <w:r w:rsidR="007A5251" w:rsidRPr="00364712">
        <w:t xml:space="preserve">only 4 parameters </w:t>
      </w:r>
      <w:r w:rsidR="00B00205" w:rsidRPr="00364712">
        <w:t>can be reliably estimated. In t</w:t>
      </w:r>
      <w:r w:rsidR="007A5251" w:rsidRPr="00364712">
        <w:t>his work</w:t>
      </w:r>
      <w:r w:rsidR="00B00205" w:rsidRPr="00364712">
        <w:t>,</w:t>
      </w:r>
      <w:r w:rsidR="007A5251" w:rsidRPr="00364712">
        <w:t xml:space="preserve"> 9 data sets and a tuned global optimizer were used</w:t>
      </w:r>
      <w:r w:rsidR="00B00205" w:rsidRPr="00364712">
        <w:t>, increasing the number of identifiable parameters to 10</w:t>
      </w:r>
      <w:r w:rsidR="007A5251" w:rsidRPr="00364712">
        <w:t xml:space="preserve">. </w:t>
      </w:r>
      <w:r w:rsidR="00107D37" w:rsidRPr="00364712">
        <w:t xml:space="preserve">The </w:t>
      </w:r>
      <w:r w:rsidR="003D580B">
        <w:t>substantial</w:t>
      </w:r>
      <w:r w:rsidR="00107D37" w:rsidRPr="00364712">
        <w:t xml:space="preserve"> differences between the estimated values highl</w:t>
      </w:r>
      <w:r w:rsidR="00EC0E49" w:rsidRPr="00364712">
        <w:t>ight</w:t>
      </w:r>
      <w:r w:rsidR="00107D37" w:rsidRPr="00364712">
        <w:t xml:space="preserve"> the importance</w:t>
      </w:r>
      <w:r w:rsidR="0086635F" w:rsidRPr="00364712">
        <w:t xml:space="preserve"> and need</w:t>
      </w:r>
      <w:r w:rsidR="00107D37" w:rsidRPr="00364712">
        <w:t xml:space="preserve"> </w:t>
      </w:r>
      <w:r w:rsidR="00C25880" w:rsidRPr="00364712">
        <w:t xml:space="preserve">for </w:t>
      </w:r>
      <w:r w:rsidR="0086635F" w:rsidRPr="00364712">
        <w:t xml:space="preserve">a carefully chosen setup and solution of the parameter estimation optimization problem. </w:t>
      </w:r>
    </w:p>
    <w:p w14:paraId="7852D1EF" w14:textId="77777777" w:rsidR="00B1695C" w:rsidRPr="00364712" w:rsidRDefault="00B1695C" w:rsidP="00364712">
      <w:pPr>
        <w:pStyle w:val="Els-body-text"/>
      </w:pPr>
    </w:p>
    <w:p w14:paraId="4488024B" w14:textId="24F6DFDC" w:rsidR="00B1695C" w:rsidRPr="00364712" w:rsidRDefault="002A22AA" w:rsidP="00364712">
      <w:pPr>
        <w:pStyle w:val="Els-body-text"/>
      </w:pPr>
      <w:r w:rsidRPr="00364712">
        <w:t>The parity plot (</w:t>
      </w:r>
      <w:r w:rsidR="00B1695C" w:rsidRPr="00364712">
        <w:t>Fig. 2</w:t>
      </w:r>
      <w:r w:rsidR="00712014">
        <w:t xml:space="preserve">, </w:t>
      </w:r>
      <w:r w:rsidR="003D5C21">
        <w:t>left</w:t>
      </w:r>
      <w:r w:rsidRPr="00364712">
        <w:t>)</w:t>
      </w:r>
      <w:r w:rsidR="00B1695C" w:rsidRPr="00364712">
        <w:t xml:space="preserve"> shows the </w:t>
      </w:r>
      <w:r w:rsidR="00672B48" w:rsidRPr="00364712">
        <w:t>descriptive quality of the mathematical model after parameter estimation, with a fair fitting in the 9 data sets used for calibration</w:t>
      </w:r>
      <w:r w:rsidRPr="00364712">
        <w:t>, and</w:t>
      </w:r>
      <w:r w:rsidR="00922C93" w:rsidRPr="00364712">
        <w:t xml:space="preserve"> a Mean Absolute Percentage Error (MAPE) index of 226.32</w:t>
      </w:r>
      <w:r w:rsidR="00672B48" w:rsidRPr="00364712">
        <w:t xml:space="preserve">. </w:t>
      </w:r>
      <w:r w:rsidR="001F3EA5" w:rsidRPr="00364712">
        <w:t>Better</w:t>
      </w:r>
      <w:r w:rsidR="00672B48" w:rsidRPr="00364712">
        <w:t xml:space="preserve"> accuracy can be observed in xylose and xylitol </w:t>
      </w:r>
      <w:r w:rsidR="00B00205" w:rsidRPr="00364712">
        <w:t>concentration</w:t>
      </w:r>
      <w:r w:rsidR="00006C17" w:rsidRPr="00364712">
        <w:t>s</w:t>
      </w:r>
      <w:r w:rsidR="00B00205" w:rsidRPr="00364712">
        <w:t xml:space="preserve"> with </w:t>
      </w:r>
      <w:r w:rsidR="00006C17" w:rsidRPr="00364712">
        <w:t>most of their points lying between the</w:t>
      </w:r>
      <w:r w:rsidR="00B00205" w:rsidRPr="00364712">
        <w:t xml:space="preserve"> </w:t>
      </w:r>
      <w:r w:rsidR="00006C17" w:rsidRPr="00364712">
        <w:t xml:space="preserve">10% </w:t>
      </w:r>
      <w:r w:rsidR="00672B48" w:rsidRPr="00364712">
        <w:t>confidence interval</w:t>
      </w:r>
      <w:r w:rsidR="00006C17" w:rsidRPr="00364712">
        <w:t xml:space="preserve"> lines</w:t>
      </w:r>
      <w:r w:rsidR="00672B48" w:rsidRPr="00364712">
        <w:t xml:space="preserve"> in comparison with glucose</w:t>
      </w:r>
      <w:r w:rsidR="00006C17" w:rsidRPr="00364712">
        <w:t xml:space="preserve"> and </w:t>
      </w:r>
      <w:r w:rsidR="0019154A" w:rsidRPr="00364712">
        <w:t>biomass</w:t>
      </w:r>
      <w:r w:rsidR="00672B48" w:rsidRPr="00364712">
        <w:t>.</w:t>
      </w:r>
      <w:r w:rsidR="0068190E" w:rsidRPr="00364712">
        <w:t xml:space="preserve"> </w:t>
      </w:r>
      <w:r w:rsidR="00672B48" w:rsidRPr="00364712">
        <w:t xml:space="preserve"> This can be attributed </w:t>
      </w:r>
      <w:r w:rsidR="00672B48" w:rsidRPr="00364712">
        <w:lastRenderedPageBreak/>
        <w:t>to a higher amount of information present in the data sets for these variables. However, after 150 hours of fermentation discrepancies between the model and the data arise</w:t>
      </w:r>
      <w:r w:rsidR="00712014">
        <w:t xml:space="preserve"> (Fig. 3</w:t>
      </w:r>
      <w:r w:rsidR="00165333">
        <w:t>, top</w:t>
      </w:r>
      <w:r w:rsidR="00712014">
        <w:t>)</w:t>
      </w:r>
      <w:r w:rsidR="00672B48" w:rsidRPr="00364712">
        <w:t xml:space="preserve">, possibly due to microorganism adaptation to increasing concentrations of xylose. </w:t>
      </w:r>
    </w:p>
    <w:p w14:paraId="71B5EC5D" w14:textId="77777777" w:rsidR="00ED7609" w:rsidRDefault="00ED7609" w:rsidP="00B1695C">
      <w:pPr>
        <w:pStyle w:val="Els-body-text"/>
        <w:keepNext/>
      </w:pPr>
    </w:p>
    <w:p w14:paraId="3FBC2D1E" w14:textId="587F6A71" w:rsidR="00B1695C" w:rsidRPr="008B3F42" w:rsidRDefault="008B3F42" w:rsidP="00F1347E">
      <w:pPr>
        <w:pStyle w:val="Els-body-text"/>
        <w:keepNext/>
        <w:jc w:val="center"/>
      </w:pPr>
      <w:r>
        <w:rPr>
          <w:noProof/>
        </w:rPr>
        <w:drawing>
          <wp:inline distT="0" distB="0" distL="0" distR="0" wp14:anchorId="0CC4695E" wp14:editId="61C5CF0E">
            <wp:extent cx="4499610" cy="1896110"/>
            <wp:effectExtent l="0" t="0" r="0" b="0"/>
            <wp:docPr id="773947027" name="Picture 2" descr="A graph of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947027" name="Picture 2" descr="A graph of different colored line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99610" cy="1896110"/>
                    </a:xfrm>
                    <a:prstGeom prst="rect">
                      <a:avLst/>
                    </a:prstGeom>
                  </pic:spPr>
                </pic:pic>
              </a:graphicData>
            </a:graphic>
          </wp:inline>
        </w:drawing>
      </w:r>
    </w:p>
    <w:p w14:paraId="765BCFC1" w14:textId="2938139C" w:rsidR="00165333" w:rsidRDefault="00B1695C" w:rsidP="00364712">
      <w:pPr>
        <w:pStyle w:val="Els-caption"/>
      </w:pPr>
      <w:r w:rsidRPr="00367C29">
        <w:t xml:space="preserve">Figure </w:t>
      </w:r>
      <w:r w:rsidR="005F39E9" w:rsidRPr="00367C29">
        <w:t>2</w:t>
      </w:r>
      <w:r w:rsidRPr="00367C29">
        <w:t xml:space="preserve">. </w:t>
      </w:r>
      <w:r w:rsidR="001F3EA5" w:rsidRPr="00367C29">
        <w:t>Parity</w:t>
      </w:r>
      <w:r w:rsidR="001F3EA5">
        <w:t xml:space="preserve"> plot for model </w:t>
      </w:r>
      <w:r w:rsidR="002A22AA">
        <w:t>output</w:t>
      </w:r>
      <w:r w:rsidR="000842CB">
        <w:t>.</w:t>
      </w:r>
      <w:r w:rsidR="000B4454">
        <w:t xml:space="preserve"> Time progression is shown as darkening color shade.</w:t>
      </w:r>
      <w:r w:rsidR="000842CB">
        <w:t xml:space="preserve"> Left: descriptive quality (training datasets). Right: predictive quality (validation datasets).</w:t>
      </w:r>
    </w:p>
    <w:p w14:paraId="14FB3254" w14:textId="7E759F63" w:rsidR="0011396F" w:rsidRDefault="00B134D6" w:rsidP="00F1347E">
      <w:pPr>
        <w:pStyle w:val="Els-caption"/>
        <w:keepNext/>
        <w:jc w:val="center"/>
      </w:pPr>
      <w:r>
        <w:rPr>
          <w:noProof/>
        </w:rPr>
        <w:drawing>
          <wp:inline distT="0" distB="0" distL="0" distR="0" wp14:anchorId="0170937A" wp14:editId="50FD879A">
            <wp:extent cx="2647163" cy="2567966"/>
            <wp:effectExtent l="0" t="0" r="1270" b="3810"/>
            <wp:docPr id="693180361" name="Picture 5" descr="A graph of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80361" name="Picture 5" descr="A graph of different colored lin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56206" cy="2576738"/>
                    </a:xfrm>
                    <a:prstGeom prst="rect">
                      <a:avLst/>
                    </a:prstGeom>
                  </pic:spPr>
                </pic:pic>
              </a:graphicData>
            </a:graphic>
          </wp:inline>
        </w:drawing>
      </w:r>
    </w:p>
    <w:p w14:paraId="304EB63A" w14:textId="5CF166CA" w:rsidR="002A22AA" w:rsidRDefault="0011396F" w:rsidP="003D580B">
      <w:pPr>
        <w:pStyle w:val="Els-caption"/>
        <w:jc w:val="both"/>
      </w:pPr>
      <w:r w:rsidRPr="00367C29">
        <w:t xml:space="preserve">Figure </w:t>
      </w:r>
      <w:r w:rsidR="005F39E9" w:rsidRPr="00367C29">
        <w:t>3</w:t>
      </w:r>
      <w:r w:rsidR="004D47D6" w:rsidRPr="00367C29">
        <w:t>.</w:t>
      </w:r>
      <w:r w:rsidR="002A22AA" w:rsidRPr="00367C29">
        <w:t xml:space="preserve"> </w:t>
      </w:r>
      <w:r w:rsidR="002F386D">
        <w:t xml:space="preserve">Top: </w:t>
      </w:r>
      <w:r w:rsidR="00712014">
        <w:t>Model prediction for xylose (red line) with 95% confidence intervals (blue dashed line) and experimental data (magenta diamonds).</w:t>
      </w:r>
      <w:r w:rsidR="002F386D">
        <w:t xml:space="preserve"> Bottom: </w:t>
      </w:r>
      <w:r w:rsidR="00165333">
        <w:t>Example of standardized regression coefficients for xylose prediction. Each line corresponds to one model parameter.</w:t>
      </w:r>
    </w:p>
    <w:p w14:paraId="697DA770" w14:textId="2729D275" w:rsidR="0019154A" w:rsidRPr="00F53F92" w:rsidRDefault="002A22AA" w:rsidP="00364712">
      <w:pPr>
        <w:pStyle w:val="Els-body-text"/>
      </w:pPr>
      <w:r>
        <w:t xml:space="preserve">The parity plot for </w:t>
      </w:r>
      <w:r w:rsidR="004D47D6">
        <w:t xml:space="preserve">the </w:t>
      </w:r>
      <w:r>
        <w:t>predictive quality</w:t>
      </w:r>
      <w:r w:rsidR="00C0730F">
        <w:t xml:space="preserve"> of the model</w:t>
      </w:r>
      <w:r>
        <w:t xml:space="preserve"> (Fig. </w:t>
      </w:r>
      <w:r w:rsidR="00712014">
        <w:t xml:space="preserve">2, </w:t>
      </w:r>
      <w:r w:rsidR="003D5C21">
        <w:t>right</w:t>
      </w:r>
      <w:r>
        <w:t>)</w:t>
      </w:r>
      <w:r w:rsidR="0019154A" w:rsidRPr="00F53F92">
        <w:t xml:space="preserve"> </w:t>
      </w:r>
      <w:r>
        <w:t xml:space="preserve">shows </w:t>
      </w:r>
      <w:r w:rsidR="004D47D6">
        <w:t xml:space="preserve">a </w:t>
      </w:r>
      <w:r w:rsidR="00C0730F">
        <w:t>lack of accuracy in the prediction of biomass and xylose concentration but a lower MAPE index of 149.31</w:t>
      </w:r>
      <w:r w:rsidR="0019154A" w:rsidRPr="00F53F92">
        <w:t xml:space="preserve">. </w:t>
      </w:r>
      <w:r w:rsidR="00C0730F">
        <w:t>Specifically, t</w:t>
      </w:r>
      <w:r w:rsidR="0019154A" w:rsidRPr="00F53F92">
        <w:t>he model predicts a higher xylose uptake rate which increases in the last batches</w:t>
      </w:r>
      <w:r w:rsidR="00C2744D">
        <w:t xml:space="preserve"> (</w:t>
      </w:r>
      <w:r w:rsidR="00712014">
        <w:t>Fig. 3</w:t>
      </w:r>
      <w:r w:rsidR="00165333">
        <w:t>, top</w:t>
      </w:r>
      <w:r w:rsidR="00C2744D">
        <w:t>)</w:t>
      </w:r>
      <w:r w:rsidR="0019154A" w:rsidRPr="00F53F92">
        <w:t>. Then, to keep the cell growth, the model predicts xylitol consumption. These results confirm that the microorganism underwent metabolic adaptation</w:t>
      </w:r>
      <w:r w:rsidR="00C2744D">
        <w:t xml:space="preserve"> that affect slowing</w:t>
      </w:r>
      <w:r w:rsidR="0019154A" w:rsidRPr="00F53F92">
        <w:t xml:space="preserve"> down </w:t>
      </w:r>
      <w:r w:rsidR="00C2744D">
        <w:t xml:space="preserve">the </w:t>
      </w:r>
      <w:r w:rsidR="0019154A" w:rsidRPr="00F53F92">
        <w:t>growth</w:t>
      </w:r>
      <w:r w:rsidR="00C2744D">
        <w:t>,</w:t>
      </w:r>
      <w:r w:rsidR="0019154A" w:rsidRPr="00F53F92">
        <w:t xml:space="preserve"> xylose uptake</w:t>
      </w:r>
      <w:r w:rsidR="0097149A">
        <w:t>,</w:t>
      </w:r>
      <w:r w:rsidR="0019154A" w:rsidRPr="00F53F92">
        <w:t xml:space="preserve"> and resulted in higher xylitol accumulation. This adds a complexity layer to the parameter estimation optimization problem given that the system is time-variant. </w:t>
      </w:r>
    </w:p>
    <w:p w14:paraId="02CC2A6C" w14:textId="77777777" w:rsidR="0019154A" w:rsidRDefault="0019154A" w:rsidP="00364712">
      <w:pPr>
        <w:pStyle w:val="Els-body-text"/>
      </w:pPr>
    </w:p>
    <w:p w14:paraId="47F7CDF7" w14:textId="0CC40118" w:rsidR="00ED7609" w:rsidRPr="00F53F92" w:rsidRDefault="00ED7609" w:rsidP="00364712">
      <w:pPr>
        <w:pStyle w:val="Els-body-text"/>
      </w:pPr>
      <w:r w:rsidRPr="00F53F92">
        <w:lastRenderedPageBreak/>
        <w:t>Finally, a sensitivity analysis was performed with the</w:t>
      </w:r>
      <w:r w:rsidR="00FA18F3">
        <w:t xml:space="preserve"> standardized regression coefficients</w:t>
      </w:r>
      <w:r w:rsidRPr="00F53F92">
        <w:t xml:space="preserve"> method for the </w:t>
      </w:r>
      <w:r w:rsidR="00165333">
        <w:t>xylose</w:t>
      </w:r>
      <w:r w:rsidRPr="00F53F92">
        <w:t xml:space="preserve"> state (</w:t>
      </w:r>
      <w:r w:rsidR="00165333">
        <w:t>Fig. 3, bottom</w:t>
      </w:r>
      <w:r w:rsidRPr="00F53F92">
        <w:t>). As expected, the relevance of the parameters changes dynamically during the fermentation process. The change in the preferred carbon source is shown as a change in the relative importance of parameters related to glucose and xylose. A high parameter interaction is</w:t>
      </w:r>
      <w:r w:rsidR="00FA18F3">
        <w:t xml:space="preserve"> presented</w:t>
      </w:r>
      <w:r w:rsidRPr="00F53F92">
        <w:t xml:space="preserve"> during xylose consumption and xylitol production, which highlights the need for an alternative experimental design. In this </w:t>
      </w:r>
      <w:proofErr w:type="gramStart"/>
      <w:r w:rsidRPr="00F53F92">
        <w:t>particular case</w:t>
      </w:r>
      <w:proofErr w:type="gramEnd"/>
      <w:r w:rsidRPr="00F53F92">
        <w:t xml:space="preserve">, the calibration of the mathematical model could be enhanced with more experiments of simultaneous feed of glucose and xylose. </w:t>
      </w:r>
    </w:p>
    <w:p w14:paraId="22C7D55C" w14:textId="5F55B217" w:rsidR="00FE338B" w:rsidRPr="00F53F92" w:rsidRDefault="00FE338B" w:rsidP="00364712">
      <w:pPr>
        <w:pStyle w:val="Els-1storder-head"/>
      </w:pPr>
      <w:r w:rsidRPr="00F53F92">
        <w:t>Conclusions</w:t>
      </w:r>
    </w:p>
    <w:p w14:paraId="14E5BA51" w14:textId="37F16825" w:rsidR="00342DA6" w:rsidRDefault="00FE338B" w:rsidP="00364712">
      <w:pPr>
        <w:pStyle w:val="Els-body-text"/>
      </w:pPr>
      <w:r w:rsidRPr="00F53F92">
        <w:t xml:space="preserve">Mathematical models comprise a wide range of useful tools for the understanding of complex systems and their practical applications, thus, assessing the quality of the model predictions and the interpretability of the model parameters </w:t>
      </w:r>
      <w:r w:rsidR="00C25880" w:rsidRPr="00F53F92">
        <w:t xml:space="preserve">becomes </w:t>
      </w:r>
      <w:r w:rsidR="00280606" w:rsidRPr="00F53F92">
        <w:t>a fundamental task. In this sense, the present work make</w:t>
      </w:r>
      <w:r w:rsidR="00DA6DEE" w:rsidRPr="00F53F92">
        <w:t>s</w:t>
      </w:r>
      <w:r w:rsidR="00280606" w:rsidRPr="00F53F92">
        <w:t xml:space="preserve"> use of previously </w:t>
      </w:r>
      <w:r w:rsidR="00C25880" w:rsidRPr="00F53F92">
        <w:t>established</w:t>
      </w:r>
      <w:r w:rsidR="00DA6DEE" w:rsidRPr="00F53F92">
        <w:t>, but not combined,</w:t>
      </w:r>
      <w:r w:rsidR="00280606" w:rsidRPr="00F53F92">
        <w:t xml:space="preserve"> methods</w:t>
      </w:r>
      <w:r w:rsidR="00DA6DEE" w:rsidRPr="00F53F92">
        <w:t xml:space="preserve"> for experimental data cleaning, structural </w:t>
      </w:r>
      <w:r w:rsidR="00C56BB9" w:rsidRPr="00F53F92">
        <w:t>identifiability, global optimizer tuning, practical</w:t>
      </w:r>
      <w:r w:rsidR="00DA6DEE" w:rsidRPr="00F53F92">
        <w:t xml:space="preserve"> identifiability, and model validation with </w:t>
      </w:r>
      <w:r w:rsidR="00C25880" w:rsidRPr="00F53F92">
        <w:t xml:space="preserve">a </w:t>
      </w:r>
      <w:r w:rsidR="00DA6DEE" w:rsidRPr="00F53F92">
        <w:t xml:space="preserve">distinction between </w:t>
      </w:r>
      <w:r w:rsidR="00C25880" w:rsidRPr="00F53F92">
        <w:t xml:space="preserve">the </w:t>
      </w:r>
      <w:r w:rsidR="00DA6DEE" w:rsidRPr="00F53F92">
        <w:t>descriptive and predictive quality o</w:t>
      </w:r>
      <w:r w:rsidR="00C56BB9" w:rsidRPr="00F53F92">
        <w:t xml:space="preserve">f model outputs. </w:t>
      </w:r>
      <w:r w:rsidR="00342DA6" w:rsidRPr="00F53F92">
        <w:t xml:space="preserve">This methodology </w:t>
      </w:r>
      <w:r w:rsidR="00852ACB" w:rsidRPr="00F53F92">
        <w:t>allows us</w:t>
      </w:r>
      <w:r w:rsidR="00342DA6" w:rsidRPr="00F53F92">
        <w:t xml:space="preserve"> to evaluate the adequacy of experimental design (structural identifiability), information quality and relevance (</w:t>
      </w:r>
      <w:r w:rsidR="00EC0E49" w:rsidRPr="00F53F92">
        <w:t>descriptive</w:t>
      </w:r>
      <w:r w:rsidR="00342DA6" w:rsidRPr="00F53F92">
        <w:t xml:space="preserve"> quality)</w:t>
      </w:r>
      <w:r w:rsidR="00C25880" w:rsidRPr="00F53F92">
        <w:t>,</w:t>
      </w:r>
      <w:r w:rsidR="00342DA6" w:rsidRPr="00F53F92">
        <w:t xml:space="preserve"> and fair model prediction of the experimental data (predictive quality). As </w:t>
      </w:r>
      <w:r w:rsidR="00036434" w:rsidRPr="00F53F92">
        <w:t xml:space="preserve">a </w:t>
      </w:r>
      <w:r w:rsidR="00C25880" w:rsidRPr="00F53F92">
        <w:t>result</w:t>
      </w:r>
      <w:r w:rsidR="00342DA6" w:rsidRPr="00F53F92">
        <w:t xml:space="preserve">, 10 out of 11 model parameters were reliably estimated which </w:t>
      </w:r>
      <w:r w:rsidR="00292AFE" w:rsidRPr="00F53F92">
        <w:t>allowed us</w:t>
      </w:r>
      <w:r w:rsidR="00342DA6" w:rsidRPr="00F53F92">
        <w:t xml:space="preserve"> to provide system insights. </w:t>
      </w:r>
    </w:p>
    <w:p w14:paraId="09678A35" w14:textId="77777777" w:rsidR="00984926" w:rsidRDefault="00984926" w:rsidP="00364712">
      <w:pPr>
        <w:pStyle w:val="Els-body-text"/>
      </w:pPr>
    </w:p>
    <w:p w14:paraId="57A83B07" w14:textId="77777777" w:rsidR="00984926" w:rsidRPr="00456C3F" w:rsidRDefault="00984926" w:rsidP="00984926">
      <w:pPr>
        <w:pStyle w:val="Els-body-text"/>
        <w:rPr>
          <w:b/>
          <w:bCs/>
          <w:lang w:val="en-GB"/>
        </w:rPr>
      </w:pPr>
      <w:r w:rsidRPr="00456C3F">
        <w:rPr>
          <w:b/>
          <w:bCs/>
          <w:lang w:val="en-GB"/>
        </w:rPr>
        <w:t>Acknowledgements</w:t>
      </w:r>
    </w:p>
    <w:p w14:paraId="6BED5F7F" w14:textId="20929A43" w:rsidR="00984926" w:rsidRPr="00456C3F" w:rsidRDefault="00984926" w:rsidP="00984926">
      <w:pPr>
        <w:pStyle w:val="Els-body-text"/>
        <w:rPr>
          <w:lang w:val="en-GB"/>
        </w:rPr>
      </w:pPr>
      <w:r w:rsidRPr="00456C3F">
        <w:rPr>
          <w:lang w:val="en-GB"/>
        </w:rPr>
        <w:t xml:space="preserve">This research was </w:t>
      </w:r>
      <w:r>
        <w:rPr>
          <w:lang w:val="en-GB"/>
        </w:rPr>
        <w:t xml:space="preserve">partially </w:t>
      </w:r>
      <w:r w:rsidRPr="00456C3F">
        <w:rPr>
          <w:lang w:val="en-GB"/>
        </w:rPr>
        <w:t xml:space="preserve">founded by Novo Nordisk Foundation grant NNF19SA0035474. </w:t>
      </w:r>
    </w:p>
    <w:p w14:paraId="7B4D515B" w14:textId="07E53A2F" w:rsidR="00352D11" w:rsidRPr="00984926" w:rsidRDefault="00352D11" w:rsidP="00364712">
      <w:pPr>
        <w:pStyle w:val="Els-reference-head"/>
      </w:pPr>
      <w:r w:rsidRPr="00984926">
        <w:t>References</w:t>
      </w:r>
    </w:p>
    <w:p w14:paraId="3991C1EB" w14:textId="37D5F485" w:rsidR="00467F38" w:rsidRDefault="00467F38" w:rsidP="003D580B">
      <w:pPr>
        <w:pStyle w:val="Els-referenceno-number"/>
        <w:jc w:val="both"/>
        <w:rPr>
          <w:lang w:val="en-US"/>
        </w:rPr>
      </w:pPr>
      <w:r>
        <w:rPr>
          <w:lang w:val="es-CO"/>
        </w:rPr>
        <w:t xml:space="preserve">H. </w:t>
      </w:r>
      <w:r w:rsidRPr="00FE338B" w:rsidDel="00467F38">
        <w:rPr>
          <w:lang w:val="es-CO"/>
        </w:rPr>
        <w:t xml:space="preserve">Hernández-Escoto, O. A. Prado-Rubio, R. Morales-Rodriguez, 2016. </w:t>
      </w:r>
      <w:r w:rsidRPr="00962F1C" w:rsidDel="00467F38">
        <w:rPr>
          <w:lang w:val="en-US"/>
        </w:rPr>
        <w:t xml:space="preserve">Model-based framework for enhanced and controlled operation of a fed-batch bioreactor: xylitol production. Computer Aided Chemical Engineering, 38, 301-306. </w:t>
      </w:r>
    </w:p>
    <w:p w14:paraId="27C9340E" w14:textId="5280734D" w:rsidR="00467F38" w:rsidRDefault="00467F38" w:rsidP="003D580B">
      <w:pPr>
        <w:pStyle w:val="Els-referenceno-number"/>
        <w:jc w:val="both"/>
        <w:rPr>
          <w:lang w:val="en-US"/>
        </w:rPr>
      </w:pPr>
      <w:r>
        <w:rPr>
          <w:lang w:val="en-US"/>
        </w:rPr>
        <w:t xml:space="preserve">H. </w:t>
      </w:r>
      <w:r w:rsidRPr="00467F38" w:rsidDel="00467F38">
        <w:rPr>
          <w:lang w:val="en-US"/>
        </w:rPr>
        <w:t xml:space="preserve">Huang, J. Qiu, K. Riedl, 2023, </w:t>
      </w:r>
      <w:r w:rsidRPr="00DB5CBF" w:rsidDel="00467F38">
        <w:rPr>
          <w:lang w:val="en-US"/>
        </w:rPr>
        <w:t>On the global convergence of particle swarm optimization methods</w:t>
      </w:r>
      <w:r w:rsidDel="00467F38">
        <w:rPr>
          <w:lang w:val="en-US"/>
        </w:rPr>
        <w:t>,</w:t>
      </w:r>
      <w:r w:rsidRPr="00DB5CBF" w:rsidDel="00467F38">
        <w:rPr>
          <w:lang w:val="en-US"/>
        </w:rPr>
        <w:t xml:space="preserve"> Applied Mathematics &amp; Optimization, 88</w:t>
      </w:r>
      <w:r w:rsidDel="00467F38">
        <w:rPr>
          <w:lang w:val="en-US"/>
        </w:rPr>
        <w:t>,</w:t>
      </w:r>
      <w:r w:rsidRPr="00DB5CBF" w:rsidDel="00467F38">
        <w:rPr>
          <w:lang w:val="en-US"/>
        </w:rPr>
        <w:t xml:space="preserve"> 30.</w:t>
      </w:r>
    </w:p>
    <w:p w14:paraId="6CDED533" w14:textId="2E64E317" w:rsidR="00467F38" w:rsidRDefault="00467F38" w:rsidP="003D580B">
      <w:pPr>
        <w:pStyle w:val="Els-referenceno-number"/>
        <w:jc w:val="both"/>
        <w:rPr>
          <w:lang w:val="en-US"/>
        </w:rPr>
      </w:pPr>
      <w:r>
        <w:rPr>
          <w:lang w:val="en-US"/>
        </w:rPr>
        <w:t xml:space="preserve">O. A. </w:t>
      </w:r>
      <w:r w:rsidRPr="00962F1C" w:rsidDel="00467F38">
        <w:rPr>
          <w:lang w:val="en-US"/>
        </w:rPr>
        <w:t>Prado-Rubio, H. Hernández-Escoto, R. Rodriguez-Gomez, S. Sirisansaneeyakul, R. Morales-Rodriguez, 2015, Enhancing xylitol bio-production by an optimal feeding policy during fed-batch Operation, Computer-Aided Chemical Engineering, 37, 1757-1762.</w:t>
      </w:r>
    </w:p>
    <w:p w14:paraId="3BA5F6BF" w14:textId="7E2CCB7B" w:rsidR="00467F38" w:rsidRPr="008B3F42" w:rsidRDefault="00467F38" w:rsidP="003D580B">
      <w:pPr>
        <w:pStyle w:val="Els-referenceno-number"/>
        <w:jc w:val="both"/>
        <w:rPr>
          <w:lang w:val="en-US"/>
        </w:rPr>
      </w:pPr>
      <w:r>
        <w:rPr>
          <w:lang w:val="en-US"/>
        </w:rPr>
        <w:t xml:space="preserve">A. V. </w:t>
      </w:r>
      <w:r w:rsidRPr="00962F1C" w:rsidDel="00467F38">
        <w:rPr>
          <w:lang w:val="en-US"/>
        </w:rPr>
        <w:t xml:space="preserve">Ruales-Salcedo, V. H. Grisales-Díaz, R. Morales-Rodríguez, J. Fontalvo, O. A. Prado-Rubio, 2022, Production of High-Added Value Compounds from Biomass. </w:t>
      </w:r>
      <w:r w:rsidRPr="008B3F42" w:rsidDel="00467F38">
        <w:rPr>
          <w:lang w:val="en-US"/>
        </w:rPr>
        <w:t xml:space="preserve">Book chapter in: Biofuels and Biorefineries. </w:t>
      </w:r>
    </w:p>
    <w:p w14:paraId="68F7C28B" w14:textId="44316070" w:rsidR="00467F38" w:rsidRDefault="00467F38" w:rsidP="003D580B">
      <w:pPr>
        <w:pStyle w:val="Els-referenceno-number"/>
        <w:jc w:val="both"/>
        <w:rPr>
          <w:lang w:val="en-US"/>
        </w:rPr>
      </w:pPr>
      <w:r w:rsidRPr="00984926">
        <w:rPr>
          <w:lang w:val="en-US"/>
        </w:rPr>
        <w:t xml:space="preserve">J. C. </w:t>
      </w:r>
      <w:r w:rsidRPr="00984926" w:rsidDel="00467F38">
        <w:rPr>
          <w:lang w:val="en-US"/>
        </w:rPr>
        <w:t xml:space="preserve">Sánchez-Rendón, R. Morales-Rodriguez, L. G. Matallana-Pérez, O. A. Prado-Rubio. </w:t>
      </w:r>
      <w:r w:rsidRPr="00962F1C" w:rsidDel="00467F38">
        <w:rPr>
          <w:lang w:val="en-US"/>
        </w:rPr>
        <w:t>2020. Assessing Parameter Relative Importance in Bioprocesses Mathematical Models through Dynamic Sensitivity Analysis. Computer Aided Chemical Engineering, 48, 1711-1716.</w:t>
      </w:r>
    </w:p>
    <w:p w14:paraId="03EF4171" w14:textId="47B97F5D" w:rsidR="00467F38" w:rsidRDefault="00467F38" w:rsidP="003D580B">
      <w:pPr>
        <w:pStyle w:val="Els-referenceno-number"/>
        <w:jc w:val="both"/>
        <w:rPr>
          <w:lang w:val="en-US"/>
        </w:rPr>
      </w:pPr>
      <w:r>
        <w:rPr>
          <w:lang w:val="en-US"/>
        </w:rPr>
        <w:t xml:space="preserve">S. </w:t>
      </w:r>
      <w:r w:rsidRPr="00962F1C" w:rsidDel="00467F38">
        <w:rPr>
          <w:lang w:val="en-US"/>
        </w:rPr>
        <w:t>Sirisansaneeyakul, S</w:t>
      </w:r>
      <w:r w:rsidDel="00467F38">
        <w:rPr>
          <w:lang w:val="en-US"/>
        </w:rPr>
        <w:t>.</w:t>
      </w:r>
      <w:r w:rsidRPr="00962F1C" w:rsidDel="00467F38">
        <w:rPr>
          <w:lang w:val="en-US"/>
        </w:rPr>
        <w:t xml:space="preserve"> Wannawilai, Y</w:t>
      </w:r>
      <w:r w:rsidDel="00467F38">
        <w:rPr>
          <w:lang w:val="en-US"/>
        </w:rPr>
        <w:t>.</w:t>
      </w:r>
      <w:r w:rsidRPr="00962F1C" w:rsidDel="00467F38">
        <w:rPr>
          <w:lang w:val="en-US"/>
        </w:rPr>
        <w:t xml:space="preserve"> Chisti, 2013. Repeated fed-batch production of xylitol by Candida magnoliae TISTR 5663, Journal of Chemical Technology &amp; Biotechnology, 88, 1121–1129.</w:t>
      </w:r>
    </w:p>
    <w:p w14:paraId="0CAE3198" w14:textId="71A09CDD" w:rsidR="00467F38" w:rsidRDefault="00467F38" w:rsidP="003D580B">
      <w:pPr>
        <w:pStyle w:val="Els-referenceno-number"/>
        <w:jc w:val="both"/>
        <w:rPr>
          <w:lang w:val="en-US"/>
        </w:rPr>
      </w:pPr>
      <w:r w:rsidRPr="00467F38">
        <w:rPr>
          <w:lang w:val="es-ES"/>
        </w:rPr>
        <w:t xml:space="preserve">W. </w:t>
      </w:r>
      <w:r w:rsidRPr="00467F38" w:rsidDel="00467F38">
        <w:rPr>
          <w:lang w:val="es-ES"/>
        </w:rPr>
        <w:t xml:space="preserve">Tochampa, S. Sirisansaneeyakul, W. Vanichsriratana, P. Srinophakun, H. H. C.  </w:t>
      </w:r>
      <w:r w:rsidRPr="00962F1C" w:rsidDel="00467F38">
        <w:rPr>
          <w:lang w:val="en-US"/>
        </w:rPr>
        <w:t>Bakker, S. Wannawilai, Y. Chisti, 2015, Optimal Control of Feeding in Fed-Batch Production of Xylitol, Industrial &amp; Engineering Chemistry Research, 54, 1992-2000.</w:t>
      </w:r>
    </w:p>
    <w:p w14:paraId="11B147C6" w14:textId="0392D463" w:rsidR="00467F38" w:rsidRDefault="00467F38" w:rsidP="003D580B">
      <w:pPr>
        <w:pStyle w:val="Els-referenceno-number"/>
        <w:jc w:val="both"/>
        <w:rPr>
          <w:lang w:val="en-US"/>
        </w:rPr>
      </w:pPr>
      <w:r>
        <w:rPr>
          <w:lang w:val="en-US"/>
        </w:rPr>
        <w:t xml:space="preserve">S. </w:t>
      </w:r>
      <w:r w:rsidRPr="00962F1C" w:rsidDel="00467F38">
        <w:rPr>
          <w:lang w:val="en-US"/>
        </w:rPr>
        <w:t xml:space="preserve">Ur-Rehman, Z. Mushtaq, T. Zahoor, A. Jamil, M. A. Murtaza, M.A., 2015, Xylitol: A Review on Bioproduction, Application, Health Benefits, and Related Safety Issues, Critical Reviews in Food Science and Nutrition, 55, 1514-1528. </w:t>
      </w:r>
    </w:p>
    <w:p w14:paraId="45F577D6" w14:textId="05816B60" w:rsidR="00DB5CBF" w:rsidRPr="00962F1C" w:rsidRDefault="00467F38" w:rsidP="003D580B">
      <w:pPr>
        <w:pStyle w:val="Els-referenceno-number"/>
        <w:jc w:val="both"/>
        <w:rPr>
          <w:lang w:val="en-US"/>
        </w:rPr>
      </w:pPr>
      <w:r>
        <w:rPr>
          <w:lang w:val="en-US"/>
        </w:rPr>
        <w:t>D. H .</w:t>
      </w:r>
      <w:r w:rsidRPr="00962F1C" w:rsidDel="00467F38">
        <w:rPr>
          <w:lang w:val="en-US"/>
        </w:rPr>
        <w:t>Wolpert, W. G. Macready, 1997, No free lunch theorems for optimization, IEEE Transactions on Evolutionary Computation, 1, 1, 67-82</w:t>
      </w:r>
    </w:p>
    <w:sectPr w:rsidR="00DB5CBF" w:rsidRPr="00962F1C" w:rsidSect="006F1880">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F0FC3" w14:textId="77777777" w:rsidR="006F1880" w:rsidRDefault="006F1880">
      <w:r>
        <w:separator/>
      </w:r>
    </w:p>
  </w:endnote>
  <w:endnote w:type="continuationSeparator" w:id="0">
    <w:p w14:paraId="78372FDC" w14:textId="77777777" w:rsidR="006F1880" w:rsidRDefault="006F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4B831" w14:textId="77777777" w:rsidR="006F1880" w:rsidRDefault="006F1880">
      <w:r>
        <w:separator/>
      </w:r>
    </w:p>
  </w:footnote>
  <w:footnote w:type="continuationSeparator" w:id="0">
    <w:p w14:paraId="4A27BABF" w14:textId="77777777" w:rsidR="006F1880" w:rsidRDefault="006F1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08BF14D7" w:rsidR="00DD3D9E" w:rsidRPr="00950E22" w:rsidRDefault="00950E22" w:rsidP="00950E22">
    <w:pPr>
      <w:pStyle w:val="Encabezado"/>
      <w:jc w:val="right"/>
      <w:rPr>
        <w:i/>
        <w:iCs/>
        <w:lang w:val="es-CO"/>
      </w:rPr>
    </w:pPr>
    <w:r>
      <w:rPr>
        <w:i/>
        <w:iCs/>
        <w:lang w:val="es-CO"/>
      </w:rPr>
      <w:t>Sánchez-Rendón,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74E05D80" w:rsidR="00DD3D9E" w:rsidRDefault="00950E22" w:rsidP="00950E22">
    <w:pPr>
      <w:pStyle w:val="Encabezado"/>
      <w:tabs>
        <w:tab w:val="clear" w:pos="7200"/>
        <w:tab w:val="right" w:pos="7088"/>
      </w:tabs>
      <w:rPr>
        <w:sz w:val="24"/>
      </w:rPr>
    </w:pPr>
    <w:r w:rsidRPr="00950E22">
      <w:rPr>
        <w:i/>
      </w:rPr>
      <w:t>Enhanced kinetic model parameters for xylitol bioproduction from Candida mogii ATCC 18364</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A3A"/>
    <w:multiLevelType w:val="multilevel"/>
    <w:tmpl w:val="939EB6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93B1BAF"/>
    <w:multiLevelType w:val="multilevel"/>
    <w:tmpl w:val="2A9051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102A05"/>
    <w:multiLevelType w:val="multilevel"/>
    <w:tmpl w:val="939EB6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F034E2"/>
    <w:multiLevelType w:val="multilevel"/>
    <w:tmpl w:val="DA80F9EE"/>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4"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67031C9E"/>
    <w:multiLevelType w:val="multilevel"/>
    <w:tmpl w:val="2A9051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5"/>
  </w:num>
  <w:num w:numId="2" w16cid:durableId="47382885">
    <w:abstractNumId w:val="15"/>
  </w:num>
  <w:num w:numId="3" w16cid:durableId="967853731">
    <w:abstractNumId w:val="15"/>
  </w:num>
  <w:num w:numId="4" w16cid:durableId="1739282265">
    <w:abstractNumId w:val="15"/>
  </w:num>
  <w:num w:numId="5" w16cid:durableId="698892343">
    <w:abstractNumId w:val="1"/>
  </w:num>
  <w:num w:numId="6" w16cid:durableId="1660883641">
    <w:abstractNumId w:val="8"/>
  </w:num>
  <w:num w:numId="7" w16cid:durableId="1863349795">
    <w:abstractNumId w:val="16"/>
  </w:num>
  <w:num w:numId="8" w16cid:durableId="1750734252">
    <w:abstractNumId w:val="3"/>
  </w:num>
  <w:num w:numId="9" w16cid:durableId="203061615">
    <w:abstractNumId w:val="14"/>
  </w:num>
  <w:num w:numId="10" w16cid:durableId="1478497114">
    <w:abstractNumId w:val="19"/>
  </w:num>
  <w:num w:numId="11" w16cid:durableId="1896693444">
    <w:abstractNumId w:val="18"/>
  </w:num>
  <w:num w:numId="12" w16cid:durableId="774787662">
    <w:abstractNumId w:val="7"/>
  </w:num>
  <w:num w:numId="13" w16cid:durableId="1525900646">
    <w:abstractNumId w:val="10"/>
  </w:num>
  <w:num w:numId="14" w16cid:durableId="1455515963">
    <w:abstractNumId w:val="4"/>
  </w:num>
  <w:num w:numId="15" w16cid:durableId="446657998">
    <w:abstractNumId w:val="9"/>
  </w:num>
  <w:num w:numId="16" w16cid:durableId="322592235">
    <w:abstractNumId w:val="5"/>
  </w:num>
  <w:num w:numId="17" w16cid:durableId="596719075">
    <w:abstractNumId w:val="6"/>
  </w:num>
  <w:num w:numId="18" w16cid:durableId="886648604">
    <w:abstractNumId w:val="12"/>
  </w:num>
  <w:num w:numId="19" w16cid:durableId="176428979">
    <w:abstractNumId w:val="11"/>
  </w:num>
  <w:num w:numId="20" w16cid:durableId="976495254">
    <w:abstractNumId w:val="11"/>
  </w:num>
  <w:num w:numId="21" w16cid:durableId="38358215">
    <w:abstractNumId w:val="6"/>
  </w:num>
  <w:num w:numId="22" w16cid:durableId="1884443506">
    <w:abstractNumId w:val="0"/>
  </w:num>
  <w:num w:numId="23" w16cid:durableId="463744046">
    <w:abstractNumId w:val="17"/>
  </w:num>
  <w:num w:numId="24" w16cid:durableId="447239070">
    <w:abstractNumId w:val="2"/>
  </w:num>
  <w:num w:numId="25" w16cid:durableId="1796680777">
    <w:abstractNumId w:val="13"/>
  </w:num>
  <w:num w:numId="26" w16cid:durableId="1502892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6C17"/>
    <w:rsid w:val="000228B4"/>
    <w:rsid w:val="00023683"/>
    <w:rsid w:val="00036434"/>
    <w:rsid w:val="00042563"/>
    <w:rsid w:val="00061395"/>
    <w:rsid w:val="00073839"/>
    <w:rsid w:val="000842CB"/>
    <w:rsid w:val="000852CF"/>
    <w:rsid w:val="000B4454"/>
    <w:rsid w:val="000C04CF"/>
    <w:rsid w:val="000C0D21"/>
    <w:rsid w:val="000C3209"/>
    <w:rsid w:val="000D3D9B"/>
    <w:rsid w:val="000E5385"/>
    <w:rsid w:val="001013CB"/>
    <w:rsid w:val="00107D37"/>
    <w:rsid w:val="0011396F"/>
    <w:rsid w:val="001302D5"/>
    <w:rsid w:val="00153497"/>
    <w:rsid w:val="00154C66"/>
    <w:rsid w:val="0016032F"/>
    <w:rsid w:val="00165333"/>
    <w:rsid w:val="0018415A"/>
    <w:rsid w:val="001879F6"/>
    <w:rsid w:val="00191368"/>
    <w:rsid w:val="0019154A"/>
    <w:rsid w:val="001933E3"/>
    <w:rsid w:val="001A1319"/>
    <w:rsid w:val="001B390A"/>
    <w:rsid w:val="001B6C97"/>
    <w:rsid w:val="001C0148"/>
    <w:rsid w:val="001C757E"/>
    <w:rsid w:val="001F3EA5"/>
    <w:rsid w:val="0020390F"/>
    <w:rsid w:val="0021756C"/>
    <w:rsid w:val="00264926"/>
    <w:rsid w:val="002714E5"/>
    <w:rsid w:val="0027168E"/>
    <w:rsid w:val="00280606"/>
    <w:rsid w:val="00292AFE"/>
    <w:rsid w:val="002A02A7"/>
    <w:rsid w:val="002A22AA"/>
    <w:rsid w:val="002D5437"/>
    <w:rsid w:val="002E3F53"/>
    <w:rsid w:val="002F386D"/>
    <w:rsid w:val="00300BCC"/>
    <w:rsid w:val="0031138E"/>
    <w:rsid w:val="00342DA6"/>
    <w:rsid w:val="00344648"/>
    <w:rsid w:val="00352D11"/>
    <w:rsid w:val="00364712"/>
    <w:rsid w:val="00367C29"/>
    <w:rsid w:val="00374F5D"/>
    <w:rsid w:val="00377E93"/>
    <w:rsid w:val="003854B0"/>
    <w:rsid w:val="003A3861"/>
    <w:rsid w:val="003D1582"/>
    <w:rsid w:val="003D580B"/>
    <w:rsid w:val="003D5C21"/>
    <w:rsid w:val="003D7E4C"/>
    <w:rsid w:val="003E41C2"/>
    <w:rsid w:val="003F4465"/>
    <w:rsid w:val="003F54CA"/>
    <w:rsid w:val="00412094"/>
    <w:rsid w:val="004515D8"/>
    <w:rsid w:val="00457214"/>
    <w:rsid w:val="004605E8"/>
    <w:rsid w:val="004626A1"/>
    <w:rsid w:val="004650C4"/>
    <w:rsid w:val="004674CA"/>
    <w:rsid w:val="00467F38"/>
    <w:rsid w:val="0049772C"/>
    <w:rsid w:val="00497847"/>
    <w:rsid w:val="004A46D0"/>
    <w:rsid w:val="004D47D6"/>
    <w:rsid w:val="004E009A"/>
    <w:rsid w:val="00514AEB"/>
    <w:rsid w:val="00522704"/>
    <w:rsid w:val="005263E4"/>
    <w:rsid w:val="00540985"/>
    <w:rsid w:val="00552EEB"/>
    <w:rsid w:val="0057667F"/>
    <w:rsid w:val="00591B62"/>
    <w:rsid w:val="005A01C8"/>
    <w:rsid w:val="005A5911"/>
    <w:rsid w:val="005B35F0"/>
    <w:rsid w:val="005D48C9"/>
    <w:rsid w:val="005D6188"/>
    <w:rsid w:val="005E2FAE"/>
    <w:rsid w:val="005E35B1"/>
    <w:rsid w:val="005F39E9"/>
    <w:rsid w:val="005F4622"/>
    <w:rsid w:val="005F509C"/>
    <w:rsid w:val="0060690B"/>
    <w:rsid w:val="0061068E"/>
    <w:rsid w:val="00613743"/>
    <w:rsid w:val="00663199"/>
    <w:rsid w:val="00665741"/>
    <w:rsid w:val="00672B48"/>
    <w:rsid w:val="0067796D"/>
    <w:rsid w:val="0068190E"/>
    <w:rsid w:val="006A69BF"/>
    <w:rsid w:val="006C0D0C"/>
    <w:rsid w:val="006C2D87"/>
    <w:rsid w:val="006D13FF"/>
    <w:rsid w:val="006E0BCB"/>
    <w:rsid w:val="006F1880"/>
    <w:rsid w:val="006F2A16"/>
    <w:rsid w:val="006F4EE0"/>
    <w:rsid w:val="00711979"/>
    <w:rsid w:val="00711DF4"/>
    <w:rsid w:val="00712014"/>
    <w:rsid w:val="00717128"/>
    <w:rsid w:val="00722BF9"/>
    <w:rsid w:val="007407A7"/>
    <w:rsid w:val="00745695"/>
    <w:rsid w:val="00761FF3"/>
    <w:rsid w:val="00777950"/>
    <w:rsid w:val="007912DD"/>
    <w:rsid w:val="007A26DD"/>
    <w:rsid w:val="007A5251"/>
    <w:rsid w:val="007C2C5F"/>
    <w:rsid w:val="007D397A"/>
    <w:rsid w:val="007D4591"/>
    <w:rsid w:val="007D70A1"/>
    <w:rsid w:val="007E0486"/>
    <w:rsid w:val="007F6CFD"/>
    <w:rsid w:val="008033D6"/>
    <w:rsid w:val="008132E8"/>
    <w:rsid w:val="00823407"/>
    <w:rsid w:val="00852ACB"/>
    <w:rsid w:val="0085494C"/>
    <w:rsid w:val="0086635F"/>
    <w:rsid w:val="00887466"/>
    <w:rsid w:val="008B0184"/>
    <w:rsid w:val="008B3F42"/>
    <w:rsid w:val="008B4DB2"/>
    <w:rsid w:val="008B54F4"/>
    <w:rsid w:val="008B61A4"/>
    <w:rsid w:val="008C5D02"/>
    <w:rsid w:val="008D2649"/>
    <w:rsid w:val="008D4F1A"/>
    <w:rsid w:val="008E4F04"/>
    <w:rsid w:val="008E6A2D"/>
    <w:rsid w:val="008F55B0"/>
    <w:rsid w:val="00905287"/>
    <w:rsid w:val="0090568D"/>
    <w:rsid w:val="009125C9"/>
    <w:rsid w:val="00913879"/>
    <w:rsid w:val="00917661"/>
    <w:rsid w:val="00922C93"/>
    <w:rsid w:val="00937732"/>
    <w:rsid w:val="00950E22"/>
    <w:rsid w:val="00962F1C"/>
    <w:rsid w:val="00970E5D"/>
    <w:rsid w:val="0097149A"/>
    <w:rsid w:val="0097701C"/>
    <w:rsid w:val="00977A5C"/>
    <w:rsid w:val="00980A65"/>
    <w:rsid w:val="00984926"/>
    <w:rsid w:val="009916D3"/>
    <w:rsid w:val="009B28C2"/>
    <w:rsid w:val="009E69AA"/>
    <w:rsid w:val="00A031CE"/>
    <w:rsid w:val="00A06088"/>
    <w:rsid w:val="00A157C8"/>
    <w:rsid w:val="00A15F5D"/>
    <w:rsid w:val="00A25C87"/>
    <w:rsid w:val="00A25E70"/>
    <w:rsid w:val="00A33765"/>
    <w:rsid w:val="00A405AC"/>
    <w:rsid w:val="00A63269"/>
    <w:rsid w:val="00A83D61"/>
    <w:rsid w:val="00A92377"/>
    <w:rsid w:val="00AA1484"/>
    <w:rsid w:val="00AB29ED"/>
    <w:rsid w:val="00AE15E8"/>
    <w:rsid w:val="00AE46C3"/>
    <w:rsid w:val="00AE4BD8"/>
    <w:rsid w:val="00AE7315"/>
    <w:rsid w:val="00AF7CAA"/>
    <w:rsid w:val="00B00205"/>
    <w:rsid w:val="00B01120"/>
    <w:rsid w:val="00B048E5"/>
    <w:rsid w:val="00B134D6"/>
    <w:rsid w:val="00B14DB6"/>
    <w:rsid w:val="00B1695C"/>
    <w:rsid w:val="00B2320E"/>
    <w:rsid w:val="00B2473D"/>
    <w:rsid w:val="00B30205"/>
    <w:rsid w:val="00B4388F"/>
    <w:rsid w:val="00B606FA"/>
    <w:rsid w:val="00B63237"/>
    <w:rsid w:val="00B6340B"/>
    <w:rsid w:val="00B647F2"/>
    <w:rsid w:val="00B70B4C"/>
    <w:rsid w:val="00BA243F"/>
    <w:rsid w:val="00BA32F3"/>
    <w:rsid w:val="00BB4500"/>
    <w:rsid w:val="00BC03CB"/>
    <w:rsid w:val="00BD6D22"/>
    <w:rsid w:val="00BF6412"/>
    <w:rsid w:val="00C042FF"/>
    <w:rsid w:val="00C0730F"/>
    <w:rsid w:val="00C12296"/>
    <w:rsid w:val="00C25880"/>
    <w:rsid w:val="00C2744D"/>
    <w:rsid w:val="00C27ABB"/>
    <w:rsid w:val="00C30F92"/>
    <w:rsid w:val="00C37B62"/>
    <w:rsid w:val="00C56BB9"/>
    <w:rsid w:val="00C67325"/>
    <w:rsid w:val="00C930A2"/>
    <w:rsid w:val="00C960DC"/>
    <w:rsid w:val="00C9649A"/>
    <w:rsid w:val="00CA1F88"/>
    <w:rsid w:val="00CB52D0"/>
    <w:rsid w:val="00CD17EE"/>
    <w:rsid w:val="00CE2D62"/>
    <w:rsid w:val="00D02C75"/>
    <w:rsid w:val="00D07B95"/>
    <w:rsid w:val="00D10E22"/>
    <w:rsid w:val="00D11770"/>
    <w:rsid w:val="00D122D1"/>
    <w:rsid w:val="00D13D2C"/>
    <w:rsid w:val="00D15E54"/>
    <w:rsid w:val="00D63FE9"/>
    <w:rsid w:val="00D77915"/>
    <w:rsid w:val="00D84A5A"/>
    <w:rsid w:val="00D9770F"/>
    <w:rsid w:val="00DA6DEE"/>
    <w:rsid w:val="00DB5476"/>
    <w:rsid w:val="00DB5CBF"/>
    <w:rsid w:val="00DC2205"/>
    <w:rsid w:val="00DC2F94"/>
    <w:rsid w:val="00DD3D9E"/>
    <w:rsid w:val="00DD52B6"/>
    <w:rsid w:val="00DD7908"/>
    <w:rsid w:val="00E212D8"/>
    <w:rsid w:val="00E424EB"/>
    <w:rsid w:val="00E53300"/>
    <w:rsid w:val="00E733E1"/>
    <w:rsid w:val="00E77D4B"/>
    <w:rsid w:val="00E82297"/>
    <w:rsid w:val="00E82FE5"/>
    <w:rsid w:val="00E96797"/>
    <w:rsid w:val="00EA5A29"/>
    <w:rsid w:val="00EC0E49"/>
    <w:rsid w:val="00EC2DDE"/>
    <w:rsid w:val="00ED262D"/>
    <w:rsid w:val="00ED7609"/>
    <w:rsid w:val="00EE123B"/>
    <w:rsid w:val="00EE46CA"/>
    <w:rsid w:val="00EF39FD"/>
    <w:rsid w:val="00F06842"/>
    <w:rsid w:val="00F107FD"/>
    <w:rsid w:val="00F1347E"/>
    <w:rsid w:val="00F23681"/>
    <w:rsid w:val="00F24BDC"/>
    <w:rsid w:val="00F24CAC"/>
    <w:rsid w:val="00F53F92"/>
    <w:rsid w:val="00FA18F3"/>
    <w:rsid w:val="00FB64A8"/>
    <w:rsid w:val="00FC6A14"/>
    <w:rsid w:val="00FC6B97"/>
    <w:rsid w:val="00FD59EC"/>
    <w:rsid w:val="00FE338B"/>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EE46CA"/>
    <w:pPr>
      <w:numPr>
        <w:ilvl w:val="0"/>
        <w:numId w:val="0"/>
      </w:numPr>
    </w:pPr>
    <w:rPr>
      <w:szCs w:val="22"/>
      <w:lang w:val="en-GB"/>
    </w:r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aconcuadrcula">
    <w:name w:val="Table Grid"/>
    <w:basedOn w:val="Tablanormal"/>
    <w:rsid w:val="00677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228B4"/>
    <w:rPr>
      <w:color w:val="605E5C"/>
      <w:shd w:val="clear" w:color="auto" w:fill="E1DFDD"/>
    </w:rPr>
  </w:style>
  <w:style w:type="paragraph" w:styleId="Revisin">
    <w:name w:val="Revision"/>
    <w:hidden/>
    <w:uiPriority w:val="99"/>
    <w:semiHidden/>
    <w:rsid w:val="0093773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2443">
      <w:bodyDiv w:val="1"/>
      <w:marLeft w:val="0"/>
      <w:marRight w:val="0"/>
      <w:marTop w:val="0"/>
      <w:marBottom w:val="0"/>
      <w:divBdr>
        <w:top w:val="none" w:sz="0" w:space="0" w:color="auto"/>
        <w:left w:val="none" w:sz="0" w:space="0" w:color="auto"/>
        <w:bottom w:val="none" w:sz="0" w:space="0" w:color="auto"/>
        <w:right w:val="none" w:sz="0" w:space="0" w:color="auto"/>
      </w:divBdr>
    </w:div>
    <w:div w:id="823204148">
      <w:bodyDiv w:val="1"/>
      <w:marLeft w:val="0"/>
      <w:marRight w:val="0"/>
      <w:marTop w:val="0"/>
      <w:marBottom w:val="0"/>
      <w:divBdr>
        <w:top w:val="none" w:sz="0" w:space="0" w:color="auto"/>
        <w:left w:val="none" w:sz="0" w:space="0" w:color="auto"/>
        <w:bottom w:val="none" w:sz="0" w:space="0" w:color="auto"/>
        <w:right w:val="none" w:sz="0" w:space="0" w:color="auto"/>
      </w:divBdr>
    </w:div>
    <w:div w:id="1110586981">
      <w:bodyDiv w:val="1"/>
      <w:marLeft w:val="0"/>
      <w:marRight w:val="0"/>
      <w:marTop w:val="0"/>
      <w:marBottom w:val="0"/>
      <w:divBdr>
        <w:top w:val="none" w:sz="0" w:space="0" w:color="auto"/>
        <w:left w:val="none" w:sz="0" w:space="0" w:color="auto"/>
        <w:bottom w:val="none" w:sz="0" w:space="0" w:color="auto"/>
        <w:right w:val="none" w:sz="0" w:space="0" w:color="auto"/>
      </w:divBdr>
    </w:div>
    <w:div w:id="14690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C4A7F1682060439AB82DCF6FFA11D3" ma:contentTypeVersion="10" ma:contentTypeDescription="Create a new document." ma:contentTypeScope="" ma:versionID="b8adc60806ec97fa924046f7dd3e233f">
  <xsd:schema xmlns:xsd="http://www.w3.org/2001/XMLSchema" xmlns:xs="http://www.w3.org/2001/XMLSchema" xmlns:p="http://schemas.microsoft.com/office/2006/metadata/properties" xmlns:ns3="eb32439e-886a-4ba5-9e61-342ea99b08fd" targetNamespace="http://schemas.microsoft.com/office/2006/metadata/properties" ma:root="true" ma:fieldsID="fdbe908e567aed22fd05ea808fe364bf" ns3:_="">
    <xsd:import namespace="eb32439e-886a-4ba5-9e61-342ea99b08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2439e-886a-4ba5-9e61-342ea99b0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eb32439e-886a-4ba5-9e61-342ea99b08fd" xsi:nil="true"/>
  </documentManagement>
</p:properties>
</file>

<file path=customXml/itemProps1.xml><?xml version="1.0" encoding="utf-8"?>
<ds:datastoreItem xmlns:ds="http://schemas.openxmlformats.org/officeDocument/2006/customXml" ds:itemID="{0B9842DA-8263-45B9-8439-156AC4566963}">
  <ds:schemaRefs>
    <ds:schemaRef ds:uri="http://schemas.microsoft.com/sharepoint/v3/contenttype/forms"/>
  </ds:schemaRefs>
</ds:datastoreItem>
</file>

<file path=customXml/itemProps2.xml><?xml version="1.0" encoding="utf-8"?>
<ds:datastoreItem xmlns:ds="http://schemas.openxmlformats.org/officeDocument/2006/customXml" ds:itemID="{FCCF48A8-3422-4CA4-A3A9-C3F7B13EA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2439e-886a-4ba5-9e61-342ea99b0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customXml/itemProps4.xml><?xml version="1.0" encoding="utf-8"?>
<ds:datastoreItem xmlns:ds="http://schemas.openxmlformats.org/officeDocument/2006/customXml" ds:itemID="{3A33F907-BDBD-4C30-BB6B-711510845FD7}">
  <ds:schemaRefs>
    <ds:schemaRef ds:uri="http://schemas.microsoft.com/office/2006/metadata/properties"/>
    <ds:schemaRef ds:uri="http://schemas.microsoft.com/office/infopath/2007/PartnerControls"/>
    <ds:schemaRef ds:uri="eb32439e-886a-4ba5-9e61-342ea99b08fd"/>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2691</Words>
  <Characters>14806</Characters>
  <Application>Microsoft Office Word</Application>
  <DocSecurity>0</DocSecurity>
  <Lines>123</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Oscar Andrés Prado Rubio</cp:lastModifiedBy>
  <cp:revision>2</cp:revision>
  <cp:lastPrinted>2004-12-17T09:20:00Z</cp:lastPrinted>
  <dcterms:created xsi:type="dcterms:W3CDTF">2024-01-15T14:42:00Z</dcterms:created>
  <dcterms:modified xsi:type="dcterms:W3CDTF">2024-01-15T14:42:00Z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Document_1">
    <vt:lpwstr>True</vt:lpwstr>
  </property>
  <property fmtid="{D5CDD505-2E9C-101B-9397-08002B2CF9AE}" pid="11" name="Mendeley Unique User Id_1">
    <vt:lpwstr>4d7ac1ad-0f63-3b85-a06e-32bc18c4ee58</vt:lpwstr>
  </property>
  <property fmtid="{D5CDD505-2E9C-101B-9397-08002B2CF9AE}" pid="12" name="Mendeley Citation Style_1">
    <vt:lpwstr>http://www.zotero.org/styles/apa</vt:lpwstr>
  </property>
  <property fmtid="{D5CDD505-2E9C-101B-9397-08002B2CF9AE}" pid="13" name="Mendeley Recent Style Id 0_1">
    <vt:lpwstr>http://www.zotero.org/styles/apa</vt:lpwstr>
  </property>
  <property fmtid="{D5CDD505-2E9C-101B-9397-08002B2CF9AE}" pid="14" name="Mendeley Recent Style Name 0_1">
    <vt:lpwstr>American Psychological Association 7th edition</vt:lpwstr>
  </property>
  <property fmtid="{D5CDD505-2E9C-101B-9397-08002B2CF9AE}" pid="15" name="Mendeley Recent Style Id 1_1">
    <vt:lpwstr>https://csl.mendeley.com/styles/486083851/APA-7th-noDOI</vt:lpwstr>
  </property>
  <property fmtid="{D5CDD505-2E9C-101B-9397-08002B2CF9AE}" pid="16" name="Mendeley Recent Style Name 1_1">
    <vt:lpwstr>American Psychological Association 7th edition - OAP no DOI</vt:lpwstr>
  </property>
  <property fmtid="{D5CDD505-2E9C-101B-9397-08002B2CF9AE}" pid="17" name="Mendeley Recent Style Id 2_1">
    <vt:lpwstr>http://csl.mendeley.com/styles/486083851/APA-7th-noDOI</vt:lpwstr>
  </property>
  <property fmtid="{D5CDD505-2E9C-101B-9397-08002B2CF9AE}" pid="18" name="Mendeley Recent Style Name 2_1">
    <vt:lpwstr>American Psychological Association 7th edition - Oscar Andrés Prado-Rubio</vt:lpwstr>
  </property>
  <property fmtid="{D5CDD505-2E9C-101B-9397-08002B2CF9AE}" pid="19" name="Mendeley Recent Style Id 3_1">
    <vt:lpwstr>http://www.zotero.org/styles/american-sociological-association</vt:lpwstr>
  </property>
  <property fmtid="{D5CDD505-2E9C-101B-9397-08002B2CF9AE}" pid="20" name="Mendeley Recent Style Name 3_1">
    <vt:lpwstr>American Sociological Association 6th edition</vt:lpwstr>
  </property>
  <property fmtid="{D5CDD505-2E9C-101B-9397-08002B2CF9AE}" pid="21" name="Mendeley Recent Style Id 4_1">
    <vt:lpwstr>http://www.zotero.org/styles/chemical-engineering-research-and-design</vt:lpwstr>
  </property>
  <property fmtid="{D5CDD505-2E9C-101B-9397-08002B2CF9AE}" pid="22" name="Mendeley Recent Style Name 4_1">
    <vt:lpwstr>Chemical Engineering Research and Design</vt:lpwstr>
  </property>
  <property fmtid="{D5CDD505-2E9C-101B-9397-08002B2CF9AE}" pid="23" name="Mendeley Recent Style Id 5_1">
    <vt:lpwstr>http://www.zotero.org/styles/chicago-author-date</vt:lpwstr>
  </property>
  <property fmtid="{D5CDD505-2E9C-101B-9397-08002B2CF9AE}" pid="24" name="Mendeley Recent Style Name 5_1">
    <vt:lpwstr>Chicago Manual of Style 17th edition (author-date)</vt:lpwstr>
  </property>
  <property fmtid="{D5CDD505-2E9C-101B-9397-08002B2CF9AE}" pid="25" name="Mendeley Recent Style Id 6_1">
    <vt:lpwstr>http://www.zotero.org/styles/harvard-cite-them-right</vt:lpwstr>
  </property>
  <property fmtid="{D5CDD505-2E9C-101B-9397-08002B2CF9AE}" pid="26" name="Mendeley Recent Style Name 6_1">
    <vt:lpwstr>Cite Them Right 11th edition - Harvard</vt:lpwstr>
  </property>
  <property fmtid="{D5CDD505-2E9C-101B-9397-08002B2CF9AE}" pid="27" name="Mendeley Recent Style Id 7_1">
    <vt:lpwstr>http://www.zotero.org/styles/modern-humanities-research-association</vt:lpwstr>
  </property>
  <property fmtid="{D5CDD505-2E9C-101B-9397-08002B2CF9AE}" pid="28" name="Mendeley Recent Style Name 7_1">
    <vt:lpwstr>Modern Humanities Research Association 3rd edition (note with bibliography)</vt:lpwstr>
  </property>
  <property fmtid="{D5CDD505-2E9C-101B-9397-08002B2CF9AE}" pid="29" name="Mendeley Recent Style Id 8_1">
    <vt:lpwstr>http://www.zotero.org/styles/modern-language-association</vt:lpwstr>
  </property>
  <property fmtid="{D5CDD505-2E9C-101B-9397-08002B2CF9AE}" pid="30" name="Mendeley Recent Style Name 8_1">
    <vt:lpwstr>Modern Language Association 9th edition</vt:lpwstr>
  </property>
  <property fmtid="{D5CDD505-2E9C-101B-9397-08002B2CF9AE}" pid="31" name="Mendeley Recent Style Id 9_1">
    <vt:lpwstr>https://csl.mendeley.com/styles/486083851/nature-2</vt:lpwstr>
  </property>
  <property fmtid="{D5CDD505-2E9C-101B-9397-08002B2CF9AE}" pid="32" name="Mendeley Recent Style Name 9_1">
    <vt:lpwstr>Nature - Oscar Andrés Prado-Rubio</vt:lpwstr>
  </property>
  <property fmtid="{D5CDD505-2E9C-101B-9397-08002B2CF9AE}" pid="33" name="ContentTypeId">
    <vt:lpwstr>0x010100A4C4A7F1682060439AB82DCF6FFA11D3</vt:lpwstr>
  </property>
</Properties>
</file>