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7FA559CB" w:rsidR="00DD3D9E" w:rsidRPr="00B4388F" w:rsidRDefault="00A471B1">
      <w:pPr>
        <w:pStyle w:val="Els-Title"/>
        <w:rPr>
          <w:color w:val="000000" w:themeColor="text1"/>
        </w:rPr>
      </w:pPr>
      <w:r>
        <w:rPr>
          <w:color w:val="000000" w:themeColor="text1"/>
        </w:rPr>
        <w:t>CO</w:t>
      </w:r>
      <w:r w:rsidRPr="00F72493">
        <w:rPr>
          <w:color w:val="000000" w:themeColor="text1"/>
          <w:vertAlign w:val="subscript"/>
        </w:rPr>
        <w:t>2</w:t>
      </w:r>
      <w:r>
        <w:rPr>
          <w:color w:val="000000" w:themeColor="text1"/>
        </w:rPr>
        <w:t xml:space="preserve"> Capture and Management Strategies for Decarbonizing Secondary Aluminium Production</w:t>
      </w:r>
    </w:p>
    <w:p w14:paraId="1FCF6DED" w14:textId="63177084" w:rsidR="00A471B1" w:rsidRPr="00AC5C72" w:rsidRDefault="00A471B1" w:rsidP="00A471B1">
      <w:pPr>
        <w:keepNext/>
        <w:pBdr>
          <w:top w:val="nil"/>
          <w:left w:val="nil"/>
          <w:bottom w:val="nil"/>
          <w:right w:val="nil"/>
          <w:between w:val="nil"/>
        </w:pBdr>
        <w:spacing w:after="60" w:line="310" w:lineRule="auto"/>
        <w:rPr>
          <w:color w:val="000000"/>
          <w:sz w:val="22"/>
          <w:szCs w:val="22"/>
          <w:lang w:val="it-IT"/>
        </w:rPr>
      </w:pPr>
      <w:r w:rsidRPr="00AC5C72">
        <w:rPr>
          <w:color w:val="000000"/>
          <w:sz w:val="22"/>
          <w:szCs w:val="22"/>
          <w:lang w:val="it-IT"/>
        </w:rPr>
        <w:t>Dareen Dardor</w:t>
      </w:r>
      <w:r w:rsidRPr="00AC5C72">
        <w:rPr>
          <w:color w:val="000000"/>
          <w:sz w:val="22"/>
          <w:szCs w:val="22"/>
          <w:vertAlign w:val="superscript"/>
          <w:lang w:val="it-IT"/>
        </w:rPr>
        <w:t>a,b*</w:t>
      </w:r>
      <w:r w:rsidRPr="00AC5C72">
        <w:rPr>
          <w:color w:val="000000"/>
          <w:sz w:val="22"/>
          <w:szCs w:val="22"/>
          <w:lang w:val="it-IT"/>
        </w:rPr>
        <w:t>, Daniel Flórez-Orrego</w:t>
      </w:r>
      <w:r w:rsidRPr="00AC5C72">
        <w:rPr>
          <w:color w:val="000000"/>
          <w:sz w:val="22"/>
          <w:szCs w:val="22"/>
          <w:vertAlign w:val="superscript"/>
          <w:lang w:val="it-IT"/>
        </w:rPr>
        <w:t>a</w:t>
      </w:r>
      <w:r w:rsidRPr="00AC5C72">
        <w:rPr>
          <w:color w:val="000000"/>
          <w:sz w:val="22"/>
          <w:szCs w:val="22"/>
          <w:lang w:val="it-IT"/>
        </w:rPr>
        <w:t>,</w:t>
      </w:r>
      <w:r w:rsidR="00867DA1" w:rsidRPr="00AC5C72">
        <w:rPr>
          <w:color w:val="000000"/>
          <w:sz w:val="22"/>
          <w:szCs w:val="22"/>
          <w:lang w:val="it-IT"/>
        </w:rPr>
        <w:t xml:space="preserve"> </w:t>
      </w:r>
      <w:r w:rsidR="002428F1" w:rsidRPr="00AC5C72">
        <w:rPr>
          <w:color w:val="000000"/>
          <w:sz w:val="22"/>
          <w:szCs w:val="22"/>
          <w:lang w:val="it-IT"/>
        </w:rPr>
        <w:t xml:space="preserve">Meire </w:t>
      </w:r>
      <w:bookmarkStart w:id="0" w:name="_GoBack"/>
      <w:bookmarkEnd w:id="0"/>
      <w:r w:rsidR="002428F1" w:rsidRPr="00AC5C72">
        <w:rPr>
          <w:color w:val="000000"/>
          <w:sz w:val="22"/>
          <w:szCs w:val="22"/>
          <w:lang w:val="it-IT"/>
        </w:rPr>
        <w:t>Ribeiro Domingos</w:t>
      </w:r>
      <w:r w:rsidR="002428F1" w:rsidRPr="00AC5C72">
        <w:rPr>
          <w:color w:val="000000"/>
          <w:sz w:val="22"/>
          <w:szCs w:val="22"/>
          <w:vertAlign w:val="superscript"/>
          <w:lang w:val="it-IT"/>
        </w:rPr>
        <w:t>a</w:t>
      </w:r>
      <w:r w:rsidR="00013FBA" w:rsidRPr="00AC5C72">
        <w:rPr>
          <w:color w:val="000000"/>
          <w:sz w:val="22"/>
          <w:szCs w:val="22"/>
          <w:lang w:val="it-IT"/>
        </w:rPr>
        <w:t xml:space="preserve">, </w:t>
      </w:r>
      <w:r w:rsidRPr="00AC5C72">
        <w:rPr>
          <w:color w:val="000000"/>
          <w:sz w:val="22"/>
          <w:szCs w:val="22"/>
          <w:lang w:val="it-IT"/>
        </w:rPr>
        <w:t>Reginald Germanier</w:t>
      </w:r>
      <w:r w:rsidRPr="00AC5C72">
        <w:rPr>
          <w:color w:val="000000"/>
          <w:sz w:val="22"/>
          <w:szCs w:val="22"/>
          <w:vertAlign w:val="superscript"/>
          <w:lang w:val="it-IT"/>
        </w:rPr>
        <w:t>c</w:t>
      </w:r>
      <w:r w:rsidRPr="00AC5C72">
        <w:rPr>
          <w:color w:val="000000"/>
          <w:sz w:val="22"/>
          <w:szCs w:val="22"/>
          <w:lang w:val="it-IT"/>
        </w:rPr>
        <w:t>,</w:t>
      </w:r>
      <w:r w:rsidR="00013FBA" w:rsidRPr="00AC5C72">
        <w:rPr>
          <w:color w:val="000000"/>
          <w:sz w:val="22"/>
          <w:szCs w:val="22"/>
          <w:lang w:val="it-IT"/>
        </w:rPr>
        <w:t xml:space="preserve"> Manuele Margni</w:t>
      </w:r>
      <w:r w:rsidR="00013FBA" w:rsidRPr="00AC5C72">
        <w:rPr>
          <w:color w:val="000000"/>
          <w:sz w:val="22"/>
          <w:szCs w:val="22"/>
          <w:vertAlign w:val="superscript"/>
          <w:lang w:val="it-IT"/>
        </w:rPr>
        <w:t>b</w:t>
      </w:r>
      <w:r w:rsidR="00013FBA" w:rsidRPr="00AC5C72">
        <w:rPr>
          <w:color w:val="000000"/>
          <w:sz w:val="22"/>
          <w:szCs w:val="22"/>
          <w:lang w:val="it-IT"/>
        </w:rPr>
        <w:t xml:space="preserve">, </w:t>
      </w:r>
      <w:r w:rsidRPr="00AC5C72">
        <w:rPr>
          <w:color w:val="000000"/>
          <w:sz w:val="22"/>
          <w:szCs w:val="22"/>
          <w:lang w:val="it-IT"/>
        </w:rPr>
        <w:t>François Maréchal</w:t>
      </w:r>
      <w:r w:rsidRPr="00AC5C72">
        <w:rPr>
          <w:color w:val="000000"/>
          <w:sz w:val="22"/>
          <w:szCs w:val="22"/>
          <w:vertAlign w:val="superscript"/>
          <w:lang w:val="it-IT"/>
        </w:rPr>
        <w:t>a</w:t>
      </w:r>
    </w:p>
    <w:p w14:paraId="238B7CBE" w14:textId="5E9C55B1" w:rsidR="00A471B1" w:rsidRDefault="00A471B1" w:rsidP="00A471B1">
      <w:pPr>
        <w:pBdr>
          <w:top w:val="nil"/>
          <w:left w:val="nil"/>
          <w:bottom w:val="nil"/>
          <w:right w:val="nil"/>
          <w:between w:val="nil"/>
        </w:pBdr>
        <w:rPr>
          <w:i/>
          <w:color w:val="000000"/>
        </w:rPr>
      </w:pPr>
      <w:r>
        <w:rPr>
          <w:i/>
          <w:color w:val="000000"/>
          <w:vertAlign w:val="superscript"/>
        </w:rPr>
        <w:t>a,</w:t>
      </w:r>
      <w:r>
        <w:rPr>
          <w:i/>
          <w:color w:val="000000"/>
        </w:rPr>
        <w:t xml:space="preserve"> Industrial Process and Energy Systems Engineering, Ecole Polytechnique Fédérale de Lausanne, EPFL, Sion 1950, Switzerland.</w:t>
      </w:r>
    </w:p>
    <w:p w14:paraId="393D4191" w14:textId="3685B20E" w:rsidR="00A471B1" w:rsidRDefault="00A471B1" w:rsidP="00A471B1">
      <w:pPr>
        <w:pBdr>
          <w:top w:val="nil"/>
          <w:left w:val="nil"/>
          <w:bottom w:val="nil"/>
          <w:right w:val="nil"/>
          <w:between w:val="nil"/>
        </w:pBdr>
        <w:rPr>
          <w:i/>
          <w:color w:val="000000"/>
        </w:rPr>
      </w:pPr>
      <w:r>
        <w:rPr>
          <w:i/>
          <w:color w:val="000000"/>
          <w:vertAlign w:val="superscript"/>
        </w:rPr>
        <w:t>b</w:t>
      </w:r>
      <w:r>
        <w:rPr>
          <w:i/>
          <w:color w:val="000000"/>
        </w:rPr>
        <w:t xml:space="preserve"> Institute of Sustainable Energy, School of Engineering, University of Applied Sciences and Arts Western Switzerland (HES-SO), Sion 1950, Switzerland.</w:t>
      </w:r>
    </w:p>
    <w:p w14:paraId="7E092885" w14:textId="386AC7FE" w:rsidR="00A471B1" w:rsidRPr="00A471B1" w:rsidRDefault="00A471B1" w:rsidP="00A471B1">
      <w:pPr>
        <w:pBdr>
          <w:top w:val="nil"/>
          <w:left w:val="nil"/>
          <w:bottom w:val="nil"/>
          <w:right w:val="nil"/>
          <w:between w:val="nil"/>
        </w:pBdr>
        <w:rPr>
          <w:i/>
          <w:color w:val="000000"/>
          <w:lang w:val="de-CH"/>
        </w:rPr>
      </w:pPr>
      <w:r w:rsidRPr="00A471B1">
        <w:rPr>
          <w:i/>
          <w:color w:val="000000"/>
          <w:vertAlign w:val="superscript"/>
          <w:lang w:val="de-CH"/>
        </w:rPr>
        <w:t>c</w:t>
      </w:r>
      <w:r w:rsidRPr="00A471B1">
        <w:rPr>
          <w:i/>
          <w:color w:val="000000"/>
          <w:lang w:val="de-CH"/>
        </w:rPr>
        <w:t xml:space="preserve"> Novelis Switzerland S.A.</w:t>
      </w:r>
      <w:r>
        <w:rPr>
          <w:i/>
          <w:color w:val="000000"/>
          <w:lang w:val="de-CH"/>
        </w:rPr>
        <w:t>, Sierre 3960, Switzerland</w:t>
      </w:r>
    </w:p>
    <w:p w14:paraId="40647625" w14:textId="77777777" w:rsidR="00A471B1" w:rsidRPr="00A471B1" w:rsidRDefault="00A471B1" w:rsidP="00A471B1">
      <w:pPr>
        <w:pBdr>
          <w:top w:val="nil"/>
          <w:left w:val="nil"/>
          <w:bottom w:val="nil"/>
          <w:right w:val="nil"/>
          <w:between w:val="nil"/>
        </w:pBdr>
        <w:rPr>
          <w:i/>
          <w:color w:val="000000"/>
          <w:lang w:val="de-CH"/>
        </w:rPr>
      </w:pPr>
    </w:p>
    <w:p w14:paraId="69153EA2" w14:textId="77777777" w:rsidR="00A471B1" w:rsidRPr="00AC5C72" w:rsidRDefault="00A471B1" w:rsidP="00A471B1">
      <w:pPr>
        <w:pBdr>
          <w:top w:val="nil"/>
          <w:left w:val="nil"/>
          <w:bottom w:val="nil"/>
          <w:right w:val="nil"/>
          <w:between w:val="nil"/>
        </w:pBdr>
        <w:rPr>
          <w:i/>
          <w:color w:val="000000"/>
          <w:lang w:val="it-IT"/>
        </w:rPr>
      </w:pPr>
      <w:r w:rsidRPr="00AC5C72">
        <w:rPr>
          <w:i/>
          <w:color w:val="000000"/>
          <w:lang w:val="it-IT"/>
        </w:rPr>
        <w:t>*dareen.dardor@epfl.ch</w:t>
      </w:r>
    </w:p>
    <w:p w14:paraId="144DE684" w14:textId="5F5E8228" w:rsidR="008D2649" w:rsidRDefault="008D2649" w:rsidP="008D2649">
      <w:pPr>
        <w:pStyle w:val="Els-Abstract"/>
      </w:pPr>
      <w:r>
        <w:t>Abstract</w:t>
      </w:r>
      <w:r w:rsidR="002428F1">
        <w:t xml:space="preserve"> </w:t>
      </w:r>
    </w:p>
    <w:p w14:paraId="205A9023" w14:textId="49C67476" w:rsidR="00CD5832" w:rsidRDefault="00CD5832" w:rsidP="00BC68E7">
      <w:pPr>
        <w:pBdr>
          <w:top w:val="nil"/>
          <w:left w:val="nil"/>
          <w:bottom w:val="nil"/>
          <w:right w:val="nil"/>
          <w:between w:val="nil"/>
        </w:pBdr>
        <w:jc w:val="both"/>
        <w:rPr>
          <w:color w:val="000000"/>
        </w:rPr>
      </w:pPr>
      <w:r>
        <w:t>The</w:t>
      </w:r>
      <w:r w:rsidR="00F72493" w:rsidRPr="00D70907">
        <w:t xml:space="preserve"> production</w:t>
      </w:r>
      <w:r>
        <w:t xml:space="preserve"> of aluminium</w:t>
      </w:r>
      <w:r w:rsidR="00F72493" w:rsidRPr="00D70907">
        <w:t xml:space="preserve"> largely depen</w:t>
      </w:r>
      <w:r w:rsidR="00D82E49">
        <w:t>ds</w:t>
      </w:r>
      <w:r w:rsidR="00F72493" w:rsidRPr="00D70907">
        <w:t xml:space="preserve"> on the use of fossil fuels</w:t>
      </w:r>
      <w:r w:rsidR="00F72493">
        <w:t>, resulting</w:t>
      </w:r>
      <w:r w:rsidR="00F72493" w:rsidRPr="00D70907">
        <w:t xml:space="preserve"> in the emission of significant amounts of greenhouse gases</w:t>
      </w:r>
      <w:r w:rsidR="00F72493">
        <w:t xml:space="preserve">. </w:t>
      </w:r>
      <w:r w:rsidR="00F72493">
        <w:rPr>
          <w:color w:val="000000"/>
        </w:rPr>
        <w:t xml:space="preserve">As the aluminium industry is </w:t>
      </w:r>
      <w:r>
        <w:rPr>
          <w:color w:val="000000"/>
        </w:rPr>
        <w:t>working</w:t>
      </w:r>
      <w:r w:rsidR="00F72493">
        <w:rPr>
          <w:color w:val="000000"/>
        </w:rPr>
        <w:t xml:space="preserve"> towards </w:t>
      </w:r>
      <w:r>
        <w:rPr>
          <w:color w:val="000000"/>
        </w:rPr>
        <w:t>decreasing its environmental burdens</w:t>
      </w:r>
      <w:r w:rsidR="00F72493">
        <w:rPr>
          <w:color w:val="000000"/>
        </w:rPr>
        <w:t xml:space="preserve">, the elimination of direct emissions from the remelting step becomes increasingly important. </w:t>
      </w:r>
      <w:r w:rsidR="00F72493">
        <w:t>This research presents opportunities for decarbonizing secondary aluminium remelting and rolling via optimized carbon capture and abatement routes</w:t>
      </w:r>
      <w:r w:rsidR="00F72493">
        <w:rPr>
          <w:color w:val="000000"/>
        </w:rPr>
        <w:t xml:space="preserve">. </w:t>
      </w:r>
      <w:r>
        <w:rPr>
          <w:color w:val="000000"/>
        </w:rPr>
        <w:t>Various</w:t>
      </w:r>
      <w:r w:rsidR="00E54ABE">
        <w:rPr>
          <w:color w:val="000000"/>
        </w:rPr>
        <w:t xml:space="preserve"> carbon capture and management strategies for secondary aluminium production sites are developed and evaluated</w:t>
      </w:r>
      <w:r w:rsidR="00F72493">
        <w:rPr>
          <w:color w:val="000000"/>
        </w:rPr>
        <w:t>.</w:t>
      </w:r>
      <w:r w:rsidR="00E54ABE">
        <w:rPr>
          <w:color w:val="000000"/>
        </w:rPr>
        <w:t xml:space="preserve"> </w:t>
      </w:r>
      <w:r w:rsidR="00F72493">
        <w:t>To this end, p</w:t>
      </w:r>
      <w:r w:rsidR="00F72493">
        <w:rPr>
          <w:color w:val="000000"/>
        </w:rPr>
        <w:t>rocess integration and optimization techniques</w:t>
      </w:r>
      <w:r w:rsidR="00F72493">
        <w:t xml:space="preserve"> </w:t>
      </w:r>
      <w:r w:rsidR="00F72493">
        <w:rPr>
          <w:color w:val="000000"/>
        </w:rPr>
        <w:t xml:space="preserve">following a mixed integer linear programming (MILP) approach are applied. A blueprint of an aluminium plant is developed, and the integration of several carbon capture and management technologies </w:t>
      </w:r>
      <w:r w:rsidR="00F72493">
        <w:t>is modelled</w:t>
      </w:r>
      <w:r w:rsidR="00F72493">
        <w:rPr>
          <w:color w:val="000000"/>
        </w:rPr>
        <w:t xml:space="preserve">. The </w:t>
      </w:r>
      <w:r w:rsidR="00F76D8C">
        <w:rPr>
          <w:color w:val="000000"/>
        </w:rPr>
        <w:t xml:space="preserve">studied </w:t>
      </w:r>
      <w:r w:rsidR="00F72493">
        <w:rPr>
          <w:color w:val="000000"/>
        </w:rPr>
        <w:t>capture</w:t>
      </w:r>
      <w:r w:rsidR="002A2009">
        <w:rPr>
          <w:color w:val="000000"/>
        </w:rPr>
        <w:t xml:space="preserve"> options</w:t>
      </w:r>
      <w:r w:rsidR="00F72493">
        <w:rPr>
          <w:color w:val="000000"/>
        </w:rPr>
        <w:t xml:space="preserve"> include </w:t>
      </w:r>
      <w:r w:rsidR="00BC1B08">
        <w:rPr>
          <w:color w:val="000000"/>
        </w:rPr>
        <w:t>oxy-combustion,</w:t>
      </w:r>
      <w:r w:rsidR="002A2009">
        <w:rPr>
          <w:color w:val="000000"/>
        </w:rPr>
        <w:t xml:space="preserve"> </w:t>
      </w:r>
      <w:r w:rsidR="00F72493">
        <w:rPr>
          <w:color w:val="000000"/>
        </w:rPr>
        <w:t xml:space="preserve">amine-based absorption, membranes, </w:t>
      </w:r>
      <w:r w:rsidR="009D0215">
        <w:rPr>
          <w:color w:val="000000"/>
        </w:rPr>
        <w:t>structured</w:t>
      </w:r>
      <w:r w:rsidR="00F72493">
        <w:rPr>
          <w:color w:val="000000"/>
        </w:rPr>
        <w:t xml:space="preserve"> solid sorbents</w:t>
      </w:r>
      <w:r w:rsidR="009D0215">
        <w:rPr>
          <w:color w:val="000000"/>
        </w:rPr>
        <w:t xml:space="preserve">, and cryogenic </w:t>
      </w:r>
      <w:r w:rsidR="002A2009">
        <w:rPr>
          <w:color w:val="000000"/>
        </w:rPr>
        <w:t>beds</w:t>
      </w:r>
      <w:r w:rsidR="00F72493">
        <w:rPr>
          <w:color w:val="000000"/>
        </w:rPr>
        <w:t>. Once captured, the concentrated CO</w:t>
      </w:r>
      <w:r w:rsidR="00F72493">
        <w:rPr>
          <w:color w:val="000000"/>
          <w:vertAlign w:val="subscript"/>
        </w:rPr>
        <w:t>2</w:t>
      </w:r>
      <w:r w:rsidR="00F72493">
        <w:rPr>
          <w:color w:val="000000"/>
        </w:rPr>
        <w:t xml:space="preserve"> gas stream can be pressurized for pipe</w:t>
      </w:r>
      <w:r>
        <w:rPr>
          <w:color w:val="000000"/>
        </w:rPr>
        <w:t>line</w:t>
      </w:r>
      <w:r w:rsidR="00F72493">
        <w:rPr>
          <w:color w:val="000000"/>
        </w:rPr>
        <w:t xml:space="preserve"> transport or injection, </w:t>
      </w:r>
      <w:r w:rsidR="009D0215">
        <w:rPr>
          <w:color w:val="000000"/>
        </w:rPr>
        <w:t>transformed into synthetic natural gas</w:t>
      </w:r>
      <w:r w:rsidR="00F72493">
        <w:rPr>
          <w:color w:val="000000"/>
        </w:rPr>
        <w:t>, mineralized into cement additives</w:t>
      </w:r>
      <w:r w:rsidR="009D0215">
        <w:rPr>
          <w:color w:val="000000"/>
        </w:rPr>
        <w:t xml:space="preserve">, or used to produce </w:t>
      </w:r>
      <w:r>
        <w:rPr>
          <w:color w:val="000000"/>
        </w:rPr>
        <w:t xml:space="preserve">plastic </w:t>
      </w:r>
      <w:r w:rsidR="009D0215">
        <w:rPr>
          <w:color w:val="000000"/>
        </w:rPr>
        <w:t>monomers</w:t>
      </w:r>
      <w:r w:rsidR="00F76D8C">
        <w:rPr>
          <w:color w:val="000000"/>
        </w:rPr>
        <w:t xml:space="preserve">. </w:t>
      </w:r>
      <w:r w:rsidR="00F72493">
        <w:rPr>
          <w:color w:val="000000"/>
        </w:rPr>
        <w:t xml:space="preserve">A systemic approach was adopted to </w:t>
      </w:r>
      <w:r w:rsidR="00E54ABE">
        <w:rPr>
          <w:color w:val="000000"/>
        </w:rPr>
        <w:t>compare</w:t>
      </w:r>
      <w:r w:rsidR="002A2009">
        <w:rPr>
          <w:color w:val="000000"/>
        </w:rPr>
        <w:t xml:space="preserve"> these </w:t>
      </w:r>
      <w:r w:rsidR="00F72493">
        <w:rPr>
          <w:color w:val="000000"/>
        </w:rPr>
        <w:t>options</w:t>
      </w:r>
      <w:r w:rsidR="00E54ABE">
        <w:rPr>
          <w:color w:val="000000"/>
        </w:rPr>
        <w:t xml:space="preserve"> in terms of multiple performance indicators</w:t>
      </w:r>
      <w:r w:rsidR="00F72493">
        <w:rPr>
          <w:color w:val="000000"/>
        </w:rPr>
        <w:t xml:space="preserve">. </w:t>
      </w:r>
      <w:r w:rsidR="00F72493" w:rsidRPr="00E54ABE">
        <w:rPr>
          <w:color w:val="000000"/>
        </w:rPr>
        <w:t>It was found that</w:t>
      </w:r>
      <w:r w:rsidR="00E54ABE">
        <w:rPr>
          <w:color w:val="000000"/>
        </w:rPr>
        <w:t xml:space="preserve">, </w:t>
      </w:r>
      <w:r w:rsidR="00C91941">
        <w:rPr>
          <w:color w:val="000000"/>
        </w:rPr>
        <w:t>up to 80% of the emitted CO</w:t>
      </w:r>
      <w:r w:rsidR="00C91941" w:rsidRPr="00C91941">
        <w:rPr>
          <w:color w:val="000000"/>
          <w:vertAlign w:val="subscript"/>
        </w:rPr>
        <w:t>2</w:t>
      </w:r>
      <w:r w:rsidR="00C91941">
        <w:rPr>
          <w:color w:val="000000"/>
        </w:rPr>
        <w:t xml:space="preserve"> can be efficiently captured and utilized. Moreover, additional revenue from mineralized CO</w:t>
      </w:r>
      <w:r w:rsidR="00C91941" w:rsidRPr="00C91941">
        <w:rPr>
          <w:color w:val="000000"/>
          <w:vertAlign w:val="subscript"/>
        </w:rPr>
        <w:t>2</w:t>
      </w:r>
      <w:r w:rsidR="00C91941">
        <w:rPr>
          <w:color w:val="000000"/>
        </w:rPr>
        <w:t>, olefins, or synthetic natural gas results in a net negative change in operating expenditures of the plant with comparison to continuously emitting the base flows of fossil CO</w:t>
      </w:r>
      <w:r w:rsidR="00C91941" w:rsidRPr="00C91941">
        <w:rPr>
          <w:color w:val="000000"/>
          <w:vertAlign w:val="subscript"/>
        </w:rPr>
        <w:t>2</w:t>
      </w:r>
      <w:r w:rsidR="00C91941">
        <w:rPr>
          <w:color w:val="000000"/>
        </w:rPr>
        <w:t xml:space="preserve">. Methanation provides a potential defossilization route when coupled with the use of renewable electricity at the expense of </w:t>
      </w:r>
      <w:r w:rsidR="00F41F21">
        <w:rPr>
          <w:color w:val="000000"/>
        </w:rPr>
        <w:t>high</w:t>
      </w:r>
      <w:r w:rsidR="00C91941">
        <w:rPr>
          <w:color w:val="000000"/>
        </w:rPr>
        <w:t xml:space="preserve"> capital expenditure due to the size of </w:t>
      </w:r>
      <w:r w:rsidR="00F41F21">
        <w:rPr>
          <w:color w:val="000000"/>
        </w:rPr>
        <w:t xml:space="preserve">the </w:t>
      </w:r>
      <w:r w:rsidR="00C91941">
        <w:rPr>
          <w:color w:val="000000"/>
        </w:rPr>
        <w:t>electroly</w:t>
      </w:r>
      <w:r w:rsidR="00D82E49">
        <w:rPr>
          <w:color w:val="000000"/>
        </w:rPr>
        <w:t xml:space="preserve">zer </w:t>
      </w:r>
      <w:r w:rsidR="00C91941">
        <w:rPr>
          <w:color w:val="000000"/>
        </w:rPr>
        <w:t xml:space="preserve">needed. </w:t>
      </w:r>
      <w:r w:rsidR="008D64E4">
        <w:rPr>
          <w:color w:val="000000"/>
        </w:rPr>
        <w:t>All t</w:t>
      </w:r>
      <w:r>
        <w:rPr>
          <w:color w:val="000000"/>
        </w:rPr>
        <w:t xml:space="preserve">hese capture and utilization systems are almost </w:t>
      </w:r>
      <w:r w:rsidR="008D64E4">
        <w:rPr>
          <w:color w:val="000000"/>
        </w:rPr>
        <w:t>three</w:t>
      </w:r>
      <w:r>
        <w:rPr>
          <w:color w:val="000000"/>
        </w:rPr>
        <w:t xml:space="preserve"> times cheaper than importing green hydrogen for use in aluminium furnaces, a </w:t>
      </w:r>
      <w:r w:rsidR="008D64E4">
        <w:rPr>
          <w:color w:val="000000"/>
        </w:rPr>
        <w:t xml:space="preserve">potential </w:t>
      </w:r>
      <w:r>
        <w:rPr>
          <w:color w:val="000000"/>
        </w:rPr>
        <w:t>solution still under experimental validation in the aluminium sector.</w:t>
      </w:r>
    </w:p>
    <w:p w14:paraId="13907196" w14:textId="59584F69" w:rsidR="002428F1" w:rsidRPr="00BC68E7" w:rsidRDefault="002428F1" w:rsidP="00BC68E7">
      <w:pPr>
        <w:pBdr>
          <w:top w:val="nil"/>
          <w:left w:val="nil"/>
          <w:bottom w:val="nil"/>
          <w:right w:val="nil"/>
          <w:between w:val="nil"/>
        </w:pBdr>
        <w:jc w:val="both"/>
        <w:rPr>
          <w:color w:val="000000"/>
        </w:rPr>
      </w:pPr>
    </w:p>
    <w:p w14:paraId="144DE687" w14:textId="44765EDB" w:rsidR="008D2649" w:rsidRDefault="008D2649" w:rsidP="008D2649">
      <w:pPr>
        <w:pStyle w:val="Els-body-text"/>
        <w:spacing w:after="120"/>
        <w:rPr>
          <w:lang w:val="en-GB"/>
        </w:rPr>
      </w:pPr>
      <w:r>
        <w:rPr>
          <w:b/>
          <w:bCs/>
          <w:lang w:val="en-GB"/>
        </w:rPr>
        <w:t>Keywords</w:t>
      </w:r>
      <w:r>
        <w:rPr>
          <w:lang w:val="en-GB"/>
        </w:rPr>
        <w:t xml:space="preserve">: </w:t>
      </w:r>
      <w:r w:rsidR="00F72493">
        <w:rPr>
          <w:color w:val="000000"/>
        </w:rPr>
        <w:t>Aluminium, Decarbonization, Carbon capture, Cost, Emissions.</w:t>
      </w:r>
    </w:p>
    <w:p w14:paraId="144DE689" w14:textId="45D0BBD5" w:rsidR="008D2649" w:rsidRDefault="00F72493" w:rsidP="008D2649">
      <w:pPr>
        <w:pStyle w:val="Els-1storder-head"/>
      </w:pPr>
      <w:r>
        <w:lastRenderedPageBreak/>
        <w:t>Introduction</w:t>
      </w:r>
    </w:p>
    <w:p w14:paraId="7655A804" w14:textId="12E4EE9A" w:rsidR="009522E8" w:rsidRDefault="00E54ABE" w:rsidP="009522E8">
      <w:pPr>
        <w:autoSpaceDE w:val="0"/>
        <w:autoSpaceDN w:val="0"/>
        <w:adjustRightInd w:val="0"/>
        <w:jc w:val="both"/>
        <w:rPr>
          <w:color w:val="000000"/>
        </w:rPr>
      </w:pPr>
      <w:r>
        <w:t xml:space="preserve">In 2021, </w:t>
      </w:r>
      <w:r>
        <w:rPr>
          <w:color w:val="000000"/>
        </w:rPr>
        <w:t xml:space="preserve">the </w:t>
      </w:r>
      <w:r w:rsidR="005910BE">
        <w:rPr>
          <w:color w:val="000000"/>
        </w:rPr>
        <w:t xml:space="preserve">aluminium </w:t>
      </w:r>
      <w:r>
        <w:rPr>
          <w:color w:val="000000"/>
        </w:rPr>
        <w:t xml:space="preserve">sector reported </w:t>
      </w:r>
      <w:r w:rsidR="00D023AB">
        <w:rPr>
          <w:color w:val="000000"/>
        </w:rPr>
        <w:t xml:space="preserve">a footprint of </w:t>
      </w:r>
      <w:r>
        <w:rPr>
          <w:color w:val="000000"/>
        </w:rPr>
        <w:t>around 1.17 billion tonnes of CO</w:t>
      </w:r>
      <w:r>
        <w:rPr>
          <w:color w:val="000000"/>
          <w:vertAlign w:val="subscript"/>
        </w:rPr>
        <w:t>2</w:t>
      </w:r>
      <w:r>
        <w:rPr>
          <w:color w:val="000000"/>
        </w:rPr>
        <w:t xml:space="preserve"> equivalent, i.e., 2% of global industrial emissions </w:t>
      </w:r>
      <w:r w:rsidR="000A4070">
        <w:rPr>
          <w:color w:val="000000"/>
        </w:rPr>
        <w:fldChar w:fldCharType="begin"/>
      </w:r>
      <w:r w:rsidR="008006AF">
        <w:rPr>
          <w:color w:val="000000"/>
        </w:rPr>
        <w:instrText xml:space="preserve"> ADDIN ZOTERO_ITEM CSL_CITATION {"citationID":"WTIUXBK1","properties":{"formattedCitation":"(IAI 2023)","plainCitation":"(IAI 2023)","noteIndex":0},"citationItems":[{"id":8581,"uris":["http://zotero.org/users/10361596/items/WPBFLYSX"],"itemData":{"id":8581,"type":"webpage","title":"Greenhouse Gas Emissions – Aluminium Sector","URL":"https://international-aluminium.org/","author":[{"family":"IAI","given":""}],"issued":{"date-parts":[["2023",1,25]]},"citation-key":"iaiGreenhouseGasEmissions2023"}}],"schema":"https://github.com/citation-style-language/schema/raw/master/csl-citation.json"} </w:instrText>
      </w:r>
      <w:r w:rsidR="000A4070">
        <w:rPr>
          <w:color w:val="000000"/>
        </w:rPr>
        <w:fldChar w:fldCharType="separate"/>
      </w:r>
      <w:r w:rsidR="00F56F57">
        <w:rPr>
          <w:noProof/>
          <w:color w:val="000000"/>
        </w:rPr>
        <w:t>(IAI 2023)</w:t>
      </w:r>
      <w:r w:rsidR="000A4070">
        <w:rPr>
          <w:color w:val="000000"/>
        </w:rPr>
        <w:fldChar w:fldCharType="end"/>
      </w:r>
      <w:r w:rsidR="008D2649" w:rsidRPr="00D74DC4">
        <w:rPr>
          <w:color w:val="000000"/>
        </w:rPr>
        <w:t>.</w:t>
      </w:r>
      <w:r w:rsidR="008D2649">
        <w:t xml:space="preserve"> </w:t>
      </w:r>
      <w:r w:rsidR="00845C57">
        <w:t xml:space="preserve">Many </w:t>
      </w:r>
      <w:r w:rsidR="005910BE">
        <w:t>industries</w:t>
      </w:r>
      <w:r w:rsidR="00845C57">
        <w:t xml:space="preserve"> are</w:t>
      </w:r>
      <w:r w:rsidR="00013FBA" w:rsidRPr="00013FBA">
        <w:t xml:space="preserve"> reliant on the use of aluminium, including</w:t>
      </w:r>
      <w:r w:rsidR="00013FBA">
        <w:t xml:space="preserve"> </w:t>
      </w:r>
      <w:r w:rsidR="00C72856">
        <w:t>but not limited to</w:t>
      </w:r>
      <w:r w:rsidR="008574EE">
        <w:t>,</w:t>
      </w:r>
      <w:r w:rsidR="00C72856">
        <w:t xml:space="preserve"> </w:t>
      </w:r>
      <w:r w:rsidR="00013FBA" w:rsidRPr="00013FBA">
        <w:t xml:space="preserve">aerospace, automotive, beverage can, construction, </w:t>
      </w:r>
      <w:r w:rsidR="00013FBA">
        <w:t>and renewable energy systems such as solar panels and wind turbines.</w:t>
      </w:r>
      <w:r w:rsidR="00D023AB">
        <w:t xml:space="preserve"> </w:t>
      </w:r>
      <w:r w:rsidR="0001322A">
        <w:rPr>
          <w:color w:val="000000"/>
        </w:rPr>
        <w:t>Secondary</w:t>
      </w:r>
      <w:r w:rsidR="008574EE">
        <w:rPr>
          <w:color w:val="000000"/>
        </w:rPr>
        <w:t xml:space="preserve"> </w:t>
      </w:r>
      <w:r w:rsidR="0001322A">
        <w:rPr>
          <w:color w:val="000000"/>
        </w:rPr>
        <w:t>aluminium production</w:t>
      </w:r>
      <w:r w:rsidR="00D023AB">
        <w:rPr>
          <w:color w:val="000000"/>
        </w:rPr>
        <w:t xml:space="preserve"> involves remelting </w:t>
      </w:r>
      <w:r w:rsidR="002E4256">
        <w:rPr>
          <w:color w:val="000000"/>
        </w:rPr>
        <w:t>a mixture of scrap and pure aluminium</w:t>
      </w:r>
      <w:r w:rsidR="00D023AB">
        <w:rPr>
          <w:color w:val="000000"/>
        </w:rPr>
        <w:t xml:space="preserve"> </w:t>
      </w:r>
      <w:r w:rsidR="008574EE">
        <w:rPr>
          <w:color w:val="000000"/>
        </w:rPr>
        <w:t xml:space="preserve">and then </w:t>
      </w:r>
      <w:r w:rsidR="00D023AB">
        <w:rPr>
          <w:color w:val="000000"/>
        </w:rPr>
        <w:t>rolling it into sheets. This process</w:t>
      </w:r>
      <w:r w:rsidR="0001322A">
        <w:rPr>
          <w:color w:val="000000"/>
        </w:rPr>
        <w:t xml:space="preserve"> </w:t>
      </w:r>
      <w:r w:rsidR="008D7BD1">
        <w:rPr>
          <w:color w:val="000000"/>
        </w:rPr>
        <w:t>requires</w:t>
      </w:r>
      <w:r w:rsidR="0001322A">
        <w:rPr>
          <w:color w:val="000000"/>
        </w:rPr>
        <w:t xml:space="preserve"> furnaces </w:t>
      </w:r>
      <w:r w:rsidR="002E4256">
        <w:rPr>
          <w:color w:val="000000"/>
        </w:rPr>
        <w:t>operating at high temperatures</w:t>
      </w:r>
      <w:r w:rsidR="0001322A">
        <w:rPr>
          <w:color w:val="000000"/>
        </w:rPr>
        <w:t xml:space="preserve"> of over 1000°C</w:t>
      </w:r>
      <w:r w:rsidR="008574EE">
        <w:rPr>
          <w:color w:val="000000"/>
        </w:rPr>
        <w:t xml:space="preserve">, </w:t>
      </w:r>
      <w:r w:rsidR="0001322A">
        <w:rPr>
          <w:color w:val="000000"/>
        </w:rPr>
        <w:t xml:space="preserve">the majority of which </w:t>
      </w:r>
      <w:r w:rsidR="008574EE">
        <w:rPr>
          <w:color w:val="000000"/>
        </w:rPr>
        <w:t>use</w:t>
      </w:r>
      <w:r w:rsidR="0001322A">
        <w:rPr>
          <w:color w:val="000000"/>
        </w:rPr>
        <w:t xml:space="preserve"> fossil based natural gas. While direct electrification</w:t>
      </w:r>
      <w:r w:rsidR="008574EE">
        <w:rPr>
          <w:color w:val="000000"/>
        </w:rPr>
        <w:t xml:space="preserve"> </w:t>
      </w:r>
      <w:r w:rsidR="0001322A">
        <w:rPr>
          <w:color w:val="000000"/>
        </w:rPr>
        <w:t xml:space="preserve">could </w:t>
      </w:r>
      <w:r w:rsidR="008D7BD1">
        <w:rPr>
          <w:color w:val="000000"/>
        </w:rPr>
        <w:t>readily provide</w:t>
      </w:r>
      <w:r w:rsidR="0001322A">
        <w:rPr>
          <w:color w:val="000000"/>
        </w:rPr>
        <w:t xml:space="preserve"> decarbonization solutions for lower temperature systems</w:t>
      </w:r>
      <w:r w:rsidR="002E4256">
        <w:rPr>
          <w:color w:val="000000"/>
        </w:rPr>
        <w:t>; the</w:t>
      </w:r>
      <w:r w:rsidR="0001322A">
        <w:rPr>
          <w:color w:val="000000"/>
        </w:rPr>
        <w:t xml:space="preserve"> use of combustible fuels for aluminium remelting furnaces remains the only technically viable solution</w:t>
      </w:r>
      <w:r w:rsidR="008D7BD1">
        <w:rPr>
          <w:color w:val="000000"/>
        </w:rPr>
        <w:t xml:space="preserve"> at large scales</w:t>
      </w:r>
      <w:r w:rsidR="0001322A">
        <w:rPr>
          <w:color w:val="000000"/>
        </w:rPr>
        <w:t xml:space="preserve">. </w:t>
      </w:r>
      <w:r w:rsidR="00D023AB">
        <w:rPr>
          <w:color w:val="000000"/>
        </w:rPr>
        <w:t>To this end, burning hydrogen fuel is also possible</w:t>
      </w:r>
      <w:r w:rsidR="00845C57">
        <w:rPr>
          <w:color w:val="000000"/>
        </w:rPr>
        <w:t xml:space="preserve">. </w:t>
      </w:r>
      <w:r w:rsidR="00D023AB">
        <w:rPr>
          <w:color w:val="000000"/>
        </w:rPr>
        <w:t xml:space="preserve"> </w:t>
      </w:r>
      <w:r w:rsidR="00845C57">
        <w:rPr>
          <w:color w:val="000000"/>
        </w:rPr>
        <w:t>H</w:t>
      </w:r>
      <w:r w:rsidR="00D023AB">
        <w:rPr>
          <w:color w:val="000000"/>
        </w:rPr>
        <w:t xml:space="preserve">owever, the effect of higher flame temperatures and increased water vapor </w:t>
      </w:r>
      <w:r w:rsidR="002E4256">
        <w:rPr>
          <w:color w:val="000000"/>
        </w:rPr>
        <w:t xml:space="preserve">concentration </w:t>
      </w:r>
      <w:r w:rsidR="00845C57">
        <w:rPr>
          <w:color w:val="000000"/>
        </w:rPr>
        <w:t xml:space="preserve">on product quality </w:t>
      </w:r>
      <w:r w:rsidR="00D023AB">
        <w:rPr>
          <w:color w:val="000000"/>
        </w:rPr>
        <w:t xml:space="preserve">are yet to be </w:t>
      </w:r>
      <w:r w:rsidR="005910BE">
        <w:rPr>
          <w:color w:val="000000"/>
        </w:rPr>
        <w:t>determined</w:t>
      </w:r>
      <w:r w:rsidR="00D023AB">
        <w:rPr>
          <w:color w:val="000000"/>
        </w:rPr>
        <w:t xml:space="preserve">. </w:t>
      </w:r>
      <w:r w:rsidR="0001322A">
        <w:rPr>
          <w:color w:val="000000"/>
        </w:rPr>
        <w:t xml:space="preserve">Hence, </w:t>
      </w:r>
      <w:r w:rsidR="005A6268">
        <w:rPr>
          <w:color w:val="000000"/>
        </w:rPr>
        <w:t>a crucial</w:t>
      </w:r>
      <w:r w:rsidR="0001322A">
        <w:rPr>
          <w:color w:val="000000"/>
        </w:rPr>
        <w:t xml:space="preserve"> consideration</w:t>
      </w:r>
      <w:r w:rsidR="008D7BD1">
        <w:rPr>
          <w:color w:val="000000"/>
        </w:rPr>
        <w:t xml:space="preserve"> in </w:t>
      </w:r>
      <w:r w:rsidR="00D023AB">
        <w:rPr>
          <w:color w:val="000000"/>
        </w:rPr>
        <w:t>the industry’s</w:t>
      </w:r>
      <w:r w:rsidR="008D7BD1">
        <w:rPr>
          <w:color w:val="000000"/>
        </w:rPr>
        <w:t xml:space="preserve"> </w:t>
      </w:r>
      <w:r w:rsidR="00D023AB">
        <w:rPr>
          <w:color w:val="000000"/>
        </w:rPr>
        <w:t xml:space="preserve">current </w:t>
      </w:r>
      <w:r w:rsidR="008D7BD1">
        <w:rPr>
          <w:color w:val="000000"/>
        </w:rPr>
        <w:t>decarbonization</w:t>
      </w:r>
      <w:r w:rsidR="0001322A">
        <w:rPr>
          <w:color w:val="000000"/>
        </w:rPr>
        <w:t xml:space="preserve"> </w:t>
      </w:r>
      <w:r w:rsidR="00D023AB">
        <w:rPr>
          <w:color w:val="000000"/>
        </w:rPr>
        <w:t xml:space="preserve">plans </w:t>
      </w:r>
      <w:r w:rsidR="0001322A">
        <w:rPr>
          <w:color w:val="000000"/>
        </w:rPr>
        <w:t xml:space="preserve">is </w:t>
      </w:r>
      <w:r w:rsidR="005A6268">
        <w:rPr>
          <w:color w:val="000000"/>
        </w:rPr>
        <w:t>the management strategy of CO</w:t>
      </w:r>
      <w:r w:rsidR="005A6268" w:rsidRPr="005A6268">
        <w:rPr>
          <w:color w:val="000000"/>
          <w:vertAlign w:val="subscript"/>
        </w:rPr>
        <w:t>2</w:t>
      </w:r>
      <w:r w:rsidR="005A6268">
        <w:rPr>
          <w:color w:val="000000"/>
        </w:rPr>
        <w:t xml:space="preserve"> emissions from </w:t>
      </w:r>
      <w:r w:rsidR="008D7BD1">
        <w:rPr>
          <w:color w:val="000000"/>
        </w:rPr>
        <w:t xml:space="preserve">burning </w:t>
      </w:r>
      <w:r w:rsidR="005A6268">
        <w:rPr>
          <w:color w:val="000000"/>
        </w:rPr>
        <w:t>fossil or synthetic natural gas</w:t>
      </w:r>
      <w:r w:rsidR="00231EA9">
        <w:rPr>
          <w:color w:val="000000"/>
        </w:rPr>
        <w:t xml:space="preserve"> (SNG)</w:t>
      </w:r>
      <w:r w:rsidR="005A6268">
        <w:rPr>
          <w:color w:val="000000"/>
        </w:rPr>
        <w:t xml:space="preserve">. </w:t>
      </w:r>
      <w:r w:rsidR="005F166C">
        <w:rPr>
          <w:color w:val="000000"/>
        </w:rPr>
        <w:t xml:space="preserve">Among the </w:t>
      </w:r>
      <w:r w:rsidR="00637065">
        <w:rPr>
          <w:color w:val="000000"/>
        </w:rPr>
        <w:t>technological solutions</w:t>
      </w:r>
      <w:r w:rsidR="005F166C">
        <w:rPr>
          <w:color w:val="000000"/>
        </w:rPr>
        <w:t xml:space="preserve"> for capturing CO</w:t>
      </w:r>
      <w:r w:rsidR="005F166C" w:rsidRPr="00231EA9">
        <w:rPr>
          <w:color w:val="000000"/>
          <w:vertAlign w:val="subscript"/>
        </w:rPr>
        <w:t>2</w:t>
      </w:r>
      <w:r w:rsidR="00637065">
        <w:rPr>
          <w:color w:val="000000"/>
        </w:rPr>
        <w:t xml:space="preserve"> </w:t>
      </w:r>
      <w:r w:rsidR="00231EA9">
        <w:rPr>
          <w:color w:val="000000"/>
        </w:rPr>
        <w:t>are</w:t>
      </w:r>
      <w:r w:rsidR="005F166C">
        <w:rPr>
          <w:color w:val="000000"/>
        </w:rPr>
        <w:t xml:space="preserve"> oxy-combustion furnaces, conventional amine-based absorption</w:t>
      </w:r>
      <w:r w:rsidR="005F166C">
        <w:t xml:space="preserve"> </w:t>
      </w:r>
      <w:r w:rsidR="005F166C">
        <w:rPr>
          <w:color w:val="000000"/>
        </w:rPr>
        <w:t>systems, novel membrane units, structured solid sorbents such as metal organic frameworks (MOFs), and cryogenic routes</w:t>
      </w:r>
      <w:r w:rsidR="00D9065B">
        <w:rPr>
          <w:color w:val="000000"/>
        </w:rPr>
        <w:t xml:space="preserve"> </w:t>
      </w:r>
      <w:r w:rsidR="00D9065B">
        <w:rPr>
          <w:color w:val="000000"/>
        </w:rPr>
        <w:fldChar w:fldCharType="begin"/>
      </w:r>
      <w:r w:rsidR="00D9065B">
        <w:rPr>
          <w:color w:val="000000"/>
        </w:rPr>
        <w:instrText xml:space="preserve"> ADDIN ZOTERO_ITEM CSL_CITATION {"citationID":"tJLj3VsW","properties":{"formattedCitation":"(Zanco et al. 2021)","plainCitation":"(Zanco et al. 2021)","noteIndex":0},"citationItems":[{"id":8564,"uris":["http://zotero.org/users/10361596/items/T9XTXKPM"],"itemData":{"id":8564,"type":"article-journal","container-title":"ACS Engineering Au","DOI":"10.1021/acsengineeringau.1c00002","ISSN":"2694-2488, 2694-2488","issue":"1","language":"en","page":"50–72","title":"Postcombustion CO2 Capture: A Comparative Techno-Economic Assessment of Three Technologies Using a Solvent, an Adsorbent, and a Membrane","title-short":"Postcombustion CO ₂ Capture","volume":"1","author":[{"family":"Zanco","given":"Stefano E."},{"family":"Pérez-Calvo","given":"José-Francisco"},{"family":"Gasós","given":"Antonio"},{"family":"Cordiano","given":"Beatrice"},{"family":"Becattini","given":"Viola"},{"family":"Mazzotti","given":"Marco"}],"issued":{"date-parts":[["2021",10]]},"citation-key":"zancoPostcombustionCO2Capture2021"}}],"schema":"https://github.com/citation-style-language/schema/raw/master/csl-citation.json"} </w:instrText>
      </w:r>
      <w:r w:rsidR="00D9065B">
        <w:rPr>
          <w:color w:val="000000"/>
        </w:rPr>
        <w:fldChar w:fldCharType="separate"/>
      </w:r>
      <w:r w:rsidR="00D9065B">
        <w:rPr>
          <w:noProof/>
          <w:color w:val="000000"/>
        </w:rPr>
        <w:t>(Zanco et al. 2021)</w:t>
      </w:r>
      <w:r w:rsidR="00D9065B">
        <w:rPr>
          <w:color w:val="000000"/>
        </w:rPr>
        <w:fldChar w:fldCharType="end"/>
      </w:r>
      <w:r w:rsidR="005F166C">
        <w:rPr>
          <w:color w:val="000000"/>
        </w:rPr>
        <w:t xml:space="preserve">. </w:t>
      </w:r>
      <w:r w:rsidR="00231EA9" w:rsidRPr="00231EA9">
        <w:rPr>
          <w:color w:val="000000"/>
        </w:rPr>
        <w:t>Captured CO</w:t>
      </w:r>
      <w:r w:rsidR="00231EA9" w:rsidRPr="00231EA9">
        <w:rPr>
          <w:color w:val="000000"/>
          <w:vertAlign w:val="subscript"/>
        </w:rPr>
        <w:t>2</w:t>
      </w:r>
      <w:r w:rsidR="00231EA9" w:rsidRPr="00231EA9">
        <w:rPr>
          <w:color w:val="000000"/>
        </w:rPr>
        <w:t xml:space="preserve"> can </w:t>
      </w:r>
      <w:r w:rsidR="00D9065B">
        <w:rPr>
          <w:color w:val="000000"/>
        </w:rPr>
        <w:t xml:space="preserve">then </w:t>
      </w:r>
      <w:r w:rsidR="00231EA9" w:rsidRPr="00231EA9">
        <w:rPr>
          <w:color w:val="000000"/>
        </w:rPr>
        <w:t>be used to manufacture fuels</w:t>
      </w:r>
      <w:r w:rsidR="00231EA9">
        <w:rPr>
          <w:color w:val="000000"/>
        </w:rPr>
        <w:t xml:space="preserve"> (SNG)</w:t>
      </w:r>
      <w:r w:rsidR="00231EA9" w:rsidRPr="00231EA9">
        <w:rPr>
          <w:color w:val="000000"/>
        </w:rPr>
        <w:t xml:space="preserve"> or materials</w:t>
      </w:r>
      <w:r w:rsidR="00231EA9">
        <w:rPr>
          <w:color w:val="000000"/>
        </w:rPr>
        <w:t xml:space="preserve"> (</w:t>
      </w:r>
      <w:r w:rsidR="000C3BB6">
        <w:rPr>
          <w:color w:val="000000"/>
        </w:rPr>
        <w:t xml:space="preserve">e.g., </w:t>
      </w:r>
      <w:r w:rsidR="00231EA9">
        <w:rPr>
          <w:color w:val="000000"/>
        </w:rPr>
        <w:t>plastics)</w:t>
      </w:r>
      <w:r w:rsidR="00231EA9" w:rsidRPr="00231EA9">
        <w:rPr>
          <w:color w:val="000000"/>
        </w:rPr>
        <w:t>,</w:t>
      </w:r>
      <w:r w:rsidR="00231EA9">
        <w:rPr>
          <w:color w:val="000000"/>
        </w:rPr>
        <w:t xml:space="preserve"> mineralized to produce cement additives </w:t>
      </w:r>
      <w:r w:rsidR="00D9065B">
        <w:rPr>
          <w:color w:val="000000"/>
        </w:rPr>
        <w:t>(</w:t>
      </w:r>
      <w:r w:rsidR="00231EA9">
        <w:rPr>
          <w:color w:val="000000"/>
        </w:rPr>
        <w:t>such as</w:t>
      </w:r>
      <w:r w:rsidR="00231EA9" w:rsidRPr="00231EA9">
        <w:rPr>
          <w:color w:val="000000"/>
        </w:rPr>
        <w:t xml:space="preserve"> CaCO</w:t>
      </w:r>
      <w:r w:rsidR="00231EA9" w:rsidRPr="00231EA9">
        <w:rPr>
          <w:color w:val="000000"/>
          <w:vertAlign w:val="subscript"/>
        </w:rPr>
        <w:t>3</w:t>
      </w:r>
      <w:r w:rsidR="00231EA9" w:rsidRPr="00231EA9">
        <w:rPr>
          <w:color w:val="000000"/>
        </w:rPr>
        <w:t>)</w:t>
      </w:r>
      <w:r w:rsidR="000F52CD">
        <w:rPr>
          <w:color w:val="000000"/>
        </w:rPr>
        <w:t>,</w:t>
      </w:r>
      <w:r w:rsidR="00231EA9" w:rsidRPr="00231EA9">
        <w:rPr>
          <w:color w:val="000000"/>
        </w:rPr>
        <w:t xml:space="preserve"> or stored</w:t>
      </w:r>
      <w:r w:rsidR="000F52CD">
        <w:rPr>
          <w:color w:val="000000"/>
        </w:rPr>
        <w:t xml:space="preserve"> </w:t>
      </w:r>
      <w:r w:rsidR="00231EA9" w:rsidRPr="00231EA9">
        <w:rPr>
          <w:color w:val="000000"/>
        </w:rPr>
        <w:t>in geological formations.</w:t>
      </w:r>
      <w:r w:rsidR="00F176F4">
        <w:rPr>
          <w:color w:val="000000"/>
        </w:rPr>
        <w:t xml:space="preserve"> </w:t>
      </w:r>
      <w:r w:rsidR="00F176F4">
        <w:rPr>
          <w:color w:val="000000"/>
        </w:rPr>
        <w:fldChar w:fldCharType="begin"/>
      </w:r>
      <w:r w:rsidR="00F176F4">
        <w:rPr>
          <w:color w:val="000000"/>
        </w:rPr>
        <w:instrText xml:space="preserve"> REF _Ref152250247 \h </w:instrText>
      </w:r>
      <w:r w:rsidR="009522E8">
        <w:rPr>
          <w:color w:val="000000"/>
        </w:rPr>
        <w:instrText xml:space="preserve"> \* MERGEFORMAT </w:instrText>
      </w:r>
      <w:r w:rsidR="00F176F4">
        <w:rPr>
          <w:color w:val="000000"/>
        </w:rPr>
      </w:r>
      <w:r w:rsidR="00F176F4">
        <w:rPr>
          <w:color w:val="000000"/>
        </w:rPr>
        <w:fldChar w:fldCharType="separate"/>
      </w:r>
      <w:r w:rsidR="004C22FE">
        <w:t xml:space="preserve">Figure </w:t>
      </w:r>
      <w:r w:rsidR="004C22FE">
        <w:rPr>
          <w:noProof/>
        </w:rPr>
        <w:t>1</w:t>
      </w:r>
      <w:r w:rsidR="00F176F4">
        <w:rPr>
          <w:color w:val="000000"/>
        </w:rPr>
        <w:fldChar w:fldCharType="end"/>
      </w:r>
      <w:r w:rsidR="00231EA9" w:rsidRPr="00F27265">
        <w:rPr>
          <w:color w:val="000000"/>
        </w:rPr>
        <w:t xml:space="preserve"> </w:t>
      </w:r>
      <w:r w:rsidR="00637065">
        <w:rPr>
          <w:color w:val="000000"/>
        </w:rPr>
        <w:t xml:space="preserve">presents </w:t>
      </w:r>
      <w:r w:rsidR="00231EA9">
        <w:rPr>
          <w:color w:val="000000"/>
        </w:rPr>
        <w:t xml:space="preserve">a graphical illustration of </w:t>
      </w:r>
      <w:r w:rsidR="00DF2AD4">
        <w:rPr>
          <w:color w:val="000000"/>
        </w:rPr>
        <w:t>the different</w:t>
      </w:r>
      <w:r w:rsidR="008574EE">
        <w:rPr>
          <w:color w:val="000000"/>
        </w:rPr>
        <w:t xml:space="preserve"> </w:t>
      </w:r>
      <w:r w:rsidR="002428F1">
        <w:rPr>
          <w:color w:val="000000"/>
        </w:rPr>
        <w:t>alternatives</w:t>
      </w:r>
      <w:r w:rsidR="00231EA9">
        <w:rPr>
          <w:color w:val="000000"/>
        </w:rPr>
        <w:t xml:space="preserve"> considered in this </w:t>
      </w:r>
      <w:r w:rsidR="009C6BE0">
        <w:rPr>
          <w:color w:val="000000"/>
        </w:rPr>
        <w:t>work</w:t>
      </w:r>
      <w:r w:rsidR="00231EA9">
        <w:rPr>
          <w:color w:val="000000"/>
        </w:rPr>
        <w:t>.</w:t>
      </w:r>
      <w:r w:rsidR="00F27265">
        <w:rPr>
          <w:color w:val="000000"/>
        </w:rPr>
        <w:t xml:space="preserve"> </w:t>
      </w:r>
      <w:r w:rsidR="00F76D8C">
        <w:rPr>
          <w:color w:val="000000"/>
        </w:rPr>
        <w:t xml:space="preserve">These scenarios were defined </w:t>
      </w:r>
      <w:r w:rsidR="00637065">
        <w:rPr>
          <w:color w:val="000000"/>
        </w:rPr>
        <w:t>by combining</w:t>
      </w:r>
      <w:r w:rsidR="00F76D8C">
        <w:rPr>
          <w:color w:val="000000"/>
        </w:rPr>
        <w:t xml:space="preserve"> </w:t>
      </w:r>
      <w:r w:rsidR="00637065">
        <w:rPr>
          <w:color w:val="000000"/>
        </w:rPr>
        <w:t>multiple</w:t>
      </w:r>
      <w:r w:rsidR="00F76D8C">
        <w:rPr>
          <w:color w:val="000000"/>
        </w:rPr>
        <w:t xml:space="preserve"> capture and utilization technologies</w:t>
      </w:r>
      <w:r w:rsidR="00637065">
        <w:rPr>
          <w:color w:val="000000"/>
        </w:rPr>
        <w:t xml:space="preserve"> of interest to the aluminium industry</w:t>
      </w:r>
      <w:r w:rsidR="00F76D8C">
        <w:rPr>
          <w:color w:val="000000"/>
        </w:rPr>
        <w:t xml:space="preserve">, </w:t>
      </w:r>
      <w:r w:rsidR="009C6BE0">
        <w:rPr>
          <w:color w:val="000000"/>
        </w:rPr>
        <w:t xml:space="preserve">resulting in </w:t>
      </w:r>
      <w:r w:rsidR="00F76D8C">
        <w:rPr>
          <w:color w:val="000000"/>
        </w:rPr>
        <w:t xml:space="preserve">more than 20 </w:t>
      </w:r>
      <w:r w:rsidR="009C6BE0">
        <w:rPr>
          <w:color w:val="000000"/>
        </w:rPr>
        <w:t>feasible configurations</w:t>
      </w:r>
      <w:r w:rsidR="00637065">
        <w:rPr>
          <w:color w:val="000000"/>
        </w:rPr>
        <w:t xml:space="preserve">. Such analysis </w:t>
      </w:r>
      <w:r w:rsidR="00F27265" w:rsidRPr="00F27265">
        <w:rPr>
          <w:color w:val="000000"/>
        </w:rPr>
        <w:t>call</w:t>
      </w:r>
      <w:r w:rsidR="002428F1">
        <w:rPr>
          <w:color w:val="000000"/>
        </w:rPr>
        <w:t>s</w:t>
      </w:r>
      <w:r w:rsidR="00F27265" w:rsidRPr="00F27265">
        <w:rPr>
          <w:color w:val="000000"/>
        </w:rPr>
        <w:t xml:space="preserve"> for a systemic study to evaluate</w:t>
      </w:r>
      <w:r w:rsidR="00F27265">
        <w:rPr>
          <w:color w:val="000000"/>
        </w:rPr>
        <w:t xml:space="preserve"> </w:t>
      </w:r>
      <w:r w:rsidR="002428F1">
        <w:rPr>
          <w:color w:val="000000"/>
        </w:rPr>
        <w:t>competing technologies</w:t>
      </w:r>
      <w:r w:rsidR="00F27265">
        <w:rPr>
          <w:color w:val="000000"/>
        </w:rPr>
        <w:t xml:space="preserve"> </w:t>
      </w:r>
      <w:r w:rsidR="00637065">
        <w:rPr>
          <w:color w:val="000000"/>
        </w:rPr>
        <w:t>based on multiple performance indicators</w:t>
      </w:r>
      <w:r w:rsidR="002428F1">
        <w:rPr>
          <w:color w:val="000000"/>
        </w:rPr>
        <w:t>. In this study, a CO</w:t>
      </w:r>
      <w:r w:rsidR="002428F1" w:rsidRPr="002428F1">
        <w:rPr>
          <w:color w:val="000000"/>
          <w:vertAlign w:val="subscript"/>
        </w:rPr>
        <w:t xml:space="preserve">2 </w:t>
      </w:r>
      <w:r w:rsidR="002428F1">
        <w:rPr>
          <w:color w:val="000000"/>
        </w:rPr>
        <w:t xml:space="preserve">capture and management strategy </w:t>
      </w:r>
      <w:proofErr w:type="gramStart"/>
      <w:r w:rsidR="002428F1">
        <w:rPr>
          <w:color w:val="000000"/>
        </w:rPr>
        <w:t>is</w:t>
      </w:r>
      <w:proofErr w:type="gramEnd"/>
      <w:r w:rsidR="002428F1">
        <w:rPr>
          <w:color w:val="000000"/>
        </w:rPr>
        <w:t xml:space="preserve"> devised for a</w:t>
      </w:r>
      <w:r w:rsidR="009C6BE0">
        <w:rPr>
          <w:color w:val="000000"/>
        </w:rPr>
        <w:t xml:space="preserve"> </w:t>
      </w:r>
      <w:r w:rsidR="002428F1">
        <w:rPr>
          <w:color w:val="000000"/>
        </w:rPr>
        <w:t>secondary aluminium production facility</w:t>
      </w:r>
      <w:r w:rsidR="008574EE">
        <w:rPr>
          <w:color w:val="000000"/>
        </w:rPr>
        <w:t>,</w:t>
      </w:r>
      <w:r w:rsidR="002428F1">
        <w:rPr>
          <w:color w:val="000000"/>
        </w:rPr>
        <w:t xml:space="preserve"> while capitalizing on potential waste heat recovery and system integration opportunities. </w:t>
      </w:r>
      <w:r w:rsidR="00724CBB">
        <w:rPr>
          <w:color w:val="000000"/>
        </w:rPr>
        <w:t xml:space="preserve"> </w:t>
      </w:r>
    </w:p>
    <w:p w14:paraId="19E545A5" w14:textId="2B6FAD3C" w:rsidR="0016192D" w:rsidRPr="00F27265" w:rsidRDefault="009522E8" w:rsidP="00C6393F">
      <w:pPr>
        <w:autoSpaceDE w:val="0"/>
        <w:autoSpaceDN w:val="0"/>
        <w:adjustRightInd w:val="0"/>
        <w:spacing w:before="60"/>
        <w:jc w:val="center"/>
        <w:rPr>
          <w:color w:val="000000"/>
        </w:rPr>
      </w:pPr>
      <w:r>
        <w:rPr>
          <w:noProof/>
          <w:color w:val="000000"/>
        </w:rPr>
        <w:drawing>
          <wp:inline distT="0" distB="0" distL="0" distR="0" wp14:anchorId="4002BC8E" wp14:editId="5DFD6D45">
            <wp:extent cx="3372787" cy="1858223"/>
            <wp:effectExtent l="0" t="0" r="5715" b="0"/>
            <wp:docPr id="827965455" name="Picture 2" descr="A diagram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65455" name="Picture 2" descr="A diagram of a factor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8620" cy="1877965"/>
                    </a:xfrm>
                    <a:prstGeom prst="rect">
                      <a:avLst/>
                    </a:prstGeom>
                  </pic:spPr>
                </pic:pic>
              </a:graphicData>
            </a:graphic>
          </wp:inline>
        </w:drawing>
      </w:r>
    </w:p>
    <w:p w14:paraId="16A5FAB4" w14:textId="13B909E4" w:rsidR="00EA5075" w:rsidRPr="005F166C" w:rsidRDefault="0016192D" w:rsidP="00637597">
      <w:pPr>
        <w:pStyle w:val="Didascalia"/>
        <w:spacing w:before="40" w:after="0"/>
        <w:jc w:val="center"/>
        <w:rPr>
          <w:color w:val="000000"/>
        </w:rPr>
      </w:pPr>
      <w:bookmarkStart w:id="1" w:name="_Ref152250247"/>
      <w:r>
        <w:t xml:space="preserve">Figure </w:t>
      </w:r>
      <w:r>
        <w:fldChar w:fldCharType="begin"/>
      </w:r>
      <w:r>
        <w:instrText xml:space="preserve"> SEQ Figure \* ARABIC </w:instrText>
      </w:r>
      <w:r>
        <w:fldChar w:fldCharType="separate"/>
      </w:r>
      <w:r w:rsidR="004C22FE">
        <w:rPr>
          <w:noProof/>
        </w:rPr>
        <w:t>1</w:t>
      </w:r>
      <w:r>
        <w:fldChar w:fldCharType="end"/>
      </w:r>
      <w:bookmarkEnd w:id="1"/>
      <w:r>
        <w:t xml:space="preserve">: </w:t>
      </w:r>
      <w:r w:rsidR="00F27265">
        <w:t xml:space="preserve">Potential </w:t>
      </w:r>
      <w:r>
        <w:t>CCUS</w:t>
      </w:r>
      <w:r w:rsidR="006D5EE7">
        <w:t xml:space="preserve"> </w:t>
      </w:r>
      <w:r>
        <w:t>routes for decarbonizing secondary aluminium production.</w:t>
      </w:r>
    </w:p>
    <w:p w14:paraId="144DE699" w14:textId="623D61AA" w:rsidR="008D2649" w:rsidRDefault="00F72493" w:rsidP="009C6BE0">
      <w:pPr>
        <w:pStyle w:val="Els-1storder-head"/>
        <w:spacing w:before="60"/>
      </w:pPr>
      <w:r>
        <w:t>Methods</w:t>
      </w:r>
    </w:p>
    <w:p w14:paraId="745D3641" w14:textId="3C6038FC" w:rsidR="00162F85" w:rsidRPr="00162F85" w:rsidRDefault="00527031" w:rsidP="00706A29">
      <w:pPr>
        <w:pStyle w:val="Els-body-text"/>
        <w:rPr>
          <w:color w:val="000000"/>
        </w:rPr>
      </w:pPr>
      <w:r w:rsidRPr="004354E5">
        <w:rPr>
          <w:color w:val="000000"/>
        </w:rPr>
        <w:t>An optimization problem</w:t>
      </w:r>
      <w:r>
        <w:rPr>
          <w:color w:val="000000"/>
        </w:rPr>
        <w:t xml:space="preserve"> for an operating aluminium facility is developed</w:t>
      </w:r>
      <w:r w:rsidRPr="004354E5">
        <w:rPr>
          <w:color w:val="000000"/>
        </w:rPr>
        <w:t xml:space="preserve"> based on</w:t>
      </w:r>
      <w:r>
        <w:rPr>
          <w:color w:val="000000"/>
        </w:rPr>
        <w:t xml:space="preserve"> </w:t>
      </w:r>
      <w:r w:rsidR="000F52CD" w:rsidRPr="004354E5">
        <w:rPr>
          <w:color w:val="000000"/>
        </w:rPr>
        <w:t>mi</w:t>
      </w:r>
      <w:r w:rsidR="000F52CD">
        <w:rPr>
          <w:color w:val="000000"/>
        </w:rPr>
        <w:t>nimal incremental costs</w:t>
      </w:r>
      <w:r>
        <w:rPr>
          <w:color w:val="000000"/>
        </w:rPr>
        <w:t xml:space="preserve">. </w:t>
      </w:r>
      <w:r w:rsidR="00162F85">
        <w:rPr>
          <w:color w:val="000000"/>
        </w:rPr>
        <w:t>Key p</w:t>
      </w:r>
      <w:r>
        <w:rPr>
          <w:color w:val="000000"/>
        </w:rPr>
        <w:t>erformance indicators are defined to compare the solutions in terms of thermodynamic, economic, and environmental impact</w:t>
      </w:r>
      <w:r w:rsidR="000F52CD">
        <w:rPr>
          <w:color w:val="000000"/>
        </w:rPr>
        <w:t xml:space="preserve"> aspects</w:t>
      </w:r>
      <w:r>
        <w:rPr>
          <w:color w:val="000000"/>
        </w:rPr>
        <w:t xml:space="preserve">. </w:t>
      </w:r>
    </w:p>
    <w:p w14:paraId="144DE69A" w14:textId="68CCAFAC" w:rsidR="008D2649" w:rsidRDefault="00F72493" w:rsidP="009C6BE0">
      <w:pPr>
        <w:pStyle w:val="Els-2ndorder-head"/>
        <w:spacing w:before="60" w:after="60"/>
      </w:pPr>
      <w:r>
        <w:t xml:space="preserve">Aluminium process modelling </w:t>
      </w:r>
      <w:r w:rsidR="00361445">
        <w:t>and</w:t>
      </w:r>
      <w:r>
        <w:t xml:space="preserve"> description of CCUS systems</w:t>
      </w:r>
    </w:p>
    <w:p w14:paraId="1D0CBAA3" w14:textId="2BE98CFF" w:rsidR="003355A3" w:rsidRDefault="00B40759" w:rsidP="00F263B9">
      <w:pPr>
        <w:pStyle w:val="Els-body-text"/>
      </w:pPr>
      <w:r>
        <w:fldChar w:fldCharType="begin"/>
      </w:r>
      <w:r>
        <w:instrText xml:space="preserve"> REF _Ref152084355 \h </w:instrText>
      </w:r>
      <w:r>
        <w:fldChar w:fldCharType="separate"/>
      </w:r>
      <w:r w:rsidR="004C22FE" w:rsidRPr="00C753EC">
        <w:t xml:space="preserve">Figure </w:t>
      </w:r>
      <w:r w:rsidR="004C22FE">
        <w:rPr>
          <w:noProof/>
        </w:rPr>
        <w:t>2</w:t>
      </w:r>
      <w:r>
        <w:fldChar w:fldCharType="end"/>
      </w:r>
      <w:r>
        <w:t xml:space="preserve"> </w:t>
      </w:r>
      <w:r w:rsidR="000A4A23">
        <w:t>illustrates a process flowsheet</w:t>
      </w:r>
      <w:r w:rsidR="00361445">
        <w:t xml:space="preserve"> of the secondary aluminium production facility and the CCUS technologies being evaluated.</w:t>
      </w:r>
      <w:r w:rsidR="00154119">
        <w:t xml:space="preserve"> </w:t>
      </w:r>
      <w:r w:rsidR="003355A3">
        <w:t xml:space="preserve">First, pure aluminium is preheated to 250°C. </w:t>
      </w:r>
      <w:r w:rsidR="000A4A23">
        <w:lastRenderedPageBreak/>
        <w:t>Subsequently</w:t>
      </w:r>
      <w:r w:rsidR="00E07B04">
        <w:t xml:space="preserve">, </w:t>
      </w:r>
      <w:r w:rsidR="00F176F4">
        <w:t>both</w:t>
      </w:r>
      <w:r w:rsidR="00E07B04">
        <w:t xml:space="preserve"> pure and scrap aluminium </w:t>
      </w:r>
      <w:r w:rsidR="00F176F4">
        <w:t>are</w:t>
      </w:r>
      <w:r w:rsidR="00E07B04">
        <w:t xml:space="preserve"> fed into the melting furnace where </w:t>
      </w:r>
      <w:r w:rsidR="000A4A23">
        <w:t>they undergo</w:t>
      </w:r>
      <w:r w:rsidR="00E07B04">
        <w:t xml:space="preserve"> fusion at 660°C</w:t>
      </w:r>
      <w:r w:rsidR="008323F0">
        <w:t>,</w:t>
      </w:r>
      <w:r w:rsidR="00E07B04">
        <w:t xml:space="preserve"> and </w:t>
      </w:r>
      <w:r w:rsidR="000A4A23">
        <w:t>are</w:t>
      </w:r>
      <w:r w:rsidR="00E07B04">
        <w:t xml:space="preserve"> superheated to </w:t>
      </w:r>
      <w:r w:rsidR="000A5213">
        <w:t>roughly</w:t>
      </w:r>
      <w:r w:rsidR="00E07B04">
        <w:t xml:space="preserve"> 750°C. </w:t>
      </w:r>
      <w:r w:rsidR="000A4A23">
        <w:t>Next, t</w:t>
      </w:r>
      <w:r w:rsidR="00E07B04">
        <w:t>he molten aluminium is fed into the direct cast chilling process through the holding furnace</w:t>
      </w:r>
      <w:r w:rsidR="003355A3">
        <w:t>s where it</w:t>
      </w:r>
      <w:r w:rsidR="00E07B04">
        <w:t xml:space="preserve"> solidifies into cast ingots using water as the cooling medium. The ingots are then </w:t>
      </w:r>
      <w:r w:rsidR="00724CBB">
        <w:t>surface polished</w:t>
      </w:r>
      <w:r w:rsidR="00E07B04">
        <w:t xml:space="preserve"> in the scalper, annealed at 550°C in pusher furnaces, and </w:t>
      </w:r>
      <w:r w:rsidR="00154119">
        <w:t>rolled</w:t>
      </w:r>
      <w:r w:rsidR="00E07B04">
        <w:t xml:space="preserve"> into thin </w:t>
      </w:r>
      <w:r w:rsidR="000A4A23">
        <w:t>sheets</w:t>
      </w:r>
      <w:r w:rsidR="00E07B04">
        <w:t xml:space="preserve">. </w:t>
      </w:r>
      <w:r w:rsidR="00E07B04" w:rsidRPr="000A4A23">
        <w:t>The final treatment step occurs in the annealing continuous line (ACL) where the coils are chemically and thermally treated at approximately 550°C</w:t>
      </w:r>
      <w:r w:rsidR="00162F85" w:rsidRPr="000A4A23">
        <w:t xml:space="preserve">. </w:t>
      </w:r>
      <w:r w:rsidR="000A4A23">
        <w:t>All plant furnaces emit</w:t>
      </w:r>
      <w:r w:rsidR="008323F0">
        <w:t xml:space="preserve"> </w:t>
      </w:r>
      <w:r w:rsidR="000A4A23">
        <w:t>flue gases</w:t>
      </w:r>
      <w:r w:rsidR="003355A3">
        <w:t xml:space="preserve"> </w:t>
      </w:r>
      <w:r w:rsidR="008323F0">
        <w:t>containing CO</w:t>
      </w:r>
      <w:r w:rsidR="008323F0" w:rsidRPr="000A4A23">
        <w:rPr>
          <w:vertAlign w:val="subscript"/>
        </w:rPr>
        <w:t>2</w:t>
      </w:r>
      <w:r w:rsidR="008323F0">
        <w:t>, that can be captured and utilized using different technologies. C</w:t>
      </w:r>
      <w:r w:rsidR="00813996" w:rsidRPr="000A4A23">
        <w:t>hemical absorption using amine solvents</w:t>
      </w:r>
      <w:r w:rsidR="008323F0">
        <w:t xml:space="preserve"> is one option and c</w:t>
      </w:r>
      <w:r w:rsidR="00813996" w:rsidRPr="000A4A23">
        <w:t xml:space="preserve">onsumes 3.6 </w:t>
      </w:r>
      <w:proofErr w:type="spellStart"/>
      <w:r w:rsidR="00813996" w:rsidRPr="000A4A23">
        <w:t>MJ</w:t>
      </w:r>
      <w:r w:rsidR="00813996" w:rsidRPr="000A4A23">
        <w:rPr>
          <w:vertAlign w:val="subscript"/>
        </w:rPr>
        <w:t>steam</w:t>
      </w:r>
      <w:proofErr w:type="spellEnd"/>
      <w:r w:rsidR="00813996" w:rsidRPr="000A4A23">
        <w:t>/kgCO</w:t>
      </w:r>
      <w:r w:rsidR="00813996" w:rsidRPr="000A4A23">
        <w:rPr>
          <w:vertAlign w:val="subscript"/>
        </w:rPr>
        <w:t>2</w:t>
      </w:r>
      <w:r w:rsidR="00813996" w:rsidRPr="000A4A23">
        <w:t xml:space="preserve"> </w:t>
      </w:r>
      <w:r w:rsidR="00813996" w:rsidRPr="000A4A23">
        <w:fldChar w:fldCharType="begin"/>
      </w:r>
      <w:r w:rsidR="00813996" w:rsidRPr="000A4A23">
        <w:instrText xml:space="preserve"> ADDIN ZOTERO_ITEM CSL_CITATION {"citationID":"Y9qQh2Yo","properties":{"formattedCitation":"(Fl\\uc0\\u243{}rez-Orrego et al. 2020)","plainCitation":"(Flórez-Orrego et al. 2020)","noteIndex":0},"citationItems":[{"id":8953,"uris":["http://zotero.org/users/10361596/items/YV25IDWR"],"itemData":{"id":8953,"type":"article-journal","container-title":"Journal of Cleaner Production","DOI":"10.1016/j.jclepro.2019.118647","ISSN":"09596526","journalAbbreviation":"Journal of Cleaner Production","language":"en","page":"118647","source":"DOI.org (Crossref)","title":"Combined exergy analysis, energy integration and optimization of syngas and ammonia production plants: A cogeneration and syngas purification perspective","title-short":"Combined exergy analysis, energy integration and optimization of syngas and ammonia production plants","volume":"244","author":[{"family":"Flórez-Orrego","given":"Daniel"},{"family":"Sharma","given":"Shivom"},{"family":"De Oliveira Junior","given":"Silvio"},{"family":"Maréchal","given":"François"}],"issued":{"date-parts":[["2020",1]]},"citation-key":"florez-orregoCombinedExergyAnalysis2020"}}],"schema":"https://github.com/citation-style-language/schema/raw/master/csl-citation.json"} </w:instrText>
      </w:r>
      <w:r w:rsidR="00813996" w:rsidRPr="000A4A23">
        <w:fldChar w:fldCharType="separate"/>
      </w:r>
      <w:r w:rsidR="00813996" w:rsidRPr="000A4A23">
        <w:rPr>
          <w:lang w:val="en-GB"/>
        </w:rPr>
        <w:t>(</w:t>
      </w:r>
      <w:proofErr w:type="spellStart"/>
      <w:r w:rsidR="00813996" w:rsidRPr="000A4A23">
        <w:rPr>
          <w:lang w:val="en-GB"/>
        </w:rPr>
        <w:t>Flórez-Orrego</w:t>
      </w:r>
      <w:proofErr w:type="spellEnd"/>
      <w:r w:rsidR="00813996" w:rsidRPr="000A4A23">
        <w:rPr>
          <w:lang w:val="en-GB"/>
        </w:rPr>
        <w:t xml:space="preserve"> et al. 2020)</w:t>
      </w:r>
      <w:r w:rsidR="00813996" w:rsidRPr="000A4A23">
        <w:fldChar w:fldCharType="end"/>
      </w:r>
      <w:r w:rsidR="00813996" w:rsidRPr="000A4A23">
        <w:t xml:space="preserve">. </w:t>
      </w:r>
      <w:r w:rsidR="000A4A23">
        <w:t>Alternatively, temperature-</w:t>
      </w:r>
      <w:r w:rsidR="000A5213" w:rsidRPr="000A4A23">
        <w:t>swing adsorption beds</w:t>
      </w:r>
      <w:r w:rsidR="008323F0">
        <w:t xml:space="preserve"> filled with</w:t>
      </w:r>
      <w:r w:rsidR="000A5213" w:rsidRPr="000A4A23">
        <w:t xml:space="preserve"> metal organic frameworks</w:t>
      </w:r>
      <w:r w:rsidR="00813996" w:rsidRPr="000A4A23">
        <w:t xml:space="preserve"> (MOFs) </w:t>
      </w:r>
      <w:r w:rsidR="00154119" w:rsidRPr="000A4A23">
        <w:t>can</w:t>
      </w:r>
      <w:r w:rsidR="00813996" w:rsidRPr="000A4A23">
        <w:t xml:space="preserve"> reduce steam consumption </w:t>
      </w:r>
      <w:r w:rsidR="000A4A23">
        <w:t xml:space="preserve">down </w:t>
      </w:r>
      <w:r w:rsidR="00813996" w:rsidRPr="000A4A23">
        <w:t xml:space="preserve">to 0.8 </w:t>
      </w:r>
      <w:proofErr w:type="spellStart"/>
      <w:r w:rsidR="00813996" w:rsidRPr="000A4A23">
        <w:t>MJ</w:t>
      </w:r>
      <w:r w:rsidR="00813996" w:rsidRPr="000A4A23">
        <w:rPr>
          <w:vertAlign w:val="subscript"/>
        </w:rPr>
        <w:t>steam</w:t>
      </w:r>
      <w:proofErr w:type="spellEnd"/>
      <w:r w:rsidR="00813996" w:rsidRPr="000A4A23">
        <w:t>/kgCO</w:t>
      </w:r>
      <w:r w:rsidR="00813996" w:rsidRPr="000A4A23">
        <w:rPr>
          <w:vertAlign w:val="subscript"/>
        </w:rPr>
        <w:t>2</w:t>
      </w:r>
      <w:r w:rsidR="00154119" w:rsidRPr="000A4A23">
        <w:rPr>
          <w:vertAlign w:val="subscript"/>
        </w:rPr>
        <w:t xml:space="preserve"> </w:t>
      </w:r>
      <w:r w:rsidR="00154119" w:rsidRPr="000A4A23">
        <w:fldChar w:fldCharType="begin"/>
      </w:r>
      <w:r w:rsidR="00154119" w:rsidRPr="000A4A23">
        <w:instrText xml:space="preserve"> ADDIN ZOTERO_ITEM CSL_CITATION {"citationID":"dIbpv0p7","properties":{"formattedCitation":"(Lin et al. 2021)","plainCitation":"(Lin et al. 2021)","noteIndex":0},"citationItems":[{"id":8957,"uris":["http://zotero.org/users/10361596/items/QLD7QIJK"],"itemData":{"id":8957,"type":"article-journal","abstract":"A hydrophobic CO\n              2\n              physisorbent\n            \n            \n              Most materials for carbon dioxide (CO\n              2\n              ) capture of fossil fuel combustion, such as amines, rely on strong chemisorption interactions that are highly selective but can incur a large energy penalty to release CO\n              2\n              . Lin\n              et al\n              . show that a zinc-based metal organic framework material can physisorb CO\n              2\n              and incurs a lower regeneration penalty. Its binding site at the center of the pores precludes the formation of hydrogen-bonding networks between water molecules. This durable material can preferentially adsorb CO2 at 40% relative humidity and maintains its performance under flue gas conditions of 150°C. —PDS\n            \n          , \n            \n              A metal-organic framework captures CO\n              2\n              with high capacity and selectivity over steam with only a modest regeneration penalty.\n            \n          , \n            \n              Metal-organic frameworks (MOFs) as solid sorbents for carbon dioxide (CO\n              2\n              ) capture face the challenge of merging efficient capture with economical regeneration in a durable, scalable material. Zinc-based Calgary Framework 20 (CALF-20) physisorbs CO\n              2\n              with high capacity but is also selective over water. Competitive separations on structured CALF-20 show not just preferential CO\n              2\n              physisorption below 40% relative humidity but also suppression of water sorption by CO\n              2\n              , which was corroborated by computational modeling. CALF-20 has a low enthalpic regeneration penalty and shows durability to steam (&gt;450,000 cycles) and wet acid gases. It can be prepared in one step, formed as composite materials, and its synthesis can be scaled to multikilogram batches.","container-title":"Science","DOI":"10.1126/science.abi7281","ISSN":"0036-8075, 1095-9203","issue":"6574","journalAbbreviation":"Science","language":"en","page":"1464-1469","source":"DOI.org (Crossref)","title":"A scalable metal-organic framework as a durable physisorbent for carbon dioxide capture","volume":"374","author":[{"family":"Lin","given":"Jian-Bin"},{"family":"Nguyen","given":"Tai T. T."},{"family":"Vaidhyanathan","given":"Ramanathan"},{"family":"Burner","given":"Jake"},{"family":"Taylor","given":"Jared M."},{"family":"Durekova","given":"Hana"},{"family":"Akhtar","given":"Farid"},{"family":"Mah","given":"Roger K."},{"family":"Ghaffari-Nik","given":"Omid"},{"family":"Marx","given":"Stefan"},{"family":"Fylstra","given":"Nicholas"},{"family":"Iremonger","given":"Simon S."},{"family":"Dawson","given":"Karl W."},{"family":"Sarkar","given":"Partha"},{"family":"Hovington","given":"Pierre"},{"family":"Rajendran","given":"Arvind"},{"family":"Woo","given":"Tom K."},{"family":"Shimizu","given":"George K. H."}],"issued":{"date-parts":[["2021",12,17]]},"citation-key":"linScalableMetalorganicFramework2021"}}],"schema":"https://github.com/citation-style-language/schema/raw/master/csl-citation.json"} </w:instrText>
      </w:r>
      <w:r w:rsidR="00154119" w:rsidRPr="000A4A23">
        <w:fldChar w:fldCharType="separate"/>
      </w:r>
      <w:r w:rsidR="00154119" w:rsidRPr="000A4A23">
        <w:rPr>
          <w:noProof/>
        </w:rPr>
        <w:t>(Lin et al. 2021)</w:t>
      </w:r>
      <w:r w:rsidR="00154119" w:rsidRPr="000A4A23">
        <w:fldChar w:fldCharType="end"/>
      </w:r>
      <w:r w:rsidR="00154119" w:rsidRPr="000A4A23">
        <w:t xml:space="preserve">. </w:t>
      </w:r>
      <w:r w:rsidR="000A4A23">
        <w:t>Other</w:t>
      </w:r>
      <w:r w:rsidR="000A4A23" w:rsidRPr="000A4A23">
        <w:t xml:space="preserve"> capture technologies rely</w:t>
      </w:r>
      <w:r w:rsidR="008323F0">
        <w:t>ing</w:t>
      </w:r>
      <w:r w:rsidR="000A4A23" w:rsidRPr="000A4A23">
        <w:t xml:space="preserve"> on electricity</w:t>
      </w:r>
      <w:r w:rsidR="000A4A23">
        <w:t xml:space="preserve">, </w:t>
      </w:r>
      <w:r w:rsidR="008323F0">
        <w:t xml:space="preserve">such as </w:t>
      </w:r>
      <w:r w:rsidR="008323F0" w:rsidRPr="000A4A23">
        <w:t>cryogenic separation</w:t>
      </w:r>
      <w:r w:rsidR="008323F0">
        <w:t xml:space="preserve"> and </w:t>
      </w:r>
      <w:r w:rsidR="008323F0" w:rsidRPr="000A4A23">
        <w:t>membranes</w:t>
      </w:r>
      <w:r w:rsidR="008323F0">
        <w:t>,</w:t>
      </w:r>
      <w:r w:rsidR="008323F0">
        <w:rPr>
          <w:vertAlign w:val="subscript"/>
        </w:rPr>
        <w:t xml:space="preserve"> </w:t>
      </w:r>
      <w:r w:rsidR="000A4A23">
        <w:t>consum</w:t>
      </w:r>
      <w:r w:rsidR="008323F0">
        <w:t>e</w:t>
      </w:r>
      <w:r w:rsidR="000A4A23" w:rsidRPr="000A4A23">
        <w:t xml:space="preserve"> 1</w:t>
      </w:r>
      <w:r w:rsidR="008323F0">
        <w:t>, and</w:t>
      </w:r>
      <w:r w:rsidR="000A4A23" w:rsidRPr="000A4A23">
        <w:t xml:space="preserve"> </w:t>
      </w:r>
      <w:r w:rsidR="008323F0">
        <w:t xml:space="preserve">0.4 </w:t>
      </w:r>
      <w:proofErr w:type="spellStart"/>
      <w:r w:rsidR="000A4A23" w:rsidRPr="000A4A23">
        <w:t>kWh</w:t>
      </w:r>
      <w:r w:rsidR="000A4A23" w:rsidRPr="000A4A23">
        <w:rPr>
          <w:vertAlign w:val="subscript"/>
        </w:rPr>
        <w:t>EE</w:t>
      </w:r>
      <w:proofErr w:type="spellEnd"/>
      <w:r w:rsidR="000A4A23" w:rsidRPr="000A4A23">
        <w:t>/kg CO</w:t>
      </w:r>
      <w:r w:rsidR="000A4A23" w:rsidRPr="000A4A23">
        <w:rPr>
          <w:vertAlign w:val="subscript"/>
        </w:rPr>
        <w:t xml:space="preserve">2 </w:t>
      </w:r>
      <w:r w:rsidR="008323F0">
        <w:t>respectively</w:t>
      </w:r>
      <w:r w:rsidR="00F263B9">
        <w:t xml:space="preserve"> </w:t>
      </w:r>
      <w:r w:rsidR="00F263B9">
        <w:fldChar w:fldCharType="begin"/>
      </w:r>
      <w:r w:rsidR="00F263B9">
        <w:instrText xml:space="preserve"> ADDIN ZOTERO_ITEM CSL_CITATION {"citationID":"wiM9YIAH","properties":{"formattedCitation":"(Song et al. 2019; Janakiram et al. 2021)","plainCitation":"(Song et al. 2019; Janakiram et al. 2021)","noteIndex":0},"citationItems":[{"id":9484,"uris":["http://zotero.org/users/10361596/items/VQH687ER"],"itemData":{"id":9484,"type":"article-journal","abstract":"CO2 capture, utilization and storage has been recognized as a primary option to mitigate the issue of climate change caused by the utilization of fossil fuels. Several CO2 capture strategies have been developed, such as absorption, adsorption, membrane, chemical looping, hydrating and bioﬁxation. Among diﬀerent technologies, particular attention has been given to cryogenic CO2 capture by phase change. The aim of this study is to improve interest in cryogenic technologies for CO2 capture by providing an overview of the actual status of CCS. To reach this goal, the major strategies and technologies for CO2 capture from fossil fuel combustion have been reviewed. Simultaneously, the characteristics of cryogenic technologies for CO2 capture are summarized. The existing challenges that need to be overcome in cryogenic technology include cold energy sources, capture costs and impurities, etc. Finally, opportunities for the future development of cryogenic-based technologies are discussed. The results of this investigation indicated that cryogenic CO2 capture processes can be easily retroﬁtted to the existing industrial emission facilities and avoid the challenges associated with chemical solvents or physical sorbents.","container-title":"Renewable and Sustainable Energy Reviews","DOI":"10.1016/j.rser.2018.11.018","ISSN":"13640321","journalAbbreviation":"Renewable and Sustainable Energy Reviews","language":"en","page":"265-278","source":"DOI.org (Crossref)","title":"Cryogenic-based CO2 capture technologies: State-of-the-art developments and current challenges","title-short":"Cryogenic-based CO2 capture technologies","volume":"101","author":[{"family":"Song","given":"Chunfeng"},{"family":"Liu","given":"Qingling"},{"family":"Deng","given":"Shuai"},{"family":"Li","given":"Hailong"},{"family":"Kitamura","given":"Yutaka"}],"issued":{"date-parts":[["2019",3]]},"citation-key":"songCryogenicbasedCO2Capture2019"}},{"id":8955,"uris":["http://zotero.org/users/10361596/items/F4Y2JF2D"],"itemData":{"id":8955,"type":"article-journal","container-title":"Chemical Engineering Journal","DOI":"10.1016/j.cej.2020.127405","ISSN":"13858947","journalAbbreviation":"Chemical Engineering Journal","language":"en","page":"127405","source":"DOI.org (Crossref)","title":"Field trial of hollow fiber modules of hybrid facilitated transport membranes for flue gas CO2 capture in cement industry","volume":"413","author":[{"family":"Janakiram","given":"Saravanan"},{"family":"Santinelli","given":"Fabio"},{"family":"Costi","given":"Riccardo"},{"family":"Lindbråthen","given":"Arne"},{"family":"Nardelli","given":"Giuseppe Marino"},{"family":"Milkowski","given":"Kris"},{"family":"Ansaloni","given":"Luca"},{"family":"Deng","given":"Liyuan"}],"issued":{"date-parts":[["2021",6]]},"citation-key":"janakiramFieldTrialHollow2021"}}],"schema":"https://github.com/citation-style-language/schema/raw/master/csl-citation.json"} </w:instrText>
      </w:r>
      <w:r w:rsidR="00F263B9">
        <w:fldChar w:fldCharType="separate"/>
      </w:r>
      <w:r w:rsidR="00F263B9">
        <w:rPr>
          <w:noProof/>
        </w:rPr>
        <w:t>(Song et al. 2019; Janakiram et al. 2021)</w:t>
      </w:r>
      <w:r w:rsidR="00F263B9">
        <w:fldChar w:fldCharType="end"/>
      </w:r>
      <w:r w:rsidR="008323F0">
        <w:t xml:space="preserve">. In case of </w:t>
      </w:r>
      <w:proofErr w:type="spellStart"/>
      <w:r w:rsidR="008323F0">
        <w:t>oxycombustion</w:t>
      </w:r>
      <w:proofErr w:type="spellEnd"/>
      <w:r w:rsidR="008323F0">
        <w:t xml:space="preserve">, </w:t>
      </w:r>
      <w:r w:rsidR="000A4A23">
        <w:t xml:space="preserve">0.3 </w:t>
      </w:r>
      <w:proofErr w:type="spellStart"/>
      <w:r w:rsidR="000A4A23" w:rsidRPr="000A4A23">
        <w:t>kWh</w:t>
      </w:r>
      <w:r w:rsidR="000A4A23" w:rsidRPr="000A4A23">
        <w:rPr>
          <w:vertAlign w:val="subscript"/>
        </w:rPr>
        <w:t>EE</w:t>
      </w:r>
      <w:proofErr w:type="spellEnd"/>
      <w:r w:rsidR="000A4A23" w:rsidRPr="000A4A23">
        <w:t>/kgO</w:t>
      </w:r>
      <w:r w:rsidR="000A4A23" w:rsidRPr="000A4A23">
        <w:rPr>
          <w:vertAlign w:val="subscript"/>
        </w:rPr>
        <w:t>2</w:t>
      </w:r>
      <w:r w:rsidR="000A4A23">
        <w:rPr>
          <w:vertAlign w:val="subscript"/>
        </w:rPr>
        <w:t xml:space="preserve"> </w:t>
      </w:r>
      <w:r w:rsidR="000A4A23">
        <w:t>for air separation i</w:t>
      </w:r>
      <w:r w:rsidR="008323F0">
        <w:t>s needed</w:t>
      </w:r>
      <w:r w:rsidR="00F263B9">
        <w:t xml:space="preserve"> </w:t>
      </w:r>
      <w:r w:rsidR="00C753EC">
        <w:fldChar w:fldCharType="begin"/>
      </w:r>
      <w:r w:rsidR="00C753EC">
        <w:instrText xml:space="preserve"> ADDIN ZOTERO_ITEM CSL_CITATION {"citationID":"XGIK8cEU","properties":{"formattedCitation":"(Nascimento Silva, Fl\\uc0\\u243{}rez-Orrego, and De Oliveira Junior 2019)","plainCitation":"(Nascimento Silva, Flórez-Orrego, and De Oliveira Junior 2019)","noteIndex":0},"citationItems":[{"id":8970,"uris":["http://zotero.org/users/10361596/items/DY6UVD7M"],"itemData":{"id":8970,"type":"article-journal","container-title":"Energy Conversion and Management","DOI":"10.1016/j.enconman.2019.111846","ISSN":"01968904","journalAbbreviation":"Energy Conversion and Management","language":"en","page":"111846","source":"DOI.org (Crossref)","title":"Exergy assessment and energy integration of advanced gas turbine cycles on an offshore petroleum production platform","volume":"197","author":[{"family":"Nascimento Silva","given":"Fernanda Cristina"},{"family":"Flórez-Orrego","given":"Daniel"},{"family":"De Oliveira Junior","given":"Silvio"}],"issued":{"date-parts":[["2019",10]]},"citation-key":"nascimentosilvaExergyAssessmentEnergy2019"}}],"schema":"https://github.com/citation-style-language/schema/raw/master/csl-citation.json"} </w:instrText>
      </w:r>
      <w:r w:rsidR="00C753EC">
        <w:fldChar w:fldCharType="separate"/>
      </w:r>
      <w:r w:rsidR="00C753EC" w:rsidRPr="00C753EC">
        <w:rPr>
          <w:lang w:val="en-GB"/>
        </w:rPr>
        <w:t>(Nascimento Silva, Flórez-Orrego, and De Oliveira Junior 2019)</w:t>
      </w:r>
      <w:r w:rsidR="00C753EC">
        <w:fldChar w:fldCharType="end"/>
      </w:r>
      <w:r w:rsidR="00F263B9">
        <w:t>.</w:t>
      </w:r>
    </w:p>
    <w:p w14:paraId="19E0545D" w14:textId="213C1EF4" w:rsidR="00B40759" w:rsidRDefault="008323F0" w:rsidP="00F263B9">
      <w:pPr>
        <w:pStyle w:val="Els-body-text"/>
        <w:spacing w:before="60"/>
        <w:jc w:val="center"/>
      </w:pPr>
      <w:r>
        <w:rPr>
          <w:noProof/>
        </w:rPr>
        <w:drawing>
          <wp:inline distT="0" distB="0" distL="0" distR="0" wp14:anchorId="1A7C447E" wp14:editId="35451E10">
            <wp:extent cx="4499610" cy="3752850"/>
            <wp:effectExtent l="0" t="0" r="0" b="6350"/>
            <wp:docPr id="1274839224" name="Picture 6" descr="A diagram of different types of materi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39224" name="Picture 6" descr="A diagram of different types of material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9610" cy="3752850"/>
                    </a:xfrm>
                    <a:prstGeom prst="rect">
                      <a:avLst/>
                    </a:prstGeom>
                  </pic:spPr>
                </pic:pic>
              </a:graphicData>
            </a:graphic>
          </wp:inline>
        </w:drawing>
      </w:r>
    </w:p>
    <w:p w14:paraId="6686659F" w14:textId="3D7A5B18" w:rsidR="00361445" w:rsidRPr="00C753EC" w:rsidRDefault="00B40759" w:rsidP="008F1E53">
      <w:pPr>
        <w:pStyle w:val="Didascalia"/>
        <w:spacing w:before="60" w:after="60"/>
        <w:jc w:val="center"/>
        <w:rPr>
          <w:sz w:val="20"/>
        </w:rPr>
      </w:pPr>
      <w:bookmarkStart w:id="2" w:name="_Ref152084355"/>
      <w:r w:rsidRPr="00C753EC">
        <w:rPr>
          <w:sz w:val="20"/>
        </w:rPr>
        <w:t xml:space="preserve">Figure </w:t>
      </w:r>
      <w:r w:rsidRPr="00C753EC">
        <w:rPr>
          <w:sz w:val="20"/>
        </w:rPr>
        <w:fldChar w:fldCharType="begin"/>
      </w:r>
      <w:r w:rsidRPr="00C753EC">
        <w:rPr>
          <w:sz w:val="20"/>
        </w:rPr>
        <w:instrText xml:space="preserve"> SEQ Figure \* ARABIC </w:instrText>
      </w:r>
      <w:r w:rsidRPr="00C753EC">
        <w:rPr>
          <w:sz w:val="20"/>
        </w:rPr>
        <w:fldChar w:fldCharType="separate"/>
      </w:r>
      <w:r w:rsidR="004C22FE">
        <w:rPr>
          <w:noProof/>
          <w:sz w:val="20"/>
        </w:rPr>
        <w:t>2</w:t>
      </w:r>
      <w:r w:rsidRPr="00C753EC">
        <w:rPr>
          <w:sz w:val="20"/>
        </w:rPr>
        <w:fldChar w:fldCharType="end"/>
      </w:r>
      <w:bookmarkEnd w:id="2"/>
      <w:r w:rsidRPr="00C753EC">
        <w:rPr>
          <w:sz w:val="20"/>
        </w:rPr>
        <w:t xml:space="preserve">: </w:t>
      </w:r>
      <w:r w:rsidR="00DA0CFB">
        <w:rPr>
          <w:sz w:val="20"/>
        </w:rPr>
        <w:t>S</w:t>
      </w:r>
      <w:r w:rsidRPr="00C753EC">
        <w:rPr>
          <w:sz w:val="20"/>
        </w:rPr>
        <w:t>econdary aluminium production</w:t>
      </w:r>
      <w:r w:rsidR="00DA0CFB">
        <w:rPr>
          <w:sz w:val="20"/>
        </w:rPr>
        <w:t xml:space="preserve"> facility</w:t>
      </w:r>
      <w:r w:rsidRPr="00C753EC">
        <w:rPr>
          <w:sz w:val="20"/>
        </w:rPr>
        <w:t xml:space="preserve"> and </w:t>
      </w:r>
      <w:r w:rsidR="00C753EC">
        <w:rPr>
          <w:sz w:val="20"/>
        </w:rPr>
        <w:t>CCUS</w:t>
      </w:r>
      <w:r w:rsidR="00DA0CFB">
        <w:rPr>
          <w:sz w:val="20"/>
        </w:rPr>
        <w:t xml:space="preserve"> alternatives</w:t>
      </w:r>
      <w:r w:rsidR="00724CBB" w:rsidRPr="00C753EC">
        <w:rPr>
          <w:sz w:val="20"/>
        </w:rPr>
        <w:t>.</w:t>
      </w:r>
    </w:p>
    <w:p w14:paraId="144DE69D" w14:textId="7152E86C" w:rsidR="008D2649" w:rsidRDefault="00F72493" w:rsidP="008D2649">
      <w:pPr>
        <w:pStyle w:val="Els-2ndorder-head"/>
      </w:pPr>
      <w:r>
        <w:t>Optimization problem definition</w:t>
      </w:r>
    </w:p>
    <w:p w14:paraId="447C4F20" w14:textId="56D4782C" w:rsidR="00D6311E" w:rsidRPr="00D6311E" w:rsidRDefault="00D85B76" w:rsidP="00D85B76">
      <w:pPr>
        <w:pStyle w:val="EndNoteBibliographyTitle"/>
        <w:jc w:val="both"/>
        <w:rPr>
          <w:noProof w:val="0"/>
          <w:sz w:val="20"/>
        </w:rPr>
      </w:pPr>
      <w:r w:rsidRPr="00E31A2F">
        <w:rPr>
          <w:noProof w:val="0"/>
          <w:sz w:val="20"/>
        </w:rPr>
        <w:t>O</w:t>
      </w:r>
      <w:r>
        <w:rPr>
          <w:noProof w:val="0"/>
          <w:sz w:val="20"/>
        </w:rPr>
        <w:t>smose</w:t>
      </w:r>
      <w:r w:rsidRPr="00E31A2F">
        <w:rPr>
          <w:noProof w:val="0"/>
          <w:sz w:val="20"/>
        </w:rPr>
        <w:t xml:space="preserve"> Lua </w:t>
      </w:r>
      <w:r>
        <w:rPr>
          <w:noProof w:val="0"/>
          <w:sz w:val="20"/>
        </w:rPr>
        <w:t>platform</w:t>
      </w:r>
      <w:r w:rsidR="008323F0">
        <w:rPr>
          <w:noProof w:val="0"/>
          <w:sz w:val="20"/>
        </w:rPr>
        <w:t xml:space="preserve"> developed in the IPESE group at EPFL</w:t>
      </w:r>
      <w:r w:rsidRPr="00E31A2F">
        <w:rPr>
          <w:noProof w:val="0"/>
          <w:sz w:val="20"/>
        </w:rPr>
        <w:fldChar w:fldCharType="begin"/>
      </w:r>
      <w:r>
        <w:rPr>
          <w:noProof w:val="0"/>
          <w:sz w:val="20"/>
        </w:rPr>
        <w:instrText xml:space="preserve"> ADDIN EN.CITE &lt;EndNote&gt;&lt;Cite&gt;&lt;Author&gt;Yoo&lt;/Author&gt;&lt;Year&gt;2015&lt;/Year&gt;&lt;RecNum&gt;58&lt;/RecNum&gt;&lt;DisplayText&gt;(Yoo, Lessard et al. 2015)&lt;/DisplayText&gt;&lt;record&gt;&lt;rec-number&gt;58&lt;/rec-number&gt;&lt;foreign-keys&gt;&lt;key app="EN" db-id="dwwwrt2e2savvmedzf35d0phdtsdzefrpasw" timestamp="1597602297"&gt;58&lt;/key&gt;&lt;/foreign-keys&gt;&lt;ref-type name="Conference Proceedings"&gt;10&lt;/ref-type&gt;&lt;contributors&gt;&lt;authors&gt;&lt;author&gt;Yoo, M.&lt;/author&gt;&lt;author&gt;Lessard, L. &lt;/author&gt;&lt;author&gt;Kermani, M.&lt;/author&gt;&lt;author&gt;Maréchal, F.&lt;/author&gt;&lt;/authors&gt;&lt;/contributors&gt;&lt;titles&gt;&lt;title&gt;OSMOSE Lua: A Unified Approach to Energy Systems Integration with Life Cycle Assessment&lt;/title&gt;&lt;secondary-title&gt;12th International conference PSE 2015 and 25th International conference ESCAPE 2015.&lt;/secondary-title&gt;&lt;/titles&gt;&lt;dates&gt;&lt;year&gt;2015&lt;/year&gt;&lt;/dates&gt;&lt;pub-location&gt;Copenhagen, Denmark&lt;/pub-location&gt;&lt;urls&gt;&lt;/urls&gt;&lt;custom2&gt;2015&lt;/custom2&gt;&lt;/record&gt;&lt;/Cite&gt;&lt;/EndNote&gt;</w:instrText>
      </w:r>
      <w:r w:rsidRPr="00E31A2F">
        <w:rPr>
          <w:noProof w:val="0"/>
          <w:sz w:val="20"/>
        </w:rPr>
        <w:fldChar w:fldCharType="end"/>
      </w:r>
      <w:r>
        <w:rPr>
          <w:noProof w:val="0"/>
          <w:sz w:val="20"/>
        </w:rPr>
        <w:t xml:space="preserve"> </w:t>
      </w:r>
      <w:r w:rsidR="007A2A91">
        <w:rPr>
          <w:noProof w:val="0"/>
          <w:sz w:val="20"/>
        </w:rPr>
        <w:fldChar w:fldCharType="begin"/>
      </w:r>
      <w:r w:rsidR="007A2A91">
        <w:rPr>
          <w:noProof w:val="0"/>
          <w:sz w:val="20"/>
        </w:rPr>
        <w:instrText xml:space="preserve"> ADDIN ZOTERO_ITEM CSL_CITATION {"citationID":"hKBIm9FP","properties":{"formattedCitation":"(Yoo et al. 2015)","plainCitation":"(Yoo et al. 2015)","noteIndex":0},"citationItems":[{"id":7766,"uris":["http://zotero.org/users/10361596/items/DQNRKD2Z"],"itemData":{"id":7766,"type":"chapter","abstract":"In this paper, we present our recent work on the implementation of an Energy Systems Integration platform allowing the modeling of Energy Systems integrating LCI (Life Cycle Inventory), LCIA (Life Cycle Impact Assessment) and GIS (Geographical Information Systems) data as modeling parameters and variables included in an industrial process model.","container-title":"Computer Aided Chemical Engineering","ISBN":"978-0-444-63429-0","language":"en","note":"DOI: 10.1016/B978-0-444-63578-5.50093-1","page":"587-592","publisher":"Elsevier","source":"DOI.org (Crossref)","title":"OsmoseLua – An Integrated Approach to Energy Systems Integration with LCIA and GIS","volume":"37","author":[{"family":"Yoo","given":"Min-Jung"},{"family":"Lessard","given":"Lindsay"},{"family":"Kermani","given":"Maziar"},{"family":"Maréchal","given":"François"}],"issued":{"date-parts":[["2015"]]},"citation-key":"yooOsmoseLuaIntegratedApproach2015"}}],"schema":"https://github.com/citation-style-language/schema/raw/master/csl-citation.json"} </w:instrText>
      </w:r>
      <w:r w:rsidR="007A2A91">
        <w:rPr>
          <w:noProof w:val="0"/>
          <w:sz w:val="20"/>
        </w:rPr>
        <w:fldChar w:fldCharType="separate"/>
      </w:r>
      <w:r w:rsidR="007A2A91">
        <w:rPr>
          <w:sz w:val="20"/>
        </w:rPr>
        <w:t>(Yoo et al. 2015)</w:t>
      </w:r>
      <w:r w:rsidR="007A2A91">
        <w:rPr>
          <w:noProof w:val="0"/>
          <w:sz w:val="20"/>
        </w:rPr>
        <w:fldChar w:fldCharType="end"/>
      </w:r>
      <w:r w:rsidR="00271748">
        <w:rPr>
          <w:noProof w:val="0"/>
          <w:sz w:val="20"/>
        </w:rPr>
        <w:t xml:space="preserve"> is used to handle the </w:t>
      </w:r>
      <w:r>
        <w:rPr>
          <w:noProof w:val="0"/>
          <w:sz w:val="20"/>
        </w:rPr>
        <w:t>MILP</w:t>
      </w:r>
      <w:r w:rsidRPr="00E31A2F">
        <w:rPr>
          <w:noProof w:val="0"/>
          <w:sz w:val="20"/>
        </w:rPr>
        <w:t xml:space="preserve"> </w:t>
      </w:r>
      <w:r w:rsidR="007A2A91">
        <w:rPr>
          <w:noProof w:val="0"/>
          <w:sz w:val="20"/>
        </w:rPr>
        <w:t xml:space="preserve">formulation </w:t>
      </w:r>
      <w:r>
        <w:rPr>
          <w:noProof w:val="0"/>
          <w:sz w:val="20"/>
        </w:rPr>
        <w:t>that minimize</w:t>
      </w:r>
      <w:r w:rsidR="00D6311E">
        <w:rPr>
          <w:noProof w:val="0"/>
          <w:sz w:val="20"/>
        </w:rPr>
        <w:t>s</w:t>
      </w:r>
      <w:r>
        <w:rPr>
          <w:noProof w:val="0"/>
          <w:sz w:val="20"/>
        </w:rPr>
        <w:t xml:space="preserve"> </w:t>
      </w:r>
      <w:r w:rsidRPr="008C4F04">
        <w:rPr>
          <w:noProof w:val="0"/>
          <w:sz w:val="20"/>
        </w:rPr>
        <w:t xml:space="preserve">the </w:t>
      </w:r>
      <w:r w:rsidR="007A2A91">
        <w:rPr>
          <w:noProof w:val="0"/>
          <w:sz w:val="20"/>
        </w:rPr>
        <w:t>total cost</w:t>
      </w:r>
      <w:r w:rsidRPr="008C4F04">
        <w:rPr>
          <w:noProof w:val="0"/>
          <w:sz w:val="20"/>
        </w:rPr>
        <w:t xml:space="preserve"> subject to feasibility constraint</w:t>
      </w:r>
      <w:r>
        <w:rPr>
          <w:noProof w:val="0"/>
          <w:sz w:val="20"/>
        </w:rPr>
        <w:t>s,</w:t>
      </w:r>
      <w:r w:rsidRPr="008C4F04">
        <w:rPr>
          <w:noProof w:val="0"/>
          <w:sz w:val="20"/>
        </w:rPr>
        <w:t xml:space="preserve"> </w:t>
      </w:r>
      <w:r>
        <w:rPr>
          <w:noProof w:val="0"/>
          <w:sz w:val="20"/>
        </w:rPr>
        <w:t>shown in</w:t>
      </w:r>
      <w:r w:rsidR="007A2A91">
        <w:rPr>
          <w:noProof w:val="0"/>
          <w:sz w:val="20"/>
        </w:rPr>
        <w:t xml:space="preserve"> equations</w:t>
      </w:r>
      <w:r w:rsidRPr="008C4F04">
        <w:rPr>
          <w:noProof w:val="0"/>
          <w:sz w:val="20"/>
        </w:rPr>
        <w:t xml:space="preserve"> (1-</w:t>
      </w:r>
      <w:r w:rsidR="002E13F3">
        <w:rPr>
          <w:noProof w:val="0"/>
          <w:sz w:val="20"/>
        </w:rPr>
        <w:t>6</w:t>
      </w:r>
      <w:r w:rsidRPr="008C4F04">
        <w:rPr>
          <w:noProof w:val="0"/>
          <w:sz w:val="20"/>
        </w:rPr>
        <w:t>)</w:t>
      </w:r>
      <w:r w:rsidR="008323F0">
        <w:rPr>
          <w:noProof w:val="0"/>
          <w:sz w:val="20"/>
        </w:rPr>
        <w:t>.</w:t>
      </w:r>
      <w:r w:rsidR="006D4912">
        <w:rPr>
          <w:noProof w:val="0"/>
          <w:sz w:val="20"/>
        </w:rPr>
        <w:t xml:space="preserve"> </w:t>
      </w:r>
      <w:r w:rsidR="008323F0">
        <w:rPr>
          <w:noProof w:val="0"/>
          <w:sz w:val="20"/>
        </w:rPr>
        <w:t xml:space="preserve">OSMOSE </w:t>
      </w:r>
      <w:r w:rsidR="00F10FAF">
        <w:rPr>
          <w:noProof w:val="0"/>
          <w:sz w:val="20"/>
        </w:rPr>
        <w:t>uses</w:t>
      </w:r>
      <w:r w:rsidR="008323F0">
        <w:rPr>
          <w:noProof w:val="0"/>
          <w:sz w:val="20"/>
        </w:rPr>
        <w:t xml:space="preserve"> solvers supported by </w:t>
      </w:r>
      <w:proofErr w:type="spellStart"/>
      <w:r w:rsidR="008323F0">
        <w:rPr>
          <w:noProof w:val="0"/>
          <w:sz w:val="20"/>
        </w:rPr>
        <w:t>ampl</w:t>
      </w:r>
      <w:proofErr w:type="spellEnd"/>
      <w:r w:rsidR="008323F0">
        <w:rPr>
          <w:noProof w:val="0"/>
          <w:sz w:val="20"/>
        </w:rPr>
        <w:t>® such as CPLEX or CBC</w:t>
      </w:r>
      <w:r w:rsidR="00F10FAF">
        <w:rPr>
          <w:noProof w:val="0"/>
          <w:sz w:val="20"/>
        </w:rPr>
        <w:t xml:space="preserve">. </w:t>
      </w:r>
      <w:r w:rsidR="005A01F2">
        <w:rPr>
          <w:noProof w:val="0"/>
          <w:sz w:val="20"/>
        </w:rPr>
        <w:t>In this study, the s</w:t>
      </w:r>
      <w:r w:rsidR="00F10FAF">
        <w:rPr>
          <w:noProof w:val="0"/>
          <w:sz w:val="20"/>
        </w:rPr>
        <w:t>ize of the MILPs varie</w:t>
      </w:r>
      <w:r w:rsidR="006D4912">
        <w:rPr>
          <w:noProof w:val="0"/>
          <w:sz w:val="20"/>
        </w:rPr>
        <w:t>d</w:t>
      </w:r>
      <w:r w:rsidR="00F10FAF">
        <w:rPr>
          <w:noProof w:val="0"/>
          <w:sz w:val="20"/>
        </w:rPr>
        <w:t xml:space="preserve"> depending on </w:t>
      </w:r>
      <w:r w:rsidR="000F4A96">
        <w:rPr>
          <w:noProof w:val="0"/>
          <w:sz w:val="20"/>
        </w:rPr>
        <w:t xml:space="preserve">the </w:t>
      </w:r>
      <w:r w:rsidR="00F10FAF">
        <w:rPr>
          <w:noProof w:val="0"/>
          <w:sz w:val="20"/>
        </w:rPr>
        <w:t>system configuration from 15 to 35 thousand variables subject to 13 to 34 thousand constraints</w:t>
      </w:r>
      <w:r w:rsidRPr="008C4F04">
        <w:rPr>
          <w:noProof w:val="0"/>
          <w:sz w:val="20"/>
        </w:rPr>
        <w:t>.</w:t>
      </w:r>
      <w:r w:rsidR="007A2A91">
        <w:rPr>
          <w:noProof w:val="0"/>
          <w:sz w:val="20"/>
        </w:rPr>
        <w:t xml:space="preserve"> </w:t>
      </w:r>
    </w:p>
    <w:p w14:paraId="0E59C33B" w14:textId="506AF341" w:rsidR="00D6311E" w:rsidRPr="00D6311E" w:rsidRDefault="00AC5C72" w:rsidP="00D6311E">
      <w:pPr>
        <w:pStyle w:val="Didascalia"/>
        <w:jc w:val="right"/>
        <w:rPr>
          <w:color w:val="000000" w:themeColor="text1"/>
          <w:sz w:val="15"/>
          <w:szCs w:val="16"/>
        </w:rPr>
      </w:pPr>
      <m:oMath>
        <m:sSub>
          <m:sSubPr>
            <m:ctrlPr>
              <w:rPr>
                <w:rFonts w:ascii="Cambria Math" w:hAnsi="Cambria Math"/>
                <w:color w:val="000000" w:themeColor="text1"/>
                <w:sz w:val="16"/>
                <w:szCs w:val="16"/>
              </w:rPr>
            </m:ctrlPr>
          </m:sSubPr>
          <m:e>
            <m:r>
              <w:rPr>
                <w:rFonts w:ascii="Cambria Math" w:hAnsi="Cambria Math"/>
                <w:color w:val="000000" w:themeColor="text1"/>
                <w:sz w:val="16"/>
                <w:szCs w:val="16"/>
              </w:rPr>
              <m:t>min</m:t>
            </m:r>
            <m:r>
              <w:rPr>
                <w:rFonts w:ascii="Cambria Math" w:hAnsi="Cambria Math"/>
                <w:color w:val="000000" w:themeColor="text1"/>
                <w:sz w:val="16"/>
                <w:szCs w:val="16"/>
              </w:rPr>
              <m:t xml:space="preserve"> </m:t>
            </m:r>
            <m:r>
              <w:rPr>
                <w:rFonts w:ascii="Cambria Math" w:hAnsi="Cambria Math"/>
                <w:color w:val="000000" w:themeColor="text1"/>
                <w:sz w:val="16"/>
                <w:szCs w:val="16"/>
              </w:rPr>
              <m:t>Cost</m:t>
            </m:r>
          </m:e>
          <m:sub>
            <m:r>
              <w:rPr>
                <w:rFonts w:ascii="Cambria Math" w:hAnsi="Cambria Math"/>
                <w:color w:val="000000" w:themeColor="text1"/>
                <w:sz w:val="16"/>
                <w:szCs w:val="16"/>
              </w:rPr>
              <m:t>tot</m:t>
            </m:r>
          </m:sub>
        </m:sSub>
        <m:r>
          <w:rPr>
            <w:rFonts w:ascii="Cambria Math" w:hAnsi="Cambria Math"/>
            <w:color w:val="000000" w:themeColor="text1"/>
            <w:sz w:val="16"/>
            <w:szCs w:val="16"/>
          </w:rPr>
          <m:t xml:space="preserve">= </m:t>
        </m:r>
        <m:nary>
          <m:naryPr>
            <m:chr m:val="∑"/>
            <m:limLoc m:val="undOvr"/>
            <m:supHide m:val="1"/>
            <m:ctrlPr>
              <w:rPr>
                <w:rFonts w:ascii="Cambria Math" w:hAnsi="Cambria Math"/>
                <w:color w:val="000000" w:themeColor="text1"/>
                <w:sz w:val="16"/>
                <w:szCs w:val="16"/>
              </w:rPr>
            </m:ctrlPr>
          </m:naryPr>
          <m:sub>
            <m:r>
              <w:rPr>
                <w:rFonts w:ascii="Cambria Math" w:hAnsi="Cambria Math"/>
                <w:color w:val="000000" w:themeColor="text1"/>
                <w:sz w:val="16"/>
                <w:szCs w:val="16"/>
              </w:rPr>
              <m:t>u</m:t>
            </m:r>
            <m:r>
              <w:rPr>
                <w:rFonts w:ascii="Cambria Math" w:hAnsi="Cambria Math"/>
                <w:color w:val="000000" w:themeColor="text1"/>
                <w:sz w:val="16"/>
                <w:szCs w:val="16"/>
              </w:rPr>
              <m:t>∈</m:t>
            </m:r>
            <m:r>
              <w:rPr>
                <w:rFonts w:ascii="Cambria Math" w:hAnsi="Cambria Math"/>
                <w:color w:val="000000" w:themeColor="text1"/>
                <w:sz w:val="16"/>
                <w:szCs w:val="16"/>
              </w:rPr>
              <m:t>Units</m:t>
            </m:r>
          </m:sub>
          <m:sup/>
          <m:e>
            <m:d>
              <m:dPr>
                <m:begChr m:val="["/>
                <m:endChr m:val="]"/>
                <m:ctrlPr>
                  <w:rPr>
                    <w:rFonts w:ascii="Cambria Math" w:hAnsi="Cambria Math"/>
                    <w:color w:val="000000" w:themeColor="text1"/>
                    <w:sz w:val="16"/>
                    <w:szCs w:val="16"/>
                  </w:rPr>
                </m:ctrlPr>
              </m:dPr>
              <m:e>
                <m:nary>
                  <m:naryPr>
                    <m:chr m:val="∑"/>
                    <m:limLoc m:val="undOvr"/>
                    <m:supHide m:val="1"/>
                    <m:ctrlPr>
                      <w:rPr>
                        <w:rFonts w:ascii="Cambria Math" w:hAnsi="Cambria Math"/>
                        <w:color w:val="000000" w:themeColor="text1"/>
                        <w:sz w:val="16"/>
                        <w:szCs w:val="16"/>
                      </w:rPr>
                    </m:ctrlPr>
                  </m:naryPr>
                  <m:sub>
                    <m:r>
                      <w:rPr>
                        <w:rFonts w:ascii="Cambria Math" w:hAnsi="Cambria Math"/>
                        <w:color w:val="000000" w:themeColor="text1"/>
                        <w:sz w:val="16"/>
                        <w:szCs w:val="16"/>
                      </w:rPr>
                      <m:t>t</m:t>
                    </m:r>
                    <m:r>
                      <w:rPr>
                        <w:rFonts w:ascii="Cambria Math" w:hAnsi="Cambria Math"/>
                        <w:color w:val="000000" w:themeColor="text1"/>
                        <w:sz w:val="16"/>
                        <w:szCs w:val="16"/>
                      </w:rPr>
                      <m:t>∈</m:t>
                    </m:r>
                    <m:r>
                      <w:rPr>
                        <w:rFonts w:ascii="Cambria Math" w:hAnsi="Cambria Math"/>
                        <w:color w:val="000000" w:themeColor="text1"/>
                        <w:sz w:val="16"/>
                        <w:szCs w:val="16"/>
                      </w:rPr>
                      <m:t>Time</m:t>
                    </m:r>
                  </m:sub>
                  <m:sup/>
                  <m:e>
                    <m:d>
                      <m:dPr>
                        <m:ctrlPr>
                          <w:rPr>
                            <w:rFonts w:ascii="Cambria Math" w:hAnsi="Cambria Math"/>
                            <w:color w:val="000000" w:themeColor="text1"/>
                            <w:sz w:val="16"/>
                            <w:szCs w:val="16"/>
                          </w:rPr>
                        </m:ctrlPr>
                      </m:dPr>
                      <m:e>
                        <m:sSub>
                          <m:sSubPr>
                            <m:ctrlPr>
                              <w:rPr>
                                <w:rFonts w:ascii="Cambria Math" w:hAnsi="Cambria Math"/>
                                <w:color w:val="000000" w:themeColor="text1"/>
                                <w:sz w:val="16"/>
                                <w:szCs w:val="16"/>
                              </w:rPr>
                            </m:ctrlPr>
                          </m:sSubPr>
                          <m:e>
                            <m:r>
                              <w:rPr>
                                <w:rFonts w:ascii="Cambria Math" w:hAnsi="Cambria Math"/>
                                <w:color w:val="000000" w:themeColor="text1"/>
                                <w:sz w:val="16"/>
                                <w:szCs w:val="16"/>
                              </w:rPr>
                              <m:t>Cop</m:t>
                            </m:r>
                            <m:r>
                              <w:rPr>
                                <w:rFonts w:ascii="Cambria Math" w:hAnsi="Cambria Math"/>
                                <w:color w:val="000000" w:themeColor="text1"/>
                                <w:sz w:val="16"/>
                                <w:szCs w:val="16"/>
                              </w:rPr>
                              <m:t>1</m:t>
                            </m:r>
                          </m:e>
                          <m:sub>
                            <m:r>
                              <w:rPr>
                                <w:rFonts w:ascii="Cambria Math" w:hAnsi="Cambria Math"/>
                                <w:color w:val="000000" w:themeColor="text1"/>
                                <w:sz w:val="16"/>
                                <w:szCs w:val="16"/>
                              </w:rPr>
                              <m:t>u</m:t>
                            </m:r>
                          </m:sub>
                        </m:sSub>
                        <m:r>
                          <w:rPr>
                            <w:rFonts w:ascii="Cambria Math" w:hAnsi="Cambria Math"/>
                            <w:color w:val="000000" w:themeColor="text1"/>
                            <w:sz w:val="16"/>
                            <w:szCs w:val="16"/>
                          </w:rPr>
                          <m:t>∙</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Y</m:t>
                            </m:r>
                          </m:e>
                          <m:sub>
                            <m:r>
                              <w:rPr>
                                <w:rFonts w:ascii="Cambria Math" w:hAnsi="Cambria Math"/>
                                <w:color w:val="000000" w:themeColor="text1"/>
                                <w:sz w:val="16"/>
                                <w:szCs w:val="16"/>
                              </w:rPr>
                              <m:t>u</m:t>
                            </m:r>
                            <m:r>
                              <w:rPr>
                                <w:rFonts w:ascii="Cambria Math" w:hAnsi="Cambria Math"/>
                                <w:color w:val="000000" w:themeColor="text1"/>
                                <w:sz w:val="16"/>
                                <w:szCs w:val="16"/>
                              </w:rPr>
                              <m:t>,</m:t>
                            </m:r>
                            <m:r>
                              <w:rPr>
                                <w:rFonts w:ascii="Cambria Math" w:hAnsi="Cambria Math"/>
                                <w:color w:val="000000" w:themeColor="text1"/>
                                <w:sz w:val="16"/>
                                <w:szCs w:val="16"/>
                              </w:rPr>
                              <m:t>t</m:t>
                            </m:r>
                          </m:sub>
                        </m:sSub>
                        <m:r>
                          <w:rPr>
                            <w:rFonts w:ascii="Cambria Math" w:hAnsi="Cambria Math"/>
                            <w:color w:val="000000" w:themeColor="text1"/>
                            <w:sz w:val="16"/>
                            <w:szCs w:val="16"/>
                          </w:rPr>
                          <m:t xml:space="preserve">+ </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Cop</m:t>
                            </m:r>
                            <m:r>
                              <w:rPr>
                                <w:rFonts w:ascii="Cambria Math" w:hAnsi="Cambria Math"/>
                                <w:color w:val="000000" w:themeColor="text1"/>
                                <w:sz w:val="16"/>
                                <w:szCs w:val="16"/>
                              </w:rPr>
                              <m:t>2</m:t>
                            </m:r>
                          </m:e>
                          <m:sub>
                            <m:r>
                              <w:rPr>
                                <w:rFonts w:ascii="Cambria Math" w:hAnsi="Cambria Math"/>
                                <w:color w:val="000000" w:themeColor="text1"/>
                                <w:sz w:val="16"/>
                                <w:szCs w:val="16"/>
                              </w:rPr>
                              <m:t>u</m:t>
                            </m:r>
                          </m:sub>
                        </m:sSub>
                        <m:r>
                          <w:rPr>
                            <w:rFonts w:ascii="Cambria Math" w:hAnsi="Cambria Math"/>
                            <w:color w:val="000000" w:themeColor="text1"/>
                            <w:sz w:val="16"/>
                            <w:szCs w:val="16"/>
                          </w:rPr>
                          <m:t>∙</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M</m:t>
                            </m:r>
                          </m:e>
                          <m:sub>
                            <m:r>
                              <w:rPr>
                                <w:rFonts w:ascii="Cambria Math" w:hAnsi="Cambria Math"/>
                                <w:color w:val="000000" w:themeColor="text1"/>
                                <w:sz w:val="16"/>
                                <w:szCs w:val="16"/>
                              </w:rPr>
                              <m:t>u</m:t>
                            </m:r>
                            <m:r>
                              <w:rPr>
                                <w:rFonts w:ascii="Cambria Math" w:hAnsi="Cambria Math"/>
                                <w:color w:val="000000" w:themeColor="text1"/>
                                <w:sz w:val="16"/>
                                <w:szCs w:val="16"/>
                              </w:rPr>
                              <m:t>,</m:t>
                            </m:r>
                            <m:r>
                              <w:rPr>
                                <w:rFonts w:ascii="Cambria Math" w:hAnsi="Cambria Math"/>
                                <w:color w:val="000000" w:themeColor="text1"/>
                                <w:sz w:val="16"/>
                                <w:szCs w:val="16"/>
                              </w:rPr>
                              <m:t>t</m:t>
                            </m:r>
                          </m:sub>
                        </m:sSub>
                      </m:e>
                    </m:d>
                    <m:r>
                      <w:rPr>
                        <w:rFonts w:ascii="Cambria Math" w:hAnsi="Cambria Math"/>
                        <w:color w:val="000000" w:themeColor="text1"/>
                        <w:sz w:val="16"/>
                        <w:szCs w:val="16"/>
                      </w:rPr>
                      <m:t>∙∆</m:t>
                    </m:r>
                    <m:r>
                      <w:rPr>
                        <w:rFonts w:ascii="Cambria Math" w:hAnsi="Cambria Math"/>
                        <w:color w:val="000000" w:themeColor="text1"/>
                        <w:sz w:val="16"/>
                        <w:szCs w:val="16"/>
                      </w:rPr>
                      <m:t>t</m:t>
                    </m:r>
                    <m:r>
                      <w:rPr>
                        <w:rFonts w:ascii="Cambria Math" w:hAnsi="Cambria Math"/>
                        <w:color w:val="000000" w:themeColor="text1"/>
                        <w:sz w:val="16"/>
                        <w:szCs w:val="16"/>
                      </w:rPr>
                      <m:t xml:space="preserve">+ </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Cinv</m:t>
                        </m:r>
                        <m:r>
                          <w:rPr>
                            <w:rFonts w:ascii="Cambria Math" w:hAnsi="Cambria Math"/>
                            <w:color w:val="000000" w:themeColor="text1"/>
                            <w:sz w:val="16"/>
                            <w:szCs w:val="16"/>
                          </w:rPr>
                          <m:t>1</m:t>
                        </m:r>
                      </m:e>
                      <m:sub>
                        <m:r>
                          <w:rPr>
                            <w:rFonts w:ascii="Cambria Math" w:hAnsi="Cambria Math"/>
                            <w:color w:val="000000" w:themeColor="text1"/>
                            <w:sz w:val="16"/>
                            <w:szCs w:val="16"/>
                          </w:rPr>
                          <m:t>u</m:t>
                        </m:r>
                      </m:sub>
                    </m:sSub>
                    <m:r>
                      <w:rPr>
                        <w:rFonts w:ascii="Cambria Math" w:hAnsi="Cambria Math"/>
                        <w:color w:val="000000" w:themeColor="text1"/>
                        <w:sz w:val="16"/>
                        <w:szCs w:val="16"/>
                      </w:rPr>
                      <m:t>∙</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Y</m:t>
                        </m:r>
                      </m:e>
                      <m:sub>
                        <m:r>
                          <w:rPr>
                            <w:rFonts w:ascii="Cambria Math" w:hAnsi="Cambria Math"/>
                            <w:color w:val="000000" w:themeColor="text1"/>
                            <w:sz w:val="16"/>
                            <w:szCs w:val="16"/>
                          </w:rPr>
                          <m:t>u</m:t>
                        </m:r>
                      </m:sub>
                    </m:sSub>
                    <m:r>
                      <w:rPr>
                        <w:rFonts w:ascii="Cambria Math" w:hAnsi="Cambria Math"/>
                        <w:color w:val="000000" w:themeColor="text1"/>
                        <w:sz w:val="16"/>
                        <w:szCs w:val="16"/>
                      </w:rPr>
                      <m:t xml:space="preserve">+ </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Cinv</m:t>
                        </m:r>
                        <m:r>
                          <w:rPr>
                            <w:rFonts w:ascii="Cambria Math" w:hAnsi="Cambria Math"/>
                            <w:color w:val="000000" w:themeColor="text1"/>
                            <w:sz w:val="16"/>
                            <w:szCs w:val="16"/>
                          </w:rPr>
                          <m:t>2</m:t>
                        </m:r>
                      </m:e>
                      <m:sub>
                        <m:r>
                          <w:rPr>
                            <w:rFonts w:ascii="Cambria Math" w:hAnsi="Cambria Math"/>
                            <w:color w:val="000000" w:themeColor="text1"/>
                            <w:sz w:val="16"/>
                            <w:szCs w:val="16"/>
                          </w:rPr>
                          <m:t>u</m:t>
                        </m:r>
                      </m:sub>
                    </m:sSub>
                    <m:r>
                      <w:rPr>
                        <w:rFonts w:ascii="Cambria Math" w:hAnsi="Cambria Math"/>
                        <w:color w:val="000000" w:themeColor="text1"/>
                        <w:sz w:val="16"/>
                        <w:szCs w:val="16"/>
                      </w:rPr>
                      <m:t>∙</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M</m:t>
                        </m:r>
                      </m:e>
                      <m:sub>
                        <m:r>
                          <w:rPr>
                            <w:rFonts w:ascii="Cambria Math" w:hAnsi="Cambria Math"/>
                            <w:color w:val="000000" w:themeColor="text1"/>
                            <w:sz w:val="16"/>
                            <w:szCs w:val="16"/>
                          </w:rPr>
                          <m:t>u</m:t>
                        </m:r>
                      </m:sub>
                    </m:sSub>
                    <m:r>
                      <w:rPr>
                        <w:rFonts w:ascii="Cambria Math" w:hAnsi="Cambria Math"/>
                        <w:color w:val="000000" w:themeColor="text1"/>
                        <w:sz w:val="16"/>
                        <w:szCs w:val="16"/>
                      </w:rPr>
                      <m:t xml:space="preserve"> </m:t>
                    </m:r>
                  </m:e>
                </m:nary>
              </m:e>
            </m:d>
          </m:e>
        </m:nary>
        <m:r>
          <w:rPr>
            <w:rFonts w:ascii="Cambria Math" w:hAnsi="Cambria Math"/>
            <w:color w:val="000000" w:themeColor="text1"/>
            <w:sz w:val="16"/>
            <w:szCs w:val="16"/>
          </w:rPr>
          <m:t xml:space="preserve">           </m:t>
        </m:r>
      </m:oMath>
      <w:r w:rsidR="00D6311E" w:rsidRPr="00D6311E">
        <w:rPr>
          <w:color w:val="000000" w:themeColor="text1"/>
          <w:sz w:val="15"/>
          <w:szCs w:val="16"/>
        </w:rPr>
        <w:t>(</w:t>
      </w:r>
      <w:r w:rsidR="00D6311E" w:rsidRPr="00D6311E">
        <w:rPr>
          <w:color w:val="000000" w:themeColor="text1"/>
          <w:sz w:val="15"/>
          <w:szCs w:val="16"/>
        </w:rPr>
        <w:fldChar w:fldCharType="begin"/>
      </w:r>
      <w:r w:rsidR="00D6311E" w:rsidRPr="00D6311E">
        <w:rPr>
          <w:color w:val="000000" w:themeColor="text1"/>
          <w:sz w:val="15"/>
          <w:szCs w:val="16"/>
        </w:rPr>
        <w:instrText xml:space="preserve"> SEQ Eq_ \* ARABIC </w:instrText>
      </w:r>
      <w:r w:rsidR="00D6311E" w:rsidRPr="00D6311E">
        <w:rPr>
          <w:color w:val="000000" w:themeColor="text1"/>
          <w:sz w:val="15"/>
          <w:szCs w:val="16"/>
        </w:rPr>
        <w:fldChar w:fldCharType="separate"/>
      </w:r>
      <w:r w:rsidR="004C22FE">
        <w:rPr>
          <w:noProof/>
          <w:color w:val="000000" w:themeColor="text1"/>
          <w:sz w:val="15"/>
          <w:szCs w:val="16"/>
        </w:rPr>
        <w:t>1</w:t>
      </w:r>
      <w:r w:rsidR="00D6311E" w:rsidRPr="00D6311E">
        <w:rPr>
          <w:color w:val="000000" w:themeColor="text1"/>
          <w:sz w:val="15"/>
          <w:szCs w:val="16"/>
        </w:rPr>
        <w:fldChar w:fldCharType="end"/>
      </w:r>
      <w:r w:rsidR="00D6311E" w:rsidRPr="00D6311E">
        <w:rPr>
          <w:color w:val="000000" w:themeColor="text1"/>
          <w:sz w:val="15"/>
          <w:szCs w:val="16"/>
        </w:rPr>
        <w:t>)</w:t>
      </w:r>
    </w:p>
    <w:p w14:paraId="53008326" w14:textId="1226F34B" w:rsidR="00D6311E" w:rsidRDefault="00AC5C72" w:rsidP="00D6311E">
      <w:pPr>
        <w:pStyle w:val="Didascalia"/>
        <w:jc w:val="right"/>
        <w:rPr>
          <w:color w:val="000000" w:themeColor="text1"/>
          <w:sz w:val="16"/>
          <w:szCs w:val="16"/>
        </w:rPr>
      </w:pPr>
      <m:oMath>
        <m:nary>
          <m:naryPr>
            <m:chr m:val="∑"/>
            <m:limLoc m:val="undOvr"/>
            <m:ctrlPr>
              <w:rPr>
                <w:rFonts w:ascii="Cambria Math" w:hAnsi="Cambria Math"/>
                <w:color w:val="000000" w:themeColor="text1"/>
                <w:sz w:val="16"/>
                <w:szCs w:val="16"/>
              </w:rPr>
            </m:ctrlPr>
          </m:naryPr>
          <m:sub>
            <m:r>
              <w:rPr>
                <w:rFonts w:ascii="Cambria Math" w:hAnsi="Cambria Math"/>
                <w:color w:val="000000" w:themeColor="text1"/>
                <w:sz w:val="16"/>
                <w:szCs w:val="16"/>
              </w:rPr>
              <m:t>w</m:t>
            </m:r>
            <m:r>
              <w:rPr>
                <w:rFonts w:ascii="Cambria Math" w:hAnsi="Cambria Math"/>
                <w:color w:val="000000" w:themeColor="text1"/>
                <w:sz w:val="16"/>
                <w:szCs w:val="16"/>
              </w:rPr>
              <m:t>=1</m:t>
            </m:r>
          </m:sub>
          <m:sup>
            <m:sSub>
              <m:sSubPr>
                <m:ctrlPr>
                  <w:rPr>
                    <w:rFonts w:ascii="Cambria Math" w:hAnsi="Cambria Math"/>
                    <w:color w:val="000000" w:themeColor="text1"/>
                    <w:sz w:val="16"/>
                    <w:szCs w:val="16"/>
                  </w:rPr>
                </m:ctrlPr>
              </m:sSubPr>
              <m:e>
                <m:r>
                  <w:rPr>
                    <w:rFonts w:ascii="Cambria Math" w:hAnsi="Cambria Math"/>
                    <w:color w:val="000000" w:themeColor="text1"/>
                    <w:sz w:val="16"/>
                    <w:szCs w:val="16"/>
                  </w:rPr>
                  <m:t>N</m:t>
                </m:r>
              </m:e>
              <m:sub>
                <m:r>
                  <w:rPr>
                    <w:rFonts w:ascii="Cambria Math" w:hAnsi="Cambria Math"/>
                    <w:color w:val="000000" w:themeColor="text1"/>
                    <w:sz w:val="16"/>
                    <w:szCs w:val="16"/>
                  </w:rPr>
                  <m:t>w</m:t>
                </m:r>
              </m:sub>
            </m:sSub>
          </m:sup>
          <m:e>
            <m:sSub>
              <m:sSubPr>
                <m:ctrlPr>
                  <w:rPr>
                    <w:rFonts w:ascii="Cambria Math" w:hAnsi="Cambria Math"/>
                    <w:color w:val="000000" w:themeColor="text1"/>
                    <w:sz w:val="16"/>
                    <w:szCs w:val="16"/>
                  </w:rPr>
                </m:ctrlPr>
              </m:sSubPr>
              <m:e>
                <m:r>
                  <w:rPr>
                    <w:rFonts w:ascii="Cambria Math" w:hAnsi="Cambria Math"/>
                    <w:color w:val="000000" w:themeColor="text1"/>
                    <w:sz w:val="16"/>
                    <w:szCs w:val="16"/>
                  </w:rPr>
                  <m:t>M</m:t>
                </m:r>
              </m:e>
              <m:sub>
                <m:r>
                  <w:rPr>
                    <w:rFonts w:ascii="Cambria Math" w:hAnsi="Cambria Math"/>
                    <w:color w:val="000000" w:themeColor="text1"/>
                    <w:sz w:val="16"/>
                    <w:szCs w:val="16"/>
                  </w:rPr>
                  <m:t>w</m:t>
                </m:r>
              </m:sub>
            </m:sSub>
            <m:r>
              <w:rPr>
                <w:rFonts w:ascii="Cambria Math" w:hAnsi="Cambria Math"/>
                <w:color w:val="000000" w:themeColor="text1"/>
                <w:sz w:val="16"/>
                <w:szCs w:val="16"/>
              </w:rPr>
              <m:t>∙</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q</m:t>
                </m:r>
              </m:e>
              <m:sub>
                <m:r>
                  <w:rPr>
                    <w:rFonts w:ascii="Cambria Math" w:hAnsi="Cambria Math"/>
                    <w:color w:val="000000" w:themeColor="text1"/>
                    <w:sz w:val="16"/>
                    <w:szCs w:val="16"/>
                  </w:rPr>
                  <m:t>w</m:t>
                </m:r>
                <m:r>
                  <w:rPr>
                    <w:rFonts w:ascii="Cambria Math" w:hAnsi="Cambria Math"/>
                    <w:color w:val="000000" w:themeColor="text1"/>
                    <w:sz w:val="16"/>
                    <w:szCs w:val="16"/>
                  </w:rPr>
                  <m:t>,</m:t>
                </m:r>
                <m:r>
                  <w:rPr>
                    <w:rFonts w:ascii="Cambria Math" w:hAnsi="Cambria Math"/>
                    <w:color w:val="000000" w:themeColor="text1"/>
                    <w:sz w:val="16"/>
                    <w:szCs w:val="16"/>
                  </w:rPr>
                  <m:t>r</m:t>
                </m:r>
              </m:sub>
            </m:sSub>
          </m:e>
        </m:nary>
        <m:r>
          <w:rPr>
            <w:rFonts w:ascii="Cambria Math" w:hAnsi="Cambria Math"/>
            <w:color w:val="000000" w:themeColor="text1"/>
            <w:sz w:val="16"/>
            <w:szCs w:val="16"/>
          </w:rPr>
          <m:t xml:space="preserve">+ </m:t>
        </m:r>
        <m:nary>
          <m:naryPr>
            <m:chr m:val="∑"/>
            <m:limLoc m:val="undOvr"/>
            <m:ctrlPr>
              <w:rPr>
                <w:rFonts w:ascii="Cambria Math" w:hAnsi="Cambria Math"/>
                <w:color w:val="000000" w:themeColor="text1"/>
                <w:sz w:val="16"/>
                <w:szCs w:val="16"/>
              </w:rPr>
            </m:ctrlPr>
          </m:naryPr>
          <m:sub>
            <m:r>
              <w:rPr>
                <w:rFonts w:ascii="Cambria Math" w:hAnsi="Cambria Math"/>
                <w:color w:val="000000" w:themeColor="text1"/>
                <w:sz w:val="16"/>
                <w:szCs w:val="16"/>
              </w:rPr>
              <m:t>i</m:t>
            </m:r>
            <m:r>
              <w:rPr>
                <w:rFonts w:ascii="Cambria Math" w:hAnsi="Cambria Math"/>
                <w:color w:val="000000" w:themeColor="text1"/>
                <w:sz w:val="16"/>
                <w:szCs w:val="16"/>
              </w:rPr>
              <m:t>=1</m:t>
            </m:r>
          </m:sub>
          <m:sup>
            <m:r>
              <w:rPr>
                <w:rFonts w:ascii="Cambria Math" w:hAnsi="Cambria Math"/>
                <w:color w:val="000000" w:themeColor="text1"/>
                <w:sz w:val="16"/>
                <w:szCs w:val="16"/>
              </w:rPr>
              <m:t>N</m:t>
            </m:r>
          </m:sup>
          <m:e>
            <m:sSub>
              <m:sSubPr>
                <m:ctrlPr>
                  <w:rPr>
                    <w:rFonts w:ascii="Cambria Math" w:hAnsi="Cambria Math"/>
                    <w:color w:val="000000" w:themeColor="text1"/>
                    <w:sz w:val="16"/>
                    <w:szCs w:val="16"/>
                  </w:rPr>
                </m:ctrlPr>
              </m:sSubPr>
              <m:e>
                <m:r>
                  <w:rPr>
                    <w:rFonts w:ascii="Cambria Math" w:hAnsi="Cambria Math"/>
                    <w:color w:val="000000" w:themeColor="text1"/>
                    <w:sz w:val="16"/>
                    <w:szCs w:val="16"/>
                  </w:rPr>
                  <m:t>Q</m:t>
                </m:r>
              </m:e>
              <m:sub>
                <m:r>
                  <w:rPr>
                    <w:rFonts w:ascii="Cambria Math" w:hAnsi="Cambria Math"/>
                    <w:color w:val="000000" w:themeColor="text1"/>
                    <w:sz w:val="16"/>
                    <w:szCs w:val="16"/>
                  </w:rPr>
                  <m:t>i</m:t>
                </m:r>
                <m:r>
                  <w:rPr>
                    <w:rFonts w:ascii="Cambria Math" w:hAnsi="Cambria Math"/>
                    <w:color w:val="000000" w:themeColor="text1"/>
                    <w:sz w:val="16"/>
                    <w:szCs w:val="16"/>
                  </w:rPr>
                  <m:t>,</m:t>
                </m:r>
                <m:r>
                  <w:rPr>
                    <w:rFonts w:ascii="Cambria Math" w:hAnsi="Cambria Math"/>
                    <w:color w:val="000000" w:themeColor="text1"/>
                    <w:sz w:val="16"/>
                    <w:szCs w:val="16"/>
                  </w:rPr>
                  <m:t>r</m:t>
                </m:r>
              </m:sub>
            </m:sSub>
          </m:e>
        </m:nary>
        <m:r>
          <w:rPr>
            <w:rFonts w:ascii="Cambria Math" w:hAnsi="Cambria Math"/>
            <w:color w:val="000000" w:themeColor="text1"/>
            <w:sz w:val="16"/>
            <w:szCs w:val="16"/>
          </w:rPr>
          <m:t xml:space="preserve">+ </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R</m:t>
            </m:r>
          </m:e>
          <m:sub>
            <m:r>
              <w:rPr>
                <w:rFonts w:ascii="Cambria Math" w:hAnsi="Cambria Math"/>
                <w:color w:val="000000" w:themeColor="text1"/>
                <w:sz w:val="16"/>
                <w:szCs w:val="16"/>
              </w:rPr>
              <m:t>r</m:t>
            </m:r>
            <m:r>
              <w:rPr>
                <w:rFonts w:ascii="Cambria Math" w:hAnsi="Cambria Math"/>
                <w:color w:val="000000" w:themeColor="text1"/>
                <w:sz w:val="16"/>
                <w:szCs w:val="16"/>
              </w:rPr>
              <m:t>+1</m:t>
            </m:r>
          </m:sub>
        </m:sSub>
        <m:r>
          <w:rPr>
            <w:rFonts w:ascii="Cambria Math" w:hAnsi="Cambria Math"/>
            <w:color w:val="000000" w:themeColor="text1"/>
            <w:sz w:val="16"/>
            <w:szCs w:val="16"/>
          </w:rPr>
          <m:t xml:space="preserve">- </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R</m:t>
            </m:r>
          </m:e>
          <m:sub>
            <m:r>
              <w:rPr>
                <w:rFonts w:ascii="Cambria Math" w:hAnsi="Cambria Math"/>
                <w:color w:val="000000" w:themeColor="text1"/>
                <w:sz w:val="16"/>
                <w:szCs w:val="16"/>
              </w:rPr>
              <m:t>r</m:t>
            </m:r>
          </m:sub>
        </m:sSub>
        <m:r>
          <w:rPr>
            <w:rFonts w:ascii="Cambria Math" w:hAnsi="Cambria Math"/>
            <w:color w:val="000000" w:themeColor="text1"/>
            <w:sz w:val="16"/>
            <w:szCs w:val="16"/>
          </w:rPr>
          <m:t xml:space="preserve">=0      ; ∀ </m:t>
        </m:r>
        <m:r>
          <w:rPr>
            <w:rFonts w:ascii="Cambria Math" w:hAnsi="Cambria Math"/>
            <w:color w:val="000000" w:themeColor="text1"/>
            <w:sz w:val="16"/>
            <w:szCs w:val="16"/>
          </w:rPr>
          <m:t>r</m:t>
        </m:r>
        <m:r>
          <w:rPr>
            <w:rFonts w:ascii="Cambria Math" w:hAnsi="Cambria Math"/>
            <w:color w:val="000000" w:themeColor="text1"/>
            <w:sz w:val="16"/>
            <w:szCs w:val="16"/>
          </w:rPr>
          <m:t>=1…..</m:t>
        </m:r>
        <m:r>
          <w:rPr>
            <w:rFonts w:ascii="Cambria Math" w:hAnsi="Cambria Math"/>
            <w:color w:val="000000" w:themeColor="text1"/>
            <w:sz w:val="16"/>
            <w:szCs w:val="16"/>
          </w:rPr>
          <m:t>N</m:t>
        </m:r>
        <m:r>
          <w:rPr>
            <w:rFonts w:ascii="Cambria Math" w:hAnsi="Cambria Math"/>
            <w:color w:val="000000" w:themeColor="text1"/>
            <w:sz w:val="16"/>
            <w:szCs w:val="16"/>
          </w:rPr>
          <m:t xml:space="preserve">     </m:t>
        </m:r>
        <m:r>
          <w:rPr>
            <w:rFonts w:ascii="Cambria Math" w:hAnsi="Cambria Math"/>
            <w:sz w:val="15"/>
            <w:szCs w:val="16"/>
          </w:rPr>
          <m:t xml:space="preserve">                                                           </m:t>
        </m:r>
      </m:oMath>
      <w:r w:rsidR="00D6311E" w:rsidRPr="00D6311E">
        <w:rPr>
          <w:sz w:val="15"/>
          <w:szCs w:val="16"/>
        </w:rPr>
        <w:t xml:space="preserve"> </w:t>
      </w:r>
      <w:r w:rsidR="00D6311E" w:rsidRPr="00D6311E">
        <w:rPr>
          <w:color w:val="000000" w:themeColor="text1"/>
          <w:sz w:val="16"/>
          <w:szCs w:val="16"/>
        </w:rPr>
        <w:t>(</w:t>
      </w:r>
      <w:r w:rsidR="00D6311E">
        <w:rPr>
          <w:color w:val="000000" w:themeColor="text1"/>
          <w:sz w:val="16"/>
          <w:szCs w:val="16"/>
        </w:rPr>
        <w:t>2</w:t>
      </w:r>
      <w:r w:rsidR="00D6311E" w:rsidRPr="00D6311E">
        <w:rPr>
          <w:color w:val="000000" w:themeColor="text1"/>
          <w:sz w:val="16"/>
          <w:szCs w:val="16"/>
        </w:rPr>
        <w:t>)</w:t>
      </w:r>
    </w:p>
    <w:p w14:paraId="44311669" w14:textId="4E2C5953" w:rsidR="00D6311E" w:rsidRPr="00D6311E" w:rsidRDefault="00AC5C72" w:rsidP="00D6311E">
      <w:pPr>
        <w:pStyle w:val="Didascalia"/>
        <w:jc w:val="right"/>
        <w:rPr>
          <w:color w:val="000000" w:themeColor="text1"/>
          <w:sz w:val="16"/>
          <w:szCs w:val="16"/>
        </w:rPr>
      </w:pPr>
      <m:oMath>
        <m:nary>
          <m:naryPr>
            <m:chr m:val="∑"/>
            <m:limLoc m:val="undOvr"/>
            <m:ctrlPr>
              <w:rPr>
                <w:rFonts w:ascii="Cambria Math" w:hAnsi="Cambria Math"/>
                <w:color w:val="000000" w:themeColor="text1"/>
                <w:sz w:val="16"/>
                <w:szCs w:val="16"/>
              </w:rPr>
            </m:ctrlPr>
          </m:naryPr>
          <m:sub>
            <m:r>
              <w:rPr>
                <w:rFonts w:ascii="Cambria Math" w:hAnsi="Cambria Math"/>
                <w:color w:val="000000" w:themeColor="text1"/>
                <w:sz w:val="16"/>
                <w:szCs w:val="16"/>
              </w:rPr>
              <m:t>w</m:t>
            </m:r>
            <m:r>
              <w:rPr>
                <w:rFonts w:ascii="Cambria Math" w:hAnsi="Cambria Math"/>
                <w:color w:val="000000" w:themeColor="text1"/>
                <w:sz w:val="16"/>
                <w:szCs w:val="16"/>
              </w:rPr>
              <m:t>=1</m:t>
            </m:r>
          </m:sub>
          <m:sup>
            <m:sSub>
              <m:sSubPr>
                <m:ctrlPr>
                  <w:rPr>
                    <w:rFonts w:ascii="Cambria Math" w:hAnsi="Cambria Math"/>
                    <w:color w:val="000000" w:themeColor="text1"/>
                    <w:sz w:val="16"/>
                    <w:szCs w:val="16"/>
                  </w:rPr>
                </m:ctrlPr>
              </m:sSubPr>
              <m:e>
                <m:r>
                  <w:rPr>
                    <w:rFonts w:ascii="Cambria Math" w:hAnsi="Cambria Math"/>
                    <w:color w:val="000000" w:themeColor="text1"/>
                    <w:sz w:val="16"/>
                    <w:szCs w:val="16"/>
                  </w:rPr>
                  <m:t>N</m:t>
                </m:r>
              </m:e>
              <m:sub>
                <m:r>
                  <w:rPr>
                    <w:rFonts w:ascii="Cambria Math" w:hAnsi="Cambria Math"/>
                    <w:color w:val="000000" w:themeColor="text1"/>
                    <w:sz w:val="16"/>
                    <w:szCs w:val="16"/>
                  </w:rPr>
                  <m:t>w</m:t>
                </m:r>
              </m:sub>
            </m:sSub>
          </m:sup>
          <m:e>
            <m:sSub>
              <m:sSubPr>
                <m:ctrlPr>
                  <w:rPr>
                    <w:rFonts w:ascii="Cambria Math" w:hAnsi="Cambria Math"/>
                    <w:color w:val="000000" w:themeColor="text1"/>
                    <w:sz w:val="16"/>
                    <w:szCs w:val="16"/>
                  </w:rPr>
                </m:ctrlPr>
              </m:sSubPr>
              <m:e>
                <m:r>
                  <w:rPr>
                    <w:rFonts w:ascii="Cambria Math" w:hAnsi="Cambria Math"/>
                    <w:color w:val="000000" w:themeColor="text1"/>
                    <w:sz w:val="16"/>
                    <w:szCs w:val="16"/>
                  </w:rPr>
                  <m:t>M</m:t>
                </m:r>
              </m:e>
              <m:sub>
                <m:r>
                  <w:rPr>
                    <w:rFonts w:ascii="Cambria Math" w:hAnsi="Cambria Math"/>
                    <w:color w:val="000000" w:themeColor="text1"/>
                    <w:sz w:val="16"/>
                    <w:szCs w:val="16"/>
                  </w:rPr>
                  <m:t>w</m:t>
                </m:r>
              </m:sub>
            </m:sSub>
            <m:r>
              <w:rPr>
                <w:rFonts w:ascii="Cambria Math" w:hAnsi="Cambria Math"/>
                <w:color w:val="000000" w:themeColor="text1"/>
                <w:sz w:val="16"/>
                <w:szCs w:val="16"/>
              </w:rPr>
              <m:t>∙</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W</m:t>
                </m:r>
              </m:e>
              <m:sub>
                <m:r>
                  <w:rPr>
                    <w:rFonts w:ascii="Cambria Math" w:hAnsi="Cambria Math"/>
                    <w:color w:val="000000" w:themeColor="text1"/>
                    <w:sz w:val="16"/>
                    <w:szCs w:val="16"/>
                  </w:rPr>
                  <m:t>w</m:t>
                </m:r>
              </m:sub>
            </m:sSub>
          </m:e>
        </m:nary>
        <m:r>
          <w:rPr>
            <w:rFonts w:ascii="Cambria Math" w:hAnsi="Cambria Math"/>
            <w:color w:val="000000" w:themeColor="text1"/>
            <w:sz w:val="16"/>
            <w:szCs w:val="16"/>
          </w:rPr>
          <m:t xml:space="preserve">+ </m:t>
        </m:r>
        <m:nary>
          <m:naryPr>
            <m:chr m:val="∑"/>
            <m:limLoc m:val="undOvr"/>
            <m:supHide m:val="1"/>
            <m:ctrlPr>
              <w:rPr>
                <w:rFonts w:ascii="Cambria Math" w:hAnsi="Cambria Math"/>
                <w:color w:val="000000" w:themeColor="text1"/>
                <w:sz w:val="16"/>
                <w:szCs w:val="16"/>
              </w:rPr>
            </m:ctrlPr>
          </m:naryPr>
          <m:sub>
            <m:r>
              <w:rPr>
                <w:rFonts w:ascii="Cambria Math" w:hAnsi="Cambria Math"/>
                <w:color w:val="000000" w:themeColor="text1"/>
                <w:sz w:val="16"/>
                <w:szCs w:val="16"/>
              </w:rPr>
              <m:t>u</m:t>
            </m:r>
            <m:r>
              <w:rPr>
                <w:rFonts w:ascii="Cambria Math" w:hAnsi="Cambria Math"/>
                <w:color w:val="000000" w:themeColor="text1"/>
                <w:sz w:val="16"/>
                <w:szCs w:val="16"/>
              </w:rPr>
              <m:t>∈</m:t>
            </m:r>
            <m:r>
              <w:rPr>
                <w:rFonts w:ascii="Cambria Math" w:hAnsi="Cambria Math"/>
                <w:color w:val="000000" w:themeColor="text1"/>
                <w:sz w:val="16"/>
                <w:szCs w:val="16"/>
              </w:rPr>
              <m:t>Units</m:t>
            </m:r>
          </m:sub>
          <m:sup/>
          <m:e>
            <m:sSub>
              <m:sSubPr>
                <m:ctrlPr>
                  <w:rPr>
                    <w:rFonts w:ascii="Cambria Math" w:hAnsi="Cambria Math"/>
                    <w:color w:val="000000" w:themeColor="text1"/>
                    <w:sz w:val="16"/>
                    <w:szCs w:val="16"/>
                  </w:rPr>
                </m:ctrlPr>
              </m:sSubPr>
              <m:e>
                <m:r>
                  <w:rPr>
                    <w:rFonts w:ascii="Cambria Math" w:hAnsi="Cambria Math"/>
                    <w:color w:val="000000" w:themeColor="text1"/>
                    <w:sz w:val="16"/>
                    <w:szCs w:val="16"/>
                  </w:rPr>
                  <m:t>W</m:t>
                </m:r>
              </m:e>
              <m:sub>
                <m:r>
                  <w:rPr>
                    <w:rFonts w:ascii="Cambria Math" w:hAnsi="Cambria Math"/>
                    <w:color w:val="000000" w:themeColor="text1"/>
                    <w:sz w:val="16"/>
                    <w:szCs w:val="16"/>
                  </w:rPr>
                  <m:t>net</m:t>
                </m:r>
              </m:sub>
            </m:sSub>
          </m:e>
        </m:nary>
        <m:r>
          <w:rPr>
            <w:rFonts w:ascii="Cambria Math" w:hAnsi="Cambria Math"/>
            <w:color w:val="000000" w:themeColor="text1"/>
            <w:sz w:val="16"/>
            <w:szCs w:val="16"/>
          </w:rPr>
          <m:t xml:space="preserve">+ </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W</m:t>
            </m:r>
          </m:e>
          <m:sub>
            <m:r>
              <w:rPr>
                <w:rFonts w:ascii="Cambria Math" w:hAnsi="Cambria Math"/>
                <w:color w:val="000000" w:themeColor="text1"/>
                <w:sz w:val="16"/>
                <w:szCs w:val="16"/>
              </w:rPr>
              <m:t>imp</m:t>
            </m:r>
          </m:sub>
        </m:sSub>
        <m:r>
          <w:rPr>
            <w:rFonts w:ascii="Cambria Math" w:hAnsi="Cambria Math"/>
            <w:color w:val="000000" w:themeColor="text1"/>
            <w:sz w:val="16"/>
            <w:szCs w:val="16"/>
          </w:rPr>
          <m:t xml:space="preserve">- </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W</m:t>
            </m:r>
          </m:e>
          <m:sub>
            <m:r>
              <w:rPr>
                <w:rFonts w:ascii="Cambria Math" w:hAnsi="Cambria Math"/>
                <w:color w:val="000000" w:themeColor="text1"/>
                <w:sz w:val="16"/>
                <w:szCs w:val="16"/>
              </w:rPr>
              <m:t>exp</m:t>
            </m:r>
          </m:sub>
        </m:sSub>
        <m:r>
          <w:rPr>
            <w:rFonts w:ascii="Cambria Math" w:hAnsi="Cambria Math"/>
            <w:color w:val="000000" w:themeColor="text1"/>
            <w:sz w:val="16"/>
            <w:szCs w:val="16"/>
          </w:rPr>
          <m:t xml:space="preserve">=0                                                                                  </m:t>
        </m:r>
      </m:oMath>
      <w:r w:rsidR="00D6311E" w:rsidRPr="00D6311E">
        <w:rPr>
          <w:sz w:val="15"/>
          <w:szCs w:val="16"/>
        </w:rPr>
        <w:t xml:space="preserve"> </w:t>
      </w:r>
      <w:r w:rsidR="00D6311E" w:rsidRPr="00D6311E">
        <w:rPr>
          <w:color w:val="000000" w:themeColor="text1"/>
          <w:sz w:val="16"/>
          <w:szCs w:val="16"/>
        </w:rPr>
        <w:t>(</w:t>
      </w:r>
      <w:r w:rsidR="00D6311E">
        <w:rPr>
          <w:color w:val="000000" w:themeColor="text1"/>
          <w:sz w:val="16"/>
          <w:szCs w:val="16"/>
        </w:rPr>
        <w:t>3</w:t>
      </w:r>
      <w:r w:rsidR="00D6311E" w:rsidRPr="00D6311E">
        <w:rPr>
          <w:color w:val="000000" w:themeColor="text1"/>
          <w:sz w:val="16"/>
          <w:szCs w:val="16"/>
        </w:rPr>
        <w:t>)</w:t>
      </w:r>
    </w:p>
    <w:p w14:paraId="2AC6CD68" w14:textId="74DF9BAA" w:rsidR="00D6311E" w:rsidRDefault="00AC5C72" w:rsidP="00D6311E">
      <w:pPr>
        <w:pStyle w:val="Didascalia"/>
        <w:jc w:val="right"/>
        <w:rPr>
          <w:rFonts w:cs="Arial"/>
          <w:color w:val="000000" w:themeColor="text1"/>
          <w:sz w:val="16"/>
        </w:rPr>
      </w:pPr>
      <m:oMath>
        <m:sSub>
          <m:sSubPr>
            <m:ctrlPr>
              <w:rPr>
                <w:rFonts w:ascii="Cambria Math" w:hAnsi="Cambria Math"/>
                <w:color w:val="000000" w:themeColor="text1"/>
                <w:sz w:val="16"/>
              </w:rPr>
            </m:ctrlPr>
          </m:sSubPr>
          <m:e>
            <m:r>
              <w:rPr>
                <w:rFonts w:ascii="Cambria Math" w:hAnsi="Cambria Math"/>
                <w:color w:val="000000" w:themeColor="text1"/>
                <w:sz w:val="16"/>
              </w:rPr>
              <m:t>Y</m:t>
            </m:r>
          </m:e>
          <m:sub>
            <m:r>
              <w:rPr>
                <w:rFonts w:ascii="Cambria Math" w:hAnsi="Cambria Math"/>
                <w:color w:val="000000" w:themeColor="text1"/>
                <w:sz w:val="16"/>
              </w:rPr>
              <m:t>u</m:t>
            </m:r>
            <m:r>
              <w:rPr>
                <w:rFonts w:ascii="Cambria Math" w:hAnsi="Cambria Math"/>
                <w:color w:val="000000" w:themeColor="text1"/>
                <w:sz w:val="16"/>
              </w:rPr>
              <m:t>,</m:t>
            </m:r>
            <m:r>
              <w:rPr>
                <w:rFonts w:ascii="Cambria Math" w:hAnsi="Cambria Math"/>
                <w:color w:val="000000" w:themeColor="text1"/>
                <w:sz w:val="16"/>
              </w:rPr>
              <m:t>t</m:t>
            </m:r>
          </m:sub>
        </m:sSub>
        <m:r>
          <w:rPr>
            <w:rFonts w:ascii="Cambria Math" w:hAnsi="Cambria Math"/>
            <w:color w:val="000000" w:themeColor="text1"/>
            <w:sz w:val="16"/>
          </w:rPr>
          <m:t>∙</m:t>
        </m:r>
        <m:sSub>
          <m:sSubPr>
            <m:ctrlPr>
              <w:rPr>
                <w:rFonts w:ascii="Cambria Math" w:hAnsi="Cambria Math"/>
                <w:color w:val="000000" w:themeColor="text1"/>
                <w:sz w:val="16"/>
              </w:rPr>
            </m:ctrlPr>
          </m:sSubPr>
          <m:e>
            <m:r>
              <w:rPr>
                <w:rFonts w:ascii="Cambria Math" w:hAnsi="Cambria Math"/>
                <w:color w:val="000000" w:themeColor="text1"/>
                <w:sz w:val="16"/>
              </w:rPr>
              <m:t>Fmin</m:t>
            </m:r>
          </m:e>
          <m:sub>
            <m:r>
              <w:rPr>
                <w:rFonts w:ascii="Cambria Math" w:hAnsi="Cambria Math"/>
                <w:color w:val="000000" w:themeColor="text1"/>
                <w:sz w:val="16"/>
              </w:rPr>
              <m:t>u</m:t>
            </m:r>
          </m:sub>
        </m:sSub>
        <m:r>
          <w:rPr>
            <w:rFonts w:ascii="Cambria Math" w:hAnsi="Cambria Math"/>
            <w:color w:val="000000" w:themeColor="text1"/>
            <w:sz w:val="16"/>
          </w:rPr>
          <m:t xml:space="preserve"> ≤ </m:t>
        </m:r>
        <m:sSub>
          <m:sSubPr>
            <m:ctrlPr>
              <w:rPr>
                <w:rFonts w:ascii="Cambria Math" w:hAnsi="Cambria Math"/>
                <w:color w:val="000000" w:themeColor="text1"/>
                <w:sz w:val="16"/>
              </w:rPr>
            </m:ctrlPr>
          </m:sSubPr>
          <m:e>
            <m:r>
              <w:rPr>
                <w:rFonts w:ascii="Cambria Math" w:hAnsi="Cambria Math"/>
                <w:color w:val="000000" w:themeColor="text1"/>
                <w:sz w:val="16"/>
              </w:rPr>
              <m:t>M</m:t>
            </m:r>
          </m:e>
          <m:sub>
            <m:r>
              <w:rPr>
                <w:rFonts w:ascii="Cambria Math" w:hAnsi="Cambria Math"/>
                <w:color w:val="000000" w:themeColor="text1"/>
                <w:sz w:val="16"/>
              </w:rPr>
              <m:t>u</m:t>
            </m:r>
            <m:r>
              <w:rPr>
                <w:rFonts w:ascii="Cambria Math" w:hAnsi="Cambria Math"/>
                <w:color w:val="000000" w:themeColor="text1"/>
                <w:sz w:val="16"/>
              </w:rPr>
              <m:t>,</m:t>
            </m:r>
            <m:r>
              <w:rPr>
                <w:rFonts w:ascii="Cambria Math" w:hAnsi="Cambria Math"/>
                <w:color w:val="000000" w:themeColor="text1"/>
                <w:sz w:val="16"/>
              </w:rPr>
              <m:t>t</m:t>
            </m:r>
          </m:sub>
        </m:sSub>
        <m:r>
          <w:rPr>
            <w:rFonts w:ascii="Cambria Math" w:hAnsi="Cambria Math"/>
            <w:color w:val="000000" w:themeColor="text1"/>
            <w:sz w:val="16"/>
          </w:rPr>
          <m:t xml:space="preserve"> ≤ </m:t>
        </m:r>
        <m:sSub>
          <m:sSubPr>
            <m:ctrlPr>
              <w:rPr>
                <w:rFonts w:ascii="Cambria Math" w:hAnsi="Cambria Math"/>
                <w:color w:val="000000" w:themeColor="text1"/>
                <w:sz w:val="16"/>
              </w:rPr>
            </m:ctrlPr>
          </m:sSubPr>
          <m:e>
            <m:r>
              <w:rPr>
                <w:rFonts w:ascii="Cambria Math" w:hAnsi="Cambria Math"/>
                <w:color w:val="000000" w:themeColor="text1"/>
                <w:sz w:val="16"/>
              </w:rPr>
              <m:t>Y</m:t>
            </m:r>
          </m:e>
          <m:sub>
            <m:r>
              <w:rPr>
                <w:rFonts w:ascii="Cambria Math" w:hAnsi="Cambria Math"/>
                <w:color w:val="000000" w:themeColor="text1"/>
                <w:sz w:val="16"/>
              </w:rPr>
              <m:t>u</m:t>
            </m:r>
            <m:r>
              <w:rPr>
                <w:rFonts w:ascii="Cambria Math" w:hAnsi="Cambria Math"/>
                <w:color w:val="000000" w:themeColor="text1"/>
                <w:sz w:val="16"/>
              </w:rPr>
              <m:t>,</m:t>
            </m:r>
            <m:r>
              <w:rPr>
                <w:rFonts w:ascii="Cambria Math" w:hAnsi="Cambria Math"/>
                <w:color w:val="000000" w:themeColor="text1"/>
                <w:sz w:val="16"/>
              </w:rPr>
              <m:t>t</m:t>
            </m:r>
          </m:sub>
        </m:sSub>
        <m:r>
          <w:rPr>
            <w:rFonts w:ascii="Cambria Math" w:hAnsi="Cambria Math"/>
            <w:color w:val="000000" w:themeColor="text1"/>
            <w:sz w:val="16"/>
          </w:rPr>
          <m:t>∙</m:t>
        </m:r>
        <m:sSub>
          <m:sSubPr>
            <m:ctrlPr>
              <w:rPr>
                <w:rFonts w:ascii="Cambria Math" w:hAnsi="Cambria Math"/>
                <w:color w:val="000000" w:themeColor="text1"/>
                <w:sz w:val="16"/>
              </w:rPr>
            </m:ctrlPr>
          </m:sSubPr>
          <m:e>
            <m:r>
              <w:rPr>
                <w:rFonts w:ascii="Cambria Math" w:hAnsi="Cambria Math"/>
                <w:color w:val="000000" w:themeColor="text1"/>
                <w:sz w:val="16"/>
              </w:rPr>
              <m:t>Fmax</m:t>
            </m:r>
          </m:e>
          <m:sub>
            <m:r>
              <w:rPr>
                <w:rFonts w:ascii="Cambria Math" w:hAnsi="Cambria Math"/>
                <w:color w:val="000000" w:themeColor="text1"/>
                <w:sz w:val="16"/>
              </w:rPr>
              <m:t>u</m:t>
            </m:r>
          </m:sub>
        </m:sSub>
        <m:r>
          <w:rPr>
            <w:rFonts w:ascii="Cambria Math" w:hAnsi="Cambria Math"/>
            <w:color w:val="000000" w:themeColor="text1"/>
            <w:sz w:val="16"/>
          </w:rPr>
          <m:t xml:space="preserve">         ; ∀</m:t>
        </m:r>
        <m:r>
          <w:rPr>
            <w:rFonts w:ascii="Cambria Math" w:hAnsi="Cambria Math"/>
            <w:color w:val="000000" w:themeColor="text1"/>
            <w:sz w:val="16"/>
          </w:rPr>
          <m:t>u</m:t>
        </m:r>
        <m:r>
          <w:rPr>
            <w:rFonts w:ascii="Cambria Math" w:hAnsi="Cambria Math"/>
            <w:color w:val="000000" w:themeColor="text1"/>
            <w:sz w:val="16"/>
          </w:rPr>
          <m:t>∈</m:t>
        </m:r>
        <m:r>
          <w:rPr>
            <w:rFonts w:ascii="Cambria Math" w:hAnsi="Cambria Math"/>
            <w:color w:val="000000" w:themeColor="text1"/>
            <w:sz w:val="16"/>
          </w:rPr>
          <m:t>Units</m:t>
        </m:r>
        <m:r>
          <w:rPr>
            <w:rFonts w:ascii="Cambria Math" w:hAnsi="Cambria Math"/>
            <w:color w:val="000000" w:themeColor="text1"/>
            <w:sz w:val="16"/>
          </w:rPr>
          <m:t>,   ∀</m:t>
        </m:r>
        <m:r>
          <w:rPr>
            <w:rFonts w:ascii="Cambria Math" w:hAnsi="Cambria Math"/>
            <w:color w:val="000000" w:themeColor="text1"/>
            <w:sz w:val="16"/>
          </w:rPr>
          <m:t>t</m:t>
        </m:r>
        <m:r>
          <w:rPr>
            <w:rFonts w:ascii="Cambria Math" w:hAnsi="Cambria Math"/>
            <w:color w:val="000000" w:themeColor="text1"/>
            <w:sz w:val="16"/>
          </w:rPr>
          <m:t>∈</m:t>
        </m:r>
        <m:r>
          <w:rPr>
            <w:rFonts w:ascii="Cambria Math" w:hAnsi="Cambria Math"/>
            <w:color w:val="000000" w:themeColor="text1"/>
            <w:sz w:val="16"/>
          </w:rPr>
          <m:t>Time</m:t>
        </m:r>
        <m:r>
          <w:rPr>
            <w:rFonts w:ascii="Cambria Math" w:hAnsi="Cambria Math"/>
            <w:color w:val="000000" w:themeColor="text1"/>
            <w:sz w:val="16"/>
          </w:rPr>
          <m:t xml:space="preserve">                                                      </m:t>
        </m:r>
      </m:oMath>
      <w:r w:rsidR="00D6311E" w:rsidRPr="00D6311E">
        <w:rPr>
          <w:rFonts w:cs="Arial"/>
          <w:color w:val="000000" w:themeColor="text1"/>
          <w:sz w:val="16"/>
        </w:rPr>
        <w:t>(</w:t>
      </w:r>
      <w:r w:rsidR="00D6311E">
        <w:rPr>
          <w:rFonts w:cs="Arial"/>
          <w:iCs/>
          <w:color w:val="000000" w:themeColor="text1"/>
          <w:sz w:val="16"/>
        </w:rPr>
        <w:t>4</w:t>
      </w:r>
      <w:r w:rsidR="00D6311E" w:rsidRPr="00D6311E">
        <w:rPr>
          <w:rFonts w:cs="Arial"/>
          <w:color w:val="000000" w:themeColor="text1"/>
          <w:sz w:val="16"/>
        </w:rPr>
        <w:t>)</w:t>
      </w:r>
    </w:p>
    <w:p w14:paraId="3E4A1CC3" w14:textId="31F177C1" w:rsidR="00D6311E" w:rsidRPr="00D6311E" w:rsidRDefault="00AC5C72" w:rsidP="00D6311E">
      <w:pPr>
        <w:pStyle w:val="Didascalia"/>
        <w:jc w:val="right"/>
        <w:rPr>
          <w:color w:val="000000" w:themeColor="text1"/>
          <w:sz w:val="16"/>
          <w:szCs w:val="16"/>
        </w:rPr>
      </w:pPr>
      <m:oMath>
        <m:sSub>
          <m:sSubPr>
            <m:ctrlPr>
              <w:rPr>
                <w:rFonts w:ascii="Cambria Math" w:hAnsi="Cambria Math"/>
                <w:color w:val="000000" w:themeColor="text1"/>
                <w:sz w:val="16"/>
                <w:szCs w:val="16"/>
              </w:rPr>
            </m:ctrlPr>
          </m:sSubPr>
          <m:e>
            <m:r>
              <w:rPr>
                <w:rFonts w:ascii="Cambria Math" w:hAnsi="Cambria Math"/>
                <w:color w:val="000000" w:themeColor="text1"/>
                <w:sz w:val="16"/>
                <w:szCs w:val="16"/>
              </w:rPr>
              <m:t>R</m:t>
            </m:r>
          </m:e>
          <m:sub>
            <m:r>
              <w:rPr>
                <w:rFonts w:ascii="Cambria Math" w:hAnsi="Cambria Math"/>
                <w:color w:val="000000" w:themeColor="text1"/>
                <w:sz w:val="16"/>
                <w:szCs w:val="16"/>
              </w:rPr>
              <m:t>1</m:t>
            </m:r>
          </m:sub>
        </m:sSub>
        <m:r>
          <w:rPr>
            <w:rFonts w:ascii="Cambria Math" w:hAnsi="Cambria Math"/>
            <w:color w:val="000000" w:themeColor="text1"/>
            <w:sz w:val="16"/>
            <w:szCs w:val="16"/>
          </w:rPr>
          <m:t xml:space="preserve">=0, </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R</m:t>
            </m:r>
          </m:e>
          <m:sub>
            <m:r>
              <w:rPr>
                <w:rFonts w:ascii="Cambria Math" w:hAnsi="Cambria Math"/>
                <w:color w:val="000000" w:themeColor="text1"/>
                <w:sz w:val="16"/>
                <w:szCs w:val="16"/>
              </w:rPr>
              <m:t>N</m:t>
            </m:r>
            <m:r>
              <w:rPr>
                <w:rFonts w:ascii="Cambria Math" w:hAnsi="Cambria Math"/>
                <w:color w:val="000000" w:themeColor="text1"/>
                <w:sz w:val="16"/>
                <w:szCs w:val="16"/>
              </w:rPr>
              <m:t>+1</m:t>
            </m:r>
          </m:sub>
        </m:sSub>
        <m:r>
          <w:rPr>
            <w:rFonts w:ascii="Cambria Math" w:hAnsi="Cambria Math"/>
            <w:color w:val="000000" w:themeColor="text1"/>
            <w:sz w:val="16"/>
            <w:szCs w:val="16"/>
          </w:rPr>
          <m:t xml:space="preserve">=0,  </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R</m:t>
            </m:r>
          </m:e>
          <m:sub>
            <m:r>
              <w:rPr>
                <w:rFonts w:ascii="Cambria Math" w:hAnsi="Cambria Math"/>
                <w:color w:val="000000" w:themeColor="text1"/>
                <w:sz w:val="16"/>
                <w:szCs w:val="16"/>
              </w:rPr>
              <m:t>r</m:t>
            </m:r>
          </m:sub>
        </m:sSub>
        <m:r>
          <w:rPr>
            <w:rFonts w:ascii="Cambria Math" w:hAnsi="Cambria Math"/>
            <w:color w:val="000000" w:themeColor="text1"/>
            <w:sz w:val="16"/>
            <w:szCs w:val="16"/>
          </w:rPr>
          <m:t xml:space="preserve">≥0      ;   </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W</m:t>
            </m:r>
          </m:e>
          <m:sub>
            <m:r>
              <w:rPr>
                <w:rFonts w:ascii="Cambria Math" w:hAnsi="Cambria Math"/>
                <w:color w:val="000000" w:themeColor="text1"/>
                <w:sz w:val="16"/>
                <w:szCs w:val="16"/>
              </w:rPr>
              <m:t>imp</m:t>
            </m:r>
          </m:sub>
        </m:sSub>
        <m:r>
          <w:rPr>
            <w:rFonts w:ascii="Cambria Math" w:hAnsi="Cambria Math"/>
            <w:color w:val="000000" w:themeColor="text1"/>
            <w:sz w:val="16"/>
            <w:szCs w:val="16"/>
          </w:rPr>
          <m:t xml:space="preserve"> ≥0,  </m:t>
        </m:r>
        <m:sSub>
          <m:sSubPr>
            <m:ctrlPr>
              <w:rPr>
                <w:rFonts w:ascii="Cambria Math" w:hAnsi="Cambria Math"/>
                <w:color w:val="000000" w:themeColor="text1"/>
                <w:sz w:val="16"/>
                <w:szCs w:val="16"/>
              </w:rPr>
            </m:ctrlPr>
          </m:sSubPr>
          <m:e>
            <m:r>
              <w:rPr>
                <w:rFonts w:ascii="Cambria Math" w:hAnsi="Cambria Math"/>
                <w:color w:val="000000" w:themeColor="text1"/>
                <w:sz w:val="16"/>
                <w:szCs w:val="16"/>
              </w:rPr>
              <m:t>W</m:t>
            </m:r>
          </m:e>
          <m:sub>
            <m:r>
              <w:rPr>
                <w:rFonts w:ascii="Cambria Math" w:hAnsi="Cambria Math"/>
                <w:color w:val="000000" w:themeColor="text1"/>
                <w:sz w:val="16"/>
                <w:szCs w:val="16"/>
              </w:rPr>
              <m:t>exp</m:t>
            </m:r>
          </m:sub>
        </m:sSub>
        <m:r>
          <w:rPr>
            <w:rFonts w:ascii="Cambria Math" w:hAnsi="Cambria Math"/>
            <w:color w:val="000000" w:themeColor="text1"/>
            <w:sz w:val="16"/>
            <w:szCs w:val="16"/>
          </w:rPr>
          <m:t xml:space="preserve"> ≥0  </m:t>
        </m:r>
        <m:r>
          <w:rPr>
            <w:rFonts w:ascii="Cambria Math" w:hAnsi="Cambria Math"/>
            <w:sz w:val="15"/>
            <w:szCs w:val="16"/>
          </w:rPr>
          <m:t xml:space="preserve">                                             </m:t>
        </m:r>
        <m:r>
          <w:rPr>
            <w:rFonts w:ascii="Cambria Math" w:hAnsi="Cambria Math"/>
            <w:sz w:val="15"/>
            <w:szCs w:val="16"/>
          </w:rPr>
          <m:t xml:space="preserve">                                       </m:t>
        </m:r>
      </m:oMath>
      <w:r w:rsidR="00D6311E" w:rsidRPr="00D6311E">
        <w:rPr>
          <w:color w:val="000000" w:themeColor="text1"/>
          <w:sz w:val="16"/>
          <w:szCs w:val="16"/>
        </w:rPr>
        <w:t>(</w:t>
      </w:r>
      <w:r w:rsidR="00D6311E">
        <w:rPr>
          <w:color w:val="000000" w:themeColor="text1"/>
          <w:sz w:val="16"/>
          <w:szCs w:val="16"/>
        </w:rPr>
        <w:t>5</w:t>
      </w:r>
      <w:r w:rsidR="00D6311E" w:rsidRPr="00D6311E">
        <w:rPr>
          <w:color w:val="000000" w:themeColor="text1"/>
          <w:sz w:val="16"/>
          <w:szCs w:val="16"/>
        </w:rPr>
        <w:t>)</w:t>
      </w:r>
    </w:p>
    <w:p w14:paraId="62458346" w14:textId="7AC890B4" w:rsidR="002E13F3" w:rsidRPr="00F10FAF" w:rsidRDefault="00F10FAF" w:rsidP="0089778A">
      <w:pPr>
        <w:pStyle w:val="EndNoteBibliographyTitle"/>
        <w:jc w:val="both"/>
        <w:rPr>
          <w:sz w:val="20"/>
        </w:rPr>
      </w:pPr>
      <w:r>
        <w:rPr>
          <w:sz w:val="20"/>
        </w:rPr>
        <w:t xml:space="preserve">Assumed energy prices are: </w:t>
      </w:r>
      <w:r w:rsidR="000F4A96">
        <w:rPr>
          <w:sz w:val="20"/>
        </w:rPr>
        <w:t>natural gas</w:t>
      </w:r>
      <w:r w:rsidR="00D6311E" w:rsidRPr="00F10FAF">
        <w:rPr>
          <w:sz w:val="20"/>
        </w:rPr>
        <w:t>: 0.07 €/kWh;</w:t>
      </w:r>
      <w:r w:rsidR="008F1E53" w:rsidRPr="00F10FAF">
        <w:rPr>
          <w:sz w:val="20"/>
        </w:rPr>
        <w:t xml:space="preserve"> </w:t>
      </w:r>
      <w:r w:rsidR="000F4A96">
        <w:rPr>
          <w:sz w:val="20"/>
        </w:rPr>
        <w:t>H</w:t>
      </w:r>
      <w:r w:rsidR="000F4A96" w:rsidRPr="000F4A96">
        <w:rPr>
          <w:sz w:val="20"/>
          <w:vertAlign w:val="subscript"/>
        </w:rPr>
        <w:t>2</w:t>
      </w:r>
      <w:r w:rsidR="008F1E53" w:rsidRPr="00F10FAF">
        <w:rPr>
          <w:sz w:val="20"/>
        </w:rPr>
        <w:t>: 7 €/kg;</w:t>
      </w:r>
      <w:r w:rsidR="00D6311E" w:rsidRPr="00F10FAF">
        <w:rPr>
          <w:sz w:val="20"/>
        </w:rPr>
        <w:t xml:space="preserve"> </w:t>
      </w:r>
      <w:r w:rsidR="000F4A96">
        <w:rPr>
          <w:sz w:val="20"/>
        </w:rPr>
        <w:t>electricity</w:t>
      </w:r>
      <w:r w:rsidR="00D6311E" w:rsidRPr="00F10FAF">
        <w:rPr>
          <w:sz w:val="20"/>
        </w:rPr>
        <w:t>: 0.1</w:t>
      </w:r>
      <w:r w:rsidR="008F1E53" w:rsidRPr="00F10FAF">
        <w:rPr>
          <w:sz w:val="20"/>
        </w:rPr>
        <w:t>5</w:t>
      </w:r>
      <w:r w:rsidR="00D6311E" w:rsidRPr="00F10FAF">
        <w:rPr>
          <w:sz w:val="20"/>
        </w:rPr>
        <w:t xml:space="preserve">€/kWh (Jan/Feb/Nov/Dec), 0.001€/kWh (other months); </w:t>
      </w:r>
      <w:r>
        <w:rPr>
          <w:sz w:val="20"/>
        </w:rPr>
        <w:t xml:space="preserve">and </w:t>
      </w:r>
      <w:r w:rsidR="000F4A96">
        <w:rPr>
          <w:sz w:val="20"/>
        </w:rPr>
        <w:t>CO</w:t>
      </w:r>
      <w:r w:rsidR="000F4A96" w:rsidRPr="000F4A96">
        <w:rPr>
          <w:sz w:val="20"/>
          <w:vertAlign w:val="subscript"/>
        </w:rPr>
        <w:t>2</w:t>
      </w:r>
      <w:r w:rsidR="000F4A96">
        <w:rPr>
          <w:sz w:val="20"/>
        </w:rPr>
        <w:t xml:space="preserve"> tax</w:t>
      </w:r>
      <w:r w:rsidR="00D6311E" w:rsidRPr="00F10FAF">
        <w:rPr>
          <w:sz w:val="20"/>
        </w:rPr>
        <w:t>:120</w:t>
      </w:r>
      <w:r w:rsidR="00D6311E" w:rsidRPr="00F10FAF">
        <w:rPr>
          <w:color w:val="111111"/>
          <w:sz w:val="20"/>
          <w:shd w:val="clear" w:color="auto" w:fill="FFFFFF"/>
        </w:rPr>
        <w:t xml:space="preserve"> </w:t>
      </w:r>
      <w:r w:rsidR="00D6311E" w:rsidRPr="00F10FAF">
        <w:rPr>
          <w:sz w:val="20"/>
        </w:rPr>
        <w:t>€/t</w:t>
      </w:r>
      <w:r w:rsidR="002E13F3" w:rsidRPr="00F10FAF">
        <w:rPr>
          <w:sz w:val="20"/>
        </w:rPr>
        <w:t xml:space="preserve">. </w:t>
      </w:r>
      <w:r w:rsidR="0089778A" w:rsidRPr="00F10FAF">
        <w:rPr>
          <w:sz w:val="20"/>
        </w:rPr>
        <w:t xml:space="preserve">Cop1&amp;2 are the fixed and variable operating cost, Cinv1&amp;2 are those of investment cost, qw is the heat load of unit w, R is the heat cascaded from interval r+1 </w:t>
      </w:r>
      <w:r w:rsidR="005A01F2">
        <w:rPr>
          <w:sz w:val="20"/>
        </w:rPr>
        <w:t>t</w:t>
      </w:r>
      <w:r w:rsidR="0089778A" w:rsidRPr="00F10FAF">
        <w:rPr>
          <w:sz w:val="20"/>
        </w:rPr>
        <w:t xml:space="preserve">o r, and W is </w:t>
      </w:r>
      <w:r w:rsidR="005A01F2">
        <w:rPr>
          <w:sz w:val="20"/>
        </w:rPr>
        <w:t xml:space="preserve">the </w:t>
      </w:r>
      <w:r w:rsidR="0089778A" w:rsidRPr="00F10FAF">
        <w:rPr>
          <w:sz w:val="20"/>
        </w:rPr>
        <w:t>power</w:t>
      </w:r>
      <w:r w:rsidR="005A01F2">
        <w:rPr>
          <w:sz w:val="20"/>
        </w:rPr>
        <w:t xml:space="preserve"> import or export</w:t>
      </w:r>
      <w:r w:rsidR="0089778A" w:rsidRPr="00F10FAF">
        <w:rPr>
          <w:sz w:val="20"/>
        </w:rPr>
        <w:t xml:space="preserve">. </w:t>
      </w:r>
      <w:r w:rsidR="006D4912">
        <w:rPr>
          <w:noProof w:val="0"/>
          <w:sz w:val="20"/>
        </w:rPr>
        <w:t>B</w:t>
      </w:r>
      <w:r w:rsidR="006D4912">
        <w:rPr>
          <w:color w:val="111111"/>
          <w:sz w:val="20"/>
          <w:shd w:val="clear" w:color="auto" w:fill="FFFFFF"/>
        </w:rPr>
        <w:t>inary</w:t>
      </w:r>
      <w:r w:rsidR="006D4912" w:rsidRPr="008C4F04">
        <w:rPr>
          <w:color w:val="111111"/>
          <w:sz w:val="20"/>
          <w:shd w:val="clear" w:color="auto" w:fill="FFFFFF"/>
        </w:rPr>
        <w:t xml:space="preserve"> </w:t>
      </w:r>
      <m:oMath>
        <m:sSub>
          <m:sSubPr>
            <m:ctrlPr>
              <w:rPr>
                <w:rFonts w:ascii="Cambria Math" w:hAnsi="Cambria Math"/>
                <w:color w:val="000000" w:themeColor="text1"/>
                <w:sz w:val="16"/>
                <w:szCs w:val="16"/>
              </w:rPr>
            </m:ctrlPr>
          </m:sSubPr>
          <m:e>
            <m:r>
              <w:rPr>
                <w:rFonts w:ascii="Cambria Math" w:hAnsi="Cambria Math"/>
                <w:color w:val="000000" w:themeColor="text1"/>
                <w:sz w:val="16"/>
                <w:szCs w:val="16"/>
              </w:rPr>
              <m:t>Y</m:t>
            </m:r>
          </m:e>
          <m:sub>
            <m:r>
              <w:rPr>
                <w:rFonts w:ascii="Cambria Math" w:hAnsi="Cambria Math"/>
                <w:color w:val="000000" w:themeColor="text1"/>
                <w:sz w:val="16"/>
                <w:szCs w:val="16"/>
              </w:rPr>
              <m:t>u,t</m:t>
            </m:r>
          </m:sub>
        </m:sSub>
      </m:oMath>
      <w:r w:rsidR="006D4912">
        <w:rPr>
          <w:color w:val="000000" w:themeColor="text1"/>
          <w:sz w:val="16"/>
          <w:szCs w:val="16"/>
        </w:rPr>
        <w:t xml:space="preserve"> </w:t>
      </w:r>
      <w:r w:rsidR="006D4912" w:rsidRPr="008C4F04">
        <w:rPr>
          <w:color w:val="111111"/>
          <w:sz w:val="20"/>
          <w:shd w:val="clear" w:color="auto" w:fill="FFFFFF"/>
        </w:rPr>
        <w:t>and load factor</w:t>
      </w:r>
      <w:r w:rsidR="006D4912" w:rsidRPr="008C4F04">
        <w:rPr>
          <w:i/>
          <w:iCs/>
          <w:color w:val="111111"/>
          <w:sz w:val="20"/>
          <w:shd w:val="clear" w:color="auto" w:fill="FFFFFF"/>
        </w:rPr>
        <w:t xml:space="preserve"> </w:t>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u</m:t>
            </m:r>
          </m:sub>
        </m:sSub>
      </m:oMath>
      <w:r w:rsidR="006D4912">
        <w:rPr>
          <w:color w:val="000000" w:themeColor="text1"/>
        </w:rPr>
        <w:t xml:space="preserve"> </w:t>
      </w:r>
      <w:r w:rsidR="006D4912">
        <w:rPr>
          <w:color w:val="111111"/>
          <w:sz w:val="20"/>
          <w:shd w:val="clear" w:color="auto" w:fill="FFFFFF"/>
        </w:rPr>
        <w:t>define the existence and size of the utility units.</w:t>
      </w:r>
    </w:p>
    <w:p w14:paraId="144DE6A1" w14:textId="61C30248" w:rsidR="008D2649" w:rsidRDefault="00F72493" w:rsidP="00E1645A">
      <w:pPr>
        <w:pStyle w:val="Els-1storder-head"/>
      </w:pPr>
      <w:r w:rsidRPr="00E1645A">
        <w:t>Results and Discussio</w:t>
      </w:r>
      <w:r w:rsidR="00E1645A" w:rsidRPr="00E1645A">
        <w:t>n</w:t>
      </w:r>
    </w:p>
    <w:p w14:paraId="2E65F242" w14:textId="139BE7EB" w:rsidR="00AA6B5C" w:rsidRDefault="00672C89" w:rsidP="00672C89">
      <w:pPr>
        <w:pStyle w:val="Els-body-text"/>
      </w:pPr>
      <w:r>
        <w:fldChar w:fldCharType="begin"/>
      </w:r>
      <w:r>
        <w:instrText xml:space="preserve"> REF _Ref152257227 \h </w:instrText>
      </w:r>
      <w:r>
        <w:fldChar w:fldCharType="separate"/>
      </w:r>
      <w:r w:rsidR="004C22FE">
        <w:t xml:space="preserve">Figure </w:t>
      </w:r>
      <w:r w:rsidR="004C22FE">
        <w:rPr>
          <w:noProof/>
        </w:rPr>
        <w:t>3</w:t>
      </w:r>
      <w:r>
        <w:fldChar w:fldCharType="end"/>
      </w:r>
      <w:r>
        <w:t xml:space="preserve"> presents a high-level summary for the CCUS options under evaluation</w:t>
      </w:r>
      <w:r w:rsidR="000A305D">
        <w:t>,</w:t>
      </w:r>
      <w:r w:rsidR="00B303AF">
        <w:t xml:space="preserve"> and a </w:t>
      </w:r>
      <w:r w:rsidR="005A01F2">
        <w:t>reference</w:t>
      </w:r>
      <w:r w:rsidR="00B303AF">
        <w:t xml:space="preserve"> hydrogen case study</w:t>
      </w:r>
      <w:r w:rsidR="005A01F2">
        <w:t xml:space="preserve"> for comparison</w:t>
      </w:r>
      <w:r w:rsidR="00D56B28">
        <w:t xml:space="preserve">. Results indicate that </w:t>
      </w:r>
      <w:r>
        <w:t xml:space="preserve">the injection route </w:t>
      </w:r>
      <w:r w:rsidR="00B303AF">
        <w:t xml:space="preserve">exhibits the lowest </w:t>
      </w:r>
      <w:r w:rsidR="005A01F2">
        <w:t xml:space="preserve">increase in </w:t>
      </w:r>
      <w:r w:rsidR="00D56B28">
        <w:t>energy load compared</w:t>
      </w:r>
      <w:r>
        <w:t xml:space="preserve"> to the bas</w:t>
      </w:r>
      <w:r w:rsidR="00D56B28">
        <w:t>e</w:t>
      </w:r>
      <w:r>
        <w:t xml:space="preserve"> case </w:t>
      </w:r>
      <w:r w:rsidR="005F4A3B">
        <w:t>due</w:t>
      </w:r>
      <w:r>
        <w:t xml:space="preserve"> to the CO</w:t>
      </w:r>
      <w:r w:rsidRPr="00D56B28">
        <w:rPr>
          <w:vertAlign w:val="subscript"/>
        </w:rPr>
        <w:t>2</w:t>
      </w:r>
      <w:r>
        <w:t xml:space="preserve"> compression</w:t>
      </w:r>
      <w:r w:rsidR="00F04303">
        <w:t>.</w:t>
      </w:r>
      <w:r w:rsidR="00B303AF">
        <w:t xml:space="preserve"> This is followed by </w:t>
      </w:r>
      <w:r w:rsidR="000A305D">
        <w:t xml:space="preserve">importing </w:t>
      </w:r>
      <w:r w:rsidR="00B303AF">
        <w:t>hydrogen from</w:t>
      </w:r>
      <w:r w:rsidR="005F4A3B">
        <w:t xml:space="preserve"> the</w:t>
      </w:r>
      <w:r w:rsidR="00B303AF">
        <w:t xml:space="preserve"> grid as no capture or utilization energy </w:t>
      </w:r>
      <w:r w:rsidR="005F4A3B">
        <w:t xml:space="preserve">penalty </w:t>
      </w:r>
      <w:r w:rsidR="00B303AF">
        <w:t>is incurred.</w:t>
      </w:r>
      <w:r w:rsidR="00F04303">
        <w:t xml:space="preserve"> </w:t>
      </w:r>
      <w:r w:rsidR="00D56B28">
        <w:t>C</w:t>
      </w:r>
      <w:r w:rsidR="00F04303">
        <w:t xml:space="preserve">ryogenic </w:t>
      </w:r>
      <w:r w:rsidR="00B303AF">
        <w:t xml:space="preserve">and oxyfuel </w:t>
      </w:r>
      <w:r w:rsidR="00F04303">
        <w:t>CO</w:t>
      </w:r>
      <w:r w:rsidR="00F04303" w:rsidRPr="00F04303">
        <w:rPr>
          <w:vertAlign w:val="subscript"/>
        </w:rPr>
        <w:t>2</w:t>
      </w:r>
      <w:r w:rsidR="00F04303">
        <w:t xml:space="preserve"> capture</w:t>
      </w:r>
      <w:r w:rsidR="00B303AF">
        <w:t xml:space="preserve"> methods for injection</w:t>
      </w:r>
      <w:r w:rsidR="00F04303">
        <w:t xml:space="preserve"> </w:t>
      </w:r>
      <w:r w:rsidR="00B303AF">
        <w:t>have a higher energy load than some mineralization pathways</w:t>
      </w:r>
      <w:r w:rsidR="00D56B28">
        <w:t xml:space="preserve"> </w:t>
      </w:r>
      <w:r w:rsidR="00F04303">
        <w:t xml:space="preserve">due to </w:t>
      </w:r>
      <w:r w:rsidR="00AA6B5C">
        <w:t>the</w:t>
      </w:r>
      <w:r w:rsidR="00F04303">
        <w:t xml:space="preserve"> larger electricity penalty required</w:t>
      </w:r>
      <w:r w:rsidR="005F4A3B">
        <w:t xml:space="preserve"> for both technologies</w:t>
      </w:r>
      <w:r>
        <w:t>.</w:t>
      </w:r>
      <w:r w:rsidR="005F4A3B">
        <w:t xml:space="preserve"> I</w:t>
      </w:r>
      <w:r w:rsidR="00F04303">
        <w:t>njection is f</w:t>
      </w:r>
      <w:r>
        <w:t>ollowed by mineralization</w:t>
      </w:r>
      <w:r w:rsidR="00F04303">
        <w:t>,</w:t>
      </w:r>
      <w:r>
        <w:t xml:space="preserve"> which involves </w:t>
      </w:r>
      <w:r w:rsidR="00F04303">
        <w:t xml:space="preserve">electricity consumption for the </w:t>
      </w:r>
      <w:r>
        <w:t xml:space="preserve">pretreatment of the </w:t>
      </w:r>
      <w:r w:rsidR="00F04303">
        <w:t>mineral ores. The highe</w:t>
      </w:r>
      <w:r w:rsidR="00D56B28">
        <w:t>st</w:t>
      </w:r>
      <w:r w:rsidR="00F04303">
        <w:t xml:space="preserve"> energy loads </w:t>
      </w:r>
      <w:r w:rsidR="00D56B28">
        <w:t>are observed for</w:t>
      </w:r>
      <w:r w:rsidR="000A305D">
        <w:t xml:space="preserve"> </w:t>
      </w:r>
      <w:r w:rsidR="00F04303">
        <w:t>methanation followed by olefins production</w:t>
      </w:r>
      <w:r w:rsidR="000A305D">
        <w:t xml:space="preserve"> </w:t>
      </w:r>
      <w:r w:rsidR="005F4A3B">
        <w:t xml:space="preserve">because of the </w:t>
      </w:r>
      <w:r w:rsidR="00F04303">
        <w:t>electricity required for producing green hydrogen via electrolysis.</w:t>
      </w:r>
    </w:p>
    <w:p w14:paraId="0654945A" w14:textId="5F611EB5" w:rsidR="00B303AF" w:rsidRDefault="00B303AF" w:rsidP="009D123A">
      <w:pPr>
        <w:pStyle w:val="Els-body-text"/>
      </w:pPr>
      <w:r>
        <w:rPr>
          <w:noProof/>
        </w:rPr>
        <w:drawing>
          <wp:inline distT="0" distB="0" distL="0" distR="0" wp14:anchorId="2BE3EFEE" wp14:editId="51B0BA33">
            <wp:extent cx="4591050" cy="2057788"/>
            <wp:effectExtent l="0" t="0" r="0" b="0"/>
            <wp:docPr id="61418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80540" name="Picture 614180540"/>
                    <pic:cNvPicPr/>
                  </pic:nvPicPr>
                  <pic:blipFill rotWithShape="1">
                    <a:blip r:embed="rId10" cstate="print">
                      <a:extLst>
                        <a:ext uri="{28A0092B-C50C-407E-A947-70E740481C1C}">
                          <a14:useLocalDpi xmlns:a14="http://schemas.microsoft.com/office/drawing/2010/main" val="0"/>
                        </a:ext>
                      </a:extLst>
                    </a:blip>
                    <a:srcRect l="2528" t="2959" r="10827" b="9651"/>
                    <a:stretch/>
                  </pic:blipFill>
                  <pic:spPr bwMode="auto">
                    <a:xfrm>
                      <a:off x="0" y="0"/>
                      <a:ext cx="4640004" cy="2079730"/>
                    </a:xfrm>
                    <a:prstGeom prst="rect">
                      <a:avLst/>
                    </a:prstGeom>
                    <a:ln>
                      <a:noFill/>
                    </a:ln>
                    <a:extLst>
                      <a:ext uri="{53640926-AAD7-44D8-BBD7-CCE9431645EC}">
                        <a14:shadowObscured xmlns:a14="http://schemas.microsoft.com/office/drawing/2010/main"/>
                      </a:ext>
                    </a:extLst>
                  </pic:spPr>
                </pic:pic>
              </a:graphicData>
            </a:graphic>
          </wp:inline>
        </w:drawing>
      </w:r>
    </w:p>
    <w:p w14:paraId="11CA5342" w14:textId="4543FB21" w:rsidR="00AA6B5C" w:rsidRPr="000A305D" w:rsidRDefault="00B303AF" w:rsidP="000A305D">
      <w:pPr>
        <w:pStyle w:val="Didascalia"/>
        <w:spacing w:before="0"/>
        <w:jc w:val="center"/>
      </w:pPr>
      <w:bookmarkStart w:id="3" w:name="_Ref152257227"/>
      <w:r>
        <w:t xml:space="preserve">Figure </w:t>
      </w:r>
      <w:r>
        <w:fldChar w:fldCharType="begin"/>
      </w:r>
      <w:r>
        <w:instrText xml:space="preserve"> SEQ Figure \* ARABIC </w:instrText>
      </w:r>
      <w:r>
        <w:fldChar w:fldCharType="separate"/>
      </w:r>
      <w:r w:rsidR="004C22FE">
        <w:rPr>
          <w:noProof/>
        </w:rPr>
        <w:t>3</w:t>
      </w:r>
      <w:r>
        <w:fldChar w:fldCharType="end"/>
      </w:r>
      <w:bookmarkEnd w:id="3"/>
      <w:r>
        <w:t>: Key performance indicators of competing CCUS options</w:t>
      </w:r>
      <w:r w:rsidR="005F4A3B">
        <w:t xml:space="preserve">. </w:t>
      </w:r>
    </w:p>
    <w:p w14:paraId="100A8363" w14:textId="667B4895" w:rsidR="00AA6B5C" w:rsidRDefault="00405D8D" w:rsidP="00672C89">
      <w:pPr>
        <w:pStyle w:val="Els-body-text"/>
      </w:pPr>
      <w:r>
        <w:t>R</w:t>
      </w:r>
      <w:r w:rsidR="00F04303">
        <w:t>enewability percentage directly reflects the defossilization of aluminium production</w:t>
      </w:r>
      <w:r w:rsidR="005F4A3B">
        <w:t>. The scenario assuming green hydrogen is available in the grid results in the highest renewability of 92</w:t>
      </w:r>
      <w:r>
        <w:t xml:space="preserve"> </w:t>
      </w:r>
      <w:r w:rsidR="005F4A3B">
        <w:t>%.</w:t>
      </w:r>
      <w:r w:rsidR="009D123A">
        <w:t xml:space="preserve"> </w:t>
      </w:r>
      <w:r w:rsidR="005F4A3B">
        <w:t>This is followed by o</w:t>
      </w:r>
      <w:r w:rsidR="00F04303">
        <w:t>nsite utilization of captured CO</w:t>
      </w:r>
      <w:r w:rsidR="00F04303" w:rsidRPr="00F04303">
        <w:rPr>
          <w:vertAlign w:val="subscript"/>
        </w:rPr>
        <w:t>2</w:t>
      </w:r>
      <w:r w:rsidR="00F04303">
        <w:t xml:space="preserve"> for natural gas production using a Swiss electricity mix</w:t>
      </w:r>
      <w:r w:rsidR="009D123A">
        <w:t xml:space="preserve">, which is </w:t>
      </w:r>
      <w:r w:rsidR="00F04303">
        <w:t>77</w:t>
      </w:r>
      <w:r>
        <w:t xml:space="preserve"> </w:t>
      </w:r>
      <w:r w:rsidR="00F04303">
        <w:t xml:space="preserve">% renewable. </w:t>
      </w:r>
      <w:r w:rsidR="005F4A3B">
        <w:t xml:space="preserve">Next is </w:t>
      </w:r>
      <w:r w:rsidR="00F04303">
        <w:t>olefins production</w:t>
      </w:r>
      <w:r w:rsidR="00D56B28">
        <w:t xml:space="preserve"> </w:t>
      </w:r>
      <w:r w:rsidR="005F4A3B">
        <w:t xml:space="preserve">at approximately </w:t>
      </w:r>
      <w:r w:rsidR="00D56B28">
        <w:t>56</w:t>
      </w:r>
      <w:r w:rsidRPr="00405D8D">
        <w:rPr>
          <w:sz w:val="2"/>
          <w:szCs w:val="2"/>
        </w:rPr>
        <w:t xml:space="preserve"> </w:t>
      </w:r>
      <w:r w:rsidR="00D56B28">
        <w:t>%</w:t>
      </w:r>
      <w:r w:rsidR="009D123A">
        <w:t>,</w:t>
      </w:r>
      <w:r w:rsidR="00F04303">
        <w:t xml:space="preserve"> where the captured CO</w:t>
      </w:r>
      <w:r w:rsidR="00F04303" w:rsidRPr="00F04303">
        <w:rPr>
          <w:vertAlign w:val="subscript"/>
        </w:rPr>
        <w:t>2</w:t>
      </w:r>
      <w:r w:rsidR="00F04303">
        <w:t xml:space="preserve"> and hydrogen </w:t>
      </w:r>
      <w:r w:rsidR="005F4A3B">
        <w:t xml:space="preserve">from electrolysis </w:t>
      </w:r>
      <w:r w:rsidR="00F04303">
        <w:t xml:space="preserve">are transformed into olefins with a </w:t>
      </w:r>
      <w:r w:rsidR="00EE2B94">
        <w:t xml:space="preserve">fuel gas </w:t>
      </w:r>
      <w:r w:rsidR="00F04303">
        <w:t>byproduct</w:t>
      </w:r>
      <w:r w:rsidR="005F4A3B">
        <w:t>.</w:t>
      </w:r>
      <w:r w:rsidR="00F04303">
        <w:t xml:space="preserve"> Finally</w:t>
      </w:r>
      <w:r w:rsidR="00DD7A3F">
        <w:t xml:space="preserve">, injection and mineralization routes still heavily rely on </w:t>
      </w:r>
      <w:r w:rsidR="00274746">
        <w:t xml:space="preserve">fossil </w:t>
      </w:r>
      <w:r w:rsidR="00824224">
        <w:t>natural gas</w:t>
      </w:r>
      <w:r w:rsidR="00DD7A3F" w:rsidRPr="00DD7A3F">
        <w:rPr>
          <w:vertAlign w:val="subscript"/>
        </w:rPr>
        <w:t xml:space="preserve"> </w:t>
      </w:r>
      <w:r w:rsidR="00DD7A3F">
        <w:t xml:space="preserve">import resulting in the lowest renewability index. </w:t>
      </w:r>
      <w:r w:rsidR="005F4A3B">
        <w:t xml:space="preserve">Introducing gasification or </w:t>
      </w:r>
      <w:r>
        <w:t>importing</w:t>
      </w:r>
      <w:r w:rsidR="005F4A3B">
        <w:t xml:space="preserve"> bio-SNG from the grid to these latter scenarios would substantially increase their renewability indices and result in negative overall CO</w:t>
      </w:r>
      <w:r w:rsidR="005F4A3B" w:rsidRPr="005F4A3B">
        <w:rPr>
          <w:vertAlign w:val="subscript"/>
        </w:rPr>
        <w:t>2</w:t>
      </w:r>
      <w:r w:rsidR="005F4A3B">
        <w:t xml:space="preserve"> emissions. </w:t>
      </w:r>
    </w:p>
    <w:p w14:paraId="221064DD" w14:textId="77777777" w:rsidR="00AA6B5C" w:rsidRDefault="00AA6B5C" w:rsidP="00672C89">
      <w:pPr>
        <w:pStyle w:val="Els-body-text"/>
      </w:pPr>
    </w:p>
    <w:p w14:paraId="267FAA1A" w14:textId="262FD611" w:rsidR="004C78D2" w:rsidRDefault="005A01F2" w:rsidP="00672C89">
      <w:pPr>
        <w:pStyle w:val="Els-body-text"/>
      </w:pPr>
      <w:r>
        <w:lastRenderedPageBreak/>
        <w:t>In terms of capture efficiency, a</w:t>
      </w:r>
      <w:r w:rsidR="00DD7A3F">
        <w:t xml:space="preserve">lmost all routes achieve an 80% reduction in </w:t>
      </w:r>
      <w:r w:rsidR="00EE2B94">
        <w:t xml:space="preserve">direct </w:t>
      </w:r>
      <w:r w:rsidR="00DD7A3F">
        <w:t>CO</w:t>
      </w:r>
      <w:r w:rsidR="00DD7A3F" w:rsidRPr="00DD7A3F">
        <w:rPr>
          <w:vertAlign w:val="subscript"/>
        </w:rPr>
        <w:t>2</w:t>
      </w:r>
      <w:r w:rsidR="00DD7A3F">
        <w:t xml:space="preserve"> emissions of the plant. This </w:t>
      </w:r>
      <w:r w:rsidR="004F4879">
        <w:t xml:space="preserve">is </w:t>
      </w:r>
      <w:r w:rsidR="00DD7A3F">
        <w:t xml:space="preserve">lower than efficiencies typically reported for the evaluated capture technologies </w:t>
      </w:r>
      <w:r w:rsidR="004F4879">
        <w:t>because of</w:t>
      </w:r>
      <w:r w:rsidR="00DD7A3F">
        <w:t xml:space="preserve"> some losses occurring from the plant furnaces </w:t>
      </w:r>
      <w:r w:rsidR="00FA7CC8">
        <w:t>during</w:t>
      </w:r>
      <w:r w:rsidR="005F4A3B">
        <w:t xml:space="preserve"> </w:t>
      </w:r>
      <w:r w:rsidR="004F4879">
        <w:t>aluminium loading</w:t>
      </w:r>
      <w:r w:rsidR="00DD7A3F">
        <w:t xml:space="preserve">. The capture efficiency of the olefins and methane production routes is slightly lower due to the </w:t>
      </w:r>
      <w:r w:rsidR="00FA7CC8">
        <w:t>need for</w:t>
      </w:r>
      <w:r w:rsidR="00DD7A3F">
        <w:t xml:space="preserve"> optimized storage systems </w:t>
      </w:r>
      <w:r w:rsidR="00E074E8">
        <w:t xml:space="preserve">to </w:t>
      </w:r>
      <w:r w:rsidR="00DD7A3F">
        <w:t xml:space="preserve">supply the plant </w:t>
      </w:r>
      <w:r w:rsidR="00FA7CC8">
        <w:t xml:space="preserve">fuel </w:t>
      </w:r>
      <w:r w:rsidR="00824224">
        <w:t xml:space="preserve">demands and contain </w:t>
      </w:r>
      <w:r w:rsidR="004F4879">
        <w:t>emitted</w:t>
      </w:r>
      <w:r w:rsidR="00824224">
        <w:t xml:space="preserve"> CO</w:t>
      </w:r>
      <w:r w:rsidR="00824224" w:rsidRPr="00824224">
        <w:rPr>
          <w:vertAlign w:val="subscript"/>
        </w:rPr>
        <w:t>2</w:t>
      </w:r>
      <w:r w:rsidR="00E074E8">
        <w:t>. An important consideration to account for when utilizing electricity grids are the indirect emissions resulting from that electricity</w:t>
      </w:r>
      <w:r w:rsidR="004F4879">
        <w:t>. F</w:t>
      </w:r>
      <w:r w:rsidR="00E074E8">
        <w:t xml:space="preserve">or </w:t>
      </w:r>
      <w:r w:rsidR="004F4879">
        <w:t>some scenarios indirect emissions</w:t>
      </w:r>
      <w:r w:rsidR="00E074E8">
        <w:t xml:space="preserve"> </w:t>
      </w:r>
      <w:r w:rsidR="00FA7CC8">
        <w:t>reach</w:t>
      </w:r>
      <w:r w:rsidR="00E074E8">
        <w:t xml:space="preserve"> up to 150 kgCO</w:t>
      </w:r>
      <w:r w:rsidR="00E074E8" w:rsidRPr="00E074E8">
        <w:rPr>
          <w:vertAlign w:val="subscript"/>
        </w:rPr>
        <w:t>2</w:t>
      </w:r>
      <w:r w:rsidR="00E074E8">
        <w:t>/</w:t>
      </w:r>
      <w:proofErr w:type="spellStart"/>
      <w:r w:rsidR="00E074E8">
        <w:t>tAl</w:t>
      </w:r>
      <w:proofErr w:type="spellEnd"/>
      <w:r w:rsidR="00E074E8">
        <w:t xml:space="preserve">, surpassing the emissions of the base case and resulting merely in a scope shifting outcome. </w:t>
      </w:r>
    </w:p>
    <w:p w14:paraId="3A0124D3" w14:textId="77777777" w:rsidR="004C78D2" w:rsidRPr="00790D4F" w:rsidRDefault="004C78D2" w:rsidP="00672C89">
      <w:pPr>
        <w:pStyle w:val="Els-body-text"/>
        <w:rPr>
          <w:sz w:val="11"/>
          <w:szCs w:val="11"/>
        </w:rPr>
      </w:pPr>
    </w:p>
    <w:p w14:paraId="2ADAB5B2" w14:textId="25C71A27" w:rsidR="00672C89" w:rsidRDefault="007B603F" w:rsidP="00672C89">
      <w:pPr>
        <w:pStyle w:val="Els-body-text"/>
      </w:pPr>
      <w:r>
        <w:t>I</w:t>
      </w:r>
      <w:r w:rsidR="004F4879">
        <w:t xml:space="preserve">mporting green hydrogen at current prices increases operating expenses (OPEX) by up to 3 times compared to the base case. </w:t>
      </w:r>
      <w:r w:rsidR="00FA7CC8">
        <w:t>All</w:t>
      </w:r>
      <w:r w:rsidR="004A3D86">
        <w:t xml:space="preserve"> the CCUS options provide economic benefits </w:t>
      </w:r>
      <w:r w:rsidR="00824224">
        <w:t xml:space="preserve">in </w:t>
      </w:r>
      <w:r w:rsidR="005A01F2">
        <w:t xml:space="preserve">terms of </w:t>
      </w:r>
      <w:r w:rsidR="00824224">
        <w:t xml:space="preserve">OPEX </w:t>
      </w:r>
      <w:r w:rsidR="004A3D86">
        <w:t>compared to the base case.</w:t>
      </w:r>
      <w:r w:rsidR="005F4A3B">
        <w:t xml:space="preserve"> </w:t>
      </w:r>
      <w:r w:rsidR="004A3D86">
        <w:t>The CO</w:t>
      </w:r>
      <w:r w:rsidR="004A3D86" w:rsidRPr="00FA7CC8">
        <w:rPr>
          <w:vertAlign w:val="subscript"/>
        </w:rPr>
        <w:t>2</w:t>
      </w:r>
      <w:r w:rsidR="004A3D86">
        <w:t xml:space="preserve"> injection route reduces OPEX </w:t>
      </w:r>
      <w:r w:rsidR="00FA7CC8">
        <w:t>due to the avoided</w:t>
      </w:r>
      <w:r w:rsidR="004A3D86">
        <w:t xml:space="preserve"> CO</w:t>
      </w:r>
      <w:r w:rsidR="004A3D86" w:rsidRPr="00D56B28">
        <w:rPr>
          <w:vertAlign w:val="subscript"/>
        </w:rPr>
        <w:t>2</w:t>
      </w:r>
      <w:r w:rsidR="004A3D86">
        <w:t xml:space="preserve"> taxes that would be incurred in case emissions continue</w:t>
      </w:r>
      <w:r w:rsidR="007154E7">
        <w:t>. T</w:t>
      </w:r>
      <w:r w:rsidR="004A3D86">
        <w:t>he mineralization option also provides a small benefit in operational costs</w:t>
      </w:r>
      <w:r w:rsidR="00FA7CC8">
        <w:t xml:space="preserve"> </w:t>
      </w:r>
      <w:r w:rsidR="00824224">
        <w:t>resulting from the value</w:t>
      </w:r>
      <w:r w:rsidR="00FA7CC8">
        <w:t xml:space="preserve"> of marketable cement additives</w:t>
      </w:r>
      <w:r w:rsidR="006834F4">
        <w:t>. Th</w:t>
      </w:r>
      <w:r w:rsidR="00D56B28">
        <w:t>ese economic benefits are almost quadrupled in cases of methanation and olefins production due to the higher value of these products compared to simply injecting or mineralizing the captured CO</w:t>
      </w:r>
      <w:r w:rsidR="00D56B28" w:rsidRPr="00D56B28">
        <w:rPr>
          <w:vertAlign w:val="subscript"/>
        </w:rPr>
        <w:t>2</w:t>
      </w:r>
      <w:r w:rsidR="00D56B28">
        <w:t xml:space="preserve">. </w:t>
      </w:r>
    </w:p>
    <w:p w14:paraId="66EA1863" w14:textId="77777777" w:rsidR="004F4879" w:rsidRPr="00790D4F" w:rsidRDefault="004F4879" w:rsidP="00672C89">
      <w:pPr>
        <w:pStyle w:val="Els-body-text"/>
        <w:rPr>
          <w:sz w:val="13"/>
          <w:szCs w:val="13"/>
        </w:rPr>
      </w:pPr>
    </w:p>
    <w:p w14:paraId="1A7C92B7" w14:textId="2483299C" w:rsidR="004F4879" w:rsidRDefault="004F4879" w:rsidP="00672C89">
      <w:pPr>
        <w:pStyle w:val="Els-body-text"/>
      </w:pPr>
      <w:r>
        <w:rPr>
          <w:noProof/>
        </w:rPr>
        <w:drawing>
          <wp:inline distT="0" distB="0" distL="0" distR="0" wp14:anchorId="56E0135F" wp14:editId="59363E8E">
            <wp:extent cx="4499610" cy="2332355"/>
            <wp:effectExtent l="0" t="0" r="0" b="4445"/>
            <wp:docPr id="1033730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0923" name="Picture 10337309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9610" cy="2332355"/>
                    </a:xfrm>
                    <a:prstGeom prst="rect">
                      <a:avLst/>
                    </a:prstGeom>
                  </pic:spPr>
                </pic:pic>
              </a:graphicData>
            </a:graphic>
          </wp:inline>
        </w:drawing>
      </w:r>
    </w:p>
    <w:p w14:paraId="597C24F8" w14:textId="2206EBB3" w:rsidR="004F4879" w:rsidRPr="00B820C2" w:rsidRDefault="004F4879" w:rsidP="004F4879">
      <w:pPr>
        <w:pStyle w:val="Didascalia"/>
        <w:spacing w:before="0" w:after="0"/>
      </w:pPr>
      <w:bookmarkStart w:id="4" w:name="_Ref153803203"/>
      <w:r>
        <w:t xml:space="preserve">Figure </w:t>
      </w:r>
      <w:r>
        <w:fldChar w:fldCharType="begin"/>
      </w:r>
      <w:r>
        <w:instrText xml:space="preserve"> SEQ Figure \* ARABIC </w:instrText>
      </w:r>
      <w:r>
        <w:fldChar w:fldCharType="separate"/>
      </w:r>
      <w:r w:rsidR="004C22FE">
        <w:rPr>
          <w:noProof/>
        </w:rPr>
        <w:t>4</w:t>
      </w:r>
      <w:r>
        <w:fldChar w:fldCharType="end"/>
      </w:r>
      <w:bookmarkEnd w:id="4"/>
      <w:r>
        <w:t xml:space="preserve">: Capture efficiency (left axis, bar plots) and total costs (right axis, red dots) for the CCUS options. Total cost of the base case is indicated with a red dashed line for comparison. </w:t>
      </w:r>
    </w:p>
    <w:p w14:paraId="2DF0AFAE" w14:textId="77777777" w:rsidR="00B303AF" w:rsidRPr="00790D4F" w:rsidRDefault="00B303AF" w:rsidP="00672C89">
      <w:pPr>
        <w:pStyle w:val="Els-body-text"/>
        <w:rPr>
          <w:sz w:val="13"/>
          <w:szCs w:val="13"/>
        </w:rPr>
      </w:pPr>
    </w:p>
    <w:p w14:paraId="429E1D53" w14:textId="0F70BE40" w:rsidR="00790D4F" w:rsidRDefault="005A01F2" w:rsidP="004F4879">
      <w:pPr>
        <w:pStyle w:val="Els-body-text"/>
      </w:pPr>
      <w:r>
        <w:t xml:space="preserve">Next, the total annualized costs with relation to capture efficiencies for the evaluated scenarios are presented in </w:t>
      </w:r>
      <w:r>
        <w:fldChar w:fldCharType="begin"/>
      </w:r>
      <w:r>
        <w:instrText xml:space="preserve"> REF _Ref153803203 \h </w:instrText>
      </w:r>
      <w:r>
        <w:fldChar w:fldCharType="separate"/>
      </w:r>
      <w:r w:rsidR="004C22FE">
        <w:t xml:space="preserve">Figure </w:t>
      </w:r>
      <w:r w:rsidR="004C22FE">
        <w:rPr>
          <w:noProof/>
        </w:rPr>
        <w:t>4</w:t>
      </w:r>
      <w:r>
        <w:fldChar w:fldCharType="end"/>
      </w:r>
      <w:r w:rsidR="00790D4F">
        <w:t xml:space="preserve">. </w:t>
      </w:r>
      <w:r w:rsidR="00250F8B">
        <w:t>Oxyfuel and cryogenic separation almost always achieve the highest capture efficiency</w:t>
      </w:r>
      <w:r w:rsidR="00C172F6">
        <w:t xml:space="preserve">, except </w:t>
      </w:r>
      <w:r w:rsidR="00574A1E">
        <w:t>in</w:t>
      </w:r>
      <w:r w:rsidR="00C172F6">
        <w:t xml:space="preserve"> the methanation route where additional losses are attributed to storage systems. </w:t>
      </w:r>
      <w:r w:rsidR="00790D4F">
        <w:t>Mineralization options offer the lowest total cost</w:t>
      </w:r>
      <w:r w:rsidR="00574A1E">
        <w:t xml:space="preserve"> followed </w:t>
      </w:r>
      <w:r w:rsidR="00790D4F">
        <w:t>by</w:t>
      </w:r>
      <w:r w:rsidR="00F27157">
        <w:t xml:space="preserve"> </w:t>
      </w:r>
      <w:r w:rsidR="00790D4F">
        <w:t xml:space="preserve">olefins production due to the </w:t>
      </w:r>
      <w:r w:rsidR="00574A1E">
        <w:t>added</w:t>
      </w:r>
      <w:r w:rsidR="00790D4F">
        <w:t xml:space="preserve"> value of products.</w:t>
      </w:r>
      <w:r w:rsidR="00574A1E">
        <w:t xml:space="preserve"> T</w:t>
      </w:r>
      <w:r w:rsidR="00790D4F">
        <w:t xml:space="preserve">he total costs of </w:t>
      </w:r>
      <w:r w:rsidR="00574A1E">
        <w:t>either mineralization, olefin production or injection</w:t>
      </w:r>
      <w:r w:rsidR="00790D4F">
        <w:t xml:space="preserve"> remain lower than the base case. Methanation</w:t>
      </w:r>
      <w:r w:rsidR="007154E7">
        <w:t xml:space="preserve"> is</w:t>
      </w:r>
      <w:r w:rsidR="00790D4F">
        <w:t xml:space="preserve"> more costly than the base case due to the oversized electrolysis system</w:t>
      </w:r>
      <w:r w:rsidR="00F27157">
        <w:t xml:space="preserve"> which needs further optimization</w:t>
      </w:r>
      <w:r w:rsidR="00790D4F">
        <w:t xml:space="preserve">. Finally, current green hydrogen prices do not allow </w:t>
      </w:r>
      <w:r w:rsidR="00F27157">
        <w:t xml:space="preserve">economic </w:t>
      </w:r>
      <w:r w:rsidR="00790D4F">
        <w:t xml:space="preserve">competition with capture pathways. </w:t>
      </w:r>
      <w:r w:rsidR="00F27157">
        <w:t>In this regard, p</w:t>
      </w:r>
      <w:r w:rsidR="00790D4F">
        <w:t xml:space="preserve">roducing hydrogen via electrolysis seems to be more promising. However, technical difficulties </w:t>
      </w:r>
      <w:r w:rsidR="007154E7">
        <w:t>summarized</w:t>
      </w:r>
      <w:r w:rsidR="00790D4F">
        <w:t xml:space="preserve"> in hydrogen storage, higher furnace temperatures, and furnace gas composition</w:t>
      </w:r>
      <w:r w:rsidR="00F27157">
        <w:t xml:space="preserve"> currently</w:t>
      </w:r>
      <w:r w:rsidR="00790D4F">
        <w:t xml:space="preserve"> </w:t>
      </w:r>
      <w:r w:rsidR="00F27157">
        <w:t>impede</w:t>
      </w:r>
      <w:r w:rsidR="00790D4F">
        <w:t xml:space="preserve"> wide application of hydrogen combustion in the aluminium industry. </w:t>
      </w:r>
    </w:p>
    <w:p w14:paraId="4874A715" w14:textId="3ACAD960" w:rsidR="00D643F1" w:rsidRDefault="008D2649" w:rsidP="009D2540">
      <w:pPr>
        <w:pStyle w:val="Els-1storder-head"/>
        <w:spacing w:before="60"/>
        <w:rPr>
          <w:lang w:val="en-GB"/>
        </w:rPr>
      </w:pPr>
      <w:r w:rsidRPr="00A94774">
        <w:rPr>
          <w:lang w:val="en-GB"/>
        </w:rPr>
        <w:lastRenderedPageBreak/>
        <w:t>Conclusions</w:t>
      </w:r>
    </w:p>
    <w:p w14:paraId="610EE29D" w14:textId="5E0BBC8D" w:rsidR="000C779A" w:rsidRPr="00563E14" w:rsidRDefault="001E2B09" w:rsidP="001640F0">
      <w:pPr>
        <w:pStyle w:val="Els-body-text"/>
        <w:rPr>
          <w:lang w:val="en-GB"/>
        </w:rPr>
      </w:pPr>
      <w:r>
        <w:rPr>
          <w:lang w:val="en-GB"/>
        </w:rPr>
        <w:t>In conclusion, several CCUS pathways were evaluated for decarbonizing a secondary aluminium production facility.</w:t>
      </w:r>
      <w:r w:rsidR="00E46CB3">
        <w:rPr>
          <w:lang w:val="en-GB"/>
        </w:rPr>
        <w:t xml:space="preserve"> Up to 80% capture efficiency is reported for the evaluated technologies. </w:t>
      </w:r>
      <w:r w:rsidR="00890F12">
        <w:rPr>
          <w:lang w:val="en-GB"/>
        </w:rPr>
        <w:t xml:space="preserve">It was found that injection and mineralization pathways </w:t>
      </w:r>
      <w:r w:rsidR="0083214C">
        <w:rPr>
          <w:lang w:val="en-GB"/>
        </w:rPr>
        <w:t>sustain</w:t>
      </w:r>
      <w:r w:rsidR="00890F12">
        <w:rPr>
          <w:lang w:val="en-GB"/>
        </w:rPr>
        <w:t xml:space="preserve"> the </w:t>
      </w:r>
      <w:r w:rsidR="00AC27AB">
        <w:rPr>
          <w:lang w:val="en-GB"/>
        </w:rPr>
        <w:t>lowest</w:t>
      </w:r>
      <w:r w:rsidR="00890F12">
        <w:rPr>
          <w:lang w:val="en-GB"/>
        </w:rPr>
        <w:t xml:space="preserve"> energy consumption penalty</w:t>
      </w:r>
      <w:r w:rsidR="00F27157">
        <w:rPr>
          <w:lang w:val="en-GB"/>
        </w:rPr>
        <w:t xml:space="preserve"> </w:t>
      </w:r>
      <w:r w:rsidR="003B62C4">
        <w:rPr>
          <w:lang w:val="en-GB"/>
        </w:rPr>
        <w:t>(</w:t>
      </w:r>
      <w:r w:rsidR="00E46CB3">
        <w:rPr>
          <w:lang w:val="en-GB"/>
        </w:rPr>
        <w:t>20% higher than the base case</w:t>
      </w:r>
      <w:r w:rsidR="003B62C4">
        <w:rPr>
          <w:lang w:val="en-GB"/>
        </w:rPr>
        <w:t>)</w:t>
      </w:r>
      <w:r w:rsidR="00F27157">
        <w:rPr>
          <w:lang w:val="en-GB"/>
        </w:rPr>
        <w:t>. However, these options</w:t>
      </w:r>
      <w:r w:rsidR="00890F12">
        <w:rPr>
          <w:lang w:val="en-GB"/>
        </w:rPr>
        <w:t xml:space="preserve"> provide the least operational revenue due to the lower </w:t>
      </w:r>
      <w:r w:rsidR="00AC27AB">
        <w:rPr>
          <w:lang w:val="en-GB"/>
        </w:rPr>
        <w:t>income</w:t>
      </w:r>
      <w:r w:rsidR="00890F12">
        <w:rPr>
          <w:lang w:val="en-GB"/>
        </w:rPr>
        <w:t xml:space="preserve"> compared to fuels or chemicals produced in the methanation and olefins routes. </w:t>
      </w:r>
      <w:r w:rsidR="00AC27AB">
        <w:rPr>
          <w:lang w:val="en-GB"/>
        </w:rPr>
        <w:t xml:space="preserve">In addition, monitoring the indirect emissions of the utilized electricity is crucial for maximizing decarbonization potential </w:t>
      </w:r>
      <w:r w:rsidR="0083214C">
        <w:rPr>
          <w:lang w:val="en-GB"/>
        </w:rPr>
        <w:t xml:space="preserve">and avoiding any scope shifting effects. </w:t>
      </w:r>
      <w:r w:rsidR="00F27157">
        <w:rPr>
          <w:lang w:val="en-GB"/>
        </w:rPr>
        <w:t>Complete</w:t>
      </w:r>
      <w:r w:rsidR="0083214C">
        <w:rPr>
          <w:lang w:val="en-GB"/>
        </w:rPr>
        <w:t xml:space="preserve"> defossilization is possible if such capture pathways are coupled with the use of </w:t>
      </w:r>
      <w:r w:rsidR="00AC42D3">
        <w:rPr>
          <w:lang w:val="en-GB"/>
        </w:rPr>
        <w:t>renewable electricity</w:t>
      </w:r>
      <w:r w:rsidR="00E033CD">
        <w:rPr>
          <w:lang w:val="en-GB"/>
        </w:rPr>
        <w:t xml:space="preserve">. </w:t>
      </w:r>
      <w:r w:rsidR="00563E14">
        <w:rPr>
          <w:lang w:val="en-GB"/>
        </w:rPr>
        <w:t>Negative</w:t>
      </w:r>
      <w:r w:rsidR="00E033CD">
        <w:rPr>
          <w:lang w:val="en-GB"/>
        </w:rPr>
        <w:t xml:space="preserve"> CO</w:t>
      </w:r>
      <w:r w:rsidR="00E033CD" w:rsidRPr="00E033CD">
        <w:rPr>
          <w:vertAlign w:val="subscript"/>
          <w:lang w:val="en-GB"/>
        </w:rPr>
        <w:t>2</w:t>
      </w:r>
      <w:r w:rsidR="00E033CD">
        <w:rPr>
          <w:lang w:val="en-GB"/>
        </w:rPr>
        <w:t xml:space="preserve"> emissions </w:t>
      </w:r>
      <w:r w:rsidR="00563E14">
        <w:rPr>
          <w:lang w:val="en-GB"/>
        </w:rPr>
        <w:t xml:space="preserve">are </w:t>
      </w:r>
      <w:r w:rsidR="00F27157">
        <w:rPr>
          <w:lang w:val="en-GB"/>
        </w:rPr>
        <w:t xml:space="preserve">also achievable </w:t>
      </w:r>
      <w:r w:rsidR="00E033CD">
        <w:rPr>
          <w:lang w:val="en-GB"/>
        </w:rPr>
        <w:t xml:space="preserve">if SNG of biogenic origin is </w:t>
      </w:r>
      <w:r w:rsidR="00F27157">
        <w:rPr>
          <w:lang w:val="en-GB"/>
        </w:rPr>
        <w:t>used</w:t>
      </w:r>
      <w:r w:rsidR="00E033CD">
        <w:rPr>
          <w:lang w:val="en-GB"/>
        </w:rPr>
        <w:t xml:space="preserve"> </w:t>
      </w:r>
      <w:r w:rsidR="00F27157">
        <w:rPr>
          <w:lang w:val="en-GB"/>
        </w:rPr>
        <w:t>in</w:t>
      </w:r>
      <w:r w:rsidR="00E033CD">
        <w:rPr>
          <w:lang w:val="en-GB"/>
        </w:rPr>
        <w:t xml:space="preserve"> the plant</w:t>
      </w:r>
      <w:r w:rsidR="00C24075">
        <w:rPr>
          <w:lang w:val="en-GB"/>
        </w:rPr>
        <w:t xml:space="preserve">, </w:t>
      </w:r>
      <w:r w:rsidR="00E033CD">
        <w:rPr>
          <w:lang w:val="en-GB"/>
        </w:rPr>
        <w:t>captured</w:t>
      </w:r>
      <w:r w:rsidR="00390276">
        <w:rPr>
          <w:lang w:val="en-GB"/>
        </w:rPr>
        <w:t>,</w:t>
      </w:r>
      <w:r w:rsidR="00E033CD">
        <w:rPr>
          <w:lang w:val="en-GB"/>
        </w:rPr>
        <w:t xml:space="preserve"> and </w:t>
      </w:r>
      <w:r w:rsidR="00F27157">
        <w:rPr>
          <w:lang w:val="en-GB"/>
        </w:rPr>
        <w:t xml:space="preserve">transformed </w:t>
      </w:r>
      <w:r w:rsidR="005A01F2">
        <w:rPr>
          <w:lang w:val="en-GB"/>
        </w:rPr>
        <w:t xml:space="preserve">via </w:t>
      </w:r>
      <w:r w:rsidR="00E033CD">
        <w:rPr>
          <w:lang w:val="en-GB"/>
        </w:rPr>
        <w:t xml:space="preserve">any of the </w:t>
      </w:r>
      <w:r w:rsidR="005A01F2">
        <w:rPr>
          <w:lang w:val="en-GB"/>
        </w:rPr>
        <w:t xml:space="preserve">identified </w:t>
      </w:r>
      <w:r w:rsidR="00F27157">
        <w:rPr>
          <w:lang w:val="en-GB"/>
        </w:rPr>
        <w:t>utilization</w:t>
      </w:r>
      <w:r w:rsidR="00E033CD">
        <w:rPr>
          <w:lang w:val="en-GB"/>
        </w:rPr>
        <w:t xml:space="preserve"> options. </w:t>
      </w:r>
      <w:r w:rsidR="00F27157">
        <w:rPr>
          <w:lang w:val="en-GB"/>
        </w:rPr>
        <w:t xml:space="preserve">Finally, burning green hydrogen remains a viable but challenging alternative in both technical and economic aspects </w:t>
      </w:r>
      <w:r w:rsidR="005A01F2">
        <w:rPr>
          <w:lang w:val="en-GB"/>
        </w:rPr>
        <w:t>compared</w:t>
      </w:r>
      <w:r w:rsidR="00F27157">
        <w:rPr>
          <w:lang w:val="en-GB"/>
        </w:rPr>
        <w:t xml:space="preserve"> to the presented capture, storage, and utilization options. </w:t>
      </w:r>
    </w:p>
    <w:p w14:paraId="6BA4CF86" w14:textId="6FEF310B" w:rsidR="00D643F1" w:rsidRDefault="00D643F1" w:rsidP="008006AF">
      <w:pPr>
        <w:pStyle w:val="Els-reference-head"/>
        <w:spacing w:before="60"/>
      </w:pPr>
      <w:r w:rsidRPr="00325A35">
        <w:t>Acknowledgments</w:t>
      </w:r>
    </w:p>
    <w:p w14:paraId="07E575E8" w14:textId="5FA27554" w:rsidR="00177C36" w:rsidRPr="00177C36" w:rsidRDefault="00177C36" w:rsidP="00177C36">
      <w:pPr>
        <w:pStyle w:val="Els-body-text"/>
        <w:rPr>
          <w:lang w:val="en-GB"/>
        </w:rPr>
      </w:pPr>
      <w:r w:rsidRPr="00177C36">
        <w:rPr>
          <w:lang w:val="en-GB"/>
        </w:rPr>
        <w:t>The authors would like to thank the Net Zero Lab consortium for funding th</w:t>
      </w:r>
      <w:r w:rsidR="001818C8">
        <w:rPr>
          <w:lang w:val="en-GB"/>
        </w:rPr>
        <w:t>is</w:t>
      </w:r>
      <w:r w:rsidRPr="00177C36">
        <w:rPr>
          <w:lang w:val="en-GB"/>
        </w:rPr>
        <w:t xml:space="preserve"> work in the context of the project goals of decarbonizing </w:t>
      </w:r>
      <w:r>
        <w:rPr>
          <w:lang w:val="en-GB"/>
        </w:rPr>
        <w:t xml:space="preserve">secondary aluminium production. </w:t>
      </w:r>
    </w:p>
    <w:p w14:paraId="144DE6BF" w14:textId="3E3AAA52" w:rsidR="008D2649" w:rsidRDefault="008D2649" w:rsidP="005A01F2">
      <w:pPr>
        <w:pStyle w:val="Els-reference-head"/>
        <w:spacing w:before="60"/>
      </w:pPr>
      <w:r>
        <w:t>References</w:t>
      </w:r>
    </w:p>
    <w:p w14:paraId="0EDFE6AF" w14:textId="77777777" w:rsidR="00C753EC" w:rsidRPr="00C753EC" w:rsidRDefault="00876EE1" w:rsidP="00C753EC">
      <w:pPr>
        <w:pStyle w:val="Bibliografia"/>
        <w:rPr>
          <w:sz w:val="18"/>
        </w:rPr>
      </w:pPr>
      <w:r w:rsidRPr="008006AF">
        <w:rPr>
          <w:sz w:val="18"/>
          <w:szCs w:val="18"/>
          <w:lang w:val="en-US"/>
        </w:rPr>
        <w:fldChar w:fldCharType="begin"/>
      </w:r>
      <w:r w:rsidR="00F27157">
        <w:rPr>
          <w:sz w:val="18"/>
          <w:szCs w:val="18"/>
          <w:lang w:val="en-US"/>
        </w:rPr>
        <w:instrText xml:space="preserve"> ADDIN ZOTERO_BIBL {"uncited":[],"omitted":[],"custom":[]} CSL_BIBLIOGRAPHY </w:instrText>
      </w:r>
      <w:r w:rsidRPr="008006AF">
        <w:rPr>
          <w:sz w:val="18"/>
          <w:szCs w:val="18"/>
          <w:lang w:val="en-US"/>
        </w:rPr>
        <w:fldChar w:fldCharType="separate"/>
      </w:r>
      <w:r w:rsidR="00C753EC" w:rsidRPr="00C753EC">
        <w:rPr>
          <w:sz w:val="18"/>
        </w:rPr>
        <w:t xml:space="preserve">Flórez-Orrego, Daniel, Shivom Sharma, Silvio De Oliveira Junior, and François Maréchal. 2020. “Combined Exergy Analysis, Energy Integration and Optimization of Syngas and Ammonia Production Plants: A Cogeneration and Syngas Purification Perspective.” </w:t>
      </w:r>
      <w:r w:rsidR="00C753EC" w:rsidRPr="00C753EC">
        <w:rPr>
          <w:i/>
          <w:iCs/>
          <w:sz w:val="18"/>
        </w:rPr>
        <w:t>Journal of Cleaner Production</w:t>
      </w:r>
      <w:r w:rsidR="00C753EC" w:rsidRPr="00C753EC">
        <w:rPr>
          <w:sz w:val="18"/>
        </w:rPr>
        <w:t xml:space="preserve"> 244 (January): 118647. https://doi.org/10.1016/j.jclepro.2019.118647.</w:t>
      </w:r>
    </w:p>
    <w:p w14:paraId="3EA1846B" w14:textId="77777777" w:rsidR="00C753EC" w:rsidRPr="00C753EC" w:rsidRDefault="00C753EC" w:rsidP="00C753EC">
      <w:pPr>
        <w:pStyle w:val="Bibliografia"/>
        <w:rPr>
          <w:sz w:val="18"/>
        </w:rPr>
      </w:pPr>
      <w:r w:rsidRPr="00C753EC">
        <w:rPr>
          <w:sz w:val="18"/>
        </w:rPr>
        <w:t>IAI. 2023. “Greenhouse Gas Emissions – Aluminium Sector.” January 25, 2023. https://international-aluminium.org/.</w:t>
      </w:r>
    </w:p>
    <w:p w14:paraId="5561C33A" w14:textId="77777777" w:rsidR="00C753EC" w:rsidRPr="00C753EC" w:rsidRDefault="00C753EC" w:rsidP="00C753EC">
      <w:pPr>
        <w:pStyle w:val="Bibliografia"/>
        <w:rPr>
          <w:sz w:val="18"/>
        </w:rPr>
      </w:pPr>
      <w:proofErr w:type="spellStart"/>
      <w:r w:rsidRPr="00AC5C72">
        <w:rPr>
          <w:sz w:val="18"/>
          <w:lang w:val="it-IT"/>
        </w:rPr>
        <w:t>Janakiram</w:t>
      </w:r>
      <w:proofErr w:type="spellEnd"/>
      <w:r w:rsidRPr="00AC5C72">
        <w:rPr>
          <w:sz w:val="18"/>
          <w:lang w:val="it-IT"/>
        </w:rPr>
        <w:t xml:space="preserve">, </w:t>
      </w:r>
      <w:proofErr w:type="spellStart"/>
      <w:r w:rsidRPr="00AC5C72">
        <w:rPr>
          <w:sz w:val="18"/>
          <w:lang w:val="it-IT"/>
        </w:rPr>
        <w:t>Saravanan</w:t>
      </w:r>
      <w:proofErr w:type="spellEnd"/>
      <w:r w:rsidRPr="00AC5C72">
        <w:rPr>
          <w:sz w:val="18"/>
          <w:lang w:val="it-IT"/>
        </w:rPr>
        <w:t xml:space="preserve">, Fabio Santinelli, Riccardo Costi, </w:t>
      </w:r>
      <w:proofErr w:type="spellStart"/>
      <w:r w:rsidRPr="00AC5C72">
        <w:rPr>
          <w:sz w:val="18"/>
          <w:lang w:val="it-IT"/>
        </w:rPr>
        <w:t>Arne</w:t>
      </w:r>
      <w:proofErr w:type="spellEnd"/>
      <w:r w:rsidRPr="00AC5C72">
        <w:rPr>
          <w:sz w:val="18"/>
          <w:lang w:val="it-IT"/>
        </w:rPr>
        <w:t xml:space="preserve"> </w:t>
      </w:r>
      <w:proofErr w:type="spellStart"/>
      <w:r w:rsidRPr="00AC5C72">
        <w:rPr>
          <w:sz w:val="18"/>
          <w:lang w:val="it-IT"/>
        </w:rPr>
        <w:t>Lindbråthen</w:t>
      </w:r>
      <w:proofErr w:type="spellEnd"/>
      <w:r w:rsidRPr="00AC5C72">
        <w:rPr>
          <w:sz w:val="18"/>
          <w:lang w:val="it-IT"/>
        </w:rPr>
        <w:t xml:space="preserve">, Giuseppe Marino Nardelli, Kris </w:t>
      </w:r>
      <w:proofErr w:type="spellStart"/>
      <w:r w:rsidRPr="00AC5C72">
        <w:rPr>
          <w:sz w:val="18"/>
          <w:lang w:val="it-IT"/>
        </w:rPr>
        <w:t>Milkowski</w:t>
      </w:r>
      <w:proofErr w:type="spellEnd"/>
      <w:r w:rsidRPr="00AC5C72">
        <w:rPr>
          <w:sz w:val="18"/>
          <w:lang w:val="it-IT"/>
        </w:rPr>
        <w:t xml:space="preserve">, Luca </w:t>
      </w:r>
      <w:proofErr w:type="spellStart"/>
      <w:r w:rsidRPr="00AC5C72">
        <w:rPr>
          <w:sz w:val="18"/>
          <w:lang w:val="it-IT"/>
        </w:rPr>
        <w:t>Ansaloni</w:t>
      </w:r>
      <w:proofErr w:type="spellEnd"/>
      <w:r w:rsidRPr="00AC5C72">
        <w:rPr>
          <w:sz w:val="18"/>
          <w:lang w:val="it-IT"/>
        </w:rPr>
        <w:t xml:space="preserve">, and </w:t>
      </w:r>
      <w:proofErr w:type="spellStart"/>
      <w:r w:rsidRPr="00AC5C72">
        <w:rPr>
          <w:sz w:val="18"/>
          <w:lang w:val="it-IT"/>
        </w:rPr>
        <w:t>Liyuan</w:t>
      </w:r>
      <w:proofErr w:type="spellEnd"/>
      <w:r w:rsidRPr="00AC5C72">
        <w:rPr>
          <w:sz w:val="18"/>
          <w:lang w:val="it-IT"/>
        </w:rPr>
        <w:t xml:space="preserve"> Deng. 2021. </w:t>
      </w:r>
      <w:r w:rsidRPr="00C753EC">
        <w:rPr>
          <w:sz w:val="18"/>
        </w:rPr>
        <w:t xml:space="preserve">“Field Trial of Hollow Fiber Modules of Hybrid Facilitated Transport Membranes for Flue Gas CO2 Capture in Cement Industry.” </w:t>
      </w:r>
      <w:r w:rsidRPr="00C753EC">
        <w:rPr>
          <w:i/>
          <w:iCs/>
          <w:sz w:val="18"/>
        </w:rPr>
        <w:t>Chemical Engineering Journal</w:t>
      </w:r>
      <w:r w:rsidRPr="00C753EC">
        <w:rPr>
          <w:sz w:val="18"/>
        </w:rPr>
        <w:t xml:space="preserve"> 413 (June): 127405. https://doi.org/10.1016/j.cej.2020.127405.</w:t>
      </w:r>
    </w:p>
    <w:p w14:paraId="228B776A" w14:textId="77777777" w:rsidR="00C753EC" w:rsidRPr="00AC5C72" w:rsidRDefault="00C753EC" w:rsidP="00C753EC">
      <w:pPr>
        <w:pStyle w:val="Bibliografia"/>
        <w:rPr>
          <w:sz w:val="18"/>
          <w:lang w:val="it-IT"/>
        </w:rPr>
      </w:pPr>
      <w:r w:rsidRPr="00C753EC">
        <w:rPr>
          <w:sz w:val="18"/>
        </w:rPr>
        <w:t xml:space="preserve">Lin, Jian-Bin, Tai T. T. Nguyen, Ramanathan Vaidhyanathan, Jake Burner, Jared M. Taylor, Hana Durekova, Farid Akhtar, et al. 2021. “A Scalable Metal-Organic Framework as a Durable Physisorbent for Carbon Dioxide Capture.” </w:t>
      </w:r>
      <w:r w:rsidRPr="00AC5C72">
        <w:rPr>
          <w:i/>
          <w:iCs/>
          <w:sz w:val="18"/>
          <w:lang w:val="it-IT"/>
        </w:rPr>
        <w:t>Science</w:t>
      </w:r>
      <w:r w:rsidRPr="00AC5C72">
        <w:rPr>
          <w:sz w:val="18"/>
          <w:lang w:val="it-IT"/>
        </w:rPr>
        <w:t xml:space="preserve"> 374 (6574): 1464–69. https://doi.org/10.1126/science.abi7281.</w:t>
      </w:r>
    </w:p>
    <w:p w14:paraId="5B70F433" w14:textId="77777777" w:rsidR="00C753EC" w:rsidRPr="00C753EC" w:rsidRDefault="00C753EC" w:rsidP="00C753EC">
      <w:pPr>
        <w:pStyle w:val="Bibliografia"/>
        <w:rPr>
          <w:sz w:val="18"/>
        </w:rPr>
      </w:pPr>
      <w:r w:rsidRPr="00AC5C72">
        <w:rPr>
          <w:sz w:val="18"/>
          <w:lang w:val="it-IT"/>
        </w:rPr>
        <w:t xml:space="preserve">Nascimento Silva, Fernanda Cristina, Daniel </w:t>
      </w:r>
      <w:proofErr w:type="spellStart"/>
      <w:r w:rsidRPr="00AC5C72">
        <w:rPr>
          <w:sz w:val="18"/>
          <w:lang w:val="it-IT"/>
        </w:rPr>
        <w:t>Flórez-Orrego</w:t>
      </w:r>
      <w:proofErr w:type="spellEnd"/>
      <w:r w:rsidRPr="00AC5C72">
        <w:rPr>
          <w:sz w:val="18"/>
          <w:lang w:val="it-IT"/>
        </w:rPr>
        <w:t xml:space="preserve">, and Silvio De Oliveira Junior. </w:t>
      </w:r>
      <w:r w:rsidRPr="00C753EC">
        <w:rPr>
          <w:sz w:val="18"/>
        </w:rPr>
        <w:t xml:space="preserve">2019. “Exergy Assessment and Energy Integration of Advanced Gas Turbine Cycles on an Offshore Petroleum Production Platform.” </w:t>
      </w:r>
      <w:r w:rsidRPr="00C753EC">
        <w:rPr>
          <w:i/>
          <w:iCs/>
          <w:sz w:val="18"/>
        </w:rPr>
        <w:t>Energy Conversion and Management</w:t>
      </w:r>
      <w:r w:rsidRPr="00C753EC">
        <w:rPr>
          <w:sz w:val="18"/>
        </w:rPr>
        <w:t xml:space="preserve"> 197 (October): 111846. https://doi.org/10.1016/j.enconman.2019.111846.</w:t>
      </w:r>
    </w:p>
    <w:p w14:paraId="17552870" w14:textId="77777777" w:rsidR="00C753EC" w:rsidRPr="00C753EC" w:rsidRDefault="00C753EC" w:rsidP="00C753EC">
      <w:pPr>
        <w:pStyle w:val="Bibliografia"/>
        <w:rPr>
          <w:sz w:val="18"/>
        </w:rPr>
      </w:pPr>
      <w:r w:rsidRPr="00C753EC">
        <w:rPr>
          <w:sz w:val="18"/>
        </w:rPr>
        <w:t xml:space="preserve">Song, Chunfeng, Qingling Liu, Shuai Deng, Hailong Li, and Yutaka Kitamura. 2019. “Cryogenic-Based CO2 Capture Technologies: State-of-the-Art Developments and Current Challenges.” </w:t>
      </w:r>
      <w:r w:rsidRPr="00C753EC">
        <w:rPr>
          <w:i/>
          <w:iCs/>
          <w:sz w:val="18"/>
        </w:rPr>
        <w:t>Renewable and Sustainable Energy Reviews</w:t>
      </w:r>
      <w:r w:rsidRPr="00C753EC">
        <w:rPr>
          <w:sz w:val="18"/>
        </w:rPr>
        <w:t xml:space="preserve"> 101 (March): 265–78. https://doi.org/10.1016/j.rser.2018.11.018.</w:t>
      </w:r>
    </w:p>
    <w:p w14:paraId="38FD1758" w14:textId="77777777" w:rsidR="00C753EC" w:rsidRPr="00C753EC" w:rsidRDefault="00C753EC" w:rsidP="00C753EC">
      <w:pPr>
        <w:pStyle w:val="Bibliografia"/>
        <w:rPr>
          <w:sz w:val="18"/>
        </w:rPr>
      </w:pPr>
      <w:r w:rsidRPr="00C753EC">
        <w:rPr>
          <w:sz w:val="18"/>
        </w:rPr>
        <w:t xml:space="preserve">Yoo, Min-Jung, Lindsay Lessard, Maziar Kermani, and François Maréchal. 2015. “OsmoseLua – An Integrated Approach to Energy Systems Integration with LCIA and GIS.” In </w:t>
      </w:r>
      <w:r w:rsidRPr="00C753EC">
        <w:rPr>
          <w:i/>
          <w:iCs/>
          <w:sz w:val="18"/>
        </w:rPr>
        <w:t>Computer Aided Chemical Engineering</w:t>
      </w:r>
      <w:r w:rsidRPr="00C753EC">
        <w:rPr>
          <w:sz w:val="18"/>
        </w:rPr>
        <w:t>, 37:587–92. Elsevier. https://doi.org/10.1016/B978-0-444-63578-5.50093-1.</w:t>
      </w:r>
    </w:p>
    <w:p w14:paraId="60756FD2" w14:textId="77777777" w:rsidR="00C753EC" w:rsidRPr="00C753EC" w:rsidRDefault="00C753EC" w:rsidP="00C753EC">
      <w:pPr>
        <w:pStyle w:val="Bibliografia"/>
        <w:rPr>
          <w:sz w:val="18"/>
        </w:rPr>
      </w:pPr>
      <w:r w:rsidRPr="00AC5C72">
        <w:rPr>
          <w:sz w:val="18"/>
          <w:lang w:val="it-IT"/>
        </w:rPr>
        <w:t xml:space="preserve">Zanco, Stefano E., José-Francisco </w:t>
      </w:r>
      <w:proofErr w:type="spellStart"/>
      <w:r w:rsidRPr="00AC5C72">
        <w:rPr>
          <w:sz w:val="18"/>
          <w:lang w:val="it-IT"/>
        </w:rPr>
        <w:t>Pérez</w:t>
      </w:r>
      <w:proofErr w:type="spellEnd"/>
      <w:r w:rsidRPr="00AC5C72">
        <w:rPr>
          <w:sz w:val="18"/>
          <w:lang w:val="it-IT"/>
        </w:rPr>
        <w:t xml:space="preserve">-Calvo, Antonio </w:t>
      </w:r>
      <w:proofErr w:type="spellStart"/>
      <w:r w:rsidRPr="00AC5C72">
        <w:rPr>
          <w:sz w:val="18"/>
          <w:lang w:val="it-IT"/>
        </w:rPr>
        <w:t>Gasós</w:t>
      </w:r>
      <w:proofErr w:type="spellEnd"/>
      <w:r w:rsidRPr="00AC5C72">
        <w:rPr>
          <w:sz w:val="18"/>
          <w:lang w:val="it-IT"/>
        </w:rPr>
        <w:t xml:space="preserve">, Beatrice </w:t>
      </w:r>
      <w:proofErr w:type="spellStart"/>
      <w:r w:rsidRPr="00AC5C72">
        <w:rPr>
          <w:sz w:val="18"/>
          <w:lang w:val="it-IT"/>
        </w:rPr>
        <w:t>Cordiano</w:t>
      </w:r>
      <w:proofErr w:type="spellEnd"/>
      <w:r w:rsidRPr="00AC5C72">
        <w:rPr>
          <w:sz w:val="18"/>
          <w:lang w:val="it-IT"/>
        </w:rPr>
        <w:t xml:space="preserve">, Viola Becattini, and Marco Mazzotti. </w:t>
      </w:r>
      <w:r w:rsidRPr="00C753EC">
        <w:rPr>
          <w:sz w:val="18"/>
        </w:rPr>
        <w:t xml:space="preserve">2021. “Postcombustion CO2 Capture: A Comparative Techno-Economic Assessment of Three Technologies Using a Solvent, an Adsorbent, and a Membrane.” </w:t>
      </w:r>
      <w:r w:rsidRPr="00C753EC">
        <w:rPr>
          <w:i/>
          <w:iCs/>
          <w:sz w:val="18"/>
        </w:rPr>
        <w:t>ACS Engineering Au</w:t>
      </w:r>
      <w:r w:rsidRPr="00C753EC">
        <w:rPr>
          <w:sz w:val="18"/>
        </w:rPr>
        <w:t xml:space="preserve"> 1 (1): 50–72. https://doi.org/10.1021/acsengineeringau.1c00002.</w:t>
      </w:r>
    </w:p>
    <w:p w14:paraId="144DE6C3" w14:textId="514D5454" w:rsidR="008D2649" w:rsidRPr="00954BAE" w:rsidRDefault="00876EE1" w:rsidP="005A01F2">
      <w:pPr>
        <w:pStyle w:val="Bibliografia"/>
        <w:ind w:left="0" w:firstLine="0"/>
        <w:rPr>
          <w:sz w:val="17"/>
          <w:szCs w:val="17"/>
          <w:lang w:val="en-US"/>
        </w:rPr>
      </w:pPr>
      <w:r w:rsidRPr="008006AF">
        <w:rPr>
          <w:sz w:val="18"/>
          <w:szCs w:val="18"/>
          <w:lang w:val="en-US"/>
        </w:rPr>
        <w:fldChar w:fldCharType="end"/>
      </w:r>
    </w:p>
    <w:sectPr w:rsidR="008D2649" w:rsidRPr="00954BAE" w:rsidSect="008B0184">
      <w:headerReference w:type="even" r:id="rId12"/>
      <w:headerReference w:type="default" r:id="rId13"/>
      <w:headerReference w:type="first" r:id="rId1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6B488" w14:textId="77777777" w:rsidR="00DB7B74" w:rsidRDefault="00DB7B74">
      <w:r>
        <w:separator/>
      </w:r>
    </w:p>
  </w:endnote>
  <w:endnote w:type="continuationSeparator" w:id="0">
    <w:p w14:paraId="75503F8D" w14:textId="77777777" w:rsidR="00DB7B74" w:rsidRDefault="00DB7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AD74C" w14:textId="77777777" w:rsidR="00DB7B74" w:rsidRDefault="00DB7B74">
      <w:r>
        <w:separator/>
      </w:r>
    </w:p>
  </w:footnote>
  <w:footnote w:type="continuationSeparator" w:id="0">
    <w:p w14:paraId="71F03328" w14:textId="77777777" w:rsidR="00DB7B74" w:rsidRDefault="00DB7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5EB2E158" w:rsidR="00DD3D9E" w:rsidRDefault="00DD3D9E">
    <w:pPr>
      <w:pStyle w:val="Intestazione"/>
      <w:tabs>
        <w:tab w:val="clear" w:pos="7200"/>
        <w:tab w:val="right" w:pos="7088"/>
      </w:tabs>
    </w:pPr>
    <w:r>
      <w:rPr>
        <w:rStyle w:val="Numeropagina"/>
      </w:rPr>
      <w:tab/>
    </w:r>
    <w:r>
      <w:rPr>
        <w:rStyle w:val="Numeropagina"/>
        <w: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0F7BDF63" w:rsidR="00DD3D9E" w:rsidRDefault="00DD3D9E">
    <w:pPr>
      <w:pStyle w:val="Intestazione"/>
      <w:tabs>
        <w:tab w:val="clear" w:pos="7200"/>
        <w:tab w:val="right" w:pos="7088"/>
      </w:tabs>
      <w:jc w:val="right"/>
      <w:rPr>
        <w:sz w:val="24"/>
      </w:rPr>
    </w:pPr>
    <w:r>
      <w:rPr>
        <w:rStyle w:val="Numeropagina"/>
        <w:i/>
        <w:sz w:val="24"/>
      </w:rPr>
      <w:tab/>
    </w:r>
    <w:r>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C" w14:textId="65EF433B" w:rsidR="00DD3D9E" w:rsidRPr="00FF6043" w:rsidRDefault="001B1DE3" w:rsidP="00FF6043">
    <w:pPr>
      <w:pStyle w:val="ElsevierBodyTextCentredNospace"/>
      <w:jc w:val="left"/>
      <w:rPr>
        <w:noProof/>
        <w:sz w:val="20"/>
        <w:szCs w:val="20"/>
      </w:rPr>
    </w:pPr>
    <w:r>
      <w:rPr>
        <w:noProof/>
        <w:color w:val="auto"/>
        <w:sz w:val="20"/>
        <w:szCs w:val="20"/>
      </w:rPr>
      <w:drawing>
        <wp:inline distT="0" distB="0" distL="0" distR="0" wp14:anchorId="26F3196F" wp14:editId="0458D368">
          <wp:extent cx="4499610" cy="9169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ongress.jpg"/>
                  <pic:cNvPicPr/>
                </pic:nvPicPr>
                <pic:blipFill>
                  <a:blip r:embed="rId1">
                    <a:extLst>
                      <a:ext uri="{28A0092B-C50C-407E-A947-70E740481C1C}">
                        <a14:useLocalDpi xmlns:a14="http://schemas.microsoft.com/office/drawing/2010/main" val="0"/>
                      </a:ext>
                    </a:extLst>
                  </a:blip>
                  <a:stretch>
                    <a:fillRect/>
                  </a:stretch>
                </pic:blipFill>
                <pic:spPr>
                  <a:xfrm>
                    <a:off x="0" y="0"/>
                    <a:ext cx="4499610" cy="916940"/>
                  </a:xfrm>
                  <a:prstGeom prst="rect">
                    <a:avLst/>
                  </a:prstGeom>
                </pic:spPr>
              </pic:pic>
            </a:graphicData>
          </a:graphic>
        </wp:inline>
      </w:drawing>
    </w:r>
    <w:r w:rsidR="00F06842" w:rsidRPr="00FF6043">
      <w:rPr>
        <w:color w:val="auto"/>
        <w:sz w:val="20"/>
        <w:szCs w:val="20"/>
      </w:rPr>
      <w:t xml:space="preserve">Flavio Manenti, Gintaras V. Reklaitis (Eds.), </w:t>
    </w:r>
    <w:r w:rsidR="00FF6043" w:rsidRPr="00FF6043">
      <w:rPr>
        <w:color w:val="auto"/>
        <w:sz w:val="20"/>
        <w:szCs w:val="20"/>
      </w:rPr>
      <w:t>B</w:t>
    </w:r>
    <w:r w:rsidR="00FF6043" w:rsidRPr="00FF6043">
      <w:rPr>
        <w:noProof/>
        <w:sz w:val="20"/>
        <w:szCs w:val="20"/>
      </w:rPr>
      <w:t>ook of Abstract</w:t>
    </w:r>
    <w:r w:rsidR="00F06842" w:rsidRPr="00FF6043">
      <w:rPr>
        <w:noProof/>
        <w:sz w:val="20"/>
        <w:szCs w:val="20"/>
      </w:rPr>
      <w:t xml:space="preserve"> of the </w:t>
    </w:r>
    <w:r w:rsidR="00F06842" w:rsidRPr="00FF6043">
      <w:rPr>
        <w:rStyle w:val="underline1"/>
        <w:sz w:val="20"/>
        <w:szCs w:val="20"/>
        <w:u w:val="none"/>
      </w:rPr>
      <w:t>34</w:t>
    </w:r>
    <w:r w:rsidR="00F06842" w:rsidRPr="00FF6043">
      <w:rPr>
        <w:rStyle w:val="underline1"/>
        <w:sz w:val="20"/>
        <w:szCs w:val="20"/>
        <w:u w:val="none"/>
        <w:vertAlign w:val="superscript"/>
      </w:rPr>
      <w:t>th</w:t>
    </w:r>
    <w:r w:rsidR="00F06842" w:rsidRPr="00FF6043">
      <w:rPr>
        <w:rStyle w:val="underline1"/>
        <w:sz w:val="20"/>
        <w:szCs w:val="20"/>
        <w:u w:val="none"/>
      </w:rPr>
      <w:t xml:space="preserve"> European Symposium on Computer Aided Process Engineering / 15</w:t>
    </w:r>
    <w:r w:rsidR="00F06842" w:rsidRPr="00FF6043">
      <w:rPr>
        <w:rStyle w:val="underline1"/>
        <w:sz w:val="20"/>
        <w:szCs w:val="20"/>
        <w:u w:val="none"/>
        <w:vertAlign w:val="superscript"/>
      </w:rPr>
      <w:t>th</w:t>
    </w:r>
    <w:r w:rsidR="00F06842" w:rsidRPr="00FF6043">
      <w:rPr>
        <w:rStyle w:val="underline1"/>
        <w:sz w:val="20"/>
        <w:szCs w:val="20"/>
        <w:u w:val="none"/>
      </w:rPr>
      <w:t xml:space="preserve"> International Symposium on Process Systems Engineerin</w:t>
    </w:r>
    <w:r w:rsidR="00F06842" w:rsidRPr="00FF6043">
      <w:rPr>
        <w:rStyle w:val="underline1"/>
        <w:sz w:val="20"/>
        <w:szCs w:val="20"/>
      </w:rPr>
      <w:t>g</w:t>
    </w:r>
    <w:r w:rsidR="00F06842" w:rsidRPr="00FF6043">
      <w:rPr>
        <w:noProof/>
        <w:sz w:val="20"/>
        <w:szCs w:val="20"/>
      </w:rPr>
      <w:t xml:space="preserve"> (ESCAPE34/PSE24), June 2-6, 2024,</w:t>
    </w:r>
    <w:r w:rsidR="00F06842" w:rsidRPr="00FF6043">
      <w:rPr>
        <w:sz w:val="20"/>
        <w:szCs w:val="20"/>
      </w:rPr>
      <w:t xml:space="preserve"> Florence</w:t>
    </w:r>
    <w:r w:rsidR="00F06842" w:rsidRPr="00FF6043">
      <w:rPr>
        <w:noProof/>
        <w:sz w:val="20"/>
        <w:szCs w:val="20"/>
      </w:rPr>
      <w:t>, Italy</w:t>
    </w:r>
    <w:r w:rsidR="00FF6043">
      <w:rPr>
        <w:noProof/>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 w:numId="19">
    <w:abstractNumId w:val="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1322A"/>
    <w:rsid w:val="00013605"/>
    <w:rsid w:val="00013FBA"/>
    <w:rsid w:val="00064858"/>
    <w:rsid w:val="000A305D"/>
    <w:rsid w:val="000A4070"/>
    <w:rsid w:val="000A4A23"/>
    <w:rsid w:val="000A5213"/>
    <w:rsid w:val="000A7A66"/>
    <w:rsid w:val="000B4887"/>
    <w:rsid w:val="000C3BB6"/>
    <w:rsid w:val="000C779A"/>
    <w:rsid w:val="000D3D9B"/>
    <w:rsid w:val="000E114B"/>
    <w:rsid w:val="000F4A96"/>
    <w:rsid w:val="000F52CD"/>
    <w:rsid w:val="00102373"/>
    <w:rsid w:val="0011357C"/>
    <w:rsid w:val="00154119"/>
    <w:rsid w:val="0016032F"/>
    <w:rsid w:val="0016192D"/>
    <w:rsid w:val="00161FAE"/>
    <w:rsid w:val="00162F85"/>
    <w:rsid w:val="001640F0"/>
    <w:rsid w:val="00177C36"/>
    <w:rsid w:val="001818C8"/>
    <w:rsid w:val="0018402F"/>
    <w:rsid w:val="001879F6"/>
    <w:rsid w:val="001A1909"/>
    <w:rsid w:val="001B0BC4"/>
    <w:rsid w:val="001B1DE3"/>
    <w:rsid w:val="001B7BA7"/>
    <w:rsid w:val="001C0148"/>
    <w:rsid w:val="001C757E"/>
    <w:rsid w:val="001D5A7A"/>
    <w:rsid w:val="001E2B09"/>
    <w:rsid w:val="001F624A"/>
    <w:rsid w:val="001F6475"/>
    <w:rsid w:val="0020390F"/>
    <w:rsid w:val="00231EA9"/>
    <w:rsid w:val="0024242B"/>
    <w:rsid w:val="002428F1"/>
    <w:rsid w:val="00250F8B"/>
    <w:rsid w:val="00261530"/>
    <w:rsid w:val="00264926"/>
    <w:rsid w:val="00270051"/>
    <w:rsid w:val="00271748"/>
    <w:rsid w:val="00274746"/>
    <w:rsid w:val="00281088"/>
    <w:rsid w:val="002A2009"/>
    <w:rsid w:val="002B46D8"/>
    <w:rsid w:val="002B7124"/>
    <w:rsid w:val="002E13F3"/>
    <w:rsid w:val="002E4256"/>
    <w:rsid w:val="002F3200"/>
    <w:rsid w:val="003355A3"/>
    <w:rsid w:val="00344D01"/>
    <w:rsid w:val="00361445"/>
    <w:rsid w:val="00380C26"/>
    <w:rsid w:val="00385BD5"/>
    <w:rsid w:val="00390274"/>
    <w:rsid w:val="00390276"/>
    <w:rsid w:val="003A1DA0"/>
    <w:rsid w:val="003B62C4"/>
    <w:rsid w:val="003C6B53"/>
    <w:rsid w:val="003D1465"/>
    <w:rsid w:val="003D1582"/>
    <w:rsid w:val="003D47E1"/>
    <w:rsid w:val="003D7E4C"/>
    <w:rsid w:val="003E41C2"/>
    <w:rsid w:val="00405D8D"/>
    <w:rsid w:val="004106FB"/>
    <w:rsid w:val="00425C56"/>
    <w:rsid w:val="004354E5"/>
    <w:rsid w:val="00447211"/>
    <w:rsid w:val="0046266B"/>
    <w:rsid w:val="004628E9"/>
    <w:rsid w:val="00494129"/>
    <w:rsid w:val="0049772C"/>
    <w:rsid w:val="004A3D86"/>
    <w:rsid w:val="004C1FFB"/>
    <w:rsid w:val="004C22FE"/>
    <w:rsid w:val="004C78D2"/>
    <w:rsid w:val="004D71EC"/>
    <w:rsid w:val="004D7696"/>
    <w:rsid w:val="004F4879"/>
    <w:rsid w:val="004F7374"/>
    <w:rsid w:val="00507CB7"/>
    <w:rsid w:val="00521AF1"/>
    <w:rsid w:val="00527031"/>
    <w:rsid w:val="00552EEB"/>
    <w:rsid w:val="00563E14"/>
    <w:rsid w:val="0056652D"/>
    <w:rsid w:val="00567D93"/>
    <w:rsid w:val="00574A1E"/>
    <w:rsid w:val="00581A51"/>
    <w:rsid w:val="005900F7"/>
    <w:rsid w:val="005910BE"/>
    <w:rsid w:val="005926F6"/>
    <w:rsid w:val="005A01F2"/>
    <w:rsid w:val="005A6268"/>
    <w:rsid w:val="005A7BEA"/>
    <w:rsid w:val="005D78AF"/>
    <w:rsid w:val="005F166C"/>
    <w:rsid w:val="005F4A3B"/>
    <w:rsid w:val="00605C29"/>
    <w:rsid w:val="00637065"/>
    <w:rsid w:val="00637597"/>
    <w:rsid w:val="006479B6"/>
    <w:rsid w:val="00660CA9"/>
    <w:rsid w:val="00672C89"/>
    <w:rsid w:val="006834F4"/>
    <w:rsid w:val="006A3085"/>
    <w:rsid w:val="006A6473"/>
    <w:rsid w:val="006A69BF"/>
    <w:rsid w:val="006B3FE0"/>
    <w:rsid w:val="006C03B9"/>
    <w:rsid w:val="006C11D1"/>
    <w:rsid w:val="006D2F25"/>
    <w:rsid w:val="006D4912"/>
    <w:rsid w:val="006D5EE7"/>
    <w:rsid w:val="006D74B7"/>
    <w:rsid w:val="00706A29"/>
    <w:rsid w:val="00711DF4"/>
    <w:rsid w:val="0071263C"/>
    <w:rsid w:val="007154E7"/>
    <w:rsid w:val="00724CBB"/>
    <w:rsid w:val="0075255F"/>
    <w:rsid w:val="00790D4F"/>
    <w:rsid w:val="0079427A"/>
    <w:rsid w:val="007A2A91"/>
    <w:rsid w:val="007A48A2"/>
    <w:rsid w:val="007B603F"/>
    <w:rsid w:val="007C55F0"/>
    <w:rsid w:val="007C79B6"/>
    <w:rsid w:val="007D70A1"/>
    <w:rsid w:val="007E7994"/>
    <w:rsid w:val="007F0038"/>
    <w:rsid w:val="008006AF"/>
    <w:rsid w:val="00800CE9"/>
    <w:rsid w:val="008132E8"/>
    <w:rsid w:val="00813996"/>
    <w:rsid w:val="00823407"/>
    <w:rsid w:val="00824224"/>
    <w:rsid w:val="0083214C"/>
    <w:rsid w:val="008323F0"/>
    <w:rsid w:val="00845C57"/>
    <w:rsid w:val="00857427"/>
    <w:rsid w:val="008574EE"/>
    <w:rsid w:val="00867DA1"/>
    <w:rsid w:val="00876EE1"/>
    <w:rsid w:val="00890F12"/>
    <w:rsid w:val="0089778A"/>
    <w:rsid w:val="008A552C"/>
    <w:rsid w:val="008B0184"/>
    <w:rsid w:val="008B222D"/>
    <w:rsid w:val="008B3965"/>
    <w:rsid w:val="008C5D02"/>
    <w:rsid w:val="008C6A3D"/>
    <w:rsid w:val="008D04AE"/>
    <w:rsid w:val="008D2649"/>
    <w:rsid w:val="008D64E4"/>
    <w:rsid w:val="008D7BD1"/>
    <w:rsid w:val="008E47AE"/>
    <w:rsid w:val="008F1290"/>
    <w:rsid w:val="008F1E53"/>
    <w:rsid w:val="008F2D57"/>
    <w:rsid w:val="0090568D"/>
    <w:rsid w:val="0090749A"/>
    <w:rsid w:val="009125C9"/>
    <w:rsid w:val="00913879"/>
    <w:rsid w:val="00917661"/>
    <w:rsid w:val="00921905"/>
    <w:rsid w:val="00926E68"/>
    <w:rsid w:val="00940D63"/>
    <w:rsid w:val="009423FF"/>
    <w:rsid w:val="009522E8"/>
    <w:rsid w:val="00954BAE"/>
    <w:rsid w:val="00970E5D"/>
    <w:rsid w:val="0097701C"/>
    <w:rsid w:val="00980A65"/>
    <w:rsid w:val="0099140F"/>
    <w:rsid w:val="00994405"/>
    <w:rsid w:val="009B069E"/>
    <w:rsid w:val="009C0F3C"/>
    <w:rsid w:val="009C6BE0"/>
    <w:rsid w:val="009D0215"/>
    <w:rsid w:val="009D123A"/>
    <w:rsid w:val="009D2540"/>
    <w:rsid w:val="00A00661"/>
    <w:rsid w:val="00A00CAA"/>
    <w:rsid w:val="00A01706"/>
    <w:rsid w:val="00A129DD"/>
    <w:rsid w:val="00A25E70"/>
    <w:rsid w:val="00A269AC"/>
    <w:rsid w:val="00A26D0D"/>
    <w:rsid w:val="00A33765"/>
    <w:rsid w:val="00A471B1"/>
    <w:rsid w:val="00A63269"/>
    <w:rsid w:val="00A64168"/>
    <w:rsid w:val="00A92377"/>
    <w:rsid w:val="00AA6B5C"/>
    <w:rsid w:val="00AB29ED"/>
    <w:rsid w:val="00AC27AB"/>
    <w:rsid w:val="00AC42D3"/>
    <w:rsid w:val="00AC5C72"/>
    <w:rsid w:val="00AC7C26"/>
    <w:rsid w:val="00AD06BB"/>
    <w:rsid w:val="00AE4BD8"/>
    <w:rsid w:val="00B01349"/>
    <w:rsid w:val="00B05449"/>
    <w:rsid w:val="00B303AF"/>
    <w:rsid w:val="00B40759"/>
    <w:rsid w:val="00B4388F"/>
    <w:rsid w:val="00B63237"/>
    <w:rsid w:val="00B820C2"/>
    <w:rsid w:val="00B921BC"/>
    <w:rsid w:val="00BC00FB"/>
    <w:rsid w:val="00BC1B08"/>
    <w:rsid w:val="00BC1D92"/>
    <w:rsid w:val="00BC68E7"/>
    <w:rsid w:val="00BC7717"/>
    <w:rsid w:val="00C172F6"/>
    <w:rsid w:val="00C24075"/>
    <w:rsid w:val="00C6393F"/>
    <w:rsid w:val="00C6399A"/>
    <w:rsid w:val="00C64FD7"/>
    <w:rsid w:val="00C72856"/>
    <w:rsid w:val="00C753EC"/>
    <w:rsid w:val="00C7693D"/>
    <w:rsid w:val="00C91941"/>
    <w:rsid w:val="00C960DC"/>
    <w:rsid w:val="00CD5832"/>
    <w:rsid w:val="00D023AB"/>
    <w:rsid w:val="00D02C75"/>
    <w:rsid w:val="00D10E22"/>
    <w:rsid w:val="00D13D2C"/>
    <w:rsid w:val="00D36CB0"/>
    <w:rsid w:val="00D56B28"/>
    <w:rsid w:val="00D6311E"/>
    <w:rsid w:val="00D63BC3"/>
    <w:rsid w:val="00D643F1"/>
    <w:rsid w:val="00D656D9"/>
    <w:rsid w:val="00D74DC4"/>
    <w:rsid w:val="00D8123D"/>
    <w:rsid w:val="00D82E49"/>
    <w:rsid w:val="00D85B76"/>
    <w:rsid w:val="00D9065B"/>
    <w:rsid w:val="00DA0CFB"/>
    <w:rsid w:val="00DB7B74"/>
    <w:rsid w:val="00DC2F94"/>
    <w:rsid w:val="00DD3D9E"/>
    <w:rsid w:val="00DD7908"/>
    <w:rsid w:val="00DD7A3F"/>
    <w:rsid w:val="00DF2AD4"/>
    <w:rsid w:val="00E033CD"/>
    <w:rsid w:val="00E074E8"/>
    <w:rsid w:val="00E07B04"/>
    <w:rsid w:val="00E11C83"/>
    <w:rsid w:val="00E11FDD"/>
    <w:rsid w:val="00E1645A"/>
    <w:rsid w:val="00E46CB3"/>
    <w:rsid w:val="00E54ABE"/>
    <w:rsid w:val="00E73795"/>
    <w:rsid w:val="00E82297"/>
    <w:rsid w:val="00EA4C79"/>
    <w:rsid w:val="00EA5075"/>
    <w:rsid w:val="00EB3975"/>
    <w:rsid w:val="00EC3DBF"/>
    <w:rsid w:val="00EE2B94"/>
    <w:rsid w:val="00EF240E"/>
    <w:rsid w:val="00EF39FD"/>
    <w:rsid w:val="00F04303"/>
    <w:rsid w:val="00F06842"/>
    <w:rsid w:val="00F107FD"/>
    <w:rsid w:val="00F10FAF"/>
    <w:rsid w:val="00F11993"/>
    <w:rsid w:val="00F176F4"/>
    <w:rsid w:val="00F23431"/>
    <w:rsid w:val="00F263B9"/>
    <w:rsid w:val="00F27157"/>
    <w:rsid w:val="00F27265"/>
    <w:rsid w:val="00F41F21"/>
    <w:rsid w:val="00F44638"/>
    <w:rsid w:val="00F55605"/>
    <w:rsid w:val="00F56F57"/>
    <w:rsid w:val="00F72493"/>
    <w:rsid w:val="00F76D8C"/>
    <w:rsid w:val="00F878CB"/>
    <w:rsid w:val="00FA7CC8"/>
    <w:rsid w:val="00FA7E8C"/>
    <w:rsid w:val="00FB64A8"/>
    <w:rsid w:val="00FF6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231EA9"/>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paragraph" w:styleId="Bibliografia">
    <w:name w:val="Bibliography"/>
    <w:basedOn w:val="Normale"/>
    <w:next w:val="Normale"/>
    <w:uiPriority w:val="37"/>
    <w:unhideWhenUsed/>
    <w:rsid w:val="00876EE1"/>
    <w:pPr>
      <w:ind w:left="720" w:hanging="720"/>
    </w:pPr>
  </w:style>
  <w:style w:type="table" w:styleId="Grigliatabella">
    <w:name w:val="Table Grid"/>
    <w:basedOn w:val="Tabellanormale"/>
    <w:rsid w:val="00184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griglia1chiara">
    <w:name w:val="Grid Table 1 Light"/>
    <w:basedOn w:val="Tabellanormale"/>
    <w:uiPriority w:val="46"/>
    <w:rsid w:val="00F1199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e"/>
    <w:link w:val="EndNoteBibliographyTitleChar"/>
    <w:rsid w:val="00D85B76"/>
    <w:pPr>
      <w:jc w:val="center"/>
    </w:pPr>
    <w:rPr>
      <w:noProof/>
      <w:sz w:val="18"/>
      <w:lang w:val="en-US"/>
    </w:rPr>
  </w:style>
  <w:style w:type="character" w:customStyle="1" w:styleId="EndNoteBibliographyTitleChar">
    <w:name w:val="EndNote Bibliography Title Char"/>
    <w:basedOn w:val="Carpredefinitoparagrafo"/>
    <w:link w:val="EndNoteBibliographyTitle"/>
    <w:rsid w:val="00D85B76"/>
    <w:rPr>
      <w:noProof/>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75546-5D9E-4E87-B43F-7236F447B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2274</Words>
  <Characters>27836</Characters>
  <Application>Microsoft Office Word</Application>
  <DocSecurity>0</DocSecurity>
  <Lines>231</Lines>
  <Paragraphs>60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30050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4</cp:revision>
  <cp:lastPrinted>2023-12-19T13:31:00Z</cp:lastPrinted>
  <dcterms:created xsi:type="dcterms:W3CDTF">2023-12-19T13:31:00Z</dcterms:created>
  <dcterms:modified xsi:type="dcterms:W3CDTF">2024-01-21T15:33:00Z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ZOTERO_PREF_1">
    <vt:lpwstr>&lt;data data-version="3" zotero-version="6.0.30"&gt;&lt;session id="8VOzfVYH"/&gt;&lt;style id="http://www.zotero.org/styles/chicago-author-date" locale="en-US" hasBibliography="1" bibliographyStyleHasBeenSet="1"/&gt;&lt;prefs&gt;&lt;pref name="fieldType" value="Field"/&gt;&lt;/prefs&gt;&lt;/</vt:lpwstr>
  </property>
  <property fmtid="{D5CDD505-2E9C-101B-9397-08002B2CF9AE}" pid="11" name="ZOTERO_PREF_2">
    <vt:lpwstr>data&gt;</vt:lpwstr>
  </property>
</Properties>
</file>