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3242364" w:rsidR="00DD3D9E" w:rsidRPr="00B4388F" w:rsidRDefault="007915AD">
      <w:pPr>
        <w:pStyle w:val="Els-Title"/>
        <w:rPr>
          <w:color w:val="000000" w:themeColor="text1"/>
        </w:rPr>
      </w:pPr>
      <w:bookmarkStart w:id="0" w:name="_GoBack"/>
      <w:bookmarkEnd w:id="0"/>
      <w:r w:rsidRPr="7101EE94">
        <w:rPr>
          <w:color w:val="000000" w:themeColor="text1"/>
        </w:rPr>
        <w:t>Small</w:t>
      </w:r>
      <w:r w:rsidR="005179FE">
        <w:rPr>
          <w:color w:val="000000" w:themeColor="text1"/>
        </w:rPr>
        <w:t>-</w:t>
      </w:r>
      <w:r w:rsidRPr="7101EE94">
        <w:rPr>
          <w:color w:val="000000" w:themeColor="text1"/>
        </w:rPr>
        <w:t>scale ammonia production: a superstructure approach</w:t>
      </w:r>
    </w:p>
    <w:p w14:paraId="144DE680" w14:textId="130078E0" w:rsidR="00DD3D9E" w:rsidRDefault="6C58ECE8">
      <w:pPr>
        <w:pStyle w:val="Els-Author"/>
      </w:pPr>
      <w:r>
        <w:t>A</w:t>
      </w:r>
      <w:r w:rsidR="3778715E">
        <w:t>lonso</w:t>
      </w:r>
      <w:r w:rsidR="29CFCE5B">
        <w:t xml:space="preserve"> </w:t>
      </w:r>
      <w:r w:rsidR="431EBA46">
        <w:t>M</w:t>
      </w:r>
      <w:r>
        <w:t>art</w:t>
      </w:r>
      <w:r w:rsidRPr="0A8C40EF">
        <w:rPr>
          <w:lang w:val="es-MX"/>
        </w:rPr>
        <w:t>ínez</w:t>
      </w:r>
      <w:r w:rsidR="39BC7CEB" w:rsidRPr="0A8C40EF">
        <w:rPr>
          <w:vertAlign w:val="superscript"/>
        </w:rPr>
        <w:t>a</w:t>
      </w:r>
      <w:r w:rsidR="7C29C0F4">
        <w:t xml:space="preserve">, </w:t>
      </w:r>
      <w:r w:rsidR="29CFCE5B">
        <w:t>T</w:t>
      </w:r>
      <w:r w:rsidR="3778715E">
        <w:t>hien</w:t>
      </w:r>
      <w:r>
        <w:t xml:space="preserve">. </w:t>
      </w:r>
      <w:r w:rsidR="29CFCE5B">
        <w:t xml:space="preserve">A. </w:t>
      </w:r>
      <w:r w:rsidR="7C29C0F4">
        <w:t>Huynh</w:t>
      </w:r>
      <w:r w:rsidR="39BC7CEB" w:rsidRPr="0A8C40EF">
        <w:rPr>
          <w:vertAlign w:val="superscript"/>
        </w:rPr>
        <w:t>b</w:t>
      </w:r>
      <w:r w:rsidR="7C29C0F4">
        <w:t xml:space="preserve">, </w:t>
      </w:r>
      <w:r w:rsidR="29CFCE5B">
        <w:t xml:space="preserve">C. </w:t>
      </w:r>
      <w:r w:rsidR="7C29C0F4">
        <w:t>Varela</w:t>
      </w:r>
      <w:r w:rsidR="39BC7CEB" w:rsidRPr="0A8C40EF">
        <w:rPr>
          <w:vertAlign w:val="superscript"/>
        </w:rPr>
        <w:t>c</w:t>
      </w:r>
      <w:r w:rsidR="7C29C0F4">
        <w:t xml:space="preserve">, </w:t>
      </w:r>
      <w:r w:rsidR="29CFCE5B">
        <w:t xml:space="preserve">J. </w:t>
      </w:r>
      <w:r w:rsidR="7C29C0F4">
        <w:t>Faria</w:t>
      </w:r>
      <w:r w:rsidR="39BC7CEB" w:rsidRPr="0A8C40EF">
        <w:rPr>
          <w:vertAlign w:val="superscript"/>
        </w:rPr>
        <w:t>a</w:t>
      </w:r>
      <w:r w:rsidR="7C29C0F4">
        <w:t xml:space="preserve">, </w:t>
      </w:r>
      <w:r w:rsidR="29CFCE5B">
        <w:t xml:space="preserve">E. </w:t>
      </w:r>
      <w:r w:rsidR="7C29C0F4">
        <w:t>Zondervan</w:t>
      </w:r>
      <w:r w:rsidR="39BC7CEB" w:rsidRPr="0A8C40EF">
        <w:rPr>
          <w:vertAlign w:val="superscript"/>
        </w:rPr>
        <w:t>a</w:t>
      </w:r>
      <w:r w:rsidR="39BC7CEB">
        <w:t>*</w:t>
      </w:r>
    </w:p>
    <w:p w14:paraId="144DE681" w14:textId="4F745FAB" w:rsidR="00DD3D9E" w:rsidRPr="00487EB0" w:rsidRDefault="00422045">
      <w:pPr>
        <w:pStyle w:val="Els-Affiliation"/>
        <w:rPr>
          <w:lang w:val="nl-NL"/>
        </w:rPr>
      </w:pPr>
      <w:r w:rsidRPr="00487EB0">
        <w:rPr>
          <w:vertAlign w:val="superscript"/>
          <w:lang w:val="nl-NL"/>
        </w:rPr>
        <w:t>a</w:t>
      </w:r>
      <w:r w:rsidR="00AC6AC8" w:rsidRPr="00487EB0">
        <w:rPr>
          <w:lang w:val="nl-NL"/>
        </w:rPr>
        <w:t xml:space="preserve">Twente </w:t>
      </w:r>
      <w:r w:rsidRPr="00487EB0">
        <w:rPr>
          <w:lang w:val="nl-NL"/>
        </w:rPr>
        <w:t>U</w:t>
      </w:r>
      <w:r w:rsidR="00AC6AC8" w:rsidRPr="00487EB0">
        <w:rPr>
          <w:lang w:val="nl-NL"/>
        </w:rPr>
        <w:t>niversity, Drienerlolaan 5, Enschede 7522 NB, The Netherlands</w:t>
      </w:r>
    </w:p>
    <w:p w14:paraId="144DE682" w14:textId="7581C46B" w:rsidR="00DD3D9E" w:rsidRPr="00487EB0" w:rsidRDefault="00422045">
      <w:pPr>
        <w:pStyle w:val="Els-Affiliation"/>
        <w:rPr>
          <w:lang w:val="nl-NL"/>
        </w:rPr>
      </w:pPr>
      <w:r w:rsidRPr="00487EB0">
        <w:rPr>
          <w:vertAlign w:val="superscript"/>
          <w:lang w:val="nl-NL"/>
        </w:rPr>
        <w:t>b</w:t>
      </w:r>
      <w:r w:rsidR="00AC6AC8" w:rsidRPr="00487EB0">
        <w:rPr>
          <w:lang w:val="nl-NL"/>
        </w:rPr>
        <w:t xml:space="preserve">Avebe, Prins Hendrikplein 20, Veendam </w:t>
      </w:r>
      <w:r w:rsidRPr="00487EB0">
        <w:rPr>
          <w:lang w:val="nl-NL"/>
        </w:rPr>
        <w:t>9641 GK, The Netherlands</w:t>
      </w:r>
    </w:p>
    <w:p w14:paraId="10C25111" w14:textId="136E96D5" w:rsidR="00422045" w:rsidRDefault="00422045">
      <w:pPr>
        <w:pStyle w:val="Els-Affiliation"/>
      </w:pPr>
      <w:r w:rsidRPr="596ACEA0">
        <w:rPr>
          <w:vertAlign w:val="superscript"/>
        </w:rPr>
        <w:t>c</w:t>
      </w:r>
      <w:r>
        <w:t>Escuela Superior Politécnica del Litoral</w:t>
      </w:r>
      <w:r w:rsidR="28765276">
        <w:t>,</w:t>
      </w:r>
      <w:r>
        <w:t xml:space="preserve"> </w:t>
      </w:r>
      <w:r w:rsidR="00975819">
        <w:t>k</w:t>
      </w:r>
      <w:r w:rsidR="3AF1108E">
        <w:t xml:space="preserve">m. 30.5 Via </w:t>
      </w:r>
      <w:r>
        <w:t>Perimetral</w:t>
      </w:r>
      <w:r w:rsidR="008D71C6">
        <w:t>, Guayaquil</w:t>
      </w:r>
      <w:r w:rsidR="55DA1BA1">
        <w:t>, P.O. Box</w:t>
      </w:r>
      <w:r>
        <w:t xml:space="preserve"> 09-01-5863, Ecuador</w:t>
      </w:r>
    </w:p>
    <w:p w14:paraId="144DE683" w14:textId="079E9D5C" w:rsidR="008D2649" w:rsidRPr="00A94774" w:rsidRDefault="00422045" w:rsidP="008D2649">
      <w:pPr>
        <w:pStyle w:val="Els-Affiliation"/>
        <w:spacing w:after="120"/>
      </w:pPr>
      <w:r w:rsidRPr="00422045">
        <w:t>e.zondervan@utwente.nl</w:t>
      </w:r>
    </w:p>
    <w:p w14:paraId="144DE684" w14:textId="77777777" w:rsidR="008D2649" w:rsidRDefault="008D2649" w:rsidP="008D2649">
      <w:pPr>
        <w:pStyle w:val="Els-Abstract"/>
      </w:pPr>
      <w:r>
        <w:t>Abstract</w:t>
      </w:r>
    </w:p>
    <w:p w14:paraId="72FCCDFF" w14:textId="08C0350B" w:rsidR="004A5984" w:rsidRDefault="1FFFA39D" w:rsidP="008D2649">
      <w:pPr>
        <w:pStyle w:val="Els-body-text"/>
        <w:spacing w:after="120"/>
        <w:rPr>
          <w:lang w:val="en-GB"/>
        </w:rPr>
      </w:pPr>
      <w:r w:rsidRPr="0A8C40EF">
        <w:rPr>
          <w:lang w:val="en-GB"/>
        </w:rPr>
        <w:t>Ammonia is an important chemical for the energy transition as it can serve as a hydrogen carrier. Small-scale ammonia can be produced from decentralized or waste resources thereby integrat</w:t>
      </w:r>
      <w:r w:rsidR="53488EE0" w:rsidRPr="0A8C40EF">
        <w:rPr>
          <w:lang w:val="en-GB"/>
        </w:rPr>
        <w:t>ing</w:t>
      </w:r>
      <w:r w:rsidRPr="0A8C40EF">
        <w:rPr>
          <w:lang w:val="en-GB"/>
        </w:rPr>
        <w:t xml:space="preserve"> and expand</w:t>
      </w:r>
      <w:r w:rsidR="53488EE0" w:rsidRPr="0A8C40EF">
        <w:rPr>
          <w:lang w:val="en-GB"/>
        </w:rPr>
        <w:t>ing</w:t>
      </w:r>
      <w:r w:rsidRPr="0A8C40EF">
        <w:rPr>
          <w:lang w:val="en-GB"/>
        </w:rPr>
        <w:t xml:space="preserve"> </w:t>
      </w:r>
      <w:r w:rsidR="53488EE0" w:rsidRPr="0A8C40EF">
        <w:rPr>
          <w:lang w:val="en-GB"/>
        </w:rPr>
        <w:t>its use</w:t>
      </w:r>
      <w:r w:rsidRPr="0A8C40EF">
        <w:rPr>
          <w:lang w:val="en-GB"/>
        </w:rPr>
        <w:t xml:space="preserve"> by delivering the product directly to the site of consumption. Nonetheless, the cost of small-scale ammonia is usually higher than large-scale ammonia due to the lack of economy of scale even though new technologies for H</w:t>
      </w:r>
      <w:r w:rsidRPr="0A8C40EF">
        <w:rPr>
          <w:vertAlign w:val="subscript"/>
          <w:lang w:val="en-GB"/>
        </w:rPr>
        <w:t>2</w:t>
      </w:r>
      <w:r w:rsidRPr="0A8C40EF">
        <w:rPr>
          <w:lang w:val="en-GB"/>
        </w:rPr>
        <w:t xml:space="preserve"> and NH</w:t>
      </w:r>
      <w:r w:rsidRPr="0A8C40EF">
        <w:rPr>
          <w:vertAlign w:val="subscript"/>
          <w:lang w:val="en-GB"/>
        </w:rPr>
        <w:t>3</w:t>
      </w:r>
      <w:r w:rsidRPr="0A8C40EF">
        <w:rPr>
          <w:lang w:val="en-GB"/>
        </w:rPr>
        <w:t xml:space="preserve"> synthesis </w:t>
      </w:r>
      <w:r w:rsidR="53488EE0" w:rsidRPr="0A8C40EF">
        <w:rPr>
          <w:lang w:val="en-GB"/>
        </w:rPr>
        <w:t>are available</w:t>
      </w:r>
      <w:r w:rsidR="211675A5" w:rsidRPr="0A8C40EF">
        <w:rPr>
          <w:lang w:val="en-GB"/>
        </w:rPr>
        <w:t xml:space="preserve">. </w:t>
      </w:r>
      <w:r w:rsidR="5F129584" w:rsidRPr="0A8C40EF">
        <w:rPr>
          <w:lang w:val="en-GB"/>
        </w:rPr>
        <w:t>This work presents a superstructure</w:t>
      </w:r>
      <w:r w:rsidR="500109E4" w:rsidRPr="0A8C40EF">
        <w:rPr>
          <w:lang w:val="en-GB"/>
        </w:rPr>
        <w:t xml:space="preserve"> (SE)</w:t>
      </w:r>
      <w:r w:rsidR="5F129584" w:rsidRPr="0A8C40EF">
        <w:rPr>
          <w:lang w:val="en-GB"/>
        </w:rPr>
        <w:t xml:space="preserve"> as a decision-making tool to select the best set of technologies delivering the lowest ammonia cost. </w:t>
      </w:r>
      <w:r w:rsidR="28C11F1E" w:rsidRPr="0A8C40EF">
        <w:rPr>
          <w:lang w:val="en-GB"/>
        </w:rPr>
        <w:t xml:space="preserve">The </w:t>
      </w:r>
      <w:r w:rsidR="00C930D7">
        <w:rPr>
          <w:lang w:val="en-GB"/>
        </w:rPr>
        <w:t>SE</w:t>
      </w:r>
      <w:r w:rsidR="28C11F1E" w:rsidRPr="0A8C40EF">
        <w:rPr>
          <w:lang w:val="en-GB"/>
        </w:rPr>
        <w:t xml:space="preserve"> </w:t>
      </w:r>
      <w:r w:rsidR="5F129584" w:rsidRPr="0A8C40EF">
        <w:rPr>
          <w:lang w:val="en-GB"/>
        </w:rPr>
        <w:t>is formulated as a mixed</w:t>
      </w:r>
      <w:r w:rsidR="51EDDE9E" w:rsidRPr="0A8C40EF">
        <w:rPr>
          <w:lang w:val="en-GB"/>
        </w:rPr>
        <w:t>-</w:t>
      </w:r>
      <w:r w:rsidR="5F129584" w:rsidRPr="0A8C40EF">
        <w:rPr>
          <w:lang w:val="en-GB"/>
        </w:rPr>
        <w:t>integer linear program (MILP)</w:t>
      </w:r>
      <w:r w:rsidR="1D42038E" w:rsidRPr="0A8C40EF">
        <w:rPr>
          <w:lang w:val="en-GB"/>
        </w:rPr>
        <w:t xml:space="preserve"> </w:t>
      </w:r>
      <w:r w:rsidR="5F129584" w:rsidRPr="0A8C40EF">
        <w:rPr>
          <w:lang w:val="en-GB"/>
        </w:rPr>
        <w:t>comparing three different routes</w:t>
      </w:r>
      <w:r w:rsidR="1D42038E" w:rsidRPr="0A8C40EF">
        <w:rPr>
          <w:lang w:val="en-GB"/>
        </w:rPr>
        <w:t>:</w:t>
      </w:r>
      <w:r w:rsidR="5F129584" w:rsidRPr="0A8C40EF">
        <w:rPr>
          <w:lang w:val="en-GB"/>
        </w:rPr>
        <w:t xml:space="preserve"> electrolysis, gasification, and thermal decomposition of methane (TDM). The optimal route for a base case of 1000 kg</w:t>
      </w:r>
      <w:r w:rsidR="5F129584" w:rsidRPr="00487EB0">
        <w:rPr>
          <w:vertAlign w:val="subscript"/>
          <w:lang w:val="en-GB"/>
        </w:rPr>
        <w:t>NH</w:t>
      </w:r>
      <w:r w:rsidR="5F129584" w:rsidRPr="0A8C40EF">
        <w:rPr>
          <w:vertAlign w:val="subscript"/>
          <w:lang w:val="en-GB"/>
        </w:rPr>
        <w:t>3</w:t>
      </w:r>
      <w:r w:rsidR="5F129584" w:rsidRPr="0A8C40EF">
        <w:rPr>
          <w:lang w:val="en-GB"/>
        </w:rPr>
        <w:t>/h is electrolysis with a cost of 1067 $/t</w:t>
      </w:r>
      <w:r w:rsidR="4915E2B0" w:rsidRPr="0A8C40EF">
        <w:rPr>
          <w:lang w:val="en-GB"/>
        </w:rPr>
        <w:t xml:space="preserve"> of NH</w:t>
      </w:r>
      <w:r w:rsidR="4915E2B0" w:rsidRPr="0A8C40EF">
        <w:rPr>
          <w:vertAlign w:val="subscript"/>
          <w:lang w:val="en-GB"/>
        </w:rPr>
        <w:t>3</w:t>
      </w:r>
      <w:r w:rsidR="5F129584" w:rsidRPr="0A8C40EF">
        <w:rPr>
          <w:lang w:val="en-GB"/>
        </w:rPr>
        <w:t>. The</w:t>
      </w:r>
      <w:r w:rsidR="39B6BB38" w:rsidRPr="0A8C40EF">
        <w:rPr>
          <w:lang w:val="en-GB"/>
        </w:rPr>
        <w:t xml:space="preserve"> capital expenditure (CAPEX) of</w:t>
      </w:r>
      <w:r w:rsidR="5F129584" w:rsidRPr="0A8C40EF">
        <w:rPr>
          <w:lang w:val="en-GB"/>
        </w:rPr>
        <w:t xml:space="preserve"> electroly</w:t>
      </w:r>
      <w:r w:rsidR="1D42038E" w:rsidRPr="0A8C40EF">
        <w:rPr>
          <w:lang w:val="en-GB"/>
        </w:rPr>
        <w:t>s</w:t>
      </w:r>
      <w:r w:rsidR="7D793CBA" w:rsidRPr="0A8C40EF">
        <w:rPr>
          <w:lang w:val="en-GB"/>
        </w:rPr>
        <w:t>is</w:t>
      </w:r>
      <w:r w:rsidR="5F129584" w:rsidRPr="0A8C40EF">
        <w:rPr>
          <w:lang w:val="en-GB"/>
        </w:rPr>
        <w:t xml:space="preserve"> </w:t>
      </w:r>
      <w:r w:rsidR="6CB50A1B" w:rsidRPr="0A8C40EF">
        <w:rPr>
          <w:lang w:val="en-GB"/>
        </w:rPr>
        <w:t>and</w:t>
      </w:r>
      <w:r w:rsidR="5F129584" w:rsidRPr="0A8C40EF">
        <w:rPr>
          <w:lang w:val="en-GB"/>
        </w:rPr>
        <w:t xml:space="preserve"> ammonia synthesis</w:t>
      </w:r>
      <w:r w:rsidR="5F129584" w:rsidRPr="00812D9C">
        <w:rPr>
          <w:lang w:val="en-GB"/>
        </w:rPr>
        <w:t>,</w:t>
      </w:r>
      <w:r w:rsidR="5F129584" w:rsidRPr="0A8C40EF">
        <w:rPr>
          <w:lang w:val="en-GB"/>
        </w:rPr>
        <w:t xml:space="preserve"> </w:t>
      </w:r>
      <w:r w:rsidR="21703CC3" w:rsidRPr="0A8C40EF">
        <w:rPr>
          <w:lang w:val="en-GB"/>
        </w:rPr>
        <w:t xml:space="preserve">as well as the </w:t>
      </w:r>
      <w:r w:rsidR="5F129584" w:rsidRPr="0A8C40EF">
        <w:rPr>
          <w:lang w:val="en-GB"/>
        </w:rPr>
        <w:t>electricity</w:t>
      </w:r>
      <w:r w:rsidR="54CE4129" w:rsidRPr="0A8C40EF">
        <w:rPr>
          <w:lang w:val="en-GB"/>
        </w:rPr>
        <w:t xml:space="preserve"> cost,</w:t>
      </w:r>
      <w:r w:rsidR="5F129584" w:rsidRPr="0A8C40EF">
        <w:rPr>
          <w:lang w:val="en-GB"/>
        </w:rPr>
        <w:t xml:space="preserve"> are the main contributors to this cost. The electrolysis route is the most promising for small-scale ammonia since it envisions the highest potential for cost reduction from lower </w:t>
      </w:r>
      <w:proofErr w:type="spellStart"/>
      <w:r w:rsidR="5F129584" w:rsidRPr="0A8C40EF">
        <w:rPr>
          <w:lang w:val="en-GB"/>
        </w:rPr>
        <w:t>electroly</w:t>
      </w:r>
      <w:r w:rsidR="00793108">
        <w:rPr>
          <w:lang w:val="en-GB"/>
        </w:rPr>
        <w:t>z</w:t>
      </w:r>
      <w:r w:rsidR="5F129584" w:rsidRPr="0A8C40EF">
        <w:rPr>
          <w:lang w:val="en-GB"/>
        </w:rPr>
        <w:t>er</w:t>
      </w:r>
      <w:proofErr w:type="spellEnd"/>
      <w:r w:rsidR="5F129584" w:rsidRPr="0A8C40EF">
        <w:rPr>
          <w:lang w:val="en-GB"/>
        </w:rPr>
        <w:t xml:space="preserve"> and electricity prices. Gasification can also become competitive if the price of biomass is low but the cost of carbon capture and storage (CCS) needs to be considered. The TDM route is </w:t>
      </w:r>
      <w:r w:rsidR="0078001A">
        <w:rPr>
          <w:lang w:val="en-GB"/>
        </w:rPr>
        <w:t>not suited for small</w:t>
      </w:r>
      <w:r w:rsidR="00D67335">
        <w:rPr>
          <w:lang w:val="en-GB"/>
        </w:rPr>
        <w:t xml:space="preserve"> </w:t>
      </w:r>
      <w:r w:rsidR="0078001A">
        <w:rPr>
          <w:lang w:val="en-GB"/>
        </w:rPr>
        <w:t>scale due to large CAPEX contribution</w:t>
      </w:r>
      <w:r w:rsidR="5F129584" w:rsidRPr="0A8C40EF">
        <w:rPr>
          <w:lang w:val="en-GB"/>
        </w:rPr>
        <w:t>.</w:t>
      </w:r>
      <w:r w:rsidR="006D09ED">
        <w:rPr>
          <w:lang w:val="en-GB"/>
        </w:rPr>
        <w:t xml:space="preserve"> The presented tool advances the spread and use of small-scale ammonia.</w:t>
      </w:r>
    </w:p>
    <w:p w14:paraId="144DE687" w14:textId="6F21DD8D" w:rsidR="008D2649" w:rsidRDefault="008D2649" w:rsidP="008D2649">
      <w:pPr>
        <w:pStyle w:val="Els-body-text"/>
        <w:spacing w:after="120"/>
        <w:rPr>
          <w:lang w:val="en-GB"/>
        </w:rPr>
      </w:pPr>
      <w:r>
        <w:rPr>
          <w:b/>
          <w:bCs/>
          <w:lang w:val="en-GB"/>
        </w:rPr>
        <w:t>Keywords</w:t>
      </w:r>
      <w:r>
        <w:rPr>
          <w:lang w:val="en-GB"/>
        </w:rPr>
        <w:t xml:space="preserve">: </w:t>
      </w:r>
      <w:r w:rsidR="00414422">
        <w:rPr>
          <w:lang w:val="en-GB"/>
        </w:rPr>
        <w:t>Ammonia, superstructure, optimization, MILP.</w:t>
      </w:r>
    </w:p>
    <w:p w14:paraId="144DE689" w14:textId="62267255" w:rsidR="008D2649" w:rsidRDefault="00294368" w:rsidP="008D2649">
      <w:pPr>
        <w:pStyle w:val="Els-1storder-head"/>
      </w:pPr>
      <w:r>
        <w:t>Introduction</w:t>
      </w:r>
    </w:p>
    <w:p w14:paraId="45AD7131" w14:textId="5AE4F4E1" w:rsidR="00763FBD" w:rsidRPr="00763FBD" w:rsidRDefault="41F700D5" w:rsidP="00F11A8B">
      <w:pPr>
        <w:pStyle w:val="Els-body-text"/>
        <w:spacing w:line="259" w:lineRule="auto"/>
      </w:pPr>
      <w:r>
        <w:t>Ammonia has gained interest as an energy storage molecule for renewable hydrogen since it does not require a CO</w:t>
      </w:r>
      <w:r w:rsidRPr="0A8C40EF">
        <w:rPr>
          <w:vertAlign w:val="subscript"/>
        </w:rPr>
        <w:t>2</w:t>
      </w:r>
      <w:r>
        <w:t xml:space="preserve"> cycle to release H</w:t>
      </w:r>
      <w:r w:rsidRPr="0A8C40EF">
        <w:rPr>
          <w:vertAlign w:val="subscript"/>
        </w:rPr>
        <w:t>2</w:t>
      </w:r>
      <w:r w:rsidR="008021FF">
        <w:t>. I</w:t>
      </w:r>
      <w:r w:rsidR="3C149C93">
        <w:t xml:space="preserve">n addition, it </w:t>
      </w:r>
      <w:r>
        <w:t xml:space="preserve">has a </w:t>
      </w:r>
      <w:r w:rsidR="00967141">
        <w:t>mature</w:t>
      </w:r>
      <w:r>
        <w:t xml:space="preserve"> infrastructure in current supply chains</w:t>
      </w:r>
      <w:r w:rsidR="6F0DDE51">
        <w:t xml:space="preserve"> (Faria, 2021)</w:t>
      </w:r>
      <w:r w:rsidR="7B65872D" w:rsidRPr="0A8C40EF">
        <w:rPr>
          <w:lang w:val="en-GB"/>
        </w:rPr>
        <w:t xml:space="preserve">. </w:t>
      </w:r>
      <w:r>
        <w:t>Moreover, ammonia can be used to produce electricity in a fuel cell</w:t>
      </w:r>
      <w:r w:rsidR="002B42AA">
        <w:t xml:space="preserve"> (</w:t>
      </w:r>
      <w:proofErr w:type="spellStart"/>
      <w:r w:rsidR="002B42AA">
        <w:t>Jeerh</w:t>
      </w:r>
      <w:proofErr w:type="spellEnd"/>
      <w:r w:rsidR="00967141">
        <w:t xml:space="preserve"> et al.,</w:t>
      </w:r>
      <w:r w:rsidR="002B42AA">
        <w:t xml:space="preserve"> 2021)</w:t>
      </w:r>
      <w:r>
        <w:t xml:space="preserve">, and it is </w:t>
      </w:r>
      <w:r w:rsidR="7B65872D">
        <w:t>being</w:t>
      </w:r>
      <w:r>
        <w:t xml:space="preserve"> researched for direct combustion applications</w:t>
      </w:r>
      <w:r w:rsidR="00CD6223">
        <w:t xml:space="preserve"> (Kobayashi</w:t>
      </w:r>
      <w:r w:rsidR="00967141" w:rsidRPr="00967141">
        <w:t xml:space="preserve"> </w:t>
      </w:r>
      <w:r w:rsidR="00967141">
        <w:t xml:space="preserve">et al., </w:t>
      </w:r>
      <w:r w:rsidR="00CD6223">
        <w:t>2019)</w:t>
      </w:r>
      <w:r w:rsidR="4E490B41">
        <w:t>.</w:t>
      </w:r>
      <w:r w:rsidR="00CD6223">
        <w:t xml:space="preserve"> </w:t>
      </w:r>
      <w:r w:rsidR="7B65872D">
        <w:t>Ammonia is produced in</w:t>
      </w:r>
      <w:r w:rsidR="4E490B41">
        <w:t xml:space="preserve"> large scale plants </w:t>
      </w:r>
      <w:r w:rsidR="7B65872D">
        <w:t xml:space="preserve">with </w:t>
      </w:r>
      <w:r w:rsidR="3C83653D">
        <w:t>capacities of</w:t>
      </w:r>
      <w:r w:rsidR="4E490B41">
        <w:t xml:space="preserve"> 1200 - 2000 t/d</w:t>
      </w:r>
      <w:r w:rsidR="6F0DDE51">
        <w:t xml:space="preserve"> (Appl et al., 2011)</w:t>
      </w:r>
      <w:r w:rsidR="00812D9C">
        <w:t xml:space="preserve"> </w:t>
      </w:r>
      <w:r w:rsidR="00812D9C" w:rsidRPr="00A563B1">
        <w:t xml:space="preserve">using the Haber </w:t>
      </w:r>
      <w:r w:rsidR="00245570">
        <w:t>B</w:t>
      </w:r>
      <w:r w:rsidR="00812D9C" w:rsidRPr="00A563B1">
        <w:t>osch process</w:t>
      </w:r>
      <w:r w:rsidR="4E490B41">
        <w:t>.</w:t>
      </w:r>
      <w:r w:rsidR="7B65872D">
        <w:t xml:space="preserve"> L</w:t>
      </w:r>
      <w:r w:rsidR="4E490B41">
        <w:t xml:space="preserve">arge scale production is often centralized </w:t>
      </w:r>
      <w:r w:rsidR="6C375345">
        <w:t>around</w:t>
      </w:r>
      <w:r w:rsidR="4E490B41">
        <w:t xml:space="preserve"> cheap natural gas or coal</w:t>
      </w:r>
      <w:r w:rsidR="0156533E">
        <w:t xml:space="preserve"> resources</w:t>
      </w:r>
      <w:r w:rsidR="4E490B41">
        <w:t>. Therefore, it</w:t>
      </w:r>
      <w:r w:rsidR="30BE9CB9">
        <w:t xml:space="preserve">s production is sensitive </w:t>
      </w:r>
      <w:r w:rsidR="4E490B41">
        <w:t xml:space="preserve">to disturbances in feedstock prices or disruptions in supply chains caused by geopolitical or environmental conditions. </w:t>
      </w:r>
      <w:r w:rsidR="30F5CFED">
        <w:t>These</w:t>
      </w:r>
      <w:r w:rsidR="4E490B41">
        <w:t xml:space="preserve"> disturbances </w:t>
      </w:r>
      <w:r w:rsidR="0578933E">
        <w:t>can</w:t>
      </w:r>
      <w:r w:rsidR="4E490B41">
        <w:t xml:space="preserve"> increase transportation costs, carbon footprint and shipping times. Small</w:t>
      </w:r>
      <w:r w:rsidR="006D1B42">
        <w:t>-</w:t>
      </w:r>
      <w:r w:rsidR="4E490B41">
        <w:t xml:space="preserve">scale ammonia production is an alternative to tackle these concerns as it </w:t>
      </w:r>
      <w:r w:rsidR="5D8AED21">
        <w:t>excels at</w:t>
      </w:r>
      <w:r w:rsidR="4E490B41">
        <w:t>:</w:t>
      </w:r>
    </w:p>
    <w:p w14:paraId="01842972" w14:textId="429234A2" w:rsidR="00763FBD" w:rsidRPr="00763FBD" w:rsidRDefault="00763FBD" w:rsidP="00A821C2">
      <w:pPr>
        <w:pStyle w:val="Els-body-text"/>
        <w:numPr>
          <w:ilvl w:val="0"/>
          <w:numId w:val="19"/>
        </w:numPr>
        <w:ind w:left="360" w:hanging="180"/>
      </w:pPr>
      <w:r w:rsidRPr="00155415">
        <w:rPr>
          <w:b/>
          <w:bCs/>
        </w:rPr>
        <w:t>Flexibility</w:t>
      </w:r>
      <w:r w:rsidR="00155415" w:rsidRPr="00155415">
        <w:rPr>
          <w:b/>
          <w:bCs/>
        </w:rPr>
        <w:t xml:space="preserve"> and decentraliz</w:t>
      </w:r>
      <w:r w:rsidR="00155415">
        <w:rPr>
          <w:b/>
          <w:bCs/>
        </w:rPr>
        <w:t>ation</w:t>
      </w:r>
      <w:r w:rsidRPr="00763FBD">
        <w:t xml:space="preserve">. Ammonia can be produced from </w:t>
      </w:r>
      <w:r w:rsidR="00155415">
        <w:t>renewable energy sources (</w:t>
      </w:r>
      <w:r w:rsidRPr="00763FBD">
        <w:t>RES</w:t>
      </w:r>
      <w:r w:rsidR="00155415">
        <w:t>)</w:t>
      </w:r>
      <w:r w:rsidRPr="00763FBD">
        <w:t>, waste streams (biogas or biomass) or stranded resources</w:t>
      </w:r>
      <w:r w:rsidR="00E2514E">
        <w:t xml:space="preserve"> </w:t>
      </w:r>
      <w:r w:rsidR="00E2514E" w:rsidRPr="00E2514E">
        <w:t>(</w:t>
      </w:r>
      <w:proofErr w:type="spellStart"/>
      <w:r w:rsidR="00E2514E" w:rsidRPr="00E2514E">
        <w:t>Vrijenhoef</w:t>
      </w:r>
      <w:proofErr w:type="spellEnd"/>
      <w:r w:rsidR="00E2514E" w:rsidRPr="00E2514E">
        <w:t xml:space="preserve">, </w:t>
      </w:r>
      <w:r w:rsidR="00E2514E" w:rsidRPr="00E2514E">
        <w:lastRenderedPageBreak/>
        <w:t>2017)</w:t>
      </w:r>
      <w:r w:rsidRPr="00763FBD">
        <w:t>. Since small scale operates at milder conditions, variable loads can be handled, thus enhancing integration with intermittent RES</w:t>
      </w:r>
      <w:r w:rsidR="0074185A">
        <w:t xml:space="preserve"> </w:t>
      </w:r>
      <w:r w:rsidR="0074185A" w:rsidRPr="0074185A">
        <w:t>(</w:t>
      </w:r>
      <w:proofErr w:type="spellStart"/>
      <w:r w:rsidR="0074185A" w:rsidRPr="0074185A">
        <w:t>Rouwenhorst</w:t>
      </w:r>
      <w:proofErr w:type="spellEnd"/>
      <w:r w:rsidR="0074185A">
        <w:t xml:space="preserve"> et al., 2020</w:t>
      </w:r>
      <w:r w:rsidR="0074185A" w:rsidRPr="0074185A">
        <w:t>)</w:t>
      </w:r>
      <w:r w:rsidRPr="00763FBD">
        <w:t xml:space="preserve">. </w:t>
      </w:r>
    </w:p>
    <w:p w14:paraId="6365C86E" w14:textId="06AE5980" w:rsidR="00E352DC" w:rsidRDefault="00763FBD" w:rsidP="008D2649">
      <w:pPr>
        <w:pStyle w:val="Els-body-text"/>
        <w:numPr>
          <w:ilvl w:val="0"/>
          <w:numId w:val="19"/>
        </w:numPr>
        <w:ind w:left="360" w:hanging="180"/>
      </w:pPr>
      <w:r w:rsidRPr="7101EE94">
        <w:rPr>
          <w:b/>
          <w:bCs/>
        </w:rPr>
        <w:t xml:space="preserve">Supply chain </w:t>
      </w:r>
      <w:r w:rsidR="066BB9F6" w:rsidRPr="7101EE94">
        <w:rPr>
          <w:b/>
          <w:bCs/>
        </w:rPr>
        <w:t>design</w:t>
      </w:r>
      <w:r>
        <w:t>. The reduction in transportation</w:t>
      </w:r>
      <w:r w:rsidR="00C0308F">
        <w:t xml:space="preserve"> distance can</w:t>
      </w:r>
      <w:r>
        <w:t xml:space="preserve"> lower the price of ammonia in remote locations by 100-150 </w:t>
      </w:r>
      <w:r w:rsidR="00106510">
        <w:t>$</w:t>
      </w:r>
      <w:r>
        <w:t xml:space="preserve">/t </w:t>
      </w:r>
      <w:r w:rsidR="008253B1">
        <w:t>(</w:t>
      </w:r>
      <w:proofErr w:type="spellStart"/>
      <w:r w:rsidR="008253B1">
        <w:t>Vrijenhoef</w:t>
      </w:r>
      <w:proofErr w:type="spellEnd"/>
      <w:r w:rsidR="008253B1">
        <w:t>, 2017)</w:t>
      </w:r>
      <w:r>
        <w:t xml:space="preserve"> and the CO</w:t>
      </w:r>
      <w:r w:rsidRPr="7101EE94">
        <w:rPr>
          <w:vertAlign w:val="subscript"/>
        </w:rPr>
        <w:t>2</w:t>
      </w:r>
      <w:r>
        <w:t xml:space="preserve"> emissions. Therefore, localized production improves resilience in current supply chains and reduces the need </w:t>
      </w:r>
      <w:r w:rsidR="00967141">
        <w:t>for</w:t>
      </w:r>
      <w:r>
        <w:t xml:space="preserve"> storage technologies. </w:t>
      </w:r>
    </w:p>
    <w:p w14:paraId="69767FA2" w14:textId="77777777" w:rsidR="000A20CB" w:rsidRDefault="000A20CB" w:rsidP="000A20CB">
      <w:pPr>
        <w:pStyle w:val="Els-body-text"/>
      </w:pPr>
    </w:p>
    <w:p w14:paraId="75113F0F" w14:textId="16C6BE9D" w:rsidR="00F55700" w:rsidRDefault="008959CA" w:rsidP="008D2649">
      <w:pPr>
        <w:pStyle w:val="Els-body-text"/>
      </w:pPr>
      <w:r w:rsidRPr="008959CA">
        <w:t>Downscaling the conventional Haber Bosch process is not straightforward as the energy losses and capital expenditures increase as the plant capacity is reduced</w:t>
      </w:r>
      <w:r w:rsidR="1E933DD1">
        <w:t>.</w:t>
      </w:r>
      <w:r w:rsidR="0E55A7A7">
        <w:t xml:space="preserve"> </w:t>
      </w:r>
      <w:proofErr w:type="spellStart"/>
      <w:r w:rsidR="0E55A7A7">
        <w:t>Rouwenhorst</w:t>
      </w:r>
      <w:proofErr w:type="spellEnd"/>
      <w:r w:rsidR="0E55A7A7">
        <w:t xml:space="preserve"> et al.</w:t>
      </w:r>
      <w:r w:rsidR="000B5ED4">
        <w:t xml:space="preserve"> (</w:t>
      </w:r>
      <w:r w:rsidR="0E55A7A7">
        <w:t>2021)</w:t>
      </w:r>
      <w:r w:rsidR="30EDE409">
        <w:t xml:space="preserve"> </w:t>
      </w:r>
      <w:r w:rsidR="4E4136D2">
        <w:t>evaluated different ammonia synthesis configurations for small scale (3 t/d)</w:t>
      </w:r>
      <w:r w:rsidR="0959977A">
        <w:t xml:space="preserve"> </w:t>
      </w:r>
      <w:r w:rsidR="4E4136D2">
        <w:t xml:space="preserve">based on electrolysis. These </w:t>
      </w:r>
      <w:r w:rsidR="759F14AA">
        <w:t xml:space="preserve">configurations </w:t>
      </w:r>
      <w:r w:rsidR="0925B66C">
        <w:t>include</w:t>
      </w:r>
      <w:r w:rsidR="00CE3CBD">
        <w:t>d</w:t>
      </w:r>
      <w:r w:rsidR="4E4136D2">
        <w:t xml:space="preserve"> conventional high-pressure</w:t>
      </w:r>
      <w:r w:rsidR="3E37FC98">
        <w:t xml:space="preserve"> Haber Bosch</w:t>
      </w:r>
      <w:r w:rsidR="4E4136D2">
        <w:t xml:space="preserve"> </w:t>
      </w:r>
      <w:r w:rsidR="3E37FC98">
        <w:t>(</w:t>
      </w:r>
      <w:r w:rsidR="4E4136D2">
        <w:t>HB</w:t>
      </w:r>
      <w:r w:rsidR="3E37FC98">
        <w:t>)</w:t>
      </w:r>
      <w:r w:rsidR="4E4136D2">
        <w:t xml:space="preserve"> with condensation, absorbent enhanced Haber Bosch (AEHB) process and </w:t>
      </w:r>
      <w:r w:rsidR="00706134">
        <w:t xml:space="preserve">a novel </w:t>
      </w:r>
      <w:r w:rsidR="4E4136D2">
        <w:t>single-pass ammonia synthesi</w:t>
      </w:r>
      <w:r w:rsidR="00706134">
        <w:t xml:space="preserve">s where reaction and separation occur in the same vessel. </w:t>
      </w:r>
      <w:r w:rsidR="4E4136D2">
        <w:t>They found that single pass ammonia can be produced at a lower cost than conventional ammonia</w:t>
      </w:r>
      <w:r w:rsidR="008F4347">
        <w:t xml:space="preserve"> due to higher conversion of the </w:t>
      </w:r>
      <w:r w:rsidR="00783288">
        <w:t xml:space="preserve">Ru </w:t>
      </w:r>
      <w:r w:rsidR="008F4347">
        <w:t>catalyst</w:t>
      </w:r>
      <w:r w:rsidR="00BC23C1">
        <w:t xml:space="preserve"> </w:t>
      </w:r>
      <w:r w:rsidR="00B20AA2">
        <w:t xml:space="preserve">supported in </w:t>
      </w:r>
      <w:r w:rsidR="00B20AA2" w:rsidRPr="00BC23C1">
        <w:t>activated carbon</w:t>
      </w:r>
      <w:r w:rsidR="00B20AA2">
        <w:t xml:space="preserve"> (</w:t>
      </w:r>
      <w:r w:rsidR="00B20AA2" w:rsidRPr="00BC23C1">
        <w:t>AC</w:t>
      </w:r>
      <w:r w:rsidR="00B20AA2">
        <w:t xml:space="preserve">) </w:t>
      </w:r>
      <w:r w:rsidR="00950129">
        <w:t>and lower cost of</w:t>
      </w:r>
      <w:r w:rsidR="0058496A">
        <w:t xml:space="preserve"> the</w:t>
      </w:r>
      <w:r w:rsidR="00950129">
        <w:t xml:space="preserve"> NH</w:t>
      </w:r>
      <w:r w:rsidR="00950129" w:rsidRPr="00950129">
        <w:rPr>
          <w:vertAlign w:val="subscript"/>
        </w:rPr>
        <w:t>3</w:t>
      </w:r>
      <w:r w:rsidR="00950129">
        <w:t xml:space="preserve"> synthesis loop</w:t>
      </w:r>
      <w:r w:rsidR="4E4136D2">
        <w:t>. Arora</w:t>
      </w:r>
      <w:r w:rsidR="5648781C">
        <w:t xml:space="preserve"> et al. </w:t>
      </w:r>
      <w:r>
        <w:t>(</w:t>
      </w:r>
      <w:r w:rsidR="5648781C">
        <w:t>2016)</w:t>
      </w:r>
      <w:r w:rsidR="4E4136D2">
        <w:t xml:space="preserve"> evaluated the production of 63 t</w:t>
      </w:r>
      <w:r w:rsidR="3E37FC98">
        <w:t>/</w:t>
      </w:r>
      <w:r w:rsidR="4E4136D2">
        <w:t xml:space="preserve">d of ammonia from biomass employing a Leading Concept Ammonia (LCA) process suited for small scale. </w:t>
      </w:r>
      <w:r w:rsidR="30EDE409">
        <w:t>The NH</w:t>
      </w:r>
      <w:r w:rsidR="30EDE409" w:rsidRPr="0A8C40EF">
        <w:rPr>
          <w:vertAlign w:val="subscript"/>
        </w:rPr>
        <w:t>3</w:t>
      </w:r>
      <w:r w:rsidR="30EDE409">
        <w:t xml:space="preserve"> cost comes at 1172 $/t. </w:t>
      </w:r>
      <w:r w:rsidR="4E4136D2">
        <w:t>They</w:t>
      </w:r>
      <w:r w:rsidR="30EDE409">
        <w:t xml:space="preserve"> also</w:t>
      </w:r>
      <w:r w:rsidR="4E4136D2">
        <w:t xml:space="preserve"> found the biomass price and discount rate are the two major factors influencing the ammonia price.</w:t>
      </w:r>
      <w:r w:rsidR="0E55A7A7">
        <w:t xml:space="preserve"> Osorio et al. </w:t>
      </w:r>
      <w:r w:rsidR="0072283C">
        <w:t>(</w:t>
      </w:r>
      <w:r w:rsidR="0E55A7A7">
        <w:t>2022)</w:t>
      </w:r>
      <w:r w:rsidR="4E4136D2">
        <w:t xml:space="preserve"> performed a sustainability analysis of a novel methane-to-hydrogen-to-ammonia process</w:t>
      </w:r>
      <w:r w:rsidR="00706134">
        <w:t>,</w:t>
      </w:r>
      <w:r w:rsidR="4E4136D2">
        <w:t xml:space="preserve"> which can use either natural gas or biogas as feedstocks. The authors found that the ammonia price cannot compete with current </w:t>
      </w:r>
      <w:r w:rsidR="2D656ACB">
        <w:t>fossil-based</w:t>
      </w:r>
      <w:r w:rsidR="4E4136D2">
        <w:t xml:space="preserve"> ammonia due to low yields. However, future reductions in electricity price and higher energy efficiencies </w:t>
      </w:r>
      <w:r w:rsidR="16C05914">
        <w:t>have a great potential to make the process cost competitive</w:t>
      </w:r>
      <w:r w:rsidR="4E4136D2">
        <w:t>. Moreover, selling carbon</w:t>
      </w:r>
      <w:r w:rsidR="00807846">
        <w:t xml:space="preserve"> black </w:t>
      </w:r>
      <w:r w:rsidR="4E4136D2">
        <w:t>as a byproduct is important to make this process economically attractive.</w:t>
      </w:r>
    </w:p>
    <w:p w14:paraId="634668FF" w14:textId="4BB5BF5C" w:rsidR="00E9302F" w:rsidRDefault="204A084B" w:rsidP="008D2649">
      <w:pPr>
        <w:pStyle w:val="Els-body-text"/>
      </w:pPr>
      <w:r>
        <w:t>C</w:t>
      </w:r>
      <w:r w:rsidR="34E85CA4">
        <w:t>urrent studies on small</w:t>
      </w:r>
      <w:r w:rsidR="006D1B42">
        <w:t>-</w:t>
      </w:r>
      <w:r w:rsidR="34E85CA4">
        <w:t xml:space="preserve">scale ammonia production preselect the feedstock and ammonia </w:t>
      </w:r>
      <w:r>
        <w:t>production</w:t>
      </w:r>
      <w:r w:rsidR="34E85CA4">
        <w:t xml:space="preserve"> technologies. However, </w:t>
      </w:r>
      <w:r>
        <w:t xml:space="preserve">the integration and synergies between conventional and </w:t>
      </w:r>
      <w:r w:rsidR="3F7F58DB">
        <w:t>non-conventional</w:t>
      </w:r>
      <w:r>
        <w:t xml:space="preserve"> technologies</w:t>
      </w:r>
      <w:r w:rsidR="5CB132C5">
        <w:t xml:space="preserve"> are overlooked</w:t>
      </w:r>
      <w:r w:rsidR="34E85CA4">
        <w:t xml:space="preserve">. Though one could design several individual processes, this is a time-consuming endeavor. To address these challenges, a superstructure optimization approach is selected. In a </w:t>
      </w:r>
      <w:r w:rsidR="00C930D7">
        <w:t>SE</w:t>
      </w:r>
      <w:r w:rsidR="34E85CA4">
        <w:t>, all the alternative technologies</w:t>
      </w:r>
      <w:r w:rsidR="670A8597">
        <w:t xml:space="preserve"> and feedstocks</w:t>
      </w:r>
      <w:r w:rsidR="34E85CA4">
        <w:t xml:space="preserve"> are compared, and the best possible process layout is chosen according to </w:t>
      </w:r>
      <w:r w:rsidR="4C400E28">
        <w:t>an</w:t>
      </w:r>
      <w:r w:rsidR="34E85CA4">
        <w:t xml:space="preserve"> objective function </w:t>
      </w:r>
      <w:r>
        <w:t>that</w:t>
      </w:r>
      <w:r w:rsidR="34E85CA4">
        <w:t xml:space="preserve"> minimizes costs or environmental impact.</w:t>
      </w:r>
      <w:r w:rsidR="7D6B404D">
        <w:t xml:space="preserve"> </w:t>
      </w:r>
      <w:r w:rsidR="006E5AA2" w:rsidRPr="006E5AA2">
        <w:t xml:space="preserve">Superstructures for process synthesis have been developed since 1972. </w:t>
      </w:r>
      <w:r w:rsidR="00812D9C">
        <w:t xml:space="preserve">Two relevant superstructure representations are State Task Network (STN) (especially for scheduling operations) and State Equipment Network (SEN). </w:t>
      </w:r>
      <w:r w:rsidR="006E5AA2" w:rsidRPr="006E5AA2">
        <w:t xml:space="preserve">The </w:t>
      </w:r>
      <w:r w:rsidR="00C930D7">
        <w:t>SE in this work</w:t>
      </w:r>
      <w:r w:rsidR="006E5AA2" w:rsidRPr="006E5AA2">
        <w:t xml:space="preserve"> falls within the scope of STN which consists of states and tasks</w:t>
      </w:r>
      <w:r w:rsidR="00812D9C">
        <w:t>. A state represents the physical condition of a stream while a task represents an operation executed to transit from one state to another</w:t>
      </w:r>
      <w:r w:rsidR="00C065DC">
        <w:t xml:space="preserve"> </w:t>
      </w:r>
      <w:r w:rsidR="006E5AA2" w:rsidRPr="006E5AA2">
        <w:t>(Mencarelli et al., 2020).</w:t>
      </w:r>
    </w:p>
    <w:p w14:paraId="10F6F74C" w14:textId="2A9C373B" w:rsidR="00800496" w:rsidRDefault="00A20EB7" w:rsidP="00800496">
      <w:pPr>
        <w:pStyle w:val="Els-1storder-head"/>
      </w:pPr>
      <w:r>
        <w:t>Problem statement and model formulation</w:t>
      </w:r>
    </w:p>
    <w:p w14:paraId="6FBBD4D3" w14:textId="673B8022" w:rsidR="00800496" w:rsidRDefault="00C24C77" w:rsidP="00800496">
      <w:pPr>
        <w:pStyle w:val="Els-body-text"/>
      </w:pPr>
      <w:r>
        <w:t xml:space="preserve">The most </w:t>
      </w:r>
      <w:r w:rsidR="006B358C">
        <w:t>relevant</w:t>
      </w:r>
      <w:r w:rsidR="00800496" w:rsidRPr="00800496">
        <w:t xml:space="preserve"> assumptions and considerations are</w:t>
      </w:r>
      <w:r w:rsidR="00604721">
        <w:t>:</w:t>
      </w:r>
    </w:p>
    <w:p w14:paraId="4F813812" w14:textId="4796CBF9" w:rsidR="00800496" w:rsidRDefault="00800496" w:rsidP="00227644">
      <w:pPr>
        <w:pStyle w:val="Els-body-text"/>
        <w:numPr>
          <w:ilvl w:val="0"/>
          <w:numId w:val="20"/>
        </w:numPr>
        <w:ind w:left="360"/>
      </w:pPr>
      <w:r w:rsidRPr="00800496">
        <w:t xml:space="preserve">The scale of ammonia production has been set between 0 and 50 </w:t>
      </w:r>
      <w:proofErr w:type="spellStart"/>
      <w:r w:rsidRPr="00800496">
        <w:t>tpd</w:t>
      </w:r>
      <w:proofErr w:type="spellEnd"/>
      <w:r w:rsidRPr="00800496">
        <w:t>. This is because the use of stranded energy sources rarely exceeds 20-30 MW</w:t>
      </w:r>
      <w:r w:rsidR="00D12EB3">
        <w:t xml:space="preserve"> </w:t>
      </w:r>
      <w:r w:rsidR="00D12EB3" w:rsidRPr="00E2514E">
        <w:t>(</w:t>
      </w:r>
      <w:proofErr w:type="spellStart"/>
      <w:r w:rsidR="00D12EB3" w:rsidRPr="00E2514E">
        <w:t>Vrijenhoef</w:t>
      </w:r>
      <w:proofErr w:type="spellEnd"/>
      <w:r w:rsidR="00D12EB3" w:rsidRPr="00E2514E">
        <w:t>, 2017)</w:t>
      </w:r>
      <w:r w:rsidR="005F3AE4">
        <w:t>.</w:t>
      </w:r>
      <w:r w:rsidRPr="00800496">
        <w:t xml:space="preserve"> </w:t>
      </w:r>
    </w:p>
    <w:p w14:paraId="069EC4A9" w14:textId="61F1C202" w:rsidR="00C24C77" w:rsidRDefault="0F5463D3" w:rsidP="00227644">
      <w:pPr>
        <w:pStyle w:val="Paragrafoelenco"/>
        <w:numPr>
          <w:ilvl w:val="0"/>
          <w:numId w:val="21"/>
        </w:numPr>
        <w:spacing w:after="160" w:line="276" w:lineRule="auto"/>
        <w:ind w:left="360"/>
        <w:jc w:val="both"/>
      </w:pPr>
      <w:r>
        <w:t>A</w:t>
      </w:r>
      <w:r w:rsidR="590C893A">
        <w:t>ggregate models</w:t>
      </w:r>
      <w:r w:rsidR="4ED6ACA1">
        <w:t xml:space="preserve"> are used</w:t>
      </w:r>
      <w:r w:rsidR="590C893A">
        <w:t xml:space="preserve"> to reduce complexity given the number of alternatives.</w:t>
      </w:r>
    </w:p>
    <w:p w14:paraId="4CE9CBA2" w14:textId="6EEDD8BA" w:rsidR="007755A7" w:rsidRDefault="1ADD5E0F" w:rsidP="00117F17">
      <w:pPr>
        <w:pStyle w:val="Paragrafoelenco"/>
        <w:numPr>
          <w:ilvl w:val="0"/>
          <w:numId w:val="21"/>
        </w:numPr>
        <w:spacing w:after="160" w:line="276" w:lineRule="auto"/>
        <w:ind w:left="360"/>
        <w:jc w:val="both"/>
      </w:pPr>
      <w:r>
        <w:t>Reaction and separation of NH</w:t>
      </w:r>
      <w:r w:rsidRPr="2D77F27B">
        <w:rPr>
          <w:vertAlign w:val="subscript"/>
        </w:rPr>
        <w:t>3</w:t>
      </w:r>
      <w:r>
        <w:t xml:space="preserve"> are coupled to resemble a real operation and to </w:t>
      </w:r>
      <w:r w:rsidR="00C930D7">
        <w:t>eliminate</w:t>
      </w:r>
      <w:r>
        <w:t xml:space="preserve"> the </w:t>
      </w:r>
      <w:r w:rsidR="50636F80">
        <w:t>modelling</w:t>
      </w:r>
      <w:r>
        <w:t xml:space="preserve"> of recycles.</w:t>
      </w:r>
    </w:p>
    <w:p w14:paraId="5079FFC3" w14:textId="08FDB15D" w:rsidR="007755A7" w:rsidRDefault="0D51FC88" w:rsidP="00117F17">
      <w:pPr>
        <w:pStyle w:val="Paragrafoelenco"/>
        <w:numPr>
          <w:ilvl w:val="0"/>
          <w:numId w:val="21"/>
        </w:numPr>
        <w:spacing w:after="160" w:line="276" w:lineRule="auto"/>
        <w:ind w:left="360"/>
        <w:jc w:val="both"/>
      </w:pPr>
      <w:r>
        <w:t>L</w:t>
      </w:r>
      <w:r w:rsidR="59F8D539">
        <w:t xml:space="preserve">iterature is the main source of data. </w:t>
      </w:r>
      <w:r w:rsidR="4AD393F0">
        <w:t xml:space="preserve">For </w:t>
      </w:r>
      <w:r w:rsidR="59F8D539">
        <w:t>technical or economic data of a process</w:t>
      </w:r>
      <w:r w:rsidR="5C6A6162">
        <w:t xml:space="preserve"> that</w:t>
      </w:r>
      <w:r w:rsidR="59F8D539">
        <w:t xml:space="preserve"> </w:t>
      </w:r>
      <w:r>
        <w:t>is not available</w:t>
      </w:r>
      <w:r w:rsidR="59F8D539">
        <w:t>, the process is simulated in Aspen Plus</w:t>
      </w:r>
      <w:r w:rsidR="241AFB20">
        <w:t xml:space="preserve"> to generate such data</w:t>
      </w:r>
      <w:r w:rsidR="59F8D539">
        <w:t>.</w:t>
      </w:r>
    </w:p>
    <w:p w14:paraId="12478BE3" w14:textId="35E299EE" w:rsidR="00003A51" w:rsidRPr="007755A7" w:rsidRDefault="1FCD0687" w:rsidP="007755A7">
      <w:pPr>
        <w:spacing w:after="160" w:line="276" w:lineRule="auto"/>
        <w:jc w:val="both"/>
      </w:pPr>
      <w:r w:rsidRPr="0A8C40EF">
        <w:lastRenderedPageBreak/>
        <w:t xml:space="preserve">A diagram of the </w:t>
      </w:r>
      <w:r w:rsidR="26AC155D" w:rsidRPr="0A8C40EF">
        <w:t xml:space="preserve">proposed </w:t>
      </w:r>
      <w:r w:rsidRPr="0A8C40EF">
        <w:t xml:space="preserve">superstructure </w:t>
      </w:r>
      <w:r w:rsidR="000B0186">
        <w:t>where f</w:t>
      </w:r>
      <w:r w:rsidR="000B0186">
        <w:rPr>
          <w:szCs w:val="24"/>
        </w:rPr>
        <w:t>orty possible routes are evaluated</w:t>
      </w:r>
      <w:r w:rsidR="000B0186" w:rsidRPr="0A8C40EF">
        <w:t xml:space="preserve"> </w:t>
      </w:r>
      <w:r w:rsidRPr="0A8C40EF">
        <w:t xml:space="preserve">is shown </w:t>
      </w:r>
      <w:r w:rsidR="00003A51" w:rsidRPr="007755A7">
        <w:rPr>
          <w:szCs w:val="24"/>
        </w:rPr>
        <w:fldChar w:fldCharType="begin"/>
      </w:r>
      <w:r w:rsidR="00003A51" w:rsidRPr="007755A7">
        <w:rPr>
          <w:szCs w:val="24"/>
        </w:rPr>
        <w:instrText xml:space="preserve"> REF _Ref129775052 \h </w:instrText>
      </w:r>
      <w:r w:rsidR="00003A51" w:rsidRPr="007755A7">
        <w:rPr>
          <w:szCs w:val="24"/>
        </w:rPr>
      </w:r>
      <w:r w:rsidR="00003A51" w:rsidRPr="007755A7">
        <w:rPr>
          <w:szCs w:val="24"/>
        </w:rPr>
        <w:fldChar w:fldCharType="separate"/>
      </w:r>
      <w:r w:rsidR="00975CAE">
        <w:t xml:space="preserve">Figure </w:t>
      </w:r>
      <w:r w:rsidR="00975CAE" w:rsidRPr="2D77F27B">
        <w:rPr>
          <w:noProof/>
        </w:rPr>
        <w:t>1</w:t>
      </w:r>
      <w:r w:rsidR="00003A51" w:rsidRPr="007755A7">
        <w:rPr>
          <w:szCs w:val="24"/>
        </w:rPr>
        <w:fldChar w:fldCharType="end"/>
      </w:r>
      <w:r w:rsidR="000B0186">
        <w:rPr>
          <w:szCs w:val="24"/>
        </w:rPr>
        <w:t>. A</w:t>
      </w:r>
      <w:r w:rsidRPr="0A8C40EF">
        <w:t xml:space="preserve"> description of the different blocks is given in </w:t>
      </w:r>
      <w:r w:rsidR="00003A51" w:rsidRPr="007755A7">
        <w:rPr>
          <w:szCs w:val="24"/>
        </w:rPr>
        <w:fldChar w:fldCharType="begin"/>
      </w:r>
      <w:r w:rsidR="00003A51" w:rsidRPr="007755A7">
        <w:rPr>
          <w:szCs w:val="24"/>
        </w:rPr>
        <w:instrText xml:space="preserve"> REF _Ref137464636 \h </w:instrText>
      </w:r>
      <w:r w:rsidR="00003A51" w:rsidRPr="007755A7">
        <w:rPr>
          <w:szCs w:val="24"/>
        </w:rPr>
      </w:r>
      <w:r w:rsidR="00003A51" w:rsidRPr="007755A7">
        <w:rPr>
          <w:szCs w:val="24"/>
        </w:rPr>
        <w:fldChar w:fldCharType="separate"/>
      </w:r>
      <w:r w:rsidR="00975CAE" w:rsidRPr="00450A9D">
        <w:rPr>
          <w:iCs/>
          <w:sz w:val="18"/>
          <w:szCs w:val="22"/>
          <w:lang w:val="en-US"/>
        </w:rPr>
        <w:t xml:space="preserve">Table </w:t>
      </w:r>
      <w:r w:rsidR="00975CAE">
        <w:rPr>
          <w:iCs/>
          <w:noProof/>
          <w:sz w:val="18"/>
          <w:szCs w:val="22"/>
          <w:lang w:val="en-US"/>
        </w:rPr>
        <w:t>1</w:t>
      </w:r>
      <w:r w:rsidR="00003A51" w:rsidRPr="007755A7">
        <w:rPr>
          <w:szCs w:val="24"/>
        </w:rPr>
        <w:fldChar w:fldCharType="end"/>
      </w:r>
      <w:r w:rsidR="000B0186">
        <w:rPr>
          <w:szCs w:val="24"/>
        </w:rPr>
        <w:t>.</w:t>
      </w:r>
    </w:p>
    <w:p w14:paraId="5DCE4F37" w14:textId="7D3617D0" w:rsidR="00003A51" w:rsidRDefault="00DA1FBB" w:rsidP="00003A51">
      <w:pPr>
        <w:keepNext/>
        <w:spacing w:line="276" w:lineRule="auto"/>
        <w:jc w:val="center"/>
      </w:pPr>
      <w:r>
        <w:rPr>
          <w:noProof/>
        </w:rPr>
        <w:drawing>
          <wp:inline distT="0" distB="0" distL="0" distR="0" wp14:anchorId="1F3C7C81" wp14:editId="2FD318C6">
            <wp:extent cx="4499610" cy="2252980"/>
            <wp:effectExtent l="0" t="0" r="0" b="0"/>
            <wp:docPr id="127426126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61264" name="Picture 1" descr="A diagram of a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2252980"/>
                    </a:xfrm>
                    <a:prstGeom prst="rect">
                      <a:avLst/>
                    </a:prstGeom>
                  </pic:spPr>
                </pic:pic>
              </a:graphicData>
            </a:graphic>
          </wp:inline>
        </w:drawing>
      </w:r>
    </w:p>
    <w:p w14:paraId="6439BEB9" w14:textId="096401BD" w:rsidR="2D77F27B" w:rsidRDefault="343290B3" w:rsidP="001666AA">
      <w:pPr>
        <w:pStyle w:val="Didascalia"/>
        <w:jc w:val="both"/>
      </w:pPr>
      <w:bookmarkStart w:id="1" w:name="_Ref129775052"/>
      <w:r>
        <w:t xml:space="preserve">Figure </w:t>
      </w:r>
      <w:r w:rsidR="00003A51">
        <w:fldChar w:fldCharType="begin"/>
      </w:r>
      <w:r w:rsidR="00003A51">
        <w:instrText xml:space="preserve"> SEQ Figure \* ARABIC </w:instrText>
      </w:r>
      <w:r w:rsidR="00003A51">
        <w:fldChar w:fldCharType="separate"/>
      </w:r>
      <w:r w:rsidR="778D7586" w:rsidRPr="2D77F27B">
        <w:rPr>
          <w:noProof/>
        </w:rPr>
        <w:t>1</w:t>
      </w:r>
      <w:r w:rsidR="00003A51">
        <w:fldChar w:fldCharType="end"/>
      </w:r>
      <w:bookmarkEnd w:id="1"/>
      <w:r>
        <w:t>. Superstructure for small</w:t>
      </w:r>
      <w:r w:rsidR="006D1B42">
        <w:t>-</w:t>
      </w:r>
      <w:r>
        <w:t xml:space="preserve">scale ammonia production. </w:t>
      </w:r>
      <w:r w:rsidR="17720542">
        <w:t>T</w:t>
      </w:r>
      <w:r>
        <w:t xml:space="preserve">riangles pointing to the left represent separation whereas the ones pointing to the right represent reactions. </w:t>
      </w:r>
      <w:r w:rsidR="59165119">
        <w:t xml:space="preserve">Before </w:t>
      </w:r>
      <w:r w:rsidR="00B2A1F1">
        <w:t xml:space="preserve">the </w:t>
      </w:r>
      <w:r w:rsidR="59165119">
        <w:t>NH</w:t>
      </w:r>
      <w:r w:rsidR="59165119" w:rsidRPr="2D77F27B">
        <w:rPr>
          <w:vertAlign w:val="subscript"/>
        </w:rPr>
        <w:t>3</w:t>
      </w:r>
      <w:r w:rsidR="59165119">
        <w:t xml:space="preserve"> synthesis section, dashed</w:t>
      </w:r>
      <w:r>
        <w:t xml:space="preserve"> lines represent electrolysis based H</w:t>
      </w:r>
      <w:r w:rsidRPr="2D77F27B">
        <w:rPr>
          <w:vertAlign w:val="subscript"/>
        </w:rPr>
        <w:t>2</w:t>
      </w:r>
      <w:r>
        <w:t xml:space="preserve">, </w:t>
      </w:r>
      <w:r w:rsidR="59165119">
        <w:t>solid</w:t>
      </w:r>
      <w:r>
        <w:t xml:space="preserve"> </w:t>
      </w:r>
      <w:r w:rsidR="00AB043B">
        <w:t>lines</w:t>
      </w:r>
      <w:r>
        <w:t xml:space="preserve"> gasification based H</w:t>
      </w:r>
      <w:r w:rsidRPr="2D77F27B">
        <w:rPr>
          <w:vertAlign w:val="subscript"/>
        </w:rPr>
        <w:t>2</w:t>
      </w:r>
      <w:r w:rsidR="59165119">
        <w:t>, dash</w:t>
      </w:r>
      <w:r w:rsidR="000B0186">
        <w:t>-</w:t>
      </w:r>
      <w:r w:rsidR="59165119">
        <w:t xml:space="preserve">dot lines </w:t>
      </w:r>
      <w:r>
        <w:t>TDM based H</w:t>
      </w:r>
      <w:r w:rsidRPr="2D77F27B">
        <w:rPr>
          <w:vertAlign w:val="subscript"/>
        </w:rPr>
        <w:t>2</w:t>
      </w:r>
      <w:r w:rsidR="59165119">
        <w:t xml:space="preserve"> and dotted lines represent N</w:t>
      </w:r>
      <w:r w:rsidR="59165119" w:rsidRPr="2D77F27B">
        <w:rPr>
          <w:vertAlign w:val="subscript"/>
        </w:rPr>
        <w:t>2</w:t>
      </w:r>
      <w:r w:rsidR="59165119">
        <w:t>.</w:t>
      </w:r>
      <w:r>
        <w:t xml:space="preserve"> For number description see </w:t>
      </w:r>
      <w:r w:rsidR="00003A51">
        <w:fldChar w:fldCharType="begin"/>
      </w:r>
      <w:r w:rsidR="00003A51">
        <w:instrText xml:space="preserve"> REF _Ref137464636 \h  \* MERGEFORMAT </w:instrText>
      </w:r>
      <w:r w:rsidR="00003A51">
        <w:fldChar w:fldCharType="separate"/>
      </w:r>
      <w:r w:rsidR="00B2A1F1">
        <w:t xml:space="preserve">Table </w:t>
      </w:r>
      <w:r w:rsidR="00B2A1F1" w:rsidRPr="2D77F27B">
        <w:rPr>
          <w:noProof/>
        </w:rPr>
        <w:t>1</w:t>
      </w:r>
      <w:r w:rsidR="00003A51">
        <w:fldChar w:fldCharType="end"/>
      </w:r>
      <w:r>
        <w:t xml:space="preserve">. </w:t>
      </w:r>
    </w:p>
    <w:p w14:paraId="39A9389B" w14:textId="04F8ED1B" w:rsidR="00003A51" w:rsidRPr="00450A9D" w:rsidRDefault="00003A51" w:rsidP="00003A51">
      <w:pPr>
        <w:spacing w:after="160" w:line="276" w:lineRule="auto"/>
        <w:jc w:val="both"/>
        <w:rPr>
          <w:iCs/>
          <w:sz w:val="18"/>
          <w:szCs w:val="22"/>
          <w:lang w:val="en-US"/>
        </w:rPr>
      </w:pPr>
      <w:bookmarkStart w:id="2" w:name="_Ref137464636"/>
      <w:r w:rsidRPr="00450A9D">
        <w:rPr>
          <w:iCs/>
          <w:sz w:val="18"/>
          <w:szCs w:val="22"/>
          <w:lang w:val="en-US"/>
        </w:rPr>
        <w:t xml:space="preserve">Table </w:t>
      </w:r>
      <w:r w:rsidRPr="00450A9D">
        <w:rPr>
          <w:iCs/>
          <w:sz w:val="18"/>
          <w:szCs w:val="22"/>
          <w:lang w:val="en-US"/>
        </w:rPr>
        <w:fldChar w:fldCharType="begin"/>
      </w:r>
      <w:r w:rsidRPr="00450A9D">
        <w:rPr>
          <w:iCs/>
          <w:sz w:val="18"/>
          <w:szCs w:val="22"/>
          <w:lang w:val="en-US"/>
        </w:rPr>
        <w:instrText xml:space="preserve"> SEQ Table \* ARABIC </w:instrText>
      </w:r>
      <w:r w:rsidRPr="00450A9D">
        <w:rPr>
          <w:iCs/>
          <w:sz w:val="18"/>
          <w:szCs w:val="22"/>
          <w:lang w:val="en-US"/>
        </w:rPr>
        <w:fldChar w:fldCharType="separate"/>
      </w:r>
      <w:r w:rsidR="00861E25">
        <w:rPr>
          <w:iCs/>
          <w:noProof/>
          <w:sz w:val="18"/>
          <w:szCs w:val="22"/>
          <w:lang w:val="en-US"/>
        </w:rPr>
        <w:t>1</w:t>
      </w:r>
      <w:r w:rsidRPr="00450A9D">
        <w:rPr>
          <w:sz w:val="18"/>
          <w:szCs w:val="22"/>
          <w:lang w:val="en-US"/>
        </w:rPr>
        <w:fldChar w:fldCharType="end"/>
      </w:r>
      <w:bookmarkEnd w:id="2"/>
      <w:r w:rsidRPr="00450A9D">
        <w:rPr>
          <w:iCs/>
          <w:sz w:val="18"/>
          <w:szCs w:val="22"/>
          <w:lang w:val="en-US"/>
        </w:rPr>
        <w:t>. Technology and index description for blocks in the superstructure</w:t>
      </w:r>
      <w:r w:rsidR="00B41E1B">
        <w:rPr>
          <w:iCs/>
          <w:sz w:val="18"/>
          <w:szCs w:val="22"/>
          <w:lang w:val="en-US"/>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923"/>
      </w:tblGrid>
      <w:tr w:rsidR="00450A9D" w:rsidRPr="00450A9D" w14:paraId="3A9A283F" w14:textId="77777777" w:rsidTr="0036592F">
        <w:trPr>
          <w:jc w:val="center"/>
        </w:trPr>
        <w:tc>
          <w:tcPr>
            <w:tcW w:w="3986" w:type="dxa"/>
            <w:tcBorders>
              <w:top w:val="single" w:sz="8" w:space="0" w:color="auto"/>
              <w:bottom w:val="single" w:sz="8" w:space="0" w:color="auto"/>
            </w:tcBorders>
          </w:tcPr>
          <w:p w14:paraId="76012C17" w14:textId="77777777" w:rsidR="00450A9D" w:rsidRPr="00450A9D" w:rsidRDefault="00450A9D" w:rsidP="00541D29">
            <w:pPr>
              <w:rPr>
                <w:sz w:val="18"/>
                <w:szCs w:val="18"/>
              </w:rPr>
            </w:pPr>
            <w:r w:rsidRPr="00450A9D">
              <w:rPr>
                <w:b/>
                <w:bCs/>
                <w:sz w:val="18"/>
                <w:szCs w:val="18"/>
              </w:rPr>
              <w:t xml:space="preserve">Block </w:t>
            </w:r>
          </w:p>
        </w:tc>
        <w:tc>
          <w:tcPr>
            <w:tcW w:w="923" w:type="dxa"/>
            <w:tcBorders>
              <w:top w:val="single" w:sz="8" w:space="0" w:color="auto"/>
              <w:bottom w:val="single" w:sz="8" w:space="0" w:color="auto"/>
            </w:tcBorders>
          </w:tcPr>
          <w:p w14:paraId="2605765A" w14:textId="77777777" w:rsidR="00450A9D" w:rsidRPr="00450A9D" w:rsidRDefault="00450A9D" w:rsidP="00541D29">
            <w:pPr>
              <w:rPr>
                <w:sz w:val="18"/>
                <w:szCs w:val="18"/>
              </w:rPr>
            </w:pPr>
            <w:r w:rsidRPr="00450A9D">
              <w:rPr>
                <w:b/>
                <w:bCs/>
                <w:sz w:val="18"/>
                <w:szCs w:val="18"/>
              </w:rPr>
              <w:t>Index</w:t>
            </w:r>
          </w:p>
        </w:tc>
      </w:tr>
      <w:tr w:rsidR="00450A9D" w:rsidRPr="00450A9D" w14:paraId="1042E907" w14:textId="77777777" w:rsidTr="0036592F">
        <w:trPr>
          <w:jc w:val="center"/>
        </w:trPr>
        <w:tc>
          <w:tcPr>
            <w:tcW w:w="3986" w:type="dxa"/>
            <w:tcBorders>
              <w:top w:val="single" w:sz="8" w:space="0" w:color="auto"/>
            </w:tcBorders>
          </w:tcPr>
          <w:p w14:paraId="4706D2A7" w14:textId="77777777" w:rsidR="00450A9D" w:rsidRPr="00450A9D" w:rsidRDefault="00450A9D" w:rsidP="00541D29">
            <w:pPr>
              <w:rPr>
                <w:sz w:val="18"/>
                <w:szCs w:val="18"/>
              </w:rPr>
            </w:pPr>
            <w:r w:rsidRPr="00450A9D">
              <w:rPr>
                <w:sz w:val="18"/>
                <w:szCs w:val="18"/>
              </w:rPr>
              <w:t xml:space="preserve">Deionizer </w:t>
            </w:r>
          </w:p>
        </w:tc>
        <w:tc>
          <w:tcPr>
            <w:tcW w:w="923" w:type="dxa"/>
            <w:tcBorders>
              <w:top w:val="single" w:sz="8" w:space="0" w:color="auto"/>
            </w:tcBorders>
          </w:tcPr>
          <w:p w14:paraId="6BCC1B5E" w14:textId="77777777" w:rsidR="00450A9D" w:rsidRPr="00450A9D" w:rsidRDefault="00450A9D" w:rsidP="00541D29">
            <w:pPr>
              <w:jc w:val="center"/>
              <w:rPr>
                <w:sz w:val="18"/>
                <w:szCs w:val="18"/>
              </w:rPr>
            </w:pPr>
            <w:r w:rsidRPr="00450A9D">
              <w:rPr>
                <w:sz w:val="18"/>
                <w:szCs w:val="18"/>
              </w:rPr>
              <w:t>5</w:t>
            </w:r>
          </w:p>
        </w:tc>
      </w:tr>
      <w:tr w:rsidR="00450A9D" w:rsidRPr="00450A9D" w14:paraId="4D736071" w14:textId="77777777" w:rsidTr="0036592F">
        <w:trPr>
          <w:jc w:val="center"/>
        </w:trPr>
        <w:tc>
          <w:tcPr>
            <w:tcW w:w="3986" w:type="dxa"/>
          </w:tcPr>
          <w:p w14:paraId="71F25907" w14:textId="6451B1BE" w:rsidR="00450A9D" w:rsidRPr="00450A9D" w:rsidRDefault="00450A9D" w:rsidP="00541D29">
            <w:pPr>
              <w:rPr>
                <w:sz w:val="18"/>
                <w:szCs w:val="18"/>
              </w:rPr>
            </w:pPr>
            <w:r w:rsidRPr="00450A9D">
              <w:rPr>
                <w:sz w:val="18"/>
                <w:szCs w:val="18"/>
              </w:rPr>
              <w:t>A</w:t>
            </w:r>
            <w:r w:rsidR="001666AA">
              <w:rPr>
                <w:sz w:val="18"/>
                <w:szCs w:val="18"/>
              </w:rPr>
              <w:t xml:space="preserve">lkaline </w:t>
            </w:r>
            <w:proofErr w:type="spellStart"/>
            <w:r w:rsidR="001666AA">
              <w:rPr>
                <w:sz w:val="18"/>
                <w:szCs w:val="18"/>
              </w:rPr>
              <w:t>electrolyzer</w:t>
            </w:r>
            <w:proofErr w:type="spellEnd"/>
            <w:r w:rsidR="001666AA">
              <w:rPr>
                <w:sz w:val="18"/>
                <w:szCs w:val="18"/>
              </w:rPr>
              <w:t xml:space="preserve"> (A</w:t>
            </w:r>
            <w:r w:rsidRPr="00450A9D">
              <w:rPr>
                <w:sz w:val="18"/>
                <w:szCs w:val="18"/>
              </w:rPr>
              <w:t>E</w:t>
            </w:r>
            <w:r w:rsidR="001666AA">
              <w:rPr>
                <w:sz w:val="18"/>
                <w:szCs w:val="18"/>
              </w:rPr>
              <w:t>)</w:t>
            </w:r>
            <w:r w:rsidRPr="00450A9D">
              <w:rPr>
                <w:sz w:val="18"/>
                <w:szCs w:val="18"/>
              </w:rPr>
              <w:t xml:space="preserve"> </w:t>
            </w:r>
          </w:p>
        </w:tc>
        <w:tc>
          <w:tcPr>
            <w:tcW w:w="923" w:type="dxa"/>
          </w:tcPr>
          <w:p w14:paraId="794E572D" w14:textId="77777777" w:rsidR="00450A9D" w:rsidRPr="00450A9D" w:rsidRDefault="00450A9D" w:rsidP="00541D29">
            <w:pPr>
              <w:jc w:val="center"/>
              <w:rPr>
                <w:sz w:val="18"/>
                <w:szCs w:val="18"/>
              </w:rPr>
            </w:pPr>
            <w:r w:rsidRPr="00450A9D">
              <w:rPr>
                <w:sz w:val="18"/>
                <w:szCs w:val="18"/>
              </w:rPr>
              <w:t>6</w:t>
            </w:r>
          </w:p>
        </w:tc>
      </w:tr>
      <w:tr w:rsidR="00450A9D" w:rsidRPr="00450A9D" w14:paraId="004E5FE7" w14:textId="77777777" w:rsidTr="0036592F">
        <w:trPr>
          <w:jc w:val="center"/>
        </w:trPr>
        <w:tc>
          <w:tcPr>
            <w:tcW w:w="3986" w:type="dxa"/>
          </w:tcPr>
          <w:p w14:paraId="5E47BC12" w14:textId="62A8F9D4" w:rsidR="00450A9D" w:rsidRPr="00450A9D" w:rsidRDefault="00450A9D" w:rsidP="00541D29">
            <w:pPr>
              <w:rPr>
                <w:sz w:val="18"/>
                <w:szCs w:val="18"/>
              </w:rPr>
            </w:pPr>
            <w:r w:rsidRPr="00450A9D">
              <w:rPr>
                <w:sz w:val="18"/>
                <w:szCs w:val="18"/>
              </w:rPr>
              <w:t>P</w:t>
            </w:r>
            <w:r w:rsidR="001666AA">
              <w:rPr>
                <w:sz w:val="18"/>
                <w:szCs w:val="18"/>
              </w:rPr>
              <w:t xml:space="preserve">roton exchange membrane (PEM) </w:t>
            </w:r>
            <w:proofErr w:type="spellStart"/>
            <w:r w:rsidR="001666AA">
              <w:rPr>
                <w:sz w:val="18"/>
                <w:szCs w:val="18"/>
              </w:rPr>
              <w:t>electrolyzer</w:t>
            </w:r>
            <w:proofErr w:type="spellEnd"/>
          </w:p>
        </w:tc>
        <w:tc>
          <w:tcPr>
            <w:tcW w:w="923" w:type="dxa"/>
          </w:tcPr>
          <w:p w14:paraId="0106E366" w14:textId="77777777" w:rsidR="00450A9D" w:rsidRPr="00450A9D" w:rsidRDefault="00450A9D" w:rsidP="00541D29">
            <w:pPr>
              <w:jc w:val="center"/>
              <w:rPr>
                <w:sz w:val="18"/>
                <w:szCs w:val="18"/>
              </w:rPr>
            </w:pPr>
            <w:r w:rsidRPr="00450A9D">
              <w:rPr>
                <w:sz w:val="18"/>
                <w:szCs w:val="18"/>
              </w:rPr>
              <w:t>7</w:t>
            </w:r>
          </w:p>
        </w:tc>
      </w:tr>
      <w:tr w:rsidR="00450A9D" w:rsidRPr="00450A9D" w14:paraId="5CAED029" w14:textId="77777777" w:rsidTr="0036592F">
        <w:trPr>
          <w:jc w:val="center"/>
        </w:trPr>
        <w:tc>
          <w:tcPr>
            <w:tcW w:w="3986" w:type="dxa"/>
          </w:tcPr>
          <w:p w14:paraId="59C1DBF6" w14:textId="3B2D10D3" w:rsidR="00450A9D" w:rsidRPr="00450A9D" w:rsidRDefault="00450A9D" w:rsidP="00541D29">
            <w:pPr>
              <w:rPr>
                <w:sz w:val="18"/>
                <w:szCs w:val="18"/>
              </w:rPr>
            </w:pPr>
            <w:r w:rsidRPr="00450A9D">
              <w:rPr>
                <w:sz w:val="18"/>
                <w:szCs w:val="18"/>
              </w:rPr>
              <w:t>S</w:t>
            </w:r>
            <w:r w:rsidR="001666AA">
              <w:rPr>
                <w:sz w:val="18"/>
                <w:szCs w:val="18"/>
              </w:rPr>
              <w:t xml:space="preserve">olid oxide </w:t>
            </w:r>
            <w:proofErr w:type="spellStart"/>
            <w:r w:rsidR="001666AA">
              <w:rPr>
                <w:sz w:val="18"/>
                <w:szCs w:val="18"/>
              </w:rPr>
              <w:t>electrol</w:t>
            </w:r>
            <w:r w:rsidR="0036592F">
              <w:rPr>
                <w:sz w:val="18"/>
                <w:szCs w:val="18"/>
              </w:rPr>
              <w:t>yzer</w:t>
            </w:r>
            <w:proofErr w:type="spellEnd"/>
            <w:r w:rsidR="001666AA">
              <w:rPr>
                <w:sz w:val="18"/>
                <w:szCs w:val="18"/>
              </w:rPr>
              <w:t xml:space="preserve"> (S</w:t>
            </w:r>
            <w:r w:rsidRPr="00450A9D">
              <w:rPr>
                <w:sz w:val="18"/>
                <w:szCs w:val="18"/>
              </w:rPr>
              <w:t>OEC</w:t>
            </w:r>
            <w:r w:rsidR="001666AA">
              <w:rPr>
                <w:sz w:val="18"/>
                <w:szCs w:val="18"/>
              </w:rPr>
              <w:t>)</w:t>
            </w:r>
          </w:p>
        </w:tc>
        <w:tc>
          <w:tcPr>
            <w:tcW w:w="923" w:type="dxa"/>
          </w:tcPr>
          <w:p w14:paraId="7D2056CC" w14:textId="77777777" w:rsidR="00450A9D" w:rsidRPr="00450A9D" w:rsidRDefault="00450A9D" w:rsidP="00541D29">
            <w:pPr>
              <w:jc w:val="center"/>
              <w:rPr>
                <w:sz w:val="18"/>
                <w:szCs w:val="18"/>
              </w:rPr>
            </w:pPr>
            <w:r w:rsidRPr="00450A9D">
              <w:rPr>
                <w:sz w:val="18"/>
                <w:szCs w:val="18"/>
              </w:rPr>
              <w:t>8</w:t>
            </w:r>
          </w:p>
        </w:tc>
      </w:tr>
      <w:tr w:rsidR="00450A9D" w:rsidRPr="00450A9D" w14:paraId="11F396A7" w14:textId="77777777" w:rsidTr="0036592F">
        <w:trPr>
          <w:jc w:val="center"/>
        </w:trPr>
        <w:tc>
          <w:tcPr>
            <w:tcW w:w="3986" w:type="dxa"/>
          </w:tcPr>
          <w:p w14:paraId="39749F12" w14:textId="54399290" w:rsidR="00450A9D" w:rsidRPr="00450A9D" w:rsidRDefault="00450A9D" w:rsidP="00541D29">
            <w:pPr>
              <w:rPr>
                <w:sz w:val="18"/>
                <w:szCs w:val="18"/>
              </w:rPr>
            </w:pPr>
            <w:r w:rsidRPr="00450A9D">
              <w:rPr>
                <w:sz w:val="18"/>
                <w:szCs w:val="18"/>
              </w:rPr>
              <w:t>H</w:t>
            </w:r>
            <w:r w:rsidR="0036592F">
              <w:rPr>
                <w:sz w:val="18"/>
                <w:szCs w:val="18"/>
              </w:rPr>
              <w:t xml:space="preserve">igh-pressure </w:t>
            </w:r>
            <w:r w:rsidRPr="00450A9D">
              <w:rPr>
                <w:sz w:val="18"/>
                <w:szCs w:val="18"/>
              </w:rPr>
              <w:t>Fe catalyst w/ condensation</w:t>
            </w:r>
          </w:p>
        </w:tc>
        <w:tc>
          <w:tcPr>
            <w:tcW w:w="923" w:type="dxa"/>
          </w:tcPr>
          <w:p w14:paraId="4A0737C6" w14:textId="77777777" w:rsidR="00450A9D" w:rsidRPr="00450A9D" w:rsidRDefault="00450A9D" w:rsidP="00541D29">
            <w:pPr>
              <w:jc w:val="center"/>
              <w:rPr>
                <w:sz w:val="18"/>
                <w:szCs w:val="18"/>
              </w:rPr>
            </w:pPr>
            <w:r w:rsidRPr="00450A9D">
              <w:rPr>
                <w:sz w:val="18"/>
                <w:szCs w:val="18"/>
              </w:rPr>
              <w:t>9</w:t>
            </w:r>
          </w:p>
        </w:tc>
      </w:tr>
      <w:tr w:rsidR="00450A9D" w:rsidRPr="00450A9D" w14:paraId="0DF322A9" w14:textId="77777777" w:rsidTr="0036592F">
        <w:trPr>
          <w:jc w:val="center"/>
        </w:trPr>
        <w:tc>
          <w:tcPr>
            <w:tcW w:w="3986" w:type="dxa"/>
          </w:tcPr>
          <w:p w14:paraId="48E7317A" w14:textId="1B4BD907" w:rsidR="00450A9D" w:rsidRPr="00450A9D" w:rsidRDefault="00450A9D" w:rsidP="00541D29">
            <w:pPr>
              <w:rPr>
                <w:sz w:val="18"/>
                <w:szCs w:val="18"/>
              </w:rPr>
            </w:pPr>
            <w:r w:rsidRPr="00450A9D">
              <w:rPr>
                <w:sz w:val="18"/>
                <w:szCs w:val="18"/>
              </w:rPr>
              <w:t>M</w:t>
            </w:r>
            <w:r w:rsidR="0036592F">
              <w:rPr>
                <w:sz w:val="18"/>
                <w:szCs w:val="18"/>
              </w:rPr>
              <w:t>edium-pressure</w:t>
            </w:r>
            <w:r w:rsidR="0036592F" w:rsidRPr="00450A9D">
              <w:rPr>
                <w:sz w:val="18"/>
                <w:szCs w:val="18"/>
              </w:rPr>
              <w:t xml:space="preserve"> </w:t>
            </w:r>
            <w:r w:rsidRPr="00450A9D">
              <w:rPr>
                <w:sz w:val="18"/>
                <w:szCs w:val="18"/>
              </w:rPr>
              <w:t>Ru</w:t>
            </w:r>
            <w:r w:rsidR="00B41E1B">
              <w:rPr>
                <w:sz w:val="18"/>
                <w:szCs w:val="18"/>
              </w:rPr>
              <w:t xml:space="preserve">/AC </w:t>
            </w:r>
            <w:r w:rsidRPr="00450A9D">
              <w:rPr>
                <w:sz w:val="18"/>
                <w:szCs w:val="18"/>
              </w:rPr>
              <w:t>w/absorption</w:t>
            </w:r>
          </w:p>
        </w:tc>
        <w:tc>
          <w:tcPr>
            <w:tcW w:w="923" w:type="dxa"/>
          </w:tcPr>
          <w:p w14:paraId="6861E09F" w14:textId="77777777" w:rsidR="00450A9D" w:rsidRPr="00450A9D" w:rsidRDefault="00450A9D" w:rsidP="00541D29">
            <w:pPr>
              <w:jc w:val="center"/>
              <w:rPr>
                <w:sz w:val="18"/>
                <w:szCs w:val="18"/>
              </w:rPr>
            </w:pPr>
            <w:r w:rsidRPr="00450A9D">
              <w:rPr>
                <w:sz w:val="18"/>
                <w:szCs w:val="18"/>
              </w:rPr>
              <w:t>10</w:t>
            </w:r>
          </w:p>
        </w:tc>
      </w:tr>
      <w:tr w:rsidR="00450A9D" w:rsidRPr="00450A9D" w14:paraId="0B3ED897" w14:textId="77777777" w:rsidTr="0036592F">
        <w:trPr>
          <w:jc w:val="center"/>
        </w:trPr>
        <w:tc>
          <w:tcPr>
            <w:tcW w:w="3986" w:type="dxa"/>
          </w:tcPr>
          <w:p w14:paraId="43855A47" w14:textId="23F2415E" w:rsidR="00450A9D" w:rsidRPr="00194DB7" w:rsidRDefault="0036592F" w:rsidP="00541D29">
            <w:pPr>
              <w:rPr>
                <w:sz w:val="18"/>
                <w:szCs w:val="18"/>
                <w:lang w:val="de-DE"/>
              </w:rPr>
            </w:pPr>
            <w:r w:rsidRPr="00450A9D">
              <w:rPr>
                <w:sz w:val="18"/>
                <w:szCs w:val="18"/>
              </w:rPr>
              <w:t>M</w:t>
            </w:r>
            <w:r>
              <w:rPr>
                <w:sz w:val="18"/>
                <w:szCs w:val="18"/>
              </w:rPr>
              <w:t>edium-pressure</w:t>
            </w:r>
            <w:r w:rsidRPr="00194DB7">
              <w:rPr>
                <w:sz w:val="18"/>
                <w:szCs w:val="18"/>
                <w:lang w:val="de-DE"/>
              </w:rPr>
              <w:t xml:space="preserve"> </w:t>
            </w:r>
            <w:r w:rsidR="00450A9D" w:rsidRPr="00194DB7">
              <w:rPr>
                <w:sz w:val="18"/>
                <w:szCs w:val="18"/>
                <w:lang w:val="de-DE"/>
              </w:rPr>
              <w:t>Ru</w:t>
            </w:r>
            <w:r w:rsidR="00B41E1B">
              <w:rPr>
                <w:sz w:val="18"/>
                <w:szCs w:val="18"/>
                <w:lang w:val="de-DE"/>
              </w:rPr>
              <w:t xml:space="preserve">/AC </w:t>
            </w:r>
            <w:r w:rsidR="00450A9D" w:rsidRPr="00194DB7">
              <w:rPr>
                <w:sz w:val="18"/>
                <w:szCs w:val="18"/>
                <w:lang w:val="de-DE"/>
              </w:rPr>
              <w:t>w/condensation</w:t>
            </w:r>
          </w:p>
        </w:tc>
        <w:tc>
          <w:tcPr>
            <w:tcW w:w="923" w:type="dxa"/>
          </w:tcPr>
          <w:p w14:paraId="6DE52810" w14:textId="77777777" w:rsidR="00450A9D" w:rsidRPr="00450A9D" w:rsidRDefault="00450A9D" w:rsidP="00541D29">
            <w:pPr>
              <w:jc w:val="center"/>
              <w:rPr>
                <w:sz w:val="18"/>
                <w:szCs w:val="18"/>
              </w:rPr>
            </w:pPr>
            <w:r w:rsidRPr="00450A9D">
              <w:rPr>
                <w:sz w:val="18"/>
                <w:szCs w:val="18"/>
              </w:rPr>
              <w:t>11</w:t>
            </w:r>
          </w:p>
        </w:tc>
      </w:tr>
      <w:tr w:rsidR="00450A9D" w:rsidRPr="00450A9D" w14:paraId="54ABD194" w14:textId="77777777" w:rsidTr="0036592F">
        <w:trPr>
          <w:jc w:val="center"/>
        </w:trPr>
        <w:tc>
          <w:tcPr>
            <w:tcW w:w="3986" w:type="dxa"/>
          </w:tcPr>
          <w:p w14:paraId="0507C631" w14:textId="2CACD44E" w:rsidR="00450A9D" w:rsidRPr="00450A9D" w:rsidRDefault="00450A9D" w:rsidP="00541D29">
            <w:pPr>
              <w:rPr>
                <w:sz w:val="18"/>
                <w:szCs w:val="18"/>
              </w:rPr>
            </w:pPr>
            <w:r w:rsidRPr="00450A9D">
              <w:rPr>
                <w:sz w:val="18"/>
                <w:szCs w:val="18"/>
              </w:rPr>
              <w:t>L</w:t>
            </w:r>
            <w:r w:rsidR="0036592F">
              <w:rPr>
                <w:sz w:val="18"/>
                <w:szCs w:val="18"/>
              </w:rPr>
              <w:t xml:space="preserve">ow-pressure </w:t>
            </w:r>
            <w:r w:rsidRPr="00450A9D">
              <w:rPr>
                <w:sz w:val="18"/>
                <w:szCs w:val="18"/>
              </w:rPr>
              <w:t>Ru/Ba-</w:t>
            </w:r>
            <w:proofErr w:type="gramStart"/>
            <w:r w:rsidRPr="00450A9D">
              <w:rPr>
                <w:sz w:val="18"/>
                <w:szCs w:val="18"/>
              </w:rPr>
              <w:t>Ca(</w:t>
            </w:r>
            <w:proofErr w:type="gramEnd"/>
            <w:r w:rsidRPr="00450A9D">
              <w:rPr>
                <w:sz w:val="18"/>
                <w:szCs w:val="18"/>
              </w:rPr>
              <w:t>NH</w:t>
            </w:r>
            <w:r w:rsidRPr="00450A9D">
              <w:rPr>
                <w:sz w:val="18"/>
                <w:szCs w:val="18"/>
                <w:vertAlign w:val="subscript"/>
              </w:rPr>
              <w:t>2</w:t>
            </w:r>
            <w:r w:rsidRPr="00450A9D">
              <w:rPr>
                <w:sz w:val="18"/>
                <w:szCs w:val="18"/>
              </w:rPr>
              <w:t>)</w:t>
            </w:r>
            <w:r w:rsidRPr="00450A9D">
              <w:rPr>
                <w:sz w:val="18"/>
                <w:szCs w:val="18"/>
                <w:vertAlign w:val="subscript"/>
              </w:rPr>
              <w:t>2</w:t>
            </w:r>
            <w:r w:rsidRPr="00450A9D">
              <w:rPr>
                <w:sz w:val="18"/>
                <w:szCs w:val="18"/>
              </w:rPr>
              <w:t>/ w/absorption</w:t>
            </w:r>
          </w:p>
        </w:tc>
        <w:tc>
          <w:tcPr>
            <w:tcW w:w="923" w:type="dxa"/>
          </w:tcPr>
          <w:p w14:paraId="164AF529" w14:textId="77777777" w:rsidR="00450A9D" w:rsidRPr="00450A9D" w:rsidRDefault="00450A9D" w:rsidP="00541D29">
            <w:pPr>
              <w:jc w:val="center"/>
              <w:rPr>
                <w:sz w:val="18"/>
                <w:szCs w:val="18"/>
              </w:rPr>
            </w:pPr>
            <w:r w:rsidRPr="00450A9D">
              <w:rPr>
                <w:sz w:val="18"/>
                <w:szCs w:val="18"/>
              </w:rPr>
              <w:t>12</w:t>
            </w:r>
          </w:p>
        </w:tc>
      </w:tr>
      <w:tr w:rsidR="00450A9D" w:rsidRPr="00450A9D" w14:paraId="05A71D5F" w14:textId="77777777" w:rsidTr="0036592F">
        <w:trPr>
          <w:jc w:val="center"/>
        </w:trPr>
        <w:tc>
          <w:tcPr>
            <w:tcW w:w="3986" w:type="dxa"/>
          </w:tcPr>
          <w:p w14:paraId="5E93F0A2" w14:textId="38571034" w:rsidR="00450A9D" w:rsidRPr="00450A9D" w:rsidRDefault="00450A9D" w:rsidP="00541D29">
            <w:pPr>
              <w:rPr>
                <w:sz w:val="18"/>
                <w:szCs w:val="18"/>
              </w:rPr>
            </w:pPr>
            <w:r w:rsidRPr="00450A9D">
              <w:rPr>
                <w:sz w:val="18"/>
                <w:szCs w:val="18"/>
              </w:rPr>
              <w:t>P</w:t>
            </w:r>
            <w:r w:rsidR="0036592F">
              <w:rPr>
                <w:sz w:val="18"/>
                <w:szCs w:val="18"/>
              </w:rPr>
              <w:t>ressure swing adsorptio</w:t>
            </w:r>
            <w:r w:rsidR="00034445">
              <w:rPr>
                <w:sz w:val="18"/>
                <w:szCs w:val="18"/>
              </w:rPr>
              <w:t>n (PSA)</w:t>
            </w:r>
          </w:p>
        </w:tc>
        <w:tc>
          <w:tcPr>
            <w:tcW w:w="923" w:type="dxa"/>
          </w:tcPr>
          <w:p w14:paraId="6C8356D5" w14:textId="77777777" w:rsidR="00450A9D" w:rsidRPr="00450A9D" w:rsidRDefault="00450A9D" w:rsidP="00541D29">
            <w:pPr>
              <w:jc w:val="center"/>
              <w:rPr>
                <w:sz w:val="18"/>
                <w:szCs w:val="18"/>
              </w:rPr>
            </w:pPr>
            <w:r w:rsidRPr="00450A9D">
              <w:rPr>
                <w:sz w:val="18"/>
                <w:szCs w:val="18"/>
              </w:rPr>
              <w:t>13</w:t>
            </w:r>
          </w:p>
        </w:tc>
      </w:tr>
      <w:tr w:rsidR="00450A9D" w:rsidRPr="00450A9D" w14:paraId="3325629C" w14:textId="77777777" w:rsidTr="0036592F">
        <w:trPr>
          <w:jc w:val="center"/>
        </w:trPr>
        <w:tc>
          <w:tcPr>
            <w:tcW w:w="3986" w:type="dxa"/>
          </w:tcPr>
          <w:p w14:paraId="771E7FE1" w14:textId="0D87CB61" w:rsidR="00450A9D" w:rsidRPr="00450A9D" w:rsidRDefault="00450A9D" w:rsidP="00541D29">
            <w:pPr>
              <w:rPr>
                <w:sz w:val="18"/>
                <w:szCs w:val="18"/>
              </w:rPr>
            </w:pPr>
            <w:r w:rsidRPr="00450A9D">
              <w:rPr>
                <w:sz w:val="18"/>
                <w:szCs w:val="18"/>
              </w:rPr>
              <w:t xml:space="preserve">Membrane </w:t>
            </w:r>
            <w:r w:rsidR="0036592F">
              <w:rPr>
                <w:sz w:val="18"/>
                <w:szCs w:val="18"/>
              </w:rPr>
              <w:t>air separation unit (A</w:t>
            </w:r>
            <w:r w:rsidRPr="00450A9D">
              <w:rPr>
                <w:sz w:val="18"/>
                <w:szCs w:val="18"/>
              </w:rPr>
              <w:t>SU</w:t>
            </w:r>
            <w:r w:rsidR="0036592F">
              <w:rPr>
                <w:sz w:val="18"/>
                <w:szCs w:val="18"/>
              </w:rPr>
              <w:t>)</w:t>
            </w:r>
          </w:p>
        </w:tc>
        <w:tc>
          <w:tcPr>
            <w:tcW w:w="923" w:type="dxa"/>
          </w:tcPr>
          <w:p w14:paraId="681CC7AF" w14:textId="77777777" w:rsidR="00450A9D" w:rsidRPr="00450A9D" w:rsidRDefault="00450A9D" w:rsidP="00541D29">
            <w:pPr>
              <w:jc w:val="center"/>
              <w:rPr>
                <w:sz w:val="18"/>
                <w:szCs w:val="18"/>
              </w:rPr>
            </w:pPr>
            <w:r w:rsidRPr="00450A9D">
              <w:rPr>
                <w:sz w:val="18"/>
                <w:szCs w:val="18"/>
              </w:rPr>
              <w:t>14</w:t>
            </w:r>
          </w:p>
        </w:tc>
      </w:tr>
      <w:tr w:rsidR="00450A9D" w:rsidRPr="00450A9D" w14:paraId="09BA6F07" w14:textId="77777777" w:rsidTr="0036592F">
        <w:trPr>
          <w:jc w:val="center"/>
        </w:trPr>
        <w:tc>
          <w:tcPr>
            <w:tcW w:w="3986" w:type="dxa"/>
          </w:tcPr>
          <w:p w14:paraId="3C44D2F0" w14:textId="77777777" w:rsidR="00450A9D" w:rsidRPr="00450A9D" w:rsidRDefault="00450A9D" w:rsidP="00541D29">
            <w:pPr>
              <w:rPr>
                <w:sz w:val="18"/>
                <w:szCs w:val="18"/>
              </w:rPr>
            </w:pPr>
            <w:r w:rsidRPr="00450A9D">
              <w:rPr>
                <w:sz w:val="18"/>
                <w:szCs w:val="18"/>
              </w:rPr>
              <w:t>Drying</w:t>
            </w:r>
          </w:p>
        </w:tc>
        <w:tc>
          <w:tcPr>
            <w:tcW w:w="923" w:type="dxa"/>
          </w:tcPr>
          <w:p w14:paraId="375D19FA" w14:textId="77777777" w:rsidR="00450A9D" w:rsidRPr="00450A9D" w:rsidRDefault="00450A9D" w:rsidP="00541D29">
            <w:pPr>
              <w:jc w:val="center"/>
              <w:rPr>
                <w:sz w:val="18"/>
                <w:szCs w:val="18"/>
              </w:rPr>
            </w:pPr>
            <w:r w:rsidRPr="00450A9D">
              <w:rPr>
                <w:sz w:val="18"/>
                <w:szCs w:val="18"/>
              </w:rPr>
              <w:t>15</w:t>
            </w:r>
          </w:p>
        </w:tc>
      </w:tr>
      <w:tr w:rsidR="00450A9D" w:rsidRPr="00450A9D" w14:paraId="78CB693E" w14:textId="77777777" w:rsidTr="0036592F">
        <w:trPr>
          <w:jc w:val="center"/>
        </w:trPr>
        <w:tc>
          <w:tcPr>
            <w:tcW w:w="3986" w:type="dxa"/>
          </w:tcPr>
          <w:p w14:paraId="504225E6" w14:textId="77777777" w:rsidR="00450A9D" w:rsidRPr="00450A9D" w:rsidRDefault="00450A9D" w:rsidP="00541D29">
            <w:pPr>
              <w:rPr>
                <w:sz w:val="18"/>
                <w:szCs w:val="18"/>
              </w:rPr>
            </w:pPr>
            <w:r w:rsidRPr="00450A9D">
              <w:rPr>
                <w:sz w:val="18"/>
                <w:szCs w:val="18"/>
              </w:rPr>
              <w:t>Gasification</w:t>
            </w:r>
          </w:p>
        </w:tc>
        <w:tc>
          <w:tcPr>
            <w:tcW w:w="923" w:type="dxa"/>
          </w:tcPr>
          <w:p w14:paraId="14B4D7E7" w14:textId="77777777" w:rsidR="00450A9D" w:rsidRPr="00450A9D" w:rsidRDefault="00450A9D" w:rsidP="00541D29">
            <w:pPr>
              <w:jc w:val="center"/>
              <w:rPr>
                <w:sz w:val="18"/>
                <w:szCs w:val="18"/>
              </w:rPr>
            </w:pPr>
            <w:r w:rsidRPr="00450A9D">
              <w:rPr>
                <w:sz w:val="18"/>
                <w:szCs w:val="18"/>
              </w:rPr>
              <w:t>16</w:t>
            </w:r>
          </w:p>
        </w:tc>
      </w:tr>
      <w:tr w:rsidR="00450A9D" w:rsidRPr="00450A9D" w14:paraId="278F190F" w14:textId="77777777" w:rsidTr="0036592F">
        <w:trPr>
          <w:jc w:val="center"/>
        </w:trPr>
        <w:tc>
          <w:tcPr>
            <w:tcW w:w="3986" w:type="dxa"/>
          </w:tcPr>
          <w:p w14:paraId="2E9175CC" w14:textId="77777777" w:rsidR="00450A9D" w:rsidRPr="00450A9D" w:rsidRDefault="00450A9D" w:rsidP="00541D29">
            <w:pPr>
              <w:rPr>
                <w:sz w:val="18"/>
                <w:szCs w:val="18"/>
              </w:rPr>
            </w:pPr>
            <w:r w:rsidRPr="00450A9D">
              <w:rPr>
                <w:sz w:val="18"/>
                <w:szCs w:val="18"/>
              </w:rPr>
              <w:t>Desulfurization</w:t>
            </w:r>
          </w:p>
        </w:tc>
        <w:tc>
          <w:tcPr>
            <w:tcW w:w="923" w:type="dxa"/>
          </w:tcPr>
          <w:p w14:paraId="1D60D9C5" w14:textId="77777777" w:rsidR="00450A9D" w:rsidRPr="00450A9D" w:rsidRDefault="00450A9D" w:rsidP="00541D29">
            <w:pPr>
              <w:jc w:val="center"/>
              <w:rPr>
                <w:sz w:val="18"/>
                <w:szCs w:val="18"/>
              </w:rPr>
            </w:pPr>
            <w:r w:rsidRPr="00450A9D">
              <w:rPr>
                <w:sz w:val="18"/>
                <w:szCs w:val="18"/>
              </w:rPr>
              <w:t>17</w:t>
            </w:r>
          </w:p>
        </w:tc>
      </w:tr>
      <w:tr w:rsidR="00450A9D" w:rsidRPr="00450A9D" w14:paraId="5AD4279F" w14:textId="77777777" w:rsidTr="0036592F">
        <w:trPr>
          <w:jc w:val="center"/>
        </w:trPr>
        <w:tc>
          <w:tcPr>
            <w:tcW w:w="3986" w:type="dxa"/>
            <w:tcBorders>
              <w:bottom w:val="single" w:sz="8" w:space="0" w:color="auto"/>
            </w:tcBorders>
          </w:tcPr>
          <w:p w14:paraId="37C11AA8" w14:textId="77777777" w:rsidR="00450A9D" w:rsidRPr="00450A9D" w:rsidRDefault="00450A9D" w:rsidP="00541D29">
            <w:pPr>
              <w:rPr>
                <w:sz w:val="18"/>
                <w:szCs w:val="18"/>
              </w:rPr>
            </w:pPr>
            <w:r w:rsidRPr="00450A9D">
              <w:rPr>
                <w:sz w:val="18"/>
                <w:szCs w:val="18"/>
              </w:rPr>
              <w:t>TDM</w:t>
            </w:r>
          </w:p>
        </w:tc>
        <w:tc>
          <w:tcPr>
            <w:tcW w:w="923" w:type="dxa"/>
            <w:tcBorders>
              <w:bottom w:val="single" w:sz="8" w:space="0" w:color="auto"/>
            </w:tcBorders>
          </w:tcPr>
          <w:p w14:paraId="06288071" w14:textId="77777777" w:rsidR="00450A9D" w:rsidRPr="00450A9D" w:rsidRDefault="00450A9D" w:rsidP="00541D29">
            <w:pPr>
              <w:jc w:val="center"/>
              <w:rPr>
                <w:sz w:val="18"/>
                <w:szCs w:val="18"/>
              </w:rPr>
            </w:pPr>
            <w:r w:rsidRPr="00450A9D">
              <w:rPr>
                <w:sz w:val="18"/>
                <w:szCs w:val="18"/>
              </w:rPr>
              <w:t>18</w:t>
            </w:r>
          </w:p>
        </w:tc>
      </w:tr>
    </w:tbl>
    <w:p w14:paraId="2A47C724" w14:textId="77777777" w:rsidR="000B0186" w:rsidRDefault="000B0186" w:rsidP="00844AC9">
      <w:pPr>
        <w:pStyle w:val="Els-body-text"/>
      </w:pPr>
    </w:p>
    <w:p w14:paraId="767EE3B4" w14:textId="44AD3C04" w:rsidR="003F50E9" w:rsidRPr="000F18B2" w:rsidRDefault="7AAD116D" w:rsidP="00844AC9">
      <w:pPr>
        <w:pStyle w:val="Els-body-text"/>
      </w:pPr>
      <w:r>
        <w:t>Given</w:t>
      </w:r>
      <w:r w:rsidR="19BE8C99">
        <w:t xml:space="preserve"> a set of t</w:t>
      </w:r>
      <w:r>
        <w:t>echnologies</w:t>
      </w:r>
      <w:r w:rsidR="19BE8C99">
        <w:t xml:space="preserve"> for H</w:t>
      </w:r>
      <w:r w:rsidR="19BE8C99" w:rsidRPr="0A8C40EF">
        <w:rPr>
          <w:vertAlign w:val="subscript"/>
        </w:rPr>
        <w:t>2</w:t>
      </w:r>
      <w:r w:rsidR="19BE8C99">
        <w:t>, N</w:t>
      </w:r>
      <w:r w:rsidR="19BE8C99" w:rsidRPr="0A8C40EF">
        <w:rPr>
          <w:vertAlign w:val="subscript"/>
        </w:rPr>
        <w:t>2</w:t>
      </w:r>
      <w:r w:rsidR="19BE8C99">
        <w:t xml:space="preserve"> and NH</w:t>
      </w:r>
      <w:r w:rsidR="19BE8C99" w:rsidRPr="0A8C40EF">
        <w:rPr>
          <w:vertAlign w:val="subscript"/>
        </w:rPr>
        <w:t>3</w:t>
      </w:r>
      <w:r w:rsidR="19BE8C99">
        <w:t xml:space="preserve"> </w:t>
      </w:r>
      <w:r>
        <w:t>production</w:t>
      </w:r>
      <w:r w:rsidR="19BE8C99">
        <w:t xml:space="preserve"> along with </w:t>
      </w:r>
      <w:r w:rsidR="000E289B">
        <w:t xml:space="preserve">different </w:t>
      </w:r>
      <w:r w:rsidR="19BE8C99">
        <w:t xml:space="preserve">feedstocks </w:t>
      </w:r>
      <w:r w:rsidR="2C79E88A">
        <w:t>(sets and parameters)</w:t>
      </w:r>
      <w:r w:rsidR="19BE8C99">
        <w:t>; the SE</w:t>
      </w:r>
      <w:r w:rsidR="0AC25C17">
        <w:t xml:space="preserve"> </w:t>
      </w:r>
      <w:r w:rsidR="00F25867">
        <w:t>decides</w:t>
      </w:r>
      <w:r w:rsidR="001666AA">
        <w:t xml:space="preserve"> </w:t>
      </w:r>
      <w:r w:rsidR="19BE8C99">
        <w:t>m</w:t>
      </w:r>
      <w:r>
        <w:t>ass flows</w:t>
      </w:r>
      <w:r w:rsidR="19BE8C99">
        <w:t>, t</w:t>
      </w:r>
      <w:r>
        <w:t>echnologies</w:t>
      </w:r>
      <w:r w:rsidR="19BE8C99">
        <w:t xml:space="preserve"> and f</w:t>
      </w:r>
      <w:r>
        <w:t>eedstock type</w:t>
      </w:r>
      <w:r w:rsidR="2C79E88A">
        <w:t xml:space="preserve"> (variables)</w:t>
      </w:r>
      <w:r w:rsidR="000B5ED4">
        <w:t>;</w:t>
      </w:r>
      <w:r w:rsidR="19BE8C99">
        <w:t xml:space="preserve"> </w:t>
      </w:r>
      <w:r w:rsidR="7703E104">
        <w:t xml:space="preserve">while </w:t>
      </w:r>
      <w:r w:rsidR="19BE8C99">
        <w:t>minimizing the a</w:t>
      </w:r>
      <w:r>
        <w:t>mmonia production cost</w:t>
      </w:r>
      <w:r w:rsidR="2C79E88A">
        <w:t xml:space="preserve"> (objective function)</w:t>
      </w:r>
      <w:r w:rsidR="19BE8C99">
        <w:t xml:space="preserve">. </w:t>
      </w:r>
      <w:r>
        <w:t>Mass balances per component must be satisfied</w:t>
      </w:r>
      <w:r w:rsidR="00AB043B">
        <w:t xml:space="preserve"> and</w:t>
      </w:r>
      <w:r w:rsidR="00AE0F74">
        <w:t xml:space="preserve"> a</w:t>
      </w:r>
      <w:r>
        <w:t xml:space="preserve"> certain ammonia demand </w:t>
      </w:r>
      <w:r w:rsidR="15E15C74">
        <w:t>is</w:t>
      </w:r>
      <w:r>
        <w:t xml:space="preserve"> met</w:t>
      </w:r>
      <w:r w:rsidR="7D691F16">
        <w:t>.</w:t>
      </w:r>
    </w:p>
    <w:p w14:paraId="125C6AB8" w14:textId="71560EE7" w:rsidR="00887551" w:rsidRDefault="000F42B1" w:rsidP="008D2649">
      <w:pPr>
        <w:pStyle w:val="Els-body-text"/>
      </w:pPr>
      <w:r>
        <w:t>Sets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68"/>
        <w:gridCol w:w="2497"/>
        <w:gridCol w:w="990"/>
        <w:gridCol w:w="2090"/>
        <w:gridCol w:w="491"/>
      </w:tblGrid>
      <w:tr w:rsidR="000F42B1" w:rsidRPr="000F42B1" w14:paraId="2FE0D1D8" w14:textId="77777777" w:rsidTr="00D56B46">
        <w:trPr>
          <w:gridAfter w:val="1"/>
          <w:wAfter w:w="491" w:type="dxa"/>
        </w:trPr>
        <w:tc>
          <w:tcPr>
            <w:tcW w:w="540" w:type="dxa"/>
          </w:tcPr>
          <w:p w14:paraId="7ED93B7E" w14:textId="77777777" w:rsidR="000F42B1" w:rsidRPr="000F42B1" w:rsidRDefault="000F42B1" w:rsidP="000F42B1">
            <w:pPr>
              <w:pStyle w:val="Els-body-text"/>
            </w:pPr>
            <w:r w:rsidRPr="000F42B1">
              <w:t>i</w:t>
            </w:r>
          </w:p>
        </w:tc>
        <w:tc>
          <w:tcPr>
            <w:tcW w:w="6045" w:type="dxa"/>
            <w:gridSpan w:val="4"/>
          </w:tcPr>
          <w:p w14:paraId="6ECC54DF" w14:textId="31D0460C" w:rsidR="000F42B1" w:rsidRPr="000F42B1" w:rsidRDefault="00990AF3" w:rsidP="000F42B1">
            <w:pPr>
              <w:pStyle w:val="Els-body-text"/>
            </w:pPr>
            <w:r>
              <w:t>Feedstock</w:t>
            </w:r>
            <w:r w:rsidR="000F42B1" w:rsidRPr="000F42B1">
              <w:t xml:space="preserve"> or block</w:t>
            </w:r>
          </w:p>
        </w:tc>
      </w:tr>
      <w:tr w:rsidR="000F42B1" w:rsidRPr="000F42B1" w14:paraId="20357A15" w14:textId="77777777" w:rsidTr="00D56B46">
        <w:trPr>
          <w:gridAfter w:val="1"/>
          <w:wAfter w:w="491" w:type="dxa"/>
        </w:trPr>
        <w:tc>
          <w:tcPr>
            <w:tcW w:w="540" w:type="dxa"/>
          </w:tcPr>
          <w:p w14:paraId="5EDF156C" w14:textId="77777777" w:rsidR="000F42B1" w:rsidRPr="000F42B1" w:rsidRDefault="000F42B1" w:rsidP="000F42B1">
            <w:pPr>
              <w:pStyle w:val="Els-body-text"/>
            </w:pPr>
            <w:r w:rsidRPr="000F42B1">
              <w:t>k</w:t>
            </w:r>
          </w:p>
        </w:tc>
        <w:tc>
          <w:tcPr>
            <w:tcW w:w="6045" w:type="dxa"/>
            <w:gridSpan w:val="4"/>
          </w:tcPr>
          <w:p w14:paraId="2F45B4CA" w14:textId="77777777" w:rsidR="000F42B1" w:rsidRPr="000F42B1" w:rsidRDefault="000F42B1" w:rsidP="000F42B1">
            <w:pPr>
              <w:pStyle w:val="Els-body-text"/>
            </w:pPr>
            <w:r w:rsidRPr="000F42B1">
              <w:t>Chemical component</w:t>
            </w:r>
          </w:p>
        </w:tc>
      </w:tr>
      <w:tr w:rsidR="000F42B1" w:rsidRPr="000F42B1" w14:paraId="075A1AFB" w14:textId="77777777" w:rsidTr="00D56B46">
        <w:trPr>
          <w:gridAfter w:val="1"/>
          <w:wAfter w:w="491" w:type="dxa"/>
        </w:trPr>
        <w:tc>
          <w:tcPr>
            <w:tcW w:w="540" w:type="dxa"/>
          </w:tcPr>
          <w:p w14:paraId="3E994328" w14:textId="77777777" w:rsidR="000F42B1" w:rsidRPr="000F42B1" w:rsidRDefault="000F42B1" w:rsidP="000F42B1">
            <w:pPr>
              <w:pStyle w:val="Els-body-text"/>
            </w:pPr>
            <w:r w:rsidRPr="000F42B1">
              <w:t>ν</w:t>
            </w:r>
          </w:p>
        </w:tc>
        <w:tc>
          <w:tcPr>
            <w:tcW w:w="6045" w:type="dxa"/>
            <w:gridSpan w:val="4"/>
          </w:tcPr>
          <w:p w14:paraId="18B232F8" w14:textId="77777777" w:rsidR="000F42B1" w:rsidRPr="000F42B1" w:rsidRDefault="000F42B1" w:rsidP="000F42B1">
            <w:pPr>
              <w:pStyle w:val="Els-body-text"/>
            </w:pPr>
            <w:r w:rsidRPr="000F42B1">
              <w:t>Chemical reaction</w:t>
            </w:r>
          </w:p>
        </w:tc>
      </w:tr>
      <w:tr w:rsidR="000F42B1" w:rsidRPr="000F42B1" w14:paraId="3C6495F8" w14:textId="77777777" w:rsidTr="00D56B46">
        <w:trPr>
          <w:gridAfter w:val="1"/>
          <w:wAfter w:w="491" w:type="dxa"/>
        </w:trPr>
        <w:tc>
          <w:tcPr>
            <w:tcW w:w="540" w:type="dxa"/>
          </w:tcPr>
          <w:p w14:paraId="26C9BC38" w14:textId="77777777" w:rsidR="000F42B1" w:rsidRPr="000F42B1" w:rsidRDefault="000F42B1" w:rsidP="000F42B1">
            <w:pPr>
              <w:pStyle w:val="Els-body-text"/>
            </w:pPr>
            <w:r w:rsidRPr="000F42B1">
              <w:t>u</w:t>
            </w:r>
          </w:p>
        </w:tc>
        <w:tc>
          <w:tcPr>
            <w:tcW w:w="6045" w:type="dxa"/>
            <w:gridSpan w:val="4"/>
          </w:tcPr>
          <w:p w14:paraId="24466A31" w14:textId="77777777" w:rsidR="000F42B1" w:rsidRPr="000F42B1" w:rsidRDefault="000F42B1" w:rsidP="000F42B1">
            <w:pPr>
              <w:pStyle w:val="Els-body-text"/>
            </w:pPr>
            <w:r w:rsidRPr="000F42B1">
              <w:t>Utility</w:t>
            </w:r>
          </w:p>
        </w:tc>
      </w:tr>
      <w:tr w:rsidR="000F42B1" w:rsidRPr="000F42B1" w14:paraId="569CCD95" w14:textId="77777777" w:rsidTr="00D56B46">
        <w:trPr>
          <w:gridAfter w:val="1"/>
          <w:wAfter w:w="491" w:type="dxa"/>
        </w:trPr>
        <w:tc>
          <w:tcPr>
            <w:tcW w:w="540" w:type="dxa"/>
          </w:tcPr>
          <w:p w14:paraId="79DA1F76" w14:textId="77777777" w:rsidR="000F42B1" w:rsidRPr="000F42B1" w:rsidRDefault="000F42B1" w:rsidP="000F42B1">
            <w:pPr>
              <w:pStyle w:val="Els-body-text"/>
            </w:pPr>
            <w:r w:rsidRPr="000F42B1">
              <w:t>b</w:t>
            </w:r>
          </w:p>
        </w:tc>
        <w:tc>
          <w:tcPr>
            <w:tcW w:w="6045" w:type="dxa"/>
            <w:gridSpan w:val="4"/>
          </w:tcPr>
          <w:p w14:paraId="3FF5DFF0" w14:textId="773BF1AB" w:rsidR="00F25867" w:rsidRPr="000F42B1" w:rsidRDefault="00523006" w:rsidP="000F42B1">
            <w:pPr>
              <w:pStyle w:val="Els-body-text"/>
            </w:pPr>
            <w:r w:rsidRPr="000F42B1">
              <w:t>B</w:t>
            </w:r>
            <w:r w:rsidR="000F42B1" w:rsidRPr="000F42B1">
              <w:t>reakpoin</w:t>
            </w:r>
            <w:r>
              <w:t xml:space="preserve">t </w:t>
            </w:r>
            <w:r w:rsidR="002A25B5">
              <w:t>(used in</w:t>
            </w:r>
            <w:r w:rsidR="006F038A">
              <w:t xml:space="preserve"> </w:t>
            </w:r>
            <w:r>
              <w:t xml:space="preserve">piecewise </w:t>
            </w:r>
            <w:r w:rsidR="006F038A">
              <w:t>linearization</w:t>
            </w:r>
            <w:r w:rsidR="002A25B5">
              <w:t>)</w:t>
            </w:r>
          </w:p>
        </w:tc>
      </w:tr>
      <w:tr w:rsidR="00E831CF" w:rsidRPr="00523006" w14:paraId="48862931" w14:textId="77777777" w:rsidTr="00D56B46">
        <w:tc>
          <w:tcPr>
            <w:tcW w:w="3505" w:type="dxa"/>
            <w:gridSpan w:val="3"/>
          </w:tcPr>
          <w:p w14:paraId="16E2F4FA" w14:textId="5176C546" w:rsidR="00E831CF" w:rsidRPr="00523006" w:rsidRDefault="00E831CF" w:rsidP="00541D29">
            <w:pPr>
              <w:pStyle w:val="Els-body-text"/>
            </w:pPr>
            <w:r>
              <w:rPr>
                <w:iCs/>
              </w:rPr>
              <w:lastRenderedPageBreak/>
              <w:t>Parameters</w:t>
            </w:r>
          </w:p>
        </w:tc>
        <w:tc>
          <w:tcPr>
            <w:tcW w:w="3571" w:type="dxa"/>
            <w:gridSpan w:val="3"/>
          </w:tcPr>
          <w:p w14:paraId="7FCF2332" w14:textId="2D12DF64" w:rsidR="00E831CF" w:rsidRDefault="00E831CF" w:rsidP="00B01720">
            <w:pPr>
              <w:pStyle w:val="Els-body-text"/>
              <w:jc w:val="left"/>
              <w:rPr>
                <w:lang w:eastAsia="nl-NL"/>
              </w:rPr>
            </w:pPr>
            <w:r>
              <w:rPr>
                <w:lang w:eastAsia="nl-NL"/>
              </w:rPr>
              <w:t>Variables</w:t>
            </w:r>
          </w:p>
        </w:tc>
      </w:tr>
      <w:tr w:rsidR="00844AC9" w:rsidRPr="00523006" w14:paraId="4AA48564" w14:textId="77777777" w:rsidTr="00D56B46">
        <w:tc>
          <w:tcPr>
            <w:tcW w:w="1008" w:type="dxa"/>
            <w:gridSpan w:val="2"/>
          </w:tcPr>
          <w:p w14:paraId="355D6801" w14:textId="77777777" w:rsidR="00844AC9" w:rsidRPr="00523006" w:rsidRDefault="00C943C4" w:rsidP="00541D29">
            <w:pPr>
              <w:pStyle w:val="Els-body-text"/>
            </w:pPr>
            <m:oMathPara>
              <m:oMath>
                <m:sSub>
                  <m:sSubPr>
                    <m:ctrlPr>
                      <w:rPr>
                        <w:rFonts w:ascii="Cambria Math" w:hAnsi="Cambria Math"/>
                        <w:i/>
                        <w:iCs/>
                      </w:rPr>
                    </m:ctrlPr>
                  </m:sSubPr>
                  <m:e>
                    <m:r>
                      <w:rPr>
                        <w:rFonts w:ascii="Cambria Math" w:hAnsi="Cambria Math"/>
                      </w:rPr>
                      <m:t>SF</m:t>
                    </m:r>
                  </m:e>
                  <m:sub>
                    <m:r>
                      <w:rPr>
                        <w:rFonts w:ascii="Cambria Math" w:hAnsi="Cambria Math"/>
                      </w:rPr>
                      <m:t>i</m:t>
                    </m:r>
                    <m:r>
                      <w:rPr>
                        <w:rFonts w:ascii="Cambria Math" w:hAnsi="Cambria Math"/>
                      </w:rPr>
                      <m:t>,</m:t>
                    </m:r>
                    <m:r>
                      <w:rPr>
                        <w:rFonts w:ascii="Cambria Math" w:hAnsi="Cambria Math"/>
                      </w:rPr>
                      <m:t>k</m:t>
                    </m:r>
                  </m:sub>
                </m:sSub>
              </m:oMath>
            </m:oMathPara>
          </w:p>
        </w:tc>
        <w:tc>
          <w:tcPr>
            <w:tcW w:w="2497" w:type="dxa"/>
          </w:tcPr>
          <w:p w14:paraId="5B6BBCA9" w14:textId="3FE62787" w:rsidR="00844AC9" w:rsidRPr="00523006" w:rsidRDefault="00844AC9" w:rsidP="00541D29">
            <w:pPr>
              <w:pStyle w:val="Els-body-text"/>
              <w:rPr>
                <w:iCs/>
              </w:rPr>
            </w:pPr>
            <w:r w:rsidRPr="00523006">
              <w:t>Separation factor</w:t>
            </w:r>
          </w:p>
        </w:tc>
        <w:tc>
          <w:tcPr>
            <w:tcW w:w="990" w:type="dxa"/>
          </w:tcPr>
          <w:p w14:paraId="4F31987A" w14:textId="77777777" w:rsidR="00844AC9" w:rsidRPr="00B01720" w:rsidRDefault="00C943C4" w:rsidP="00B01720">
            <w:pPr>
              <w:pStyle w:val="Els-body-text"/>
              <w:jc w:val="left"/>
            </w:pPr>
            <m:oMathPara>
              <m:oMathParaPr>
                <m:jc m:val="center"/>
              </m:oMathParaPr>
              <m:oMath>
                <m:sSubSup>
                  <m:sSubSupPr>
                    <m:ctrlPr>
                      <w:rPr>
                        <w:rFonts w:ascii="Cambria Math" w:hAnsi="Cambria Math"/>
                        <w:i/>
                        <w:iCs/>
                        <w:lang w:eastAsia="nl-NL"/>
                      </w:rPr>
                    </m:ctrlPr>
                  </m:sSubSupPr>
                  <m:e>
                    <m:acc>
                      <m:accPr>
                        <m:chr m:val="̇"/>
                        <m:ctrlPr>
                          <w:rPr>
                            <w:rFonts w:ascii="Cambria Math" w:hAnsi="Cambria Math"/>
                            <w:i/>
                            <w:iCs/>
                            <w:lang w:eastAsia="nl-NL"/>
                          </w:rPr>
                        </m:ctrlPr>
                      </m:accPr>
                      <m:e>
                        <m:r>
                          <w:rPr>
                            <w:rFonts w:ascii="Cambria Math" w:hAnsi="Cambria Math"/>
                            <w:lang w:eastAsia="nl-NL"/>
                          </w:rPr>
                          <m:t>m</m:t>
                        </m:r>
                      </m:e>
                    </m:acc>
                  </m:e>
                  <m:sub>
                    <m:r>
                      <w:rPr>
                        <w:rFonts w:ascii="Cambria Math" w:hAnsi="Cambria Math"/>
                        <w:lang w:val="es-MX" w:eastAsia="nl-NL"/>
                      </w:rPr>
                      <m:t>i</m:t>
                    </m:r>
                    <m:r>
                      <w:rPr>
                        <w:rFonts w:ascii="Cambria Math" w:hAnsi="Cambria Math"/>
                        <w:lang w:eastAsia="nl-NL"/>
                      </w:rPr>
                      <m:t>,</m:t>
                    </m:r>
                    <m:r>
                      <w:rPr>
                        <w:rFonts w:ascii="Cambria Math" w:hAnsi="Cambria Math"/>
                        <w:lang w:eastAsia="nl-NL"/>
                      </w:rPr>
                      <m:t>k</m:t>
                    </m:r>
                  </m:sub>
                  <m:sup>
                    <m:r>
                      <w:rPr>
                        <w:rFonts w:ascii="Cambria Math" w:hAnsi="Cambria Math"/>
                        <w:lang w:eastAsia="nl-NL"/>
                      </w:rPr>
                      <m:t>F</m:t>
                    </m:r>
                  </m:sup>
                </m:sSubSup>
              </m:oMath>
            </m:oMathPara>
          </w:p>
        </w:tc>
        <w:tc>
          <w:tcPr>
            <w:tcW w:w="2581" w:type="dxa"/>
            <w:gridSpan w:val="2"/>
          </w:tcPr>
          <w:p w14:paraId="3CB36E8A" w14:textId="77777777" w:rsidR="00844AC9" w:rsidRPr="00523006" w:rsidRDefault="00844AC9" w:rsidP="00541D29">
            <w:pPr>
              <w:pStyle w:val="Els-body-text"/>
            </w:pPr>
            <w:r>
              <w:rPr>
                <w:lang w:eastAsia="nl-NL"/>
              </w:rPr>
              <w:t>Feed mass flow</w:t>
            </w:r>
          </w:p>
        </w:tc>
      </w:tr>
      <w:tr w:rsidR="00BD63F2" w:rsidRPr="00523006" w14:paraId="1BF15044" w14:textId="77777777" w:rsidTr="00D56B46">
        <w:tc>
          <w:tcPr>
            <w:tcW w:w="1008" w:type="dxa"/>
            <w:gridSpan w:val="2"/>
          </w:tcPr>
          <w:p w14:paraId="249E1E54" w14:textId="4B85F157" w:rsidR="00BD63F2" w:rsidRPr="00523006" w:rsidRDefault="00C943C4" w:rsidP="00BD63F2">
            <w:pPr>
              <w:pStyle w:val="Els-body-text"/>
            </w:pPr>
            <m:oMathPara>
              <m:oMath>
                <m:sSub>
                  <m:sSubPr>
                    <m:ctrlPr>
                      <w:rPr>
                        <w:rFonts w:ascii="Cambria Math" w:hAnsi="Cambria Math"/>
                        <w:i/>
                        <w:iCs/>
                        <w:lang w:eastAsia="nl-NL"/>
                      </w:rPr>
                    </m:ctrlPr>
                  </m:sSubPr>
                  <m:e>
                    <m:r>
                      <m:rPr>
                        <m:sty m:val="p"/>
                      </m:rPr>
                      <w:rPr>
                        <w:rFonts w:ascii="Cambria Math" w:hAnsi="Cambria Math"/>
                        <w:lang w:eastAsia="nl-NL"/>
                      </w:rPr>
                      <m:t>ɛ</m:t>
                    </m:r>
                  </m:e>
                  <m:sub>
                    <m:r>
                      <m:rPr>
                        <m:sty m:val="p"/>
                      </m:rPr>
                      <w:rPr>
                        <w:rFonts w:ascii="Cambria Math" w:hAnsi="Cambria Math"/>
                        <w:lang w:val="el-GR" w:eastAsia="nl-NL"/>
                      </w:rPr>
                      <m:t>ν</m:t>
                    </m:r>
                    <m:r>
                      <m:rPr>
                        <m:sty m:val="p"/>
                      </m:rPr>
                      <w:rPr>
                        <w:rFonts w:ascii="Cambria Math" w:hAnsi="Cambria Math"/>
                        <w:lang w:eastAsia="nl-NL"/>
                      </w:rPr>
                      <m:t>,</m:t>
                    </m:r>
                    <m:r>
                      <w:rPr>
                        <w:rFonts w:ascii="Cambria Math" w:hAnsi="Cambria Math"/>
                        <w:lang w:eastAsia="nl-NL"/>
                      </w:rPr>
                      <m:t>i</m:t>
                    </m:r>
                  </m:sub>
                </m:sSub>
              </m:oMath>
            </m:oMathPara>
          </w:p>
        </w:tc>
        <w:tc>
          <w:tcPr>
            <w:tcW w:w="2497" w:type="dxa"/>
          </w:tcPr>
          <w:p w14:paraId="60FE3D8D" w14:textId="6C887397" w:rsidR="00BD63F2" w:rsidRPr="00523006" w:rsidRDefault="00BD63F2" w:rsidP="00BD63F2">
            <w:pPr>
              <w:pStyle w:val="Els-body-text"/>
              <w:rPr>
                <w:iCs/>
              </w:rPr>
            </w:pPr>
            <w:r w:rsidRPr="00A52513">
              <w:rPr>
                <w:lang w:eastAsia="nl-NL"/>
              </w:rPr>
              <w:t>Extent of reaction</w:t>
            </w:r>
          </w:p>
        </w:tc>
        <w:tc>
          <w:tcPr>
            <w:tcW w:w="990" w:type="dxa"/>
          </w:tcPr>
          <w:p w14:paraId="148C3D8A" w14:textId="77777777" w:rsidR="00BD63F2" w:rsidRPr="00523006" w:rsidRDefault="00C943C4" w:rsidP="00B01720">
            <w:pPr>
              <w:pStyle w:val="Els-body-text"/>
              <w:jc w:val="left"/>
            </w:pPr>
            <m:oMathPara>
              <m:oMath>
                <m:sSubSup>
                  <m:sSubSupPr>
                    <m:ctrlPr>
                      <w:rPr>
                        <w:rFonts w:ascii="Cambria Math" w:hAnsi="Cambria Math"/>
                        <w:i/>
                        <w:iCs/>
                        <w:lang w:eastAsia="nl-NL"/>
                      </w:rPr>
                    </m:ctrlPr>
                  </m:sSubSupPr>
                  <m:e>
                    <m:acc>
                      <m:accPr>
                        <m:chr m:val="̇"/>
                        <m:ctrlPr>
                          <w:rPr>
                            <w:rFonts w:ascii="Cambria Math" w:hAnsi="Cambria Math"/>
                            <w:i/>
                            <w:iCs/>
                            <w:lang w:eastAsia="nl-NL"/>
                          </w:rPr>
                        </m:ctrlPr>
                      </m:accPr>
                      <m:e>
                        <m:r>
                          <w:rPr>
                            <w:rFonts w:ascii="Cambria Math" w:hAnsi="Cambria Math"/>
                            <w:lang w:eastAsia="nl-NL"/>
                          </w:rPr>
                          <m:t>m</m:t>
                        </m:r>
                      </m:e>
                    </m:acc>
                  </m:e>
                  <m:sub>
                    <m:r>
                      <w:rPr>
                        <w:rFonts w:ascii="Cambria Math" w:hAnsi="Cambria Math"/>
                        <w:lang w:val="es-MX" w:eastAsia="nl-NL"/>
                      </w:rPr>
                      <m:t>i</m:t>
                    </m:r>
                    <m:r>
                      <w:rPr>
                        <w:rFonts w:ascii="Cambria Math" w:hAnsi="Cambria Math"/>
                        <w:lang w:eastAsia="nl-NL"/>
                      </w:rPr>
                      <m:t>,</m:t>
                    </m:r>
                    <m:r>
                      <w:rPr>
                        <w:rFonts w:ascii="Cambria Math" w:hAnsi="Cambria Math"/>
                        <w:lang w:eastAsia="nl-NL"/>
                      </w:rPr>
                      <m:t>k</m:t>
                    </m:r>
                  </m:sub>
                  <m:sup>
                    <m:r>
                      <w:rPr>
                        <w:rFonts w:ascii="Cambria Math" w:hAnsi="Cambria Math"/>
                        <w:lang w:eastAsia="nl-NL"/>
                      </w:rPr>
                      <m:t>R</m:t>
                    </m:r>
                  </m:sup>
                </m:sSubSup>
              </m:oMath>
            </m:oMathPara>
          </w:p>
        </w:tc>
        <w:tc>
          <w:tcPr>
            <w:tcW w:w="2581" w:type="dxa"/>
            <w:gridSpan w:val="2"/>
          </w:tcPr>
          <w:p w14:paraId="63219F83" w14:textId="77777777" w:rsidR="00BD63F2" w:rsidRPr="00523006" w:rsidRDefault="00BD63F2" w:rsidP="00BD63F2">
            <w:pPr>
              <w:pStyle w:val="Els-body-text"/>
            </w:pPr>
            <w:r>
              <w:rPr>
                <w:lang w:eastAsia="nl-NL"/>
              </w:rPr>
              <w:t>Reactant mass flow</w:t>
            </w:r>
          </w:p>
        </w:tc>
      </w:tr>
      <w:tr w:rsidR="00BD63F2" w:rsidRPr="00523006" w14:paraId="1161BC94" w14:textId="77777777" w:rsidTr="00D56B46">
        <w:tc>
          <w:tcPr>
            <w:tcW w:w="1008" w:type="dxa"/>
            <w:gridSpan w:val="2"/>
          </w:tcPr>
          <w:p w14:paraId="13A0F4DB" w14:textId="49C751A7" w:rsidR="00BD63F2" w:rsidRPr="00523006" w:rsidRDefault="00C943C4" w:rsidP="00BD63F2">
            <w:pPr>
              <w:pStyle w:val="Els-body-text"/>
              <w:rPr>
                <w:iCs/>
              </w:rPr>
            </w:pPr>
            <m:oMathPara>
              <m:oMath>
                <m:sSub>
                  <m:sSubPr>
                    <m:ctrlPr>
                      <w:rPr>
                        <w:rFonts w:ascii="Cambria Math" w:hAnsi="Cambria Math"/>
                        <w:i/>
                        <w:iCs/>
                      </w:rPr>
                    </m:ctrlPr>
                  </m:sSubPr>
                  <m:e>
                    <m:r>
                      <w:rPr>
                        <w:rFonts w:ascii="Cambria Math" w:hAnsi="Cambria Math"/>
                      </w:rPr>
                      <m:t>S</m:t>
                    </m:r>
                  </m:e>
                  <m:sub>
                    <m:r>
                      <w:rPr>
                        <w:rFonts w:ascii="Cambria Math" w:hAnsi="Cambria Math"/>
                        <w:lang w:val="el-GR"/>
                      </w:rPr>
                      <m:t>ν</m:t>
                    </m:r>
                    <m:r>
                      <w:rPr>
                        <w:rFonts w:ascii="Cambria Math" w:hAnsi="Cambria Math"/>
                      </w:rPr>
                      <m:t>, </m:t>
                    </m:r>
                    <m:r>
                      <w:rPr>
                        <w:rFonts w:ascii="Cambria Math" w:hAnsi="Cambria Math"/>
                      </w:rPr>
                      <m:t>k</m:t>
                    </m:r>
                  </m:sub>
                </m:sSub>
              </m:oMath>
            </m:oMathPara>
          </w:p>
        </w:tc>
        <w:tc>
          <w:tcPr>
            <w:tcW w:w="2497" w:type="dxa"/>
          </w:tcPr>
          <w:p w14:paraId="20DE3939" w14:textId="1E1C104E" w:rsidR="00BD63F2" w:rsidRPr="00523006" w:rsidRDefault="00BD63F2" w:rsidP="00BD63F2">
            <w:pPr>
              <w:pStyle w:val="Els-body-text"/>
              <w:rPr>
                <w:iCs/>
              </w:rPr>
            </w:pPr>
            <w:r w:rsidRPr="00523006">
              <w:t>Stoichiometric coefficient</w:t>
            </w:r>
          </w:p>
        </w:tc>
        <w:tc>
          <w:tcPr>
            <w:tcW w:w="990" w:type="dxa"/>
          </w:tcPr>
          <w:p w14:paraId="0845F403" w14:textId="77777777" w:rsidR="00BD63F2" w:rsidRPr="00523006" w:rsidRDefault="00C943C4" w:rsidP="00B01720">
            <w:pPr>
              <w:pStyle w:val="Els-body-text"/>
              <w:jc w:val="left"/>
            </w:pPr>
            <m:oMathPara>
              <m:oMath>
                <m:sSubSup>
                  <m:sSubSupPr>
                    <m:ctrlPr>
                      <w:rPr>
                        <w:rFonts w:ascii="Cambria Math" w:hAnsi="Cambria Math"/>
                        <w:i/>
                        <w:iCs/>
                        <w:lang w:eastAsia="nl-NL"/>
                      </w:rPr>
                    </m:ctrlPr>
                  </m:sSubSupPr>
                  <m:e>
                    <m:acc>
                      <m:accPr>
                        <m:chr m:val="̇"/>
                        <m:ctrlPr>
                          <w:rPr>
                            <w:rFonts w:ascii="Cambria Math" w:hAnsi="Cambria Math"/>
                            <w:i/>
                            <w:iCs/>
                            <w:lang w:eastAsia="nl-NL"/>
                          </w:rPr>
                        </m:ctrlPr>
                      </m:accPr>
                      <m:e>
                        <m:r>
                          <w:rPr>
                            <w:rFonts w:ascii="Cambria Math" w:hAnsi="Cambria Math"/>
                            <w:lang w:eastAsia="nl-NL"/>
                          </w:rPr>
                          <m:t>m</m:t>
                        </m:r>
                      </m:e>
                    </m:acc>
                  </m:e>
                  <m:sub>
                    <m:r>
                      <w:rPr>
                        <w:rFonts w:ascii="Cambria Math" w:hAnsi="Cambria Math"/>
                        <w:lang w:val="es-MX" w:eastAsia="nl-NL"/>
                      </w:rPr>
                      <m:t>i</m:t>
                    </m:r>
                    <m:r>
                      <w:rPr>
                        <w:rFonts w:ascii="Cambria Math" w:hAnsi="Cambria Math"/>
                        <w:lang w:eastAsia="nl-NL"/>
                      </w:rPr>
                      <m:t>,</m:t>
                    </m:r>
                    <m:r>
                      <w:rPr>
                        <w:rFonts w:ascii="Cambria Math" w:hAnsi="Cambria Math"/>
                        <w:lang w:eastAsia="nl-NL"/>
                      </w:rPr>
                      <m:t>k</m:t>
                    </m:r>
                  </m:sub>
                  <m:sup>
                    <m:r>
                      <w:rPr>
                        <w:rFonts w:ascii="Cambria Math" w:hAnsi="Cambria Math"/>
                        <w:lang w:eastAsia="nl-NL"/>
                      </w:rPr>
                      <m:t>P</m:t>
                    </m:r>
                  </m:sup>
                </m:sSubSup>
              </m:oMath>
            </m:oMathPara>
          </w:p>
        </w:tc>
        <w:tc>
          <w:tcPr>
            <w:tcW w:w="2581" w:type="dxa"/>
            <w:gridSpan w:val="2"/>
          </w:tcPr>
          <w:p w14:paraId="7EAEC252" w14:textId="77777777" w:rsidR="00BD63F2" w:rsidRPr="00523006" w:rsidRDefault="00BD63F2" w:rsidP="00BD63F2">
            <w:pPr>
              <w:pStyle w:val="Els-body-text"/>
            </w:pPr>
            <w:r>
              <w:rPr>
                <w:lang w:eastAsia="nl-NL"/>
              </w:rPr>
              <w:t>Product mass flow</w:t>
            </w:r>
          </w:p>
        </w:tc>
      </w:tr>
      <w:tr w:rsidR="00BD63F2" w:rsidRPr="00523006" w14:paraId="5271E332" w14:textId="77777777" w:rsidTr="00D56B46">
        <w:tc>
          <w:tcPr>
            <w:tcW w:w="1008" w:type="dxa"/>
            <w:gridSpan w:val="2"/>
          </w:tcPr>
          <w:p w14:paraId="6D8C25BF" w14:textId="1D2BA658" w:rsidR="00BD63F2" w:rsidRPr="00523006" w:rsidRDefault="00C943C4" w:rsidP="00BD63F2">
            <w:pPr>
              <w:pStyle w:val="Els-body-text"/>
            </w:pPr>
            <m:oMathPara>
              <m:oMath>
                <m:sSub>
                  <m:sSubPr>
                    <m:ctrlPr>
                      <w:rPr>
                        <w:rFonts w:ascii="Cambria Math" w:hAnsi="Cambria Math"/>
                        <w:i/>
                        <w:iCs/>
                      </w:rPr>
                    </m:ctrlPr>
                  </m:sSubPr>
                  <m:e>
                    <m:r>
                      <w:rPr>
                        <w:rFonts w:ascii="Cambria Math" w:hAnsi="Cambria Math"/>
                      </w:rPr>
                      <m:t>M</m:t>
                    </m:r>
                  </m:e>
                  <m:sub>
                    <m:r>
                      <w:rPr>
                        <w:rFonts w:ascii="Cambria Math" w:hAnsi="Cambria Math"/>
                      </w:rPr>
                      <m:t>k</m:t>
                    </m:r>
                  </m:sub>
                </m:sSub>
              </m:oMath>
            </m:oMathPara>
          </w:p>
        </w:tc>
        <w:tc>
          <w:tcPr>
            <w:tcW w:w="2497" w:type="dxa"/>
          </w:tcPr>
          <w:p w14:paraId="34910221" w14:textId="2E994F6B" w:rsidR="00BD63F2" w:rsidRPr="00523006" w:rsidRDefault="00BD63F2" w:rsidP="00BD63F2">
            <w:pPr>
              <w:pStyle w:val="Els-body-text"/>
              <w:rPr>
                <w:iCs/>
              </w:rPr>
            </w:pPr>
            <w:r w:rsidRPr="00523006">
              <w:t>Molar mass</w:t>
            </w:r>
          </w:p>
        </w:tc>
        <w:tc>
          <w:tcPr>
            <w:tcW w:w="990" w:type="dxa"/>
          </w:tcPr>
          <w:p w14:paraId="3A0B7BA3" w14:textId="29FA8E62" w:rsidR="00BD63F2" w:rsidRPr="00523006" w:rsidRDefault="00C943C4" w:rsidP="00B01720">
            <w:pPr>
              <w:pStyle w:val="Els-body-text"/>
              <w:jc w:val="left"/>
            </w:pPr>
            <m:oMathPara>
              <m:oMath>
                <m:sSub>
                  <m:sSubPr>
                    <m:ctrlPr>
                      <w:rPr>
                        <w:rFonts w:ascii="Cambria Math" w:hAnsi="Cambria Math"/>
                        <w:i/>
                        <w:iCs/>
                        <w:lang w:eastAsia="nl-NL"/>
                      </w:rPr>
                    </m:ctrlPr>
                  </m:sSubPr>
                  <m:e>
                    <m:r>
                      <w:rPr>
                        <w:rFonts w:ascii="Cambria Math" w:hAnsi="Cambria Math"/>
                        <w:lang w:eastAsia="nl-NL"/>
                      </w:rPr>
                      <m:t>y</m:t>
                    </m:r>
                  </m:e>
                  <m:sub>
                    <m:r>
                      <w:rPr>
                        <w:rFonts w:ascii="Cambria Math" w:hAnsi="Cambria Math"/>
                        <w:lang w:eastAsia="nl-NL"/>
                      </w:rPr>
                      <m:t>i</m:t>
                    </m:r>
                  </m:sub>
                </m:sSub>
              </m:oMath>
            </m:oMathPara>
          </w:p>
        </w:tc>
        <w:tc>
          <w:tcPr>
            <w:tcW w:w="2581" w:type="dxa"/>
            <w:gridSpan w:val="2"/>
          </w:tcPr>
          <w:p w14:paraId="6592F946" w14:textId="0C3519C0" w:rsidR="00BD63F2" w:rsidRPr="00523006" w:rsidRDefault="00BD63F2" w:rsidP="00BD63F2">
            <w:pPr>
              <w:pStyle w:val="Els-body-text"/>
            </w:pPr>
            <w:r w:rsidRPr="00A52513">
              <w:rPr>
                <w:lang w:eastAsia="nl-NL"/>
              </w:rPr>
              <w:t>Equipment switch</w:t>
            </w:r>
          </w:p>
        </w:tc>
      </w:tr>
      <w:tr w:rsidR="006F038A" w:rsidRPr="00523006" w14:paraId="57AC7432" w14:textId="77777777" w:rsidTr="00D56B46">
        <w:tc>
          <w:tcPr>
            <w:tcW w:w="1008" w:type="dxa"/>
            <w:gridSpan w:val="2"/>
          </w:tcPr>
          <w:p w14:paraId="09885F0D" w14:textId="1AA3A713" w:rsidR="006F038A" w:rsidRDefault="006F038A" w:rsidP="00BD63F2">
            <w:pPr>
              <w:pStyle w:val="Els-body-text"/>
              <w:rPr>
                <w:iCs/>
              </w:rPr>
            </w:pPr>
            <m:oMathPara>
              <m:oMath>
                <m:r>
                  <w:rPr>
                    <w:rFonts w:ascii="Cambria Math" w:hAnsi="Cambria Math"/>
                    <w:lang w:eastAsia="nl-NL"/>
                  </w:rPr>
                  <m:t>EC</m:t>
                </m:r>
              </m:oMath>
            </m:oMathPara>
          </w:p>
        </w:tc>
        <w:tc>
          <w:tcPr>
            <w:tcW w:w="2497" w:type="dxa"/>
          </w:tcPr>
          <w:p w14:paraId="4FB31E55" w14:textId="36BD227A" w:rsidR="006F038A" w:rsidRPr="00523006" w:rsidRDefault="006F038A" w:rsidP="00BD63F2">
            <w:pPr>
              <w:pStyle w:val="Els-body-text"/>
            </w:pPr>
            <w:r w:rsidRPr="00CE154E">
              <w:rPr>
                <w:lang w:eastAsia="nl-NL"/>
              </w:rPr>
              <w:t>Bare equipment cost</w:t>
            </w:r>
          </w:p>
        </w:tc>
        <w:tc>
          <w:tcPr>
            <w:tcW w:w="990" w:type="dxa"/>
          </w:tcPr>
          <w:p w14:paraId="259F8DF4" w14:textId="657C1284" w:rsidR="006F038A" w:rsidRDefault="00C943C4" w:rsidP="00B01720">
            <w:pPr>
              <w:pStyle w:val="Els-body-text"/>
              <w:jc w:val="left"/>
              <w:rPr>
                <w:iCs/>
                <w:lang w:eastAsia="nl-NL"/>
              </w:rPr>
            </w:pPr>
            <m:oMathPara>
              <m:oMath>
                <m:sSub>
                  <m:sSubPr>
                    <m:ctrlPr>
                      <w:rPr>
                        <w:rFonts w:ascii="Cambria Math" w:hAnsi="Cambria Math"/>
                        <w:i/>
                        <w:iCs/>
                        <w:lang w:eastAsia="nl-NL"/>
                      </w:rPr>
                    </m:ctrlPr>
                  </m:sSubPr>
                  <m:e>
                    <m:r>
                      <w:rPr>
                        <w:rFonts w:ascii="Cambria Math" w:hAnsi="Cambria Math"/>
                        <w:lang w:eastAsia="nl-NL"/>
                      </w:rPr>
                      <m:t>x</m:t>
                    </m:r>
                  </m:e>
                  <m:sub>
                    <m:r>
                      <w:rPr>
                        <w:rFonts w:ascii="Cambria Math" w:hAnsi="Cambria Math"/>
                        <w:lang w:eastAsia="nl-NL"/>
                      </w:rPr>
                      <m:t>i</m:t>
                    </m:r>
                    <m:r>
                      <w:rPr>
                        <w:rFonts w:ascii="Cambria Math" w:hAnsi="Cambria Math"/>
                        <w:lang w:eastAsia="nl-NL"/>
                      </w:rPr>
                      <m:t>,</m:t>
                    </m:r>
                    <m:r>
                      <w:rPr>
                        <w:rFonts w:ascii="Cambria Math" w:hAnsi="Cambria Math"/>
                        <w:lang w:eastAsia="nl-NL"/>
                      </w:rPr>
                      <m:t>b</m:t>
                    </m:r>
                  </m:sub>
                </m:sSub>
              </m:oMath>
            </m:oMathPara>
          </w:p>
        </w:tc>
        <w:tc>
          <w:tcPr>
            <w:tcW w:w="2581" w:type="dxa"/>
            <w:gridSpan w:val="2"/>
          </w:tcPr>
          <w:p w14:paraId="751592C5" w14:textId="00F18DB4" w:rsidR="006F038A" w:rsidRPr="00A52513" w:rsidRDefault="006F038A" w:rsidP="00BD63F2">
            <w:pPr>
              <w:pStyle w:val="Els-body-text"/>
              <w:rPr>
                <w:lang w:eastAsia="nl-NL"/>
              </w:rPr>
            </w:pPr>
            <w:r w:rsidRPr="00A52513">
              <w:rPr>
                <w:lang w:eastAsia="nl-NL"/>
              </w:rPr>
              <w:t>Lambda</w:t>
            </w:r>
          </w:p>
        </w:tc>
      </w:tr>
    </w:tbl>
    <w:p w14:paraId="070FAFDC" w14:textId="5F2A5E9C" w:rsidR="00381BF4" w:rsidRPr="00381BF4" w:rsidRDefault="00A97105" w:rsidP="008A70EE">
      <w:pPr>
        <w:pStyle w:val="Els-body-text"/>
        <w:spacing w:before="120" w:after="120" w:line="264" w:lineRule="auto"/>
        <w:rPr>
          <w:iCs/>
        </w:rPr>
      </w:pPr>
      <w:r>
        <w:rPr>
          <w:iCs/>
        </w:rPr>
        <w:t>Objective function</w:t>
      </w:r>
    </w:p>
    <w:tbl>
      <w:tblPr>
        <w:tblW w:w="7087" w:type="dxa"/>
        <w:tblLook w:val="04A0" w:firstRow="1" w:lastRow="0" w:firstColumn="1" w:lastColumn="0" w:noHBand="0" w:noVBand="1"/>
      </w:tblPr>
      <w:tblGrid>
        <w:gridCol w:w="6122"/>
        <w:gridCol w:w="965"/>
      </w:tblGrid>
      <w:tr w:rsidR="00381BF4" w:rsidRPr="00A94774" w14:paraId="6479F624" w14:textId="77777777" w:rsidTr="00D665E3">
        <w:tc>
          <w:tcPr>
            <w:tcW w:w="6122" w:type="dxa"/>
            <w:shd w:val="clear" w:color="auto" w:fill="auto"/>
            <w:vAlign w:val="center"/>
          </w:tcPr>
          <w:p w14:paraId="7FDA3986" w14:textId="5C816735" w:rsidR="00381BF4" w:rsidRPr="00381BF4" w:rsidRDefault="00381BF4" w:rsidP="008A70EE">
            <w:pPr>
              <w:pStyle w:val="Els-body-text"/>
              <w:spacing w:before="120" w:after="120" w:line="264" w:lineRule="auto"/>
              <w:rPr>
                <w:lang w:val="en-GB"/>
              </w:rPr>
            </w:pPr>
            <m:oMathPara>
              <m:oMathParaPr>
                <m:jc m:val="left"/>
              </m:oMathParaPr>
              <m:oMath>
                <m:r>
                  <w:rPr>
                    <w:rFonts w:ascii="Cambria Math" w:hAnsi="Cambria Math"/>
                    <w:szCs w:val="24"/>
                  </w:rPr>
                  <m:t>AC=</m:t>
                </m:r>
                <m:f>
                  <m:fPr>
                    <m:ctrlPr>
                      <w:rPr>
                        <w:rFonts w:ascii="Cambria Math" w:hAnsi="Cambria Math"/>
                        <w:i/>
                        <w:szCs w:val="24"/>
                      </w:rPr>
                    </m:ctrlPr>
                  </m:fPr>
                  <m:num>
                    <m:r>
                      <w:rPr>
                        <w:rFonts w:ascii="Cambria Math" w:hAnsi="Cambria Math"/>
                        <w:szCs w:val="24"/>
                      </w:rPr>
                      <m:t>APC</m:t>
                    </m:r>
                  </m:num>
                  <m:den>
                    <m:r>
                      <w:rPr>
                        <w:rFonts w:ascii="Cambria Math" w:hAnsi="Cambria Math"/>
                        <w:szCs w:val="24"/>
                      </w:rPr>
                      <m:t>AP</m:t>
                    </m:r>
                  </m:den>
                </m:f>
              </m:oMath>
            </m:oMathPara>
          </w:p>
        </w:tc>
        <w:tc>
          <w:tcPr>
            <w:tcW w:w="965" w:type="dxa"/>
            <w:shd w:val="clear" w:color="auto" w:fill="auto"/>
            <w:vAlign w:val="center"/>
          </w:tcPr>
          <w:p w14:paraId="71DDC921" w14:textId="77777777" w:rsidR="00381BF4" w:rsidRPr="00A94774" w:rsidRDefault="00381BF4" w:rsidP="008A70EE">
            <w:pPr>
              <w:pStyle w:val="Els-body-text"/>
              <w:spacing w:before="120" w:after="120" w:line="264" w:lineRule="auto"/>
              <w:jc w:val="right"/>
              <w:rPr>
                <w:lang w:val="en-GB"/>
              </w:rPr>
            </w:pPr>
            <w:r w:rsidRPr="00A94774">
              <w:rPr>
                <w:lang w:val="en-GB"/>
              </w:rPr>
              <w:t>(1)</w:t>
            </w:r>
          </w:p>
        </w:tc>
      </w:tr>
    </w:tbl>
    <w:p w14:paraId="7048899E" w14:textId="16F4CCB4" w:rsidR="008A70EE" w:rsidRPr="008A70EE" w:rsidRDefault="00381BF4" w:rsidP="008A70EE">
      <w:pPr>
        <w:pStyle w:val="Els-body-text"/>
        <w:spacing w:before="120" w:after="120" w:line="264" w:lineRule="auto"/>
        <w:rPr>
          <w:iCs/>
        </w:rPr>
      </w:pPr>
      <w:r>
        <w:rPr>
          <w:iCs/>
        </w:rPr>
        <w:t>Constraints</w:t>
      </w:r>
    </w:p>
    <w:tbl>
      <w:tblPr>
        <w:tblW w:w="7087" w:type="dxa"/>
        <w:tblLook w:val="04A0" w:firstRow="1" w:lastRow="0" w:firstColumn="1" w:lastColumn="0" w:noHBand="0" w:noVBand="1"/>
      </w:tblPr>
      <w:tblGrid>
        <w:gridCol w:w="6122"/>
        <w:gridCol w:w="965"/>
      </w:tblGrid>
      <w:tr w:rsidR="008A70EE" w:rsidRPr="00A94774" w14:paraId="2F5DD590" w14:textId="77777777" w:rsidTr="596ACEA0">
        <w:tc>
          <w:tcPr>
            <w:tcW w:w="6122" w:type="dxa"/>
            <w:shd w:val="clear" w:color="auto" w:fill="auto"/>
            <w:vAlign w:val="center"/>
          </w:tcPr>
          <w:p w14:paraId="29D4530F" w14:textId="720059F6" w:rsidR="008A70EE" w:rsidRPr="00D665E3" w:rsidRDefault="00C943C4" w:rsidP="00AF5F30">
            <w:pPr>
              <w:pStyle w:val="Els-body-text"/>
              <w:spacing w:before="120" w:line="264" w:lineRule="auto"/>
              <w:rPr>
                <w:lang w:val="en-GB"/>
              </w:rPr>
            </w:pPr>
            <m:oMathPara>
              <m:oMathParaPr>
                <m:jc m:val="left"/>
              </m:oMathParaPr>
              <m:oMath>
                <m:sSub>
                  <m:sSubPr>
                    <m:ctrlPr>
                      <w:rPr>
                        <w:rFonts w:ascii="Cambria Math" w:hAnsi="Cambria Math"/>
                        <w:i/>
                        <w:iCs/>
                      </w:rPr>
                    </m:ctrlPr>
                  </m:sSubPr>
                  <m:e>
                    <m:r>
                      <w:rPr>
                        <w:rFonts w:ascii="Cambria Math" w:hAnsi="Cambria Math"/>
                      </w:rPr>
                      <m:t>EC</m:t>
                    </m:r>
                  </m:e>
                  <m:sub>
                    <m:r>
                      <w:rPr>
                        <w:rFonts w:ascii="Cambria Math" w:hAnsi="Cambria Math"/>
                      </w:rPr>
                      <m:t>i</m:t>
                    </m:r>
                  </m:sub>
                </m:sSub>
                <m:r>
                  <w:rPr>
                    <w:rFonts w:ascii="Cambria Math" w:hAnsi="Cambria Math"/>
                  </w:rPr>
                  <m:t> =</m:t>
                </m:r>
                <m:nary>
                  <m:naryPr>
                    <m:chr m:val="∑"/>
                    <m:ctrlPr>
                      <w:rPr>
                        <w:rFonts w:ascii="Cambria Math" w:hAnsi="Cambria Math"/>
                        <w:i/>
                        <w:iCs/>
                      </w:rPr>
                    </m:ctrlPr>
                  </m:naryPr>
                  <m:sub>
                    <m:r>
                      <w:rPr>
                        <w:rFonts w:ascii="Cambria Math" w:hAnsi="Cambria Math"/>
                      </w:rPr>
                      <m:t>b</m:t>
                    </m:r>
                  </m:sub>
                  <m:sup>
                    <m:r>
                      <w:rPr>
                        <w:rFonts w:ascii="Cambria Math" w:hAnsi="Cambria Math"/>
                      </w:rPr>
                      <m:t>B</m:t>
                    </m:r>
                  </m:sup>
                  <m:e>
                    <m:sSub>
                      <m:sSubPr>
                        <m:ctrlPr>
                          <w:rPr>
                            <w:rFonts w:ascii="Cambria Math" w:hAnsi="Cambria Math"/>
                            <w:i/>
                            <w:iCs/>
                          </w:rPr>
                        </m:ctrlPr>
                      </m:sSubPr>
                      <m:e>
                        <m:r>
                          <w:rPr>
                            <w:rFonts w:ascii="Cambria Math" w:hAnsi="Cambria Math"/>
                          </w:rPr>
                          <m:t>x</m:t>
                        </m:r>
                      </m:e>
                      <m:sub>
                        <m:r>
                          <m:rPr>
                            <m:sty m:val="p"/>
                          </m:rPr>
                          <w:rPr>
                            <w:rFonts w:ascii="Cambria Math" w:hAnsi="Cambria Math"/>
                          </w:rPr>
                          <m:t>i</m:t>
                        </m:r>
                        <m:r>
                          <w:rPr>
                            <w:rFonts w:ascii="Cambria Math" w:hAnsi="Cambria Math"/>
                          </w:rPr>
                          <m:t>,</m:t>
                        </m:r>
                        <m:r>
                          <w:rPr>
                            <w:rFonts w:ascii="Cambria Math" w:hAnsi="Cambria Math"/>
                          </w:rPr>
                          <m:t>b</m:t>
                        </m:r>
                      </m:sub>
                    </m:sSub>
                  </m:e>
                </m:nary>
                <m:sSub>
                  <m:sSubPr>
                    <m:ctrlPr>
                      <w:rPr>
                        <w:rFonts w:ascii="Cambria Math" w:hAnsi="Cambria Math"/>
                        <w:i/>
                        <w:iCs/>
                      </w:rPr>
                    </m:ctrlPr>
                  </m:sSubPr>
                  <m:e>
                    <m:r>
                      <w:rPr>
                        <w:rFonts w:ascii="Cambria Math" w:hAnsi="Cambria Math"/>
                      </w:rPr>
                      <m:t>EC</m:t>
                    </m:r>
                  </m:e>
                  <m:sub>
                    <m:r>
                      <w:rPr>
                        <w:rFonts w:ascii="Cambria Math" w:hAnsi="Cambria Math"/>
                      </w:rPr>
                      <m:t>i</m:t>
                    </m:r>
                    <m:r>
                      <w:rPr>
                        <w:rFonts w:ascii="Cambria Math" w:hAnsi="Cambria Math"/>
                      </w:rPr>
                      <m:t>,</m:t>
                    </m:r>
                    <m:r>
                      <w:rPr>
                        <w:rFonts w:ascii="Cambria Math" w:hAnsi="Cambria Math"/>
                      </w:rPr>
                      <m:t>b</m:t>
                    </m:r>
                  </m:sub>
                </m:sSub>
                <m:r>
                  <w:rPr>
                    <w:rFonts w:ascii="Cambria Math" w:hAnsi="Cambria Math"/>
                    <w:szCs w:val="24"/>
                  </w:rPr>
                  <m:t xml:space="preserve"> ∀ </m:t>
                </m:r>
                <m:r>
                  <w:rPr>
                    <w:rFonts w:ascii="Cambria Math" w:hAnsi="Cambria Math"/>
                    <w:szCs w:val="24"/>
                  </w:rPr>
                  <m:t>i</m:t>
                </m:r>
              </m:oMath>
            </m:oMathPara>
          </w:p>
        </w:tc>
        <w:tc>
          <w:tcPr>
            <w:tcW w:w="965" w:type="dxa"/>
            <w:shd w:val="clear" w:color="auto" w:fill="auto"/>
            <w:vAlign w:val="center"/>
          </w:tcPr>
          <w:p w14:paraId="51832636" w14:textId="61122E45" w:rsidR="008A70EE" w:rsidRPr="00A94774" w:rsidRDefault="008A70EE" w:rsidP="00AF5F30">
            <w:pPr>
              <w:pStyle w:val="Els-body-text"/>
              <w:spacing w:before="120" w:line="264" w:lineRule="auto"/>
              <w:jc w:val="right"/>
              <w:rPr>
                <w:lang w:val="en-GB"/>
              </w:rPr>
            </w:pPr>
            <w:r w:rsidRPr="00A94774">
              <w:rPr>
                <w:lang w:val="en-GB"/>
              </w:rPr>
              <w:t>(</w:t>
            </w:r>
            <w:r w:rsidR="0045235D">
              <w:rPr>
                <w:lang w:val="en-GB"/>
              </w:rPr>
              <w:t>2</w:t>
            </w:r>
            <w:r w:rsidRPr="00A94774">
              <w:rPr>
                <w:lang w:val="en-GB"/>
              </w:rPr>
              <w:t>)</w:t>
            </w:r>
          </w:p>
        </w:tc>
      </w:tr>
      <w:tr w:rsidR="008A70EE" w:rsidRPr="008A70EE" w14:paraId="16EB5BB7" w14:textId="77777777" w:rsidTr="596ACEA0">
        <w:tc>
          <w:tcPr>
            <w:tcW w:w="6122" w:type="dxa"/>
            <w:shd w:val="clear" w:color="auto" w:fill="auto"/>
            <w:vAlign w:val="center"/>
          </w:tcPr>
          <w:p w14:paraId="1176C912" w14:textId="3D9CE10C" w:rsidR="008A70EE" w:rsidRPr="008F7644" w:rsidRDefault="00C943C4" w:rsidP="596ACEA0">
            <w:pPr>
              <w:keepNext/>
              <w:rPr>
                <w:i/>
                <w:iCs/>
              </w:rPr>
            </w:pPr>
            <m:oMathPara>
              <m:oMathParaPr>
                <m:jc m:val="left"/>
              </m:oMathParaPr>
              <m:oMath>
                <m:sSubSup>
                  <m:sSubSupPr>
                    <m:ctrlPr>
                      <w:rPr>
                        <w:rFonts w:ascii="Cambria Math" w:hAnsi="Cambria Math"/>
                        <w:i/>
                        <w:iCs/>
                        <w:szCs w:val="24"/>
                      </w:rPr>
                    </m:ctrlPr>
                  </m:sSubSupPr>
                  <m:e>
                    <m:acc>
                      <m:accPr>
                        <m:chr m:val="̇"/>
                        <m:ctrlPr>
                          <w:rPr>
                            <w:rFonts w:ascii="Cambria Math" w:hAnsi="Cambria Math"/>
                            <w:i/>
                            <w:iCs/>
                            <w:szCs w:val="24"/>
                          </w:rPr>
                        </m:ctrlPr>
                      </m:accPr>
                      <m:e>
                        <m:r>
                          <w:rPr>
                            <w:rFonts w:ascii="Cambria Math" w:hAnsi="Cambria Math"/>
                            <w:szCs w:val="24"/>
                          </w:rPr>
                          <m:t>m</m:t>
                        </m:r>
                      </m:e>
                    </m:acc>
                  </m:e>
                  <m:sub>
                    <m:r>
                      <w:rPr>
                        <w:rFonts w:ascii="Cambria Math" w:hAnsi="Cambria Math"/>
                        <w:szCs w:val="24"/>
                      </w:rPr>
                      <m:t>i</m:t>
                    </m:r>
                    <m:r>
                      <w:rPr>
                        <w:rFonts w:ascii="Cambria Math" w:hAnsi="Cambria Math"/>
                        <w:szCs w:val="24"/>
                      </w:rPr>
                      <m:t>, </m:t>
                    </m:r>
                    <m:r>
                      <w:rPr>
                        <w:rFonts w:ascii="Cambria Math" w:hAnsi="Cambria Math"/>
                        <w:szCs w:val="24"/>
                      </w:rPr>
                      <m:t>k</m:t>
                    </m:r>
                  </m:sub>
                  <m:sup>
                    <m:r>
                      <w:rPr>
                        <w:rFonts w:ascii="Cambria Math" w:hAnsi="Cambria Math"/>
                        <w:szCs w:val="24"/>
                      </w:rPr>
                      <m:t>P</m:t>
                    </m:r>
                  </m:sup>
                </m:sSubSup>
                <m:r>
                  <w:rPr>
                    <w:rFonts w:ascii="Cambria Math" w:hAnsi="Cambria Math"/>
                    <w:szCs w:val="24"/>
                  </w:rPr>
                  <m:t>=</m:t>
                </m:r>
                <m:sSub>
                  <m:sSubPr>
                    <m:ctrlPr>
                      <w:rPr>
                        <w:rFonts w:ascii="Cambria Math" w:hAnsi="Cambria Math"/>
                        <w:i/>
                        <w:iCs/>
                        <w:szCs w:val="24"/>
                      </w:rPr>
                    </m:ctrlPr>
                  </m:sSubPr>
                  <m:e>
                    <m:r>
                      <w:rPr>
                        <w:rFonts w:ascii="Cambria Math" w:hAnsi="Cambria Math"/>
                        <w:szCs w:val="24"/>
                      </w:rPr>
                      <m:t>SF</m:t>
                    </m:r>
                  </m:e>
                  <m:sub>
                    <m:r>
                      <w:rPr>
                        <w:rFonts w:ascii="Cambria Math" w:hAnsi="Cambria Math"/>
                        <w:szCs w:val="24"/>
                      </w:rPr>
                      <m:t>i</m:t>
                    </m:r>
                    <m:r>
                      <m:rPr>
                        <m:sty m:val="p"/>
                      </m:rPr>
                      <w:rPr>
                        <w:rFonts w:ascii="Cambria Math" w:hAnsi="Cambria Math"/>
                        <w:szCs w:val="24"/>
                      </w:rPr>
                      <m:t>,</m:t>
                    </m:r>
                    <m:r>
                      <w:rPr>
                        <w:rFonts w:ascii="Cambria Math" w:hAnsi="Cambria Math"/>
                        <w:szCs w:val="24"/>
                      </w:rPr>
                      <m:t>k</m:t>
                    </m:r>
                  </m:sub>
                </m:sSub>
                <m:d>
                  <m:dPr>
                    <m:ctrlPr>
                      <w:rPr>
                        <w:rFonts w:ascii="Cambria Math" w:hAnsi="Cambria Math"/>
                        <w:i/>
                        <w:iCs/>
                        <w:szCs w:val="24"/>
                      </w:rPr>
                    </m:ctrlPr>
                  </m:dPr>
                  <m:e>
                    <m:sSubSup>
                      <m:sSubSupPr>
                        <m:ctrlPr>
                          <w:rPr>
                            <w:rFonts w:ascii="Cambria Math" w:hAnsi="Cambria Math"/>
                            <w:i/>
                            <w:iCs/>
                            <w:szCs w:val="24"/>
                          </w:rPr>
                        </m:ctrlPr>
                      </m:sSubSupPr>
                      <m:e>
                        <m:acc>
                          <m:accPr>
                            <m:chr m:val="̇"/>
                            <m:ctrlPr>
                              <w:rPr>
                                <w:rFonts w:ascii="Cambria Math" w:hAnsi="Cambria Math"/>
                                <w:i/>
                                <w:iCs/>
                                <w:szCs w:val="24"/>
                              </w:rPr>
                            </m:ctrlPr>
                          </m:accPr>
                          <m:e>
                            <m:r>
                              <w:rPr>
                                <w:rFonts w:ascii="Cambria Math" w:hAnsi="Cambria Math"/>
                                <w:szCs w:val="24"/>
                              </w:rPr>
                              <m:t>m</m:t>
                            </m:r>
                          </m:e>
                        </m:acc>
                      </m:e>
                      <m:sub>
                        <m:r>
                          <w:rPr>
                            <w:rFonts w:ascii="Cambria Math" w:hAnsi="Cambria Math"/>
                            <w:szCs w:val="24"/>
                          </w:rPr>
                          <m:t>i</m:t>
                        </m:r>
                        <m:r>
                          <w:rPr>
                            <w:rFonts w:ascii="Cambria Math" w:hAnsi="Cambria Math"/>
                            <w:szCs w:val="24"/>
                          </w:rPr>
                          <m:t>, </m:t>
                        </m:r>
                        <m:r>
                          <w:rPr>
                            <w:rFonts w:ascii="Cambria Math" w:hAnsi="Cambria Math"/>
                            <w:szCs w:val="24"/>
                          </w:rPr>
                          <m:t>k</m:t>
                        </m:r>
                      </m:sub>
                      <m:sup>
                        <m:r>
                          <w:rPr>
                            <w:rFonts w:ascii="Cambria Math" w:hAnsi="Cambria Math"/>
                            <w:szCs w:val="24"/>
                          </w:rPr>
                          <m:t>F</m:t>
                        </m:r>
                      </m:sup>
                    </m:sSubSup>
                    <m:r>
                      <w:rPr>
                        <w:rFonts w:ascii="Cambria Math" w:hAnsi="Cambria Math"/>
                        <w:szCs w:val="24"/>
                      </w:rPr>
                      <m:t>+</m:t>
                    </m:r>
                    <m:sSubSup>
                      <m:sSubSupPr>
                        <m:ctrlPr>
                          <w:rPr>
                            <w:rFonts w:ascii="Cambria Math" w:hAnsi="Cambria Math"/>
                            <w:i/>
                            <w:iCs/>
                            <w:szCs w:val="24"/>
                          </w:rPr>
                        </m:ctrlPr>
                      </m:sSubSupPr>
                      <m:e>
                        <m:acc>
                          <m:accPr>
                            <m:chr m:val="̇"/>
                            <m:ctrlPr>
                              <w:rPr>
                                <w:rFonts w:ascii="Cambria Math" w:hAnsi="Cambria Math"/>
                                <w:i/>
                                <w:iCs/>
                                <w:szCs w:val="24"/>
                              </w:rPr>
                            </m:ctrlPr>
                          </m:accPr>
                          <m:e>
                            <m:r>
                              <w:rPr>
                                <w:rFonts w:ascii="Cambria Math" w:hAnsi="Cambria Math"/>
                                <w:szCs w:val="24"/>
                              </w:rPr>
                              <m:t>m</m:t>
                            </m:r>
                          </m:e>
                        </m:acc>
                      </m:e>
                      <m:sub>
                        <m:r>
                          <w:rPr>
                            <w:rFonts w:ascii="Cambria Math" w:hAnsi="Cambria Math"/>
                            <w:szCs w:val="24"/>
                          </w:rPr>
                          <m:t>i</m:t>
                        </m:r>
                        <m:r>
                          <w:rPr>
                            <w:rFonts w:ascii="Cambria Math" w:hAnsi="Cambria Math"/>
                            <w:szCs w:val="24"/>
                          </w:rPr>
                          <m:t>, </m:t>
                        </m:r>
                        <m:r>
                          <w:rPr>
                            <w:rFonts w:ascii="Cambria Math" w:hAnsi="Cambria Math"/>
                            <w:szCs w:val="24"/>
                          </w:rPr>
                          <m:t>k</m:t>
                        </m:r>
                      </m:sub>
                      <m:sup>
                        <m:r>
                          <w:rPr>
                            <w:rFonts w:ascii="Cambria Math" w:hAnsi="Cambria Math"/>
                            <w:szCs w:val="24"/>
                          </w:rPr>
                          <m:t>R</m:t>
                        </m:r>
                      </m:sup>
                    </m:sSubSup>
                    <m:r>
                      <w:rPr>
                        <w:rFonts w:ascii="Cambria Math" w:hAnsi="Cambria Math"/>
                        <w:szCs w:val="24"/>
                      </w:rPr>
                      <m:t>+</m:t>
                    </m:r>
                    <m:sSub>
                      <m:sSubPr>
                        <m:ctrlPr>
                          <w:rPr>
                            <w:rFonts w:ascii="Cambria Math" w:hAnsi="Cambria Math"/>
                            <w:i/>
                            <w:iCs/>
                            <w:szCs w:val="24"/>
                          </w:rPr>
                        </m:ctrlPr>
                      </m:sSubPr>
                      <m:e>
                        <m:r>
                          <w:rPr>
                            <w:rFonts w:ascii="Cambria Math" w:hAnsi="Cambria Math"/>
                            <w:szCs w:val="24"/>
                          </w:rPr>
                          <m:t>ɛ</m:t>
                        </m:r>
                      </m:e>
                      <m:sub>
                        <m:r>
                          <w:rPr>
                            <w:rFonts w:ascii="Cambria Math" w:hAnsi="Cambria Math"/>
                            <w:szCs w:val="24"/>
                          </w:rPr>
                          <m:t>i</m:t>
                        </m:r>
                        <m:r>
                          <w:rPr>
                            <w:rFonts w:ascii="Cambria Math" w:hAnsi="Cambria Math"/>
                            <w:szCs w:val="24"/>
                          </w:rPr>
                          <m:t>,</m:t>
                        </m:r>
                        <m:r>
                          <w:rPr>
                            <w:rFonts w:ascii="Cambria Math" w:hAnsi="Cambria Math"/>
                            <w:szCs w:val="24"/>
                            <w:lang w:val="el-GR"/>
                          </w:rPr>
                          <m:t>ν</m:t>
                        </m:r>
                      </m:sub>
                    </m:sSub>
                    <m:sSub>
                      <m:sSubPr>
                        <m:ctrlPr>
                          <w:rPr>
                            <w:rFonts w:ascii="Cambria Math" w:hAnsi="Cambria Math"/>
                            <w:i/>
                            <w:iCs/>
                            <w:szCs w:val="24"/>
                          </w:rPr>
                        </m:ctrlPr>
                      </m:sSubPr>
                      <m:e>
                        <m:r>
                          <w:rPr>
                            <w:rFonts w:ascii="Cambria Math" w:hAnsi="Cambria Math"/>
                            <w:szCs w:val="24"/>
                          </w:rPr>
                          <m:t>S</m:t>
                        </m:r>
                      </m:e>
                      <m:sub>
                        <m:r>
                          <w:rPr>
                            <w:rFonts w:ascii="Cambria Math" w:hAnsi="Cambria Math"/>
                            <w:szCs w:val="24"/>
                            <w:lang w:val="el-GR"/>
                          </w:rPr>
                          <m:t>ν</m:t>
                        </m:r>
                        <m:r>
                          <w:rPr>
                            <w:rFonts w:ascii="Cambria Math" w:hAnsi="Cambria Math"/>
                            <w:szCs w:val="24"/>
                          </w:rPr>
                          <m:t>,</m:t>
                        </m:r>
                        <m:r>
                          <w:rPr>
                            <w:rFonts w:ascii="Cambria Math" w:hAnsi="Cambria Math"/>
                            <w:szCs w:val="24"/>
                          </w:rPr>
                          <m:t>k</m:t>
                        </m:r>
                      </m:sub>
                    </m:sSub>
                    <m:sSub>
                      <m:sSubPr>
                        <m:ctrlPr>
                          <w:rPr>
                            <w:rFonts w:ascii="Cambria Math" w:hAnsi="Cambria Math"/>
                            <w:i/>
                            <w:iCs/>
                            <w:szCs w:val="24"/>
                          </w:rPr>
                        </m:ctrlPr>
                      </m:sSubPr>
                      <m:e>
                        <m:r>
                          <w:rPr>
                            <w:rFonts w:ascii="Cambria Math" w:hAnsi="Cambria Math"/>
                            <w:szCs w:val="24"/>
                          </w:rPr>
                          <m:t>M</m:t>
                        </m:r>
                      </m:e>
                      <m:sub>
                        <m:r>
                          <w:rPr>
                            <w:rFonts w:ascii="Cambria Math" w:hAnsi="Cambria Math"/>
                            <w:szCs w:val="24"/>
                          </w:rPr>
                          <m:t>k</m:t>
                        </m:r>
                      </m:sub>
                    </m:sSub>
                  </m:e>
                </m:d>
                <m:r>
                  <w:rPr>
                    <w:rFonts w:ascii="Cambria Math" w:hAnsi="Cambria Math"/>
                    <w:szCs w:val="24"/>
                  </w:rPr>
                  <m:t xml:space="preserve">  ∀ </m:t>
                </m:r>
                <m:r>
                  <w:rPr>
                    <w:rFonts w:ascii="Cambria Math" w:hAnsi="Cambria Math"/>
                    <w:szCs w:val="24"/>
                  </w:rPr>
                  <m:t>i</m:t>
                </m:r>
                <m:r>
                  <w:rPr>
                    <w:rFonts w:ascii="Cambria Math" w:hAnsi="Cambria Math"/>
                    <w:szCs w:val="24"/>
                  </w:rPr>
                  <m:t xml:space="preserve"> ∀ </m:t>
                </m:r>
                <m:r>
                  <w:rPr>
                    <w:rFonts w:ascii="Cambria Math" w:hAnsi="Cambria Math"/>
                    <w:szCs w:val="24"/>
                  </w:rPr>
                  <m:t>k</m:t>
                </m:r>
                <m:r>
                  <w:rPr>
                    <w:rFonts w:ascii="Cambria Math" w:hAnsi="Cambria Math"/>
                    <w:szCs w:val="24"/>
                  </w:rPr>
                  <m:t xml:space="preserve"> ∀ </m:t>
                </m:r>
                <m:r>
                  <w:rPr>
                    <w:rFonts w:ascii="Cambria Math" w:hAnsi="Cambria Math"/>
                    <w:szCs w:val="24"/>
                    <w:lang w:val="el-GR"/>
                  </w:rPr>
                  <m:t>ν</m:t>
                </m:r>
              </m:oMath>
            </m:oMathPara>
          </w:p>
        </w:tc>
        <w:tc>
          <w:tcPr>
            <w:tcW w:w="965" w:type="dxa"/>
            <w:shd w:val="clear" w:color="auto" w:fill="auto"/>
            <w:vAlign w:val="center"/>
          </w:tcPr>
          <w:p w14:paraId="150C60D4" w14:textId="58F823F4" w:rsidR="008A70EE" w:rsidRPr="008A70EE" w:rsidRDefault="008A70EE" w:rsidP="00AF5F30">
            <w:pPr>
              <w:pStyle w:val="Els-body-text"/>
              <w:spacing w:before="120" w:line="264" w:lineRule="auto"/>
              <w:jc w:val="right"/>
              <w:rPr>
                <w:position w:val="-10"/>
                <w:lang w:val="en-GB"/>
              </w:rPr>
            </w:pPr>
            <w:r w:rsidRPr="008A70EE">
              <w:rPr>
                <w:position w:val="-10"/>
                <w:lang w:val="en-GB"/>
              </w:rPr>
              <w:t>(</w:t>
            </w:r>
            <w:r w:rsidR="0045235D">
              <w:rPr>
                <w:position w:val="-10"/>
                <w:lang w:val="en-GB"/>
              </w:rPr>
              <w:t>3</w:t>
            </w:r>
            <w:r w:rsidRPr="008A70EE">
              <w:rPr>
                <w:position w:val="-10"/>
                <w:lang w:val="en-GB"/>
              </w:rPr>
              <w:t>)</w:t>
            </w:r>
          </w:p>
        </w:tc>
      </w:tr>
      <w:tr w:rsidR="0045235D" w:rsidRPr="008A70EE" w14:paraId="2E0505E6" w14:textId="77777777" w:rsidTr="596ACEA0">
        <w:tc>
          <w:tcPr>
            <w:tcW w:w="6122" w:type="dxa"/>
            <w:shd w:val="clear" w:color="auto" w:fill="auto"/>
            <w:vAlign w:val="center"/>
          </w:tcPr>
          <w:p w14:paraId="3FC1CADF" w14:textId="43A6A4E5" w:rsidR="0045235D" w:rsidRPr="00A11823" w:rsidRDefault="00C943C4" w:rsidP="00AF5F30">
            <w:pPr>
              <w:keepNext/>
              <w:jc w:val="both"/>
            </w:pPr>
            <m:oMathPara>
              <m:oMathParaPr>
                <m:jc m:val="left"/>
              </m:oMathParaPr>
              <m:oMath>
                <m:sSub>
                  <m:sSubPr>
                    <m:ctrlPr>
                      <w:rPr>
                        <w:rFonts w:ascii="Cambria Math" w:hAnsi="Cambria Math"/>
                        <w:i/>
                        <w:iCs/>
                      </w:rPr>
                    </m:ctrlPr>
                  </m:sSubPr>
                  <m:e>
                    <m:r>
                      <w:rPr>
                        <w:rFonts w:ascii="Cambria Math" w:hAnsi="Cambria Math"/>
                      </w:rPr>
                      <m:t>y</m:t>
                    </m:r>
                  </m:e>
                  <m:sub>
                    <m:r>
                      <w:rPr>
                        <w:rFonts w:ascii="Cambria Math" w:hAnsi="Cambria Math"/>
                      </w:rPr>
                      <m:t>2</m:t>
                    </m:r>
                  </m:sub>
                </m:sSub>
                <m:r>
                  <w:rPr>
                    <w:rFonts w:ascii="Cambria Math" w:hAnsi="Cambria Math"/>
                  </w:rPr>
                  <m:t>=</m:t>
                </m:r>
                <m:nary>
                  <m:naryPr>
                    <m:chr m:val="∑"/>
                    <m:ctrlPr>
                      <w:rPr>
                        <w:rFonts w:ascii="Cambria Math" w:hAnsi="Cambria Math"/>
                        <w:i/>
                        <w:iCs/>
                      </w:rPr>
                    </m:ctrlPr>
                  </m:naryPr>
                  <m:sub>
                    <m:r>
                      <w:rPr>
                        <w:rFonts w:ascii="Cambria Math" w:hAnsi="Cambria Math"/>
                      </w:rPr>
                      <m:t>i</m:t>
                    </m:r>
                    <m:r>
                      <w:rPr>
                        <w:rFonts w:ascii="Cambria Math" w:hAnsi="Cambria Math"/>
                      </w:rPr>
                      <m:t>=5</m:t>
                    </m:r>
                  </m:sub>
                  <m:sup>
                    <m:r>
                      <w:rPr>
                        <w:rFonts w:ascii="Cambria Math" w:hAnsi="Cambria Math"/>
                      </w:rPr>
                      <m:t>6</m:t>
                    </m:r>
                  </m:sup>
                  <m:e>
                    <m:sSub>
                      <m:sSubPr>
                        <m:ctrlPr>
                          <w:rPr>
                            <w:rFonts w:ascii="Cambria Math" w:hAnsi="Cambria Math"/>
                            <w:i/>
                            <w:iCs/>
                          </w:rPr>
                        </m:ctrlPr>
                      </m:sSubPr>
                      <m:e>
                        <m:r>
                          <w:rPr>
                            <w:rFonts w:ascii="Cambria Math" w:hAnsi="Cambria Math"/>
                          </w:rPr>
                          <m:t>y</m:t>
                        </m:r>
                      </m:e>
                      <m:sub>
                        <m:r>
                          <w:rPr>
                            <w:rFonts w:ascii="Cambria Math" w:hAnsi="Cambria Math"/>
                          </w:rPr>
                          <m:t>i</m:t>
                        </m:r>
                      </m:sub>
                    </m:sSub>
                  </m:e>
                </m:nary>
              </m:oMath>
            </m:oMathPara>
          </w:p>
        </w:tc>
        <w:tc>
          <w:tcPr>
            <w:tcW w:w="965" w:type="dxa"/>
            <w:shd w:val="clear" w:color="auto" w:fill="auto"/>
            <w:vAlign w:val="center"/>
          </w:tcPr>
          <w:p w14:paraId="08909732" w14:textId="5CD9791D" w:rsidR="0045235D" w:rsidRPr="008A70EE" w:rsidRDefault="00A11823" w:rsidP="00AF5F30">
            <w:pPr>
              <w:pStyle w:val="Els-body-text"/>
              <w:spacing w:before="120" w:line="264" w:lineRule="auto"/>
              <w:jc w:val="right"/>
              <w:rPr>
                <w:position w:val="-10"/>
                <w:lang w:val="en-GB"/>
              </w:rPr>
            </w:pPr>
            <w:r>
              <w:rPr>
                <w:position w:val="-10"/>
                <w:lang w:val="en-GB"/>
              </w:rPr>
              <w:t>(4)</w:t>
            </w:r>
          </w:p>
        </w:tc>
      </w:tr>
      <w:tr w:rsidR="00145030" w:rsidRPr="008A70EE" w14:paraId="74D59340" w14:textId="77777777" w:rsidTr="596ACEA0">
        <w:tc>
          <w:tcPr>
            <w:tcW w:w="6122" w:type="dxa"/>
            <w:shd w:val="clear" w:color="auto" w:fill="auto"/>
            <w:vAlign w:val="center"/>
          </w:tcPr>
          <w:p w14:paraId="207E688E" w14:textId="07FFC87A" w:rsidR="00145030" w:rsidRPr="00A11823" w:rsidRDefault="00C943C4" w:rsidP="00AF5F30">
            <w:pPr>
              <w:keepNext/>
              <w:jc w:val="both"/>
            </w:pPr>
            <m:oMathPara>
              <m:oMathParaPr>
                <m:jc m:val="left"/>
              </m:oMathParaPr>
              <m:oMath>
                <m:sSubSup>
                  <m:sSubSupPr>
                    <m:ctrlPr>
                      <w:rPr>
                        <w:rFonts w:ascii="Cambria Math" w:hAnsi="Cambria Math"/>
                        <w:i/>
                        <w:iCs/>
                      </w:rPr>
                    </m:ctrlPr>
                  </m:sSubSupPr>
                  <m:e>
                    <m:acc>
                      <m:accPr>
                        <m:chr m:val="̇"/>
                        <m:ctrlPr>
                          <w:rPr>
                            <w:rFonts w:ascii="Cambria Math" w:hAnsi="Cambria Math"/>
                            <w:i/>
                            <w:iCs/>
                          </w:rPr>
                        </m:ctrlPr>
                      </m:accPr>
                      <m:e>
                        <m:r>
                          <w:rPr>
                            <w:rFonts w:ascii="Cambria Math" w:hAnsi="Cambria Math"/>
                          </w:rPr>
                          <m:t>m</m:t>
                        </m:r>
                      </m:e>
                    </m:acc>
                  </m:e>
                  <m:sub>
                    <m:r>
                      <w:rPr>
                        <w:rFonts w:ascii="Cambria Math" w:hAnsi="Cambria Math"/>
                      </w:rPr>
                      <m:t>2,</m:t>
                    </m:r>
                    <m:r>
                      <w:rPr>
                        <w:rFonts w:ascii="Cambria Math" w:hAnsi="Cambria Math"/>
                      </w:rPr>
                      <m:t>k</m:t>
                    </m:r>
                  </m:sub>
                  <m:sup>
                    <m:r>
                      <w:rPr>
                        <w:rFonts w:ascii="Cambria Math" w:hAnsi="Cambria Math"/>
                      </w:rPr>
                      <m:t>P</m:t>
                    </m:r>
                  </m:sup>
                </m:sSubSup>
                <m:r>
                  <w:rPr>
                    <w:rFonts w:ascii="Cambria Math" w:hAnsi="Cambria Math"/>
                  </w:rPr>
                  <m:t> = </m:t>
                </m:r>
                <m:nary>
                  <m:naryPr>
                    <m:chr m:val="∑"/>
                    <m:ctrlPr>
                      <w:rPr>
                        <w:rFonts w:ascii="Cambria Math" w:hAnsi="Cambria Math"/>
                        <w:i/>
                        <w:iCs/>
                      </w:rPr>
                    </m:ctrlPr>
                  </m:naryPr>
                  <m:sub>
                    <m:r>
                      <w:rPr>
                        <w:rFonts w:ascii="Cambria Math" w:hAnsi="Cambria Math"/>
                      </w:rPr>
                      <m:t>i</m:t>
                    </m:r>
                    <m:r>
                      <w:rPr>
                        <w:rFonts w:ascii="Cambria Math" w:hAnsi="Cambria Math"/>
                      </w:rPr>
                      <m:t>=5</m:t>
                    </m:r>
                  </m:sub>
                  <m:sup>
                    <m:r>
                      <w:rPr>
                        <w:rFonts w:ascii="Cambria Math" w:hAnsi="Cambria Math"/>
                      </w:rPr>
                      <m:t>6</m:t>
                    </m:r>
                  </m:sup>
                  <m:e>
                    <m:sSubSup>
                      <m:sSubSupPr>
                        <m:ctrlPr>
                          <w:rPr>
                            <w:rFonts w:ascii="Cambria Math" w:hAnsi="Cambria Math"/>
                            <w:i/>
                            <w:iCs/>
                          </w:rPr>
                        </m:ctrlPr>
                      </m:sSubSupPr>
                      <m:e>
                        <m:acc>
                          <m:accPr>
                            <m:chr m:val="̇"/>
                            <m:ctrlPr>
                              <w:rPr>
                                <w:rFonts w:ascii="Cambria Math" w:hAnsi="Cambria Math"/>
                                <w:i/>
                                <w:iCs/>
                              </w:rPr>
                            </m:ctrlPr>
                          </m:accPr>
                          <m:e>
                            <m:r>
                              <w:rPr>
                                <w:rFonts w:ascii="Cambria Math" w:hAnsi="Cambria Math"/>
                              </w:rPr>
                              <m:t>m</m:t>
                            </m:r>
                          </m:e>
                        </m:acc>
                      </m:e>
                      <m:sub>
                        <m:r>
                          <w:rPr>
                            <w:rFonts w:ascii="Cambria Math" w:hAnsi="Cambria Math"/>
                          </w:rPr>
                          <m:t>i</m:t>
                        </m:r>
                        <m:r>
                          <w:rPr>
                            <w:rFonts w:ascii="Cambria Math" w:hAnsi="Cambria Math"/>
                          </w:rPr>
                          <m:t>,</m:t>
                        </m:r>
                        <m:r>
                          <w:rPr>
                            <w:rFonts w:ascii="Cambria Math" w:hAnsi="Cambria Math"/>
                          </w:rPr>
                          <m:t>k</m:t>
                        </m:r>
                      </m:sub>
                      <m:sup>
                        <m:r>
                          <w:rPr>
                            <w:rFonts w:ascii="Cambria Math" w:hAnsi="Cambria Math"/>
                          </w:rPr>
                          <m:t>F</m:t>
                        </m:r>
                      </m:sup>
                    </m:sSubSup>
                  </m:e>
                </m:nary>
                <m:r>
                  <w:rPr>
                    <w:rFonts w:ascii="Cambria Math" w:hAnsi="Cambria Math"/>
                  </w:rPr>
                  <m:t>∀ </m:t>
                </m:r>
                <m:r>
                  <w:rPr>
                    <w:rFonts w:ascii="Cambria Math" w:hAnsi="Cambria Math"/>
                  </w:rPr>
                  <m:t>k</m:t>
                </m:r>
              </m:oMath>
            </m:oMathPara>
          </w:p>
        </w:tc>
        <w:tc>
          <w:tcPr>
            <w:tcW w:w="965" w:type="dxa"/>
            <w:shd w:val="clear" w:color="auto" w:fill="auto"/>
            <w:vAlign w:val="center"/>
          </w:tcPr>
          <w:p w14:paraId="2C7DE561" w14:textId="262CA8B8" w:rsidR="00145030" w:rsidRPr="008A70EE" w:rsidRDefault="00A11823" w:rsidP="00AF5F30">
            <w:pPr>
              <w:pStyle w:val="Els-body-text"/>
              <w:spacing w:before="120" w:line="264" w:lineRule="auto"/>
              <w:jc w:val="right"/>
              <w:rPr>
                <w:position w:val="-10"/>
                <w:lang w:val="en-GB"/>
              </w:rPr>
            </w:pPr>
            <w:r>
              <w:rPr>
                <w:position w:val="-10"/>
                <w:lang w:val="en-GB"/>
              </w:rPr>
              <w:t>(5)</w:t>
            </w:r>
          </w:p>
        </w:tc>
      </w:tr>
      <w:tr w:rsidR="00145030" w:rsidRPr="008A70EE" w14:paraId="771DD799" w14:textId="77777777" w:rsidTr="596ACEA0">
        <w:tc>
          <w:tcPr>
            <w:tcW w:w="6122" w:type="dxa"/>
            <w:shd w:val="clear" w:color="auto" w:fill="auto"/>
            <w:vAlign w:val="center"/>
          </w:tcPr>
          <w:p w14:paraId="0333CD83" w14:textId="4FFCDE5D" w:rsidR="00145030" w:rsidRPr="00A11823" w:rsidRDefault="00C943C4" w:rsidP="00A11823">
            <w:pPr>
              <w:keepNext/>
              <w:spacing w:after="120"/>
              <w:jc w:val="both"/>
              <w:rPr>
                <w:iCs/>
              </w:rPr>
            </w:pPr>
            <m:oMathPara>
              <m:oMathParaPr>
                <m:jc m:val="left"/>
              </m:oMathParaPr>
              <m:oMath>
                <m:nary>
                  <m:naryPr>
                    <m:chr m:val="∑"/>
                    <m:ctrlPr>
                      <w:rPr>
                        <w:rFonts w:ascii="Cambria Math" w:hAnsi="Cambria Math"/>
                        <w:i/>
                        <w:iCs/>
                        <w:lang w:eastAsia="nl-NL"/>
                      </w:rPr>
                    </m:ctrlPr>
                  </m:naryPr>
                  <m:sub>
                    <m:r>
                      <w:rPr>
                        <w:rFonts w:ascii="Cambria Math" w:hAnsi="Cambria Math"/>
                        <w:lang w:eastAsia="nl-NL"/>
                      </w:rPr>
                      <m:t>i</m:t>
                    </m:r>
                    <m:r>
                      <w:rPr>
                        <w:rFonts w:ascii="Cambria Math" w:hAnsi="Cambria Math"/>
                        <w:lang w:eastAsia="nl-NL"/>
                      </w:rPr>
                      <m:t>=9</m:t>
                    </m:r>
                  </m:sub>
                  <m:sup>
                    <m:r>
                      <w:rPr>
                        <w:rFonts w:ascii="Cambria Math" w:hAnsi="Cambria Math"/>
                        <w:lang w:eastAsia="nl-NL"/>
                      </w:rPr>
                      <m:t>13</m:t>
                    </m:r>
                  </m:sup>
                  <m:e>
                    <m:sSubSup>
                      <m:sSubSupPr>
                        <m:ctrlPr>
                          <w:rPr>
                            <w:rFonts w:ascii="Cambria Math" w:hAnsi="Cambria Math"/>
                            <w:i/>
                            <w:iCs/>
                            <w:lang w:eastAsia="nl-NL"/>
                          </w:rPr>
                        </m:ctrlPr>
                      </m:sSubSupPr>
                      <m:e>
                        <m:acc>
                          <m:accPr>
                            <m:chr m:val="̇"/>
                            <m:ctrlPr>
                              <w:rPr>
                                <w:rFonts w:ascii="Cambria Math" w:hAnsi="Cambria Math"/>
                                <w:i/>
                                <w:iCs/>
                                <w:lang w:eastAsia="nl-NL"/>
                              </w:rPr>
                            </m:ctrlPr>
                          </m:accPr>
                          <m:e>
                            <m:r>
                              <w:rPr>
                                <w:rFonts w:ascii="Cambria Math" w:hAnsi="Cambria Math"/>
                                <w:lang w:eastAsia="nl-NL"/>
                              </w:rPr>
                              <m:t>m</m:t>
                            </m:r>
                          </m:e>
                        </m:acc>
                      </m:e>
                      <m:sub>
                        <m:r>
                          <w:rPr>
                            <w:rFonts w:ascii="Cambria Math" w:hAnsi="Cambria Math"/>
                            <w:lang w:eastAsia="nl-NL"/>
                          </w:rPr>
                          <m:t>i</m:t>
                        </m:r>
                        <m:r>
                          <w:rPr>
                            <w:rFonts w:ascii="Cambria Math" w:hAnsi="Cambria Math"/>
                            <w:lang w:eastAsia="nl-NL"/>
                          </w:rPr>
                          <m:t>,</m:t>
                        </m:r>
                        <m:r>
                          <w:rPr>
                            <w:rFonts w:ascii="Cambria Math" w:hAnsi="Cambria Math"/>
                            <w:lang w:eastAsia="nl-NL"/>
                          </w:rPr>
                          <m:t>k</m:t>
                        </m:r>
                        <m:r>
                          <w:rPr>
                            <w:rFonts w:ascii="Cambria Math" w:hAnsi="Cambria Math"/>
                            <w:lang w:eastAsia="nl-NL"/>
                          </w:rPr>
                          <m:t> </m:t>
                        </m:r>
                      </m:sub>
                      <m:sup>
                        <m:r>
                          <w:rPr>
                            <w:rFonts w:ascii="Cambria Math" w:hAnsi="Cambria Math"/>
                            <w:lang w:eastAsia="nl-NL"/>
                          </w:rPr>
                          <m:t>P</m:t>
                        </m:r>
                      </m:sup>
                    </m:sSubSup>
                  </m:e>
                </m:nary>
                <m:r>
                  <w:rPr>
                    <w:rFonts w:ascii="Cambria Math" w:hAnsi="Cambria Math"/>
                    <w:lang w:eastAsia="nl-NL"/>
                  </w:rPr>
                  <m:t> =</m:t>
                </m:r>
                <m:sSubSup>
                  <m:sSubSupPr>
                    <m:ctrlPr>
                      <w:rPr>
                        <w:rFonts w:ascii="Cambria Math" w:hAnsi="Cambria Math"/>
                        <w:i/>
                        <w:iCs/>
                        <w:lang w:eastAsia="nl-NL"/>
                      </w:rPr>
                    </m:ctrlPr>
                  </m:sSubSupPr>
                  <m:e>
                    <m:acc>
                      <m:accPr>
                        <m:chr m:val="̇"/>
                        <m:ctrlPr>
                          <w:rPr>
                            <w:rFonts w:ascii="Cambria Math" w:hAnsi="Cambria Math"/>
                            <w:i/>
                            <w:iCs/>
                            <w:lang w:eastAsia="nl-NL"/>
                          </w:rPr>
                        </m:ctrlPr>
                      </m:accPr>
                      <m:e>
                        <m:r>
                          <w:rPr>
                            <w:rFonts w:ascii="Cambria Math" w:hAnsi="Cambria Math"/>
                            <w:lang w:eastAsia="nl-NL"/>
                          </w:rPr>
                          <m:t>m</m:t>
                        </m:r>
                      </m:e>
                    </m:acc>
                  </m:e>
                  <m:sub>
                    <m:r>
                      <w:rPr>
                        <w:rFonts w:ascii="Cambria Math" w:hAnsi="Cambria Math"/>
                        <w:lang w:eastAsia="nl-NL"/>
                      </w:rPr>
                      <m:t>i</m:t>
                    </m:r>
                    <m:r>
                      <w:rPr>
                        <w:rFonts w:ascii="Cambria Math" w:hAnsi="Cambria Math"/>
                        <w:lang w:eastAsia="nl-NL"/>
                      </w:rPr>
                      <m:t>,</m:t>
                    </m:r>
                    <m:r>
                      <w:rPr>
                        <w:rFonts w:ascii="Cambria Math" w:hAnsi="Cambria Math"/>
                        <w:lang w:eastAsia="nl-NL"/>
                      </w:rPr>
                      <m:t>k</m:t>
                    </m:r>
                    <m:r>
                      <w:rPr>
                        <w:rFonts w:ascii="Cambria Math" w:hAnsi="Cambria Math"/>
                        <w:lang w:eastAsia="nl-NL"/>
                      </w:rPr>
                      <m:t> </m:t>
                    </m:r>
                  </m:sub>
                  <m:sup>
                    <m:r>
                      <w:rPr>
                        <w:rFonts w:ascii="Cambria Math" w:hAnsi="Cambria Math"/>
                        <w:lang w:eastAsia="nl-NL"/>
                      </w:rPr>
                      <m:t>D</m:t>
                    </m:r>
                  </m:sup>
                </m:sSubSup>
                <m:r>
                  <w:rPr>
                    <w:rFonts w:ascii="Cambria Math" w:hAnsi="Cambria Math"/>
                    <w:lang w:eastAsia="nl-NL"/>
                  </w:rPr>
                  <m:t>∀ </m:t>
                </m:r>
                <m:r>
                  <w:rPr>
                    <w:rFonts w:ascii="Cambria Math" w:hAnsi="Cambria Math"/>
                    <w:lang w:eastAsia="nl-NL"/>
                  </w:rPr>
                  <m:t>k</m:t>
                </m:r>
                <m:r>
                  <w:rPr>
                    <w:rFonts w:ascii="Cambria Math" w:hAnsi="Cambria Math"/>
                    <w:lang w:eastAsia="nl-NL"/>
                  </w:rPr>
                  <m:t>="</m:t>
                </m:r>
                <m:r>
                  <w:rPr>
                    <w:rFonts w:ascii="Cambria Math" w:hAnsi="Cambria Math"/>
                    <w:lang w:eastAsia="nl-NL"/>
                  </w:rPr>
                  <m:t>N</m:t>
                </m:r>
                <m:sSub>
                  <m:sSubPr>
                    <m:ctrlPr>
                      <w:rPr>
                        <w:rFonts w:ascii="Cambria Math" w:hAnsi="Cambria Math"/>
                        <w:i/>
                        <w:iCs/>
                        <w:lang w:eastAsia="nl-NL"/>
                      </w:rPr>
                    </m:ctrlPr>
                  </m:sSubPr>
                  <m:e>
                    <m:r>
                      <w:rPr>
                        <w:rFonts w:ascii="Cambria Math" w:hAnsi="Cambria Math"/>
                        <w:lang w:eastAsia="nl-NL"/>
                      </w:rPr>
                      <m:t>H</m:t>
                    </m:r>
                  </m:e>
                  <m:sub>
                    <m:r>
                      <w:rPr>
                        <w:rFonts w:ascii="Cambria Math" w:hAnsi="Cambria Math"/>
                        <w:lang w:eastAsia="nl-NL"/>
                      </w:rPr>
                      <m:t>3</m:t>
                    </m:r>
                  </m:sub>
                </m:sSub>
                <m:r>
                  <w:rPr>
                    <w:rFonts w:ascii="Cambria Math" w:hAnsi="Cambria Math"/>
                    <w:lang w:eastAsia="nl-NL"/>
                  </w:rPr>
                  <m:t>"</m:t>
                </m:r>
              </m:oMath>
            </m:oMathPara>
          </w:p>
        </w:tc>
        <w:tc>
          <w:tcPr>
            <w:tcW w:w="965" w:type="dxa"/>
            <w:shd w:val="clear" w:color="auto" w:fill="auto"/>
            <w:vAlign w:val="center"/>
          </w:tcPr>
          <w:p w14:paraId="755FCBE4" w14:textId="2719D78F" w:rsidR="00145030" w:rsidRPr="008A70EE" w:rsidRDefault="00A11823" w:rsidP="00A11823">
            <w:pPr>
              <w:pStyle w:val="Els-body-text"/>
              <w:spacing w:before="120" w:after="120" w:line="264" w:lineRule="auto"/>
              <w:jc w:val="right"/>
              <w:rPr>
                <w:position w:val="-10"/>
                <w:lang w:val="en-GB"/>
              </w:rPr>
            </w:pPr>
            <w:r>
              <w:rPr>
                <w:position w:val="-10"/>
                <w:lang w:val="en-GB"/>
              </w:rPr>
              <w:t>(6)</w:t>
            </w:r>
          </w:p>
        </w:tc>
      </w:tr>
    </w:tbl>
    <w:p w14:paraId="2CFB2FDB" w14:textId="10959226" w:rsidR="00B97672" w:rsidRDefault="0E94A26B" w:rsidP="00194DB7">
      <w:pPr>
        <w:pStyle w:val="Els-body-text"/>
        <w:spacing w:line="259" w:lineRule="auto"/>
      </w:pPr>
      <w:r>
        <w:rPr>
          <w:position w:val="-10"/>
          <w:lang w:val="en-GB"/>
        </w:rPr>
        <w:t>The objective function</w:t>
      </w:r>
      <w:r w:rsidR="7369CCA9">
        <w:rPr>
          <w:position w:val="-10"/>
          <w:lang w:val="en-GB"/>
        </w:rPr>
        <w:t xml:space="preserve"> in Eq. (1)</w:t>
      </w:r>
      <w:r>
        <w:rPr>
          <w:position w:val="-10"/>
          <w:lang w:val="en-GB"/>
        </w:rPr>
        <w:t xml:space="preserve"> is the </w:t>
      </w:r>
      <w:r w:rsidR="7369CCA9">
        <w:rPr>
          <w:position w:val="-10"/>
          <w:lang w:val="en-GB"/>
        </w:rPr>
        <w:t>a</w:t>
      </w:r>
      <w:r>
        <w:rPr>
          <w:position w:val="-10"/>
          <w:lang w:val="en-GB"/>
        </w:rPr>
        <w:t xml:space="preserve">mmonia </w:t>
      </w:r>
      <w:r w:rsidR="7369CCA9">
        <w:rPr>
          <w:position w:val="-10"/>
          <w:lang w:val="en-GB"/>
        </w:rPr>
        <w:t>c</w:t>
      </w:r>
      <w:r>
        <w:rPr>
          <w:position w:val="-10"/>
          <w:lang w:val="en-GB"/>
        </w:rPr>
        <w:t xml:space="preserve">ost </w:t>
      </w:r>
      <w:r w:rsidR="7369CCA9">
        <w:rPr>
          <w:position w:val="-10"/>
          <w:lang w:val="en-GB"/>
        </w:rPr>
        <w:t>(</w:t>
      </w:r>
      <w:r>
        <w:rPr>
          <w:position w:val="-10"/>
          <w:lang w:val="en-GB"/>
        </w:rPr>
        <w:t>AC</w:t>
      </w:r>
      <w:r w:rsidR="7369CCA9">
        <w:rPr>
          <w:position w:val="-10"/>
          <w:lang w:val="en-GB"/>
        </w:rPr>
        <w:t>)</w:t>
      </w:r>
      <w:r>
        <w:rPr>
          <w:position w:val="-10"/>
          <w:lang w:val="en-GB"/>
        </w:rPr>
        <w:t xml:space="preserve"> which is a function of</w:t>
      </w:r>
      <w:r w:rsidR="7369CCA9" w:rsidRPr="00D665E3">
        <w:rPr>
          <w:position w:val="-10"/>
          <w:lang w:val="en-GB"/>
        </w:rPr>
        <w:t xml:space="preserve"> the annualized plant</w:t>
      </w:r>
      <w:r w:rsidR="7369CCA9">
        <w:rPr>
          <w:position w:val="-10"/>
          <w:lang w:val="en-GB"/>
        </w:rPr>
        <w:t xml:space="preserve"> cost (APC) and the </w:t>
      </w:r>
      <w:r w:rsidR="7369CCA9" w:rsidRPr="00D665E3">
        <w:rPr>
          <w:position w:val="-10"/>
          <w:lang w:val="en-GB"/>
        </w:rPr>
        <w:t xml:space="preserve">ammonia production </w:t>
      </w:r>
      <w:r w:rsidR="7369CCA9">
        <w:rPr>
          <w:position w:val="-10"/>
          <w:lang w:val="en-GB"/>
        </w:rPr>
        <w:t>(</w:t>
      </w:r>
      <w:r w:rsidR="7369CCA9" w:rsidRPr="00D665E3">
        <w:rPr>
          <w:position w:val="-10"/>
          <w:lang w:val="en-GB"/>
        </w:rPr>
        <w:t>AP</w:t>
      </w:r>
      <w:r w:rsidR="7369CCA9">
        <w:rPr>
          <w:position w:val="-10"/>
          <w:lang w:val="en-GB"/>
        </w:rPr>
        <w:t>)</w:t>
      </w:r>
      <w:r w:rsidR="4EFE2055">
        <w:rPr>
          <w:position w:val="-10"/>
          <w:lang w:val="en-GB"/>
        </w:rPr>
        <w:t xml:space="preserve"> </w:t>
      </w:r>
      <w:r w:rsidR="7369CCA9" w:rsidRPr="00D665E3">
        <w:rPr>
          <w:position w:val="-10"/>
          <w:lang w:val="en-GB"/>
        </w:rPr>
        <w:t>over a yea</w:t>
      </w:r>
      <w:r w:rsidR="7369CCA9">
        <w:rPr>
          <w:position w:val="-10"/>
          <w:lang w:val="en-GB"/>
        </w:rPr>
        <w:t xml:space="preserve">r. APC is a function of the </w:t>
      </w:r>
      <w:r w:rsidR="7369CCA9" w:rsidRPr="00D665E3">
        <w:rPr>
          <w:position w:val="-10"/>
          <w:lang w:val="en-GB"/>
        </w:rPr>
        <w:t xml:space="preserve">Annualized </w:t>
      </w:r>
      <w:r w:rsidR="7369CCA9">
        <w:rPr>
          <w:position w:val="-10"/>
          <w:lang w:val="en-GB"/>
        </w:rPr>
        <w:t>O</w:t>
      </w:r>
      <w:r w:rsidR="7369CCA9" w:rsidRPr="00D665E3">
        <w:rPr>
          <w:position w:val="-10"/>
          <w:lang w:val="en-GB"/>
        </w:rPr>
        <w:t xml:space="preserve">perating </w:t>
      </w:r>
      <w:r w:rsidR="7369CCA9">
        <w:rPr>
          <w:position w:val="-10"/>
          <w:lang w:val="en-GB"/>
        </w:rPr>
        <w:t>C</w:t>
      </w:r>
      <w:r w:rsidR="7369CCA9" w:rsidRPr="00D665E3">
        <w:rPr>
          <w:position w:val="-10"/>
          <w:lang w:val="en-GB"/>
        </w:rPr>
        <w:t>ost</w:t>
      </w:r>
      <w:r w:rsidR="7369CCA9">
        <w:rPr>
          <w:position w:val="-10"/>
          <w:lang w:val="en-GB"/>
        </w:rPr>
        <w:t xml:space="preserve"> (</w:t>
      </w:r>
      <w:r w:rsidR="4EFE2055">
        <w:rPr>
          <w:position w:val="-10"/>
          <w:lang w:val="en-GB"/>
        </w:rPr>
        <w:t>AOC</w:t>
      </w:r>
      <w:r w:rsidR="7369CCA9">
        <w:rPr>
          <w:position w:val="-10"/>
          <w:lang w:val="en-GB"/>
        </w:rPr>
        <w:t>) and A</w:t>
      </w:r>
      <w:r w:rsidR="7369CCA9" w:rsidRPr="00D665E3">
        <w:rPr>
          <w:position w:val="-10"/>
          <w:lang w:val="en-GB"/>
        </w:rPr>
        <w:t xml:space="preserve">nnualized </w:t>
      </w:r>
      <w:r w:rsidR="7369CCA9">
        <w:rPr>
          <w:position w:val="-10"/>
          <w:lang w:val="en-GB"/>
        </w:rPr>
        <w:t>I</w:t>
      </w:r>
      <w:r w:rsidR="7369CCA9" w:rsidRPr="00D665E3">
        <w:rPr>
          <w:position w:val="-10"/>
          <w:lang w:val="en-GB"/>
        </w:rPr>
        <w:t xml:space="preserve">nvestment </w:t>
      </w:r>
      <w:r w:rsidR="7369CCA9">
        <w:rPr>
          <w:position w:val="-10"/>
          <w:lang w:val="en-GB"/>
        </w:rPr>
        <w:t>C</w:t>
      </w:r>
      <w:r w:rsidR="7369CCA9" w:rsidRPr="00D665E3">
        <w:rPr>
          <w:position w:val="-10"/>
          <w:lang w:val="en-GB"/>
        </w:rPr>
        <w:t>ost</w:t>
      </w:r>
      <w:r w:rsidR="4EFE2055">
        <w:rPr>
          <w:position w:val="-10"/>
          <w:lang w:val="en-GB"/>
        </w:rPr>
        <w:t xml:space="preserve"> (AIC)</w:t>
      </w:r>
      <w:r w:rsidR="7369CCA9">
        <w:rPr>
          <w:position w:val="-10"/>
          <w:lang w:val="en-GB"/>
        </w:rPr>
        <w:t>.</w:t>
      </w:r>
      <w:r w:rsidR="4EFE2055">
        <w:rPr>
          <w:position w:val="-10"/>
          <w:lang w:val="en-GB"/>
        </w:rPr>
        <w:t xml:space="preserve"> These are </w:t>
      </w:r>
      <w:r w:rsidR="1518F996">
        <w:rPr>
          <w:position w:val="-10"/>
          <w:lang w:val="en-GB"/>
        </w:rPr>
        <w:t xml:space="preserve">ultimately </w:t>
      </w:r>
      <w:r w:rsidR="4EFE2055">
        <w:rPr>
          <w:position w:val="-10"/>
          <w:lang w:val="en-GB"/>
        </w:rPr>
        <w:t xml:space="preserve">dependent </w:t>
      </w:r>
      <w:r w:rsidR="47F13851">
        <w:rPr>
          <w:position w:val="-10"/>
          <w:lang w:val="en-GB"/>
        </w:rPr>
        <w:t>on</w:t>
      </w:r>
      <w:r w:rsidR="4EFE2055">
        <w:rPr>
          <w:position w:val="-10"/>
          <w:lang w:val="en-GB"/>
        </w:rPr>
        <w:t xml:space="preserve"> the equipment cost</w:t>
      </w:r>
      <w:r w:rsidR="47F13851">
        <w:rPr>
          <w:position w:val="-10"/>
          <w:lang w:val="en-GB"/>
        </w:rPr>
        <w:t xml:space="preserve"> Eq. (2)</w:t>
      </w:r>
      <w:r w:rsidR="4EFE2055">
        <w:rPr>
          <w:position w:val="-10"/>
          <w:lang w:val="en-GB"/>
        </w:rPr>
        <w:t xml:space="preserve"> and the mass balance</w:t>
      </w:r>
      <w:r w:rsidR="47F13851">
        <w:rPr>
          <w:position w:val="-10"/>
          <w:lang w:val="en-GB"/>
        </w:rPr>
        <w:t xml:space="preserve"> </w:t>
      </w:r>
      <w:r w:rsidR="47F13851" w:rsidRPr="00A861D3">
        <w:t>Eq. (3)</w:t>
      </w:r>
      <w:r w:rsidR="4EFE2055" w:rsidRPr="00A861D3">
        <w:t>.</w:t>
      </w:r>
      <w:r w:rsidR="19F8584A" w:rsidRPr="00A861D3">
        <w:t xml:space="preserve"> The piecewise</w:t>
      </w:r>
      <w:r w:rsidR="05417DCD" w:rsidRPr="00A861D3">
        <w:t>-</w:t>
      </w:r>
      <w:r w:rsidR="19F8584A" w:rsidRPr="00A861D3">
        <w:t xml:space="preserve"> and big</w:t>
      </w:r>
      <w:r w:rsidR="54ECFBEF" w:rsidRPr="00A861D3">
        <w:t>-</w:t>
      </w:r>
      <w:r w:rsidR="19F8584A" w:rsidRPr="00A861D3">
        <w:t xml:space="preserve">M </w:t>
      </w:r>
      <w:proofErr w:type="spellStart"/>
      <w:r w:rsidR="19F8584A" w:rsidRPr="00A861D3">
        <w:t>linearization</w:t>
      </w:r>
      <w:r w:rsidR="43DDEC2B" w:rsidRPr="00A861D3">
        <w:t>s</w:t>
      </w:r>
      <w:proofErr w:type="spellEnd"/>
      <w:r w:rsidR="19F8584A" w:rsidRPr="00A861D3">
        <w:t xml:space="preserve"> </w:t>
      </w:r>
      <w:r w:rsidR="50D2C054" w:rsidRPr="00A861D3">
        <w:t>have been applied</w:t>
      </w:r>
      <w:r w:rsidR="19F8584A" w:rsidRPr="00A861D3">
        <w:t xml:space="preserve"> to remove</w:t>
      </w:r>
      <w:r w:rsidR="19F8584A" w:rsidRPr="00125822">
        <w:t xml:space="preserve"> nonlinearit</w:t>
      </w:r>
      <w:r w:rsidR="2C79E88A" w:rsidRPr="00125822">
        <w:t>ies</w:t>
      </w:r>
      <w:r w:rsidR="19F8584A" w:rsidRPr="00125822">
        <w:t xml:space="preserve">. </w:t>
      </w:r>
      <w:r w:rsidR="2720E20E" w:rsidRPr="00125822">
        <w:t xml:space="preserve">Each block </w:t>
      </w:r>
      <w:r w:rsidR="2720E20E" w:rsidRPr="00AB043B">
        <w:rPr>
          <w:i/>
          <w:iCs/>
        </w:rPr>
        <w:t>i</w:t>
      </w:r>
      <w:r w:rsidR="2720E20E" w:rsidRPr="00125822">
        <w:t xml:space="preserve"> has a binary decision variable </w:t>
      </w:r>
      <w:proofErr w:type="spellStart"/>
      <w:r w:rsidR="2C79E88A" w:rsidRPr="00AB043B">
        <w:rPr>
          <w:i/>
          <w:iCs/>
        </w:rPr>
        <w:t>y</w:t>
      </w:r>
      <w:r w:rsidR="2C79E88A" w:rsidRPr="00AB043B">
        <w:rPr>
          <w:i/>
          <w:iCs/>
          <w:vertAlign w:val="subscript"/>
        </w:rPr>
        <w:t>i</w:t>
      </w:r>
      <w:proofErr w:type="spellEnd"/>
      <w:r w:rsidR="2720E20E" w:rsidRPr="00125822">
        <w:t xml:space="preserve"> </w:t>
      </w:r>
      <w:r w:rsidR="65B6448C" w:rsidRPr="00125822">
        <w:t>den</w:t>
      </w:r>
      <w:r w:rsidR="00990AF3">
        <w:t>o</w:t>
      </w:r>
      <w:r w:rsidR="65B6448C" w:rsidRPr="00125822">
        <w:t xml:space="preserve">ting whether </w:t>
      </w:r>
      <w:r w:rsidR="2720E20E" w:rsidRPr="00125822">
        <w:t xml:space="preserve">the </w:t>
      </w:r>
      <w:r w:rsidR="2720E20E" w:rsidRPr="005259B0">
        <w:t xml:space="preserve">block is </w:t>
      </w:r>
      <w:r w:rsidR="06790A50" w:rsidRPr="00125822">
        <w:t xml:space="preserve">selected </w:t>
      </w:r>
      <w:r w:rsidR="2720E20E" w:rsidRPr="005259B0">
        <w:t xml:space="preserve">or not. This also </w:t>
      </w:r>
      <w:r w:rsidR="00AB043B">
        <w:t>introduce</w:t>
      </w:r>
      <w:r w:rsidR="00990AF3">
        <w:t>s</w:t>
      </w:r>
      <w:r w:rsidR="00AB043B">
        <w:t xml:space="preserve"> logic</w:t>
      </w:r>
      <w:r w:rsidR="2720E20E" w:rsidRPr="005259B0">
        <w:t xml:space="preserve"> in between sections of the SE. For instance, if water is chosen for H</w:t>
      </w:r>
      <w:r w:rsidR="2720E20E" w:rsidRPr="006450D5">
        <w:rPr>
          <w:vertAlign w:val="subscript"/>
        </w:rPr>
        <w:t>2</w:t>
      </w:r>
      <w:r w:rsidR="2720E20E" w:rsidRPr="005259B0">
        <w:t xml:space="preserve"> production</w:t>
      </w:r>
      <w:r w:rsidR="2C79E88A" w:rsidRPr="005259B0">
        <w:t xml:space="preserve"> (block 2 in </w:t>
      </w:r>
      <w:r w:rsidR="005259B0" w:rsidRPr="005259B0">
        <w:fldChar w:fldCharType="begin"/>
      </w:r>
      <w:r w:rsidR="005259B0" w:rsidRPr="005259B0">
        <w:instrText xml:space="preserve"> REF _Ref129775052 \h </w:instrText>
      </w:r>
      <w:r w:rsidR="005259B0">
        <w:instrText xml:space="preserve"> \* MERGEFORMAT </w:instrText>
      </w:r>
      <w:r w:rsidR="005259B0" w:rsidRPr="005259B0">
        <w:fldChar w:fldCharType="separate"/>
      </w:r>
      <w:r w:rsidR="2C79E88A">
        <w:t>Figure 1</w:t>
      </w:r>
      <w:r w:rsidR="005259B0" w:rsidRPr="005259B0">
        <w:fldChar w:fldCharType="end"/>
      </w:r>
      <w:r w:rsidR="2C79E88A" w:rsidRPr="005259B0">
        <w:t>)</w:t>
      </w:r>
      <w:r w:rsidR="2720E20E" w:rsidRPr="005259B0">
        <w:t xml:space="preserve">, its flow </w:t>
      </w:r>
      <w:r w:rsidR="6117DD08" w:rsidRPr="005259B0">
        <w:t>must</w:t>
      </w:r>
      <w:r w:rsidR="2720E20E" w:rsidRPr="005259B0">
        <w:t xml:space="preserve"> be distributed</w:t>
      </w:r>
      <w:r w:rsidR="2720E20E" w:rsidRPr="00375850">
        <w:t xml:space="preserve"> only to the desalination or alkaline electrolysis blocks </w:t>
      </w:r>
      <w:r w:rsidR="47F13851" w:rsidRPr="00375850">
        <w:t>Eq. (4)</w:t>
      </w:r>
      <w:r w:rsidR="2720E20E" w:rsidRPr="00375850">
        <w:t xml:space="preserve"> and Eq. (5).</w:t>
      </w:r>
      <w:r w:rsidR="50D2C054">
        <w:t xml:space="preserve"> </w:t>
      </w:r>
      <w:r w:rsidR="657E1790">
        <w:t>Finally, a certain ammonia production is enforced</w:t>
      </w:r>
      <w:r w:rsidR="3D9F538B">
        <w:t xml:space="preserve"> in the last section of the SE</w:t>
      </w:r>
      <w:r w:rsidR="657E1790">
        <w:t xml:space="preserve"> by Eq. (6). </w:t>
      </w:r>
      <w:r w:rsidR="15E15C74" w:rsidRPr="00375850">
        <w:t xml:space="preserve">The resulting MILP problem is solved </w:t>
      </w:r>
      <w:r w:rsidR="2C79E88A">
        <w:t>using</w:t>
      </w:r>
      <w:r w:rsidR="15E15C74" w:rsidRPr="00375850">
        <w:t xml:space="preserve"> the </w:t>
      </w:r>
      <w:proofErr w:type="spellStart"/>
      <w:r w:rsidR="15E15C74" w:rsidRPr="00375850">
        <w:t>Pyomo</w:t>
      </w:r>
      <w:proofErr w:type="spellEnd"/>
      <w:r w:rsidR="15E15C74" w:rsidRPr="00375850">
        <w:t xml:space="preserve"> </w:t>
      </w:r>
      <w:r w:rsidR="1518F996">
        <w:t>library</w:t>
      </w:r>
      <w:r w:rsidR="15E15C74" w:rsidRPr="00375850">
        <w:t xml:space="preserve"> </w:t>
      </w:r>
      <w:r w:rsidR="2C79E88A">
        <w:t>within</w:t>
      </w:r>
      <w:r w:rsidR="15E15C74" w:rsidRPr="00375850">
        <w:t xml:space="preserve"> Python.</w:t>
      </w:r>
      <w:r w:rsidR="0875BF2B">
        <w:t xml:space="preserve"> A base case </w:t>
      </w:r>
      <w:r w:rsidR="0006791D">
        <w:t>is</w:t>
      </w:r>
      <w:r w:rsidR="0875BF2B">
        <w:t xml:space="preserve"> defined considering data within common </w:t>
      </w:r>
      <w:r w:rsidR="1A0703F4">
        <w:t>ranges</w:t>
      </w:r>
      <w:r w:rsidR="0875BF2B">
        <w:t>. These are: electricity price 30 $/MWh; biomass price 100</w:t>
      </w:r>
      <w:r w:rsidR="1A0703F4">
        <w:t xml:space="preserve"> </w:t>
      </w:r>
      <w:r w:rsidR="0875BF2B">
        <w:t xml:space="preserve">$/t; natural gas price </w:t>
      </w:r>
      <w:r w:rsidR="0875BF2B" w:rsidRPr="00D96339">
        <w:t>0.</w:t>
      </w:r>
      <w:r w:rsidR="7C34BD9E" w:rsidRPr="00D96339">
        <w:t>1905</w:t>
      </w:r>
      <w:r w:rsidR="0875BF2B" w:rsidRPr="00D96339">
        <w:t xml:space="preserve"> $/</w:t>
      </w:r>
      <w:r w:rsidR="1A0703F4" w:rsidRPr="00D96339">
        <w:t>kg</w:t>
      </w:r>
      <w:r w:rsidR="0875BF2B">
        <w:t xml:space="preserve">; ammonia production 1000 kg/h; </w:t>
      </w:r>
      <w:r w:rsidR="17E448CB">
        <w:t>o</w:t>
      </w:r>
      <w:r w:rsidR="0875BF2B">
        <w:t>perational hours 8400 h.</w:t>
      </w:r>
    </w:p>
    <w:p w14:paraId="1029B228" w14:textId="0DBBB859" w:rsidR="00E91D98" w:rsidRPr="00A94774" w:rsidRDefault="00E91D98" w:rsidP="00E91D98">
      <w:pPr>
        <w:pStyle w:val="Els-1storder-head"/>
        <w:spacing w:after="120"/>
        <w:rPr>
          <w:lang w:val="en-GB"/>
        </w:rPr>
      </w:pPr>
      <w:r>
        <w:rPr>
          <w:lang w:val="en-GB"/>
        </w:rPr>
        <w:t>Results</w:t>
      </w:r>
    </w:p>
    <w:p w14:paraId="7A10EC4F" w14:textId="469EC020" w:rsidR="00413A00" w:rsidRDefault="00A7236C" w:rsidP="008D2649">
      <w:pPr>
        <w:pStyle w:val="Els-body-text"/>
      </w:pPr>
      <w:r>
        <w:t>From</w:t>
      </w:r>
      <w:r w:rsidR="00990AF3">
        <w:t xml:space="preserve"> </w:t>
      </w:r>
      <w:r w:rsidR="00990AF3">
        <w:fldChar w:fldCharType="begin"/>
      </w:r>
      <w:r w:rsidR="00990AF3">
        <w:instrText xml:space="preserve"> REF _Ref150073225 \h </w:instrText>
      </w:r>
      <w:r w:rsidR="00990AF3">
        <w:fldChar w:fldCharType="separate"/>
      </w:r>
      <w:r w:rsidR="00990AF3">
        <w:t xml:space="preserve">Figure </w:t>
      </w:r>
      <w:r w:rsidR="00990AF3">
        <w:rPr>
          <w:noProof/>
        </w:rPr>
        <w:t>2</w:t>
      </w:r>
      <w:r w:rsidR="00990AF3">
        <w:fldChar w:fldCharType="end"/>
      </w:r>
      <w:r>
        <w:t>, t</w:t>
      </w:r>
      <w:r w:rsidR="00835109" w:rsidRPr="00BD7919">
        <w:t xml:space="preserve">he </w:t>
      </w:r>
      <w:r w:rsidR="00F7546F">
        <w:t>electrolysis route</w:t>
      </w:r>
      <w:r w:rsidR="008E10A6">
        <w:t xml:space="preserve"> </w:t>
      </w:r>
      <w:r w:rsidR="00F7546F">
        <w:t>has</w:t>
      </w:r>
      <w:r w:rsidR="00BD7919">
        <w:t xml:space="preserve"> the lowest</w:t>
      </w:r>
      <w:r w:rsidR="00BD7919" w:rsidRPr="00BD7919">
        <w:t xml:space="preserve"> NH</w:t>
      </w:r>
      <w:r w:rsidR="00BD7919" w:rsidRPr="00BD7919">
        <w:rPr>
          <w:vertAlign w:val="subscript"/>
        </w:rPr>
        <w:t>3</w:t>
      </w:r>
      <w:r w:rsidR="00BD7919" w:rsidRPr="00BD7919">
        <w:t xml:space="preserve"> cost of 1067 $/t.</w:t>
      </w:r>
      <w:r w:rsidR="00BD7919">
        <w:t xml:space="preserve"> </w:t>
      </w:r>
      <w:r w:rsidR="00835109" w:rsidRPr="00BD7919">
        <w:t xml:space="preserve">The major contributors to </w:t>
      </w:r>
      <w:r>
        <w:t>this</w:t>
      </w:r>
      <w:r w:rsidR="00835109" w:rsidRPr="00BD7919">
        <w:t xml:space="preserve"> cost are the NH</w:t>
      </w:r>
      <w:r w:rsidR="00835109" w:rsidRPr="00BD7919">
        <w:rPr>
          <w:vertAlign w:val="subscript"/>
        </w:rPr>
        <w:t>3</w:t>
      </w:r>
      <w:r w:rsidR="00835109" w:rsidRPr="00BD7919">
        <w:t xml:space="preserve"> production CAPEX, followed by electricity consumption and H</w:t>
      </w:r>
      <w:r w:rsidR="00835109" w:rsidRPr="00BD7919">
        <w:rPr>
          <w:vertAlign w:val="subscript"/>
        </w:rPr>
        <w:t>2</w:t>
      </w:r>
      <w:r w:rsidR="00835109" w:rsidRPr="00BD7919">
        <w:t xml:space="preserve"> production CAPEX.</w:t>
      </w:r>
      <w:r w:rsidR="004F25B8" w:rsidRPr="004F25B8">
        <w:t xml:space="preserve"> </w:t>
      </w:r>
      <w:r w:rsidR="004F25B8">
        <w:t>The use of biomass and natural gas has been enforced in separate cases to compare against the best solution.</w:t>
      </w:r>
    </w:p>
    <w:p w14:paraId="25CE6E0A" w14:textId="7E989AEF" w:rsidR="00BD7919" w:rsidRDefault="007C2456" w:rsidP="007C2456">
      <w:pPr>
        <w:pStyle w:val="Els-body-text"/>
        <w:keepNext/>
        <w:jc w:val="center"/>
      </w:pPr>
      <w:r>
        <w:rPr>
          <w:noProof/>
        </w:rPr>
        <w:lastRenderedPageBreak/>
        <w:drawing>
          <wp:inline distT="0" distB="0" distL="0" distR="0" wp14:anchorId="19946390" wp14:editId="325A2FD1">
            <wp:extent cx="3775136" cy="2981325"/>
            <wp:effectExtent l="0" t="0" r="0" b="0"/>
            <wp:docPr id="456879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5974" cy="2997782"/>
                    </a:xfrm>
                    <a:prstGeom prst="rect">
                      <a:avLst/>
                    </a:prstGeom>
                    <a:noFill/>
                  </pic:spPr>
                </pic:pic>
              </a:graphicData>
            </a:graphic>
          </wp:inline>
        </w:drawing>
      </w:r>
    </w:p>
    <w:p w14:paraId="09D53865" w14:textId="7DC8CC83" w:rsidR="00413A00" w:rsidRDefault="00BD7919" w:rsidP="00C05C02">
      <w:pPr>
        <w:pStyle w:val="Didascalia"/>
        <w:jc w:val="both"/>
      </w:pPr>
      <w:bookmarkStart w:id="3" w:name="_Ref150073225"/>
      <w:r>
        <w:t xml:space="preserve">Figure </w:t>
      </w:r>
      <w:r>
        <w:fldChar w:fldCharType="begin"/>
      </w:r>
      <w:r>
        <w:instrText xml:space="preserve"> SEQ Figure \* ARABIC </w:instrText>
      </w:r>
      <w:r>
        <w:fldChar w:fldCharType="separate"/>
      </w:r>
      <w:r w:rsidR="00C90D81">
        <w:rPr>
          <w:noProof/>
        </w:rPr>
        <w:t>2</w:t>
      </w:r>
      <w:r>
        <w:fldChar w:fldCharType="end"/>
      </w:r>
      <w:bookmarkEnd w:id="3"/>
      <w:r>
        <w:t xml:space="preserve">. </w:t>
      </w:r>
      <w:r w:rsidR="0055136B">
        <w:t>A</w:t>
      </w:r>
      <w:r w:rsidR="00C90D81">
        <w:t>mmonia cost breakdown</w:t>
      </w:r>
      <w:r w:rsidR="00C05C02">
        <w:t xml:space="preserve"> for different routes</w:t>
      </w:r>
      <w:r w:rsidR="00C90D81">
        <w:t>.</w:t>
      </w:r>
      <w:r w:rsidR="00C05C02">
        <w:t xml:space="preserve"> </w:t>
      </w:r>
      <w:r w:rsidR="008E10A6">
        <w:t>Electrolysis</w:t>
      </w:r>
      <w:r w:rsidR="00C331AE">
        <w:t>: i</w:t>
      </w:r>
      <w:r w:rsidR="004F25B8">
        <w:t xml:space="preserve">ndexes 2, 5, 7, 11 and 14 in </w:t>
      </w:r>
      <w:r w:rsidR="004F25B8">
        <w:fldChar w:fldCharType="begin"/>
      </w:r>
      <w:r w:rsidR="004F25B8">
        <w:instrText xml:space="preserve"> REF _Ref129775052 \h  \* MERGEFORMAT </w:instrText>
      </w:r>
      <w:r w:rsidR="004F25B8">
        <w:fldChar w:fldCharType="separate"/>
      </w:r>
      <w:r w:rsidR="004F25B8">
        <w:t xml:space="preserve">Figure </w:t>
      </w:r>
      <w:r w:rsidR="004F25B8" w:rsidRPr="2D77F27B">
        <w:rPr>
          <w:noProof/>
        </w:rPr>
        <w:t>1</w:t>
      </w:r>
      <w:r w:rsidR="004F25B8">
        <w:fldChar w:fldCharType="end"/>
      </w:r>
      <w:r w:rsidR="00BC2832">
        <w:t>.</w:t>
      </w:r>
      <w:r w:rsidR="004F25B8">
        <w:t xml:space="preserve"> Gasification</w:t>
      </w:r>
      <w:r w:rsidR="0076694D">
        <w:t>:</w:t>
      </w:r>
      <w:r w:rsidR="00C331AE">
        <w:t xml:space="preserve"> i</w:t>
      </w:r>
      <w:r w:rsidR="004F25B8">
        <w:t xml:space="preserve">ndexes 4, 15, 16, 11 and 14 in </w:t>
      </w:r>
      <w:r w:rsidR="004F25B8">
        <w:fldChar w:fldCharType="begin"/>
      </w:r>
      <w:r w:rsidR="004F25B8">
        <w:instrText xml:space="preserve"> REF _Ref129775052 \h  \* MERGEFORMAT </w:instrText>
      </w:r>
      <w:r w:rsidR="004F25B8">
        <w:fldChar w:fldCharType="separate"/>
      </w:r>
      <w:r w:rsidR="004F25B8">
        <w:t xml:space="preserve">Figure </w:t>
      </w:r>
      <w:r w:rsidR="004F25B8" w:rsidRPr="2D77F27B">
        <w:rPr>
          <w:noProof/>
        </w:rPr>
        <w:t>1</w:t>
      </w:r>
      <w:r w:rsidR="004F25B8">
        <w:fldChar w:fldCharType="end"/>
      </w:r>
      <w:r w:rsidR="004F25B8">
        <w:t xml:space="preserve">. </w:t>
      </w:r>
      <w:r w:rsidR="00C331AE">
        <w:t>TDM</w:t>
      </w:r>
      <w:r w:rsidR="0076694D">
        <w:t>:</w:t>
      </w:r>
      <w:r w:rsidR="00C331AE">
        <w:t xml:space="preserve"> </w:t>
      </w:r>
      <w:r w:rsidR="004F25B8">
        <w:t xml:space="preserve">indexes 3, 17, 18, 11 and 14 in </w:t>
      </w:r>
      <w:r w:rsidR="004F25B8">
        <w:fldChar w:fldCharType="begin"/>
      </w:r>
      <w:r w:rsidR="004F25B8">
        <w:instrText xml:space="preserve"> REF _Ref129775052 \h  \* MERGEFORMAT </w:instrText>
      </w:r>
      <w:r w:rsidR="004F25B8">
        <w:fldChar w:fldCharType="separate"/>
      </w:r>
      <w:r w:rsidR="004F25B8">
        <w:t xml:space="preserve">Figure </w:t>
      </w:r>
      <w:r w:rsidR="004F25B8" w:rsidRPr="2D77F27B">
        <w:rPr>
          <w:noProof/>
        </w:rPr>
        <w:t>1</w:t>
      </w:r>
      <w:r w:rsidR="004F25B8">
        <w:fldChar w:fldCharType="end"/>
      </w:r>
      <w:r w:rsidR="004F25B8">
        <w:t xml:space="preserve">. </w:t>
      </w:r>
      <w:r w:rsidR="00BC2832">
        <w:t>O&amp;M: operation and maintenance</w:t>
      </w:r>
      <w:r w:rsidR="00200F11">
        <w:t>.</w:t>
      </w:r>
    </w:p>
    <w:p w14:paraId="6133A4E7" w14:textId="2B7B00E2" w:rsidR="00F7546F" w:rsidRDefault="60E88A97" w:rsidP="008D2649">
      <w:pPr>
        <w:pStyle w:val="Els-body-text"/>
      </w:pPr>
      <w:r>
        <w:t xml:space="preserve">In the case of gasification, the dominating factors are the </w:t>
      </w:r>
      <w:r w:rsidR="5FE918A6">
        <w:t>CAPEX</w:t>
      </w:r>
      <w:r w:rsidR="00D77C49">
        <w:t xml:space="preserve"> </w:t>
      </w:r>
      <w:r>
        <w:t>of the NH</w:t>
      </w:r>
      <w:r w:rsidRPr="0A8C40EF">
        <w:rPr>
          <w:vertAlign w:val="subscript"/>
        </w:rPr>
        <w:t>3</w:t>
      </w:r>
      <w:r>
        <w:t xml:space="preserve"> production section and the cost of </w:t>
      </w:r>
      <w:r w:rsidR="007147EF">
        <w:t>biomass</w:t>
      </w:r>
      <w:r>
        <w:t>. In the case of TDM, the dominating factors are the NH</w:t>
      </w:r>
      <w:r w:rsidRPr="0A8C40EF">
        <w:rPr>
          <w:vertAlign w:val="subscript"/>
        </w:rPr>
        <w:t>3</w:t>
      </w:r>
      <w:r>
        <w:t xml:space="preserve"> production section and the cost of the pyrolysis reactor. </w:t>
      </w:r>
      <w:r w:rsidR="48EEEBD7">
        <w:t>To measure the effect of changes in certain parameter</w:t>
      </w:r>
      <w:r w:rsidR="62174B5B">
        <w:t>s</w:t>
      </w:r>
      <w:r w:rsidR="48EEEBD7">
        <w:t xml:space="preserve"> in the ammonia cost, a sensitivity analysis </w:t>
      </w:r>
      <w:r w:rsidR="62174B5B">
        <w:t>has been conducted</w:t>
      </w:r>
      <w:r w:rsidR="00125822">
        <w:t xml:space="preserve"> (</w:t>
      </w:r>
      <w:r w:rsidR="00125822">
        <w:fldChar w:fldCharType="begin"/>
      </w:r>
      <w:r w:rsidR="00125822">
        <w:instrText xml:space="preserve"> REF _Ref150182241 \h </w:instrText>
      </w:r>
      <w:r w:rsidR="00125822">
        <w:fldChar w:fldCharType="separate"/>
      </w:r>
      <w:r w:rsidR="00125822">
        <w:t xml:space="preserve">Figure </w:t>
      </w:r>
      <w:r w:rsidR="00125822" w:rsidRPr="0A8C40EF">
        <w:rPr>
          <w:noProof/>
        </w:rPr>
        <w:t>3</w:t>
      </w:r>
      <w:r w:rsidR="00125822">
        <w:fldChar w:fldCharType="end"/>
      </w:r>
      <w:r w:rsidR="00125822">
        <w:t>)</w:t>
      </w:r>
      <w:r w:rsidR="62174B5B">
        <w:t xml:space="preserve">. The sensitivity factor S is introduced as the ratio between </w:t>
      </w:r>
      <w:r w:rsidR="0290EFA7">
        <w:t>a</w:t>
      </w:r>
      <w:r w:rsidR="62174B5B">
        <w:t xml:space="preserve"> change in ammonia price </w:t>
      </w:r>
      <w:r w:rsidR="33BD6FCB">
        <w:t xml:space="preserve">due to a </w:t>
      </w:r>
      <w:r w:rsidR="62174B5B">
        <w:t>change in a certain parameter</w:t>
      </w:r>
      <w:r w:rsidR="00125822">
        <w:t>.</w:t>
      </w:r>
      <w:r w:rsidR="0098773E">
        <w:t xml:space="preserve"> The ammonia price taken as reference for each parameter is that of its corresponding </w:t>
      </w:r>
      <w:r w:rsidR="006A1FA0">
        <w:t>route using the</w:t>
      </w:r>
      <w:r w:rsidR="00EE3874">
        <w:t xml:space="preserve"> data from</w:t>
      </w:r>
      <w:r w:rsidR="006A1FA0">
        <w:t xml:space="preserve"> </w:t>
      </w:r>
      <w:r w:rsidR="00EE3874">
        <w:t xml:space="preserve">the </w:t>
      </w:r>
      <w:r w:rsidR="006A1FA0">
        <w:t>base case.</w:t>
      </w:r>
    </w:p>
    <w:p w14:paraId="5C23010C" w14:textId="6A68BE9B" w:rsidR="00C90D81" w:rsidRDefault="00793278" w:rsidP="00C90D81">
      <w:pPr>
        <w:pStyle w:val="Els-body-text"/>
        <w:keepNext/>
        <w:jc w:val="center"/>
      </w:pPr>
      <w:r>
        <w:rPr>
          <w:noProof/>
        </w:rPr>
        <w:drawing>
          <wp:inline distT="0" distB="0" distL="0" distR="0" wp14:anchorId="562C8AE9" wp14:editId="324BAB1E">
            <wp:extent cx="4097271" cy="2114550"/>
            <wp:effectExtent l="0" t="0" r="0" b="0"/>
            <wp:docPr id="20460128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3113"/>
                    <a:stretch/>
                  </pic:blipFill>
                  <pic:spPr bwMode="auto">
                    <a:xfrm>
                      <a:off x="0" y="0"/>
                      <a:ext cx="4120642" cy="2126611"/>
                    </a:xfrm>
                    <a:prstGeom prst="rect">
                      <a:avLst/>
                    </a:prstGeom>
                    <a:noFill/>
                    <a:ln>
                      <a:noFill/>
                    </a:ln>
                    <a:extLst>
                      <a:ext uri="{53640926-AAD7-44D8-BBD7-CCE9431645EC}">
                        <a14:shadowObscured xmlns:a14="http://schemas.microsoft.com/office/drawing/2010/main"/>
                      </a:ext>
                    </a:extLst>
                  </pic:spPr>
                </pic:pic>
              </a:graphicData>
            </a:graphic>
          </wp:inline>
        </w:drawing>
      </w:r>
    </w:p>
    <w:p w14:paraId="588BD6CA" w14:textId="21BEED19" w:rsidR="00F7546F" w:rsidRDefault="00C90D81" w:rsidP="00C90D81">
      <w:pPr>
        <w:pStyle w:val="Didascalia"/>
        <w:jc w:val="center"/>
      </w:pPr>
      <w:bookmarkStart w:id="4" w:name="_Ref150182241"/>
      <w:r>
        <w:t xml:space="preserve">Figure </w:t>
      </w:r>
      <w:r>
        <w:fldChar w:fldCharType="begin"/>
      </w:r>
      <w:r>
        <w:instrText xml:space="preserve"> SEQ Figure \* ARABIC </w:instrText>
      </w:r>
      <w:r>
        <w:fldChar w:fldCharType="separate"/>
      </w:r>
      <w:r>
        <w:rPr>
          <w:noProof/>
        </w:rPr>
        <w:t>3</w:t>
      </w:r>
      <w:r>
        <w:fldChar w:fldCharType="end"/>
      </w:r>
      <w:bookmarkEnd w:id="4"/>
      <w:r>
        <w:t xml:space="preserve">. </w:t>
      </w:r>
      <w:r w:rsidRPr="00C90D81">
        <w:t>Sensitivity factor.</w:t>
      </w:r>
    </w:p>
    <w:p w14:paraId="7F0FFF83" w14:textId="51C01132" w:rsidR="00D31F98" w:rsidRDefault="004F6BA1" w:rsidP="00BD2E24">
      <w:pPr>
        <w:pStyle w:val="Els-body-text"/>
        <w:spacing w:line="259" w:lineRule="auto"/>
      </w:pPr>
      <w:r>
        <w:t>The cost of the NH</w:t>
      </w:r>
      <w:r w:rsidRPr="004F6BA1">
        <w:rPr>
          <w:vertAlign w:val="subscript"/>
        </w:rPr>
        <w:t>3</w:t>
      </w:r>
      <w:r>
        <w:t xml:space="preserve"> synthesis loop has a high impact at low scale. </w:t>
      </w:r>
      <w:r w:rsidR="7901034B">
        <w:t xml:space="preserve">The electrolysis route </w:t>
      </w:r>
      <w:r w:rsidR="3F3B8B3F">
        <w:t>can reduce costs</w:t>
      </w:r>
      <w:r w:rsidR="7901034B">
        <w:t xml:space="preserve"> in terms of </w:t>
      </w:r>
      <w:proofErr w:type="spellStart"/>
      <w:r w:rsidR="7901034B">
        <w:t>electrolyzer</w:t>
      </w:r>
      <w:proofErr w:type="spellEnd"/>
      <w:r w:rsidR="7C3786C2">
        <w:t xml:space="preserve"> type</w:t>
      </w:r>
      <w:r w:rsidR="7901034B">
        <w:t xml:space="preserve"> and electricity price. Moreover, O</w:t>
      </w:r>
      <w:r w:rsidR="7901034B" w:rsidRPr="0A8C40EF">
        <w:rPr>
          <w:vertAlign w:val="subscript"/>
        </w:rPr>
        <w:t>2</w:t>
      </w:r>
      <w:r w:rsidR="7901034B">
        <w:t xml:space="preserve"> </w:t>
      </w:r>
      <w:r w:rsidR="3B83E443">
        <w:t xml:space="preserve">sales </w:t>
      </w:r>
      <w:r w:rsidR="7901034B">
        <w:lastRenderedPageBreak/>
        <w:t>c</w:t>
      </w:r>
      <w:r>
        <w:t>ould</w:t>
      </w:r>
      <w:r w:rsidR="7901034B">
        <w:t xml:space="preserve"> further increase the profitability of this route. Reduction in biomass prices can lower the cost of ammonia in the gasification route. However, CCS is needed to </w:t>
      </w:r>
      <w:r w:rsidR="00FD679B">
        <w:t xml:space="preserve">prevent </w:t>
      </w:r>
      <w:r w:rsidR="00DB2F03">
        <w:t xml:space="preserve">direct </w:t>
      </w:r>
      <w:r w:rsidR="7901034B">
        <w:t>CO</w:t>
      </w:r>
      <w:r w:rsidR="7901034B" w:rsidRPr="0A8C40EF">
        <w:rPr>
          <w:vertAlign w:val="subscript"/>
        </w:rPr>
        <w:t>2</w:t>
      </w:r>
      <w:r w:rsidR="7901034B">
        <w:t xml:space="preserve"> emissions. The TDM route is more sensitive to the TDM reactor cost</w:t>
      </w:r>
      <w:r>
        <w:t xml:space="preserve"> than to natural gas prices</w:t>
      </w:r>
      <w:r w:rsidR="7901034B">
        <w:t xml:space="preserve"> and thus technolog</w:t>
      </w:r>
      <w:r w:rsidR="3422FEB1">
        <w:t>ical</w:t>
      </w:r>
      <w:r w:rsidR="7901034B">
        <w:t xml:space="preserve"> developments should focus in this area. </w:t>
      </w:r>
    </w:p>
    <w:p w14:paraId="144DE6BA" w14:textId="77777777" w:rsidR="008D2649" w:rsidRPr="00A94774" w:rsidRDefault="008D2649" w:rsidP="008D2649">
      <w:pPr>
        <w:pStyle w:val="Els-1storder-head"/>
        <w:spacing w:after="120"/>
        <w:rPr>
          <w:lang w:val="en-GB"/>
        </w:rPr>
      </w:pPr>
      <w:r w:rsidRPr="00A94774">
        <w:rPr>
          <w:lang w:val="en-GB"/>
        </w:rPr>
        <w:t>Conclusions</w:t>
      </w:r>
    </w:p>
    <w:p w14:paraId="6FE52E65" w14:textId="26DA2045" w:rsidR="002B3251" w:rsidRDefault="34971FE2" w:rsidP="001255F9">
      <w:pPr>
        <w:pStyle w:val="Els-body-text"/>
        <w:rPr>
          <w:lang w:val="en-GB"/>
        </w:rPr>
      </w:pPr>
      <w:r w:rsidRPr="0A8C40EF">
        <w:rPr>
          <w:lang w:val="en-GB"/>
        </w:rPr>
        <w:t xml:space="preserve">A superstructure to evaluate </w:t>
      </w:r>
      <w:r w:rsidR="00CD0A60">
        <w:rPr>
          <w:lang w:val="en-GB"/>
        </w:rPr>
        <w:t>forty</w:t>
      </w:r>
      <w:r w:rsidR="00CD0A60" w:rsidRPr="0A8C40EF">
        <w:rPr>
          <w:lang w:val="en-GB"/>
        </w:rPr>
        <w:t xml:space="preserve"> </w:t>
      </w:r>
      <w:r w:rsidRPr="0A8C40EF">
        <w:rPr>
          <w:lang w:val="en-GB"/>
        </w:rPr>
        <w:t>possible routes for small</w:t>
      </w:r>
      <w:r w:rsidR="006D1B42">
        <w:rPr>
          <w:lang w:val="en-GB"/>
        </w:rPr>
        <w:t>-</w:t>
      </w:r>
      <w:r w:rsidRPr="0A8C40EF">
        <w:rPr>
          <w:lang w:val="en-GB"/>
        </w:rPr>
        <w:t xml:space="preserve">scale ammonia production </w:t>
      </w:r>
      <w:r w:rsidR="000B0186">
        <w:rPr>
          <w:lang w:val="en-GB"/>
        </w:rPr>
        <w:t xml:space="preserve">was developed </w:t>
      </w:r>
      <w:r w:rsidR="00793108">
        <w:rPr>
          <w:lang w:val="en-GB"/>
        </w:rPr>
        <w:t>as a tool</w:t>
      </w:r>
      <w:r w:rsidRPr="0A8C40EF">
        <w:rPr>
          <w:lang w:val="en-GB"/>
        </w:rPr>
        <w:t xml:space="preserve"> </w:t>
      </w:r>
      <w:r w:rsidR="00763D8E">
        <w:rPr>
          <w:lang w:val="en-GB"/>
        </w:rPr>
        <w:t>to screen different alternatives and scenario</w:t>
      </w:r>
      <w:r w:rsidR="000B0186">
        <w:rPr>
          <w:lang w:val="en-GB"/>
        </w:rPr>
        <w:t>s</w:t>
      </w:r>
      <w:r w:rsidRPr="0A8C40EF">
        <w:rPr>
          <w:lang w:val="en-GB"/>
        </w:rPr>
        <w:t>.</w:t>
      </w:r>
      <w:r w:rsidR="006D09ED">
        <w:rPr>
          <w:lang w:val="en-GB"/>
        </w:rPr>
        <w:t xml:space="preserve"> Thus, advancing the spread and use of small</w:t>
      </w:r>
      <w:r w:rsidR="006D1B42">
        <w:rPr>
          <w:lang w:val="en-GB"/>
        </w:rPr>
        <w:t>-</w:t>
      </w:r>
      <w:r w:rsidR="006D09ED">
        <w:rPr>
          <w:lang w:val="en-GB"/>
        </w:rPr>
        <w:t>scale ammonia.</w:t>
      </w:r>
      <w:r w:rsidR="00793108">
        <w:rPr>
          <w:lang w:val="en-GB"/>
        </w:rPr>
        <w:t xml:space="preserve"> </w:t>
      </w:r>
      <w:r w:rsidRPr="0A8C40EF">
        <w:rPr>
          <w:lang w:val="en-GB"/>
        </w:rPr>
        <w:t xml:space="preserve">The optimal route for a base case is PEM </w:t>
      </w:r>
      <w:proofErr w:type="spellStart"/>
      <w:r w:rsidRPr="0A8C40EF">
        <w:rPr>
          <w:lang w:val="en-GB"/>
        </w:rPr>
        <w:t>electroly</w:t>
      </w:r>
      <w:r w:rsidR="0036592F">
        <w:rPr>
          <w:lang w:val="en-GB"/>
        </w:rPr>
        <w:t>zer</w:t>
      </w:r>
      <w:proofErr w:type="spellEnd"/>
      <w:r w:rsidRPr="0A8C40EF">
        <w:rPr>
          <w:lang w:val="en-GB"/>
        </w:rPr>
        <w:t xml:space="preserve"> for H</w:t>
      </w:r>
      <w:r w:rsidRPr="0A8C40EF">
        <w:rPr>
          <w:vertAlign w:val="subscript"/>
          <w:lang w:val="en-GB"/>
        </w:rPr>
        <w:t>2</w:t>
      </w:r>
      <w:r w:rsidRPr="0A8C40EF">
        <w:rPr>
          <w:lang w:val="en-GB"/>
        </w:rPr>
        <w:t xml:space="preserve"> production, a medium pressure HB ammonia synthesis loop using a Ru</w:t>
      </w:r>
      <w:r w:rsidR="00783288">
        <w:rPr>
          <w:lang w:val="en-GB"/>
        </w:rPr>
        <w:t>/AC</w:t>
      </w:r>
      <w:r w:rsidRPr="0A8C40EF">
        <w:rPr>
          <w:lang w:val="en-GB"/>
        </w:rPr>
        <w:t xml:space="preserve"> catalyst with condensation and a membrane ASU. The electrolysis</w:t>
      </w:r>
      <w:r w:rsidR="007D2426">
        <w:rPr>
          <w:lang w:val="en-GB"/>
        </w:rPr>
        <w:t xml:space="preserve"> route is the best </w:t>
      </w:r>
      <w:r w:rsidR="00B05EFD">
        <w:rPr>
          <w:lang w:val="en-GB"/>
        </w:rPr>
        <w:t xml:space="preserve">suited </w:t>
      </w:r>
      <w:r w:rsidR="007D2426">
        <w:rPr>
          <w:lang w:val="en-GB"/>
        </w:rPr>
        <w:t xml:space="preserve">option </w:t>
      </w:r>
      <w:r w:rsidR="00E87383">
        <w:rPr>
          <w:lang w:val="en-GB"/>
        </w:rPr>
        <w:t xml:space="preserve">and </w:t>
      </w:r>
      <w:r w:rsidRPr="0A8C40EF">
        <w:rPr>
          <w:lang w:val="en-GB"/>
        </w:rPr>
        <w:t xml:space="preserve">has further potential for ammonia cost reduction with lower </w:t>
      </w:r>
      <w:proofErr w:type="spellStart"/>
      <w:r w:rsidRPr="0A8C40EF">
        <w:rPr>
          <w:lang w:val="en-GB"/>
        </w:rPr>
        <w:t>electrolyzer</w:t>
      </w:r>
      <w:proofErr w:type="spellEnd"/>
      <w:r w:rsidRPr="0A8C40EF">
        <w:rPr>
          <w:lang w:val="en-GB"/>
        </w:rPr>
        <w:t xml:space="preserve"> and electricity prices. Gasification can also become competitive if the price of biomass is </w:t>
      </w:r>
      <w:r w:rsidR="00B81BA8" w:rsidRPr="0A8C40EF">
        <w:rPr>
          <w:lang w:val="en-GB"/>
        </w:rPr>
        <w:t>low,</w:t>
      </w:r>
      <w:r w:rsidRPr="0A8C40EF">
        <w:rPr>
          <w:lang w:val="en-GB"/>
        </w:rPr>
        <w:t xml:space="preserve"> but the cost of CCS needs to be considered. The TDM </w:t>
      </w:r>
      <w:r>
        <w:t xml:space="preserve">route is </w:t>
      </w:r>
      <w:r w:rsidR="00793108">
        <w:t>not</w:t>
      </w:r>
      <w:r>
        <w:t xml:space="preserve"> suited for </w:t>
      </w:r>
      <w:r w:rsidR="00793108">
        <w:t>low</w:t>
      </w:r>
      <w:r>
        <w:t xml:space="preserve"> scale due to the large CAPEX contribution.</w:t>
      </w:r>
      <w:r w:rsidR="1BCF2E94">
        <w:t xml:space="preserve"> </w:t>
      </w:r>
      <w:r w:rsidR="5F0136E4">
        <w:t>Data collection</w:t>
      </w:r>
      <w:r w:rsidR="00763D8E">
        <w:t xml:space="preserve"> for the SE</w:t>
      </w:r>
      <w:r w:rsidR="1BCF2E94">
        <w:t xml:space="preserve"> remains a </w:t>
      </w:r>
      <w:r w:rsidR="5F0136E4">
        <w:t>time-consuming</w:t>
      </w:r>
      <w:r w:rsidR="1BCF2E94">
        <w:t xml:space="preserve"> step.</w:t>
      </w:r>
      <w:r w:rsidR="394F567B" w:rsidRPr="2D77F27B">
        <w:rPr>
          <w:lang w:val="en-GB"/>
        </w:rPr>
        <w:t xml:space="preserve"> Linearization techniques such as big M and piecewise linear </w:t>
      </w:r>
      <w:r w:rsidR="3D38ACB5" w:rsidRPr="2D77F27B">
        <w:rPr>
          <w:lang w:val="en-GB"/>
        </w:rPr>
        <w:t>are useful to</w:t>
      </w:r>
      <w:r w:rsidR="394F567B" w:rsidRPr="2D77F27B">
        <w:rPr>
          <w:lang w:val="en-GB"/>
        </w:rPr>
        <w:t xml:space="preserve"> avoid nonlinearities</w:t>
      </w:r>
      <w:r w:rsidR="3D38ACB5" w:rsidRPr="2D77F27B">
        <w:rPr>
          <w:lang w:val="en-GB"/>
        </w:rPr>
        <w:t xml:space="preserve"> and </w:t>
      </w:r>
      <w:r w:rsidR="00077D9C">
        <w:rPr>
          <w:lang w:val="en-GB"/>
        </w:rPr>
        <w:t>reduce</w:t>
      </w:r>
      <w:r w:rsidR="3D38ACB5" w:rsidRPr="2D77F27B">
        <w:rPr>
          <w:lang w:val="en-GB"/>
        </w:rPr>
        <w:t xml:space="preserve"> problem complexity</w:t>
      </w:r>
      <w:r w:rsidR="394F567B" w:rsidRPr="2D77F27B">
        <w:rPr>
          <w:lang w:val="en-GB"/>
        </w:rPr>
        <w:t>.</w:t>
      </w:r>
    </w:p>
    <w:p w14:paraId="1646ECF7" w14:textId="197AAA48" w:rsidR="001255F9" w:rsidRDefault="002B3251" w:rsidP="0016303C">
      <w:pPr>
        <w:pStyle w:val="Els-body-text"/>
        <w:rPr>
          <w:lang w:val="en-GB"/>
        </w:rPr>
      </w:pPr>
      <w:r>
        <w:rPr>
          <w:lang w:val="en-GB"/>
        </w:rPr>
        <w:t>F</w:t>
      </w:r>
      <w:r w:rsidRPr="002B3251">
        <w:rPr>
          <w:lang w:val="en-GB"/>
        </w:rPr>
        <w:t xml:space="preserve">uture work </w:t>
      </w:r>
      <w:r w:rsidR="00793108">
        <w:rPr>
          <w:lang w:val="en-GB"/>
        </w:rPr>
        <w:t xml:space="preserve">can </w:t>
      </w:r>
      <w:r w:rsidR="00C71CA2">
        <w:rPr>
          <w:lang w:val="en-GB"/>
        </w:rPr>
        <w:t>consider</w:t>
      </w:r>
      <w:r>
        <w:rPr>
          <w:lang w:val="en-GB"/>
        </w:rPr>
        <w:t xml:space="preserve"> </w:t>
      </w:r>
      <w:r w:rsidRPr="002B3251">
        <w:rPr>
          <w:lang w:val="en-GB"/>
        </w:rPr>
        <w:t xml:space="preserve">the impact in ammonia price of </w:t>
      </w:r>
      <w:proofErr w:type="spellStart"/>
      <w:r w:rsidRPr="002B3251">
        <w:rPr>
          <w:lang w:val="en-GB"/>
        </w:rPr>
        <w:t>byproduct</w:t>
      </w:r>
      <w:proofErr w:type="spellEnd"/>
      <w:r w:rsidRPr="002B3251">
        <w:rPr>
          <w:lang w:val="en-GB"/>
        </w:rPr>
        <w:t xml:space="preserve"> </w:t>
      </w:r>
      <w:proofErr w:type="spellStart"/>
      <w:r w:rsidR="00B81BA8" w:rsidRPr="002B3251">
        <w:rPr>
          <w:lang w:val="en-GB"/>
        </w:rPr>
        <w:t>valori</w:t>
      </w:r>
      <w:r w:rsidR="00B81BA8">
        <w:rPr>
          <w:lang w:val="en-GB"/>
        </w:rPr>
        <w:t>z</w:t>
      </w:r>
      <w:r w:rsidR="00B81BA8" w:rsidRPr="002B3251">
        <w:rPr>
          <w:lang w:val="en-GB"/>
        </w:rPr>
        <w:t>ation</w:t>
      </w:r>
      <w:proofErr w:type="spellEnd"/>
      <w:r w:rsidR="0016303C">
        <w:rPr>
          <w:lang w:val="en-GB"/>
        </w:rPr>
        <w:t xml:space="preserve"> (O</w:t>
      </w:r>
      <w:r w:rsidR="0016303C" w:rsidRPr="0016303C">
        <w:rPr>
          <w:vertAlign w:val="subscript"/>
          <w:lang w:val="en-GB"/>
        </w:rPr>
        <w:t>2</w:t>
      </w:r>
      <w:r w:rsidR="0016303C">
        <w:rPr>
          <w:lang w:val="en-GB"/>
        </w:rPr>
        <w:t xml:space="preserve">, </w:t>
      </w:r>
      <w:r w:rsidR="00783288">
        <w:rPr>
          <w:lang w:val="en-GB"/>
        </w:rPr>
        <w:t>carbon black</w:t>
      </w:r>
      <w:r w:rsidR="0016303C">
        <w:rPr>
          <w:lang w:val="en-GB"/>
        </w:rPr>
        <w:t xml:space="preserve">, waste). </w:t>
      </w:r>
      <w:r w:rsidRPr="002B3251">
        <w:rPr>
          <w:lang w:val="en-GB"/>
        </w:rPr>
        <w:t xml:space="preserve">Address the intermittency of RES by including a time index and include the cost of ammonia storage. Downstream processing of ammonia into further </w:t>
      </w:r>
      <w:r w:rsidR="0016303C">
        <w:rPr>
          <w:lang w:val="en-GB"/>
        </w:rPr>
        <w:t xml:space="preserve">value-added </w:t>
      </w:r>
      <w:r w:rsidRPr="002B3251">
        <w:rPr>
          <w:lang w:val="en-GB"/>
        </w:rPr>
        <w:t>products such as H</w:t>
      </w:r>
      <w:r w:rsidRPr="002B3251">
        <w:rPr>
          <w:vertAlign w:val="subscript"/>
          <w:lang w:val="en-GB"/>
        </w:rPr>
        <w:t>2</w:t>
      </w:r>
      <w:r w:rsidRPr="002B3251">
        <w:rPr>
          <w:lang w:val="en-GB"/>
        </w:rPr>
        <w:t xml:space="preserve"> (from NH</w:t>
      </w:r>
      <w:r w:rsidRPr="002B3251">
        <w:rPr>
          <w:vertAlign w:val="subscript"/>
          <w:lang w:val="en-GB"/>
        </w:rPr>
        <w:t>3</w:t>
      </w:r>
      <w:r w:rsidRPr="002B3251">
        <w:rPr>
          <w:lang w:val="en-GB"/>
        </w:rPr>
        <w:t xml:space="preserve"> </w:t>
      </w:r>
      <w:r w:rsidR="00B81BA8" w:rsidRPr="002B3251">
        <w:rPr>
          <w:lang w:val="en-GB"/>
        </w:rPr>
        <w:t>crac</w:t>
      </w:r>
      <w:r w:rsidR="00B81BA8">
        <w:rPr>
          <w:lang w:val="en-GB"/>
        </w:rPr>
        <w:t>king</w:t>
      </w:r>
      <w:r w:rsidRPr="002B3251">
        <w:rPr>
          <w:lang w:val="en-GB"/>
        </w:rPr>
        <w:t>)</w:t>
      </w:r>
      <w:r w:rsidR="0016303C">
        <w:rPr>
          <w:lang w:val="en-GB"/>
        </w:rPr>
        <w:t xml:space="preserve">, </w:t>
      </w:r>
      <w:r w:rsidRPr="002B3251">
        <w:rPr>
          <w:lang w:val="en-GB"/>
        </w:rPr>
        <w:t xml:space="preserve">electricity (from a fuel cell) </w:t>
      </w:r>
      <w:r w:rsidR="0016303C">
        <w:rPr>
          <w:lang w:val="en-GB"/>
        </w:rPr>
        <w:t>and fertilizers</w:t>
      </w:r>
      <w:r w:rsidRPr="002B3251">
        <w:rPr>
          <w:lang w:val="en-GB"/>
        </w:rPr>
        <w:t>.</w:t>
      </w:r>
    </w:p>
    <w:p w14:paraId="144DE6BF" w14:textId="608D0AD6" w:rsidR="008D2649" w:rsidRDefault="008D2649" w:rsidP="008D2649">
      <w:pPr>
        <w:pStyle w:val="Els-reference-head"/>
      </w:pPr>
      <w:r>
        <w:t>References</w:t>
      </w:r>
    </w:p>
    <w:p w14:paraId="1C64DE5F" w14:textId="77777777" w:rsidR="005179FE" w:rsidRDefault="005179FE" w:rsidP="00A528C6">
      <w:pPr>
        <w:pStyle w:val="EndNoteBibliography"/>
        <w:ind w:left="720" w:hanging="720"/>
        <w:jc w:val="both"/>
        <w:rPr>
          <w:szCs w:val="18"/>
        </w:rPr>
      </w:pPr>
      <w:r>
        <w:rPr>
          <w:szCs w:val="18"/>
        </w:rPr>
        <w:t xml:space="preserve">G. </w:t>
      </w:r>
      <w:r w:rsidRPr="005831F9">
        <w:rPr>
          <w:szCs w:val="18"/>
        </w:rPr>
        <w:t>Jeerh,</w:t>
      </w:r>
      <w:r>
        <w:rPr>
          <w:szCs w:val="18"/>
        </w:rPr>
        <w:t xml:space="preserve"> M.</w:t>
      </w:r>
      <w:r w:rsidRPr="005831F9">
        <w:rPr>
          <w:szCs w:val="18"/>
        </w:rPr>
        <w:t xml:space="preserve"> Zhang, </w:t>
      </w:r>
      <w:r>
        <w:rPr>
          <w:szCs w:val="18"/>
        </w:rPr>
        <w:t>S.</w:t>
      </w:r>
      <w:r w:rsidRPr="005831F9">
        <w:rPr>
          <w:szCs w:val="18"/>
        </w:rPr>
        <w:t xml:space="preserve"> Tao,</w:t>
      </w:r>
      <w:r>
        <w:rPr>
          <w:szCs w:val="18"/>
        </w:rPr>
        <w:t xml:space="preserve"> 2021. </w:t>
      </w:r>
      <w:r w:rsidRPr="005831F9">
        <w:rPr>
          <w:szCs w:val="18"/>
        </w:rPr>
        <w:t>Recent progress in ammonia fuel cells and their potential applications. Journal of Materials Chemistry A</w:t>
      </w:r>
      <w:r>
        <w:rPr>
          <w:szCs w:val="18"/>
        </w:rPr>
        <w:t xml:space="preserve">, </w:t>
      </w:r>
      <w:r w:rsidRPr="005831F9">
        <w:rPr>
          <w:szCs w:val="18"/>
        </w:rPr>
        <w:t>9, 727-752.</w:t>
      </w:r>
    </w:p>
    <w:p w14:paraId="64B39589" w14:textId="77777777" w:rsidR="005179FE" w:rsidRPr="00E756BB" w:rsidRDefault="005179FE" w:rsidP="00A528C6">
      <w:pPr>
        <w:pStyle w:val="EndNoteBibliography"/>
        <w:ind w:left="720" w:hanging="720"/>
        <w:jc w:val="both"/>
        <w:rPr>
          <w:szCs w:val="18"/>
        </w:rPr>
      </w:pPr>
      <w:r>
        <w:rPr>
          <w:szCs w:val="18"/>
        </w:rPr>
        <w:t xml:space="preserve">H. </w:t>
      </w:r>
      <w:r w:rsidRPr="00CD6223">
        <w:rPr>
          <w:szCs w:val="18"/>
        </w:rPr>
        <w:t>Kobayashi,</w:t>
      </w:r>
      <w:r>
        <w:rPr>
          <w:szCs w:val="18"/>
        </w:rPr>
        <w:t xml:space="preserve"> A. </w:t>
      </w:r>
      <w:r w:rsidRPr="00CD6223">
        <w:rPr>
          <w:szCs w:val="18"/>
        </w:rPr>
        <w:t>Hayakawa, K. D. K</w:t>
      </w:r>
      <w:r>
        <w:rPr>
          <w:szCs w:val="18"/>
        </w:rPr>
        <w:t xml:space="preserve">. </w:t>
      </w:r>
      <w:r w:rsidRPr="00CD6223">
        <w:rPr>
          <w:szCs w:val="18"/>
        </w:rPr>
        <w:t>A</w:t>
      </w:r>
      <w:r>
        <w:rPr>
          <w:szCs w:val="18"/>
        </w:rPr>
        <w:t xml:space="preserve">. </w:t>
      </w:r>
      <w:r w:rsidRPr="00CD6223">
        <w:rPr>
          <w:szCs w:val="18"/>
        </w:rPr>
        <w:t>Somarathne</w:t>
      </w:r>
      <w:r>
        <w:rPr>
          <w:szCs w:val="18"/>
        </w:rPr>
        <w:t>,</w:t>
      </w:r>
      <w:r w:rsidRPr="00CD6223">
        <w:rPr>
          <w:szCs w:val="18"/>
        </w:rPr>
        <w:t xml:space="preserve"> </w:t>
      </w:r>
      <w:r>
        <w:rPr>
          <w:szCs w:val="18"/>
        </w:rPr>
        <w:t>E. C</w:t>
      </w:r>
      <w:r w:rsidRPr="00CD6223">
        <w:rPr>
          <w:szCs w:val="18"/>
        </w:rPr>
        <w:t xml:space="preserve"> Okafor, </w:t>
      </w:r>
      <w:r>
        <w:rPr>
          <w:szCs w:val="18"/>
        </w:rPr>
        <w:t>2019</w:t>
      </w:r>
      <w:r w:rsidRPr="00CD6223">
        <w:rPr>
          <w:szCs w:val="18"/>
        </w:rPr>
        <w:t>. Science and technology of ammonia combustion. Proceedings of the Combustion Institute</w:t>
      </w:r>
      <w:r>
        <w:rPr>
          <w:szCs w:val="18"/>
        </w:rPr>
        <w:t>,</w:t>
      </w:r>
      <w:r w:rsidRPr="00CD6223">
        <w:rPr>
          <w:szCs w:val="18"/>
        </w:rPr>
        <w:t xml:space="preserve"> 37, 109-133.</w:t>
      </w:r>
    </w:p>
    <w:p w14:paraId="587C9D5B" w14:textId="77777777" w:rsidR="005179FE" w:rsidRDefault="005179FE" w:rsidP="00A528C6">
      <w:pPr>
        <w:pStyle w:val="EndNoteBibliography"/>
        <w:ind w:left="720" w:hanging="720"/>
        <w:jc w:val="both"/>
        <w:rPr>
          <w:szCs w:val="18"/>
        </w:rPr>
      </w:pPr>
      <w:r w:rsidRPr="00E756BB">
        <w:rPr>
          <w:szCs w:val="18"/>
        </w:rPr>
        <w:t>J. A.</w:t>
      </w:r>
      <w:r w:rsidRPr="002551DD">
        <w:rPr>
          <w:szCs w:val="18"/>
        </w:rPr>
        <w:t xml:space="preserve"> </w:t>
      </w:r>
      <w:r w:rsidRPr="00E756BB">
        <w:rPr>
          <w:szCs w:val="18"/>
        </w:rPr>
        <w:t>Faria, 2021. Renaissance of ammonia synthesis for sustainable production of energy and fertilizers. Current Opinion in Green and Sustainable Chemistry, 29,</w:t>
      </w:r>
      <w:r>
        <w:rPr>
          <w:szCs w:val="18"/>
        </w:rPr>
        <w:t xml:space="preserve"> </w:t>
      </w:r>
      <w:r w:rsidRPr="00E756BB">
        <w:rPr>
          <w:szCs w:val="18"/>
        </w:rPr>
        <w:t>100466.</w:t>
      </w:r>
    </w:p>
    <w:p w14:paraId="3FAD9E2D" w14:textId="77777777" w:rsidR="005179FE" w:rsidRDefault="005179FE" w:rsidP="006F4C38">
      <w:pPr>
        <w:pStyle w:val="EndNoteBibliography"/>
        <w:ind w:left="720" w:hanging="720"/>
        <w:jc w:val="both"/>
      </w:pPr>
      <w:r>
        <w:t xml:space="preserve">J. </w:t>
      </w:r>
      <w:r w:rsidRPr="00CC0CAD">
        <w:t xml:space="preserve">Osorio, </w:t>
      </w:r>
      <w:r>
        <w:t>K</w:t>
      </w:r>
      <w:r w:rsidRPr="00CC0CAD">
        <w:t>.</w:t>
      </w:r>
      <w:r w:rsidRPr="00CC0CAD">
        <w:rPr>
          <w:i/>
        </w:rPr>
        <w:t xml:space="preserve"> </w:t>
      </w:r>
      <w:r w:rsidRPr="000A6B35">
        <w:rPr>
          <w:iCs/>
        </w:rPr>
        <w:t xml:space="preserve">Van't Veer, </w:t>
      </w:r>
      <w:r>
        <w:rPr>
          <w:iCs/>
        </w:rPr>
        <w:t xml:space="preserve">N. </w:t>
      </w:r>
      <w:r w:rsidRPr="000A6B35">
        <w:rPr>
          <w:iCs/>
        </w:rPr>
        <w:t xml:space="preserve">Long, </w:t>
      </w:r>
      <w:r>
        <w:rPr>
          <w:iCs/>
        </w:rPr>
        <w:t>N.</w:t>
      </w:r>
      <w:r w:rsidRPr="000A6B35">
        <w:rPr>
          <w:iCs/>
        </w:rPr>
        <w:t xml:space="preserve"> Tran, </w:t>
      </w:r>
      <w:r>
        <w:rPr>
          <w:iCs/>
        </w:rPr>
        <w:t xml:space="preserve">L. </w:t>
      </w:r>
      <w:r w:rsidRPr="000A6B35">
        <w:rPr>
          <w:iCs/>
        </w:rPr>
        <w:t xml:space="preserve">Fulcheri, </w:t>
      </w:r>
      <w:r>
        <w:rPr>
          <w:iCs/>
        </w:rPr>
        <w:t xml:space="preserve">B. </w:t>
      </w:r>
      <w:r w:rsidRPr="000A6B35">
        <w:rPr>
          <w:iCs/>
        </w:rPr>
        <w:t>Patil,</w:t>
      </w:r>
      <w:r>
        <w:rPr>
          <w:iCs/>
        </w:rPr>
        <w:t xml:space="preserve">A. </w:t>
      </w:r>
      <w:r w:rsidRPr="000A6B35">
        <w:rPr>
          <w:iCs/>
        </w:rPr>
        <w:t>Bogaerts,</w:t>
      </w:r>
      <w:r>
        <w:rPr>
          <w:iCs/>
        </w:rPr>
        <w:t xml:space="preserve">V. </w:t>
      </w:r>
      <w:r w:rsidRPr="000A6B35">
        <w:rPr>
          <w:iCs/>
        </w:rPr>
        <w:t>Hessel,</w:t>
      </w:r>
      <w:r w:rsidRPr="00CC0CAD">
        <w:t xml:space="preserve"> 2022. Sustainability analysis of methane-to-hydrogen-to-ammonia conversion by integration of high-temperature plasma and non-thermal plasma processes. Energy Conversion and Management, 269, 116095.</w:t>
      </w:r>
    </w:p>
    <w:p w14:paraId="0299F054" w14:textId="77777777" w:rsidR="005179FE" w:rsidRPr="00E756BB" w:rsidRDefault="005179FE" w:rsidP="00A528C6">
      <w:pPr>
        <w:pStyle w:val="EndNoteBibliography"/>
        <w:ind w:left="720" w:hanging="720"/>
        <w:jc w:val="both"/>
        <w:rPr>
          <w:szCs w:val="18"/>
        </w:rPr>
      </w:pPr>
      <w:r w:rsidRPr="00E756BB">
        <w:rPr>
          <w:szCs w:val="18"/>
        </w:rPr>
        <w:t>J. P.</w:t>
      </w:r>
      <w:r>
        <w:rPr>
          <w:szCs w:val="18"/>
        </w:rPr>
        <w:t xml:space="preserve"> </w:t>
      </w:r>
      <w:r w:rsidRPr="00E756BB">
        <w:rPr>
          <w:szCs w:val="18"/>
        </w:rPr>
        <w:t>Vrijenhoef, 2017, Opportunities for small scale ammonia production. Proceedings of the International Fertiliser Society, 801, ISBN 978-0-85310-438-4.</w:t>
      </w:r>
    </w:p>
    <w:p w14:paraId="66A58108" w14:textId="77777777" w:rsidR="005179FE" w:rsidRDefault="005179FE" w:rsidP="00A528C6">
      <w:pPr>
        <w:pStyle w:val="EndNoteBibliography"/>
        <w:ind w:left="720" w:hanging="720"/>
        <w:jc w:val="both"/>
        <w:rPr>
          <w:szCs w:val="18"/>
        </w:rPr>
      </w:pPr>
      <w:r w:rsidRPr="00E756BB">
        <w:rPr>
          <w:szCs w:val="18"/>
        </w:rPr>
        <w:t>K. H. R.</w:t>
      </w:r>
      <w:r>
        <w:rPr>
          <w:szCs w:val="18"/>
        </w:rPr>
        <w:t xml:space="preserve"> </w:t>
      </w:r>
      <w:r w:rsidRPr="00E756BB">
        <w:rPr>
          <w:szCs w:val="18"/>
        </w:rPr>
        <w:t>Rouwenhorst, P. M.</w:t>
      </w:r>
      <w:r>
        <w:rPr>
          <w:szCs w:val="18"/>
        </w:rPr>
        <w:t xml:space="preserve"> </w:t>
      </w:r>
      <w:r w:rsidRPr="00E756BB">
        <w:rPr>
          <w:szCs w:val="18"/>
        </w:rPr>
        <w:t>Krzywda, N. E.</w:t>
      </w:r>
      <w:r>
        <w:rPr>
          <w:szCs w:val="18"/>
        </w:rPr>
        <w:t xml:space="preserve"> </w:t>
      </w:r>
      <w:r w:rsidRPr="00E756BB">
        <w:rPr>
          <w:szCs w:val="18"/>
        </w:rPr>
        <w:t>Benes, G.</w:t>
      </w:r>
      <w:r>
        <w:rPr>
          <w:szCs w:val="18"/>
        </w:rPr>
        <w:t xml:space="preserve"> </w:t>
      </w:r>
      <w:r w:rsidRPr="00E756BB">
        <w:rPr>
          <w:szCs w:val="18"/>
        </w:rPr>
        <w:t>Mul, L.</w:t>
      </w:r>
      <w:r>
        <w:rPr>
          <w:szCs w:val="18"/>
        </w:rPr>
        <w:t xml:space="preserve"> </w:t>
      </w:r>
      <w:r w:rsidRPr="00E756BB">
        <w:rPr>
          <w:szCs w:val="18"/>
        </w:rPr>
        <w:t xml:space="preserve">Lefferts, </w:t>
      </w:r>
      <w:r>
        <w:rPr>
          <w:szCs w:val="18"/>
        </w:rPr>
        <w:t>2020.</w:t>
      </w:r>
      <w:r w:rsidRPr="00E756BB">
        <w:rPr>
          <w:szCs w:val="18"/>
        </w:rPr>
        <w:t>Ammonia, 4. Green Ammonia Production. Ullmann's Encyclopedia of Industrial Chemistry. Wiley-VCH , Wiley Online Library.</w:t>
      </w:r>
    </w:p>
    <w:p w14:paraId="76540ACA" w14:textId="77777777" w:rsidR="005179FE" w:rsidRDefault="005179FE" w:rsidP="00A528C6">
      <w:pPr>
        <w:pStyle w:val="EndNoteBibliography"/>
        <w:ind w:left="720" w:hanging="720"/>
        <w:jc w:val="both"/>
        <w:rPr>
          <w:szCs w:val="18"/>
        </w:rPr>
      </w:pPr>
      <w:r w:rsidRPr="0063754E">
        <w:rPr>
          <w:szCs w:val="18"/>
          <w:lang w:val="nl-NL"/>
        </w:rPr>
        <w:t xml:space="preserve">K. H. R. Rouwenhorst, A. G. J. Van der Ham, L. Lefferts, 2021. </w:t>
      </w:r>
      <w:r w:rsidRPr="00CC0CAD">
        <w:rPr>
          <w:szCs w:val="18"/>
        </w:rPr>
        <w:t>Beyond Haber-Bosch: The renaissance of the Claude process. International Journal of Hydrogen Energy, 46,</w:t>
      </w:r>
      <w:r>
        <w:rPr>
          <w:szCs w:val="18"/>
        </w:rPr>
        <w:t xml:space="preserve"> </w:t>
      </w:r>
      <w:r w:rsidRPr="00CC0CAD">
        <w:rPr>
          <w:szCs w:val="18"/>
        </w:rPr>
        <w:t>41, 21566-21579</w:t>
      </w:r>
    </w:p>
    <w:p w14:paraId="112ED408" w14:textId="77777777" w:rsidR="005179FE" w:rsidRDefault="005179FE" w:rsidP="00AE0F74">
      <w:pPr>
        <w:pStyle w:val="EndNoteBibliography"/>
        <w:ind w:left="720" w:hanging="720"/>
        <w:jc w:val="both"/>
        <w:rPr>
          <w:szCs w:val="18"/>
        </w:rPr>
      </w:pPr>
      <w:r>
        <w:t>L. Mencarelli, Q. Chen, A. Pagot, I.E. Grossmann, 2020. A review on superstructure optimization approaches in process system engineering. Computers &amp; Chemical Engineering, 136, 106808.</w:t>
      </w:r>
    </w:p>
    <w:p w14:paraId="4C88F911" w14:textId="77777777" w:rsidR="005179FE" w:rsidRPr="00E756BB" w:rsidRDefault="005179FE" w:rsidP="00A528C6">
      <w:pPr>
        <w:pStyle w:val="EndNoteBibliography"/>
        <w:ind w:left="720" w:hanging="720"/>
        <w:jc w:val="both"/>
        <w:rPr>
          <w:szCs w:val="18"/>
        </w:rPr>
      </w:pPr>
      <w:r w:rsidRPr="00E756BB">
        <w:rPr>
          <w:szCs w:val="18"/>
        </w:rPr>
        <w:t>M.</w:t>
      </w:r>
      <w:r>
        <w:rPr>
          <w:szCs w:val="18"/>
        </w:rPr>
        <w:t xml:space="preserve"> </w:t>
      </w:r>
      <w:r w:rsidRPr="00E756BB">
        <w:rPr>
          <w:szCs w:val="18"/>
        </w:rPr>
        <w:t xml:space="preserve">Appl </w:t>
      </w:r>
      <w:r>
        <w:rPr>
          <w:szCs w:val="18"/>
        </w:rPr>
        <w:t>,</w:t>
      </w:r>
      <w:r w:rsidRPr="00E756BB">
        <w:rPr>
          <w:szCs w:val="18"/>
        </w:rPr>
        <w:t xml:space="preserve"> 2011. Ammonia, 3. Production Plants. </w:t>
      </w:r>
      <w:r w:rsidRPr="00E756BB">
        <w:rPr>
          <w:iCs/>
          <w:szCs w:val="18"/>
        </w:rPr>
        <w:t>Ullmann's Encyclopedia of Industrial Chemistry</w:t>
      </w:r>
      <w:r w:rsidRPr="00E756BB">
        <w:rPr>
          <w:szCs w:val="18"/>
        </w:rPr>
        <w:t>. Wiley-VCH , Wiley Online Library.</w:t>
      </w:r>
    </w:p>
    <w:p w14:paraId="418E4246" w14:textId="45542FAD" w:rsidR="004F25B8" w:rsidRDefault="005179FE" w:rsidP="004F6BA1">
      <w:pPr>
        <w:pStyle w:val="EndNoteBibliography"/>
        <w:ind w:left="720" w:hanging="720"/>
        <w:jc w:val="both"/>
      </w:pPr>
      <w:r>
        <w:t xml:space="preserve">P. </w:t>
      </w:r>
      <w:r w:rsidRPr="00CC0CAD">
        <w:t>Arora, A. F. A.</w:t>
      </w:r>
      <w:r>
        <w:t xml:space="preserve"> </w:t>
      </w:r>
      <w:r w:rsidRPr="00CC0CAD">
        <w:t xml:space="preserve">Hoadley, </w:t>
      </w:r>
      <w:r>
        <w:t>S.M.</w:t>
      </w:r>
      <w:r w:rsidRPr="00CC0CAD">
        <w:t xml:space="preserve"> Mahajani, </w:t>
      </w:r>
      <w:r>
        <w:t>A.</w:t>
      </w:r>
      <w:r w:rsidRPr="00CC0CAD">
        <w:t xml:space="preserve"> Ganesh, 2016. Small-Scale Ammonia Production from Biomass: A Techno-Enviro-Economic Perspective. Industrial &amp; Engineering Chemistry Research, 55,</w:t>
      </w:r>
      <w:r>
        <w:t xml:space="preserve"> </w:t>
      </w:r>
      <w:r w:rsidRPr="00CC0CAD">
        <w:t>22, 6422-6434.</w:t>
      </w:r>
    </w:p>
    <w:sectPr w:rsidR="004F25B8"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7A15" w14:textId="77777777" w:rsidR="00C943C4" w:rsidRDefault="00C943C4">
      <w:r>
        <w:separator/>
      </w:r>
    </w:p>
  </w:endnote>
  <w:endnote w:type="continuationSeparator" w:id="0">
    <w:p w14:paraId="4C2315FF" w14:textId="77777777" w:rsidR="00C943C4" w:rsidRDefault="00C9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CB953" w14:textId="77777777" w:rsidR="00C943C4" w:rsidRDefault="00C943C4">
      <w:r>
        <w:separator/>
      </w:r>
    </w:p>
  </w:footnote>
  <w:footnote w:type="continuationSeparator" w:id="0">
    <w:p w14:paraId="1057DCE2" w14:textId="77777777" w:rsidR="00C943C4" w:rsidRDefault="00C9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2296055" w:rsidR="00DD3D9E" w:rsidRDefault="00DD3D9E">
    <w:pPr>
      <w:pStyle w:val="Intestazione"/>
      <w:tabs>
        <w:tab w:val="clear" w:pos="7200"/>
        <w:tab w:val="right" w:pos="7088"/>
      </w:tabs>
    </w:pPr>
    <w:r>
      <w:rPr>
        <w:rStyle w:val="Numeropagina"/>
      </w:rPr>
      <w:tab/>
    </w:r>
    <w:r>
      <w:rPr>
        <w:rStyle w:val="Numeropagina"/>
        <w:i/>
      </w:rPr>
      <w:tab/>
    </w:r>
    <w:r w:rsidR="001D161D">
      <w:rPr>
        <w:rStyle w:val="Numeropagina"/>
        <w:i/>
      </w:rPr>
      <w:t>A. Martinez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72E3299" w:rsidR="00DD3D9E" w:rsidRDefault="009319E8">
    <w:pPr>
      <w:pStyle w:val="Intestazione"/>
      <w:tabs>
        <w:tab w:val="clear" w:pos="7200"/>
        <w:tab w:val="right" w:pos="7088"/>
      </w:tabs>
      <w:jc w:val="right"/>
      <w:rPr>
        <w:sz w:val="24"/>
      </w:rPr>
    </w:pPr>
    <w:r>
      <w:rPr>
        <w:i/>
      </w:rPr>
      <w:t>Small</w:t>
    </w:r>
    <w:r w:rsidR="006D1B42">
      <w:rPr>
        <w:i/>
      </w:rPr>
      <w:t>-</w:t>
    </w:r>
    <w:r>
      <w:rPr>
        <w:i/>
      </w:rPr>
      <w:t>scale ammonia production: a superstructure approach.</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DB2D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C1B1856"/>
    <w:multiLevelType w:val="hybridMultilevel"/>
    <w:tmpl w:val="8A7E6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9B95926"/>
    <w:multiLevelType w:val="hybridMultilevel"/>
    <w:tmpl w:val="6B0C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623604D4"/>
    <w:multiLevelType w:val="hybridMultilevel"/>
    <w:tmpl w:val="E284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A3A40"/>
    <w:multiLevelType w:val="hybridMultilevel"/>
    <w:tmpl w:val="3F3E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1"/>
  </w:num>
  <w:num w:numId="6">
    <w:abstractNumId w:val="8"/>
  </w:num>
  <w:num w:numId="7">
    <w:abstractNumId w:val="15"/>
  </w:num>
  <w:num w:numId="8">
    <w:abstractNumId w:val="3"/>
  </w:num>
  <w:num w:numId="9">
    <w:abstractNumId w:val="13"/>
  </w:num>
  <w:num w:numId="10">
    <w:abstractNumId w:val="19"/>
  </w:num>
  <w:num w:numId="11">
    <w:abstractNumId w:val="18"/>
  </w:num>
  <w:num w:numId="12">
    <w:abstractNumId w:val="7"/>
  </w:num>
  <w:num w:numId="13">
    <w:abstractNumId w:val="11"/>
  </w:num>
  <w:num w:numId="14">
    <w:abstractNumId w:val="4"/>
  </w:num>
  <w:num w:numId="15">
    <w:abstractNumId w:val="10"/>
  </w:num>
  <w:num w:numId="16">
    <w:abstractNumId w:val="5"/>
  </w:num>
  <w:num w:numId="17">
    <w:abstractNumId w:val="6"/>
  </w:num>
  <w:num w:numId="18">
    <w:abstractNumId w:val="12"/>
  </w:num>
  <w:num w:numId="19">
    <w:abstractNumId w:val="9"/>
  </w:num>
  <w:num w:numId="20">
    <w:abstractNumId w:val="16"/>
  </w:num>
  <w:num w:numId="21">
    <w:abstractNumId w:val="17"/>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SCAPE CACE&lt;/Style&gt;&lt;LeftDelim&gt;{&lt;/LeftDelim&gt;&lt;RightDelim&gt;}&lt;/RightDelim&gt;&lt;FontName&gt;Times New Roman&lt;/FontName&gt;&lt;FontSize&gt;9&lt;/FontSize&gt;&lt;ReflistTitle&gt;&lt;/ReflistTitle&gt;&lt;StartingRefnum&gt;1&lt;/StartingRefnum&gt;&lt;FirstLineIndent&gt;0&lt;/FirstLineIndent&gt;&lt;HangingIndent&gt;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2s9tv0vvxrrzherve3vw2fkf59defpap502&quot;&gt;Escape paper&lt;record-ids&gt;&lt;item&gt;23&lt;/item&gt;&lt;/record-ids&gt;&lt;/item&gt;&lt;/Libraries&gt;"/>
  </w:docVars>
  <w:rsids>
    <w:rsidRoot w:val="00B63237"/>
    <w:rsid w:val="00003A51"/>
    <w:rsid w:val="00005954"/>
    <w:rsid w:val="000103B2"/>
    <w:rsid w:val="0002301F"/>
    <w:rsid w:val="00034445"/>
    <w:rsid w:val="00036533"/>
    <w:rsid w:val="000422C5"/>
    <w:rsid w:val="0006791D"/>
    <w:rsid w:val="00077D9C"/>
    <w:rsid w:val="00077E5A"/>
    <w:rsid w:val="00080AFD"/>
    <w:rsid w:val="000A20CB"/>
    <w:rsid w:val="000A4EE5"/>
    <w:rsid w:val="000A6B35"/>
    <w:rsid w:val="000B0186"/>
    <w:rsid w:val="000B08A2"/>
    <w:rsid w:val="000B427E"/>
    <w:rsid w:val="000B5ED4"/>
    <w:rsid w:val="000D3D9B"/>
    <w:rsid w:val="000D684D"/>
    <w:rsid w:val="000E15CE"/>
    <w:rsid w:val="000E1AF7"/>
    <w:rsid w:val="000E289B"/>
    <w:rsid w:val="000F18B2"/>
    <w:rsid w:val="000F19F3"/>
    <w:rsid w:val="000F42B1"/>
    <w:rsid w:val="00106510"/>
    <w:rsid w:val="00117F17"/>
    <w:rsid w:val="001255F9"/>
    <w:rsid w:val="00125822"/>
    <w:rsid w:val="001366DC"/>
    <w:rsid w:val="00145030"/>
    <w:rsid w:val="00150D9C"/>
    <w:rsid w:val="00153646"/>
    <w:rsid w:val="00155415"/>
    <w:rsid w:val="00157A85"/>
    <w:rsid w:val="0016032F"/>
    <w:rsid w:val="0016303C"/>
    <w:rsid w:val="001666AA"/>
    <w:rsid w:val="001879F6"/>
    <w:rsid w:val="00194DB7"/>
    <w:rsid w:val="00196498"/>
    <w:rsid w:val="001A7B8C"/>
    <w:rsid w:val="001B70C3"/>
    <w:rsid w:val="001C0148"/>
    <w:rsid w:val="001C1BE3"/>
    <w:rsid w:val="001C757E"/>
    <w:rsid w:val="001D161D"/>
    <w:rsid w:val="001D3CD8"/>
    <w:rsid w:val="001D689C"/>
    <w:rsid w:val="001F28AA"/>
    <w:rsid w:val="00200F11"/>
    <w:rsid w:val="0020390F"/>
    <w:rsid w:val="002155AD"/>
    <w:rsid w:val="00223478"/>
    <w:rsid w:val="00227644"/>
    <w:rsid w:val="00230B6E"/>
    <w:rsid w:val="0023170C"/>
    <w:rsid w:val="00245570"/>
    <w:rsid w:val="002551DD"/>
    <w:rsid w:val="00264926"/>
    <w:rsid w:val="002670B8"/>
    <w:rsid w:val="00290AD1"/>
    <w:rsid w:val="00294368"/>
    <w:rsid w:val="002A25B5"/>
    <w:rsid w:val="002B3251"/>
    <w:rsid w:val="002B42AA"/>
    <w:rsid w:val="002E16F0"/>
    <w:rsid w:val="002E36FC"/>
    <w:rsid w:val="002F0F04"/>
    <w:rsid w:val="003206B0"/>
    <w:rsid w:val="00364FFB"/>
    <w:rsid w:val="0036592F"/>
    <w:rsid w:val="00375850"/>
    <w:rsid w:val="00375A40"/>
    <w:rsid w:val="00381BF4"/>
    <w:rsid w:val="00397EF4"/>
    <w:rsid w:val="003A31E8"/>
    <w:rsid w:val="003A3D3E"/>
    <w:rsid w:val="003D1582"/>
    <w:rsid w:val="003D3D12"/>
    <w:rsid w:val="003D609E"/>
    <w:rsid w:val="003D7E4C"/>
    <w:rsid w:val="003E41C2"/>
    <w:rsid w:val="003F4F90"/>
    <w:rsid w:val="003F50E9"/>
    <w:rsid w:val="003F55C5"/>
    <w:rsid w:val="003F56F3"/>
    <w:rsid w:val="00413A00"/>
    <w:rsid w:val="00414422"/>
    <w:rsid w:val="00422045"/>
    <w:rsid w:val="004302EB"/>
    <w:rsid w:val="004319AC"/>
    <w:rsid w:val="00434DCE"/>
    <w:rsid w:val="00450A9D"/>
    <w:rsid w:val="004521D9"/>
    <w:rsid w:val="0045235D"/>
    <w:rsid w:val="00453060"/>
    <w:rsid w:val="00462395"/>
    <w:rsid w:val="00487EB0"/>
    <w:rsid w:val="0049772C"/>
    <w:rsid w:val="004A0C26"/>
    <w:rsid w:val="004A1B70"/>
    <w:rsid w:val="004A415B"/>
    <w:rsid w:val="004A5984"/>
    <w:rsid w:val="004B64FC"/>
    <w:rsid w:val="004D00C7"/>
    <w:rsid w:val="004D354C"/>
    <w:rsid w:val="004E1ACB"/>
    <w:rsid w:val="004F2400"/>
    <w:rsid w:val="004F25B8"/>
    <w:rsid w:val="004F31F6"/>
    <w:rsid w:val="004F4C78"/>
    <w:rsid w:val="004F6BA1"/>
    <w:rsid w:val="004F7FFE"/>
    <w:rsid w:val="005179FE"/>
    <w:rsid w:val="00521766"/>
    <w:rsid w:val="00521B17"/>
    <w:rsid w:val="00523006"/>
    <w:rsid w:val="005259B0"/>
    <w:rsid w:val="00537316"/>
    <w:rsid w:val="00537402"/>
    <w:rsid w:val="005413E9"/>
    <w:rsid w:val="005477C5"/>
    <w:rsid w:val="0055136B"/>
    <w:rsid w:val="00551C90"/>
    <w:rsid w:val="00552EEB"/>
    <w:rsid w:val="005670A9"/>
    <w:rsid w:val="005831F9"/>
    <w:rsid w:val="0058321F"/>
    <w:rsid w:val="0058496A"/>
    <w:rsid w:val="00585BA5"/>
    <w:rsid w:val="005A5FBD"/>
    <w:rsid w:val="005D1A78"/>
    <w:rsid w:val="005E1E25"/>
    <w:rsid w:val="005E4D54"/>
    <w:rsid w:val="005F25D2"/>
    <w:rsid w:val="005F3AE4"/>
    <w:rsid w:val="00604633"/>
    <w:rsid w:val="00604721"/>
    <w:rsid w:val="00620D81"/>
    <w:rsid w:val="00626C47"/>
    <w:rsid w:val="006276BF"/>
    <w:rsid w:val="00634D11"/>
    <w:rsid w:val="0063754E"/>
    <w:rsid w:val="006377AB"/>
    <w:rsid w:val="006450D5"/>
    <w:rsid w:val="00656621"/>
    <w:rsid w:val="00660215"/>
    <w:rsid w:val="00680D16"/>
    <w:rsid w:val="006A1FA0"/>
    <w:rsid w:val="006A69BF"/>
    <w:rsid w:val="006B358C"/>
    <w:rsid w:val="006B64B5"/>
    <w:rsid w:val="006C3775"/>
    <w:rsid w:val="006D09ED"/>
    <w:rsid w:val="006D1B42"/>
    <w:rsid w:val="006D24A2"/>
    <w:rsid w:val="006E290E"/>
    <w:rsid w:val="006E5AA2"/>
    <w:rsid w:val="006F038A"/>
    <w:rsid w:val="006F4C38"/>
    <w:rsid w:val="00701229"/>
    <w:rsid w:val="00706134"/>
    <w:rsid w:val="00711DF4"/>
    <w:rsid w:val="007147EF"/>
    <w:rsid w:val="007217C8"/>
    <w:rsid w:val="0072283C"/>
    <w:rsid w:val="00722F78"/>
    <w:rsid w:val="00731E8B"/>
    <w:rsid w:val="0074185A"/>
    <w:rsid w:val="00763D8E"/>
    <w:rsid w:val="00763FBD"/>
    <w:rsid w:val="0076694D"/>
    <w:rsid w:val="007755A7"/>
    <w:rsid w:val="0078001A"/>
    <w:rsid w:val="00783288"/>
    <w:rsid w:val="007915AD"/>
    <w:rsid w:val="00793108"/>
    <w:rsid w:val="00793278"/>
    <w:rsid w:val="007A3264"/>
    <w:rsid w:val="007B1D4E"/>
    <w:rsid w:val="007C2456"/>
    <w:rsid w:val="007C2A21"/>
    <w:rsid w:val="007D2426"/>
    <w:rsid w:val="007D3A9B"/>
    <w:rsid w:val="007D70A1"/>
    <w:rsid w:val="007E22B2"/>
    <w:rsid w:val="007E37D8"/>
    <w:rsid w:val="007F05B0"/>
    <w:rsid w:val="00800496"/>
    <w:rsid w:val="008021FF"/>
    <w:rsid w:val="00802CF5"/>
    <w:rsid w:val="00807846"/>
    <w:rsid w:val="00812D9C"/>
    <w:rsid w:val="008132E8"/>
    <w:rsid w:val="00823407"/>
    <w:rsid w:val="008253B1"/>
    <w:rsid w:val="00835109"/>
    <w:rsid w:val="00843055"/>
    <w:rsid w:val="00844AC9"/>
    <w:rsid w:val="00852764"/>
    <w:rsid w:val="00861E25"/>
    <w:rsid w:val="00887551"/>
    <w:rsid w:val="008959CA"/>
    <w:rsid w:val="00896936"/>
    <w:rsid w:val="008A70EE"/>
    <w:rsid w:val="008B0184"/>
    <w:rsid w:val="008C5D02"/>
    <w:rsid w:val="008C78C9"/>
    <w:rsid w:val="008D2649"/>
    <w:rsid w:val="008D71C6"/>
    <w:rsid w:val="008E10A6"/>
    <w:rsid w:val="008E7FCB"/>
    <w:rsid w:val="008F1B4B"/>
    <w:rsid w:val="008F2778"/>
    <w:rsid w:val="008F29FD"/>
    <w:rsid w:val="008F4347"/>
    <w:rsid w:val="008F7644"/>
    <w:rsid w:val="009018A4"/>
    <w:rsid w:val="0090568D"/>
    <w:rsid w:val="00911BA2"/>
    <w:rsid w:val="009125C9"/>
    <w:rsid w:val="00912B45"/>
    <w:rsid w:val="00913879"/>
    <w:rsid w:val="00917661"/>
    <w:rsid w:val="00923D13"/>
    <w:rsid w:val="00926976"/>
    <w:rsid w:val="009319E8"/>
    <w:rsid w:val="009415C0"/>
    <w:rsid w:val="00943885"/>
    <w:rsid w:val="00947A61"/>
    <w:rsid w:val="00950129"/>
    <w:rsid w:val="00954C25"/>
    <w:rsid w:val="00967141"/>
    <w:rsid w:val="00970B19"/>
    <w:rsid w:val="00970E5D"/>
    <w:rsid w:val="00975819"/>
    <w:rsid w:val="00975CAE"/>
    <w:rsid w:val="0097701C"/>
    <w:rsid w:val="00980A65"/>
    <w:rsid w:val="0098773E"/>
    <w:rsid w:val="00990AF3"/>
    <w:rsid w:val="009D02E5"/>
    <w:rsid w:val="009E0CFE"/>
    <w:rsid w:val="009E5958"/>
    <w:rsid w:val="00A11823"/>
    <w:rsid w:val="00A13696"/>
    <w:rsid w:val="00A20EB7"/>
    <w:rsid w:val="00A21A1C"/>
    <w:rsid w:val="00A25E70"/>
    <w:rsid w:val="00A30145"/>
    <w:rsid w:val="00A33765"/>
    <w:rsid w:val="00A45790"/>
    <w:rsid w:val="00A51A69"/>
    <w:rsid w:val="00A528C6"/>
    <w:rsid w:val="00A563B1"/>
    <w:rsid w:val="00A63269"/>
    <w:rsid w:val="00A703B1"/>
    <w:rsid w:val="00A7236C"/>
    <w:rsid w:val="00A7356C"/>
    <w:rsid w:val="00A821C2"/>
    <w:rsid w:val="00A82D64"/>
    <w:rsid w:val="00A85406"/>
    <w:rsid w:val="00A861D3"/>
    <w:rsid w:val="00A92377"/>
    <w:rsid w:val="00A97105"/>
    <w:rsid w:val="00AA2159"/>
    <w:rsid w:val="00AB043B"/>
    <w:rsid w:val="00AB29ED"/>
    <w:rsid w:val="00AB35B3"/>
    <w:rsid w:val="00AC6AC8"/>
    <w:rsid w:val="00AE0F74"/>
    <w:rsid w:val="00AE4BD8"/>
    <w:rsid w:val="00AF5F30"/>
    <w:rsid w:val="00B01720"/>
    <w:rsid w:val="00B0213B"/>
    <w:rsid w:val="00B05EFD"/>
    <w:rsid w:val="00B20AA2"/>
    <w:rsid w:val="00B267B3"/>
    <w:rsid w:val="00B2715C"/>
    <w:rsid w:val="00B2A1F1"/>
    <w:rsid w:val="00B41E1B"/>
    <w:rsid w:val="00B4388F"/>
    <w:rsid w:val="00B51BA7"/>
    <w:rsid w:val="00B63237"/>
    <w:rsid w:val="00B81BA8"/>
    <w:rsid w:val="00B85B1C"/>
    <w:rsid w:val="00B97672"/>
    <w:rsid w:val="00BC1B71"/>
    <w:rsid w:val="00BC23C1"/>
    <w:rsid w:val="00BC2832"/>
    <w:rsid w:val="00BD2E24"/>
    <w:rsid w:val="00BD63F2"/>
    <w:rsid w:val="00BD7067"/>
    <w:rsid w:val="00BD7919"/>
    <w:rsid w:val="00C00DFE"/>
    <w:rsid w:val="00C0308F"/>
    <w:rsid w:val="00C04385"/>
    <w:rsid w:val="00C05C02"/>
    <w:rsid w:val="00C05C2E"/>
    <w:rsid w:val="00C065DC"/>
    <w:rsid w:val="00C12D77"/>
    <w:rsid w:val="00C16F3F"/>
    <w:rsid w:val="00C24473"/>
    <w:rsid w:val="00C24C77"/>
    <w:rsid w:val="00C331AE"/>
    <w:rsid w:val="00C34BFA"/>
    <w:rsid w:val="00C424D3"/>
    <w:rsid w:val="00C4352B"/>
    <w:rsid w:val="00C71CA2"/>
    <w:rsid w:val="00C90D81"/>
    <w:rsid w:val="00C930D7"/>
    <w:rsid w:val="00C943C4"/>
    <w:rsid w:val="00C960DC"/>
    <w:rsid w:val="00CA053F"/>
    <w:rsid w:val="00CA63EE"/>
    <w:rsid w:val="00CC0CAD"/>
    <w:rsid w:val="00CD0A60"/>
    <w:rsid w:val="00CD6223"/>
    <w:rsid w:val="00CE3CBD"/>
    <w:rsid w:val="00CE704A"/>
    <w:rsid w:val="00D0233F"/>
    <w:rsid w:val="00D02C75"/>
    <w:rsid w:val="00D10E22"/>
    <w:rsid w:val="00D12EB3"/>
    <w:rsid w:val="00D13073"/>
    <w:rsid w:val="00D13D2C"/>
    <w:rsid w:val="00D250FA"/>
    <w:rsid w:val="00D276B5"/>
    <w:rsid w:val="00D31F98"/>
    <w:rsid w:val="00D3482C"/>
    <w:rsid w:val="00D46CC8"/>
    <w:rsid w:val="00D50650"/>
    <w:rsid w:val="00D56B46"/>
    <w:rsid w:val="00D66437"/>
    <w:rsid w:val="00D665E3"/>
    <w:rsid w:val="00D67335"/>
    <w:rsid w:val="00D706A0"/>
    <w:rsid w:val="00D77C49"/>
    <w:rsid w:val="00D86B7F"/>
    <w:rsid w:val="00D920D9"/>
    <w:rsid w:val="00D96339"/>
    <w:rsid w:val="00DA1FBB"/>
    <w:rsid w:val="00DA5CEA"/>
    <w:rsid w:val="00DB2F03"/>
    <w:rsid w:val="00DB5D76"/>
    <w:rsid w:val="00DC2F94"/>
    <w:rsid w:val="00DD32E8"/>
    <w:rsid w:val="00DD3D9E"/>
    <w:rsid w:val="00DD7908"/>
    <w:rsid w:val="00DE56B1"/>
    <w:rsid w:val="00DF2023"/>
    <w:rsid w:val="00DF5A17"/>
    <w:rsid w:val="00DF6ACD"/>
    <w:rsid w:val="00E02879"/>
    <w:rsid w:val="00E2514E"/>
    <w:rsid w:val="00E310AD"/>
    <w:rsid w:val="00E352DC"/>
    <w:rsid w:val="00E4521E"/>
    <w:rsid w:val="00E72D18"/>
    <w:rsid w:val="00E756BB"/>
    <w:rsid w:val="00E82297"/>
    <w:rsid w:val="00E831CF"/>
    <w:rsid w:val="00E87383"/>
    <w:rsid w:val="00E91D98"/>
    <w:rsid w:val="00E9302F"/>
    <w:rsid w:val="00EA0561"/>
    <w:rsid w:val="00EA55E3"/>
    <w:rsid w:val="00EA582B"/>
    <w:rsid w:val="00EB09CA"/>
    <w:rsid w:val="00EB25C5"/>
    <w:rsid w:val="00EB49B4"/>
    <w:rsid w:val="00EB6D97"/>
    <w:rsid w:val="00EC2483"/>
    <w:rsid w:val="00ED2CDA"/>
    <w:rsid w:val="00ED2F7B"/>
    <w:rsid w:val="00EE1853"/>
    <w:rsid w:val="00EE3874"/>
    <w:rsid w:val="00EF39FD"/>
    <w:rsid w:val="00EF5CE6"/>
    <w:rsid w:val="00F06842"/>
    <w:rsid w:val="00F107FD"/>
    <w:rsid w:val="00F11A8B"/>
    <w:rsid w:val="00F14E56"/>
    <w:rsid w:val="00F25867"/>
    <w:rsid w:val="00F55700"/>
    <w:rsid w:val="00F635C8"/>
    <w:rsid w:val="00F7546F"/>
    <w:rsid w:val="00F850CB"/>
    <w:rsid w:val="00FA27BC"/>
    <w:rsid w:val="00FA63CB"/>
    <w:rsid w:val="00FB3A84"/>
    <w:rsid w:val="00FB64A8"/>
    <w:rsid w:val="00FD298E"/>
    <w:rsid w:val="00FD43E2"/>
    <w:rsid w:val="00FD679B"/>
    <w:rsid w:val="00FE494D"/>
    <w:rsid w:val="00FF0266"/>
    <w:rsid w:val="01267024"/>
    <w:rsid w:val="0156533E"/>
    <w:rsid w:val="01CEC526"/>
    <w:rsid w:val="02593638"/>
    <w:rsid w:val="0290EFA7"/>
    <w:rsid w:val="03ABD543"/>
    <w:rsid w:val="03DCC291"/>
    <w:rsid w:val="040BB851"/>
    <w:rsid w:val="05417DCD"/>
    <w:rsid w:val="0578933E"/>
    <w:rsid w:val="05D5C790"/>
    <w:rsid w:val="06031148"/>
    <w:rsid w:val="066BB9F6"/>
    <w:rsid w:val="06790A50"/>
    <w:rsid w:val="06CACBDD"/>
    <w:rsid w:val="0875BF2B"/>
    <w:rsid w:val="0925B66C"/>
    <w:rsid w:val="0959977A"/>
    <w:rsid w:val="0A8C40EF"/>
    <w:rsid w:val="0AC25C17"/>
    <w:rsid w:val="0AEC9CA4"/>
    <w:rsid w:val="0D51FC88"/>
    <w:rsid w:val="0E55A7A7"/>
    <w:rsid w:val="0E94A26B"/>
    <w:rsid w:val="0F5463D3"/>
    <w:rsid w:val="0FC92280"/>
    <w:rsid w:val="10456AB6"/>
    <w:rsid w:val="10B4F7ED"/>
    <w:rsid w:val="11181764"/>
    <w:rsid w:val="130359AD"/>
    <w:rsid w:val="1490CDEC"/>
    <w:rsid w:val="14B05EFB"/>
    <w:rsid w:val="1518F996"/>
    <w:rsid w:val="15BC4BB6"/>
    <w:rsid w:val="15E15C74"/>
    <w:rsid w:val="1612BA6F"/>
    <w:rsid w:val="1622EB3D"/>
    <w:rsid w:val="16C05914"/>
    <w:rsid w:val="17720542"/>
    <w:rsid w:val="17E448CB"/>
    <w:rsid w:val="19325337"/>
    <w:rsid w:val="1952FF6D"/>
    <w:rsid w:val="19BE8C99"/>
    <w:rsid w:val="19F8584A"/>
    <w:rsid w:val="1A0703F4"/>
    <w:rsid w:val="1AC5E219"/>
    <w:rsid w:val="1ACC81BF"/>
    <w:rsid w:val="1ADD5E0F"/>
    <w:rsid w:val="1BCF2E94"/>
    <w:rsid w:val="1BE05A8C"/>
    <w:rsid w:val="1C073CC4"/>
    <w:rsid w:val="1C0F658C"/>
    <w:rsid w:val="1CE9B8CC"/>
    <w:rsid w:val="1D42038E"/>
    <w:rsid w:val="1D57A07C"/>
    <w:rsid w:val="1DFD82DB"/>
    <w:rsid w:val="1E933DD1"/>
    <w:rsid w:val="1EBABAEC"/>
    <w:rsid w:val="1EDFBF65"/>
    <w:rsid w:val="1F076C90"/>
    <w:rsid w:val="1FCD0687"/>
    <w:rsid w:val="1FFFA39D"/>
    <w:rsid w:val="204A084B"/>
    <w:rsid w:val="211675A5"/>
    <w:rsid w:val="21703CC3"/>
    <w:rsid w:val="22671A92"/>
    <w:rsid w:val="230D289A"/>
    <w:rsid w:val="241AFB20"/>
    <w:rsid w:val="25608752"/>
    <w:rsid w:val="26AC155D"/>
    <w:rsid w:val="26C13654"/>
    <w:rsid w:val="2720E20E"/>
    <w:rsid w:val="27B155DD"/>
    <w:rsid w:val="28765276"/>
    <w:rsid w:val="28C11F1E"/>
    <w:rsid w:val="29CFCE5B"/>
    <w:rsid w:val="2C05F816"/>
    <w:rsid w:val="2C21556E"/>
    <w:rsid w:val="2C29E03E"/>
    <w:rsid w:val="2C79E88A"/>
    <w:rsid w:val="2D656ACB"/>
    <w:rsid w:val="2D77F27B"/>
    <w:rsid w:val="2FFFF1F9"/>
    <w:rsid w:val="30BE9CB9"/>
    <w:rsid w:val="30C67D7C"/>
    <w:rsid w:val="30EDE409"/>
    <w:rsid w:val="30F5CFED"/>
    <w:rsid w:val="32066569"/>
    <w:rsid w:val="33BD6FCB"/>
    <w:rsid w:val="3422FEB1"/>
    <w:rsid w:val="343290B3"/>
    <w:rsid w:val="3471AD52"/>
    <w:rsid w:val="3490A391"/>
    <w:rsid w:val="34971FE2"/>
    <w:rsid w:val="34A4C5AF"/>
    <w:rsid w:val="34DBF79F"/>
    <w:rsid w:val="34E85CA4"/>
    <w:rsid w:val="358971CA"/>
    <w:rsid w:val="373F462E"/>
    <w:rsid w:val="3778715E"/>
    <w:rsid w:val="38EB250F"/>
    <w:rsid w:val="394F567B"/>
    <w:rsid w:val="399E5DEC"/>
    <w:rsid w:val="39B6BB38"/>
    <w:rsid w:val="39BC7CEB"/>
    <w:rsid w:val="3A13C0D2"/>
    <w:rsid w:val="3AF1108E"/>
    <w:rsid w:val="3B83E443"/>
    <w:rsid w:val="3C149C93"/>
    <w:rsid w:val="3C7CBF37"/>
    <w:rsid w:val="3C83653D"/>
    <w:rsid w:val="3D38ACB5"/>
    <w:rsid w:val="3D417099"/>
    <w:rsid w:val="3D9F538B"/>
    <w:rsid w:val="3E37FC98"/>
    <w:rsid w:val="3E8F6FF4"/>
    <w:rsid w:val="3F3B8B3F"/>
    <w:rsid w:val="3F7F58DB"/>
    <w:rsid w:val="3F8DC76E"/>
    <w:rsid w:val="3FB5ECDF"/>
    <w:rsid w:val="41E702F1"/>
    <w:rsid w:val="41F700D5"/>
    <w:rsid w:val="42DD2174"/>
    <w:rsid w:val="42E3457D"/>
    <w:rsid w:val="431EBA46"/>
    <w:rsid w:val="434B0EB7"/>
    <w:rsid w:val="43DDEC2B"/>
    <w:rsid w:val="453E314B"/>
    <w:rsid w:val="46E911C7"/>
    <w:rsid w:val="470C8AF3"/>
    <w:rsid w:val="47314E42"/>
    <w:rsid w:val="47925147"/>
    <w:rsid w:val="47F13851"/>
    <w:rsid w:val="48EEEBD7"/>
    <w:rsid w:val="4915E2B0"/>
    <w:rsid w:val="49C4A0FB"/>
    <w:rsid w:val="4AD393F0"/>
    <w:rsid w:val="4B58EEE7"/>
    <w:rsid w:val="4C400E28"/>
    <w:rsid w:val="4C6AA228"/>
    <w:rsid w:val="4C715D2F"/>
    <w:rsid w:val="4DB370A5"/>
    <w:rsid w:val="4E4136D2"/>
    <w:rsid w:val="4E490B41"/>
    <w:rsid w:val="4E54A127"/>
    <w:rsid w:val="4E908FA9"/>
    <w:rsid w:val="4ED6ACA1"/>
    <w:rsid w:val="4EFE2055"/>
    <w:rsid w:val="500109E4"/>
    <w:rsid w:val="50636F80"/>
    <w:rsid w:val="5096B20C"/>
    <w:rsid w:val="50D2C054"/>
    <w:rsid w:val="51788355"/>
    <w:rsid w:val="517BDBB0"/>
    <w:rsid w:val="51AF080E"/>
    <w:rsid w:val="51EDDE9E"/>
    <w:rsid w:val="5240EEBA"/>
    <w:rsid w:val="524F730D"/>
    <w:rsid w:val="5286E1C8"/>
    <w:rsid w:val="52B7CF16"/>
    <w:rsid w:val="53488EE0"/>
    <w:rsid w:val="53EB436E"/>
    <w:rsid w:val="54CE4129"/>
    <w:rsid w:val="54ECFBEF"/>
    <w:rsid w:val="55DA1BA1"/>
    <w:rsid w:val="55EA02F1"/>
    <w:rsid w:val="5648781C"/>
    <w:rsid w:val="57A160AA"/>
    <w:rsid w:val="58E44787"/>
    <w:rsid w:val="58F6234C"/>
    <w:rsid w:val="590C893A"/>
    <w:rsid w:val="59165119"/>
    <w:rsid w:val="596ACEA0"/>
    <w:rsid w:val="59F8D539"/>
    <w:rsid w:val="5A231C4C"/>
    <w:rsid w:val="5AD358DB"/>
    <w:rsid w:val="5C6A6162"/>
    <w:rsid w:val="5CB132C5"/>
    <w:rsid w:val="5D8AED21"/>
    <w:rsid w:val="5DF756AF"/>
    <w:rsid w:val="5F0136E4"/>
    <w:rsid w:val="5F129584"/>
    <w:rsid w:val="5F1D7987"/>
    <w:rsid w:val="5F6D5256"/>
    <w:rsid w:val="5FE918A6"/>
    <w:rsid w:val="60E88A97"/>
    <w:rsid w:val="6117DD08"/>
    <w:rsid w:val="62174B5B"/>
    <w:rsid w:val="6339BFD2"/>
    <w:rsid w:val="634884F2"/>
    <w:rsid w:val="643818A6"/>
    <w:rsid w:val="65137089"/>
    <w:rsid w:val="657E1790"/>
    <w:rsid w:val="65844AE5"/>
    <w:rsid w:val="65B6448C"/>
    <w:rsid w:val="65BA6196"/>
    <w:rsid w:val="666E11F5"/>
    <w:rsid w:val="670446A3"/>
    <w:rsid w:val="670A8597"/>
    <w:rsid w:val="683489B1"/>
    <w:rsid w:val="68AFB50B"/>
    <w:rsid w:val="6914349C"/>
    <w:rsid w:val="697CD1CF"/>
    <w:rsid w:val="6AC73A93"/>
    <w:rsid w:val="6C375345"/>
    <w:rsid w:val="6C46A8B4"/>
    <w:rsid w:val="6C58ECE8"/>
    <w:rsid w:val="6CB50A1B"/>
    <w:rsid w:val="6DE27915"/>
    <w:rsid w:val="6F0DDE51"/>
    <w:rsid w:val="6F245AB5"/>
    <w:rsid w:val="6F6381EA"/>
    <w:rsid w:val="705597BB"/>
    <w:rsid w:val="7101EE94"/>
    <w:rsid w:val="71752940"/>
    <w:rsid w:val="7369CCA9"/>
    <w:rsid w:val="738DC3F2"/>
    <w:rsid w:val="744DAB67"/>
    <w:rsid w:val="74862A98"/>
    <w:rsid w:val="75299453"/>
    <w:rsid w:val="759F14AA"/>
    <w:rsid w:val="7613F641"/>
    <w:rsid w:val="76489A63"/>
    <w:rsid w:val="767664A5"/>
    <w:rsid w:val="767DFE34"/>
    <w:rsid w:val="76E48C98"/>
    <w:rsid w:val="7703E104"/>
    <w:rsid w:val="777A682F"/>
    <w:rsid w:val="778D7586"/>
    <w:rsid w:val="77E930D9"/>
    <w:rsid w:val="78378B8D"/>
    <w:rsid w:val="7901034B"/>
    <w:rsid w:val="7AAD116D"/>
    <w:rsid w:val="7B65872D"/>
    <w:rsid w:val="7C297608"/>
    <w:rsid w:val="7C29C0F4"/>
    <w:rsid w:val="7C3130BD"/>
    <w:rsid w:val="7C34BD9E"/>
    <w:rsid w:val="7C3786C2"/>
    <w:rsid w:val="7D691F16"/>
    <w:rsid w:val="7D6B404D"/>
    <w:rsid w:val="7D793CBA"/>
    <w:rsid w:val="7DB6F17E"/>
    <w:rsid w:val="7DB73B10"/>
    <w:rsid w:val="7F095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5F25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C244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uiPriority w:val="99"/>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422045"/>
    <w:rPr>
      <w:color w:val="605E5C"/>
      <w:shd w:val="clear" w:color="auto" w:fill="E1DFDD"/>
    </w:rPr>
  </w:style>
  <w:style w:type="paragraph" w:customStyle="1" w:styleId="EndNoteBibliographyTitle">
    <w:name w:val="EndNote Bibliography Title"/>
    <w:basedOn w:val="Normale"/>
    <w:link w:val="EndNoteBibliographyTitleChar"/>
    <w:rsid w:val="00551C90"/>
    <w:pPr>
      <w:jc w:val="center"/>
    </w:pPr>
    <w:rPr>
      <w:noProof/>
      <w:sz w:val="18"/>
      <w:lang w:val="en-US"/>
    </w:rPr>
  </w:style>
  <w:style w:type="character" w:customStyle="1" w:styleId="Els-body-textChar">
    <w:name w:val="Els-body-text Char"/>
    <w:basedOn w:val="Carpredefinitoparagrafo"/>
    <w:link w:val="Els-body-text"/>
    <w:rsid w:val="00551C90"/>
    <w:rPr>
      <w:lang w:val="en-US" w:eastAsia="en-US"/>
    </w:rPr>
  </w:style>
  <w:style w:type="character" w:customStyle="1" w:styleId="EndNoteBibliographyTitleChar">
    <w:name w:val="EndNote Bibliography Title Char"/>
    <w:basedOn w:val="Els-body-textChar"/>
    <w:link w:val="EndNoteBibliographyTitle"/>
    <w:rsid w:val="00551C90"/>
    <w:rPr>
      <w:noProof/>
      <w:sz w:val="18"/>
      <w:lang w:val="en-US" w:eastAsia="en-US"/>
    </w:rPr>
  </w:style>
  <w:style w:type="paragraph" w:customStyle="1" w:styleId="EndNoteBibliography">
    <w:name w:val="EndNote Bibliography"/>
    <w:basedOn w:val="Normale"/>
    <w:link w:val="EndNoteBibliographyChar"/>
    <w:rsid w:val="00551C90"/>
    <w:rPr>
      <w:noProof/>
      <w:sz w:val="18"/>
      <w:lang w:val="en-US"/>
    </w:rPr>
  </w:style>
  <w:style w:type="character" w:customStyle="1" w:styleId="EndNoteBibliographyChar">
    <w:name w:val="EndNote Bibliography Char"/>
    <w:basedOn w:val="Els-body-textChar"/>
    <w:link w:val="EndNoteBibliography"/>
    <w:rsid w:val="00551C90"/>
    <w:rPr>
      <w:noProof/>
      <w:sz w:val="18"/>
      <w:lang w:val="en-US" w:eastAsia="en-US"/>
    </w:rPr>
  </w:style>
  <w:style w:type="paragraph" w:styleId="Paragrafoelenco">
    <w:name w:val="List Paragraph"/>
    <w:basedOn w:val="Normale"/>
    <w:uiPriority w:val="34"/>
    <w:qFormat/>
    <w:rsid w:val="00C24C77"/>
    <w:pPr>
      <w:ind w:left="720"/>
      <w:contextualSpacing/>
    </w:pPr>
  </w:style>
  <w:style w:type="table" w:styleId="Grigliatabella">
    <w:name w:val="Table Grid"/>
    <w:basedOn w:val="Tabellanormale"/>
    <w:uiPriority w:val="39"/>
    <w:rsid w:val="0000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AF5F30"/>
    <w:rPr>
      <w:color w:val="800080" w:themeColor="followedHyperlink"/>
      <w:u w:val="single"/>
    </w:rPr>
  </w:style>
  <w:style w:type="paragraph" w:customStyle="1" w:styleId="pf0">
    <w:name w:val="pf0"/>
    <w:basedOn w:val="Normale"/>
    <w:rsid w:val="00D31F98"/>
    <w:pPr>
      <w:spacing w:before="100" w:beforeAutospacing="1" w:after="100" w:afterAutospacing="1"/>
    </w:pPr>
    <w:rPr>
      <w:sz w:val="24"/>
      <w:szCs w:val="24"/>
      <w:lang w:val="en-US"/>
    </w:rPr>
  </w:style>
  <w:style w:type="character" w:customStyle="1" w:styleId="cf01">
    <w:name w:val="cf01"/>
    <w:basedOn w:val="Carpredefinitoparagrafo"/>
    <w:rsid w:val="00D31F98"/>
    <w:rPr>
      <w:rFonts w:ascii="Segoe UI" w:hAnsi="Segoe UI" w:cs="Segoe UI" w:hint="default"/>
      <w:sz w:val="18"/>
      <w:szCs w:val="18"/>
    </w:rPr>
  </w:style>
  <w:style w:type="character" w:customStyle="1" w:styleId="Titolo1Carattere">
    <w:name w:val="Titolo 1 Carattere"/>
    <w:basedOn w:val="Carpredefinitoparagrafo"/>
    <w:link w:val="Titolo1"/>
    <w:rsid w:val="005F25D2"/>
    <w:rPr>
      <w:rFonts w:asciiTheme="majorHAnsi" w:eastAsiaTheme="majorEastAsia" w:hAnsiTheme="majorHAnsi" w:cstheme="majorBidi"/>
      <w:color w:val="365F91" w:themeColor="accent1" w:themeShade="BF"/>
      <w:sz w:val="32"/>
      <w:szCs w:val="32"/>
      <w:lang w:eastAsia="en-US"/>
    </w:rPr>
  </w:style>
  <w:style w:type="character" w:customStyle="1" w:styleId="fc1">
    <w:name w:val="fc1"/>
    <w:basedOn w:val="Carpredefinitoparagrafo"/>
    <w:rsid w:val="009018A4"/>
  </w:style>
  <w:style w:type="character" w:customStyle="1" w:styleId="fc0">
    <w:name w:val="fc0"/>
    <w:basedOn w:val="Carpredefinitoparagrafo"/>
    <w:rsid w:val="009018A4"/>
  </w:style>
  <w:style w:type="character" w:customStyle="1" w:styleId="Titolo2Carattere">
    <w:name w:val="Titolo 2 Carattere"/>
    <w:basedOn w:val="Carpredefinitoparagrafo"/>
    <w:link w:val="Titolo2"/>
    <w:semiHidden/>
    <w:rsid w:val="00C24473"/>
    <w:rPr>
      <w:rFonts w:asciiTheme="majorHAnsi" w:eastAsiaTheme="majorEastAsia" w:hAnsiTheme="majorHAnsi" w:cstheme="majorBidi"/>
      <w:color w:val="365F91" w:themeColor="accent1" w:themeShade="BF"/>
      <w:sz w:val="26"/>
      <w:szCs w:val="26"/>
      <w:lang w:eastAsia="en-US"/>
    </w:rPr>
  </w:style>
  <w:style w:type="paragraph" w:styleId="Revisione">
    <w:name w:val="Revision"/>
    <w:hidden/>
    <w:uiPriority w:val="99"/>
    <w:semiHidden/>
    <w:rsid w:val="004F24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758">
      <w:bodyDiv w:val="1"/>
      <w:marLeft w:val="0"/>
      <w:marRight w:val="0"/>
      <w:marTop w:val="0"/>
      <w:marBottom w:val="0"/>
      <w:divBdr>
        <w:top w:val="none" w:sz="0" w:space="0" w:color="auto"/>
        <w:left w:val="none" w:sz="0" w:space="0" w:color="auto"/>
        <w:bottom w:val="none" w:sz="0" w:space="0" w:color="auto"/>
        <w:right w:val="none" w:sz="0" w:space="0" w:color="auto"/>
      </w:divBdr>
    </w:div>
    <w:div w:id="302392253">
      <w:bodyDiv w:val="1"/>
      <w:marLeft w:val="0"/>
      <w:marRight w:val="0"/>
      <w:marTop w:val="0"/>
      <w:marBottom w:val="0"/>
      <w:divBdr>
        <w:top w:val="none" w:sz="0" w:space="0" w:color="auto"/>
        <w:left w:val="none" w:sz="0" w:space="0" w:color="auto"/>
        <w:bottom w:val="none" w:sz="0" w:space="0" w:color="auto"/>
        <w:right w:val="none" w:sz="0" w:space="0" w:color="auto"/>
      </w:divBdr>
    </w:div>
    <w:div w:id="359235457">
      <w:bodyDiv w:val="1"/>
      <w:marLeft w:val="0"/>
      <w:marRight w:val="0"/>
      <w:marTop w:val="0"/>
      <w:marBottom w:val="0"/>
      <w:divBdr>
        <w:top w:val="none" w:sz="0" w:space="0" w:color="auto"/>
        <w:left w:val="none" w:sz="0" w:space="0" w:color="auto"/>
        <w:bottom w:val="none" w:sz="0" w:space="0" w:color="auto"/>
        <w:right w:val="none" w:sz="0" w:space="0" w:color="auto"/>
      </w:divBdr>
    </w:div>
    <w:div w:id="361902028">
      <w:bodyDiv w:val="1"/>
      <w:marLeft w:val="0"/>
      <w:marRight w:val="0"/>
      <w:marTop w:val="0"/>
      <w:marBottom w:val="0"/>
      <w:divBdr>
        <w:top w:val="none" w:sz="0" w:space="0" w:color="auto"/>
        <w:left w:val="none" w:sz="0" w:space="0" w:color="auto"/>
        <w:bottom w:val="none" w:sz="0" w:space="0" w:color="auto"/>
        <w:right w:val="none" w:sz="0" w:space="0" w:color="auto"/>
      </w:divBdr>
    </w:div>
    <w:div w:id="1279722694">
      <w:bodyDiv w:val="1"/>
      <w:marLeft w:val="0"/>
      <w:marRight w:val="0"/>
      <w:marTop w:val="0"/>
      <w:marBottom w:val="0"/>
      <w:divBdr>
        <w:top w:val="none" w:sz="0" w:space="0" w:color="auto"/>
        <w:left w:val="none" w:sz="0" w:space="0" w:color="auto"/>
        <w:bottom w:val="none" w:sz="0" w:space="0" w:color="auto"/>
        <w:right w:val="none" w:sz="0" w:space="0" w:color="auto"/>
      </w:divBdr>
    </w:div>
    <w:div w:id="1558273730">
      <w:bodyDiv w:val="1"/>
      <w:marLeft w:val="0"/>
      <w:marRight w:val="0"/>
      <w:marTop w:val="0"/>
      <w:marBottom w:val="0"/>
      <w:divBdr>
        <w:top w:val="none" w:sz="0" w:space="0" w:color="auto"/>
        <w:left w:val="none" w:sz="0" w:space="0" w:color="auto"/>
        <w:bottom w:val="none" w:sz="0" w:space="0" w:color="auto"/>
        <w:right w:val="none" w:sz="0" w:space="0" w:color="auto"/>
      </w:divBdr>
    </w:div>
    <w:div w:id="1575428789">
      <w:bodyDiv w:val="1"/>
      <w:marLeft w:val="0"/>
      <w:marRight w:val="0"/>
      <w:marTop w:val="0"/>
      <w:marBottom w:val="0"/>
      <w:divBdr>
        <w:top w:val="none" w:sz="0" w:space="0" w:color="auto"/>
        <w:left w:val="none" w:sz="0" w:space="0" w:color="auto"/>
        <w:bottom w:val="none" w:sz="0" w:space="0" w:color="auto"/>
        <w:right w:val="none" w:sz="0" w:space="0" w:color="auto"/>
      </w:divBdr>
    </w:div>
    <w:div w:id="1654750194">
      <w:bodyDiv w:val="1"/>
      <w:marLeft w:val="0"/>
      <w:marRight w:val="0"/>
      <w:marTop w:val="0"/>
      <w:marBottom w:val="0"/>
      <w:divBdr>
        <w:top w:val="none" w:sz="0" w:space="0" w:color="auto"/>
        <w:left w:val="none" w:sz="0" w:space="0" w:color="auto"/>
        <w:bottom w:val="none" w:sz="0" w:space="0" w:color="auto"/>
        <w:right w:val="none" w:sz="0" w:space="0" w:color="auto"/>
      </w:divBdr>
    </w:div>
    <w:div w:id="18118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3D6F174EE441B5D09C0086FABF56" ma:contentTypeVersion="4" ma:contentTypeDescription="Create a new document." ma:contentTypeScope="" ma:versionID="c43ef76b7386a5325f1f2967317081d0">
  <xsd:schema xmlns:xsd="http://www.w3.org/2001/XMLSchema" xmlns:xs="http://www.w3.org/2001/XMLSchema" xmlns:p="http://schemas.microsoft.com/office/2006/metadata/properties" xmlns:ns2="186961a4-1f40-40fb-aac4-b08d40758f92" targetNamespace="http://schemas.microsoft.com/office/2006/metadata/properties" ma:root="true" ma:fieldsID="8566fe70ec2638756a527a94391269cd" ns2:_="">
    <xsd:import namespace="186961a4-1f40-40fb-aac4-b08d40758f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961a4-1f40-40fb-aac4-b08d40758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24ED-7B44-4D1F-ACA6-C9DCF3D9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961a4-1f40-40fb-aac4-b08d4075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566E9-B534-469F-B6F3-94EAFB9F92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0B4B1-1A02-43CB-A29B-4D1ED9AB44DC}">
  <ds:schemaRefs>
    <ds:schemaRef ds:uri="http://schemas.microsoft.com/sharepoint/v3/contenttype/forms"/>
  </ds:schemaRefs>
</ds:datastoreItem>
</file>

<file path=customXml/itemProps4.xml><?xml version="1.0" encoding="utf-8"?>
<ds:datastoreItem xmlns:ds="http://schemas.openxmlformats.org/officeDocument/2006/customXml" ds:itemID="{BCB459DF-29B4-44B4-944A-01F68B37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2300</Words>
  <Characters>13111</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2024-02-13T12:18:00Z</dcterms:created>
  <dcterms:modified xsi:type="dcterms:W3CDTF">2024-02-13T12:18:00Z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0x010100EC7C3D6F174EE441B5D09C0086FABF56</vt:lpwstr>
  </property>
</Properties>
</file>