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617F5CA" w:rsidR="00DD3D9E" w:rsidRPr="00B4388F" w:rsidRDefault="00516A8C">
      <w:pPr>
        <w:pStyle w:val="Els-Title"/>
        <w:rPr>
          <w:color w:val="000000" w:themeColor="text1"/>
        </w:rPr>
      </w:pPr>
      <w:r>
        <w:rPr>
          <w:color w:val="000000" w:themeColor="text1"/>
        </w:rPr>
        <w:t>A</w:t>
      </w:r>
      <w:r w:rsidR="00AA34E8">
        <w:rPr>
          <w:color w:val="000000" w:themeColor="text1"/>
        </w:rPr>
        <w:t xml:space="preserve"> Novel Process for Blue Hydrogen Production with Molten Carbonate Fuel Cell CO</w:t>
      </w:r>
      <w:r w:rsidR="00AA34E8" w:rsidRPr="00AA34E8">
        <w:rPr>
          <w:color w:val="000000" w:themeColor="text1"/>
          <w:vertAlign w:val="subscript"/>
        </w:rPr>
        <w:t>2</w:t>
      </w:r>
      <w:r w:rsidR="00AA34E8">
        <w:rPr>
          <w:color w:val="000000" w:themeColor="text1"/>
        </w:rPr>
        <w:t xml:space="preserve"> Capture</w:t>
      </w:r>
    </w:p>
    <w:p w14:paraId="144DE680" w14:textId="324FD33B" w:rsidR="00DD3D9E" w:rsidRPr="00AE27E3" w:rsidRDefault="00AE27E3">
      <w:pPr>
        <w:pStyle w:val="Els-Author"/>
        <w:rPr>
          <w:lang w:val="it-IT"/>
        </w:rPr>
      </w:pPr>
      <w:r w:rsidRPr="00AE27E3">
        <w:rPr>
          <w:lang w:val="it-IT"/>
        </w:rPr>
        <w:t>Federico d’Amore</w:t>
      </w:r>
      <w:r w:rsidRPr="0097528D">
        <w:rPr>
          <w:vertAlign w:val="superscript"/>
          <w:lang w:val="it-IT"/>
        </w:rPr>
        <w:t>a</w:t>
      </w:r>
      <w:r w:rsidRPr="00AE27E3">
        <w:rPr>
          <w:lang w:val="it-IT"/>
        </w:rPr>
        <w:t>, Luis M.C</w:t>
      </w:r>
      <w:r>
        <w:rPr>
          <w:lang w:val="it-IT"/>
        </w:rPr>
        <w:t>. Pereira</w:t>
      </w:r>
      <w:r w:rsidRPr="0097528D">
        <w:rPr>
          <w:vertAlign w:val="superscript"/>
          <w:lang w:val="it-IT"/>
        </w:rPr>
        <w:t>b</w:t>
      </w:r>
      <w:r>
        <w:rPr>
          <w:lang w:val="it-IT"/>
        </w:rPr>
        <w:t>, Stefano Campanari</w:t>
      </w:r>
      <w:r w:rsidRPr="0097528D">
        <w:rPr>
          <w:vertAlign w:val="superscript"/>
          <w:lang w:val="it-IT"/>
        </w:rPr>
        <w:t>c</w:t>
      </w:r>
      <w:r>
        <w:rPr>
          <w:lang w:val="it-IT"/>
        </w:rPr>
        <w:t xml:space="preserve">, </w:t>
      </w:r>
      <w:r w:rsidR="0097528D">
        <w:rPr>
          <w:lang w:val="it-IT"/>
        </w:rPr>
        <w:t>Matteo Gazzani</w:t>
      </w:r>
      <w:r w:rsidR="0097528D" w:rsidRPr="0097528D">
        <w:rPr>
          <w:vertAlign w:val="superscript"/>
          <w:lang w:val="it-IT"/>
        </w:rPr>
        <w:t>d,e</w:t>
      </w:r>
      <w:r w:rsidR="0097528D">
        <w:rPr>
          <w:lang w:val="it-IT"/>
        </w:rPr>
        <w:t>, Matteo C. Romano</w:t>
      </w:r>
      <w:r w:rsidR="0097528D" w:rsidRPr="0097528D">
        <w:rPr>
          <w:vertAlign w:val="superscript"/>
          <w:lang w:val="it-IT"/>
        </w:rPr>
        <w:t>c</w:t>
      </w:r>
    </w:p>
    <w:p w14:paraId="144DE681" w14:textId="42DE2BE8" w:rsidR="00DD3D9E" w:rsidRDefault="00F749C5">
      <w:pPr>
        <w:pStyle w:val="Els-Affiliation"/>
      </w:pPr>
      <w:r w:rsidRPr="0062226B">
        <w:rPr>
          <w:vertAlign w:val="superscript"/>
        </w:rPr>
        <w:t>a</w:t>
      </w:r>
      <w:r w:rsidR="0062226B" w:rsidRPr="0062226B">
        <w:t xml:space="preserve">CAPE-Lab – Computer-Aided Process Engineering Laboratory, Department of Industrial Engineering, University of Padova, via Marzolo 9, </w:t>
      </w:r>
      <w:r w:rsidR="00A7652E">
        <w:t>IT-</w:t>
      </w:r>
      <w:r w:rsidR="0062226B" w:rsidRPr="0062226B">
        <w:t>35131 Padova</w:t>
      </w:r>
      <w:r w:rsidR="00A7652E">
        <w:t>,</w:t>
      </w:r>
      <w:r w:rsidR="0062226B" w:rsidRPr="0062226B">
        <w:t xml:space="preserve"> Italy</w:t>
      </w:r>
    </w:p>
    <w:p w14:paraId="144DE682" w14:textId="32634540" w:rsidR="00DD3D9E" w:rsidRPr="00EA6523" w:rsidRDefault="0062226B">
      <w:pPr>
        <w:pStyle w:val="Els-Affiliation"/>
        <w:rPr>
          <w:lang w:val="it-IT"/>
        </w:rPr>
      </w:pPr>
      <w:r w:rsidRPr="00C92B4E">
        <w:rPr>
          <w:vertAlign w:val="superscript"/>
        </w:rPr>
        <w:t>b</w:t>
      </w:r>
      <w:r w:rsidR="00C92B4E" w:rsidRPr="00C92B4E">
        <w:t xml:space="preserve">Centre Scientifique &amp; Technique Jean Féger (CSTJF) TotalEnergies, Av. </w:t>
      </w:r>
      <w:r w:rsidR="00C92B4E" w:rsidRPr="00EA6523">
        <w:rPr>
          <w:lang w:val="it-IT"/>
        </w:rPr>
        <w:t>Larribau, 64000 Pau, France</w:t>
      </w:r>
    </w:p>
    <w:p w14:paraId="18A96304" w14:textId="3D37E61E" w:rsidR="00C92B4E" w:rsidRDefault="00C92B4E">
      <w:pPr>
        <w:pStyle w:val="Els-Affiliation"/>
        <w:rPr>
          <w:lang w:val="it-IT"/>
        </w:rPr>
      </w:pPr>
      <w:r w:rsidRPr="003D4263">
        <w:rPr>
          <w:vertAlign w:val="superscript"/>
          <w:lang w:val="it-IT"/>
        </w:rPr>
        <w:t>c</w:t>
      </w:r>
      <w:r w:rsidR="003D4263" w:rsidRPr="003D4263">
        <w:rPr>
          <w:lang w:val="it-IT"/>
        </w:rPr>
        <w:t>Politecnico di Milano, Department of Energy, via Lambruschini 4, IT-20156 Milano, Italy</w:t>
      </w:r>
    </w:p>
    <w:p w14:paraId="709430B9" w14:textId="47517481" w:rsidR="003D4263" w:rsidRPr="00177BD9" w:rsidRDefault="003D4263">
      <w:pPr>
        <w:pStyle w:val="Els-Affiliation"/>
      </w:pPr>
      <w:r w:rsidRPr="00B910B7">
        <w:rPr>
          <w:vertAlign w:val="superscript"/>
        </w:rPr>
        <w:t>d</w:t>
      </w:r>
      <w:r w:rsidR="00177BD9" w:rsidRPr="00177BD9">
        <w:t>Copernicus Institute of Sustainable Development, Utrecht University, CS Utrecht, 3584, the Netherlands</w:t>
      </w:r>
    </w:p>
    <w:p w14:paraId="5A59C607" w14:textId="78F1DD84" w:rsidR="003D4263" w:rsidRPr="00B910B7" w:rsidRDefault="003D4263">
      <w:pPr>
        <w:pStyle w:val="Els-Affiliation"/>
      </w:pPr>
      <w:r w:rsidRPr="00B910B7">
        <w:rPr>
          <w:vertAlign w:val="superscript"/>
        </w:rPr>
        <w:t>e</w:t>
      </w:r>
      <w:r w:rsidR="00B910B7" w:rsidRPr="00B910B7">
        <w:t>Inorganic Membranes and Membrane Reactors, Sustainable Process Engineering, Chemical Engineering and Chemistry, Eindhoven University of Technology, Eindhoven, the Netherlands</w:t>
      </w:r>
    </w:p>
    <w:p w14:paraId="144DE683" w14:textId="7289E53F" w:rsidR="008D2649" w:rsidRPr="00A94774" w:rsidRDefault="00B910B7" w:rsidP="008D2649">
      <w:pPr>
        <w:pStyle w:val="Els-Affiliation"/>
        <w:spacing w:after="120"/>
      </w:pPr>
      <w:r>
        <w:t>federico.damore@unipd.it</w:t>
      </w:r>
    </w:p>
    <w:p w14:paraId="144DE684" w14:textId="77777777" w:rsidR="008D2649" w:rsidRDefault="008D2649" w:rsidP="008D2649">
      <w:pPr>
        <w:pStyle w:val="Els-Abstract"/>
      </w:pPr>
      <w:r>
        <w:t>Abstract</w:t>
      </w:r>
    </w:p>
    <w:p w14:paraId="144DE686" w14:textId="0D2498D1" w:rsidR="008D2649" w:rsidRDefault="00764966" w:rsidP="008D2649">
      <w:pPr>
        <w:pStyle w:val="Els-body-text"/>
        <w:spacing w:after="120"/>
        <w:rPr>
          <w:lang w:val="en-GB"/>
        </w:rPr>
      </w:pPr>
      <w:r w:rsidRPr="00764966">
        <w:rPr>
          <w:lang w:val="en-GB"/>
        </w:rPr>
        <w:t>H</w:t>
      </w:r>
      <w:r w:rsidRPr="00764966">
        <w:rPr>
          <w:vertAlign w:val="subscript"/>
          <w:lang w:val="en-GB"/>
        </w:rPr>
        <w:t>2</w:t>
      </w:r>
      <w:r w:rsidRPr="00764966">
        <w:rPr>
          <w:lang w:val="en-GB"/>
        </w:rPr>
        <w:t xml:space="preserve"> production via steam methane reforming is a mature and cost-effective technology. However, carbon capture and storage </w:t>
      </w:r>
      <w:proofErr w:type="gramStart"/>
      <w:r w:rsidRPr="00764966">
        <w:rPr>
          <w:lang w:val="en-GB"/>
        </w:rPr>
        <w:t>is</w:t>
      </w:r>
      <w:proofErr w:type="gramEnd"/>
      <w:r w:rsidRPr="00764966">
        <w:rPr>
          <w:lang w:val="en-GB"/>
        </w:rPr>
        <w:t xml:space="preserve"> required to decrease its CO</w:t>
      </w:r>
      <w:r w:rsidRPr="00764966">
        <w:rPr>
          <w:vertAlign w:val="subscript"/>
          <w:lang w:val="en-GB"/>
        </w:rPr>
        <w:t>2</w:t>
      </w:r>
      <w:r w:rsidRPr="00764966">
        <w:rPr>
          <w:lang w:val="en-GB"/>
        </w:rPr>
        <w:t xml:space="preserve"> emissions. The adoption of molten carbonate fuel cells as means to capture CO</w:t>
      </w:r>
      <w:r w:rsidRPr="00764966">
        <w:rPr>
          <w:vertAlign w:val="subscript"/>
          <w:lang w:val="en-GB"/>
        </w:rPr>
        <w:t>2</w:t>
      </w:r>
      <w:r w:rsidRPr="00764966">
        <w:rPr>
          <w:lang w:val="en-GB"/>
        </w:rPr>
        <w:t xml:space="preserve"> from flue gases is attracting scientific interest thanks to their inherent thermodynamic advantage of separating CO</w:t>
      </w:r>
      <w:r w:rsidRPr="00764966">
        <w:rPr>
          <w:vertAlign w:val="subscript"/>
          <w:lang w:val="en-GB"/>
        </w:rPr>
        <w:t>2</w:t>
      </w:r>
      <w:r w:rsidRPr="00764966">
        <w:rPr>
          <w:lang w:val="en-GB"/>
        </w:rPr>
        <w:t xml:space="preserve"> while producing electricity. This study investigates and benchmarks the performance of an H</w:t>
      </w:r>
      <w:r w:rsidRPr="00764966">
        <w:rPr>
          <w:vertAlign w:val="subscript"/>
          <w:lang w:val="en-GB"/>
        </w:rPr>
        <w:t>2</w:t>
      </w:r>
      <w:r w:rsidRPr="00764966">
        <w:rPr>
          <w:lang w:val="en-GB"/>
        </w:rPr>
        <w:t xml:space="preserve"> production plant equipped with molten carbonate fuel cell for post-combustion CO</w:t>
      </w:r>
      <w:r w:rsidRPr="00764966">
        <w:rPr>
          <w:vertAlign w:val="subscript"/>
          <w:lang w:val="en-GB"/>
        </w:rPr>
        <w:t>2</w:t>
      </w:r>
      <w:r w:rsidRPr="00764966">
        <w:rPr>
          <w:lang w:val="en-GB"/>
        </w:rPr>
        <w:t xml:space="preserve"> capture, by proposing a novel configuration where the cell anode is fed with the carbon-rich off-gas from the H</w:t>
      </w:r>
      <w:r w:rsidRPr="00764966">
        <w:rPr>
          <w:vertAlign w:val="subscript"/>
          <w:lang w:val="en-GB"/>
        </w:rPr>
        <w:t>2</w:t>
      </w:r>
      <w:r w:rsidRPr="00764966">
        <w:rPr>
          <w:lang w:val="en-GB"/>
        </w:rPr>
        <w:t xml:space="preserve"> separation unit. It emerges that the process can achieve higher capture rates than the reference solvent-based plant: 85</w:t>
      </w:r>
      <w:r w:rsidR="00210D12">
        <w:rPr>
          <w:lang w:val="en-GB"/>
        </w:rPr>
        <w:t>-</w:t>
      </w:r>
      <w:r w:rsidRPr="00764966">
        <w:rPr>
          <w:lang w:val="en-GB"/>
        </w:rPr>
        <w:t>90</w:t>
      </w:r>
      <w:r w:rsidR="003E54F1">
        <w:rPr>
          <w:lang w:val="en-GB"/>
        </w:rPr>
        <w:t xml:space="preserve"> </w:t>
      </w:r>
      <w:r w:rsidRPr="00764966">
        <w:rPr>
          <w:lang w:val="en-GB"/>
        </w:rPr>
        <w:t>% with single cell, 95</w:t>
      </w:r>
      <w:r w:rsidR="003E54F1">
        <w:rPr>
          <w:lang w:val="en-GB"/>
        </w:rPr>
        <w:t xml:space="preserve"> </w:t>
      </w:r>
      <w:r w:rsidRPr="00764966">
        <w:rPr>
          <w:lang w:val="en-GB"/>
        </w:rPr>
        <w:t>% with two-stage cell. Moreover, recycling the carbon-rich off gas to the anode allows for smaller cell area, and potentially lower H</w:t>
      </w:r>
      <w:r w:rsidRPr="00764966">
        <w:rPr>
          <w:vertAlign w:val="subscript"/>
          <w:lang w:val="en-GB"/>
        </w:rPr>
        <w:t>2</w:t>
      </w:r>
      <w:r w:rsidRPr="00764966">
        <w:rPr>
          <w:lang w:val="en-GB"/>
        </w:rPr>
        <w:t xml:space="preserve"> production costs compared to the benchmark.</w:t>
      </w:r>
    </w:p>
    <w:p w14:paraId="055D3068" w14:textId="014F0D31" w:rsidR="00C811BE" w:rsidRDefault="00C811BE" w:rsidP="00C811BE">
      <w:pPr>
        <w:pStyle w:val="Els-Abstract"/>
      </w:pPr>
      <w:r>
        <w:t>Acknowledgments</w:t>
      </w:r>
    </w:p>
    <w:p w14:paraId="037FEC51" w14:textId="74DF59C1" w:rsidR="00C811BE" w:rsidRDefault="00C811BE" w:rsidP="00C811BE">
      <w:pPr>
        <w:pStyle w:val="Els-body-text"/>
        <w:spacing w:after="120"/>
        <w:rPr>
          <w:lang w:val="en-GB"/>
        </w:rPr>
      </w:pPr>
      <w:r>
        <w:rPr>
          <w:lang w:val="en-GB"/>
        </w:rPr>
        <w:t xml:space="preserve">This work has been funded by </w:t>
      </w:r>
      <w:proofErr w:type="spellStart"/>
      <w:r>
        <w:rPr>
          <w:lang w:val="en-GB"/>
        </w:rPr>
        <w:t>TotalEnergies</w:t>
      </w:r>
      <w:proofErr w:type="spellEnd"/>
      <w:r>
        <w:rPr>
          <w:lang w:val="en-GB"/>
        </w:rPr>
        <w:t>’ R&amp;D Strategic Anticipation Program.</w:t>
      </w:r>
    </w:p>
    <w:p w14:paraId="144DE687" w14:textId="0A398805" w:rsidR="008D2649" w:rsidRDefault="008D2649" w:rsidP="008D2649">
      <w:pPr>
        <w:pStyle w:val="Els-body-text"/>
        <w:spacing w:after="120"/>
        <w:rPr>
          <w:lang w:val="en-GB"/>
        </w:rPr>
      </w:pPr>
      <w:r>
        <w:rPr>
          <w:b/>
          <w:bCs/>
          <w:lang w:val="en-GB"/>
        </w:rPr>
        <w:t>Keywords</w:t>
      </w:r>
      <w:r>
        <w:rPr>
          <w:lang w:val="en-GB"/>
        </w:rPr>
        <w:t xml:space="preserve">: </w:t>
      </w:r>
      <w:r w:rsidR="00CD6DE0" w:rsidRPr="00CD6DE0">
        <w:rPr>
          <w:lang w:val="en-GB"/>
        </w:rPr>
        <w:t>Steam methane reformer</w:t>
      </w:r>
      <w:r w:rsidR="00CD6DE0">
        <w:rPr>
          <w:lang w:val="en-GB"/>
        </w:rPr>
        <w:t xml:space="preserve">, </w:t>
      </w:r>
      <w:r w:rsidR="00CD6DE0" w:rsidRPr="00CD6DE0">
        <w:rPr>
          <w:lang w:val="en-GB"/>
        </w:rPr>
        <w:t>Molten carbonate fuel cell</w:t>
      </w:r>
      <w:r w:rsidR="00CD6DE0">
        <w:rPr>
          <w:lang w:val="en-GB"/>
        </w:rPr>
        <w:t xml:space="preserve">, </w:t>
      </w:r>
      <w:r w:rsidR="00CD6DE0" w:rsidRPr="00CD6DE0">
        <w:rPr>
          <w:lang w:val="en-GB"/>
        </w:rPr>
        <w:t>Carbon dioxide capture</w:t>
      </w:r>
      <w:r w:rsidR="00CD6DE0">
        <w:rPr>
          <w:lang w:val="en-GB"/>
        </w:rPr>
        <w:t xml:space="preserve">, </w:t>
      </w:r>
      <w:r w:rsidR="00CD6DE0" w:rsidRPr="00CD6DE0">
        <w:rPr>
          <w:lang w:val="en-GB"/>
        </w:rPr>
        <w:t>Process simulation</w:t>
      </w:r>
      <w:r w:rsidR="00CD6DE0">
        <w:rPr>
          <w:lang w:val="en-GB"/>
        </w:rPr>
        <w:t xml:space="preserve">, </w:t>
      </w:r>
      <w:r w:rsidR="00CD6DE0" w:rsidRPr="00CD6DE0">
        <w:rPr>
          <w:lang w:val="en-GB"/>
        </w:rPr>
        <w:t>Techno-economic modelling</w:t>
      </w:r>
      <w:r>
        <w:rPr>
          <w:lang w:val="en-GB"/>
        </w:rPr>
        <w:t>.</w:t>
      </w:r>
    </w:p>
    <w:p w14:paraId="144DE689" w14:textId="3AE448FD" w:rsidR="008D2649" w:rsidRDefault="00BD6BD3" w:rsidP="008D2649">
      <w:pPr>
        <w:pStyle w:val="Els-1storder-head"/>
      </w:pPr>
      <w:r>
        <w:lastRenderedPageBreak/>
        <w:t>Introduction</w:t>
      </w:r>
    </w:p>
    <w:p w14:paraId="7F377DB2" w14:textId="6B2A1D89" w:rsidR="00F92E30" w:rsidRDefault="00F92E30" w:rsidP="00F92E30">
      <w:pPr>
        <w:pStyle w:val="Els-body-text"/>
      </w:pPr>
      <w:r>
        <w:t>H</w:t>
      </w:r>
      <w:r w:rsidRPr="000D4907">
        <w:rPr>
          <w:vertAlign w:val="subscript"/>
        </w:rPr>
        <w:t>2</w:t>
      </w:r>
      <w:r>
        <w:t xml:space="preserve"> is expected to become a key player in the </w:t>
      </w:r>
      <w:proofErr w:type="spellStart"/>
      <w:r>
        <w:t>decarbonisation</w:t>
      </w:r>
      <w:proofErr w:type="spellEnd"/>
      <w:r>
        <w:t xml:space="preserve"> challenge (van der Spek et al., 2022). The production of H</w:t>
      </w:r>
      <w:r w:rsidRPr="000D4907">
        <w:rPr>
          <w:vertAlign w:val="subscript"/>
        </w:rPr>
        <w:t>2</w:t>
      </w:r>
      <w:r>
        <w:t xml:space="preserve"> from fossil fuels with CO</w:t>
      </w:r>
      <w:r w:rsidRPr="000D4907">
        <w:rPr>
          <w:vertAlign w:val="subscript"/>
        </w:rPr>
        <w:t>2</w:t>
      </w:r>
      <w:r>
        <w:t xml:space="preserve"> capture is key to enable large scale production and will be complementary to electrolysis till the electric grid is </w:t>
      </w:r>
      <w:proofErr w:type="spellStart"/>
      <w:r>
        <w:t>decarbonised</w:t>
      </w:r>
      <w:proofErr w:type="spellEnd"/>
      <w:r>
        <w:t xml:space="preserve">, </w:t>
      </w:r>
      <w:proofErr w:type="gramStart"/>
      <w:r>
        <w:t>provided that</w:t>
      </w:r>
      <w:proofErr w:type="gramEnd"/>
      <w:r>
        <w:t xml:space="preserve"> CO</w:t>
      </w:r>
      <w:r w:rsidRPr="000D4907">
        <w:rPr>
          <w:vertAlign w:val="subscript"/>
        </w:rPr>
        <w:t>2</w:t>
      </w:r>
      <w:r>
        <w:t xml:space="preserve"> capture is performed according to state-of-the-art and CH</w:t>
      </w:r>
      <w:r w:rsidRPr="000D4907">
        <w:rPr>
          <w:vertAlign w:val="subscript"/>
        </w:rPr>
        <w:t>4</w:t>
      </w:r>
      <w:r>
        <w:t xml:space="preserve"> fugitive losses are </w:t>
      </w:r>
      <w:proofErr w:type="spellStart"/>
      <w:r>
        <w:t>minimi</w:t>
      </w:r>
      <w:r w:rsidR="000D4907">
        <w:t>s</w:t>
      </w:r>
      <w:r>
        <w:t>ed</w:t>
      </w:r>
      <w:proofErr w:type="spellEnd"/>
      <w:r>
        <w:t xml:space="preserve"> (Bauer et al., 2022; Pettersen et al., 2022). This work focusses on H</w:t>
      </w:r>
      <w:r w:rsidRPr="000D4907">
        <w:rPr>
          <w:vertAlign w:val="subscript"/>
        </w:rPr>
        <w:t>2</w:t>
      </w:r>
      <w:r>
        <w:t xml:space="preserve"> production from steam methane reforming (SMR) of natural gas</w:t>
      </w:r>
      <w:r w:rsidR="00406DD0">
        <w:t xml:space="preserve"> (NG)</w:t>
      </w:r>
      <w:r>
        <w:t>, which is a mature and cost-effective technology (IEAGHG, 2017), coupled with molten carbonate fuel cell (MCFC) for post-combustion CO</w:t>
      </w:r>
      <w:r w:rsidRPr="000D4907">
        <w:rPr>
          <w:vertAlign w:val="subscript"/>
        </w:rPr>
        <w:t>2</w:t>
      </w:r>
      <w:r>
        <w:t xml:space="preserve"> capture. </w:t>
      </w:r>
    </w:p>
    <w:p w14:paraId="0EDE1220" w14:textId="0A454209" w:rsidR="00F92E30" w:rsidRDefault="00F92E30" w:rsidP="00F92E30">
      <w:pPr>
        <w:pStyle w:val="Els-body-text"/>
      </w:pPr>
      <w:r>
        <w:t>In the literature, post-combustion CO</w:t>
      </w:r>
      <w:r w:rsidRPr="000D4907">
        <w:rPr>
          <w:vertAlign w:val="subscript"/>
        </w:rPr>
        <w:t>2</w:t>
      </w:r>
      <w:r>
        <w:t xml:space="preserve"> capture processes based on MCFC for H</w:t>
      </w:r>
      <w:r w:rsidRPr="000D4907">
        <w:rPr>
          <w:vertAlign w:val="subscript"/>
        </w:rPr>
        <w:t>2</w:t>
      </w:r>
      <w:r>
        <w:t xml:space="preserve"> plants and other emitters consider </w:t>
      </w:r>
      <w:r w:rsidR="00406DD0">
        <w:t>NG</w:t>
      </w:r>
      <w:r>
        <w:t xml:space="preserve"> as fuel for the fuel cell (Consonni et al., 2021). This study proposes a novel configuration (</w:t>
      </w:r>
      <w:proofErr w:type="spellStart"/>
      <w:r>
        <w:t>d’Amore</w:t>
      </w:r>
      <w:proofErr w:type="spellEnd"/>
      <w:r>
        <w:t xml:space="preserve"> et al., 2023), which exploits part of the </w:t>
      </w:r>
      <w:proofErr w:type="gramStart"/>
      <w:r>
        <w:t>off-gas</w:t>
      </w:r>
      <w:proofErr w:type="gramEnd"/>
      <w:r>
        <w:t xml:space="preserve"> from H</w:t>
      </w:r>
      <w:r w:rsidRPr="000D4907">
        <w:rPr>
          <w:vertAlign w:val="subscript"/>
        </w:rPr>
        <w:t>2</w:t>
      </w:r>
      <w:r>
        <w:t xml:space="preserve"> purification unit as fuel to the MCFC, instead of </w:t>
      </w:r>
      <w:r w:rsidR="00406DD0">
        <w:t>NG</w:t>
      </w:r>
      <w:r>
        <w:t>. This configuration keeps a carbon-richer fuel on the MCFC anode side and reduces the flow rate of CO</w:t>
      </w:r>
      <w:r w:rsidRPr="000D4907">
        <w:rPr>
          <w:vertAlign w:val="subscript"/>
        </w:rPr>
        <w:t>2</w:t>
      </w:r>
      <w:r>
        <w:t xml:space="preserve"> in the SMR to be separated by the MCFC (thus, its area) for a given CO</w:t>
      </w:r>
      <w:r w:rsidRPr="000D4907">
        <w:rPr>
          <w:vertAlign w:val="subscript"/>
        </w:rPr>
        <w:t>2</w:t>
      </w:r>
      <w:r>
        <w:t xml:space="preserve"> capture rate, with significant beneficial effects in the overall techno-economic performance. Building upon the performance of the novel off-gas feed configuration, it is also assessed how a multi-stage cell configuration with inter-cooling would further improve the process (Spinelli et al., 2014), as it helps decreasing the air dilution at the MCFC cathode inlet and enhances the CO</w:t>
      </w:r>
      <w:r w:rsidRPr="000D4907">
        <w:rPr>
          <w:vertAlign w:val="subscript"/>
        </w:rPr>
        <w:t>2</w:t>
      </w:r>
      <w:r>
        <w:t xml:space="preserve"> separation efficiency. </w:t>
      </w:r>
    </w:p>
    <w:p w14:paraId="6010C897" w14:textId="3F7C05CE" w:rsidR="00F92E30" w:rsidRDefault="00F92E30" w:rsidP="00F92E30">
      <w:pPr>
        <w:pStyle w:val="Els-1storder-head"/>
      </w:pPr>
      <w:r>
        <w:t>Methodology</w:t>
      </w:r>
    </w:p>
    <w:p w14:paraId="28FF6005" w14:textId="3C295F04" w:rsidR="009464CD" w:rsidRDefault="00E3335A" w:rsidP="00C859AB">
      <w:pPr>
        <w:pStyle w:val="Els-body-text"/>
      </w:pPr>
      <w:r w:rsidRPr="00E3335A">
        <w:t xml:space="preserve">The plants were modelled and simulated in Aspen Plus software by using the Peng-Robinson equation of state, according to the technical assumptions </w:t>
      </w:r>
      <w:proofErr w:type="spellStart"/>
      <w:r w:rsidR="000337D8">
        <w:t>summari</w:t>
      </w:r>
      <w:r w:rsidR="00C437F6">
        <w:t>s</w:t>
      </w:r>
      <w:r w:rsidR="000337D8">
        <w:t>ed</w:t>
      </w:r>
      <w:proofErr w:type="spellEnd"/>
      <w:r w:rsidR="000337D8">
        <w:t xml:space="preserve"> in </w:t>
      </w:r>
      <w:proofErr w:type="spellStart"/>
      <w:r w:rsidR="000337D8">
        <w:t>d’Amore</w:t>
      </w:r>
      <w:proofErr w:type="spellEnd"/>
      <w:r w:rsidR="000337D8">
        <w:t xml:space="preserve"> et al. (2023)</w:t>
      </w:r>
      <w:r w:rsidR="00132486">
        <w:t xml:space="preserve"> (Table 1)</w:t>
      </w:r>
      <w:r w:rsidR="000337D8">
        <w:t xml:space="preserve">. </w:t>
      </w:r>
      <w:r w:rsidR="00CD1383" w:rsidRPr="00CD1383">
        <w:t>All chemical reactors were simulated at chemical equilibrium</w:t>
      </w:r>
      <w:r w:rsidR="008C73BB">
        <w:t>, while t</w:t>
      </w:r>
      <w:r w:rsidR="008C73BB" w:rsidRPr="008C73BB">
        <w:t xml:space="preserve">he MCFC performance is described through a 0-D model of the </w:t>
      </w:r>
      <w:proofErr w:type="spellStart"/>
      <w:r w:rsidR="008C73BB" w:rsidRPr="008C73BB">
        <w:t>polarisation</w:t>
      </w:r>
      <w:proofErr w:type="spellEnd"/>
      <w:r w:rsidR="008C73BB" w:rsidRPr="008C73BB">
        <w:t xml:space="preserve"> curve</w:t>
      </w:r>
      <w:r w:rsidR="008C73BB">
        <w:t xml:space="preserve"> taken from </w:t>
      </w:r>
      <w:proofErr w:type="spellStart"/>
      <w:r w:rsidR="000C4472" w:rsidRPr="000C4472">
        <w:t>Barckholtz</w:t>
      </w:r>
      <w:proofErr w:type="spellEnd"/>
      <w:r w:rsidR="000C4472" w:rsidRPr="000C4472">
        <w:t xml:space="preserve"> et al.</w:t>
      </w:r>
      <w:r w:rsidR="000C4472">
        <w:t xml:space="preserve"> (202</w:t>
      </w:r>
      <w:r w:rsidR="008E16AA">
        <w:t>2</w:t>
      </w:r>
      <w:r w:rsidR="000C4472">
        <w:t>)</w:t>
      </w:r>
      <w:r w:rsidR="00CD1383" w:rsidRPr="00CD1383">
        <w:t>.</w:t>
      </w:r>
    </w:p>
    <w:p w14:paraId="553D014B" w14:textId="52242D99" w:rsidR="00C859AB" w:rsidRDefault="000337D8" w:rsidP="00C859AB">
      <w:pPr>
        <w:pStyle w:val="Els-body-text"/>
      </w:pPr>
      <w:r>
        <w:t>The reference standalone SMR without CO</w:t>
      </w:r>
      <w:r w:rsidRPr="00C437F6">
        <w:rPr>
          <w:vertAlign w:val="subscript"/>
        </w:rPr>
        <w:t>2</w:t>
      </w:r>
      <w:r>
        <w:t xml:space="preserve"> capture </w:t>
      </w:r>
      <w:r w:rsidR="008E16AA">
        <w:t>is</w:t>
      </w:r>
      <w:r>
        <w:t xml:space="preserve"> designed to produce 100</w:t>
      </w:r>
      <w:r w:rsidR="00F22393">
        <w:t>,</w:t>
      </w:r>
      <w:r>
        <w:t>000</w:t>
      </w:r>
      <w:r w:rsidR="00F22393">
        <w:t> </w:t>
      </w:r>
      <w:r>
        <w:t>Nm</w:t>
      </w:r>
      <w:r w:rsidRPr="000337D8">
        <w:rPr>
          <w:vertAlign w:val="superscript"/>
        </w:rPr>
        <w:t>3</w:t>
      </w:r>
      <w:r>
        <w:t>/h of H</w:t>
      </w:r>
      <w:r w:rsidRPr="00C437F6">
        <w:rPr>
          <w:vertAlign w:val="subscript"/>
        </w:rPr>
        <w:t>2</w:t>
      </w:r>
      <w:r w:rsidR="00C437F6">
        <w:t xml:space="preserve"> (299.5 MW</w:t>
      </w:r>
      <w:r w:rsidR="00C437F6" w:rsidRPr="00C437F6">
        <w:rPr>
          <w:vertAlign w:val="subscript"/>
        </w:rPr>
        <w:t>LHV</w:t>
      </w:r>
      <w:r w:rsidR="00C437F6">
        <w:t>)</w:t>
      </w:r>
      <w:r w:rsidR="006D3987">
        <w:t>, c</w:t>
      </w:r>
      <w:r w:rsidR="006D3987" w:rsidRPr="006D3987">
        <w:t>omprising high temperature water-gas shift (WGS), pressure swing adsorption (PSA), steam cycle (set at 485 °C at 100 bar), and low pressure (LP) steam export (at 6 bar)</w:t>
      </w:r>
      <w:r w:rsidR="00D20E2A">
        <w:t xml:space="preserve"> (Figure 1a)</w:t>
      </w:r>
      <w:r w:rsidR="006D3987" w:rsidRPr="006D3987">
        <w:t xml:space="preserve">. This plant is </w:t>
      </w:r>
      <w:proofErr w:type="spellStart"/>
      <w:r w:rsidR="006D3987" w:rsidRPr="006D3987">
        <w:t>characterised</w:t>
      </w:r>
      <w:proofErr w:type="spellEnd"/>
      <w:r w:rsidR="006D3987" w:rsidRPr="006D3987">
        <w:t xml:space="preserve"> by an NG-to-H</w:t>
      </w:r>
      <w:r w:rsidR="006D3987" w:rsidRPr="0085782E">
        <w:rPr>
          <w:vertAlign w:val="subscript"/>
        </w:rPr>
        <w:t>2</w:t>
      </w:r>
      <w:r w:rsidR="006D3987" w:rsidRPr="006D3987">
        <w:t xml:space="preserve"> efficiency of 73.5</w:t>
      </w:r>
      <w:r w:rsidR="003E54F1">
        <w:t xml:space="preserve"> </w:t>
      </w:r>
      <w:r w:rsidR="006D3987" w:rsidRPr="006D3987">
        <w:t>% and specific CO</w:t>
      </w:r>
      <w:r w:rsidR="006D3987" w:rsidRPr="0085782E">
        <w:rPr>
          <w:vertAlign w:val="subscript"/>
        </w:rPr>
        <w:t>2</w:t>
      </w:r>
      <w:r w:rsidR="006D3987" w:rsidRPr="006D3987">
        <w:t xml:space="preserve"> emissions of 9.29 kg of CO</w:t>
      </w:r>
      <w:r w:rsidR="006D3987" w:rsidRPr="0085782E">
        <w:rPr>
          <w:vertAlign w:val="subscript"/>
        </w:rPr>
        <w:t>2</w:t>
      </w:r>
      <w:r w:rsidR="006D3987" w:rsidRPr="006D3987">
        <w:t>/kg of H</w:t>
      </w:r>
      <w:r w:rsidR="006D3987" w:rsidRPr="0085782E">
        <w:rPr>
          <w:vertAlign w:val="subscript"/>
        </w:rPr>
        <w:t>2</w:t>
      </w:r>
      <w:r w:rsidR="006D3987" w:rsidRPr="006D3987">
        <w:t xml:space="preserve">, being the net electric and thermal power outputs equal to 10.4 </w:t>
      </w:r>
      <w:proofErr w:type="spellStart"/>
      <w:r w:rsidR="006D3987" w:rsidRPr="006D3987">
        <w:t>MW</w:t>
      </w:r>
      <w:r w:rsidR="006D3987" w:rsidRPr="0085782E">
        <w:rPr>
          <w:vertAlign w:val="subscript"/>
        </w:rPr>
        <w:t>el</w:t>
      </w:r>
      <w:proofErr w:type="spellEnd"/>
      <w:r w:rsidR="006D3987" w:rsidRPr="006D3987">
        <w:t xml:space="preserve"> and 23.2 </w:t>
      </w:r>
      <w:proofErr w:type="spellStart"/>
      <w:r w:rsidR="006D3987" w:rsidRPr="006D3987">
        <w:t>MW</w:t>
      </w:r>
      <w:r w:rsidR="006D3987" w:rsidRPr="0085782E">
        <w:rPr>
          <w:vertAlign w:val="subscript"/>
        </w:rPr>
        <w:t>th</w:t>
      </w:r>
      <w:proofErr w:type="spellEnd"/>
      <w:r w:rsidR="006D3987" w:rsidRPr="006D3987">
        <w:t>, respectively</w:t>
      </w:r>
      <w:r w:rsidR="0085782E">
        <w:t>. The SMR with post-combustion CO</w:t>
      </w:r>
      <w:r w:rsidR="0085782E" w:rsidRPr="009464CD">
        <w:rPr>
          <w:vertAlign w:val="subscript"/>
        </w:rPr>
        <w:t>2</w:t>
      </w:r>
      <w:r w:rsidR="0085782E">
        <w:t xml:space="preserve"> capture</w:t>
      </w:r>
      <w:r w:rsidR="009464CD">
        <w:t xml:space="preserve"> with </w:t>
      </w:r>
      <w:proofErr w:type="spellStart"/>
      <w:r w:rsidR="009464CD">
        <w:t>monoethanolamine</w:t>
      </w:r>
      <w:proofErr w:type="spellEnd"/>
      <w:r w:rsidR="009464CD">
        <w:t xml:space="preserve"> (MEA)</w:t>
      </w:r>
      <w:r w:rsidR="00355993">
        <w:t xml:space="preserve"> is designed for a CO</w:t>
      </w:r>
      <w:r w:rsidR="00355993" w:rsidRPr="009464CD">
        <w:rPr>
          <w:vertAlign w:val="subscript"/>
        </w:rPr>
        <w:t>2</w:t>
      </w:r>
      <w:r w:rsidR="00355993">
        <w:t xml:space="preserve"> capture rate of 90</w:t>
      </w:r>
      <w:r w:rsidR="003E54F1">
        <w:t xml:space="preserve"> </w:t>
      </w:r>
      <w:r w:rsidR="00355993">
        <w:t xml:space="preserve">% and a specific heat demand of 3.57 </w:t>
      </w:r>
      <w:proofErr w:type="spellStart"/>
      <w:r w:rsidR="009464CD">
        <w:t>MJ</w:t>
      </w:r>
      <w:r w:rsidR="009464CD" w:rsidRPr="009464CD">
        <w:rPr>
          <w:vertAlign w:val="subscript"/>
        </w:rPr>
        <w:t>th</w:t>
      </w:r>
      <w:proofErr w:type="spellEnd"/>
      <w:r w:rsidR="009464CD">
        <w:t>/kg of captured CO</w:t>
      </w:r>
      <w:r w:rsidR="009464CD" w:rsidRPr="009464CD">
        <w:rPr>
          <w:vertAlign w:val="subscript"/>
        </w:rPr>
        <w:t>2</w:t>
      </w:r>
      <w:r w:rsidR="00D20E2A">
        <w:t xml:space="preserve"> (Figure 1b).</w:t>
      </w:r>
      <w:r w:rsidR="0085782E">
        <w:t xml:space="preserve"> </w:t>
      </w:r>
      <w:r w:rsidR="009464CD" w:rsidRPr="009464CD">
        <w:t>This plant is considered as benchmark case for performance and costs comparison with MCFC-based CO</w:t>
      </w:r>
      <w:r w:rsidR="009464CD" w:rsidRPr="009464CD">
        <w:rPr>
          <w:vertAlign w:val="subscript"/>
        </w:rPr>
        <w:t>2</w:t>
      </w:r>
      <w:r w:rsidR="009464CD" w:rsidRPr="009464CD">
        <w:t xml:space="preserve"> capture</w:t>
      </w:r>
      <w:r w:rsidR="009464CD">
        <w:t>.</w:t>
      </w:r>
    </w:p>
    <w:p w14:paraId="4DFF069D" w14:textId="2CFBE961" w:rsidR="009C6AB6" w:rsidRDefault="00E47C09" w:rsidP="00C859AB">
      <w:pPr>
        <w:pStyle w:val="Els-body-text"/>
      </w:pPr>
      <w:r>
        <w:t xml:space="preserve">In the NG-based MCFC (i.e., NGF plant) the </w:t>
      </w:r>
      <w:r w:rsidR="002F503B" w:rsidRPr="002F503B">
        <w:t>SMR flue gases are sent to the MCFC cathode for CO</w:t>
      </w:r>
      <w:r w:rsidR="002F503B" w:rsidRPr="002F503B">
        <w:rPr>
          <w:vertAlign w:val="subscript"/>
        </w:rPr>
        <w:t>2</w:t>
      </w:r>
      <w:r w:rsidR="002F503B" w:rsidRPr="002F503B">
        <w:t xml:space="preserve"> separation. A CO</w:t>
      </w:r>
      <w:r w:rsidR="002F503B" w:rsidRPr="002F503B">
        <w:rPr>
          <w:vertAlign w:val="subscript"/>
        </w:rPr>
        <w:t>2</w:t>
      </w:r>
      <w:r w:rsidR="002F503B" w:rsidRPr="002F503B">
        <w:t xml:space="preserve"> lean stream is produced at the cathode residue and emitted to the atmosphere</w:t>
      </w:r>
      <w:r w:rsidR="00D20E2A">
        <w:t xml:space="preserve"> (Figure 1c)</w:t>
      </w:r>
      <w:r w:rsidR="002F503B" w:rsidRPr="002F503B">
        <w:t>. The MCFC anode is fed with pre-reformed NG. The anode residue is sent to a WGS converter. The shifted syngas stream is sent to the low-temperature phase-change purification unit (CPU) to produce a high-purity CO</w:t>
      </w:r>
      <w:r w:rsidR="002F503B" w:rsidRPr="00D97FA6">
        <w:rPr>
          <w:vertAlign w:val="subscript"/>
        </w:rPr>
        <w:t>2</w:t>
      </w:r>
      <w:r w:rsidR="002F503B" w:rsidRPr="002F503B">
        <w:t xml:space="preserve"> stream and a flow rate that is recycled to the PSA unit downstream the SMR.</w:t>
      </w:r>
      <w:r w:rsidR="00D97FA6">
        <w:t xml:space="preserve"> Differently, in the off-gas-based MCFC (i.e., OGF plant) </w:t>
      </w:r>
      <w:r w:rsidR="004C0EDD" w:rsidRPr="004C0EDD">
        <w:t>the MCFC anode is fed with PSA off-gas</w:t>
      </w:r>
      <w:r w:rsidR="00D20E2A">
        <w:t xml:space="preserve"> (Figure 1d)</w:t>
      </w:r>
      <w:r w:rsidR="004C0EDD" w:rsidRPr="004C0EDD">
        <w:t xml:space="preserve">. </w:t>
      </w:r>
      <w:r w:rsidR="00072518">
        <w:t>T</w:t>
      </w:r>
      <w:r w:rsidR="004C0EDD" w:rsidRPr="004C0EDD">
        <w:t>his configuration keeps the carbon-rich fuel on the MCFC anode side and reduces the flow rate of CO</w:t>
      </w:r>
      <w:r w:rsidR="004C0EDD" w:rsidRPr="00072518">
        <w:rPr>
          <w:vertAlign w:val="subscript"/>
        </w:rPr>
        <w:t>2</w:t>
      </w:r>
      <w:r w:rsidR="004C0EDD" w:rsidRPr="004C0EDD">
        <w:t xml:space="preserve"> in the SMR to be separated by the MCFC (therefore, its area) for a given overall CO</w:t>
      </w:r>
      <w:r w:rsidR="004C0EDD" w:rsidRPr="00072518">
        <w:rPr>
          <w:vertAlign w:val="subscript"/>
        </w:rPr>
        <w:t>2</w:t>
      </w:r>
      <w:r w:rsidR="004C0EDD" w:rsidRPr="004C0EDD">
        <w:t xml:space="preserve"> capture rate. </w:t>
      </w:r>
      <w:r w:rsidR="00261B2D">
        <w:t xml:space="preserve">An additional case (i.e., OGF-2) involves the adoption of two cells in series with inter-cooling to decrease the air dilution at the cathode inlet and enhance the </w:t>
      </w:r>
      <w:r w:rsidR="00261B2D" w:rsidRPr="00D20E2A">
        <w:t>CO</w:t>
      </w:r>
      <w:r w:rsidR="00261B2D" w:rsidRPr="00D20E2A">
        <w:rPr>
          <w:vertAlign w:val="subscript"/>
        </w:rPr>
        <w:t>2</w:t>
      </w:r>
      <w:r w:rsidR="00261B2D">
        <w:t xml:space="preserve"> separation efficiency for a given cell potential.</w:t>
      </w:r>
    </w:p>
    <w:p w14:paraId="1780235A" w14:textId="3DE80AFA" w:rsidR="00132486" w:rsidRDefault="00132486" w:rsidP="00303B22">
      <w:pPr>
        <w:pStyle w:val="Els-body-text"/>
        <w:jc w:val="left"/>
        <w:rPr>
          <w:sz w:val="18"/>
          <w:szCs w:val="18"/>
        </w:rPr>
      </w:pPr>
      <w:r w:rsidRPr="00B3344E">
        <w:rPr>
          <w:sz w:val="18"/>
          <w:szCs w:val="18"/>
        </w:rPr>
        <w:lastRenderedPageBreak/>
        <w:t>Table 1. Summary of the main input data.</w:t>
      </w:r>
    </w:p>
    <w:tbl>
      <w:tblPr>
        <w:tblStyle w:val="Grigliatabella"/>
        <w:tblW w:w="7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1373"/>
        <w:gridCol w:w="2110"/>
        <w:gridCol w:w="1134"/>
        <w:gridCol w:w="1128"/>
      </w:tblGrid>
      <w:tr w:rsidR="00362047" w:rsidRPr="00CA6298" w14:paraId="2998267F" w14:textId="77777777" w:rsidTr="00823475">
        <w:tc>
          <w:tcPr>
            <w:tcW w:w="1332" w:type="dxa"/>
            <w:tcBorders>
              <w:top w:val="single" w:sz="4" w:space="0" w:color="auto"/>
              <w:bottom w:val="single" w:sz="4" w:space="0" w:color="auto"/>
            </w:tcBorders>
          </w:tcPr>
          <w:p w14:paraId="6D20883B" w14:textId="1B86CB30" w:rsidR="00362047" w:rsidRPr="00CA6298" w:rsidRDefault="00362047" w:rsidP="00B3344E">
            <w:pPr>
              <w:pStyle w:val="Els-body-text"/>
              <w:rPr>
                <w:sz w:val="18"/>
                <w:szCs w:val="18"/>
              </w:rPr>
            </w:pPr>
            <w:r w:rsidRPr="00CA6298">
              <w:rPr>
                <w:sz w:val="18"/>
                <w:szCs w:val="18"/>
              </w:rPr>
              <w:t>Plant</w:t>
            </w:r>
          </w:p>
        </w:tc>
        <w:tc>
          <w:tcPr>
            <w:tcW w:w="1373" w:type="dxa"/>
            <w:tcBorders>
              <w:top w:val="single" w:sz="4" w:space="0" w:color="auto"/>
              <w:bottom w:val="single" w:sz="4" w:space="0" w:color="auto"/>
            </w:tcBorders>
          </w:tcPr>
          <w:p w14:paraId="14172351" w14:textId="531D7009" w:rsidR="00362047" w:rsidRPr="00CA6298" w:rsidRDefault="00362047" w:rsidP="00B3344E">
            <w:pPr>
              <w:pStyle w:val="Els-body-text"/>
              <w:rPr>
                <w:sz w:val="18"/>
                <w:szCs w:val="18"/>
              </w:rPr>
            </w:pPr>
            <w:r w:rsidRPr="00CA6298">
              <w:rPr>
                <w:sz w:val="18"/>
                <w:szCs w:val="18"/>
              </w:rPr>
              <w:t>Component</w:t>
            </w:r>
          </w:p>
        </w:tc>
        <w:tc>
          <w:tcPr>
            <w:tcW w:w="2110" w:type="dxa"/>
            <w:tcBorders>
              <w:top w:val="single" w:sz="4" w:space="0" w:color="auto"/>
              <w:bottom w:val="single" w:sz="4" w:space="0" w:color="auto"/>
            </w:tcBorders>
          </w:tcPr>
          <w:p w14:paraId="56B292D9" w14:textId="3FF13D09" w:rsidR="00362047" w:rsidRPr="00CA6298" w:rsidRDefault="00362047" w:rsidP="00B3344E">
            <w:pPr>
              <w:pStyle w:val="Els-body-text"/>
              <w:rPr>
                <w:sz w:val="18"/>
                <w:szCs w:val="18"/>
              </w:rPr>
            </w:pPr>
            <w:r w:rsidRPr="00CA6298">
              <w:rPr>
                <w:sz w:val="18"/>
                <w:szCs w:val="18"/>
              </w:rPr>
              <w:t>Parameter</w:t>
            </w:r>
          </w:p>
        </w:tc>
        <w:tc>
          <w:tcPr>
            <w:tcW w:w="1134" w:type="dxa"/>
            <w:tcBorders>
              <w:top w:val="single" w:sz="4" w:space="0" w:color="auto"/>
              <w:bottom w:val="single" w:sz="4" w:space="0" w:color="auto"/>
            </w:tcBorders>
          </w:tcPr>
          <w:p w14:paraId="1BB8600F" w14:textId="72E132FD" w:rsidR="00362047" w:rsidRPr="00CA6298" w:rsidRDefault="00362047" w:rsidP="00DD0840">
            <w:pPr>
              <w:pStyle w:val="Els-body-text"/>
              <w:jc w:val="right"/>
              <w:rPr>
                <w:sz w:val="18"/>
                <w:szCs w:val="18"/>
              </w:rPr>
            </w:pPr>
            <w:r w:rsidRPr="00CA6298">
              <w:rPr>
                <w:sz w:val="18"/>
                <w:szCs w:val="18"/>
              </w:rPr>
              <w:t>Value</w:t>
            </w:r>
          </w:p>
        </w:tc>
        <w:tc>
          <w:tcPr>
            <w:tcW w:w="1128" w:type="dxa"/>
            <w:tcBorders>
              <w:top w:val="single" w:sz="4" w:space="0" w:color="auto"/>
              <w:bottom w:val="single" w:sz="4" w:space="0" w:color="auto"/>
            </w:tcBorders>
          </w:tcPr>
          <w:p w14:paraId="0B49CF08" w14:textId="6C43845E" w:rsidR="00362047" w:rsidRPr="00CA6298" w:rsidRDefault="00362047" w:rsidP="00B3344E">
            <w:pPr>
              <w:pStyle w:val="Els-body-text"/>
              <w:rPr>
                <w:sz w:val="18"/>
                <w:szCs w:val="18"/>
              </w:rPr>
            </w:pPr>
            <w:r w:rsidRPr="00CA6298">
              <w:rPr>
                <w:sz w:val="18"/>
                <w:szCs w:val="18"/>
              </w:rPr>
              <w:t>Unit</w:t>
            </w:r>
          </w:p>
        </w:tc>
      </w:tr>
      <w:tr w:rsidR="00362047" w:rsidRPr="00CA6298" w14:paraId="3B667DD9" w14:textId="77777777" w:rsidTr="00823475">
        <w:tc>
          <w:tcPr>
            <w:tcW w:w="1332" w:type="dxa"/>
            <w:tcBorders>
              <w:top w:val="single" w:sz="4" w:space="0" w:color="auto"/>
            </w:tcBorders>
          </w:tcPr>
          <w:p w14:paraId="4D099FA4" w14:textId="2BE39EA6" w:rsidR="00362047" w:rsidRPr="00CA6298" w:rsidRDefault="00CA6298" w:rsidP="00B3344E">
            <w:pPr>
              <w:pStyle w:val="Els-body-text"/>
              <w:rPr>
                <w:sz w:val="18"/>
                <w:szCs w:val="18"/>
              </w:rPr>
            </w:pPr>
            <w:r w:rsidRPr="00CA6298">
              <w:rPr>
                <w:sz w:val="18"/>
                <w:szCs w:val="18"/>
              </w:rPr>
              <w:t>SMR</w:t>
            </w:r>
          </w:p>
        </w:tc>
        <w:tc>
          <w:tcPr>
            <w:tcW w:w="1373" w:type="dxa"/>
            <w:tcBorders>
              <w:top w:val="single" w:sz="4" w:space="0" w:color="auto"/>
            </w:tcBorders>
          </w:tcPr>
          <w:p w14:paraId="053E37B0" w14:textId="419C651B" w:rsidR="00362047" w:rsidRPr="00CA6298" w:rsidRDefault="00CA6298" w:rsidP="00B3344E">
            <w:pPr>
              <w:pStyle w:val="Els-body-text"/>
              <w:rPr>
                <w:sz w:val="18"/>
                <w:szCs w:val="18"/>
              </w:rPr>
            </w:pPr>
            <w:r w:rsidRPr="00CA6298">
              <w:rPr>
                <w:sz w:val="18"/>
                <w:szCs w:val="18"/>
              </w:rPr>
              <w:t>Pre-reformer</w:t>
            </w:r>
          </w:p>
        </w:tc>
        <w:tc>
          <w:tcPr>
            <w:tcW w:w="2110" w:type="dxa"/>
            <w:tcBorders>
              <w:top w:val="single" w:sz="4" w:space="0" w:color="auto"/>
            </w:tcBorders>
          </w:tcPr>
          <w:p w14:paraId="3EEB1E00" w14:textId="65E511DD" w:rsidR="00362047" w:rsidRPr="00CA6298" w:rsidRDefault="00690E6C" w:rsidP="00B3344E">
            <w:pPr>
              <w:pStyle w:val="Els-body-text"/>
              <w:rPr>
                <w:sz w:val="18"/>
                <w:szCs w:val="18"/>
              </w:rPr>
            </w:pPr>
            <w:r>
              <w:rPr>
                <w:sz w:val="18"/>
                <w:szCs w:val="18"/>
              </w:rPr>
              <w:t>S</w:t>
            </w:r>
            <w:r w:rsidR="00B83CB0">
              <w:rPr>
                <w:sz w:val="18"/>
                <w:szCs w:val="18"/>
              </w:rPr>
              <w:t>team-to-carbon</w:t>
            </w:r>
          </w:p>
        </w:tc>
        <w:tc>
          <w:tcPr>
            <w:tcW w:w="1134" w:type="dxa"/>
            <w:tcBorders>
              <w:top w:val="single" w:sz="4" w:space="0" w:color="auto"/>
            </w:tcBorders>
          </w:tcPr>
          <w:p w14:paraId="5CEAAF47" w14:textId="04D22BC8" w:rsidR="00362047" w:rsidRPr="00CA6298" w:rsidRDefault="005057A5" w:rsidP="00DD0840">
            <w:pPr>
              <w:pStyle w:val="Els-body-text"/>
              <w:jc w:val="right"/>
              <w:rPr>
                <w:sz w:val="18"/>
                <w:szCs w:val="18"/>
              </w:rPr>
            </w:pPr>
            <w:r>
              <w:rPr>
                <w:sz w:val="18"/>
                <w:szCs w:val="18"/>
              </w:rPr>
              <w:t>3.4</w:t>
            </w:r>
          </w:p>
        </w:tc>
        <w:tc>
          <w:tcPr>
            <w:tcW w:w="1128" w:type="dxa"/>
            <w:tcBorders>
              <w:top w:val="single" w:sz="4" w:space="0" w:color="auto"/>
            </w:tcBorders>
          </w:tcPr>
          <w:p w14:paraId="3253295C" w14:textId="01544254" w:rsidR="00362047" w:rsidRPr="00CA6298" w:rsidRDefault="00961078" w:rsidP="00B3344E">
            <w:pPr>
              <w:pStyle w:val="Els-body-text"/>
              <w:rPr>
                <w:sz w:val="18"/>
                <w:szCs w:val="18"/>
              </w:rPr>
            </w:pPr>
            <w:r>
              <w:rPr>
                <w:sz w:val="18"/>
                <w:szCs w:val="18"/>
              </w:rPr>
              <w:t>mol/mol</w:t>
            </w:r>
          </w:p>
        </w:tc>
      </w:tr>
      <w:tr w:rsidR="00362047" w:rsidRPr="00CA6298" w14:paraId="22177152" w14:textId="77777777" w:rsidTr="00823475">
        <w:tc>
          <w:tcPr>
            <w:tcW w:w="1332" w:type="dxa"/>
          </w:tcPr>
          <w:p w14:paraId="65F6B5FC" w14:textId="77777777" w:rsidR="00362047" w:rsidRPr="00CA6298" w:rsidRDefault="00362047" w:rsidP="00B3344E">
            <w:pPr>
              <w:pStyle w:val="Els-body-text"/>
              <w:rPr>
                <w:sz w:val="18"/>
                <w:szCs w:val="18"/>
              </w:rPr>
            </w:pPr>
          </w:p>
        </w:tc>
        <w:tc>
          <w:tcPr>
            <w:tcW w:w="1373" w:type="dxa"/>
          </w:tcPr>
          <w:p w14:paraId="44B081AD" w14:textId="2474F05B" w:rsidR="00362047" w:rsidRPr="00CA6298" w:rsidRDefault="00CA6298" w:rsidP="00B3344E">
            <w:pPr>
              <w:pStyle w:val="Els-body-text"/>
              <w:rPr>
                <w:sz w:val="18"/>
                <w:szCs w:val="18"/>
              </w:rPr>
            </w:pPr>
            <w:r>
              <w:rPr>
                <w:sz w:val="18"/>
                <w:szCs w:val="18"/>
              </w:rPr>
              <w:t>Reformer</w:t>
            </w:r>
          </w:p>
        </w:tc>
        <w:tc>
          <w:tcPr>
            <w:tcW w:w="2110" w:type="dxa"/>
          </w:tcPr>
          <w:p w14:paraId="426BB0B9" w14:textId="1D51F366" w:rsidR="00362047" w:rsidRPr="00CA6298" w:rsidRDefault="00690E6C" w:rsidP="00B3344E">
            <w:pPr>
              <w:pStyle w:val="Els-body-text"/>
              <w:rPr>
                <w:sz w:val="18"/>
                <w:szCs w:val="18"/>
              </w:rPr>
            </w:pPr>
            <w:r>
              <w:rPr>
                <w:sz w:val="18"/>
                <w:szCs w:val="18"/>
              </w:rPr>
              <w:t>Outlet temperature</w:t>
            </w:r>
          </w:p>
        </w:tc>
        <w:tc>
          <w:tcPr>
            <w:tcW w:w="1134" w:type="dxa"/>
          </w:tcPr>
          <w:p w14:paraId="3867921C" w14:textId="02F2168D" w:rsidR="00362047" w:rsidRPr="00CA6298" w:rsidRDefault="005057A5" w:rsidP="00DD0840">
            <w:pPr>
              <w:pStyle w:val="Els-body-text"/>
              <w:jc w:val="right"/>
              <w:rPr>
                <w:sz w:val="18"/>
                <w:szCs w:val="18"/>
              </w:rPr>
            </w:pPr>
            <w:r>
              <w:rPr>
                <w:sz w:val="18"/>
                <w:szCs w:val="18"/>
              </w:rPr>
              <w:t>890</w:t>
            </w:r>
          </w:p>
        </w:tc>
        <w:tc>
          <w:tcPr>
            <w:tcW w:w="1128" w:type="dxa"/>
          </w:tcPr>
          <w:p w14:paraId="785CFB09" w14:textId="323417C9" w:rsidR="00362047" w:rsidRPr="00CA6298" w:rsidRDefault="00961078" w:rsidP="00B3344E">
            <w:pPr>
              <w:pStyle w:val="Els-body-text"/>
              <w:rPr>
                <w:sz w:val="18"/>
                <w:szCs w:val="18"/>
              </w:rPr>
            </w:pPr>
            <w:r>
              <w:rPr>
                <w:sz w:val="18"/>
                <w:szCs w:val="18"/>
              </w:rPr>
              <w:t>°C</w:t>
            </w:r>
          </w:p>
        </w:tc>
      </w:tr>
      <w:tr w:rsidR="00362047" w:rsidRPr="00CA6298" w14:paraId="793DA24B" w14:textId="77777777" w:rsidTr="00823475">
        <w:tc>
          <w:tcPr>
            <w:tcW w:w="1332" w:type="dxa"/>
          </w:tcPr>
          <w:p w14:paraId="786323BD" w14:textId="77777777" w:rsidR="00362047" w:rsidRPr="00CA6298" w:rsidRDefault="00362047" w:rsidP="00B3344E">
            <w:pPr>
              <w:pStyle w:val="Els-body-text"/>
              <w:rPr>
                <w:sz w:val="18"/>
                <w:szCs w:val="18"/>
              </w:rPr>
            </w:pPr>
          </w:p>
        </w:tc>
        <w:tc>
          <w:tcPr>
            <w:tcW w:w="1373" w:type="dxa"/>
          </w:tcPr>
          <w:p w14:paraId="0E5EF868" w14:textId="2DAAA4CD" w:rsidR="00362047" w:rsidRPr="00CA6298" w:rsidRDefault="00CA6298" w:rsidP="00B3344E">
            <w:pPr>
              <w:pStyle w:val="Els-body-text"/>
              <w:rPr>
                <w:sz w:val="18"/>
                <w:szCs w:val="18"/>
              </w:rPr>
            </w:pPr>
            <w:r>
              <w:rPr>
                <w:sz w:val="18"/>
                <w:szCs w:val="18"/>
              </w:rPr>
              <w:t>PSA</w:t>
            </w:r>
          </w:p>
        </w:tc>
        <w:tc>
          <w:tcPr>
            <w:tcW w:w="2110" w:type="dxa"/>
          </w:tcPr>
          <w:p w14:paraId="6C6C733D" w14:textId="566ECFD2" w:rsidR="00362047" w:rsidRPr="00CA6298" w:rsidRDefault="00690E6C" w:rsidP="00B3344E">
            <w:pPr>
              <w:pStyle w:val="Els-body-text"/>
              <w:rPr>
                <w:sz w:val="18"/>
                <w:szCs w:val="18"/>
              </w:rPr>
            </w:pPr>
            <w:r>
              <w:rPr>
                <w:sz w:val="18"/>
                <w:szCs w:val="18"/>
              </w:rPr>
              <w:t>H</w:t>
            </w:r>
            <w:r w:rsidRPr="00510DBA">
              <w:rPr>
                <w:sz w:val="18"/>
                <w:szCs w:val="18"/>
                <w:vertAlign w:val="subscript"/>
              </w:rPr>
              <w:t>2</w:t>
            </w:r>
            <w:r>
              <w:rPr>
                <w:sz w:val="18"/>
                <w:szCs w:val="18"/>
              </w:rPr>
              <w:t xml:space="preserve"> recovery</w:t>
            </w:r>
          </w:p>
        </w:tc>
        <w:tc>
          <w:tcPr>
            <w:tcW w:w="1134" w:type="dxa"/>
          </w:tcPr>
          <w:p w14:paraId="178DD39D" w14:textId="705A8D47" w:rsidR="00362047" w:rsidRPr="00CA6298" w:rsidRDefault="005057A5" w:rsidP="00DD0840">
            <w:pPr>
              <w:pStyle w:val="Els-body-text"/>
              <w:jc w:val="right"/>
              <w:rPr>
                <w:sz w:val="18"/>
                <w:szCs w:val="18"/>
              </w:rPr>
            </w:pPr>
            <w:r>
              <w:rPr>
                <w:sz w:val="18"/>
                <w:szCs w:val="18"/>
              </w:rPr>
              <w:t>90</w:t>
            </w:r>
          </w:p>
        </w:tc>
        <w:tc>
          <w:tcPr>
            <w:tcW w:w="1128" w:type="dxa"/>
          </w:tcPr>
          <w:p w14:paraId="36FBE99B" w14:textId="138139D3" w:rsidR="00362047" w:rsidRPr="00CA6298" w:rsidRDefault="00961078" w:rsidP="00B3344E">
            <w:pPr>
              <w:pStyle w:val="Els-body-text"/>
              <w:rPr>
                <w:sz w:val="18"/>
                <w:szCs w:val="18"/>
              </w:rPr>
            </w:pPr>
            <w:r>
              <w:rPr>
                <w:sz w:val="18"/>
                <w:szCs w:val="18"/>
              </w:rPr>
              <w:t>%</w:t>
            </w:r>
          </w:p>
        </w:tc>
      </w:tr>
      <w:tr w:rsidR="00362047" w:rsidRPr="00CA6298" w14:paraId="04EEE538" w14:textId="77777777" w:rsidTr="00823475">
        <w:tc>
          <w:tcPr>
            <w:tcW w:w="1332" w:type="dxa"/>
          </w:tcPr>
          <w:p w14:paraId="4C87FFEC" w14:textId="77777777" w:rsidR="00362047" w:rsidRPr="00CA6298" w:rsidRDefault="00362047" w:rsidP="00B3344E">
            <w:pPr>
              <w:pStyle w:val="Els-body-text"/>
              <w:rPr>
                <w:sz w:val="18"/>
                <w:szCs w:val="18"/>
              </w:rPr>
            </w:pPr>
          </w:p>
        </w:tc>
        <w:tc>
          <w:tcPr>
            <w:tcW w:w="1373" w:type="dxa"/>
          </w:tcPr>
          <w:p w14:paraId="1871D123" w14:textId="786FD683" w:rsidR="00362047" w:rsidRPr="00CA6298" w:rsidRDefault="00CA6298" w:rsidP="00B3344E">
            <w:pPr>
              <w:pStyle w:val="Els-body-text"/>
              <w:rPr>
                <w:sz w:val="18"/>
                <w:szCs w:val="18"/>
              </w:rPr>
            </w:pPr>
            <w:r>
              <w:rPr>
                <w:sz w:val="18"/>
                <w:szCs w:val="18"/>
              </w:rPr>
              <w:t>LP steam</w:t>
            </w:r>
          </w:p>
        </w:tc>
        <w:tc>
          <w:tcPr>
            <w:tcW w:w="2110" w:type="dxa"/>
          </w:tcPr>
          <w:p w14:paraId="6170DB5E" w14:textId="13007F57" w:rsidR="00362047" w:rsidRPr="00CA6298" w:rsidRDefault="00690E6C" w:rsidP="00B3344E">
            <w:pPr>
              <w:pStyle w:val="Els-body-text"/>
              <w:rPr>
                <w:sz w:val="18"/>
                <w:szCs w:val="18"/>
              </w:rPr>
            </w:pPr>
            <w:r>
              <w:rPr>
                <w:sz w:val="18"/>
                <w:szCs w:val="18"/>
              </w:rPr>
              <w:t>Pressure</w:t>
            </w:r>
          </w:p>
        </w:tc>
        <w:tc>
          <w:tcPr>
            <w:tcW w:w="1134" w:type="dxa"/>
          </w:tcPr>
          <w:p w14:paraId="419C9312" w14:textId="5CEAC637" w:rsidR="00362047" w:rsidRPr="00CA6298" w:rsidRDefault="005057A5" w:rsidP="00DD0840">
            <w:pPr>
              <w:pStyle w:val="Els-body-text"/>
              <w:jc w:val="right"/>
              <w:rPr>
                <w:sz w:val="18"/>
                <w:szCs w:val="18"/>
              </w:rPr>
            </w:pPr>
            <w:r>
              <w:rPr>
                <w:sz w:val="18"/>
                <w:szCs w:val="18"/>
              </w:rPr>
              <w:t>6</w:t>
            </w:r>
          </w:p>
        </w:tc>
        <w:tc>
          <w:tcPr>
            <w:tcW w:w="1128" w:type="dxa"/>
          </w:tcPr>
          <w:p w14:paraId="2EC2DEED" w14:textId="4D9BB5E1" w:rsidR="00362047" w:rsidRPr="00CA6298" w:rsidRDefault="00961078" w:rsidP="00B3344E">
            <w:pPr>
              <w:pStyle w:val="Els-body-text"/>
              <w:rPr>
                <w:sz w:val="18"/>
                <w:szCs w:val="18"/>
              </w:rPr>
            </w:pPr>
            <w:r>
              <w:rPr>
                <w:sz w:val="18"/>
                <w:szCs w:val="18"/>
              </w:rPr>
              <w:t>bar</w:t>
            </w:r>
          </w:p>
        </w:tc>
      </w:tr>
      <w:tr w:rsidR="00362047" w:rsidRPr="00CA6298" w14:paraId="06D1AB5C" w14:textId="77777777" w:rsidTr="00823475">
        <w:tc>
          <w:tcPr>
            <w:tcW w:w="1332" w:type="dxa"/>
            <w:tcBorders>
              <w:bottom w:val="single" w:sz="4" w:space="0" w:color="auto"/>
            </w:tcBorders>
          </w:tcPr>
          <w:p w14:paraId="5BDC54E2" w14:textId="77777777" w:rsidR="00362047" w:rsidRPr="00CA6298" w:rsidRDefault="00362047" w:rsidP="00B3344E">
            <w:pPr>
              <w:pStyle w:val="Els-body-text"/>
              <w:rPr>
                <w:sz w:val="18"/>
                <w:szCs w:val="18"/>
              </w:rPr>
            </w:pPr>
          </w:p>
        </w:tc>
        <w:tc>
          <w:tcPr>
            <w:tcW w:w="1373" w:type="dxa"/>
            <w:tcBorders>
              <w:bottom w:val="single" w:sz="4" w:space="0" w:color="auto"/>
            </w:tcBorders>
          </w:tcPr>
          <w:p w14:paraId="2EB13D24" w14:textId="739DD33F" w:rsidR="00362047" w:rsidRPr="00CA6298" w:rsidRDefault="00CA6298" w:rsidP="00B3344E">
            <w:pPr>
              <w:pStyle w:val="Els-body-text"/>
              <w:rPr>
                <w:sz w:val="18"/>
                <w:szCs w:val="18"/>
              </w:rPr>
            </w:pPr>
            <w:r>
              <w:rPr>
                <w:sz w:val="18"/>
                <w:szCs w:val="18"/>
              </w:rPr>
              <w:t>HP steam</w:t>
            </w:r>
          </w:p>
        </w:tc>
        <w:tc>
          <w:tcPr>
            <w:tcW w:w="2110" w:type="dxa"/>
            <w:tcBorders>
              <w:bottom w:val="single" w:sz="4" w:space="0" w:color="auto"/>
            </w:tcBorders>
          </w:tcPr>
          <w:p w14:paraId="60835C27" w14:textId="0D29F6C8" w:rsidR="00362047" w:rsidRPr="00CA6298" w:rsidRDefault="00690E6C" w:rsidP="00B3344E">
            <w:pPr>
              <w:pStyle w:val="Els-body-text"/>
              <w:rPr>
                <w:sz w:val="18"/>
                <w:szCs w:val="18"/>
              </w:rPr>
            </w:pPr>
            <w:r>
              <w:rPr>
                <w:sz w:val="18"/>
                <w:szCs w:val="18"/>
              </w:rPr>
              <w:t>Pressure/temperature</w:t>
            </w:r>
          </w:p>
        </w:tc>
        <w:tc>
          <w:tcPr>
            <w:tcW w:w="1134" w:type="dxa"/>
            <w:tcBorders>
              <w:bottom w:val="single" w:sz="4" w:space="0" w:color="auto"/>
            </w:tcBorders>
          </w:tcPr>
          <w:p w14:paraId="2A732859" w14:textId="225E66DB" w:rsidR="00362047" w:rsidRPr="00CA6298" w:rsidRDefault="005057A5" w:rsidP="00DD0840">
            <w:pPr>
              <w:pStyle w:val="Els-body-text"/>
              <w:jc w:val="right"/>
              <w:rPr>
                <w:sz w:val="18"/>
                <w:szCs w:val="18"/>
              </w:rPr>
            </w:pPr>
            <w:r>
              <w:rPr>
                <w:sz w:val="18"/>
                <w:szCs w:val="18"/>
              </w:rPr>
              <w:t>100/485</w:t>
            </w:r>
          </w:p>
        </w:tc>
        <w:tc>
          <w:tcPr>
            <w:tcW w:w="1128" w:type="dxa"/>
            <w:tcBorders>
              <w:bottom w:val="single" w:sz="4" w:space="0" w:color="auto"/>
            </w:tcBorders>
          </w:tcPr>
          <w:p w14:paraId="1EDFB28E" w14:textId="14E05A31" w:rsidR="00362047" w:rsidRPr="00CA6298" w:rsidRDefault="00961078" w:rsidP="00B3344E">
            <w:pPr>
              <w:pStyle w:val="Els-body-text"/>
              <w:rPr>
                <w:sz w:val="18"/>
                <w:szCs w:val="18"/>
              </w:rPr>
            </w:pPr>
            <w:r>
              <w:rPr>
                <w:sz w:val="18"/>
                <w:szCs w:val="18"/>
              </w:rPr>
              <w:t>bar/°C</w:t>
            </w:r>
          </w:p>
        </w:tc>
      </w:tr>
      <w:tr w:rsidR="00362047" w:rsidRPr="00CA6298" w14:paraId="108833C9" w14:textId="77777777" w:rsidTr="00823475">
        <w:tc>
          <w:tcPr>
            <w:tcW w:w="1332" w:type="dxa"/>
            <w:tcBorders>
              <w:top w:val="single" w:sz="4" w:space="0" w:color="auto"/>
            </w:tcBorders>
          </w:tcPr>
          <w:p w14:paraId="34A79D9F" w14:textId="43996359" w:rsidR="00362047" w:rsidRPr="00CA6298" w:rsidRDefault="00B83CB0" w:rsidP="00B3344E">
            <w:pPr>
              <w:pStyle w:val="Els-body-text"/>
              <w:rPr>
                <w:sz w:val="18"/>
                <w:szCs w:val="18"/>
              </w:rPr>
            </w:pPr>
            <w:r>
              <w:rPr>
                <w:sz w:val="18"/>
                <w:szCs w:val="18"/>
              </w:rPr>
              <w:t>MEA</w:t>
            </w:r>
          </w:p>
        </w:tc>
        <w:tc>
          <w:tcPr>
            <w:tcW w:w="1373" w:type="dxa"/>
            <w:tcBorders>
              <w:top w:val="single" w:sz="4" w:space="0" w:color="auto"/>
            </w:tcBorders>
          </w:tcPr>
          <w:p w14:paraId="1D56B541" w14:textId="4504FD21" w:rsidR="00362047" w:rsidRPr="00CA6298" w:rsidRDefault="00CA6298" w:rsidP="00B3344E">
            <w:pPr>
              <w:pStyle w:val="Els-body-text"/>
              <w:rPr>
                <w:sz w:val="18"/>
                <w:szCs w:val="18"/>
              </w:rPr>
            </w:pPr>
            <w:r>
              <w:rPr>
                <w:sz w:val="18"/>
                <w:szCs w:val="18"/>
              </w:rPr>
              <w:t>CO</w:t>
            </w:r>
            <w:r w:rsidRPr="00B83CB0">
              <w:rPr>
                <w:sz w:val="18"/>
                <w:szCs w:val="18"/>
                <w:vertAlign w:val="subscript"/>
              </w:rPr>
              <w:t>2</w:t>
            </w:r>
            <w:r>
              <w:rPr>
                <w:sz w:val="18"/>
                <w:szCs w:val="18"/>
              </w:rPr>
              <w:t xml:space="preserve"> separation</w:t>
            </w:r>
          </w:p>
        </w:tc>
        <w:tc>
          <w:tcPr>
            <w:tcW w:w="2110" w:type="dxa"/>
            <w:tcBorders>
              <w:top w:val="single" w:sz="4" w:space="0" w:color="auto"/>
            </w:tcBorders>
          </w:tcPr>
          <w:p w14:paraId="227445F2" w14:textId="09C179DB" w:rsidR="00362047" w:rsidRPr="00CA6298" w:rsidRDefault="008D51A4" w:rsidP="00B3344E">
            <w:pPr>
              <w:pStyle w:val="Els-body-text"/>
              <w:rPr>
                <w:sz w:val="18"/>
                <w:szCs w:val="18"/>
              </w:rPr>
            </w:pPr>
            <w:r>
              <w:rPr>
                <w:sz w:val="18"/>
                <w:szCs w:val="18"/>
              </w:rPr>
              <w:t>Efficiency</w:t>
            </w:r>
          </w:p>
        </w:tc>
        <w:tc>
          <w:tcPr>
            <w:tcW w:w="1134" w:type="dxa"/>
            <w:tcBorders>
              <w:top w:val="single" w:sz="4" w:space="0" w:color="auto"/>
            </w:tcBorders>
          </w:tcPr>
          <w:p w14:paraId="61AC2BC1" w14:textId="79017C82" w:rsidR="00362047" w:rsidRPr="00CA6298" w:rsidRDefault="007C2587" w:rsidP="00DD0840">
            <w:pPr>
              <w:pStyle w:val="Els-body-text"/>
              <w:jc w:val="right"/>
              <w:rPr>
                <w:sz w:val="18"/>
                <w:szCs w:val="18"/>
              </w:rPr>
            </w:pPr>
            <w:r>
              <w:rPr>
                <w:sz w:val="18"/>
                <w:szCs w:val="18"/>
              </w:rPr>
              <w:t>90</w:t>
            </w:r>
          </w:p>
        </w:tc>
        <w:tc>
          <w:tcPr>
            <w:tcW w:w="1128" w:type="dxa"/>
            <w:tcBorders>
              <w:top w:val="single" w:sz="4" w:space="0" w:color="auto"/>
            </w:tcBorders>
          </w:tcPr>
          <w:p w14:paraId="251778F6" w14:textId="7DF0BF99" w:rsidR="00362047" w:rsidRPr="00CA6298" w:rsidRDefault="00961078" w:rsidP="00B3344E">
            <w:pPr>
              <w:pStyle w:val="Els-body-text"/>
              <w:rPr>
                <w:sz w:val="18"/>
                <w:szCs w:val="18"/>
              </w:rPr>
            </w:pPr>
            <w:r>
              <w:rPr>
                <w:sz w:val="18"/>
                <w:szCs w:val="18"/>
              </w:rPr>
              <w:t>%</w:t>
            </w:r>
          </w:p>
        </w:tc>
      </w:tr>
      <w:tr w:rsidR="00362047" w:rsidRPr="00CA6298" w14:paraId="50E8EFD2" w14:textId="77777777" w:rsidTr="00823475">
        <w:tc>
          <w:tcPr>
            <w:tcW w:w="1332" w:type="dxa"/>
            <w:tcBorders>
              <w:bottom w:val="single" w:sz="4" w:space="0" w:color="auto"/>
            </w:tcBorders>
          </w:tcPr>
          <w:p w14:paraId="54376542" w14:textId="77777777" w:rsidR="00362047" w:rsidRPr="00CA6298" w:rsidRDefault="00362047" w:rsidP="00B3344E">
            <w:pPr>
              <w:pStyle w:val="Els-body-text"/>
              <w:rPr>
                <w:sz w:val="18"/>
                <w:szCs w:val="18"/>
              </w:rPr>
            </w:pPr>
          </w:p>
        </w:tc>
        <w:tc>
          <w:tcPr>
            <w:tcW w:w="1373" w:type="dxa"/>
            <w:tcBorders>
              <w:bottom w:val="single" w:sz="4" w:space="0" w:color="auto"/>
            </w:tcBorders>
          </w:tcPr>
          <w:p w14:paraId="6C347A81" w14:textId="04E45265" w:rsidR="00362047" w:rsidRPr="00CA6298" w:rsidRDefault="00B83CB0" w:rsidP="00B3344E">
            <w:pPr>
              <w:pStyle w:val="Els-body-text"/>
              <w:rPr>
                <w:sz w:val="18"/>
                <w:szCs w:val="18"/>
              </w:rPr>
            </w:pPr>
            <w:r>
              <w:rPr>
                <w:sz w:val="18"/>
                <w:szCs w:val="18"/>
              </w:rPr>
              <w:t>CO</w:t>
            </w:r>
            <w:r w:rsidRPr="00B83CB0">
              <w:rPr>
                <w:sz w:val="18"/>
                <w:szCs w:val="18"/>
                <w:vertAlign w:val="subscript"/>
              </w:rPr>
              <w:t>2</w:t>
            </w:r>
            <w:r>
              <w:rPr>
                <w:sz w:val="18"/>
                <w:szCs w:val="18"/>
              </w:rPr>
              <w:t xml:space="preserve"> separation</w:t>
            </w:r>
          </w:p>
        </w:tc>
        <w:tc>
          <w:tcPr>
            <w:tcW w:w="2110" w:type="dxa"/>
            <w:tcBorders>
              <w:bottom w:val="single" w:sz="4" w:space="0" w:color="auto"/>
            </w:tcBorders>
          </w:tcPr>
          <w:p w14:paraId="344C856D" w14:textId="66446517" w:rsidR="00362047" w:rsidRPr="00CA6298" w:rsidRDefault="008D51A4" w:rsidP="00B3344E">
            <w:pPr>
              <w:pStyle w:val="Els-body-text"/>
              <w:rPr>
                <w:sz w:val="18"/>
                <w:szCs w:val="18"/>
              </w:rPr>
            </w:pPr>
            <w:r>
              <w:rPr>
                <w:sz w:val="18"/>
                <w:szCs w:val="18"/>
              </w:rPr>
              <w:t>Reboiler duty</w:t>
            </w:r>
          </w:p>
        </w:tc>
        <w:tc>
          <w:tcPr>
            <w:tcW w:w="1134" w:type="dxa"/>
            <w:tcBorders>
              <w:bottom w:val="single" w:sz="4" w:space="0" w:color="auto"/>
            </w:tcBorders>
          </w:tcPr>
          <w:p w14:paraId="76A76310" w14:textId="032593C0" w:rsidR="00362047" w:rsidRPr="00CA6298" w:rsidRDefault="007C2587" w:rsidP="00DD0840">
            <w:pPr>
              <w:pStyle w:val="Els-body-text"/>
              <w:jc w:val="right"/>
              <w:rPr>
                <w:sz w:val="18"/>
                <w:szCs w:val="18"/>
              </w:rPr>
            </w:pPr>
            <w:r>
              <w:rPr>
                <w:sz w:val="18"/>
                <w:szCs w:val="18"/>
              </w:rPr>
              <w:t>3.57</w:t>
            </w:r>
          </w:p>
        </w:tc>
        <w:tc>
          <w:tcPr>
            <w:tcW w:w="1128" w:type="dxa"/>
            <w:tcBorders>
              <w:bottom w:val="single" w:sz="4" w:space="0" w:color="auto"/>
            </w:tcBorders>
          </w:tcPr>
          <w:p w14:paraId="0E904D0F" w14:textId="59DF71D6" w:rsidR="00362047" w:rsidRPr="00CA6298" w:rsidRDefault="002B594C" w:rsidP="00B3344E">
            <w:pPr>
              <w:pStyle w:val="Els-body-text"/>
              <w:rPr>
                <w:sz w:val="18"/>
                <w:szCs w:val="18"/>
              </w:rPr>
            </w:pPr>
            <w:r>
              <w:rPr>
                <w:sz w:val="18"/>
                <w:szCs w:val="18"/>
              </w:rPr>
              <w:t>GJ/t CO</w:t>
            </w:r>
            <w:r w:rsidRPr="002B594C">
              <w:rPr>
                <w:sz w:val="18"/>
                <w:szCs w:val="18"/>
                <w:vertAlign w:val="subscript"/>
              </w:rPr>
              <w:t>2</w:t>
            </w:r>
          </w:p>
        </w:tc>
      </w:tr>
      <w:tr w:rsidR="00362047" w:rsidRPr="00CA6298" w14:paraId="409AAA6C" w14:textId="77777777" w:rsidTr="00823475">
        <w:tc>
          <w:tcPr>
            <w:tcW w:w="1332" w:type="dxa"/>
            <w:tcBorders>
              <w:top w:val="single" w:sz="4" w:space="0" w:color="auto"/>
            </w:tcBorders>
          </w:tcPr>
          <w:p w14:paraId="13452E0C" w14:textId="58068A2F" w:rsidR="00362047" w:rsidRPr="00CA6298" w:rsidRDefault="00B83CB0" w:rsidP="00B3344E">
            <w:pPr>
              <w:pStyle w:val="Els-body-text"/>
              <w:rPr>
                <w:sz w:val="18"/>
                <w:szCs w:val="18"/>
              </w:rPr>
            </w:pPr>
            <w:r>
              <w:rPr>
                <w:sz w:val="18"/>
                <w:szCs w:val="18"/>
              </w:rPr>
              <w:t>MCFC</w:t>
            </w:r>
          </w:p>
        </w:tc>
        <w:tc>
          <w:tcPr>
            <w:tcW w:w="1373" w:type="dxa"/>
            <w:tcBorders>
              <w:top w:val="single" w:sz="4" w:space="0" w:color="auto"/>
            </w:tcBorders>
          </w:tcPr>
          <w:p w14:paraId="60044545" w14:textId="5A331EF6" w:rsidR="00362047" w:rsidRPr="00CA6298" w:rsidRDefault="00B83CB0" w:rsidP="00B3344E">
            <w:pPr>
              <w:pStyle w:val="Els-body-text"/>
              <w:rPr>
                <w:sz w:val="18"/>
                <w:szCs w:val="18"/>
              </w:rPr>
            </w:pPr>
            <w:r>
              <w:rPr>
                <w:sz w:val="18"/>
                <w:szCs w:val="18"/>
              </w:rPr>
              <w:t>Cathode</w:t>
            </w:r>
          </w:p>
        </w:tc>
        <w:tc>
          <w:tcPr>
            <w:tcW w:w="2110" w:type="dxa"/>
            <w:tcBorders>
              <w:top w:val="single" w:sz="4" w:space="0" w:color="auto"/>
            </w:tcBorders>
          </w:tcPr>
          <w:p w14:paraId="1EE249C6" w14:textId="270939CF" w:rsidR="00362047" w:rsidRPr="00CA6298" w:rsidRDefault="008D51A4" w:rsidP="00B3344E">
            <w:pPr>
              <w:pStyle w:val="Els-body-text"/>
              <w:rPr>
                <w:sz w:val="18"/>
                <w:szCs w:val="18"/>
              </w:rPr>
            </w:pPr>
            <w:r>
              <w:rPr>
                <w:sz w:val="18"/>
                <w:szCs w:val="18"/>
              </w:rPr>
              <w:t>Inlet temperature</w:t>
            </w:r>
          </w:p>
        </w:tc>
        <w:tc>
          <w:tcPr>
            <w:tcW w:w="1134" w:type="dxa"/>
            <w:tcBorders>
              <w:top w:val="single" w:sz="4" w:space="0" w:color="auto"/>
            </w:tcBorders>
          </w:tcPr>
          <w:p w14:paraId="6A35055F" w14:textId="3EBCE089" w:rsidR="00362047" w:rsidRPr="00CA6298" w:rsidRDefault="007C2587" w:rsidP="00DD0840">
            <w:pPr>
              <w:pStyle w:val="Els-body-text"/>
              <w:jc w:val="right"/>
              <w:rPr>
                <w:sz w:val="18"/>
                <w:szCs w:val="18"/>
              </w:rPr>
            </w:pPr>
            <w:r>
              <w:rPr>
                <w:sz w:val="18"/>
                <w:szCs w:val="18"/>
              </w:rPr>
              <w:t>575</w:t>
            </w:r>
          </w:p>
        </w:tc>
        <w:tc>
          <w:tcPr>
            <w:tcW w:w="1128" w:type="dxa"/>
            <w:tcBorders>
              <w:top w:val="single" w:sz="4" w:space="0" w:color="auto"/>
            </w:tcBorders>
          </w:tcPr>
          <w:p w14:paraId="0F1C028E" w14:textId="7CCE4B4E" w:rsidR="00362047" w:rsidRPr="00CA6298" w:rsidRDefault="002B594C" w:rsidP="00B3344E">
            <w:pPr>
              <w:pStyle w:val="Els-body-text"/>
              <w:rPr>
                <w:sz w:val="18"/>
                <w:szCs w:val="18"/>
              </w:rPr>
            </w:pPr>
            <w:r>
              <w:rPr>
                <w:sz w:val="18"/>
                <w:szCs w:val="18"/>
              </w:rPr>
              <w:t>°C</w:t>
            </w:r>
          </w:p>
        </w:tc>
      </w:tr>
      <w:tr w:rsidR="00362047" w:rsidRPr="00CA6298" w14:paraId="3D4B992C" w14:textId="77777777" w:rsidTr="00823475">
        <w:tc>
          <w:tcPr>
            <w:tcW w:w="1332" w:type="dxa"/>
          </w:tcPr>
          <w:p w14:paraId="0888CADA" w14:textId="77777777" w:rsidR="00362047" w:rsidRPr="00CA6298" w:rsidRDefault="00362047" w:rsidP="00B3344E">
            <w:pPr>
              <w:pStyle w:val="Els-body-text"/>
              <w:rPr>
                <w:sz w:val="18"/>
                <w:szCs w:val="18"/>
              </w:rPr>
            </w:pPr>
          </w:p>
        </w:tc>
        <w:tc>
          <w:tcPr>
            <w:tcW w:w="1373" w:type="dxa"/>
          </w:tcPr>
          <w:p w14:paraId="02DAC9F7" w14:textId="1EC30408" w:rsidR="00362047" w:rsidRPr="00CA6298" w:rsidRDefault="00B83CB0" w:rsidP="00B3344E">
            <w:pPr>
              <w:pStyle w:val="Els-body-text"/>
              <w:rPr>
                <w:sz w:val="18"/>
                <w:szCs w:val="18"/>
              </w:rPr>
            </w:pPr>
            <w:r>
              <w:rPr>
                <w:sz w:val="18"/>
                <w:szCs w:val="18"/>
              </w:rPr>
              <w:t>Cathode</w:t>
            </w:r>
          </w:p>
        </w:tc>
        <w:tc>
          <w:tcPr>
            <w:tcW w:w="2110" w:type="dxa"/>
          </w:tcPr>
          <w:p w14:paraId="1E82C81F" w14:textId="1CA1CB0C" w:rsidR="00362047" w:rsidRPr="00CA6298" w:rsidRDefault="008D51A4" w:rsidP="00B3344E">
            <w:pPr>
              <w:pStyle w:val="Els-body-text"/>
              <w:rPr>
                <w:sz w:val="18"/>
                <w:szCs w:val="18"/>
              </w:rPr>
            </w:pPr>
            <w:r>
              <w:rPr>
                <w:sz w:val="18"/>
                <w:szCs w:val="18"/>
              </w:rPr>
              <w:t>Outlet temperature</w:t>
            </w:r>
          </w:p>
        </w:tc>
        <w:tc>
          <w:tcPr>
            <w:tcW w:w="1134" w:type="dxa"/>
          </w:tcPr>
          <w:p w14:paraId="1A441A5E" w14:textId="54566C8C" w:rsidR="00362047" w:rsidRPr="00CA6298" w:rsidRDefault="007C2587" w:rsidP="00DD0840">
            <w:pPr>
              <w:pStyle w:val="Els-body-text"/>
              <w:jc w:val="right"/>
              <w:rPr>
                <w:sz w:val="18"/>
                <w:szCs w:val="18"/>
              </w:rPr>
            </w:pPr>
            <w:r>
              <w:rPr>
                <w:sz w:val="18"/>
                <w:szCs w:val="18"/>
              </w:rPr>
              <w:t>645</w:t>
            </w:r>
          </w:p>
        </w:tc>
        <w:tc>
          <w:tcPr>
            <w:tcW w:w="1128" w:type="dxa"/>
          </w:tcPr>
          <w:p w14:paraId="41B44F1B" w14:textId="5B6F2B73" w:rsidR="00362047" w:rsidRPr="00CA6298" w:rsidRDefault="002B594C" w:rsidP="00B3344E">
            <w:pPr>
              <w:pStyle w:val="Els-body-text"/>
              <w:rPr>
                <w:sz w:val="18"/>
                <w:szCs w:val="18"/>
              </w:rPr>
            </w:pPr>
            <w:r>
              <w:rPr>
                <w:sz w:val="18"/>
                <w:szCs w:val="18"/>
              </w:rPr>
              <w:t>°C</w:t>
            </w:r>
          </w:p>
        </w:tc>
      </w:tr>
      <w:tr w:rsidR="00362047" w:rsidRPr="00CA6298" w14:paraId="76517B6D" w14:textId="77777777" w:rsidTr="00823475">
        <w:tc>
          <w:tcPr>
            <w:tcW w:w="1332" w:type="dxa"/>
          </w:tcPr>
          <w:p w14:paraId="18400913" w14:textId="77777777" w:rsidR="00362047" w:rsidRPr="00CA6298" w:rsidRDefault="00362047" w:rsidP="00B3344E">
            <w:pPr>
              <w:pStyle w:val="Els-body-text"/>
              <w:rPr>
                <w:sz w:val="18"/>
                <w:szCs w:val="18"/>
              </w:rPr>
            </w:pPr>
          </w:p>
        </w:tc>
        <w:tc>
          <w:tcPr>
            <w:tcW w:w="1373" w:type="dxa"/>
          </w:tcPr>
          <w:p w14:paraId="6BA8DA71" w14:textId="4FCDE64A" w:rsidR="00362047" w:rsidRPr="00CA6298" w:rsidRDefault="00B83CB0" w:rsidP="00B3344E">
            <w:pPr>
              <w:pStyle w:val="Els-body-text"/>
              <w:rPr>
                <w:sz w:val="18"/>
                <w:szCs w:val="18"/>
              </w:rPr>
            </w:pPr>
            <w:r>
              <w:rPr>
                <w:sz w:val="18"/>
                <w:szCs w:val="18"/>
              </w:rPr>
              <w:t>Cathode</w:t>
            </w:r>
          </w:p>
        </w:tc>
        <w:tc>
          <w:tcPr>
            <w:tcW w:w="2110" w:type="dxa"/>
          </w:tcPr>
          <w:p w14:paraId="47D11843" w14:textId="6D89640D" w:rsidR="00362047" w:rsidRPr="00CA6298" w:rsidRDefault="00510DBA" w:rsidP="00B3344E">
            <w:pPr>
              <w:pStyle w:val="Els-body-text"/>
              <w:rPr>
                <w:sz w:val="18"/>
                <w:szCs w:val="18"/>
              </w:rPr>
            </w:pPr>
            <w:r>
              <w:rPr>
                <w:sz w:val="18"/>
                <w:szCs w:val="18"/>
              </w:rPr>
              <w:t>CO</w:t>
            </w:r>
            <w:r w:rsidRPr="00510DBA">
              <w:rPr>
                <w:sz w:val="18"/>
                <w:szCs w:val="18"/>
                <w:vertAlign w:val="subscript"/>
              </w:rPr>
              <w:t>2</w:t>
            </w:r>
            <w:r>
              <w:rPr>
                <w:sz w:val="18"/>
                <w:szCs w:val="18"/>
              </w:rPr>
              <w:t xml:space="preserve"> outlet concentration</w:t>
            </w:r>
          </w:p>
        </w:tc>
        <w:tc>
          <w:tcPr>
            <w:tcW w:w="1134" w:type="dxa"/>
          </w:tcPr>
          <w:p w14:paraId="3B9C9BE1" w14:textId="128F1DF7" w:rsidR="00362047" w:rsidRPr="00CA6298" w:rsidRDefault="007C2587" w:rsidP="00DD0840">
            <w:pPr>
              <w:pStyle w:val="Els-body-text"/>
              <w:jc w:val="right"/>
              <w:rPr>
                <w:sz w:val="18"/>
                <w:szCs w:val="18"/>
              </w:rPr>
            </w:pPr>
            <w:r>
              <w:rPr>
                <w:sz w:val="18"/>
                <w:szCs w:val="18"/>
              </w:rPr>
              <w:t>1</w:t>
            </w:r>
          </w:p>
        </w:tc>
        <w:tc>
          <w:tcPr>
            <w:tcW w:w="1128" w:type="dxa"/>
          </w:tcPr>
          <w:p w14:paraId="0214E2E7" w14:textId="2B793EE9" w:rsidR="00362047" w:rsidRPr="00CA6298" w:rsidRDefault="002B594C" w:rsidP="00B3344E">
            <w:pPr>
              <w:pStyle w:val="Els-body-text"/>
              <w:rPr>
                <w:sz w:val="18"/>
                <w:szCs w:val="18"/>
              </w:rPr>
            </w:pPr>
            <w:r>
              <w:rPr>
                <w:sz w:val="18"/>
                <w:szCs w:val="18"/>
              </w:rPr>
              <w:t>%</w:t>
            </w:r>
            <w:r w:rsidRPr="002B594C">
              <w:rPr>
                <w:sz w:val="18"/>
                <w:szCs w:val="18"/>
                <w:vertAlign w:val="superscript"/>
              </w:rPr>
              <w:t>mol</w:t>
            </w:r>
          </w:p>
        </w:tc>
      </w:tr>
      <w:tr w:rsidR="00362047" w:rsidRPr="00CA6298" w14:paraId="055D53D1" w14:textId="77777777" w:rsidTr="00823475">
        <w:tc>
          <w:tcPr>
            <w:tcW w:w="1332" w:type="dxa"/>
          </w:tcPr>
          <w:p w14:paraId="2EF8F7B1" w14:textId="77777777" w:rsidR="00362047" w:rsidRPr="00CA6298" w:rsidRDefault="00362047" w:rsidP="00B3344E">
            <w:pPr>
              <w:pStyle w:val="Els-body-text"/>
              <w:rPr>
                <w:sz w:val="18"/>
                <w:szCs w:val="18"/>
              </w:rPr>
            </w:pPr>
          </w:p>
        </w:tc>
        <w:tc>
          <w:tcPr>
            <w:tcW w:w="1373" w:type="dxa"/>
          </w:tcPr>
          <w:p w14:paraId="20430BDB" w14:textId="328E21C9" w:rsidR="00362047" w:rsidRPr="00CA6298" w:rsidRDefault="00B83CB0" w:rsidP="00B3344E">
            <w:pPr>
              <w:pStyle w:val="Els-body-text"/>
              <w:rPr>
                <w:sz w:val="18"/>
                <w:szCs w:val="18"/>
              </w:rPr>
            </w:pPr>
            <w:r>
              <w:rPr>
                <w:sz w:val="18"/>
                <w:szCs w:val="18"/>
              </w:rPr>
              <w:t>Pre-reformer</w:t>
            </w:r>
          </w:p>
        </w:tc>
        <w:tc>
          <w:tcPr>
            <w:tcW w:w="2110" w:type="dxa"/>
          </w:tcPr>
          <w:p w14:paraId="472AA022" w14:textId="381BBCDC" w:rsidR="00362047" w:rsidRPr="00CA6298" w:rsidRDefault="00510DBA" w:rsidP="00B3344E">
            <w:pPr>
              <w:pStyle w:val="Els-body-text"/>
              <w:rPr>
                <w:sz w:val="18"/>
                <w:szCs w:val="18"/>
              </w:rPr>
            </w:pPr>
            <w:r>
              <w:rPr>
                <w:sz w:val="18"/>
                <w:szCs w:val="18"/>
              </w:rPr>
              <w:t>Inlet temperature</w:t>
            </w:r>
          </w:p>
        </w:tc>
        <w:tc>
          <w:tcPr>
            <w:tcW w:w="1134" w:type="dxa"/>
          </w:tcPr>
          <w:p w14:paraId="494E0E72" w14:textId="6750DAFC" w:rsidR="00362047" w:rsidRPr="00CA6298" w:rsidRDefault="007C2587" w:rsidP="00DD0840">
            <w:pPr>
              <w:pStyle w:val="Els-body-text"/>
              <w:jc w:val="right"/>
              <w:rPr>
                <w:sz w:val="18"/>
                <w:szCs w:val="18"/>
              </w:rPr>
            </w:pPr>
            <w:r>
              <w:rPr>
                <w:sz w:val="18"/>
                <w:szCs w:val="18"/>
              </w:rPr>
              <w:t>600</w:t>
            </w:r>
          </w:p>
        </w:tc>
        <w:tc>
          <w:tcPr>
            <w:tcW w:w="1128" w:type="dxa"/>
          </w:tcPr>
          <w:p w14:paraId="528CF9F0" w14:textId="34B588AC" w:rsidR="00362047" w:rsidRPr="00CA6298" w:rsidRDefault="002B594C" w:rsidP="00B3344E">
            <w:pPr>
              <w:pStyle w:val="Els-body-text"/>
              <w:rPr>
                <w:sz w:val="18"/>
                <w:szCs w:val="18"/>
              </w:rPr>
            </w:pPr>
            <w:r>
              <w:rPr>
                <w:sz w:val="18"/>
                <w:szCs w:val="18"/>
              </w:rPr>
              <w:t>°C</w:t>
            </w:r>
          </w:p>
        </w:tc>
      </w:tr>
      <w:tr w:rsidR="00362047" w:rsidRPr="00CA6298" w14:paraId="6761AB59" w14:textId="77777777" w:rsidTr="00823475">
        <w:tc>
          <w:tcPr>
            <w:tcW w:w="1332" w:type="dxa"/>
          </w:tcPr>
          <w:p w14:paraId="6865346B" w14:textId="77777777" w:rsidR="00362047" w:rsidRPr="00CA6298" w:rsidRDefault="00362047" w:rsidP="00B3344E">
            <w:pPr>
              <w:pStyle w:val="Els-body-text"/>
              <w:rPr>
                <w:sz w:val="18"/>
                <w:szCs w:val="18"/>
              </w:rPr>
            </w:pPr>
          </w:p>
        </w:tc>
        <w:tc>
          <w:tcPr>
            <w:tcW w:w="1373" w:type="dxa"/>
          </w:tcPr>
          <w:p w14:paraId="0D98CF41" w14:textId="369ECBF5" w:rsidR="00362047" w:rsidRPr="00CA6298" w:rsidRDefault="00B83CB0" w:rsidP="00B3344E">
            <w:pPr>
              <w:pStyle w:val="Els-body-text"/>
              <w:rPr>
                <w:sz w:val="18"/>
                <w:szCs w:val="18"/>
              </w:rPr>
            </w:pPr>
            <w:r>
              <w:rPr>
                <w:sz w:val="18"/>
                <w:szCs w:val="18"/>
              </w:rPr>
              <w:t>Pre-reformer</w:t>
            </w:r>
          </w:p>
        </w:tc>
        <w:tc>
          <w:tcPr>
            <w:tcW w:w="2110" w:type="dxa"/>
          </w:tcPr>
          <w:p w14:paraId="3A53B70C" w14:textId="243FB75F" w:rsidR="00362047" w:rsidRPr="00CA6298" w:rsidRDefault="00510DBA" w:rsidP="00B3344E">
            <w:pPr>
              <w:pStyle w:val="Els-body-text"/>
              <w:rPr>
                <w:sz w:val="18"/>
                <w:szCs w:val="18"/>
              </w:rPr>
            </w:pPr>
            <w:r>
              <w:rPr>
                <w:sz w:val="18"/>
                <w:szCs w:val="18"/>
              </w:rPr>
              <w:t>Steam-to-carbon</w:t>
            </w:r>
          </w:p>
        </w:tc>
        <w:tc>
          <w:tcPr>
            <w:tcW w:w="1134" w:type="dxa"/>
          </w:tcPr>
          <w:p w14:paraId="38A2174F" w14:textId="23B4F511" w:rsidR="00362047" w:rsidRPr="00CA6298" w:rsidRDefault="007C2587" w:rsidP="00DD0840">
            <w:pPr>
              <w:pStyle w:val="Els-body-text"/>
              <w:jc w:val="right"/>
              <w:rPr>
                <w:sz w:val="18"/>
                <w:szCs w:val="18"/>
              </w:rPr>
            </w:pPr>
            <w:r>
              <w:rPr>
                <w:sz w:val="18"/>
                <w:szCs w:val="18"/>
              </w:rPr>
              <w:t>2.1</w:t>
            </w:r>
          </w:p>
        </w:tc>
        <w:tc>
          <w:tcPr>
            <w:tcW w:w="1128" w:type="dxa"/>
          </w:tcPr>
          <w:p w14:paraId="3D650445" w14:textId="1D9B4010" w:rsidR="00362047" w:rsidRPr="00CA6298" w:rsidRDefault="00DD0840" w:rsidP="00B3344E">
            <w:pPr>
              <w:pStyle w:val="Els-body-text"/>
              <w:rPr>
                <w:sz w:val="18"/>
                <w:szCs w:val="18"/>
              </w:rPr>
            </w:pPr>
            <w:r>
              <w:rPr>
                <w:sz w:val="18"/>
                <w:szCs w:val="18"/>
              </w:rPr>
              <w:t>mol/mol</w:t>
            </w:r>
          </w:p>
        </w:tc>
      </w:tr>
      <w:tr w:rsidR="00362047" w:rsidRPr="00CA6298" w14:paraId="7FD9302E" w14:textId="77777777" w:rsidTr="00823475">
        <w:tc>
          <w:tcPr>
            <w:tcW w:w="1332" w:type="dxa"/>
          </w:tcPr>
          <w:p w14:paraId="28F75ED5" w14:textId="77777777" w:rsidR="00362047" w:rsidRPr="00CA6298" w:rsidRDefault="00362047" w:rsidP="00B3344E">
            <w:pPr>
              <w:pStyle w:val="Els-body-text"/>
              <w:rPr>
                <w:sz w:val="18"/>
                <w:szCs w:val="18"/>
              </w:rPr>
            </w:pPr>
          </w:p>
        </w:tc>
        <w:tc>
          <w:tcPr>
            <w:tcW w:w="1373" w:type="dxa"/>
          </w:tcPr>
          <w:p w14:paraId="34FDE1A1" w14:textId="636FE080" w:rsidR="00362047" w:rsidRPr="00CA6298" w:rsidRDefault="00B83CB0" w:rsidP="00B3344E">
            <w:pPr>
              <w:pStyle w:val="Els-body-text"/>
              <w:rPr>
                <w:sz w:val="18"/>
                <w:szCs w:val="18"/>
              </w:rPr>
            </w:pPr>
            <w:r>
              <w:rPr>
                <w:sz w:val="18"/>
                <w:szCs w:val="18"/>
              </w:rPr>
              <w:t>Anode</w:t>
            </w:r>
          </w:p>
        </w:tc>
        <w:tc>
          <w:tcPr>
            <w:tcW w:w="2110" w:type="dxa"/>
          </w:tcPr>
          <w:p w14:paraId="0AC5A593" w14:textId="0F11D027" w:rsidR="00362047" w:rsidRPr="00CA6298" w:rsidRDefault="00510DBA" w:rsidP="00B3344E">
            <w:pPr>
              <w:pStyle w:val="Els-body-text"/>
              <w:rPr>
                <w:sz w:val="18"/>
                <w:szCs w:val="18"/>
              </w:rPr>
            </w:pPr>
            <w:r>
              <w:rPr>
                <w:sz w:val="18"/>
                <w:szCs w:val="18"/>
              </w:rPr>
              <w:t>Inlet temperature</w:t>
            </w:r>
          </w:p>
        </w:tc>
        <w:tc>
          <w:tcPr>
            <w:tcW w:w="1134" w:type="dxa"/>
          </w:tcPr>
          <w:p w14:paraId="5B6DA1D6" w14:textId="7059F828" w:rsidR="00362047" w:rsidRPr="00CA6298" w:rsidRDefault="007C2587" w:rsidP="00DD0840">
            <w:pPr>
              <w:pStyle w:val="Els-body-text"/>
              <w:jc w:val="right"/>
              <w:rPr>
                <w:sz w:val="18"/>
                <w:szCs w:val="18"/>
              </w:rPr>
            </w:pPr>
            <w:r>
              <w:rPr>
                <w:sz w:val="18"/>
                <w:szCs w:val="18"/>
              </w:rPr>
              <w:t>600</w:t>
            </w:r>
          </w:p>
        </w:tc>
        <w:tc>
          <w:tcPr>
            <w:tcW w:w="1128" w:type="dxa"/>
          </w:tcPr>
          <w:p w14:paraId="17E679BE" w14:textId="4B273547" w:rsidR="00362047" w:rsidRPr="00CA6298" w:rsidRDefault="00DD0840" w:rsidP="00B3344E">
            <w:pPr>
              <w:pStyle w:val="Els-body-text"/>
              <w:rPr>
                <w:sz w:val="18"/>
                <w:szCs w:val="18"/>
              </w:rPr>
            </w:pPr>
            <w:r>
              <w:rPr>
                <w:sz w:val="18"/>
                <w:szCs w:val="18"/>
              </w:rPr>
              <w:t>°C</w:t>
            </w:r>
          </w:p>
        </w:tc>
      </w:tr>
      <w:tr w:rsidR="00362047" w:rsidRPr="00CA6298" w14:paraId="2070EE8A" w14:textId="77777777" w:rsidTr="005D4EAD">
        <w:tc>
          <w:tcPr>
            <w:tcW w:w="1332" w:type="dxa"/>
            <w:tcBorders>
              <w:bottom w:val="single" w:sz="4" w:space="0" w:color="auto"/>
            </w:tcBorders>
          </w:tcPr>
          <w:p w14:paraId="4A1A63D3" w14:textId="77777777" w:rsidR="00362047" w:rsidRPr="00CA6298" w:rsidRDefault="00362047" w:rsidP="00B3344E">
            <w:pPr>
              <w:pStyle w:val="Els-body-text"/>
              <w:rPr>
                <w:sz w:val="18"/>
                <w:szCs w:val="18"/>
              </w:rPr>
            </w:pPr>
          </w:p>
        </w:tc>
        <w:tc>
          <w:tcPr>
            <w:tcW w:w="1373" w:type="dxa"/>
            <w:tcBorders>
              <w:bottom w:val="single" w:sz="4" w:space="0" w:color="auto"/>
            </w:tcBorders>
          </w:tcPr>
          <w:p w14:paraId="71746D17" w14:textId="036E1288" w:rsidR="00362047" w:rsidRPr="00CA6298" w:rsidRDefault="00B83CB0" w:rsidP="00B3344E">
            <w:pPr>
              <w:pStyle w:val="Els-body-text"/>
              <w:rPr>
                <w:sz w:val="18"/>
                <w:szCs w:val="18"/>
              </w:rPr>
            </w:pPr>
            <w:r>
              <w:rPr>
                <w:sz w:val="18"/>
                <w:szCs w:val="18"/>
              </w:rPr>
              <w:t>Anode</w:t>
            </w:r>
          </w:p>
        </w:tc>
        <w:tc>
          <w:tcPr>
            <w:tcW w:w="2110" w:type="dxa"/>
            <w:tcBorders>
              <w:bottom w:val="single" w:sz="4" w:space="0" w:color="auto"/>
            </w:tcBorders>
          </w:tcPr>
          <w:p w14:paraId="1A8A0A96" w14:textId="14EB454C" w:rsidR="00362047" w:rsidRPr="00CA6298" w:rsidRDefault="00510DBA" w:rsidP="00B3344E">
            <w:pPr>
              <w:pStyle w:val="Els-body-text"/>
              <w:rPr>
                <w:sz w:val="18"/>
                <w:szCs w:val="18"/>
              </w:rPr>
            </w:pPr>
            <w:r>
              <w:rPr>
                <w:sz w:val="18"/>
                <w:szCs w:val="18"/>
              </w:rPr>
              <w:t>Outlet temperature</w:t>
            </w:r>
          </w:p>
        </w:tc>
        <w:tc>
          <w:tcPr>
            <w:tcW w:w="1134" w:type="dxa"/>
            <w:tcBorders>
              <w:bottom w:val="single" w:sz="4" w:space="0" w:color="auto"/>
            </w:tcBorders>
          </w:tcPr>
          <w:p w14:paraId="3CC4E074" w14:textId="1AE875D2" w:rsidR="00362047" w:rsidRPr="00CA6298" w:rsidRDefault="007C2587" w:rsidP="00DD0840">
            <w:pPr>
              <w:pStyle w:val="Els-body-text"/>
              <w:jc w:val="right"/>
              <w:rPr>
                <w:sz w:val="18"/>
                <w:szCs w:val="18"/>
              </w:rPr>
            </w:pPr>
            <w:r>
              <w:rPr>
                <w:sz w:val="18"/>
                <w:szCs w:val="18"/>
              </w:rPr>
              <w:t>645</w:t>
            </w:r>
          </w:p>
        </w:tc>
        <w:tc>
          <w:tcPr>
            <w:tcW w:w="1128" w:type="dxa"/>
            <w:tcBorders>
              <w:bottom w:val="single" w:sz="4" w:space="0" w:color="auto"/>
            </w:tcBorders>
          </w:tcPr>
          <w:p w14:paraId="67E39250" w14:textId="6ECBD705" w:rsidR="00362047" w:rsidRPr="00CA6298" w:rsidRDefault="00DD0840" w:rsidP="00B3344E">
            <w:pPr>
              <w:pStyle w:val="Els-body-text"/>
              <w:rPr>
                <w:sz w:val="18"/>
                <w:szCs w:val="18"/>
              </w:rPr>
            </w:pPr>
            <w:r>
              <w:rPr>
                <w:sz w:val="18"/>
                <w:szCs w:val="18"/>
              </w:rPr>
              <w:t>°C</w:t>
            </w:r>
          </w:p>
        </w:tc>
      </w:tr>
    </w:tbl>
    <w:p w14:paraId="0162D213" w14:textId="77777777" w:rsidR="00132486" w:rsidRDefault="00132486" w:rsidP="00C859AB">
      <w:pPr>
        <w:pStyle w:val="Els-body-text"/>
      </w:pPr>
    </w:p>
    <w:p w14:paraId="06D9E5DC" w14:textId="5BCC00BC" w:rsidR="00D20E2A" w:rsidRDefault="00F151BE" w:rsidP="00C859AB">
      <w:pPr>
        <w:pStyle w:val="Els-body-text"/>
      </w:pPr>
      <w:r>
        <w:rPr>
          <w:noProof/>
        </w:rPr>
        <w:drawing>
          <wp:inline distT="0" distB="0" distL="0" distR="0" wp14:anchorId="3C4521DC" wp14:editId="0C5B0ACB">
            <wp:extent cx="4499610" cy="2282190"/>
            <wp:effectExtent l="0" t="0" r="0" b="3810"/>
            <wp:docPr id="287461383" name="Immagine 19" descr="Immagine che contiene testo, diagramma, Carattere, Pi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61383" name="Immagine 19" descr="Immagine che contiene testo, diagramma, Carattere, Pian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2282190"/>
                    </a:xfrm>
                    <a:prstGeom prst="rect">
                      <a:avLst/>
                    </a:prstGeom>
                  </pic:spPr>
                </pic:pic>
              </a:graphicData>
            </a:graphic>
          </wp:inline>
        </w:drawing>
      </w:r>
    </w:p>
    <w:p w14:paraId="5DB95586" w14:textId="1B8E3559" w:rsidR="00D20E2A" w:rsidRPr="004F42FE" w:rsidRDefault="00D20E2A" w:rsidP="00E72713">
      <w:pPr>
        <w:pStyle w:val="Els-body-text"/>
        <w:jc w:val="center"/>
        <w:rPr>
          <w:sz w:val="18"/>
          <w:szCs w:val="18"/>
        </w:rPr>
      </w:pPr>
      <w:r w:rsidRPr="004F42FE">
        <w:rPr>
          <w:sz w:val="18"/>
          <w:szCs w:val="18"/>
        </w:rPr>
        <w:t xml:space="preserve">Figure 1. </w:t>
      </w:r>
      <w:r w:rsidR="00D31AE2" w:rsidRPr="004F42FE">
        <w:rPr>
          <w:sz w:val="18"/>
          <w:szCs w:val="18"/>
        </w:rPr>
        <w:t>Simplified plant schemes: (a) SMR, (b) SMR with MEA, (c) NGF, and (d) OGF.</w:t>
      </w:r>
    </w:p>
    <w:p w14:paraId="4535A8EB" w14:textId="01967AD9" w:rsidR="00C859AB" w:rsidRDefault="00C859AB" w:rsidP="00C859AB">
      <w:pPr>
        <w:pStyle w:val="Els-1storder-head"/>
      </w:pPr>
      <w:r>
        <w:t>Results</w:t>
      </w:r>
    </w:p>
    <w:p w14:paraId="5A253082" w14:textId="25B16345" w:rsidR="00007877" w:rsidRDefault="000D3650" w:rsidP="00C859AB">
      <w:pPr>
        <w:pStyle w:val="Els-body-text"/>
      </w:pPr>
      <w:r>
        <w:t xml:space="preserve">Even though </w:t>
      </w:r>
      <w:r w:rsidR="006470D3">
        <w:t xml:space="preserve">MCFC-based plants </w:t>
      </w:r>
      <w:r w:rsidR="000D46EC" w:rsidRPr="000D46EC">
        <w:t xml:space="preserve">consume more </w:t>
      </w:r>
      <w:r w:rsidR="000D46EC">
        <w:t>NG</w:t>
      </w:r>
      <w:r w:rsidR="000D46EC" w:rsidRPr="000D46EC">
        <w:t xml:space="preserve"> with respect to the standalone </w:t>
      </w:r>
      <w:r w:rsidR="000D46EC">
        <w:t>SMR</w:t>
      </w:r>
      <w:r w:rsidR="000D46EC" w:rsidRPr="000D46EC">
        <w:t xml:space="preserve"> (between +8</w:t>
      </w:r>
      <w:r w:rsidR="003E54F1">
        <w:t xml:space="preserve"> </w:t>
      </w:r>
      <w:r w:rsidR="000D46EC" w:rsidRPr="000D46EC">
        <w:t>% and +26</w:t>
      </w:r>
      <w:r w:rsidR="003E54F1">
        <w:t xml:space="preserve"> </w:t>
      </w:r>
      <w:r w:rsidR="000D46EC" w:rsidRPr="000D46EC">
        <w:t>%), they also generate a larger low-carbon electricity output</w:t>
      </w:r>
      <w:r w:rsidR="00C80026">
        <w:t xml:space="preserve"> (Table 2)</w:t>
      </w:r>
      <w:r w:rsidR="000D46EC" w:rsidRPr="000D46EC">
        <w:t>.</w:t>
      </w:r>
      <w:r w:rsidR="00357190">
        <w:t xml:space="preserve"> </w:t>
      </w:r>
      <w:r w:rsidR="005F55E1">
        <w:t>Plus</w:t>
      </w:r>
      <w:r>
        <w:t>,</w:t>
      </w:r>
      <w:r w:rsidR="00A021F5" w:rsidRPr="00A021F5">
        <w:t xml:space="preserve"> </w:t>
      </w:r>
      <w:r w:rsidR="00A021F5">
        <w:t>MCFC</w:t>
      </w:r>
      <w:r w:rsidR="00A021F5" w:rsidRPr="00A021F5">
        <w:t xml:space="preserve">-based OGF and OGF-2 cases show a better performance compared to </w:t>
      </w:r>
      <w:r w:rsidR="00DC5BEE">
        <w:t>MEA</w:t>
      </w:r>
      <w:r w:rsidR="00A021F5" w:rsidRPr="00A021F5">
        <w:t xml:space="preserve"> solvent-based capture system in a wide range of </w:t>
      </w:r>
      <w:r w:rsidR="000F13E5">
        <w:t>NG</w:t>
      </w:r>
      <w:r w:rsidR="00A021F5" w:rsidRPr="00A021F5">
        <w:t xml:space="preserve"> and electricity prices</w:t>
      </w:r>
      <w:r w:rsidR="00A021F5">
        <w:t>.</w:t>
      </w:r>
      <w:r w:rsidR="00DC5BEE">
        <w:t xml:space="preserve"> </w:t>
      </w:r>
      <w:r w:rsidR="00357190" w:rsidRPr="00357190">
        <w:t xml:space="preserve">OGF appears superior to NGF, being the former </w:t>
      </w:r>
      <w:proofErr w:type="spellStart"/>
      <w:r w:rsidR="00357190" w:rsidRPr="00357190">
        <w:t>characterised</w:t>
      </w:r>
      <w:proofErr w:type="spellEnd"/>
      <w:r w:rsidR="00357190" w:rsidRPr="00357190">
        <w:t xml:space="preserve"> by higher carbon capture rate (90</w:t>
      </w:r>
      <w:r w:rsidR="003E54F1">
        <w:t xml:space="preserve"> </w:t>
      </w:r>
      <w:r w:rsidR="00357190" w:rsidRPr="00357190">
        <w:t>% against 85</w:t>
      </w:r>
      <w:r w:rsidR="003E54F1">
        <w:t xml:space="preserve"> </w:t>
      </w:r>
      <w:r w:rsidR="00357190" w:rsidRPr="00357190">
        <w:t>%), higher H</w:t>
      </w:r>
      <w:r w:rsidR="00357190" w:rsidRPr="00357190">
        <w:rPr>
          <w:vertAlign w:val="subscript"/>
        </w:rPr>
        <w:t>2</w:t>
      </w:r>
      <w:r w:rsidR="00357190" w:rsidRPr="00357190">
        <w:t xml:space="preserve"> production efficiency (68</w:t>
      </w:r>
      <w:r w:rsidR="003E54F1">
        <w:t xml:space="preserve"> </w:t>
      </w:r>
      <w:r w:rsidR="00357190" w:rsidRPr="00357190">
        <w:t>% against 59</w:t>
      </w:r>
      <w:r w:rsidR="003E54F1">
        <w:t xml:space="preserve"> </w:t>
      </w:r>
      <w:r w:rsidR="00357190" w:rsidRPr="00357190">
        <w:t>%), lower specific energy consumption per unit of CO</w:t>
      </w:r>
      <w:r w:rsidR="00357190" w:rsidRPr="00357190">
        <w:rPr>
          <w:vertAlign w:val="subscript"/>
        </w:rPr>
        <w:t>2</w:t>
      </w:r>
      <w:r w:rsidR="00357190" w:rsidRPr="00357190">
        <w:t xml:space="preserve"> avoided (0.5 against 1.1 MJ/kg of CO</w:t>
      </w:r>
      <w:r w:rsidR="00357190" w:rsidRPr="00357190">
        <w:rPr>
          <w:vertAlign w:val="subscript"/>
        </w:rPr>
        <w:t>2</w:t>
      </w:r>
      <w:r w:rsidR="00357190" w:rsidRPr="00357190">
        <w:t>), and a significantly lower cell area (</w:t>
      </w:r>
      <w:r w:rsidR="00357190">
        <w:t>-</w:t>
      </w:r>
      <w:r w:rsidR="00357190" w:rsidRPr="00357190">
        <w:t>43</w:t>
      </w:r>
      <w:r w:rsidR="003E54F1">
        <w:t xml:space="preserve"> </w:t>
      </w:r>
      <w:r w:rsidR="00357190" w:rsidRPr="00357190">
        <w:t xml:space="preserve">%). This is due to the higher carbon intensity of the off-gas feed to the OGF cell anode, compared to the </w:t>
      </w:r>
      <w:r w:rsidR="000F13E5">
        <w:t>NG</w:t>
      </w:r>
      <w:r w:rsidR="00357190" w:rsidRPr="00357190">
        <w:t xml:space="preserve"> exploited in the NGF case, which allows reducing the flow rate of CO</w:t>
      </w:r>
      <w:r w:rsidR="00357190" w:rsidRPr="00357190">
        <w:rPr>
          <w:vertAlign w:val="subscript"/>
        </w:rPr>
        <w:t>2</w:t>
      </w:r>
      <w:r w:rsidR="00357190" w:rsidRPr="00357190">
        <w:t xml:space="preserve"> to be separated by the </w:t>
      </w:r>
      <w:r w:rsidR="00550574">
        <w:t>MCFC</w:t>
      </w:r>
      <w:r w:rsidR="00357190" w:rsidRPr="00357190">
        <w:t xml:space="preserve"> for a given CO</w:t>
      </w:r>
      <w:r w:rsidR="00357190" w:rsidRPr="00357190">
        <w:rPr>
          <w:vertAlign w:val="subscript"/>
        </w:rPr>
        <w:t>2</w:t>
      </w:r>
      <w:r w:rsidR="00357190" w:rsidRPr="00357190">
        <w:t xml:space="preserve"> capture rate.</w:t>
      </w:r>
      <w:r w:rsidR="000D459A">
        <w:t xml:space="preserve"> </w:t>
      </w:r>
      <w:r w:rsidR="000D459A" w:rsidRPr="000D459A">
        <w:t>OGF-2 is a particularly competitive configuration, as it can achieve 95</w:t>
      </w:r>
      <w:r w:rsidR="003E54F1">
        <w:t xml:space="preserve"> </w:t>
      </w:r>
      <w:r w:rsidR="000D459A" w:rsidRPr="000D459A">
        <w:t>% carbon capture rate with a smaller cell area than OGF (</w:t>
      </w:r>
      <w:r w:rsidR="000D459A">
        <w:t>-</w:t>
      </w:r>
      <w:r w:rsidR="000D459A" w:rsidRPr="000D459A">
        <w:t>19</w:t>
      </w:r>
      <w:r w:rsidR="003E54F1">
        <w:t xml:space="preserve"> </w:t>
      </w:r>
      <w:r w:rsidR="000D459A" w:rsidRPr="000D459A">
        <w:t>%). This is due to the inter-cooling between cells, which allows reducing the CO</w:t>
      </w:r>
      <w:r w:rsidR="000D459A" w:rsidRPr="000D459A">
        <w:rPr>
          <w:vertAlign w:val="subscript"/>
        </w:rPr>
        <w:t>2</w:t>
      </w:r>
      <w:r w:rsidR="000D459A" w:rsidRPr="000D459A">
        <w:t xml:space="preserve"> dilution resulting from the excess air to be mixed with the flue gas to control the MCFC temperature.</w:t>
      </w:r>
    </w:p>
    <w:p w14:paraId="0373DEA7" w14:textId="77777777" w:rsidR="00703468" w:rsidRDefault="00703468" w:rsidP="00C859AB">
      <w:pPr>
        <w:pStyle w:val="Els-body-text"/>
      </w:pPr>
    </w:p>
    <w:p w14:paraId="0446F228" w14:textId="77777777" w:rsidR="00703468" w:rsidRPr="005D0CD8" w:rsidRDefault="00703468" w:rsidP="00303B22">
      <w:pPr>
        <w:pStyle w:val="Els-body-text"/>
        <w:jc w:val="left"/>
        <w:rPr>
          <w:sz w:val="18"/>
          <w:szCs w:val="18"/>
        </w:rPr>
      </w:pPr>
      <w:r w:rsidRPr="005D0CD8">
        <w:rPr>
          <w:sz w:val="18"/>
          <w:szCs w:val="18"/>
        </w:rPr>
        <w:lastRenderedPageBreak/>
        <w:t>Table 2. Technical performance results.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1011"/>
        <w:gridCol w:w="1011"/>
        <w:gridCol w:w="1011"/>
        <w:gridCol w:w="1011"/>
        <w:gridCol w:w="1011"/>
      </w:tblGrid>
      <w:tr w:rsidR="00703468" w:rsidRPr="00063776" w14:paraId="609BFFD5" w14:textId="77777777" w:rsidTr="00063776">
        <w:tc>
          <w:tcPr>
            <w:tcW w:w="2021" w:type="dxa"/>
            <w:tcBorders>
              <w:top w:val="single" w:sz="4" w:space="0" w:color="000000"/>
              <w:bottom w:val="single" w:sz="4" w:space="0" w:color="000000"/>
            </w:tcBorders>
          </w:tcPr>
          <w:p w14:paraId="30C48A40" w14:textId="77777777" w:rsidR="00703468" w:rsidRPr="00063776" w:rsidRDefault="00703468" w:rsidP="00962CF1">
            <w:pPr>
              <w:pStyle w:val="Els-body-text"/>
              <w:rPr>
                <w:sz w:val="18"/>
                <w:szCs w:val="18"/>
              </w:rPr>
            </w:pPr>
          </w:p>
        </w:tc>
        <w:tc>
          <w:tcPr>
            <w:tcW w:w="1011" w:type="dxa"/>
            <w:tcBorders>
              <w:top w:val="single" w:sz="4" w:space="0" w:color="000000"/>
              <w:bottom w:val="single" w:sz="4" w:space="0" w:color="000000"/>
            </w:tcBorders>
          </w:tcPr>
          <w:p w14:paraId="7EF8890C" w14:textId="77777777" w:rsidR="00703468" w:rsidRPr="00063776" w:rsidRDefault="00703468" w:rsidP="00962CF1">
            <w:pPr>
              <w:pStyle w:val="Els-body-text"/>
              <w:jc w:val="right"/>
              <w:rPr>
                <w:sz w:val="18"/>
                <w:szCs w:val="18"/>
              </w:rPr>
            </w:pPr>
            <w:r w:rsidRPr="00063776">
              <w:rPr>
                <w:sz w:val="18"/>
                <w:szCs w:val="18"/>
              </w:rPr>
              <w:t>SMR</w:t>
            </w:r>
          </w:p>
        </w:tc>
        <w:tc>
          <w:tcPr>
            <w:tcW w:w="1011" w:type="dxa"/>
            <w:tcBorders>
              <w:top w:val="single" w:sz="4" w:space="0" w:color="000000"/>
              <w:bottom w:val="single" w:sz="4" w:space="0" w:color="000000"/>
            </w:tcBorders>
          </w:tcPr>
          <w:p w14:paraId="1FAE7C5C" w14:textId="0B2F8F97" w:rsidR="00703468" w:rsidRPr="00063776" w:rsidRDefault="00703468" w:rsidP="00962CF1">
            <w:pPr>
              <w:pStyle w:val="Els-body-text"/>
              <w:jc w:val="right"/>
              <w:rPr>
                <w:sz w:val="18"/>
                <w:szCs w:val="18"/>
              </w:rPr>
            </w:pPr>
            <w:r w:rsidRPr="00063776">
              <w:rPr>
                <w:sz w:val="18"/>
                <w:szCs w:val="18"/>
              </w:rPr>
              <w:t>MEA</w:t>
            </w:r>
          </w:p>
        </w:tc>
        <w:tc>
          <w:tcPr>
            <w:tcW w:w="1011" w:type="dxa"/>
            <w:tcBorders>
              <w:top w:val="single" w:sz="4" w:space="0" w:color="000000"/>
              <w:bottom w:val="single" w:sz="4" w:space="0" w:color="000000"/>
            </w:tcBorders>
          </w:tcPr>
          <w:p w14:paraId="03E59796" w14:textId="77777777" w:rsidR="00703468" w:rsidRPr="00063776" w:rsidRDefault="00703468" w:rsidP="00962CF1">
            <w:pPr>
              <w:pStyle w:val="Els-body-text"/>
              <w:jc w:val="right"/>
              <w:rPr>
                <w:sz w:val="18"/>
                <w:szCs w:val="18"/>
              </w:rPr>
            </w:pPr>
            <w:r w:rsidRPr="00063776">
              <w:rPr>
                <w:sz w:val="18"/>
                <w:szCs w:val="18"/>
              </w:rPr>
              <w:t>NGF</w:t>
            </w:r>
          </w:p>
        </w:tc>
        <w:tc>
          <w:tcPr>
            <w:tcW w:w="1011" w:type="dxa"/>
            <w:tcBorders>
              <w:top w:val="single" w:sz="4" w:space="0" w:color="000000"/>
              <w:bottom w:val="single" w:sz="4" w:space="0" w:color="000000"/>
            </w:tcBorders>
          </w:tcPr>
          <w:p w14:paraId="19F517E2" w14:textId="77777777" w:rsidR="00703468" w:rsidRPr="00063776" w:rsidRDefault="00703468" w:rsidP="00962CF1">
            <w:pPr>
              <w:pStyle w:val="Els-body-text"/>
              <w:jc w:val="right"/>
              <w:rPr>
                <w:sz w:val="18"/>
                <w:szCs w:val="18"/>
              </w:rPr>
            </w:pPr>
            <w:r w:rsidRPr="00063776">
              <w:rPr>
                <w:sz w:val="18"/>
                <w:szCs w:val="18"/>
              </w:rPr>
              <w:t>OGF</w:t>
            </w:r>
          </w:p>
        </w:tc>
        <w:tc>
          <w:tcPr>
            <w:tcW w:w="1011" w:type="dxa"/>
            <w:tcBorders>
              <w:top w:val="single" w:sz="4" w:space="0" w:color="000000"/>
              <w:bottom w:val="single" w:sz="4" w:space="0" w:color="000000"/>
            </w:tcBorders>
          </w:tcPr>
          <w:p w14:paraId="6AA1EA07" w14:textId="77777777" w:rsidR="00703468" w:rsidRPr="00063776" w:rsidRDefault="00703468" w:rsidP="00962CF1">
            <w:pPr>
              <w:pStyle w:val="Els-body-text"/>
              <w:jc w:val="right"/>
              <w:rPr>
                <w:sz w:val="18"/>
                <w:szCs w:val="18"/>
              </w:rPr>
            </w:pPr>
            <w:r w:rsidRPr="00063776">
              <w:rPr>
                <w:sz w:val="18"/>
                <w:szCs w:val="18"/>
              </w:rPr>
              <w:t>OGF-2</w:t>
            </w:r>
          </w:p>
        </w:tc>
      </w:tr>
      <w:tr w:rsidR="00703468" w:rsidRPr="00063776" w14:paraId="0C9AE861" w14:textId="77777777" w:rsidTr="00063776">
        <w:tc>
          <w:tcPr>
            <w:tcW w:w="2021" w:type="dxa"/>
            <w:tcBorders>
              <w:top w:val="single" w:sz="4" w:space="0" w:color="000000"/>
            </w:tcBorders>
          </w:tcPr>
          <w:p w14:paraId="5BB280CB" w14:textId="77777777" w:rsidR="00703468" w:rsidRPr="00063776" w:rsidRDefault="00703468" w:rsidP="00962CF1">
            <w:pPr>
              <w:pStyle w:val="Els-body-text"/>
              <w:rPr>
                <w:sz w:val="18"/>
                <w:szCs w:val="18"/>
              </w:rPr>
            </w:pPr>
            <w:r w:rsidRPr="00063776">
              <w:rPr>
                <w:sz w:val="18"/>
                <w:szCs w:val="18"/>
              </w:rPr>
              <w:t>Cell 1 potential [V]</w:t>
            </w:r>
          </w:p>
        </w:tc>
        <w:tc>
          <w:tcPr>
            <w:tcW w:w="1011" w:type="dxa"/>
            <w:tcBorders>
              <w:top w:val="single" w:sz="4" w:space="0" w:color="000000"/>
            </w:tcBorders>
          </w:tcPr>
          <w:p w14:paraId="6A03D398" w14:textId="77777777" w:rsidR="00703468" w:rsidRPr="00063776" w:rsidRDefault="00703468" w:rsidP="00962CF1">
            <w:pPr>
              <w:pStyle w:val="Els-body-text"/>
              <w:jc w:val="right"/>
              <w:rPr>
                <w:sz w:val="18"/>
                <w:szCs w:val="18"/>
              </w:rPr>
            </w:pPr>
            <w:r w:rsidRPr="00063776">
              <w:rPr>
                <w:sz w:val="18"/>
                <w:szCs w:val="18"/>
              </w:rPr>
              <w:t>-</w:t>
            </w:r>
          </w:p>
        </w:tc>
        <w:tc>
          <w:tcPr>
            <w:tcW w:w="1011" w:type="dxa"/>
            <w:tcBorders>
              <w:top w:val="single" w:sz="4" w:space="0" w:color="000000"/>
            </w:tcBorders>
          </w:tcPr>
          <w:p w14:paraId="2FD964FB" w14:textId="77777777" w:rsidR="00703468" w:rsidRPr="00063776" w:rsidRDefault="00703468" w:rsidP="00962CF1">
            <w:pPr>
              <w:pStyle w:val="Els-body-text"/>
              <w:jc w:val="right"/>
              <w:rPr>
                <w:sz w:val="18"/>
                <w:szCs w:val="18"/>
              </w:rPr>
            </w:pPr>
            <w:r w:rsidRPr="00063776">
              <w:rPr>
                <w:sz w:val="18"/>
                <w:szCs w:val="18"/>
              </w:rPr>
              <w:t>-</w:t>
            </w:r>
          </w:p>
        </w:tc>
        <w:tc>
          <w:tcPr>
            <w:tcW w:w="1011" w:type="dxa"/>
            <w:tcBorders>
              <w:top w:val="single" w:sz="4" w:space="0" w:color="000000"/>
            </w:tcBorders>
          </w:tcPr>
          <w:p w14:paraId="4203C734" w14:textId="77777777" w:rsidR="00703468" w:rsidRPr="00063776" w:rsidRDefault="00703468" w:rsidP="00962CF1">
            <w:pPr>
              <w:pStyle w:val="Els-body-text"/>
              <w:jc w:val="right"/>
              <w:rPr>
                <w:sz w:val="18"/>
                <w:szCs w:val="18"/>
              </w:rPr>
            </w:pPr>
            <w:r w:rsidRPr="00063776">
              <w:rPr>
                <w:sz w:val="18"/>
                <w:szCs w:val="18"/>
              </w:rPr>
              <w:t>0.70</w:t>
            </w:r>
          </w:p>
        </w:tc>
        <w:tc>
          <w:tcPr>
            <w:tcW w:w="1011" w:type="dxa"/>
            <w:tcBorders>
              <w:top w:val="single" w:sz="4" w:space="0" w:color="000000"/>
            </w:tcBorders>
          </w:tcPr>
          <w:p w14:paraId="25FDDD73" w14:textId="77777777" w:rsidR="00703468" w:rsidRPr="00063776" w:rsidRDefault="00703468" w:rsidP="00962CF1">
            <w:pPr>
              <w:pStyle w:val="Els-body-text"/>
              <w:jc w:val="right"/>
              <w:rPr>
                <w:sz w:val="18"/>
                <w:szCs w:val="18"/>
              </w:rPr>
            </w:pPr>
            <w:r w:rsidRPr="00063776">
              <w:rPr>
                <w:sz w:val="18"/>
                <w:szCs w:val="18"/>
              </w:rPr>
              <w:t>0.70</w:t>
            </w:r>
          </w:p>
        </w:tc>
        <w:tc>
          <w:tcPr>
            <w:tcW w:w="1011" w:type="dxa"/>
            <w:tcBorders>
              <w:top w:val="single" w:sz="4" w:space="0" w:color="000000"/>
            </w:tcBorders>
          </w:tcPr>
          <w:p w14:paraId="17254A2A" w14:textId="77777777" w:rsidR="00703468" w:rsidRPr="00063776" w:rsidRDefault="00703468" w:rsidP="00962CF1">
            <w:pPr>
              <w:pStyle w:val="Els-body-text"/>
              <w:jc w:val="right"/>
              <w:rPr>
                <w:sz w:val="18"/>
                <w:szCs w:val="18"/>
              </w:rPr>
            </w:pPr>
            <w:r w:rsidRPr="00063776">
              <w:rPr>
                <w:sz w:val="18"/>
                <w:szCs w:val="18"/>
              </w:rPr>
              <w:t>0.65</w:t>
            </w:r>
          </w:p>
        </w:tc>
      </w:tr>
      <w:tr w:rsidR="00703468" w:rsidRPr="00063776" w14:paraId="7E86D0BE" w14:textId="77777777" w:rsidTr="00063776">
        <w:tc>
          <w:tcPr>
            <w:tcW w:w="2021" w:type="dxa"/>
          </w:tcPr>
          <w:p w14:paraId="2DD190C7" w14:textId="77777777" w:rsidR="00703468" w:rsidRPr="00063776" w:rsidRDefault="00703468" w:rsidP="00962CF1">
            <w:pPr>
              <w:pStyle w:val="Els-body-text"/>
              <w:rPr>
                <w:sz w:val="18"/>
                <w:szCs w:val="18"/>
              </w:rPr>
            </w:pPr>
            <w:r w:rsidRPr="00063776">
              <w:rPr>
                <w:sz w:val="18"/>
                <w:szCs w:val="18"/>
              </w:rPr>
              <w:t>Cell 2 potential [V]</w:t>
            </w:r>
          </w:p>
        </w:tc>
        <w:tc>
          <w:tcPr>
            <w:tcW w:w="1011" w:type="dxa"/>
          </w:tcPr>
          <w:p w14:paraId="5BABFD54"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702273F4"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74C73BD1"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1A4EBB96"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597F2A4E" w14:textId="77777777" w:rsidR="00703468" w:rsidRPr="00063776" w:rsidRDefault="00703468" w:rsidP="00962CF1">
            <w:pPr>
              <w:pStyle w:val="Els-body-text"/>
              <w:jc w:val="right"/>
              <w:rPr>
                <w:sz w:val="18"/>
                <w:szCs w:val="18"/>
              </w:rPr>
            </w:pPr>
            <w:r w:rsidRPr="00063776">
              <w:rPr>
                <w:sz w:val="18"/>
                <w:szCs w:val="18"/>
              </w:rPr>
              <w:t>0.60</w:t>
            </w:r>
          </w:p>
        </w:tc>
      </w:tr>
      <w:tr w:rsidR="00703468" w:rsidRPr="00063776" w14:paraId="4AA34763" w14:textId="77777777" w:rsidTr="00063776">
        <w:tc>
          <w:tcPr>
            <w:tcW w:w="2021" w:type="dxa"/>
          </w:tcPr>
          <w:p w14:paraId="15030422" w14:textId="77777777" w:rsidR="00703468" w:rsidRPr="00063776" w:rsidRDefault="00703468" w:rsidP="00962CF1">
            <w:pPr>
              <w:pStyle w:val="Els-body-text"/>
              <w:rPr>
                <w:sz w:val="18"/>
                <w:szCs w:val="18"/>
              </w:rPr>
            </w:pPr>
            <w:r w:rsidRPr="00063776">
              <w:rPr>
                <w:sz w:val="18"/>
                <w:szCs w:val="18"/>
              </w:rPr>
              <w:t>Util. factor [%]</w:t>
            </w:r>
          </w:p>
        </w:tc>
        <w:tc>
          <w:tcPr>
            <w:tcW w:w="1011" w:type="dxa"/>
          </w:tcPr>
          <w:p w14:paraId="2FC2509D"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4C9B5CB8"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7F40D5D5" w14:textId="2781AD81" w:rsidR="00703468" w:rsidRPr="00063776" w:rsidRDefault="00703468" w:rsidP="00962CF1">
            <w:pPr>
              <w:pStyle w:val="Els-body-text"/>
              <w:jc w:val="right"/>
              <w:rPr>
                <w:sz w:val="18"/>
                <w:szCs w:val="18"/>
              </w:rPr>
            </w:pPr>
            <w:r w:rsidRPr="00063776">
              <w:rPr>
                <w:sz w:val="18"/>
                <w:szCs w:val="18"/>
              </w:rPr>
              <w:t>75.0</w:t>
            </w:r>
            <w:r w:rsidR="006E1276" w:rsidRPr="00063776">
              <w:rPr>
                <w:sz w:val="18"/>
                <w:szCs w:val="18"/>
              </w:rPr>
              <w:t xml:space="preserve"> </w:t>
            </w:r>
            <w:r w:rsidRPr="00063776">
              <w:rPr>
                <w:sz w:val="18"/>
                <w:szCs w:val="18"/>
              </w:rPr>
              <w:t>%</w:t>
            </w:r>
          </w:p>
        </w:tc>
        <w:tc>
          <w:tcPr>
            <w:tcW w:w="1011" w:type="dxa"/>
          </w:tcPr>
          <w:p w14:paraId="75584828" w14:textId="0642FAE4" w:rsidR="00703468" w:rsidRPr="00063776" w:rsidRDefault="00703468" w:rsidP="00962CF1">
            <w:pPr>
              <w:pStyle w:val="Els-body-text"/>
              <w:jc w:val="right"/>
              <w:rPr>
                <w:sz w:val="18"/>
                <w:szCs w:val="18"/>
              </w:rPr>
            </w:pPr>
            <w:r w:rsidRPr="00063776">
              <w:rPr>
                <w:sz w:val="18"/>
                <w:szCs w:val="18"/>
              </w:rPr>
              <w:t>75.0</w:t>
            </w:r>
            <w:r w:rsidR="006E1276" w:rsidRPr="00063776">
              <w:rPr>
                <w:sz w:val="18"/>
                <w:szCs w:val="18"/>
              </w:rPr>
              <w:t xml:space="preserve"> </w:t>
            </w:r>
            <w:r w:rsidRPr="00063776">
              <w:rPr>
                <w:sz w:val="18"/>
                <w:szCs w:val="18"/>
              </w:rPr>
              <w:t>%</w:t>
            </w:r>
          </w:p>
        </w:tc>
        <w:tc>
          <w:tcPr>
            <w:tcW w:w="1011" w:type="dxa"/>
          </w:tcPr>
          <w:p w14:paraId="56D5296E" w14:textId="529FB792" w:rsidR="00703468" w:rsidRPr="00063776" w:rsidRDefault="00703468" w:rsidP="00962CF1">
            <w:pPr>
              <w:pStyle w:val="Els-body-text"/>
              <w:jc w:val="right"/>
              <w:rPr>
                <w:sz w:val="18"/>
                <w:szCs w:val="18"/>
              </w:rPr>
            </w:pPr>
            <w:r w:rsidRPr="00063776">
              <w:rPr>
                <w:sz w:val="18"/>
                <w:szCs w:val="18"/>
              </w:rPr>
              <w:t>70.0</w:t>
            </w:r>
            <w:r w:rsidR="006E1276" w:rsidRPr="00063776">
              <w:rPr>
                <w:sz w:val="18"/>
                <w:szCs w:val="18"/>
              </w:rPr>
              <w:t xml:space="preserve"> </w:t>
            </w:r>
            <w:r w:rsidRPr="00063776">
              <w:rPr>
                <w:sz w:val="18"/>
                <w:szCs w:val="18"/>
              </w:rPr>
              <w:t>%</w:t>
            </w:r>
          </w:p>
        </w:tc>
      </w:tr>
      <w:tr w:rsidR="00703468" w:rsidRPr="00063776" w14:paraId="5CE395AC" w14:textId="77777777" w:rsidTr="00063776">
        <w:tc>
          <w:tcPr>
            <w:tcW w:w="2021" w:type="dxa"/>
          </w:tcPr>
          <w:p w14:paraId="74F6866A" w14:textId="77777777" w:rsidR="00703468" w:rsidRPr="00063776" w:rsidRDefault="00703468" w:rsidP="00962CF1">
            <w:pPr>
              <w:pStyle w:val="Els-body-text"/>
              <w:rPr>
                <w:sz w:val="18"/>
                <w:szCs w:val="18"/>
              </w:rPr>
            </w:pPr>
            <w:r w:rsidRPr="00063776">
              <w:rPr>
                <w:sz w:val="18"/>
                <w:szCs w:val="18"/>
              </w:rPr>
              <w:t>CO</w:t>
            </w:r>
            <w:r w:rsidRPr="00063776">
              <w:rPr>
                <w:sz w:val="18"/>
                <w:szCs w:val="18"/>
                <w:vertAlign w:val="subscript"/>
              </w:rPr>
              <w:t>2</w:t>
            </w:r>
            <w:r w:rsidRPr="00063776">
              <w:rPr>
                <w:sz w:val="18"/>
                <w:szCs w:val="18"/>
              </w:rPr>
              <w:t xml:space="preserve"> util. factor [%]</w:t>
            </w:r>
          </w:p>
        </w:tc>
        <w:tc>
          <w:tcPr>
            <w:tcW w:w="1011" w:type="dxa"/>
          </w:tcPr>
          <w:p w14:paraId="308F8E77"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0E592BBF" w14:textId="77777777" w:rsidR="00703468" w:rsidRPr="00063776" w:rsidRDefault="00703468" w:rsidP="00962CF1">
            <w:pPr>
              <w:pStyle w:val="Els-body-text"/>
              <w:jc w:val="right"/>
              <w:rPr>
                <w:sz w:val="18"/>
                <w:szCs w:val="18"/>
              </w:rPr>
            </w:pPr>
            <w:r w:rsidRPr="00063776">
              <w:rPr>
                <w:sz w:val="18"/>
                <w:szCs w:val="18"/>
              </w:rPr>
              <w:t>-</w:t>
            </w:r>
          </w:p>
        </w:tc>
        <w:tc>
          <w:tcPr>
            <w:tcW w:w="1011" w:type="dxa"/>
          </w:tcPr>
          <w:p w14:paraId="0DF000ED" w14:textId="34EA03CF" w:rsidR="00703468" w:rsidRPr="00063776" w:rsidRDefault="00703468" w:rsidP="00962CF1">
            <w:pPr>
              <w:pStyle w:val="Els-body-text"/>
              <w:jc w:val="right"/>
              <w:rPr>
                <w:sz w:val="18"/>
                <w:szCs w:val="18"/>
              </w:rPr>
            </w:pPr>
            <w:r w:rsidRPr="00063776">
              <w:rPr>
                <w:sz w:val="18"/>
                <w:szCs w:val="18"/>
              </w:rPr>
              <w:t>81.7</w:t>
            </w:r>
            <w:r w:rsidR="006E1276" w:rsidRPr="00063776">
              <w:rPr>
                <w:sz w:val="18"/>
                <w:szCs w:val="18"/>
              </w:rPr>
              <w:t xml:space="preserve"> </w:t>
            </w:r>
            <w:r w:rsidRPr="00063776">
              <w:rPr>
                <w:sz w:val="18"/>
                <w:szCs w:val="18"/>
              </w:rPr>
              <w:t>%</w:t>
            </w:r>
          </w:p>
        </w:tc>
        <w:tc>
          <w:tcPr>
            <w:tcW w:w="1011" w:type="dxa"/>
          </w:tcPr>
          <w:p w14:paraId="4B6042F6" w14:textId="10A0DCCA" w:rsidR="00703468" w:rsidRPr="00063776" w:rsidRDefault="00703468" w:rsidP="00962CF1">
            <w:pPr>
              <w:pStyle w:val="Els-body-text"/>
              <w:jc w:val="right"/>
              <w:rPr>
                <w:sz w:val="18"/>
                <w:szCs w:val="18"/>
              </w:rPr>
            </w:pPr>
            <w:r w:rsidRPr="00063776">
              <w:rPr>
                <w:sz w:val="18"/>
                <w:szCs w:val="18"/>
              </w:rPr>
              <w:t>77.5</w:t>
            </w:r>
            <w:r w:rsidR="006E1276" w:rsidRPr="00063776">
              <w:rPr>
                <w:sz w:val="18"/>
                <w:szCs w:val="18"/>
              </w:rPr>
              <w:t xml:space="preserve"> </w:t>
            </w:r>
            <w:r w:rsidRPr="00063776">
              <w:rPr>
                <w:sz w:val="18"/>
                <w:szCs w:val="18"/>
              </w:rPr>
              <w:t>%</w:t>
            </w:r>
          </w:p>
        </w:tc>
        <w:tc>
          <w:tcPr>
            <w:tcW w:w="1011" w:type="dxa"/>
          </w:tcPr>
          <w:p w14:paraId="46F5C06B" w14:textId="54524576" w:rsidR="00703468" w:rsidRPr="00063776" w:rsidRDefault="00703468" w:rsidP="00962CF1">
            <w:pPr>
              <w:pStyle w:val="Els-body-text"/>
              <w:jc w:val="right"/>
              <w:rPr>
                <w:sz w:val="18"/>
                <w:szCs w:val="18"/>
              </w:rPr>
            </w:pPr>
            <w:r w:rsidRPr="00063776">
              <w:rPr>
                <w:sz w:val="18"/>
                <w:szCs w:val="18"/>
              </w:rPr>
              <w:t>87.1</w:t>
            </w:r>
            <w:r w:rsidR="006E1276" w:rsidRPr="00063776">
              <w:rPr>
                <w:sz w:val="18"/>
                <w:szCs w:val="18"/>
              </w:rPr>
              <w:t xml:space="preserve"> </w:t>
            </w:r>
            <w:r w:rsidRPr="00063776">
              <w:rPr>
                <w:sz w:val="18"/>
                <w:szCs w:val="18"/>
              </w:rPr>
              <w:t>%</w:t>
            </w:r>
          </w:p>
        </w:tc>
      </w:tr>
      <w:tr w:rsidR="00703468" w:rsidRPr="00063776" w14:paraId="342B27B7" w14:textId="77777777" w:rsidTr="00063776">
        <w:tc>
          <w:tcPr>
            <w:tcW w:w="2021" w:type="dxa"/>
            <w:tcBorders>
              <w:bottom w:val="single" w:sz="4" w:space="0" w:color="000000"/>
            </w:tcBorders>
          </w:tcPr>
          <w:p w14:paraId="21F1C84B" w14:textId="77777777" w:rsidR="00703468" w:rsidRPr="00063776" w:rsidRDefault="00703468" w:rsidP="00962CF1">
            <w:pPr>
              <w:pStyle w:val="Els-body-text"/>
              <w:rPr>
                <w:sz w:val="18"/>
                <w:szCs w:val="18"/>
              </w:rPr>
            </w:pPr>
            <w:r w:rsidRPr="00063776">
              <w:rPr>
                <w:sz w:val="18"/>
                <w:szCs w:val="18"/>
              </w:rPr>
              <w:t>Total cell area [m</w:t>
            </w:r>
            <w:r w:rsidRPr="00063776">
              <w:rPr>
                <w:sz w:val="18"/>
                <w:szCs w:val="18"/>
                <w:vertAlign w:val="superscript"/>
              </w:rPr>
              <w:t>2</w:t>
            </w:r>
            <w:r w:rsidRPr="00063776">
              <w:rPr>
                <w:sz w:val="18"/>
                <w:szCs w:val="18"/>
              </w:rPr>
              <w:t>]</w:t>
            </w:r>
          </w:p>
        </w:tc>
        <w:tc>
          <w:tcPr>
            <w:tcW w:w="1011" w:type="dxa"/>
            <w:tcBorders>
              <w:bottom w:val="single" w:sz="4" w:space="0" w:color="000000"/>
            </w:tcBorders>
          </w:tcPr>
          <w:p w14:paraId="539DB2CC" w14:textId="77777777" w:rsidR="00703468" w:rsidRPr="00063776" w:rsidRDefault="00703468" w:rsidP="00962CF1">
            <w:pPr>
              <w:pStyle w:val="Els-body-text"/>
              <w:jc w:val="right"/>
              <w:rPr>
                <w:sz w:val="18"/>
                <w:szCs w:val="18"/>
              </w:rPr>
            </w:pPr>
            <w:r w:rsidRPr="00063776">
              <w:rPr>
                <w:sz w:val="18"/>
                <w:szCs w:val="18"/>
              </w:rPr>
              <w:t>-</w:t>
            </w:r>
          </w:p>
        </w:tc>
        <w:tc>
          <w:tcPr>
            <w:tcW w:w="1011" w:type="dxa"/>
            <w:tcBorders>
              <w:bottom w:val="single" w:sz="4" w:space="0" w:color="000000"/>
            </w:tcBorders>
          </w:tcPr>
          <w:p w14:paraId="63E115DF" w14:textId="77777777" w:rsidR="00703468" w:rsidRPr="00063776" w:rsidRDefault="00703468" w:rsidP="00962CF1">
            <w:pPr>
              <w:pStyle w:val="Els-body-text"/>
              <w:jc w:val="right"/>
              <w:rPr>
                <w:sz w:val="18"/>
                <w:szCs w:val="18"/>
              </w:rPr>
            </w:pPr>
            <w:r w:rsidRPr="00063776">
              <w:rPr>
                <w:sz w:val="18"/>
                <w:szCs w:val="18"/>
              </w:rPr>
              <w:t>-</w:t>
            </w:r>
          </w:p>
        </w:tc>
        <w:tc>
          <w:tcPr>
            <w:tcW w:w="1011" w:type="dxa"/>
            <w:tcBorders>
              <w:bottom w:val="single" w:sz="4" w:space="0" w:color="000000"/>
            </w:tcBorders>
          </w:tcPr>
          <w:p w14:paraId="4D10FD14" w14:textId="77777777" w:rsidR="00703468" w:rsidRPr="00063776" w:rsidRDefault="00703468" w:rsidP="00962CF1">
            <w:pPr>
              <w:pStyle w:val="Els-body-text"/>
              <w:jc w:val="right"/>
              <w:rPr>
                <w:sz w:val="18"/>
                <w:szCs w:val="18"/>
              </w:rPr>
            </w:pPr>
            <w:r w:rsidRPr="00063776">
              <w:rPr>
                <w:sz w:val="18"/>
                <w:szCs w:val="18"/>
              </w:rPr>
              <w:t>73123</w:t>
            </w:r>
          </w:p>
        </w:tc>
        <w:tc>
          <w:tcPr>
            <w:tcW w:w="1011" w:type="dxa"/>
            <w:tcBorders>
              <w:bottom w:val="single" w:sz="4" w:space="0" w:color="000000"/>
            </w:tcBorders>
          </w:tcPr>
          <w:p w14:paraId="1FC9C5C7" w14:textId="77777777" w:rsidR="00703468" w:rsidRPr="00063776" w:rsidRDefault="00703468" w:rsidP="00962CF1">
            <w:pPr>
              <w:pStyle w:val="Els-body-text"/>
              <w:jc w:val="right"/>
              <w:rPr>
                <w:sz w:val="18"/>
                <w:szCs w:val="18"/>
              </w:rPr>
            </w:pPr>
            <w:r w:rsidRPr="00063776">
              <w:rPr>
                <w:sz w:val="18"/>
                <w:szCs w:val="18"/>
              </w:rPr>
              <w:t>41615</w:t>
            </w:r>
          </w:p>
        </w:tc>
        <w:tc>
          <w:tcPr>
            <w:tcW w:w="1011" w:type="dxa"/>
            <w:tcBorders>
              <w:bottom w:val="single" w:sz="4" w:space="0" w:color="000000"/>
            </w:tcBorders>
          </w:tcPr>
          <w:p w14:paraId="1AB53125" w14:textId="77777777" w:rsidR="00703468" w:rsidRPr="00063776" w:rsidRDefault="00703468" w:rsidP="00962CF1">
            <w:pPr>
              <w:pStyle w:val="Els-body-text"/>
              <w:jc w:val="right"/>
              <w:rPr>
                <w:sz w:val="18"/>
                <w:szCs w:val="18"/>
              </w:rPr>
            </w:pPr>
            <w:r w:rsidRPr="00063776">
              <w:rPr>
                <w:sz w:val="18"/>
                <w:szCs w:val="18"/>
              </w:rPr>
              <w:t>23605</w:t>
            </w:r>
          </w:p>
        </w:tc>
      </w:tr>
      <w:tr w:rsidR="00703468" w:rsidRPr="00063776" w14:paraId="4A5D4727" w14:textId="77777777" w:rsidTr="00063776">
        <w:tc>
          <w:tcPr>
            <w:tcW w:w="2021" w:type="dxa"/>
            <w:tcBorders>
              <w:top w:val="single" w:sz="4" w:space="0" w:color="000000"/>
            </w:tcBorders>
          </w:tcPr>
          <w:p w14:paraId="769F780F" w14:textId="77777777" w:rsidR="00703468" w:rsidRPr="00063776" w:rsidRDefault="00703468" w:rsidP="00962CF1">
            <w:pPr>
              <w:pStyle w:val="Els-body-text"/>
              <w:rPr>
                <w:sz w:val="18"/>
                <w:szCs w:val="18"/>
              </w:rPr>
            </w:pPr>
            <w:r w:rsidRPr="00063776">
              <w:rPr>
                <w:sz w:val="18"/>
                <w:szCs w:val="18"/>
              </w:rPr>
              <w:t>NG plant inlet [MW</w:t>
            </w:r>
            <w:r w:rsidRPr="00063776">
              <w:rPr>
                <w:sz w:val="18"/>
                <w:szCs w:val="18"/>
                <w:vertAlign w:val="subscript"/>
              </w:rPr>
              <w:t>LHV</w:t>
            </w:r>
            <w:r w:rsidRPr="00063776">
              <w:rPr>
                <w:sz w:val="18"/>
                <w:szCs w:val="18"/>
              </w:rPr>
              <w:t>]</w:t>
            </w:r>
          </w:p>
        </w:tc>
        <w:tc>
          <w:tcPr>
            <w:tcW w:w="1011" w:type="dxa"/>
            <w:tcBorders>
              <w:top w:val="single" w:sz="4" w:space="0" w:color="000000"/>
            </w:tcBorders>
          </w:tcPr>
          <w:p w14:paraId="5ECDDCD2" w14:textId="77777777" w:rsidR="00703468" w:rsidRPr="00063776" w:rsidRDefault="00703468" w:rsidP="00962CF1">
            <w:pPr>
              <w:pStyle w:val="Els-body-text"/>
              <w:jc w:val="right"/>
              <w:rPr>
                <w:sz w:val="18"/>
                <w:szCs w:val="18"/>
              </w:rPr>
            </w:pPr>
            <w:r w:rsidRPr="00063776">
              <w:rPr>
                <w:sz w:val="18"/>
                <w:szCs w:val="18"/>
              </w:rPr>
              <w:t>407.3</w:t>
            </w:r>
          </w:p>
        </w:tc>
        <w:tc>
          <w:tcPr>
            <w:tcW w:w="1011" w:type="dxa"/>
            <w:tcBorders>
              <w:top w:val="single" w:sz="4" w:space="0" w:color="000000"/>
            </w:tcBorders>
          </w:tcPr>
          <w:p w14:paraId="1A9D4A6B" w14:textId="77777777" w:rsidR="00703468" w:rsidRPr="00063776" w:rsidRDefault="00703468" w:rsidP="00962CF1">
            <w:pPr>
              <w:pStyle w:val="Els-body-text"/>
              <w:jc w:val="right"/>
              <w:rPr>
                <w:sz w:val="18"/>
                <w:szCs w:val="18"/>
              </w:rPr>
            </w:pPr>
            <w:r w:rsidRPr="00063776">
              <w:rPr>
                <w:sz w:val="18"/>
                <w:szCs w:val="18"/>
              </w:rPr>
              <w:t>407.3</w:t>
            </w:r>
          </w:p>
        </w:tc>
        <w:tc>
          <w:tcPr>
            <w:tcW w:w="1011" w:type="dxa"/>
            <w:tcBorders>
              <w:top w:val="single" w:sz="4" w:space="0" w:color="000000"/>
            </w:tcBorders>
          </w:tcPr>
          <w:p w14:paraId="1F3CB474" w14:textId="77777777" w:rsidR="00703468" w:rsidRPr="00063776" w:rsidRDefault="00703468" w:rsidP="00962CF1">
            <w:pPr>
              <w:pStyle w:val="Els-body-text"/>
              <w:jc w:val="right"/>
              <w:rPr>
                <w:sz w:val="18"/>
                <w:szCs w:val="18"/>
              </w:rPr>
            </w:pPr>
            <w:r w:rsidRPr="00063776">
              <w:rPr>
                <w:sz w:val="18"/>
                <w:szCs w:val="18"/>
              </w:rPr>
              <w:t>512.4</w:t>
            </w:r>
          </w:p>
        </w:tc>
        <w:tc>
          <w:tcPr>
            <w:tcW w:w="1011" w:type="dxa"/>
            <w:tcBorders>
              <w:top w:val="single" w:sz="4" w:space="0" w:color="000000"/>
            </w:tcBorders>
          </w:tcPr>
          <w:p w14:paraId="76E387DA" w14:textId="77777777" w:rsidR="00703468" w:rsidRPr="00063776" w:rsidRDefault="00703468" w:rsidP="00962CF1">
            <w:pPr>
              <w:pStyle w:val="Els-body-text"/>
              <w:jc w:val="right"/>
              <w:rPr>
                <w:sz w:val="18"/>
                <w:szCs w:val="18"/>
              </w:rPr>
            </w:pPr>
            <w:r w:rsidRPr="00063776">
              <w:rPr>
                <w:sz w:val="18"/>
                <w:szCs w:val="18"/>
              </w:rPr>
              <w:t>442.2</w:t>
            </w:r>
          </w:p>
        </w:tc>
        <w:tc>
          <w:tcPr>
            <w:tcW w:w="1011" w:type="dxa"/>
            <w:tcBorders>
              <w:top w:val="single" w:sz="4" w:space="0" w:color="000000"/>
            </w:tcBorders>
          </w:tcPr>
          <w:p w14:paraId="11DF9B80" w14:textId="77777777" w:rsidR="00703468" w:rsidRPr="00063776" w:rsidRDefault="00703468" w:rsidP="00962CF1">
            <w:pPr>
              <w:pStyle w:val="Els-body-text"/>
              <w:jc w:val="right"/>
              <w:rPr>
                <w:sz w:val="18"/>
                <w:szCs w:val="18"/>
              </w:rPr>
            </w:pPr>
            <w:r w:rsidRPr="00063776">
              <w:rPr>
                <w:sz w:val="18"/>
                <w:szCs w:val="18"/>
              </w:rPr>
              <w:t>439.4</w:t>
            </w:r>
          </w:p>
        </w:tc>
      </w:tr>
      <w:tr w:rsidR="00703468" w:rsidRPr="00063776" w14:paraId="7F05DA9C" w14:textId="77777777" w:rsidTr="00063776">
        <w:tc>
          <w:tcPr>
            <w:tcW w:w="2021" w:type="dxa"/>
          </w:tcPr>
          <w:p w14:paraId="777F9235" w14:textId="77777777" w:rsidR="00703468" w:rsidRPr="00063776" w:rsidRDefault="00703468" w:rsidP="00962CF1">
            <w:pPr>
              <w:pStyle w:val="Els-body-text"/>
              <w:rPr>
                <w:sz w:val="18"/>
                <w:szCs w:val="18"/>
              </w:rPr>
            </w:pPr>
            <w:r w:rsidRPr="00063776">
              <w:rPr>
                <w:sz w:val="18"/>
                <w:szCs w:val="18"/>
              </w:rPr>
              <w:t>PSA off-gas [MW</w:t>
            </w:r>
            <w:r w:rsidRPr="00063776">
              <w:rPr>
                <w:sz w:val="18"/>
                <w:szCs w:val="18"/>
                <w:vertAlign w:val="subscript"/>
              </w:rPr>
              <w:t>LHV</w:t>
            </w:r>
            <w:r w:rsidRPr="00063776">
              <w:rPr>
                <w:sz w:val="18"/>
                <w:szCs w:val="18"/>
              </w:rPr>
              <w:t>]</w:t>
            </w:r>
          </w:p>
        </w:tc>
        <w:tc>
          <w:tcPr>
            <w:tcW w:w="1011" w:type="dxa"/>
          </w:tcPr>
          <w:p w14:paraId="741902CC" w14:textId="77777777" w:rsidR="00703468" w:rsidRPr="00063776" w:rsidRDefault="00703468" w:rsidP="00962CF1">
            <w:pPr>
              <w:pStyle w:val="Els-body-text"/>
              <w:jc w:val="right"/>
              <w:rPr>
                <w:sz w:val="18"/>
                <w:szCs w:val="18"/>
              </w:rPr>
            </w:pPr>
            <w:r w:rsidRPr="00063776">
              <w:rPr>
                <w:sz w:val="18"/>
                <w:szCs w:val="18"/>
              </w:rPr>
              <w:t>97.1</w:t>
            </w:r>
          </w:p>
        </w:tc>
        <w:tc>
          <w:tcPr>
            <w:tcW w:w="1011" w:type="dxa"/>
          </w:tcPr>
          <w:p w14:paraId="7E8D3C93" w14:textId="77777777" w:rsidR="00703468" w:rsidRPr="00063776" w:rsidRDefault="00703468" w:rsidP="00962CF1">
            <w:pPr>
              <w:pStyle w:val="Els-body-text"/>
              <w:jc w:val="right"/>
              <w:rPr>
                <w:sz w:val="18"/>
                <w:szCs w:val="18"/>
              </w:rPr>
            </w:pPr>
            <w:r w:rsidRPr="00063776">
              <w:rPr>
                <w:sz w:val="18"/>
                <w:szCs w:val="18"/>
              </w:rPr>
              <w:t>97.1</w:t>
            </w:r>
          </w:p>
        </w:tc>
        <w:tc>
          <w:tcPr>
            <w:tcW w:w="1011" w:type="dxa"/>
          </w:tcPr>
          <w:p w14:paraId="0B59C5F9" w14:textId="77777777" w:rsidR="00703468" w:rsidRPr="00063776" w:rsidRDefault="00703468" w:rsidP="00962CF1">
            <w:pPr>
              <w:pStyle w:val="Els-body-text"/>
              <w:jc w:val="right"/>
              <w:rPr>
                <w:sz w:val="18"/>
                <w:szCs w:val="18"/>
              </w:rPr>
            </w:pPr>
            <w:r w:rsidRPr="00063776">
              <w:rPr>
                <w:sz w:val="18"/>
                <w:szCs w:val="18"/>
              </w:rPr>
              <w:t>90.8</w:t>
            </w:r>
          </w:p>
        </w:tc>
        <w:tc>
          <w:tcPr>
            <w:tcW w:w="1011" w:type="dxa"/>
          </w:tcPr>
          <w:p w14:paraId="0E0C8A99" w14:textId="77777777" w:rsidR="00703468" w:rsidRPr="00063776" w:rsidRDefault="00703468" w:rsidP="00962CF1">
            <w:pPr>
              <w:pStyle w:val="Els-body-text"/>
              <w:jc w:val="right"/>
              <w:rPr>
                <w:sz w:val="18"/>
                <w:szCs w:val="18"/>
              </w:rPr>
            </w:pPr>
            <w:r w:rsidRPr="00063776">
              <w:rPr>
                <w:sz w:val="18"/>
                <w:szCs w:val="18"/>
              </w:rPr>
              <w:t>95.0</w:t>
            </w:r>
          </w:p>
        </w:tc>
        <w:tc>
          <w:tcPr>
            <w:tcW w:w="1011" w:type="dxa"/>
          </w:tcPr>
          <w:p w14:paraId="122DB859" w14:textId="77777777" w:rsidR="00703468" w:rsidRPr="00063776" w:rsidRDefault="00703468" w:rsidP="00962CF1">
            <w:pPr>
              <w:pStyle w:val="Els-body-text"/>
              <w:jc w:val="right"/>
              <w:rPr>
                <w:sz w:val="18"/>
                <w:szCs w:val="18"/>
              </w:rPr>
            </w:pPr>
            <w:r w:rsidRPr="00063776">
              <w:rPr>
                <w:sz w:val="18"/>
                <w:szCs w:val="18"/>
              </w:rPr>
              <w:t>94.6</w:t>
            </w:r>
          </w:p>
        </w:tc>
      </w:tr>
      <w:tr w:rsidR="00703468" w:rsidRPr="00063776" w14:paraId="7DCCAB78" w14:textId="77777777" w:rsidTr="00063776">
        <w:tc>
          <w:tcPr>
            <w:tcW w:w="2021" w:type="dxa"/>
          </w:tcPr>
          <w:p w14:paraId="1EA0A04A" w14:textId="77777777" w:rsidR="00703468" w:rsidRPr="00063776" w:rsidRDefault="00703468" w:rsidP="00962CF1">
            <w:pPr>
              <w:pStyle w:val="Els-body-text"/>
              <w:rPr>
                <w:sz w:val="18"/>
                <w:szCs w:val="18"/>
              </w:rPr>
            </w:pPr>
            <w:r w:rsidRPr="00063776">
              <w:rPr>
                <w:sz w:val="18"/>
                <w:szCs w:val="18"/>
              </w:rPr>
              <w:t>Electricity outlet [</w:t>
            </w:r>
            <w:proofErr w:type="spellStart"/>
            <w:r w:rsidRPr="00063776">
              <w:rPr>
                <w:sz w:val="18"/>
                <w:szCs w:val="18"/>
              </w:rPr>
              <w:t>MW</w:t>
            </w:r>
            <w:r w:rsidRPr="00063776">
              <w:rPr>
                <w:sz w:val="18"/>
                <w:szCs w:val="18"/>
                <w:vertAlign w:val="subscript"/>
              </w:rPr>
              <w:t>el</w:t>
            </w:r>
            <w:proofErr w:type="spellEnd"/>
            <w:r w:rsidRPr="00063776">
              <w:rPr>
                <w:sz w:val="18"/>
                <w:szCs w:val="18"/>
              </w:rPr>
              <w:t>]</w:t>
            </w:r>
          </w:p>
        </w:tc>
        <w:tc>
          <w:tcPr>
            <w:tcW w:w="1011" w:type="dxa"/>
          </w:tcPr>
          <w:p w14:paraId="1331F60D" w14:textId="77777777" w:rsidR="00703468" w:rsidRPr="00063776" w:rsidRDefault="00703468" w:rsidP="00962CF1">
            <w:pPr>
              <w:pStyle w:val="Els-body-text"/>
              <w:jc w:val="right"/>
              <w:rPr>
                <w:sz w:val="18"/>
                <w:szCs w:val="18"/>
              </w:rPr>
            </w:pPr>
            <w:r w:rsidRPr="00063776">
              <w:rPr>
                <w:sz w:val="18"/>
                <w:szCs w:val="18"/>
              </w:rPr>
              <w:t>10.4</w:t>
            </w:r>
          </w:p>
        </w:tc>
        <w:tc>
          <w:tcPr>
            <w:tcW w:w="1011" w:type="dxa"/>
          </w:tcPr>
          <w:p w14:paraId="7EB908EA" w14:textId="77777777" w:rsidR="00703468" w:rsidRPr="00063776" w:rsidRDefault="00703468" w:rsidP="00962CF1">
            <w:pPr>
              <w:pStyle w:val="Els-body-text"/>
              <w:jc w:val="right"/>
              <w:rPr>
                <w:sz w:val="18"/>
                <w:szCs w:val="18"/>
              </w:rPr>
            </w:pPr>
            <w:r w:rsidRPr="00063776">
              <w:rPr>
                <w:sz w:val="18"/>
                <w:szCs w:val="18"/>
              </w:rPr>
              <w:t>-12.8</w:t>
            </w:r>
          </w:p>
        </w:tc>
        <w:tc>
          <w:tcPr>
            <w:tcW w:w="1011" w:type="dxa"/>
          </w:tcPr>
          <w:p w14:paraId="1B98020E" w14:textId="77777777" w:rsidR="00703468" w:rsidRPr="00063776" w:rsidRDefault="00703468" w:rsidP="00962CF1">
            <w:pPr>
              <w:pStyle w:val="Els-body-text"/>
              <w:jc w:val="right"/>
              <w:rPr>
                <w:sz w:val="18"/>
                <w:szCs w:val="18"/>
              </w:rPr>
            </w:pPr>
            <w:r w:rsidRPr="00063776">
              <w:rPr>
                <w:sz w:val="18"/>
                <w:szCs w:val="18"/>
              </w:rPr>
              <w:t>59.1</w:t>
            </w:r>
          </w:p>
        </w:tc>
        <w:tc>
          <w:tcPr>
            <w:tcW w:w="1011" w:type="dxa"/>
          </w:tcPr>
          <w:p w14:paraId="31938F1B" w14:textId="77777777" w:rsidR="00703468" w:rsidRPr="00063776" w:rsidRDefault="00703468" w:rsidP="00962CF1">
            <w:pPr>
              <w:pStyle w:val="Els-body-text"/>
              <w:jc w:val="right"/>
              <w:rPr>
                <w:sz w:val="18"/>
                <w:szCs w:val="18"/>
              </w:rPr>
            </w:pPr>
            <w:r w:rsidRPr="00063776">
              <w:rPr>
                <w:sz w:val="18"/>
                <w:szCs w:val="18"/>
              </w:rPr>
              <w:t>22.1</w:t>
            </w:r>
          </w:p>
        </w:tc>
        <w:tc>
          <w:tcPr>
            <w:tcW w:w="1011" w:type="dxa"/>
          </w:tcPr>
          <w:p w14:paraId="04E5C53F" w14:textId="77777777" w:rsidR="00703468" w:rsidRPr="00063776" w:rsidRDefault="00703468" w:rsidP="00962CF1">
            <w:pPr>
              <w:pStyle w:val="Els-body-text"/>
              <w:jc w:val="right"/>
              <w:rPr>
                <w:sz w:val="18"/>
                <w:szCs w:val="18"/>
              </w:rPr>
            </w:pPr>
            <w:r w:rsidRPr="00063776">
              <w:rPr>
                <w:sz w:val="18"/>
                <w:szCs w:val="18"/>
              </w:rPr>
              <w:t>19.8</w:t>
            </w:r>
          </w:p>
        </w:tc>
      </w:tr>
      <w:tr w:rsidR="00703468" w:rsidRPr="00063776" w14:paraId="065B196F" w14:textId="77777777" w:rsidTr="00063776">
        <w:tc>
          <w:tcPr>
            <w:tcW w:w="2021" w:type="dxa"/>
            <w:tcBorders>
              <w:bottom w:val="single" w:sz="4" w:space="0" w:color="000000"/>
            </w:tcBorders>
          </w:tcPr>
          <w:p w14:paraId="2FDB1388" w14:textId="77777777" w:rsidR="00703468" w:rsidRPr="00063776" w:rsidRDefault="00703468" w:rsidP="00962CF1">
            <w:pPr>
              <w:pStyle w:val="Els-body-text"/>
              <w:rPr>
                <w:sz w:val="18"/>
                <w:szCs w:val="18"/>
              </w:rPr>
            </w:pPr>
            <w:r w:rsidRPr="00063776">
              <w:rPr>
                <w:sz w:val="18"/>
                <w:szCs w:val="18"/>
              </w:rPr>
              <w:t>Steam outlet [</w:t>
            </w:r>
            <w:proofErr w:type="spellStart"/>
            <w:r w:rsidRPr="00063776">
              <w:rPr>
                <w:sz w:val="18"/>
                <w:szCs w:val="18"/>
              </w:rPr>
              <w:t>MW</w:t>
            </w:r>
            <w:r w:rsidRPr="00063776">
              <w:rPr>
                <w:sz w:val="18"/>
                <w:szCs w:val="18"/>
                <w:vertAlign w:val="subscript"/>
              </w:rPr>
              <w:t>th</w:t>
            </w:r>
            <w:proofErr w:type="spellEnd"/>
            <w:r w:rsidRPr="00063776">
              <w:rPr>
                <w:sz w:val="18"/>
                <w:szCs w:val="18"/>
              </w:rPr>
              <w:t>]</w:t>
            </w:r>
          </w:p>
        </w:tc>
        <w:tc>
          <w:tcPr>
            <w:tcW w:w="1011" w:type="dxa"/>
            <w:tcBorders>
              <w:bottom w:val="single" w:sz="4" w:space="0" w:color="000000"/>
            </w:tcBorders>
          </w:tcPr>
          <w:p w14:paraId="0289027B" w14:textId="77777777" w:rsidR="00703468" w:rsidRPr="00063776" w:rsidRDefault="00703468" w:rsidP="00962CF1">
            <w:pPr>
              <w:pStyle w:val="Els-body-text"/>
              <w:jc w:val="right"/>
              <w:rPr>
                <w:sz w:val="18"/>
                <w:szCs w:val="18"/>
              </w:rPr>
            </w:pPr>
            <w:r w:rsidRPr="00063776">
              <w:rPr>
                <w:sz w:val="18"/>
                <w:szCs w:val="18"/>
              </w:rPr>
              <w:t>23.2</w:t>
            </w:r>
          </w:p>
        </w:tc>
        <w:tc>
          <w:tcPr>
            <w:tcW w:w="1011" w:type="dxa"/>
            <w:tcBorders>
              <w:bottom w:val="single" w:sz="4" w:space="0" w:color="000000"/>
            </w:tcBorders>
          </w:tcPr>
          <w:p w14:paraId="5D30D364" w14:textId="77777777" w:rsidR="00703468" w:rsidRPr="00063776" w:rsidRDefault="00703468" w:rsidP="00962CF1">
            <w:pPr>
              <w:pStyle w:val="Els-body-text"/>
              <w:jc w:val="right"/>
              <w:rPr>
                <w:sz w:val="18"/>
                <w:szCs w:val="18"/>
              </w:rPr>
            </w:pPr>
            <w:r w:rsidRPr="00063776">
              <w:rPr>
                <w:sz w:val="18"/>
                <w:szCs w:val="18"/>
              </w:rPr>
              <w:t>0.0</w:t>
            </w:r>
          </w:p>
        </w:tc>
        <w:tc>
          <w:tcPr>
            <w:tcW w:w="1011" w:type="dxa"/>
            <w:tcBorders>
              <w:bottom w:val="single" w:sz="4" w:space="0" w:color="000000"/>
            </w:tcBorders>
          </w:tcPr>
          <w:p w14:paraId="352A91B3" w14:textId="77777777" w:rsidR="00703468" w:rsidRPr="00063776" w:rsidRDefault="00703468" w:rsidP="00962CF1">
            <w:pPr>
              <w:pStyle w:val="Els-body-text"/>
              <w:jc w:val="right"/>
              <w:rPr>
                <w:sz w:val="18"/>
                <w:szCs w:val="18"/>
              </w:rPr>
            </w:pPr>
            <w:r w:rsidRPr="00063776">
              <w:rPr>
                <w:sz w:val="18"/>
                <w:szCs w:val="18"/>
              </w:rPr>
              <w:t>21.5</w:t>
            </w:r>
          </w:p>
        </w:tc>
        <w:tc>
          <w:tcPr>
            <w:tcW w:w="1011" w:type="dxa"/>
            <w:tcBorders>
              <w:bottom w:val="single" w:sz="4" w:space="0" w:color="000000"/>
            </w:tcBorders>
          </w:tcPr>
          <w:p w14:paraId="3D245FDC" w14:textId="77777777" w:rsidR="00703468" w:rsidRPr="00063776" w:rsidRDefault="00703468" w:rsidP="00962CF1">
            <w:pPr>
              <w:pStyle w:val="Els-body-text"/>
              <w:jc w:val="right"/>
              <w:rPr>
                <w:sz w:val="18"/>
                <w:szCs w:val="18"/>
              </w:rPr>
            </w:pPr>
            <w:r w:rsidRPr="00063776">
              <w:rPr>
                <w:sz w:val="18"/>
                <w:szCs w:val="18"/>
              </w:rPr>
              <w:t>24.6</w:t>
            </w:r>
          </w:p>
        </w:tc>
        <w:tc>
          <w:tcPr>
            <w:tcW w:w="1011" w:type="dxa"/>
            <w:tcBorders>
              <w:bottom w:val="single" w:sz="4" w:space="0" w:color="000000"/>
            </w:tcBorders>
          </w:tcPr>
          <w:p w14:paraId="377E60FA" w14:textId="77777777" w:rsidR="00703468" w:rsidRPr="00063776" w:rsidRDefault="00703468" w:rsidP="00962CF1">
            <w:pPr>
              <w:pStyle w:val="Els-body-text"/>
              <w:jc w:val="right"/>
              <w:rPr>
                <w:sz w:val="18"/>
                <w:szCs w:val="18"/>
              </w:rPr>
            </w:pPr>
            <w:r w:rsidRPr="00063776">
              <w:rPr>
                <w:sz w:val="18"/>
                <w:szCs w:val="18"/>
              </w:rPr>
              <w:t>26.2</w:t>
            </w:r>
          </w:p>
        </w:tc>
      </w:tr>
      <w:tr w:rsidR="00703468" w:rsidRPr="00063776" w14:paraId="0A94C37B" w14:textId="77777777" w:rsidTr="00063776">
        <w:tc>
          <w:tcPr>
            <w:tcW w:w="2021" w:type="dxa"/>
            <w:tcBorders>
              <w:top w:val="single" w:sz="4" w:space="0" w:color="000000"/>
            </w:tcBorders>
          </w:tcPr>
          <w:p w14:paraId="6FEB7D28" w14:textId="77777777" w:rsidR="00703468" w:rsidRPr="00063776" w:rsidRDefault="00703468" w:rsidP="00962CF1">
            <w:pPr>
              <w:pStyle w:val="Els-body-text"/>
              <w:rPr>
                <w:sz w:val="18"/>
                <w:szCs w:val="18"/>
              </w:rPr>
            </w:pPr>
            <w:r w:rsidRPr="00063776">
              <w:rPr>
                <w:sz w:val="18"/>
                <w:szCs w:val="18"/>
              </w:rPr>
              <w:t xml:space="preserve">Spec. </w:t>
            </w:r>
            <w:proofErr w:type="spellStart"/>
            <w:r w:rsidRPr="00063776">
              <w:rPr>
                <w:sz w:val="18"/>
                <w:szCs w:val="18"/>
              </w:rPr>
              <w:t>emis</w:t>
            </w:r>
            <w:proofErr w:type="spellEnd"/>
            <w:r w:rsidRPr="00063776">
              <w:rPr>
                <w:sz w:val="18"/>
                <w:szCs w:val="18"/>
              </w:rPr>
              <w:t>. [kg</w:t>
            </w:r>
            <w:r w:rsidRPr="00063776">
              <w:rPr>
                <w:sz w:val="18"/>
                <w:szCs w:val="18"/>
                <w:vertAlign w:val="subscript"/>
              </w:rPr>
              <w:t>CO2</w:t>
            </w:r>
            <w:r w:rsidRPr="00063776">
              <w:rPr>
                <w:sz w:val="18"/>
                <w:szCs w:val="18"/>
              </w:rPr>
              <w:t>/kg</w:t>
            </w:r>
            <w:r w:rsidRPr="00063776">
              <w:rPr>
                <w:sz w:val="18"/>
                <w:szCs w:val="18"/>
                <w:vertAlign w:val="subscript"/>
              </w:rPr>
              <w:t>H2</w:t>
            </w:r>
            <w:r w:rsidRPr="00063776">
              <w:rPr>
                <w:sz w:val="18"/>
                <w:szCs w:val="18"/>
              </w:rPr>
              <w:t>]</w:t>
            </w:r>
          </w:p>
        </w:tc>
        <w:tc>
          <w:tcPr>
            <w:tcW w:w="1011" w:type="dxa"/>
            <w:tcBorders>
              <w:top w:val="single" w:sz="4" w:space="0" w:color="000000"/>
            </w:tcBorders>
          </w:tcPr>
          <w:p w14:paraId="382D4C76" w14:textId="77777777" w:rsidR="00703468" w:rsidRPr="00063776" w:rsidRDefault="00703468" w:rsidP="00962CF1">
            <w:pPr>
              <w:pStyle w:val="Els-body-text"/>
              <w:jc w:val="right"/>
              <w:rPr>
                <w:sz w:val="18"/>
                <w:szCs w:val="18"/>
              </w:rPr>
            </w:pPr>
            <w:r w:rsidRPr="00063776">
              <w:rPr>
                <w:sz w:val="18"/>
                <w:szCs w:val="18"/>
              </w:rPr>
              <w:t>9.29</w:t>
            </w:r>
          </w:p>
        </w:tc>
        <w:tc>
          <w:tcPr>
            <w:tcW w:w="1011" w:type="dxa"/>
            <w:tcBorders>
              <w:top w:val="single" w:sz="4" w:space="0" w:color="000000"/>
            </w:tcBorders>
          </w:tcPr>
          <w:p w14:paraId="3CDB181E" w14:textId="77777777" w:rsidR="00703468" w:rsidRPr="00063776" w:rsidRDefault="00703468" w:rsidP="00962CF1">
            <w:pPr>
              <w:pStyle w:val="Els-body-text"/>
              <w:jc w:val="right"/>
              <w:rPr>
                <w:sz w:val="18"/>
                <w:szCs w:val="18"/>
              </w:rPr>
            </w:pPr>
            <w:r w:rsidRPr="00063776">
              <w:rPr>
                <w:sz w:val="18"/>
                <w:szCs w:val="18"/>
              </w:rPr>
              <w:t>0.93</w:t>
            </w:r>
          </w:p>
        </w:tc>
        <w:tc>
          <w:tcPr>
            <w:tcW w:w="1011" w:type="dxa"/>
            <w:tcBorders>
              <w:top w:val="single" w:sz="4" w:space="0" w:color="000000"/>
            </w:tcBorders>
          </w:tcPr>
          <w:p w14:paraId="3C391B27" w14:textId="77777777" w:rsidR="00703468" w:rsidRPr="00063776" w:rsidRDefault="00703468" w:rsidP="00962CF1">
            <w:pPr>
              <w:pStyle w:val="Els-body-text"/>
              <w:jc w:val="right"/>
              <w:rPr>
                <w:sz w:val="18"/>
                <w:szCs w:val="18"/>
              </w:rPr>
            </w:pPr>
            <w:r w:rsidRPr="00063776">
              <w:rPr>
                <w:sz w:val="18"/>
                <w:szCs w:val="18"/>
              </w:rPr>
              <w:t>1.75</w:t>
            </w:r>
          </w:p>
        </w:tc>
        <w:tc>
          <w:tcPr>
            <w:tcW w:w="1011" w:type="dxa"/>
            <w:tcBorders>
              <w:top w:val="single" w:sz="4" w:space="0" w:color="000000"/>
            </w:tcBorders>
          </w:tcPr>
          <w:p w14:paraId="75D3825A" w14:textId="77777777" w:rsidR="00703468" w:rsidRPr="00063776" w:rsidRDefault="00703468" w:rsidP="00962CF1">
            <w:pPr>
              <w:pStyle w:val="Els-body-text"/>
              <w:jc w:val="right"/>
              <w:rPr>
                <w:sz w:val="18"/>
                <w:szCs w:val="18"/>
              </w:rPr>
            </w:pPr>
            <w:r w:rsidRPr="00063776">
              <w:rPr>
                <w:sz w:val="18"/>
                <w:szCs w:val="18"/>
              </w:rPr>
              <w:t>0.98</w:t>
            </w:r>
          </w:p>
        </w:tc>
        <w:tc>
          <w:tcPr>
            <w:tcW w:w="1011" w:type="dxa"/>
            <w:tcBorders>
              <w:top w:val="single" w:sz="4" w:space="0" w:color="000000"/>
            </w:tcBorders>
          </w:tcPr>
          <w:p w14:paraId="4E3CB912" w14:textId="77777777" w:rsidR="00703468" w:rsidRPr="00063776" w:rsidRDefault="00703468" w:rsidP="00962CF1">
            <w:pPr>
              <w:pStyle w:val="Els-body-text"/>
              <w:jc w:val="right"/>
              <w:rPr>
                <w:sz w:val="18"/>
                <w:szCs w:val="18"/>
              </w:rPr>
            </w:pPr>
            <w:r w:rsidRPr="00063776">
              <w:rPr>
                <w:sz w:val="18"/>
                <w:szCs w:val="18"/>
              </w:rPr>
              <w:t>0.50</w:t>
            </w:r>
          </w:p>
        </w:tc>
      </w:tr>
      <w:tr w:rsidR="00703468" w:rsidRPr="00063776" w14:paraId="0F07E337" w14:textId="77777777" w:rsidTr="00063776">
        <w:tc>
          <w:tcPr>
            <w:tcW w:w="2021" w:type="dxa"/>
          </w:tcPr>
          <w:p w14:paraId="081BF44B" w14:textId="77777777" w:rsidR="00703468" w:rsidRPr="00063776" w:rsidRDefault="00703468" w:rsidP="00962CF1">
            <w:pPr>
              <w:pStyle w:val="Els-body-text"/>
              <w:rPr>
                <w:sz w:val="18"/>
                <w:szCs w:val="18"/>
              </w:rPr>
            </w:pPr>
            <w:r w:rsidRPr="00063776">
              <w:rPr>
                <w:sz w:val="18"/>
                <w:szCs w:val="18"/>
              </w:rPr>
              <w:t>H</w:t>
            </w:r>
            <w:r w:rsidRPr="00063776">
              <w:rPr>
                <w:sz w:val="18"/>
                <w:szCs w:val="18"/>
                <w:vertAlign w:val="subscript"/>
              </w:rPr>
              <w:t>2</w:t>
            </w:r>
            <w:r w:rsidRPr="00063776">
              <w:rPr>
                <w:sz w:val="18"/>
                <w:szCs w:val="18"/>
              </w:rPr>
              <w:t xml:space="preserve"> prod. eff. [%]</w:t>
            </w:r>
          </w:p>
        </w:tc>
        <w:tc>
          <w:tcPr>
            <w:tcW w:w="1011" w:type="dxa"/>
          </w:tcPr>
          <w:p w14:paraId="337793F9" w14:textId="62C2213A" w:rsidR="00703468" w:rsidRPr="00063776" w:rsidRDefault="00703468" w:rsidP="00962CF1">
            <w:pPr>
              <w:pStyle w:val="Els-body-text"/>
              <w:jc w:val="right"/>
              <w:rPr>
                <w:sz w:val="18"/>
                <w:szCs w:val="18"/>
              </w:rPr>
            </w:pPr>
            <w:r w:rsidRPr="00063776">
              <w:rPr>
                <w:sz w:val="18"/>
                <w:szCs w:val="18"/>
              </w:rPr>
              <w:t>73.5</w:t>
            </w:r>
            <w:r w:rsidR="006E1276" w:rsidRPr="00063776">
              <w:rPr>
                <w:sz w:val="18"/>
                <w:szCs w:val="18"/>
              </w:rPr>
              <w:t xml:space="preserve"> </w:t>
            </w:r>
            <w:r w:rsidRPr="00063776">
              <w:rPr>
                <w:sz w:val="18"/>
                <w:szCs w:val="18"/>
              </w:rPr>
              <w:t>%</w:t>
            </w:r>
          </w:p>
        </w:tc>
        <w:tc>
          <w:tcPr>
            <w:tcW w:w="1011" w:type="dxa"/>
          </w:tcPr>
          <w:p w14:paraId="0D74902D" w14:textId="67EF4F4D" w:rsidR="00703468" w:rsidRPr="00063776" w:rsidRDefault="00703468" w:rsidP="00962CF1">
            <w:pPr>
              <w:pStyle w:val="Els-body-text"/>
              <w:jc w:val="right"/>
              <w:rPr>
                <w:sz w:val="18"/>
                <w:szCs w:val="18"/>
              </w:rPr>
            </w:pPr>
            <w:r w:rsidRPr="00063776">
              <w:rPr>
                <w:sz w:val="18"/>
                <w:szCs w:val="18"/>
              </w:rPr>
              <w:t>73.5</w:t>
            </w:r>
            <w:r w:rsidR="006E1276" w:rsidRPr="00063776">
              <w:rPr>
                <w:sz w:val="18"/>
                <w:szCs w:val="18"/>
              </w:rPr>
              <w:t xml:space="preserve"> </w:t>
            </w:r>
            <w:r w:rsidRPr="00063776">
              <w:rPr>
                <w:sz w:val="18"/>
                <w:szCs w:val="18"/>
              </w:rPr>
              <w:t>%</w:t>
            </w:r>
          </w:p>
        </w:tc>
        <w:tc>
          <w:tcPr>
            <w:tcW w:w="1011" w:type="dxa"/>
          </w:tcPr>
          <w:p w14:paraId="4BCBC439" w14:textId="4E56B89B" w:rsidR="00703468" w:rsidRPr="00063776" w:rsidRDefault="00703468" w:rsidP="00962CF1">
            <w:pPr>
              <w:pStyle w:val="Els-body-text"/>
              <w:jc w:val="right"/>
              <w:rPr>
                <w:sz w:val="18"/>
                <w:szCs w:val="18"/>
              </w:rPr>
            </w:pPr>
            <w:r w:rsidRPr="00063776">
              <w:rPr>
                <w:sz w:val="18"/>
                <w:szCs w:val="18"/>
              </w:rPr>
              <w:t>58.5</w:t>
            </w:r>
            <w:r w:rsidR="006E1276" w:rsidRPr="00063776">
              <w:rPr>
                <w:sz w:val="18"/>
                <w:szCs w:val="18"/>
              </w:rPr>
              <w:t xml:space="preserve"> </w:t>
            </w:r>
            <w:r w:rsidRPr="00063776">
              <w:rPr>
                <w:sz w:val="18"/>
                <w:szCs w:val="18"/>
              </w:rPr>
              <w:t>%</w:t>
            </w:r>
          </w:p>
        </w:tc>
        <w:tc>
          <w:tcPr>
            <w:tcW w:w="1011" w:type="dxa"/>
          </w:tcPr>
          <w:p w14:paraId="6333892F" w14:textId="3271AF16" w:rsidR="00703468" w:rsidRPr="00063776" w:rsidRDefault="00703468" w:rsidP="00962CF1">
            <w:pPr>
              <w:pStyle w:val="Els-body-text"/>
              <w:jc w:val="right"/>
              <w:rPr>
                <w:sz w:val="18"/>
                <w:szCs w:val="18"/>
              </w:rPr>
            </w:pPr>
            <w:r w:rsidRPr="00063776">
              <w:rPr>
                <w:sz w:val="18"/>
                <w:szCs w:val="18"/>
              </w:rPr>
              <w:t>67.7</w:t>
            </w:r>
            <w:r w:rsidR="006E1276" w:rsidRPr="00063776">
              <w:rPr>
                <w:sz w:val="18"/>
                <w:szCs w:val="18"/>
              </w:rPr>
              <w:t xml:space="preserve"> </w:t>
            </w:r>
            <w:r w:rsidRPr="00063776">
              <w:rPr>
                <w:sz w:val="18"/>
                <w:szCs w:val="18"/>
              </w:rPr>
              <w:t>%</w:t>
            </w:r>
          </w:p>
        </w:tc>
        <w:tc>
          <w:tcPr>
            <w:tcW w:w="1011" w:type="dxa"/>
          </w:tcPr>
          <w:p w14:paraId="4B22BF0B" w14:textId="733FAF82" w:rsidR="00703468" w:rsidRPr="00063776" w:rsidRDefault="00703468" w:rsidP="00962CF1">
            <w:pPr>
              <w:pStyle w:val="Els-body-text"/>
              <w:jc w:val="right"/>
              <w:rPr>
                <w:sz w:val="18"/>
                <w:szCs w:val="18"/>
              </w:rPr>
            </w:pPr>
            <w:r w:rsidRPr="00063776">
              <w:rPr>
                <w:sz w:val="18"/>
                <w:szCs w:val="18"/>
              </w:rPr>
              <w:t>68.2</w:t>
            </w:r>
            <w:r w:rsidR="006E1276" w:rsidRPr="00063776">
              <w:rPr>
                <w:sz w:val="18"/>
                <w:szCs w:val="18"/>
              </w:rPr>
              <w:t xml:space="preserve"> </w:t>
            </w:r>
            <w:r w:rsidRPr="00063776">
              <w:rPr>
                <w:sz w:val="18"/>
                <w:szCs w:val="18"/>
              </w:rPr>
              <w:t>%</w:t>
            </w:r>
          </w:p>
        </w:tc>
      </w:tr>
      <w:tr w:rsidR="00703468" w:rsidRPr="00063776" w14:paraId="2CE433BA" w14:textId="77777777" w:rsidTr="00063776">
        <w:tc>
          <w:tcPr>
            <w:tcW w:w="2021" w:type="dxa"/>
            <w:tcBorders>
              <w:bottom w:val="single" w:sz="4" w:space="0" w:color="000000"/>
            </w:tcBorders>
          </w:tcPr>
          <w:p w14:paraId="3CA45CC5" w14:textId="77777777" w:rsidR="00703468" w:rsidRPr="00063776" w:rsidRDefault="00703468" w:rsidP="00962CF1">
            <w:pPr>
              <w:pStyle w:val="Els-body-text"/>
              <w:rPr>
                <w:sz w:val="18"/>
                <w:szCs w:val="18"/>
              </w:rPr>
            </w:pPr>
            <w:r w:rsidRPr="00063776">
              <w:rPr>
                <w:sz w:val="18"/>
                <w:szCs w:val="18"/>
              </w:rPr>
              <w:t xml:space="preserve">Carbon </w:t>
            </w:r>
            <w:proofErr w:type="spellStart"/>
            <w:r w:rsidRPr="00063776">
              <w:rPr>
                <w:sz w:val="18"/>
                <w:szCs w:val="18"/>
              </w:rPr>
              <w:t>capt.</w:t>
            </w:r>
            <w:proofErr w:type="spellEnd"/>
            <w:r w:rsidRPr="00063776">
              <w:rPr>
                <w:sz w:val="18"/>
                <w:szCs w:val="18"/>
              </w:rPr>
              <w:t xml:space="preserve"> Rate [%]</w:t>
            </w:r>
          </w:p>
        </w:tc>
        <w:tc>
          <w:tcPr>
            <w:tcW w:w="1011" w:type="dxa"/>
            <w:tcBorders>
              <w:bottom w:val="single" w:sz="4" w:space="0" w:color="000000"/>
            </w:tcBorders>
          </w:tcPr>
          <w:p w14:paraId="0887B65B" w14:textId="4C818942" w:rsidR="00703468" w:rsidRPr="00063776" w:rsidRDefault="00703468" w:rsidP="00962CF1">
            <w:pPr>
              <w:pStyle w:val="Els-body-text"/>
              <w:jc w:val="right"/>
              <w:rPr>
                <w:sz w:val="18"/>
                <w:szCs w:val="18"/>
              </w:rPr>
            </w:pPr>
            <w:r w:rsidRPr="00063776">
              <w:rPr>
                <w:sz w:val="18"/>
                <w:szCs w:val="18"/>
              </w:rPr>
              <w:t>0.0</w:t>
            </w:r>
            <w:r w:rsidR="006E1276" w:rsidRPr="00063776">
              <w:rPr>
                <w:sz w:val="18"/>
                <w:szCs w:val="18"/>
              </w:rPr>
              <w:t xml:space="preserve"> </w:t>
            </w:r>
            <w:r w:rsidRPr="00063776">
              <w:rPr>
                <w:sz w:val="18"/>
                <w:szCs w:val="18"/>
              </w:rPr>
              <w:t>%</w:t>
            </w:r>
          </w:p>
        </w:tc>
        <w:tc>
          <w:tcPr>
            <w:tcW w:w="1011" w:type="dxa"/>
            <w:tcBorders>
              <w:bottom w:val="single" w:sz="4" w:space="0" w:color="000000"/>
            </w:tcBorders>
          </w:tcPr>
          <w:p w14:paraId="596B6ACB" w14:textId="2378AF71" w:rsidR="00703468" w:rsidRPr="00063776" w:rsidRDefault="00703468" w:rsidP="00962CF1">
            <w:pPr>
              <w:pStyle w:val="Els-body-text"/>
              <w:jc w:val="right"/>
              <w:rPr>
                <w:sz w:val="18"/>
                <w:szCs w:val="18"/>
              </w:rPr>
            </w:pPr>
            <w:r w:rsidRPr="00063776">
              <w:rPr>
                <w:sz w:val="18"/>
                <w:szCs w:val="18"/>
              </w:rPr>
              <w:t>90.0</w:t>
            </w:r>
            <w:r w:rsidR="006E1276" w:rsidRPr="00063776">
              <w:rPr>
                <w:sz w:val="18"/>
                <w:szCs w:val="18"/>
              </w:rPr>
              <w:t xml:space="preserve"> </w:t>
            </w:r>
            <w:r w:rsidRPr="00063776">
              <w:rPr>
                <w:sz w:val="18"/>
                <w:szCs w:val="18"/>
              </w:rPr>
              <w:t>%</w:t>
            </w:r>
          </w:p>
        </w:tc>
        <w:tc>
          <w:tcPr>
            <w:tcW w:w="1011" w:type="dxa"/>
            <w:tcBorders>
              <w:bottom w:val="single" w:sz="4" w:space="0" w:color="000000"/>
            </w:tcBorders>
          </w:tcPr>
          <w:p w14:paraId="08ECCE42" w14:textId="6FF4F570" w:rsidR="00703468" w:rsidRPr="00063776" w:rsidRDefault="00703468" w:rsidP="00962CF1">
            <w:pPr>
              <w:pStyle w:val="Els-body-text"/>
              <w:jc w:val="right"/>
              <w:rPr>
                <w:sz w:val="18"/>
                <w:szCs w:val="18"/>
              </w:rPr>
            </w:pPr>
            <w:r w:rsidRPr="00063776">
              <w:rPr>
                <w:sz w:val="18"/>
                <w:szCs w:val="18"/>
              </w:rPr>
              <w:t>85.0</w:t>
            </w:r>
            <w:r w:rsidR="006E1276" w:rsidRPr="00063776">
              <w:rPr>
                <w:sz w:val="18"/>
                <w:szCs w:val="18"/>
              </w:rPr>
              <w:t xml:space="preserve"> </w:t>
            </w:r>
            <w:r w:rsidRPr="00063776">
              <w:rPr>
                <w:sz w:val="18"/>
                <w:szCs w:val="18"/>
              </w:rPr>
              <w:t>%</w:t>
            </w:r>
          </w:p>
        </w:tc>
        <w:tc>
          <w:tcPr>
            <w:tcW w:w="1011" w:type="dxa"/>
            <w:tcBorders>
              <w:bottom w:val="single" w:sz="4" w:space="0" w:color="000000"/>
            </w:tcBorders>
          </w:tcPr>
          <w:p w14:paraId="7FB16BA7" w14:textId="58543B3E" w:rsidR="00703468" w:rsidRPr="00063776" w:rsidRDefault="00703468" w:rsidP="00962CF1">
            <w:pPr>
              <w:pStyle w:val="Els-body-text"/>
              <w:jc w:val="right"/>
              <w:rPr>
                <w:sz w:val="18"/>
                <w:szCs w:val="18"/>
              </w:rPr>
            </w:pPr>
            <w:r w:rsidRPr="00063776">
              <w:rPr>
                <w:sz w:val="18"/>
                <w:szCs w:val="18"/>
              </w:rPr>
              <w:t>90.3</w:t>
            </w:r>
            <w:r w:rsidR="006E1276" w:rsidRPr="00063776">
              <w:rPr>
                <w:sz w:val="18"/>
                <w:szCs w:val="18"/>
              </w:rPr>
              <w:t xml:space="preserve"> </w:t>
            </w:r>
            <w:r w:rsidRPr="00063776">
              <w:rPr>
                <w:sz w:val="18"/>
                <w:szCs w:val="18"/>
              </w:rPr>
              <w:t>%</w:t>
            </w:r>
          </w:p>
        </w:tc>
        <w:tc>
          <w:tcPr>
            <w:tcW w:w="1011" w:type="dxa"/>
            <w:tcBorders>
              <w:bottom w:val="single" w:sz="4" w:space="0" w:color="000000"/>
            </w:tcBorders>
          </w:tcPr>
          <w:p w14:paraId="547BCFEA" w14:textId="6D3D00CA" w:rsidR="00703468" w:rsidRPr="00063776" w:rsidRDefault="00703468" w:rsidP="00962CF1">
            <w:pPr>
              <w:pStyle w:val="Els-body-text"/>
              <w:jc w:val="right"/>
              <w:rPr>
                <w:sz w:val="18"/>
                <w:szCs w:val="18"/>
              </w:rPr>
            </w:pPr>
            <w:r w:rsidRPr="00063776">
              <w:rPr>
                <w:sz w:val="18"/>
                <w:szCs w:val="18"/>
              </w:rPr>
              <w:t>95.0</w:t>
            </w:r>
            <w:r w:rsidR="006E1276" w:rsidRPr="00063776">
              <w:rPr>
                <w:sz w:val="18"/>
                <w:szCs w:val="18"/>
              </w:rPr>
              <w:t xml:space="preserve"> </w:t>
            </w:r>
            <w:r w:rsidRPr="00063776">
              <w:rPr>
                <w:sz w:val="18"/>
                <w:szCs w:val="18"/>
              </w:rPr>
              <w:t>%</w:t>
            </w:r>
          </w:p>
        </w:tc>
      </w:tr>
    </w:tbl>
    <w:p w14:paraId="40FE888A" w14:textId="219E30F0" w:rsidR="0023418D" w:rsidRDefault="0023418D" w:rsidP="00703468">
      <w:pPr>
        <w:pStyle w:val="Els-body-text"/>
        <w:spacing w:before="240"/>
      </w:pPr>
      <w:r>
        <w:t>The economic analysis</w:t>
      </w:r>
      <w:r w:rsidR="008A5F40">
        <w:t xml:space="preserve"> is based on the assumptions reported in </w:t>
      </w:r>
      <w:proofErr w:type="spellStart"/>
      <w:r w:rsidR="008A5F40">
        <w:t>d’Amore</w:t>
      </w:r>
      <w:proofErr w:type="spellEnd"/>
      <w:r w:rsidR="008A5F40">
        <w:t xml:space="preserve"> et al. (2023)</w:t>
      </w:r>
      <w:r w:rsidR="00C21555">
        <w:t>.</w:t>
      </w:r>
      <w:r w:rsidR="00273A0A">
        <w:t xml:space="preserve"> </w:t>
      </w:r>
      <w:r w:rsidR="00C21555">
        <w:t>T</w:t>
      </w:r>
      <w:r w:rsidR="00273A0A">
        <w:t>he plants have equivalent operating hours of 8400 h/y</w:t>
      </w:r>
      <w:r w:rsidR="005D7407">
        <w:t xml:space="preserve">ear, being the electricity and natural gas prices equal to </w:t>
      </w:r>
      <w:r w:rsidR="006172A7">
        <w:t xml:space="preserve">60 </w:t>
      </w:r>
      <w:r w:rsidR="00C21555">
        <w:t>€</w:t>
      </w:r>
      <w:r w:rsidR="006172A7">
        <w:t>/MWh and 6 €/GJ, respectively. The results show</w:t>
      </w:r>
      <w:r>
        <w:t xml:space="preserve"> that </w:t>
      </w:r>
      <w:r w:rsidRPr="0023418D">
        <w:t>OGF and OGF-2 plants exhibit H</w:t>
      </w:r>
      <w:r w:rsidRPr="0023418D">
        <w:rPr>
          <w:vertAlign w:val="subscript"/>
        </w:rPr>
        <w:t>2</w:t>
      </w:r>
      <w:r w:rsidRPr="0023418D">
        <w:t xml:space="preserve"> production costs (1.9</w:t>
      </w:r>
      <w:r w:rsidR="001537DB">
        <w:t>-</w:t>
      </w:r>
      <w:r w:rsidRPr="0023418D">
        <w:t>2.2 €/kg of H</w:t>
      </w:r>
      <w:r w:rsidRPr="0023418D">
        <w:rPr>
          <w:vertAlign w:val="subscript"/>
        </w:rPr>
        <w:t>2</w:t>
      </w:r>
      <w:r w:rsidRPr="0023418D">
        <w:t>) that are lower than NGF (2.3</w:t>
      </w:r>
      <w:r w:rsidR="001537DB">
        <w:t>-</w:t>
      </w:r>
      <w:r w:rsidRPr="0023418D">
        <w:t>2.6 €/kg of H</w:t>
      </w:r>
      <w:r w:rsidRPr="0023418D">
        <w:rPr>
          <w:vertAlign w:val="subscript"/>
        </w:rPr>
        <w:t>2</w:t>
      </w:r>
      <w:r w:rsidRPr="0023418D">
        <w:t xml:space="preserve">) </w:t>
      </w:r>
      <w:proofErr w:type="spellStart"/>
      <w:r w:rsidRPr="0023418D">
        <w:t>and than</w:t>
      </w:r>
      <w:proofErr w:type="spellEnd"/>
      <w:r w:rsidRPr="0023418D">
        <w:t xml:space="preserve"> </w:t>
      </w:r>
      <w:r w:rsidR="001537DB">
        <w:t>SMR</w:t>
      </w:r>
      <w:r w:rsidRPr="0023418D">
        <w:t xml:space="preserve"> with conventional post-combustion CO</w:t>
      </w:r>
      <w:r w:rsidRPr="001537DB">
        <w:rPr>
          <w:vertAlign w:val="subscript"/>
        </w:rPr>
        <w:t>2</w:t>
      </w:r>
      <w:r w:rsidRPr="0023418D">
        <w:t xml:space="preserve"> capture (2.2</w:t>
      </w:r>
      <w:r w:rsidR="003F4B77">
        <w:t>-</w:t>
      </w:r>
      <w:r w:rsidRPr="0023418D">
        <w:t>2.3 €/kg of H</w:t>
      </w:r>
      <w:r w:rsidRPr="001537DB">
        <w:rPr>
          <w:vertAlign w:val="subscript"/>
        </w:rPr>
        <w:t>2</w:t>
      </w:r>
      <w:r w:rsidRPr="0023418D">
        <w:t xml:space="preserve">). The sensitivity analyses on key economic parameters (e.g., carbon tax, </w:t>
      </w:r>
      <w:r w:rsidR="00641F74">
        <w:t>NG</w:t>
      </w:r>
      <w:r w:rsidRPr="0023418D">
        <w:t xml:space="preserve"> cost, electricity price) </w:t>
      </w:r>
      <w:r w:rsidR="00804DAB">
        <w:t>did</w:t>
      </w:r>
      <w:r w:rsidRPr="0023418D">
        <w:t xml:space="preserve"> not affect the main outcome, i.e., the good economic performance of OGF and OGF-2</w:t>
      </w:r>
      <w:r w:rsidR="00941003">
        <w:t xml:space="preserve"> (</w:t>
      </w:r>
      <w:proofErr w:type="spellStart"/>
      <w:r w:rsidR="00941003">
        <w:t>d’Amore</w:t>
      </w:r>
      <w:proofErr w:type="spellEnd"/>
      <w:r w:rsidR="00941003">
        <w:t xml:space="preserve"> et al., 2023)</w:t>
      </w:r>
      <w:r w:rsidRPr="0023418D">
        <w:t>. Contrary to the NGF case, the OGF one (and especially the 2-stage configuration) emerge</w:t>
      </w:r>
      <w:r w:rsidR="008746A5">
        <w:t>s</w:t>
      </w:r>
      <w:r w:rsidRPr="0023418D">
        <w:t xml:space="preserve"> as cost competitive with conventional solvent-based post-combustion capture in the entire range of values explored in the sensitivities.</w:t>
      </w:r>
    </w:p>
    <w:p w14:paraId="4458234B" w14:textId="1E3371CA" w:rsidR="00C859AB" w:rsidRDefault="00C859AB" w:rsidP="00C859AB">
      <w:pPr>
        <w:pStyle w:val="Els-1storder-head"/>
      </w:pPr>
      <w:r>
        <w:t>Conclusions</w:t>
      </w:r>
    </w:p>
    <w:p w14:paraId="5B702ED3" w14:textId="7AF51709" w:rsidR="00C859AB" w:rsidRPr="00C859AB" w:rsidRDefault="00C859AB" w:rsidP="00C859AB">
      <w:pPr>
        <w:pStyle w:val="Els-body-text"/>
      </w:pPr>
      <w:r w:rsidRPr="00C859AB">
        <w:t>Th</w:t>
      </w:r>
      <w:r>
        <w:t xml:space="preserve">is study </w:t>
      </w:r>
      <w:r w:rsidRPr="00C859AB">
        <w:t>highlight</w:t>
      </w:r>
      <w:r>
        <w:t>s</w:t>
      </w:r>
      <w:r w:rsidRPr="00C859AB">
        <w:t xml:space="preserve"> the potential of </w:t>
      </w:r>
      <w:r w:rsidR="00273AFE">
        <w:t>molten carbonate fuel cells (</w:t>
      </w:r>
      <w:r w:rsidRPr="00C859AB">
        <w:t>MCFCs</w:t>
      </w:r>
      <w:r w:rsidR="00273AFE">
        <w:t>)</w:t>
      </w:r>
      <w:r w:rsidRPr="00C859AB">
        <w:t xml:space="preserve"> as post-combustion CO</w:t>
      </w:r>
      <w:r w:rsidRPr="00273AFE">
        <w:rPr>
          <w:vertAlign w:val="subscript"/>
        </w:rPr>
        <w:t>2</w:t>
      </w:r>
      <w:r w:rsidRPr="00C859AB">
        <w:t xml:space="preserve"> capture systems in blue H</w:t>
      </w:r>
      <w:r w:rsidRPr="00273AFE">
        <w:rPr>
          <w:vertAlign w:val="subscript"/>
        </w:rPr>
        <w:t>2</w:t>
      </w:r>
      <w:r w:rsidRPr="00C859AB">
        <w:t xml:space="preserve"> plants, if fed with off-gas</w:t>
      </w:r>
      <w:r w:rsidR="00F951BA">
        <w:t xml:space="preserve"> from H</w:t>
      </w:r>
      <w:r w:rsidR="00F951BA" w:rsidRPr="00F951BA">
        <w:rPr>
          <w:vertAlign w:val="subscript"/>
        </w:rPr>
        <w:t>2</w:t>
      </w:r>
      <w:r w:rsidR="00F951BA">
        <w:t xml:space="preserve"> purification unit</w:t>
      </w:r>
      <w:r w:rsidRPr="00C859AB">
        <w:t xml:space="preserve"> as fuel. The resulting CO</w:t>
      </w:r>
      <w:r w:rsidRPr="00F951BA">
        <w:rPr>
          <w:vertAlign w:val="subscript"/>
        </w:rPr>
        <w:t>2</w:t>
      </w:r>
      <w:r w:rsidRPr="00C859AB">
        <w:t xml:space="preserve"> capture rate is found equal to 90</w:t>
      </w:r>
      <w:r w:rsidR="006E1276">
        <w:t xml:space="preserve"> </w:t>
      </w:r>
      <w:r w:rsidRPr="00C859AB">
        <w:t>% for the single cell configuration and equal to 95</w:t>
      </w:r>
      <w:r w:rsidR="006E1276">
        <w:t xml:space="preserve"> </w:t>
      </w:r>
      <w:r w:rsidRPr="00C859AB">
        <w:t>% for the multi-stage cell configuration, against 85</w:t>
      </w:r>
      <w:r w:rsidR="006E1276">
        <w:t xml:space="preserve"> </w:t>
      </w:r>
      <w:r w:rsidRPr="00C859AB">
        <w:t xml:space="preserve">% in the case of </w:t>
      </w:r>
      <w:r w:rsidR="000F13E5">
        <w:t>natural gas</w:t>
      </w:r>
      <w:r w:rsidRPr="00C859AB">
        <w:t>-based anode feed. H</w:t>
      </w:r>
      <w:r w:rsidRPr="00F951BA">
        <w:rPr>
          <w:vertAlign w:val="subscript"/>
        </w:rPr>
        <w:t>2</w:t>
      </w:r>
      <w:r w:rsidRPr="00C859AB">
        <w:t xml:space="preserve"> production costs are in the range of 1.9-2.2 €/kg of H</w:t>
      </w:r>
      <w:r w:rsidRPr="00F951BA">
        <w:rPr>
          <w:vertAlign w:val="subscript"/>
        </w:rPr>
        <w:t>2</w:t>
      </w:r>
      <w:r w:rsidRPr="00C859AB">
        <w:t>, therefore lower than a traditional natural gas anode feed (2.3-2.6 €/kg H</w:t>
      </w:r>
      <w:r w:rsidRPr="00F951BA">
        <w:rPr>
          <w:vertAlign w:val="subscript"/>
        </w:rPr>
        <w:t>2</w:t>
      </w:r>
      <w:r w:rsidRPr="00C859AB">
        <w:t>), and competitive with solvent-based post-combustion capture (2.2-2.3 €/kg of H</w:t>
      </w:r>
      <w:r w:rsidRPr="00F951BA">
        <w:rPr>
          <w:vertAlign w:val="subscript"/>
        </w:rPr>
        <w:t>2</w:t>
      </w:r>
      <w:r w:rsidRPr="00C859AB">
        <w:t>).</w:t>
      </w:r>
    </w:p>
    <w:p w14:paraId="144DE6BF" w14:textId="608D0AD6" w:rsidR="008D2649" w:rsidRDefault="008D2649" w:rsidP="008D2649">
      <w:pPr>
        <w:pStyle w:val="Els-reference-head"/>
      </w:pPr>
      <w:r>
        <w:t>References</w:t>
      </w:r>
    </w:p>
    <w:p w14:paraId="3BA33CC0" w14:textId="186B09E1" w:rsidR="00E14B7F" w:rsidRDefault="00E14B7F" w:rsidP="004E2F5B">
      <w:pPr>
        <w:pStyle w:val="Els-referenceno-number"/>
        <w:rPr>
          <w:lang w:val="en-US"/>
        </w:rPr>
      </w:pPr>
      <w:r w:rsidRPr="00E14B7F">
        <w:rPr>
          <w:lang w:val="en-US"/>
        </w:rPr>
        <w:t>T.A. Barckholtz, K.M. Taylor, S. Narayanan, S. Jolly, H. Ghezel-Ayagh</w:t>
      </w:r>
      <w:r>
        <w:rPr>
          <w:lang w:val="en-US"/>
        </w:rPr>
        <w:t xml:space="preserve">, 2022, </w:t>
      </w:r>
      <w:r w:rsidR="0040141B" w:rsidRPr="0040141B">
        <w:rPr>
          <w:lang w:val="en-US"/>
        </w:rPr>
        <w:t>Molten carbonate fuel cells for simultaneous CO</w:t>
      </w:r>
      <w:r w:rsidR="0040141B" w:rsidRPr="0099214A">
        <w:rPr>
          <w:vertAlign w:val="subscript"/>
          <w:lang w:val="en-US"/>
        </w:rPr>
        <w:t>2</w:t>
      </w:r>
      <w:r w:rsidR="0040141B" w:rsidRPr="0040141B">
        <w:rPr>
          <w:lang w:val="en-US"/>
        </w:rPr>
        <w:t xml:space="preserve"> capture, power generation, and H</w:t>
      </w:r>
      <w:r w:rsidR="0040141B" w:rsidRPr="0099214A">
        <w:rPr>
          <w:vertAlign w:val="subscript"/>
          <w:lang w:val="en-US"/>
        </w:rPr>
        <w:t>2</w:t>
      </w:r>
      <w:r w:rsidR="0040141B" w:rsidRPr="0040141B">
        <w:rPr>
          <w:lang w:val="en-US"/>
        </w:rPr>
        <w:t xml:space="preserve"> generation</w:t>
      </w:r>
      <w:r w:rsidR="0040141B">
        <w:rPr>
          <w:lang w:val="en-US"/>
        </w:rPr>
        <w:t xml:space="preserve">, Appl Energy, 313, </w:t>
      </w:r>
      <w:r w:rsidR="001755A2">
        <w:rPr>
          <w:lang w:val="en-US"/>
        </w:rPr>
        <w:t>118553</w:t>
      </w:r>
    </w:p>
    <w:p w14:paraId="443ACFD7" w14:textId="5D66A99E" w:rsidR="004E2F5B" w:rsidRPr="004E2F5B" w:rsidRDefault="004E2F5B" w:rsidP="004E2F5B">
      <w:pPr>
        <w:pStyle w:val="Els-referenceno-number"/>
        <w:rPr>
          <w:lang w:val="en-US"/>
        </w:rPr>
      </w:pPr>
      <w:r w:rsidRPr="004E2F5B">
        <w:rPr>
          <w:lang w:val="en-US"/>
        </w:rPr>
        <w:t>C. Bauer, K. Treyer, C. Antonini, J. Bergerson, M. Gazzani, E. Gencer, J. Gibbins, M. Mazzotti, S.T. McCoy, R. McKenna, R. Pietzcker, A.P. Ravikumar, M.C. Romano, F. Ueckerdt, J. Vente, M. van der Spek, 2022, On the climate impacts of blue hydrogen production, Sustain Energy Fuels, 6, 66-75</w:t>
      </w:r>
    </w:p>
    <w:p w14:paraId="1F444D90" w14:textId="46860B08" w:rsidR="004E2F5B" w:rsidRPr="004E2F5B" w:rsidRDefault="004E2F5B" w:rsidP="004E2F5B">
      <w:pPr>
        <w:pStyle w:val="Els-referenceno-number"/>
        <w:rPr>
          <w:lang w:val="en-US"/>
        </w:rPr>
      </w:pPr>
      <w:r w:rsidRPr="004E2F5B">
        <w:rPr>
          <w:lang w:val="en-US"/>
        </w:rPr>
        <w:t>S. Consonni, L. Mastropasqua, M. Spinelli, T.A. Barckholtz, S. Campanari, 2021, Low-carbon hydrogen via integration of steam methane reforming with molten carbonate fuel cells at low fuel utilization, Adv Appl Energy, 2, 100010</w:t>
      </w:r>
    </w:p>
    <w:p w14:paraId="1A605AB7" w14:textId="1F621CAE" w:rsidR="004E2F5B" w:rsidRPr="004E2F5B" w:rsidRDefault="004E2F5B" w:rsidP="004E2F5B">
      <w:pPr>
        <w:pStyle w:val="Els-referenceno-number"/>
        <w:rPr>
          <w:lang w:val="en-US"/>
        </w:rPr>
      </w:pPr>
      <w:r w:rsidRPr="004E2F5B">
        <w:rPr>
          <w:lang w:val="en-US"/>
        </w:rPr>
        <w:t>F. d’Amore, L.M.C. Pereira, S. Campanari, M. Gazzani, M.C. Romano, 2023, A novel process for CO</w:t>
      </w:r>
      <w:r w:rsidRPr="004E2F5B">
        <w:rPr>
          <w:vertAlign w:val="subscript"/>
          <w:lang w:val="en-US"/>
        </w:rPr>
        <w:t>2</w:t>
      </w:r>
      <w:r w:rsidRPr="004E2F5B">
        <w:rPr>
          <w:lang w:val="en-US"/>
        </w:rPr>
        <w:t xml:space="preserve"> capture from Steam Methane Reformer with Molten Carbonate Fuel Cell, Int J Hydrogen Energy</w:t>
      </w:r>
      <w:r w:rsidR="007D3F32">
        <w:rPr>
          <w:lang w:val="en-US"/>
        </w:rPr>
        <w:t>, 48</w:t>
      </w:r>
      <w:r w:rsidR="00A32829">
        <w:rPr>
          <w:lang w:val="en-US"/>
        </w:rPr>
        <w:t xml:space="preserve">, </w:t>
      </w:r>
      <w:r w:rsidR="00A32829" w:rsidRPr="00A32829">
        <w:rPr>
          <w:lang w:val="en-US"/>
        </w:rPr>
        <w:t>37366</w:t>
      </w:r>
      <w:r w:rsidR="00A32829">
        <w:rPr>
          <w:lang w:val="en-US"/>
        </w:rPr>
        <w:t>-</w:t>
      </w:r>
      <w:r w:rsidR="00A32829" w:rsidRPr="00A32829">
        <w:rPr>
          <w:lang w:val="en-US"/>
        </w:rPr>
        <w:t>37384</w:t>
      </w:r>
    </w:p>
    <w:p w14:paraId="7D84EA4E" w14:textId="11F312D6" w:rsidR="004E2F5B" w:rsidRPr="004E2F5B" w:rsidRDefault="004E2F5B" w:rsidP="004E2F5B">
      <w:pPr>
        <w:pStyle w:val="Els-referenceno-number"/>
        <w:rPr>
          <w:lang w:val="en-US"/>
        </w:rPr>
      </w:pPr>
      <w:r w:rsidRPr="004E2F5B">
        <w:rPr>
          <w:lang w:val="en-US"/>
        </w:rPr>
        <w:t>IEAGHG, 2017, Techno-Economic Evaluation of SMR Based Standalone (Merchant) Hydrogen Plant with CCS</w:t>
      </w:r>
    </w:p>
    <w:p w14:paraId="604EB5C7" w14:textId="35264421" w:rsidR="004E2F5B" w:rsidRPr="004E2F5B" w:rsidRDefault="004E2F5B" w:rsidP="004E2F5B">
      <w:pPr>
        <w:pStyle w:val="Els-referenceno-number"/>
        <w:rPr>
          <w:lang w:val="en-US"/>
        </w:rPr>
      </w:pPr>
      <w:r w:rsidRPr="004E2F5B">
        <w:rPr>
          <w:lang w:val="en-US"/>
        </w:rPr>
        <w:lastRenderedPageBreak/>
        <w:t>J. Pettersen, R. Steeneveldt, D. Grainger, T. Scott, L.M. Holst, E.S. Hamborg, 2022, Blue hydrogen must be done properly, Energy Sci Eng, 10, 3220-3236</w:t>
      </w:r>
    </w:p>
    <w:p w14:paraId="46A06F3B" w14:textId="18107C29" w:rsidR="004E2F5B" w:rsidRPr="004E2F5B" w:rsidRDefault="004E2F5B" w:rsidP="004E2F5B">
      <w:pPr>
        <w:pStyle w:val="Els-referenceno-number"/>
        <w:rPr>
          <w:lang w:val="en-US"/>
        </w:rPr>
      </w:pPr>
      <w:r w:rsidRPr="004E2F5B">
        <w:rPr>
          <w:lang w:val="en-US"/>
        </w:rPr>
        <w:t>M. Spinelli, M.C. Romano, S. Consonni, S. Campanari, M. Marchi, G. Cinti, 2014, Application of molten carbonate fuel cells in cement plants for CO</w:t>
      </w:r>
      <w:r w:rsidRPr="004E2F5B">
        <w:rPr>
          <w:vertAlign w:val="subscript"/>
          <w:lang w:val="en-US"/>
        </w:rPr>
        <w:t>2</w:t>
      </w:r>
      <w:r w:rsidRPr="004E2F5B">
        <w:rPr>
          <w:lang w:val="en-US"/>
        </w:rPr>
        <w:t xml:space="preserve"> capture and clean power generation, Energy Procedia, 63, 6517-6526</w:t>
      </w:r>
    </w:p>
    <w:p w14:paraId="144DE6C3" w14:textId="4B77E006" w:rsidR="008D2649" w:rsidRDefault="004E2F5B" w:rsidP="009B476E">
      <w:pPr>
        <w:pStyle w:val="Els-referenceno-number"/>
        <w:rPr>
          <w:lang w:val="en-US"/>
        </w:rPr>
      </w:pPr>
      <w:r w:rsidRPr="004E2F5B">
        <w:rPr>
          <w:lang w:val="en-US"/>
        </w:rPr>
        <w:t>M. van der Spek, C. Banet, C. Bauer, P. Gabrielli, W. Goldthorpe, M. Mazzotti, S.T. Munkejord, N.A. Røkke, N. Shah, N. Sunny, D. Sutter, J.M. Trusler, M. Gazzani, 2022, Perspective on the hydrogen economy as a pathway to reach net-zero CO</w:t>
      </w:r>
      <w:r w:rsidRPr="004E2F5B">
        <w:rPr>
          <w:vertAlign w:val="subscript"/>
          <w:lang w:val="en-US"/>
        </w:rPr>
        <w:t>2</w:t>
      </w:r>
      <w:r w:rsidRPr="004E2F5B">
        <w:rPr>
          <w:lang w:val="en-US"/>
        </w:rPr>
        <w:t xml:space="preserve"> emissions in Europe, Energy Environ Sci, 15, 1034-1077</w:t>
      </w:r>
    </w:p>
    <w:sectPr w:rsidR="008D2649" w:rsidSect="008B0184">
      <w:headerReference w:type="even" r:id="rId9"/>
      <w:headerReference w:type="default" r:id="rId10"/>
      <w:headerReference w:type="first" r:id="rId11"/>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7533" w14:textId="77777777" w:rsidR="0041432B" w:rsidRDefault="0041432B">
      <w:r>
        <w:separator/>
      </w:r>
    </w:p>
  </w:endnote>
  <w:endnote w:type="continuationSeparator" w:id="0">
    <w:p w14:paraId="730D47A5" w14:textId="77777777" w:rsidR="0041432B" w:rsidRDefault="0041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EC7B" w14:textId="77777777" w:rsidR="0041432B" w:rsidRDefault="0041432B">
      <w:r>
        <w:separator/>
      </w:r>
    </w:p>
  </w:footnote>
  <w:footnote w:type="continuationSeparator" w:id="0">
    <w:p w14:paraId="56FB3710" w14:textId="77777777" w:rsidR="0041432B" w:rsidRDefault="0041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11338351">
    <w:abstractNumId w:val="11"/>
  </w:num>
  <w:num w:numId="2" w16cid:durableId="483669950">
    <w:abstractNumId w:val="11"/>
  </w:num>
  <w:num w:numId="3" w16cid:durableId="1521972173">
    <w:abstractNumId w:val="11"/>
  </w:num>
  <w:num w:numId="4" w16cid:durableId="505943274">
    <w:abstractNumId w:val="11"/>
  </w:num>
  <w:num w:numId="5" w16cid:durableId="1648362236">
    <w:abstractNumId w:val="0"/>
  </w:num>
  <w:num w:numId="6" w16cid:durableId="896353691">
    <w:abstractNumId w:val="6"/>
  </w:num>
  <w:num w:numId="7" w16cid:durableId="259485771">
    <w:abstractNumId w:val="12"/>
  </w:num>
  <w:num w:numId="8" w16cid:durableId="151721219">
    <w:abstractNumId w:val="1"/>
  </w:num>
  <w:num w:numId="9" w16cid:durableId="628903808">
    <w:abstractNumId w:val="10"/>
  </w:num>
  <w:num w:numId="10" w16cid:durableId="2101756283">
    <w:abstractNumId w:val="14"/>
  </w:num>
  <w:num w:numId="11" w16cid:durableId="1552884087">
    <w:abstractNumId w:val="13"/>
  </w:num>
  <w:num w:numId="12" w16cid:durableId="750808868">
    <w:abstractNumId w:val="5"/>
  </w:num>
  <w:num w:numId="13" w16cid:durableId="1363625535">
    <w:abstractNumId w:val="8"/>
  </w:num>
  <w:num w:numId="14" w16cid:durableId="719943317">
    <w:abstractNumId w:val="2"/>
  </w:num>
  <w:num w:numId="15" w16cid:durableId="1493335244">
    <w:abstractNumId w:val="7"/>
  </w:num>
  <w:num w:numId="16" w16cid:durableId="267741062">
    <w:abstractNumId w:val="3"/>
  </w:num>
  <w:num w:numId="17" w16cid:durableId="1185484282">
    <w:abstractNumId w:val="4"/>
  </w:num>
  <w:num w:numId="18" w16cid:durableId="465516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7877"/>
    <w:rsid w:val="0001651C"/>
    <w:rsid w:val="000337D8"/>
    <w:rsid w:val="00063776"/>
    <w:rsid w:val="00072518"/>
    <w:rsid w:val="00073824"/>
    <w:rsid w:val="000A28C6"/>
    <w:rsid w:val="000C4472"/>
    <w:rsid w:val="000D3650"/>
    <w:rsid w:val="000D3D9B"/>
    <w:rsid w:val="000D459A"/>
    <w:rsid w:val="000D46EC"/>
    <w:rsid w:val="000D4907"/>
    <w:rsid w:val="000E0B93"/>
    <w:rsid w:val="000F13E5"/>
    <w:rsid w:val="00132486"/>
    <w:rsid w:val="001537DB"/>
    <w:rsid w:val="0015428F"/>
    <w:rsid w:val="0016032F"/>
    <w:rsid w:val="001755A2"/>
    <w:rsid w:val="00177BD9"/>
    <w:rsid w:val="001879F6"/>
    <w:rsid w:val="0019246A"/>
    <w:rsid w:val="001B1DE3"/>
    <w:rsid w:val="001B1E19"/>
    <w:rsid w:val="001C0148"/>
    <w:rsid w:val="001C757E"/>
    <w:rsid w:val="001E72AC"/>
    <w:rsid w:val="001F624A"/>
    <w:rsid w:val="001F6418"/>
    <w:rsid w:val="0020390F"/>
    <w:rsid w:val="00210D12"/>
    <w:rsid w:val="00216057"/>
    <w:rsid w:val="002223C7"/>
    <w:rsid w:val="0023418D"/>
    <w:rsid w:val="00261B2D"/>
    <w:rsid w:val="00264926"/>
    <w:rsid w:val="00273A0A"/>
    <w:rsid w:val="00273AFE"/>
    <w:rsid w:val="002B594C"/>
    <w:rsid w:val="002F503B"/>
    <w:rsid w:val="00303B22"/>
    <w:rsid w:val="00321F40"/>
    <w:rsid w:val="0033142C"/>
    <w:rsid w:val="00344D01"/>
    <w:rsid w:val="00355993"/>
    <w:rsid w:val="00357190"/>
    <w:rsid w:val="00362047"/>
    <w:rsid w:val="00364F78"/>
    <w:rsid w:val="003779D8"/>
    <w:rsid w:val="00391870"/>
    <w:rsid w:val="0039323D"/>
    <w:rsid w:val="003C4026"/>
    <w:rsid w:val="003D1582"/>
    <w:rsid w:val="003D4263"/>
    <w:rsid w:val="003D7E4C"/>
    <w:rsid w:val="003E41C2"/>
    <w:rsid w:val="003E54F1"/>
    <w:rsid w:val="003F4B77"/>
    <w:rsid w:val="0040141B"/>
    <w:rsid w:val="00406DD0"/>
    <w:rsid w:val="0041432B"/>
    <w:rsid w:val="00432914"/>
    <w:rsid w:val="00444CCB"/>
    <w:rsid w:val="004628E9"/>
    <w:rsid w:val="00467C69"/>
    <w:rsid w:val="00494E16"/>
    <w:rsid w:val="0049772C"/>
    <w:rsid w:val="004A2D7F"/>
    <w:rsid w:val="004C0EDD"/>
    <w:rsid w:val="004E2F5B"/>
    <w:rsid w:val="004F42FE"/>
    <w:rsid w:val="005057A5"/>
    <w:rsid w:val="00507CB7"/>
    <w:rsid w:val="00510DBA"/>
    <w:rsid w:val="00516A8C"/>
    <w:rsid w:val="00550574"/>
    <w:rsid w:val="00552EEB"/>
    <w:rsid w:val="0056338F"/>
    <w:rsid w:val="00567D93"/>
    <w:rsid w:val="005D0CD8"/>
    <w:rsid w:val="005D4EAD"/>
    <w:rsid w:val="005D7407"/>
    <w:rsid w:val="005F55E1"/>
    <w:rsid w:val="005F5B9E"/>
    <w:rsid w:val="0060195B"/>
    <w:rsid w:val="006172A7"/>
    <w:rsid w:val="0062226B"/>
    <w:rsid w:val="00641F74"/>
    <w:rsid w:val="006470D3"/>
    <w:rsid w:val="00651A4A"/>
    <w:rsid w:val="00657BF0"/>
    <w:rsid w:val="00690E6C"/>
    <w:rsid w:val="006A69BF"/>
    <w:rsid w:val="006C11D1"/>
    <w:rsid w:val="006D3987"/>
    <w:rsid w:val="006E1276"/>
    <w:rsid w:val="00703468"/>
    <w:rsid w:val="00711DF4"/>
    <w:rsid w:val="00764966"/>
    <w:rsid w:val="007A1B5B"/>
    <w:rsid w:val="007C2587"/>
    <w:rsid w:val="007C79B6"/>
    <w:rsid w:val="007D3F32"/>
    <w:rsid w:val="007D53AB"/>
    <w:rsid w:val="007D70A1"/>
    <w:rsid w:val="007F0038"/>
    <w:rsid w:val="00802EB5"/>
    <w:rsid w:val="00804DAB"/>
    <w:rsid w:val="00811047"/>
    <w:rsid w:val="008132E8"/>
    <w:rsid w:val="00823407"/>
    <w:rsid w:val="00823475"/>
    <w:rsid w:val="0083137C"/>
    <w:rsid w:val="0085782E"/>
    <w:rsid w:val="0087158F"/>
    <w:rsid w:val="008746A5"/>
    <w:rsid w:val="008A5F40"/>
    <w:rsid w:val="008B0184"/>
    <w:rsid w:val="008C5D02"/>
    <w:rsid w:val="008C73BB"/>
    <w:rsid w:val="008D2649"/>
    <w:rsid w:val="008D51A4"/>
    <w:rsid w:val="008E16AA"/>
    <w:rsid w:val="0090568D"/>
    <w:rsid w:val="009125C9"/>
    <w:rsid w:val="00913879"/>
    <w:rsid w:val="00917661"/>
    <w:rsid w:val="00935C95"/>
    <w:rsid w:val="009374FE"/>
    <w:rsid w:val="00940EBA"/>
    <w:rsid w:val="00941003"/>
    <w:rsid w:val="009464CD"/>
    <w:rsid w:val="00961078"/>
    <w:rsid w:val="00970E5D"/>
    <w:rsid w:val="0097528D"/>
    <w:rsid w:val="0097701C"/>
    <w:rsid w:val="00980A65"/>
    <w:rsid w:val="0099214A"/>
    <w:rsid w:val="009B476E"/>
    <w:rsid w:val="009C4232"/>
    <w:rsid w:val="009C6AB6"/>
    <w:rsid w:val="009E2BB6"/>
    <w:rsid w:val="009F2378"/>
    <w:rsid w:val="00A00CAA"/>
    <w:rsid w:val="00A021F5"/>
    <w:rsid w:val="00A25E70"/>
    <w:rsid w:val="00A32829"/>
    <w:rsid w:val="00A33765"/>
    <w:rsid w:val="00A63269"/>
    <w:rsid w:val="00A7652E"/>
    <w:rsid w:val="00A80616"/>
    <w:rsid w:val="00A92377"/>
    <w:rsid w:val="00AA34E8"/>
    <w:rsid w:val="00AB29ED"/>
    <w:rsid w:val="00AC169C"/>
    <w:rsid w:val="00AE27E3"/>
    <w:rsid w:val="00AE4BD8"/>
    <w:rsid w:val="00AF4980"/>
    <w:rsid w:val="00B07648"/>
    <w:rsid w:val="00B3344E"/>
    <w:rsid w:val="00B4388F"/>
    <w:rsid w:val="00B47564"/>
    <w:rsid w:val="00B54570"/>
    <w:rsid w:val="00B63237"/>
    <w:rsid w:val="00B83CB0"/>
    <w:rsid w:val="00B910B7"/>
    <w:rsid w:val="00BD6BD3"/>
    <w:rsid w:val="00C21555"/>
    <w:rsid w:val="00C43556"/>
    <w:rsid w:val="00C437F6"/>
    <w:rsid w:val="00C62394"/>
    <w:rsid w:val="00C76BDD"/>
    <w:rsid w:val="00C80026"/>
    <w:rsid w:val="00C811BE"/>
    <w:rsid w:val="00C859AB"/>
    <w:rsid w:val="00C92B4E"/>
    <w:rsid w:val="00C960DC"/>
    <w:rsid w:val="00CA6298"/>
    <w:rsid w:val="00CD1383"/>
    <w:rsid w:val="00CD6DE0"/>
    <w:rsid w:val="00D02C75"/>
    <w:rsid w:val="00D10E22"/>
    <w:rsid w:val="00D13D2C"/>
    <w:rsid w:val="00D20E2A"/>
    <w:rsid w:val="00D31AE2"/>
    <w:rsid w:val="00D67C1A"/>
    <w:rsid w:val="00D97FA6"/>
    <w:rsid w:val="00DC2F94"/>
    <w:rsid w:val="00DC5BEE"/>
    <w:rsid w:val="00DC634E"/>
    <w:rsid w:val="00DD0840"/>
    <w:rsid w:val="00DD3D9E"/>
    <w:rsid w:val="00DD7908"/>
    <w:rsid w:val="00E01E43"/>
    <w:rsid w:val="00E14B7F"/>
    <w:rsid w:val="00E3335A"/>
    <w:rsid w:val="00E47C09"/>
    <w:rsid w:val="00E72713"/>
    <w:rsid w:val="00E82297"/>
    <w:rsid w:val="00EA6523"/>
    <w:rsid w:val="00EB5183"/>
    <w:rsid w:val="00EF39FD"/>
    <w:rsid w:val="00F06842"/>
    <w:rsid w:val="00F107FD"/>
    <w:rsid w:val="00F151BE"/>
    <w:rsid w:val="00F22393"/>
    <w:rsid w:val="00F418A0"/>
    <w:rsid w:val="00F749C5"/>
    <w:rsid w:val="00F92E30"/>
    <w:rsid w:val="00F951BA"/>
    <w:rsid w:val="00F95A49"/>
    <w:rsid w:val="00FB0EAB"/>
    <w:rsid w:val="00FB64A8"/>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22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56</TotalTime>
  <Pages>5</Pages>
  <Words>1845</Words>
  <Characters>9715</Characters>
  <Application>Microsoft Office Word</Application>
  <DocSecurity>0</DocSecurity>
  <Lines>80</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D'Amore Federico</cp:lastModifiedBy>
  <cp:revision>68</cp:revision>
  <cp:lastPrinted>2023-10-10T10:41:00Z</cp:lastPrinted>
  <dcterms:created xsi:type="dcterms:W3CDTF">2023-12-12T10:36:00Z</dcterms:created>
  <dcterms:modified xsi:type="dcterms:W3CDTF">2023-12-12T12:08:00Z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