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BD6398D" w:rsidR="00DD3D9E" w:rsidRPr="00704B67" w:rsidRDefault="002F63E2">
      <w:pPr>
        <w:pStyle w:val="Els-Title"/>
        <w:rPr>
          <w:color w:val="000000" w:themeColor="text1"/>
        </w:rPr>
      </w:pPr>
      <w:bookmarkStart w:id="0" w:name="_Hlk151826442"/>
      <w:r w:rsidRPr="00704B67">
        <w:rPr>
          <w:color w:val="000000" w:themeColor="text1"/>
        </w:rPr>
        <w:t>Novel closed-loop precursor re-synthesis assisted by roasting and wastewater electrolysis: Industrial scaled design and simulation</w:t>
      </w:r>
    </w:p>
    <w:bookmarkEnd w:id="0"/>
    <w:p w14:paraId="144DE680" w14:textId="37C4DC86" w:rsidR="00DD3D9E" w:rsidRPr="00704B67" w:rsidRDefault="002F63E2">
      <w:pPr>
        <w:pStyle w:val="Els-Author"/>
      </w:pPr>
      <w:r w:rsidRPr="00704B67">
        <w:t>Sunwoo Kim</w:t>
      </w:r>
      <w:r w:rsidRPr="00704B67">
        <w:rPr>
          <w:vertAlign w:val="superscript"/>
        </w:rPr>
        <w:t>a</w:t>
      </w:r>
      <w:r w:rsidR="00821F7A" w:rsidRPr="00704B67">
        <w:t>,</w:t>
      </w:r>
      <w:r w:rsidRPr="00704B67">
        <w:t xml:space="preserve"> Jeongdong Kim</w:t>
      </w:r>
      <w:r w:rsidRPr="00704B67">
        <w:rPr>
          <w:vertAlign w:val="superscript"/>
        </w:rPr>
        <w:t>a</w:t>
      </w:r>
      <w:r w:rsidR="00821F7A" w:rsidRPr="00704B67">
        <w:t>,</w:t>
      </w:r>
      <w:r w:rsidRPr="00704B67">
        <w:t xml:space="preserve"> Junghwan Kim</w:t>
      </w:r>
      <w:r w:rsidRPr="00704B67">
        <w:rPr>
          <w:vertAlign w:val="superscript"/>
        </w:rPr>
        <w:t>a</w:t>
      </w:r>
      <w:r w:rsidR="00821F7A" w:rsidRPr="00704B67">
        <w:rPr>
          <w:vertAlign w:val="superscript"/>
          <w:lang w:val="en-US"/>
        </w:rPr>
        <w:t>,*</w:t>
      </w:r>
      <w:r w:rsidRPr="00704B67">
        <w:t xml:space="preserve"> </w:t>
      </w:r>
    </w:p>
    <w:p w14:paraId="144DE682" w14:textId="050454B4" w:rsidR="00DD3D9E" w:rsidRPr="00704B67" w:rsidRDefault="002F63E2">
      <w:pPr>
        <w:pStyle w:val="Els-Affiliation"/>
        <w:rPr>
          <w:lang w:val="en-US"/>
        </w:rPr>
      </w:pPr>
      <w:r w:rsidRPr="00704B67">
        <w:rPr>
          <w:vertAlign w:val="superscript"/>
          <w:lang w:val="en-US"/>
        </w:rPr>
        <w:t xml:space="preserve">a </w:t>
      </w:r>
      <w:r w:rsidRPr="00704B67">
        <w:rPr>
          <w:lang w:val="en-US"/>
        </w:rPr>
        <w:t>Department of Chemical and Biomolecular Engineering, Yonsei University, Seoul 03722, Republic of Korea</w:t>
      </w:r>
    </w:p>
    <w:p w14:paraId="144DE683" w14:textId="5644E7F8" w:rsidR="008D2649" w:rsidRPr="00704B67" w:rsidRDefault="007D4383" w:rsidP="008D2649">
      <w:pPr>
        <w:pStyle w:val="Els-Affiliation"/>
        <w:spacing w:after="120"/>
      </w:pPr>
      <w:r w:rsidRPr="00704B67">
        <w:rPr>
          <w:lang w:val="en-US"/>
        </w:rPr>
        <w:t>E</w:t>
      </w:r>
      <w:r w:rsidR="00821F7A" w:rsidRPr="00704B67">
        <w:rPr>
          <w:lang w:val="en-US"/>
        </w:rPr>
        <w:t xml:space="preserve">mail of the corresponding author: </w:t>
      </w:r>
      <w:hyperlink r:id="rId8" w:history="1">
        <w:r w:rsidR="00821F7A" w:rsidRPr="00704B67">
          <w:rPr>
            <w:rStyle w:val="a9"/>
          </w:rPr>
          <w:t>kjh24@yonsei.ac.kr</w:t>
        </w:r>
      </w:hyperlink>
    </w:p>
    <w:p w14:paraId="144DE684" w14:textId="77777777" w:rsidR="008D2649" w:rsidRPr="00704B67" w:rsidRDefault="008D2649" w:rsidP="008D2649">
      <w:pPr>
        <w:pStyle w:val="Els-Abstract"/>
      </w:pPr>
      <w:bookmarkStart w:id="1" w:name="_Hlk151924371"/>
      <w:r w:rsidRPr="00704B67">
        <w:t>Abstract</w:t>
      </w:r>
    </w:p>
    <w:p w14:paraId="0B49BF8D" w14:textId="2374ED01" w:rsidR="002F63E2" w:rsidRPr="00704B67" w:rsidRDefault="002F63E2" w:rsidP="009167DD">
      <w:pPr>
        <w:pStyle w:val="Els-body-text"/>
        <w:spacing w:after="120"/>
      </w:pPr>
      <w:r w:rsidRPr="00704B67">
        <w:t>In recent spent lithium-ion batter</w:t>
      </w:r>
      <w:r w:rsidR="007151B0" w:rsidRPr="00704B67">
        <w:t>ies</w:t>
      </w:r>
      <w:r w:rsidRPr="00704B67">
        <w:t xml:space="preserve"> (LIB</w:t>
      </w:r>
      <w:r w:rsidR="007151B0" w:rsidRPr="00704B67">
        <w:t>s</w:t>
      </w:r>
      <w:r w:rsidRPr="00704B67">
        <w:t>) recycling studies, the concept of direct re-synthesis of NMC</w:t>
      </w:r>
      <w:r w:rsidR="00D67F4B">
        <w:t xml:space="preserve"> (Ni</w:t>
      </w:r>
      <w:r w:rsidR="00D67F4B" w:rsidRPr="00D67F4B">
        <w:rPr>
          <w:vertAlign w:val="subscript"/>
        </w:rPr>
        <w:t>x</w:t>
      </w:r>
      <w:r w:rsidR="00D67F4B">
        <w:t>Mn</w:t>
      </w:r>
      <w:r w:rsidR="00D67F4B">
        <w:softHyphen/>
      </w:r>
      <w:r w:rsidR="00D67F4B" w:rsidRPr="00D67F4B">
        <w:rPr>
          <w:vertAlign w:val="subscript"/>
        </w:rPr>
        <w:t>y</w:t>
      </w:r>
      <w:r w:rsidR="00D67F4B">
        <w:t>Co</w:t>
      </w:r>
      <w:r w:rsidR="00D67F4B" w:rsidRPr="00D67F4B">
        <w:rPr>
          <w:vertAlign w:val="subscript"/>
        </w:rPr>
        <w:t>z</w:t>
      </w:r>
      <w:r w:rsidR="00D67F4B">
        <w:t>O</w:t>
      </w:r>
      <w:r w:rsidR="00D67F4B" w:rsidRPr="00D67F4B">
        <w:rPr>
          <w:vertAlign w:val="subscript"/>
        </w:rPr>
        <w:t>2</w:t>
      </w:r>
      <w:r w:rsidR="00D67F4B">
        <w:t>)</w:t>
      </w:r>
      <w:r w:rsidRPr="00704B67">
        <w:t xml:space="preserve"> precursor from spent LIB</w:t>
      </w:r>
      <w:r w:rsidR="007151B0" w:rsidRPr="00704B67">
        <w:t>s</w:t>
      </w:r>
      <w:r w:rsidRPr="00704B67">
        <w:t xml:space="preserve"> is experimentally tested on a laboratory scale. However, beyond the laboratory scale, </w:t>
      </w:r>
      <w:r w:rsidR="00B80B87" w:rsidRPr="00704B67">
        <w:t xml:space="preserve">excessive usage of chemicals and </w:t>
      </w:r>
      <w:r w:rsidRPr="00704B67">
        <w:t>waste</w:t>
      </w:r>
      <w:r w:rsidR="00890C0F" w:rsidRPr="00704B67">
        <w:t>water</w:t>
      </w:r>
      <w:r w:rsidRPr="00704B67">
        <w:t xml:space="preserve"> disposal </w:t>
      </w:r>
      <w:r w:rsidR="00B80B87" w:rsidRPr="00704B67">
        <w:t>are</w:t>
      </w:r>
      <w:r w:rsidRPr="00704B67">
        <w:t xml:space="preserve"> the main issue in industrial scale application due to the accompanying operating cost and environmental degradation</w:t>
      </w:r>
      <w:r w:rsidR="00890C0F" w:rsidRPr="00704B67">
        <w:t xml:space="preserve">. </w:t>
      </w:r>
      <w:r w:rsidRPr="00704B67">
        <w:t xml:space="preserve">Herein, to resolve </w:t>
      </w:r>
      <w:r w:rsidR="00B80B87" w:rsidRPr="00704B67">
        <w:t>the challenges</w:t>
      </w:r>
      <w:r w:rsidR="00475520" w:rsidRPr="00704B67">
        <w:t xml:space="preserve">, </w:t>
      </w:r>
      <w:r w:rsidRPr="00704B67">
        <w:t xml:space="preserve">this study proposes a novel integrated system of closed-loop precursor re-synthesis assisted by roasting and wastewater electrolysis for sustainable LIB recycling. The proposed system consists of three major processes: </w:t>
      </w:r>
      <w:r w:rsidR="00475520" w:rsidRPr="00704B67">
        <w:t xml:space="preserve">hydrogen </w:t>
      </w:r>
      <w:r w:rsidRPr="00704B67">
        <w:t>roasting</w:t>
      </w:r>
      <w:r w:rsidR="007151B0" w:rsidRPr="00704B67">
        <w:t xml:space="preserve"> for Li extraction</w:t>
      </w:r>
      <w:r w:rsidRPr="00704B67">
        <w:t xml:space="preserve">, </w:t>
      </w:r>
      <w:r w:rsidR="009C6874" w:rsidRPr="00704B67">
        <w:rPr>
          <w:lang w:eastAsia="ko-KR"/>
        </w:rPr>
        <w:t xml:space="preserve">NMC precursor </w:t>
      </w:r>
      <w:r w:rsidRPr="00704B67">
        <w:t xml:space="preserve">crystallization, and wastewater electrolysis for chemical regeneration. First, the spent LIB is decomposed into metal oxide by </w:t>
      </w:r>
      <w:r w:rsidR="00475520" w:rsidRPr="00704B67">
        <w:t xml:space="preserve">hydrogen </w:t>
      </w:r>
      <w:r w:rsidRPr="00704B67">
        <w:t xml:space="preserve">roasting, and water-soluble lithium oxide </w:t>
      </w:r>
      <w:r w:rsidR="00704B67">
        <w:t xml:space="preserve">is </w:t>
      </w:r>
      <w:r w:rsidRPr="00704B67">
        <w:t xml:space="preserve">firstly separated from the metal oxide mixture. The recovered LiOH slurry undergoes further crystallization for high purity recovery. Second, the remaining metal oxide mixture undergoes </w:t>
      </w:r>
      <w:r w:rsidR="00475520" w:rsidRPr="00704B67">
        <w:t xml:space="preserve">acid </w:t>
      </w:r>
      <w:r w:rsidRPr="00704B67">
        <w:t>leaching process, and pH adjustment via NaOH injection is conducted for satisfying minimum pH condition for precursor crystallization. Finally, the wastewater produced following the crystallization is fed to anion-exchange membrane-based electrolysis to regenerate sulfuric acid and NaOH in cathode and anode, separately.</w:t>
      </w:r>
      <w:r w:rsidR="00475520" w:rsidRPr="00704B67">
        <w:t xml:space="preserve"> </w:t>
      </w:r>
      <w:r w:rsidR="00412838" w:rsidRPr="00704B67">
        <w:t>Recycling regenerated chemicals to leaching and pH adjustment step accomplished the close</w:t>
      </w:r>
      <w:r w:rsidR="006E3D19" w:rsidRPr="00704B67">
        <w:rPr>
          <w:lang w:eastAsia="ko-KR"/>
        </w:rPr>
        <w:t>d</w:t>
      </w:r>
      <w:r w:rsidR="00412838" w:rsidRPr="00704B67">
        <w:t xml:space="preserve">-loop recycling system. </w:t>
      </w:r>
      <w:r w:rsidRPr="00704B67">
        <w:t>This study firstly proposed conceptual design of closed-loop precursor re-synthesis assisted by roasting and electrolysis</w:t>
      </w:r>
      <w:r w:rsidR="00F36E05">
        <w:t xml:space="preserve">. </w:t>
      </w:r>
      <w:r w:rsidR="009167DD">
        <w:t>The results of i</w:t>
      </w:r>
      <w:r w:rsidRPr="00704B67">
        <w:t xml:space="preserve">ndustrial scaled simulation </w:t>
      </w:r>
      <w:r w:rsidR="00F36E05">
        <w:t xml:space="preserve">showed the </w:t>
      </w:r>
      <w:r w:rsidR="00F36E05" w:rsidRPr="00F36E05">
        <w:t>recovery of 98.9</w:t>
      </w:r>
      <w:r w:rsidR="00FD36B7">
        <w:t>5</w:t>
      </w:r>
      <w:r w:rsidR="00F36E05">
        <w:t xml:space="preserve"> </w:t>
      </w:r>
      <w:r w:rsidR="00F36E05" w:rsidRPr="00F36E05">
        <w:t>% for Li and 79.00</w:t>
      </w:r>
      <w:r w:rsidR="00F36E05">
        <w:t xml:space="preserve"> </w:t>
      </w:r>
      <w:r w:rsidR="00F36E05" w:rsidRPr="00F36E05">
        <w:t>% for NMC precursor.</w:t>
      </w:r>
      <w:r w:rsidR="009167DD">
        <w:rPr>
          <w:rFonts w:hint="eastAsia"/>
          <w:lang w:eastAsia="ko-KR"/>
        </w:rPr>
        <w:t xml:space="preserve"> </w:t>
      </w:r>
      <w:r w:rsidR="009167DD">
        <w:rPr>
          <w:lang w:eastAsia="ko-KR"/>
        </w:rPr>
        <w:t xml:space="preserve">These results </w:t>
      </w:r>
      <w:r w:rsidRPr="00704B67">
        <w:t xml:space="preserve">revealed that the </w:t>
      </w:r>
      <w:r w:rsidR="00B80B87" w:rsidRPr="00704B67">
        <w:t xml:space="preserve">proposed process </w:t>
      </w:r>
      <w:r w:rsidRPr="00704B67">
        <w:t xml:space="preserve">could be a feasible solution for </w:t>
      </w:r>
      <w:r w:rsidR="00B80B87" w:rsidRPr="00704B67">
        <w:t xml:space="preserve">sustainable </w:t>
      </w:r>
      <w:r w:rsidR="00412838" w:rsidRPr="00704B67">
        <w:t>closed</w:t>
      </w:r>
      <w:r w:rsidR="004E601D" w:rsidRPr="00704B67">
        <w:rPr>
          <w:lang w:eastAsia="ko-KR"/>
        </w:rPr>
        <w:t>-</w:t>
      </w:r>
      <w:r w:rsidR="00412838" w:rsidRPr="00704B67">
        <w:t xml:space="preserve">loop </w:t>
      </w:r>
      <w:r w:rsidRPr="00704B67">
        <w:t>battery recycling.</w:t>
      </w:r>
    </w:p>
    <w:p w14:paraId="49C34C2F" w14:textId="5BD115DC" w:rsidR="00B360BB" w:rsidRPr="00704B67" w:rsidRDefault="008D2649" w:rsidP="002F63E2">
      <w:pPr>
        <w:pStyle w:val="Els-body-text"/>
        <w:spacing w:after="120"/>
        <w:rPr>
          <w:b/>
          <w:color w:val="FF0000"/>
          <w:lang w:val="en-GB"/>
        </w:rPr>
      </w:pPr>
      <w:r w:rsidRPr="00704B67">
        <w:rPr>
          <w:b/>
          <w:bCs/>
          <w:lang w:val="en-GB"/>
        </w:rPr>
        <w:t>Keywords</w:t>
      </w:r>
      <w:r w:rsidRPr="00704B67">
        <w:rPr>
          <w:lang w:val="en-GB"/>
        </w:rPr>
        <w:t>:</w:t>
      </w:r>
      <w:r w:rsidR="002F63E2" w:rsidRPr="00704B67">
        <w:rPr>
          <w:lang w:val="en-GB"/>
        </w:rPr>
        <w:t xml:space="preserve"> Lithium-ion batteries, Battery recycling, </w:t>
      </w:r>
      <w:r w:rsidR="00B80B87" w:rsidRPr="00704B67">
        <w:rPr>
          <w:lang w:val="en-GB"/>
        </w:rPr>
        <w:t xml:space="preserve">Hydrogen roasting, </w:t>
      </w:r>
      <w:r w:rsidR="002F63E2" w:rsidRPr="00704B67">
        <w:rPr>
          <w:lang w:val="en-GB"/>
        </w:rPr>
        <w:t>Precursor crystallization, Wastewater</w:t>
      </w:r>
      <w:r w:rsidR="002F63E2" w:rsidRPr="00704B67">
        <w:rPr>
          <w:vertAlign w:val="subscript"/>
          <w:lang w:val="en-GB"/>
        </w:rPr>
        <w:t xml:space="preserve"> </w:t>
      </w:r>
      <w:r w:rsidR="002F63E2" w:rsidRPr="00704B67">
        <w:rPr>
          <w:lang w:val="en-GB"/>
        </w:rPr>
        <w:t>electrolysis, Process design and evaluation</w:t>
      </w:r>
    </w:p>
    <w:p w14:paraId="144DE699" w14:textId="2761FC56" w:rsidR="008D2649" w:rsidRPr="00704B67" w:rsidRDefault="00077D7E" w:rsidP="008D2649">
      <w:pPr>
        <w:pStyle w:val="Els-1storder-head"/>
      </w:pPr>
      <w:bookmarkStart w:id="2" w:name="_Hlk151665999"/>
      <w:r w:rsidRPr="00704B67">
        <w:rPr>
          <w:lang w:eastAsia="ko-KR"/>
        </w:rPr>
        <w:t>Introduction</w:t>
      </w:r>
    </w:p>
    <w:p w14:paraId="2AED54F2" w14:textId="66E1617C" w:rsidR="00D67F4B" w:rsidRDefault="004D31E1" w:rsidP="008D2649">
      <w:pPr>
        <w:pStyle w:val="Els-body-text"/>
      </w:pPr>
      <w:r w:rsidRPr="00704B67">
        <w:t xml:space="preserve">Lithium-ion batteries (LIBs) </w:t>
      </w:r>
      <w:r w:rsidR="00047CE9" w:rsidRPr="00704B67">
        <w:t xml:space="preserve">occupy a dominant position in the energy storage field due to their advantages such as high energy capacity, </w:t>
      </w:r>
      <w:r w:rsidR="002D17DB" w:rsidRPr="00704B67">
        <w:t xml:space="preserve">and </w:t>
      </w:r>
      <w:r w:rsidR="00047CE9" w:rsidRPr="00704B67">
        <w:t>excellent cycling performance</w:t>
      </w:r>
      <w:r w:rsidR="00187093" w:rsidRPr="00704B67">
        <w:rPr>
          <w:lang w:eastAsia="ko-KR"/>
        </w:rPr>
        <w:t xml:space="preserve">, </w:t>
      </w:r>
      <w:r w:rsidR="00047CE9" w:rsidRPr="00704B67">
        <w:t>leading to a rapidly growing market size. Among the various types of cathode materials, NMC</w:t>
      </w:r>
      <w:r w:rsidR="00D67F4B">
        <w:t xml:space="preserve"> (Ni</w:t>
      </w:r>
      <w:r w:rsidR="00D67F4B" w:rsidRPr="00D67F4B">
        <w:rPr>
          <w:vertAlign w:val="subscript"/>
        </w:rPr>
        <w:t>x</w:t>
      </w:r>
      <w:r w:rsidR="00D67F4B">
        <w:t>Mn</w:t>
      </w:r>
      <w:r w:rsidR="00D67F4B">
        <w:softHyphen/>
      </w:r>
      <w:r w:rsidR="00D67F4B" w:rsidRPr="00D67F4B">
        <w:rPr>
          <w:vertAlign w:val="subscript"/>
        </w:rPr>
        <w:t>y</w:t>
      </w:r>
      <w:r w:rsidR="00D67F4B">
        <w:t>Co</w:t>
      </w:r>
      <w:r w:rsidR="00D67F4B" w:rsidRPr="00D67F4B">
        <w:rPr>
          <w:vertAlign w:val="subscript"/>
        </w:rPr>
        <w:t>z</w:t>
      </w:r>
      <w:r w:rsidR="00D67F4B">
        <w:t>O</w:t>
      </w:r>
      <w:r w:rsidR="00D67F4B" w:rsidRPr="00D67F4B">
        <w:rPr>
          <w:vertAlign w:val="subscript"/>
        </w:rPr>
        <w:t>2</w:t>
      </w:r>
      <w:r w:rsidR="00D67F4B">
        <w:t>)</w:t>
      </w:r>
      <w:r w:rsidR="00047CE9" w:rsidRPr="00704B67">
        <w:t>-type cathodes are expected to account for more than 80% of production by 2023. Due to the high share of the NMC market</w:t>
      </w:r>
      <w:r w:rsidR="002D17DB" w:rsidRPr="00704B67">
        <w:t xml:space="preserve"> and limited reserves of valuable metals (e.g.</w:t>
      </w:r>
      <w:r w:rsidR="004E601D" w:rsidRPr="00704B67">
        <w:rPr>
          <w:lang w:eastAsia="ko-KR"/>
        </w:rPr>
        <w:t>,</w:t>
      </w:r>
      <w:r w:rsidR="002D17DB" w:rsidRPr="00704B67">
        <w:t xml:space="preserve"> Li, Ni, Mn, and Co)</w:t>
      </w:r>
      <w:r w:rsidR="00047CE9" w:rsidRPr="00704B67">
        <w:t xml:space="preserve">, recycling </w:t>
      </w:r>
      <w:r w:rsidR="00047CE9" w:rsidRPr="00704B67">
        <w:rPr>
          <w:lang w:eastAsia="ko-KR"/>
        </w:rPr>
        <w:t>spent LIBs</w:t>
      </w:r>
      <w:r w:rsidR="00047CE9" w:rsidRPr="00704B67">
        <w:t xml:space="preserve"> is essential for a sustainable battery recycling system. </w:t>
      </w:r>
    </w:p>
    <w:p w14:paraId="776D83FD" w14:textId="647300AA" w:rsidR="00D67F4B" w:rsidRDefault="004F2993" w:rsidP="008D2649">
      <w:pPr>
        <w:pStyle w:val="Els-body-text"/>
      </w:pPr>
      <w:r w:rsidRPr="00704B67">
        <w:t xml:space="preserve">In the field of the batteries recycling technology, a </w:t>
      </w:r>
      <w:r w:rsidR="00BA221F" w:rsidRPr="00704B67">
        <w:t>method</w:t>
      </w:r>
      <w:r w:rsidRPr="00704B67">
        <w:t xml:space="preserve"> of direct re-synthesis of NMC precursor from spent LIB has recently </w:t>
      </w:r>
      <w:r w:rsidR="00704B67">
        <w:t xml:space="preserve">been </w:t>
      </w:r>
      <w:r w:rsidRPr="00704B67">
        <w:t>studied on a laboratory scale.</w:t>
      </w:r>
      <w:r w:rsidR="00BA221F" w:rsidRPr="00704B67">
        <w:t xml:space="preserve"> NMC precursor </w:t>
      </w:r>
      <w:r w:rsidR="00BA221F" w:rsidRPr="00704B67">
        <w:lastRenderedPageBreak/>
        <w:t>is synthesized by adding a chelating agent and chemicals for pH adjustment to a leached solution of spent NMC cathode. Fang et al. experimentally achieved the recovery of NMC precursor and Li</w:t>
      </w:r>
      <w:r w:rsidR="00BA221F" w:rsidRPr="00704B67">
        <w:rPr>
          <w:vertAlign w:val="subscript"/>
        </w:rPr>
        <w:t>2</w:t>
      </w:r>
      <w:r w:rsidR="00BA221F" w:rsidRPr="00704B67">
        <w:t>CO</w:t>
      </w:r>
      <w:r w:rsidR="00BA221F" w:rsidRPr="00704B67">
        <w:rPr>
          <w:vertAlign w:val="subscript"/>
        </w:rPr>
        <w:t>3</w:t>
      </w:r>
      <w:r w:rsidR="00BA221F" w:rsidRPr="00704B67">
        <w:t xml:space="preserve"> through coprecipitation by adding Na</w:t>
      </w:r>
      <w:r w:rsidR="00BA221F" w:rsidRPr="00704B67">
        <w:rPr>
          <w:vertAlign w:val="subscript"/>
        </w:rPr>
        <w:t>2</w:t>
      </w:r>
      <w:r w:rsidR="00BA221F" w:rsidRPr="00704B67">
        <w:t>CO</w:t>
      </w:r>
      <w:r w:rsidR="00BA221F" w:rsidRPr="00704B67">
        <w:rPr>
          <w:vertAlign w:val="subscript"/>
        </w:rPr>
        <w:t>3</w:t>
      </w:r>
      <w:r w:rsidR="00BA221F" w:rsidRPr="00704B67">
        <w:t xml:space="preserve"> and NH</w:t>
      </w:r>
      <w:r w:rsidR="00BA221F" w:rsidRPr="00704B67">
        <w:rPr>
          <w:vertAlign w:val="subscript"/>
        </w:rPr>
        <w:t>3</w:t>
      </w:r>
      <w:r w:rsidR="00BA221F" w:rsidRPr="00704B67">
        <w:rPr>
          <w:rFonts w:ascii="MS Gothic" w:eastAsia="MS Gothic" w:hAnsi="MS Gothic" w:cs="MS Gothic" w:hint="eastAsia"/>
        </w:rPr>
        <w:t>⋅</w:t>
      </w:r>
      <w:r w:rsidR="00BA221F" w:rsidRPr="00704B67">
        <w:t>H</w:t>
      </w:r>
      <w:r w:rsidR="00BA221F" w:rsidRPr="00704B67">
        <w:rPr>
          <w:vertAlign w:val="subscript"/>
        </w:rPr>
        <w:t>2</w:t>
      </w:r>
      <w:r w:rsidR="00BA221F" w:rsidRPr="00704B67">
        <w:t xml:space="preserve">O to leached solution. </w:t>
      </w:r>
      <w:r w:rsidR="002D17DB" w:rsidRPr="00704B67">
        <w:t xml:space="preserve">The </w:t>
      </w:r>
      <w:r w:rsidR="00BA221F" w:rsidRPr="00704B67">
        <w:t xml:space="preserve">synthesized precursor showed </w:t>
      </w:r>
      <w:r w:rsidR="002D17DB" w:rsidRPr="00704B67">
        <w:t xml:space="preserve">reliable </w:t>
      </w:r>
      <w:r w:rsidR="00BA221F" w:rsidRPr="00704B67">
        <w:t>electrochemical performance with the highest discharge specific capacity.</w:t>
      </w:r>
      <w:r w:rsidR="0054284A" w:rsidRPr="00704B67">
        <w:t xml:space="preserve"> </w:t>
      </w:r>
      <w:r w:rsidR="0054284A" w:rsidRPr="00704B67">
        <w:rPr>
          <w:lang w:eastAsia="ko-KR"/>
        </w:rPr>
        <w:t>Chen</w:t>
      </w:r>
      <w:r w:rsidR="0054284A" w:rsidRPr="00704B67">
        <w:t xml:space="preserve"> </w:t>
      </w:r>
      <w:r w:rsidR="0054284A" w:rsidRPr="00704B67">
        <w:rPr>
          <w:lang w:eastAsia="ko-KR"/>
        </w:rPr>
        <w:t>et</w:t>
      </w:r>
      <w:r w:rsidR="0054284A" w:rsidRPr="00704B67">
        <w:t xml:space="preserve"> </w:t>
      </w:r>
      <w:r w:rsidR="0054284A" w:rsidRPr="00704B67">
        <w:rPr>
          <w:lang w:eastAsia="ko-KR"/>
        </w:rPr>
        <w:t>al.</w:t>
      </w:r>
      <w:r w:rsidR="0054284A" w:rsidRPr="00704B67">
        <w:t xml:space="preserve"> </w:t>
      </w:r>
      <w:r w:rsidR="00A45DE8" w:rsidRPr="00704B67">
        <w:rPr>
          <w:lang w:eastAsia="ko-KR"/>
        </w:rPr>
        <w:t>synthesi</w:t>
      </w:r>
      <w:r w:rsidR="00651B0D" w:rsidRPr="00704B67">
        <w:rPr>
          <w:lang w:eastAsia="ko-KR"/>
        </w:rPr>
        <w:t>zed</w:t>
      </w:r>
      <w:r w:rsidR="00A45DE8" w:rsidRPr="00704B67">
        <w:t xml:space="preserve"> </w:t>
      </w:r>
      <w:r w:rsidR="00A45DE8" w:rsidRPr="00704B67">
        <w:rPr>
          <w:lang w:eastAsia="ko-KR"/>
        </w:rPr>
        <w:t>the</w:t>
      </w:r>
      <w:r w:rsidR="00A45DE8" w:rsidRPr="00704B67">
        <w:t xml:space="preserve"> </w:t>
      </w:r>
      <w:r w:rsidR="00A45DE8" w:rsidRPr="00704B67">
        <w:rPr>
          <w:lang w:eastAsia="ko-KR"/>
        </w:rPr>
        <w:t>NMC</w:t>
      </w:r>
      <w:r w:rsidR="00A45DE8" w:rsidRPr="00704B67">
        <w:t xml:space="preserve"> </w:t>
      </w:r>
      <w:r w:rsidR="00A45DE8" w:rsidRPr="00704B67">
        <w:rPr>
          <w:lang w:eastAsia="ko-KR"/>
        </w:rPr>
        <w:t>precursor</w:t>
      </w:r>
      <w:r w:rsidR="00A45DE8" w:rsidRPr="00704B67">
        <w:t xml:space="preserve"> </w:t>
      </w:r>
      <w:r w:rsidR="00A45DE8" w:rsidRPr="00704B67">
        <w:rPr>
          <w:lang w:eastAsia="ko-KR"/>
        </w:rPr>
        <w:t>by</w:t>
      </w:r>
      <w:r w:rsidR="00A45DE8" w:rsidRPr="00704B67">
        <w:t xml:space="preserve"> </w:t>
      </w:r>
      <w:r w:rsidR="00A45DE8" w:rsidRPr="00704B67">
        <w:rPr>
          <w:lang w:eastAsia="ko-KR"/>
        </w:rPr>
        <w:t>simultaneously</w:t>
      </w:r>
      <w:r w:rsidR="00A45DE8" w:rsidRPr="00704B67">
        <w:t xml:space="preserve"> </w:t>
      </w:r>
      <w:r w:rsidR="00A45DE8" w:rsidRPr="00704B67">
        <w:rPr>
          <w:lang w:eastAsia="ko-KR"/>
        </w:rPr>
        <w:t>reacting</w:t>
      </w:r>
      <w:r w:rsidR="00A45DE8" w:rsidRPr="00704B67">
        <w:t xml:space="preserve"> </w:t>
      </w:r>
      <w:r w:rsidR="00A45DE8" w:rsidRPr="00704B67">
        <w:rPr>
          <w:lang w:eastAsia="ko-KR"/>
        </w:rPr>
        <w:t>spent</w:t>
      </w:r>
      <w:r w:rsidR="00A45DE8" w:rsidRPr="00704B67">
        <w:t xml:space="preserve"> </w:t>
      </w:r>
      <w:r w:rsidR="00A45DE8" w:rsidRPr="00704B67">
        <w:rPr>
          <w:lang w:eastAsia="ko-KR"/>
        </w:rPr>
        <w:t xml:space="preserve">cathode leached solution with </w:t>
      </w:r>
      <w:r w:rsidR="00A45DE8" w:rsidRPr="00704B67">
        <w:t>Na</w:t>
      </w:r>
      <w:r w:rsidR="00A45DE8" w:rsidRPr="00704B67">
        <w:rPr>
          <w:vertAlign w:val="subscript"/>
        </w:rPr>
        <w:t>2</w:t>
      </w:r>
      <w:r w:rsidR="00A45DE8" w:rsidRPr="00704B67">
        <w:t>CO</w:t>
      </w:r>
      <w:r w:rsidR="00A45DE8" w:rsidRPr="00704B67">
        <w:rPr>
          <w:vertAlign w:val="subscript"/>
        </w:rPr>
        <w:t>3</w:t>
      </w:r>
      <w:r w:rsidR="00A45DE8" w:rsidRPr="00704B67">
        <w:t xml:space="preserve"> and NH</w:t>
      </w:r>
      <w:r w:rsidR="00A45DE8" w:rsidRPr="00704B67">
        <w:rPr>
          <w:vertAlign w:val="subscript"/>
        </w:rPr>
        <w:t>3</w:t>
      </w:r>
      <w:r w:rsidR="00A45DE8" w:rsidRPr="00704B67">
        <w:rPr>
          <w:rFonts w:ascii="MS Gothic" w:eastAsia="MS Gothic" w:hAnsi="MS Gothic" w:cs="MS Gothic" w:hint="eastAsia"/>
        </w:rPr>
        <w:t>⋅</w:t>
      </w:r>
      <w:r w:rsidR="00A45DE8" w:rsidRPr="00704B67">
        <w:t>H</w:t>
      </w:r>
      <w:r w:rsidR="00A45DE8" w:rsidRPr="00704B67">
        <w:rPr>
          <w:vertAlign w:val="subscript"/>
        </w:rPr>
        <w:t>2</w:t>
      </w:r>
      <w:r w:rsidR="00A45DE8" w:rsidRPr="00704B67">
        <w:t>O</w:t>
      </w:r>
      <w:r w:rsidR="00A45DE8" w:rsidRPr="00704B67">
        <w:rPr>
          <w:lang w:eastAsia="ko-KR"/>
        </w:rPr>
        <w:t>,</w:t>
      </w:r>
      <w:r w:rsidR="00A45DE8" w:rsidRPr="00704B67">
        <w:t xml:space="preserve"> </w:t>
      </w:r>
      <w:r w:rsidR="00A45DE8" w:rsidRPr="00704B67">
        <w:rPr>
          <w:lang w:eastAsia="ko-KR"/>
        </w:rPr>
        <w:t>and</w:t>
      </w:r>
      <w:r w:rsidR="00A45DE8" w:rsidRPr="00704B67">
        <w:t xml:space="preserve"> </w:t>
      </w:r>
      <w:r w:rsidR="00A45DE8" w:rsidRPr="00704B67">
        <w:rPr>
          <w:lang w:eastAsia="ko-KR"/>
        </w:rPr>
        <w:t>found</w:t>
      </w:r>
      <w:r w:rsidR="00A45DE8" w:rsidRPr="00704B67">
        <w:t xml:space="preserve"> </w:t>
      </w:r>
      <w:r w:rsidR="00A45DE8" w:rsidRPr="00704B67">
        <w:rPr>
          <w:lang w:eastAsia="ko-KR"/>
        </w:rPr>
        <w:t>that</w:t>
      </w:r>
      <w:r w:rsidR="00A45DE8" w:rsidRPr="00704B67">
        <w:t xml:space="preserve"> it reached the electrochemical properties of commercial </w:t>
      </w:r>
      <w:r w:rsidR="00651B0D" w:rsidRPr="00704B67">
        <w:rPr>
          <w:lang w:eastAsia="ko-KR"/>
        </w:rPr>
        <w:t>cathode</w:t>
      </w:r>
      <w:r w:rsidR="00A45DE8" w:rsidRPr="00704B67">
        <w:t xml:space="preserve"> </w:t>
      </w:r>
      <w:r w:rsidR="00A45DE8" w:rsidRPr="00704B67">
        <w:rPr>
          <w:lang w:eastAsia="ko-KR"/>
        </w:rPr>
        <w:t>on</w:t>
      </w:r>
      <w:r w:rsidR="00A45DE8" w:rsidRPr="00704B67">
        <w:t xml:space="preserve"> </w:t>
      </w:r>
      <w:r w:rsidR="00A45DE8" w:rsidRPr="00704B67">
        <w:rPr>
          <w:lang w:eastAsia="ko-KR"/>
        </w:rPr>
        <w:t>a</w:t>
      </w:r>
      <w:r w:rsidR="00A45DE8" w:rsidRPr="00704B67">
        <w:t xml:space="preserve"> </w:t>
      </w:r>
      <w:r w:rsidR="00A45DE8" w:rsidRPr="00704B67">
        <w:rPr>
          <w:lang w:eastAsia="ko-KR"/>
        </w:rPr>
        <w:t>laboratory</w:t>
      </w:r>
      <w:r w:rsidR="00A45DE8" w:rsidRPr="00704B67">
        <w:t xml:space="preserve"> </w:t>
      </w:r>
      <w:r w:rsidR="00A45DE8" w:rsidRPr="00704B67">
        <w:rPr>
          <w:lang w:eastAsia="ko-KR"/>
        </w:rPr>
        <w:t>scale</w:t>
      </w:r>
      <w:r w:rsidR="00A45DE8" w:rsidRPr="00704B67">
        <w:t>.</w:t>
      </w:r>
      <w:r w:rsidR="00BA221F" w:rsidRPr="00704B67">
        <w:t xml:space="preserve"> </w:t>
      </w:r>
    </w:p>
    <w:p w14:paraId="5DFD9708" w14:textId="77777777" w:rsidR="00D67F4B" w:rsidRDefault="00067959" w:rsidP="008D2649">
      <w:pPr>
        <w:pStyle w:val="Els-body-text"/>
      </w:pPr>
      <w:r w:rsidRPr="00704B67">
        <w:t xml:space="preserve">Despite various efforts in the direct resynthesis of NMC precursor to improve performance, </w:t>
      </w:r>
      <w:r w:rsidR="002D17DB" w:rsidRPr="00704B67">
        <w:rPr>
          <w:lang w:eastAsia="ko-KR"/>
        </w:rPr>
        <w:t>application in industrial scale recycling requires to resolve following challenges</w:t>
      </w:r>
      <w:r w:rsidRPr="00704B67">
        <w:t xml:space="preserve">. First, </w:t>
      </w:r>
      <w:r w:rsidR="007B338B" w:rsidRPr="00704B67">
        <w:t>excessive usage of chemicals to achieve high metal recovery leads to increased operating costs.</w:t>
      </w:r>
      <w:r w:rsidR="007B338B" w:rsidRPr="00704B67">
        <w:rPr>
          <w:lang w:eastAsia="ko-KR"/>
        </w:rPr>
        <w:t xml:space="preserve"> </w:t>
      </w:r>
      <w:r w:rsidR="00A00EBB" w:rsidRPr="00704B67">
        <w:t xml:space="preserve">Second, </w:t>
      </w:r>
      <w:r w:rsidR="007B338B" w:rsidRPr="00704B67">
        <w:t>excessive usage of chemicals results in large amounts of wastewater, causing environmental pollution.</w:t>
      </w:r>
      <w:r w:rsidR="007B338B" w:rsidRPr="00704B67">
        <w:rPr>
          <w:lang w:eastAsia="ko-KR"/>
        </w:rPr>
        <w:t xml:space="preserve"> </w:t>
      </w:r>
      <w:r w:rsidR="00A00EBB" w:rsidRPr="00704B67">
        <w:t>At industrial scale, operating costs and environmental impact are major issues</w:t>
      </w:r>
      <w:r w:rsidR="00CC1335" w:rsidRPr="00704B67">
        <w:t>. Thus, strategy to regenerating the chemicals via electrochemical treatment of wastewater may reduce the operating cost and environmental impacts</w:t>
      </w:r>
      <w:r w:rsidR="00A00EBB" w:rsidRPr="00704B67">
        <w:t xml:space="preserve">. </w:t>
      </w:r>
    </w:p>
    <w:p w14:paraId="453FA505" w14:textId="6DE0A3EC" w:rsidR="00047CE9" w:rsidRPr="00704B67" w:rsidRDefault="00A00EBB" w:rsidP="008D2649">
      <w:pPr>
        <w:pStyle w:val="Els-body-text"/>
      </w:pPr>
      <w:r w:rsidRPr="00704B67">
        <w:t xml:space="preserve">In this study, a novel closed-loop precursor re-synthesis process design and simulation at industrial scale assisted by hydrogen roasting and wastewater electrolysis </w:t>
      </w:r>
      <w:r w:rsidR="004E601D" w:rsidRPr="00704B67">
        <w:rPr>
          <w:lang w:eastAsia="ko-KR"/>
        </w:rPr>
        <w:t>was</w:t>
      </w:r>
      <w:r w:rsidRPr="00704B67">
        <w:t xml:space="preserve"> conducted. By roasting, lithium can be first extracted as LiOH form by water leaching, which can reduce the usage of chemicals. Furthermore, </w:t>
      </w:r>
      <w:r w:rsidR="007B338B" w:rsidRPr="00704B67">
        <w:t xml:space="preserve">the recovery of </w:t>
      </w:r>
      <w:r w:rsidR="00704B67">
        <w:t xml:space="preserve">the </w:t>
      </w:r>
      <w:r w:rsidR="007B338B" w:rsidRPr="00704B67">
        <w:t>NMC precursor</w:t>
      </w:r>
      <w:r w:rsidR="00DC28EA" w:rsidRPr="00704B67">
        <w:t xml:space="preserve"> </w:t>
      </w:r>
      <w:r w:rsidR="007B338B" w:rsidRPr="00704B67">
        <w:t xml:space="preserve">was derived </w:t>
      </w:r>
      <w:r w:rsidRPr="00704B67">
        <w:t>through a population balance equation</w:t>
      </w:r>
      <w:r w:rsidR="00F506FB" w:rsidRPr="00704B67">
        <w:t xml:space="preserve"> (PBE)</w:t>
      </w:r>
      <w:r w:rsidRPr="00704B67">
        <w:t xml:space="preserve"> approach.</w:t>
      </w:r>
      <w:r w:rsidR="00B360BB" w:rsidRPr="00704B67">
        <w:t xml:space="preserve"> F</w:t>
      </w:r>
      <w:r w:rsidR="007B338B" w:rsidRPr="00704B67">
        <w:t>inally</w:t>
      </w:r>
      <w:r w:rsidR="00B360BB" w:rsidRPr="00704B67">
        <w:t xml:space="preserve">, the regeneration of </w:t>
      </w:r>
      <w:r w:rsidR="007B338B" w:rsidRPr="00704B67">
        <w:t>sulfuric acid</w:t>
      </w:r>
      <w:r w:rsidR="00B360BB" w:rsidRPr="00704B67">
        <w:t xml:space="preserve"> and NaOH </w:t>
      </w:r>
      <w:r w:rsidR="007B338B" w:rsidRPr="00704B67">
        <w:t>was</w:t>
      </w:r>
      <w:r w:rsidR="00B360BB" w:rsidRPr="00704B67">
        <w:t xml:space="preserve"> achieved through wastewater electrolysis. </w:t>
      </w:r>
    </w:p>
    <w:p w14:paraId="144DE6A1" w14:textId="25ADF984" w:rsidR="008D2649" w:rsidRPr="00704B67" w:rsidRDefault="00907983" w:rsidP="008D2649">
      <w:pPr>
        <w:pStyle w:val="Els-1storder-head"/>
        <w:spacing w:after="120"/>
        <w:rPr>
          <w:lang w:val="en-GB"/>
        </w:rPr>
      </w:pPr>
      <w:r w:rsidRPr="00704B67">
        <w:rPr>
          <w:lang w:val="en-GB"/>
        </w:rPr>
        <w:t>Methodology</w:t>
      </w:r>
    </w:p>
    <w:p w14:paraId="5343AA24" w14:textId="540AF2A3" w:rsidR="00907983" w:rsidRPr="00704B67" w:rsidRDefault="00907983" w:rsidP="00907983">
      <w:pPr>
        <w:pStyle w:val="Els-2ndorder-head"/>
        <w:spacing w:after="120"/>
        <w:rPr>
          <w:lang w:val="en-GB"/>
        </w:rPr>
      </w:pPr>
      <w:r w:rsidRPr="00704B67">
        <w:rPr>
          <w:lang w:val="en-GB"/>
        </w:rPr>
        <w:t>Process description</w:t>
      </w:r>
    </w:p>
    <w:p w14:paraId="2DAC97AA" w14:textId="77777777" w:rsidR="00C07BFE" w:rsidRPr="00704B67" w:rsidRDefault="00C07BFE" w:rsidP="00907983">
      <w:pPr>
        <w:pStyle w:val="Els-body-text"/>
        <w:rPr>
          <w:lang w:val="en-GB" w:eastAsia="ko-KR"/>
        </w:rPr>
      </w:pPr>
      <w:bookmarkStart w:id="3" w:name="_Hlk151666433"/>
    </w:p>
    <w:p w14:paraId="5C8AE88E" w14:textId="77777777" w:rsidR="000535E3" w:rsidRPr="00704B67" w:rsidRDefault="000535E3" w:rsidP="000535E3">
      <w:pPr>
        <w:pStyle w:val="Els-body-text"/>
        <w:keepNext/>
        <w:jc w:val="center"/>
      </w:pPr>
      <w:r w:rsidRPr="00704B67">
        <w:rPr>
          <w:noProof/>
          <w:sz w:val="16"/>
          <w:szCs w:val="16"/>
          <w:lang w:val="en-GB"/>
        </w:rPr>
        <w:drawing>
          <wp:inline distT="0" distB="0" distL="0" distR="0" wp14:anchorId="717AE445" wp14:editId="5897A392">
            <wp:extent cx="3723689" cy="2256979"/>
            <wp:effectExtent l="0" t="0" r="0" b="0"/>
            <wp:docPr id="66069604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96049" name="그림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3689" cy="2256979"/>
                    </a:xfrm>
                    <a:prstGeom prst="rect">
                      <a:avLst/>
                    </a:prstGeom>
                  </pic:spPr>
                </pic:pic>
              </a:graphicData>
            </a:graphic>
          </wp:inline>
        </w:drawing>
      </w:r>
    </w:p>
    <w:p w14:paraId="265CDFE8" w14:textId="70151986" w:rsidR="00C07BFE" w:rsidRPr="00704B67" w:rsidRDefault="000535E3" w:rsidP="000535E3">
      <w:pPr>
        <w:pStyle w:val="a3"/>
        <w:jc w:val="center"/>
        <w:rPr>
          <w:sz w:val="20"/>
          <w:szCs w:val="22"/>
          <w:lang w:val="en-GB" w:eastAsia="ko-KR"/>
        </w:rPr>
      </w:pPr>
      <w:r w:rsidRPr="00704B67">
        <w:rPr>
          <w:sz w:val="20"/>
          <w:szCs w:val="22"/>
        </w:rPr>
        <w:t xml:space="preserve">Fig. </w:t>
      </w:r>
      <w:r w:rsidRPr="00704B67">
        <w:rPr>
          <w:sz w:val="20"/>
          <w:szCs w:val="22"/>
        </w:rPr>
        <w:fldChar w:fldCharType="begin"/>
      </w:r>
      <w:r w:rsidRPr="00704B67">
        <w:rPr>
          <w:sz w:val="20"/>
          <w:szCs w:val="22"/>
        </w:rPr>
        <w:instrText xml:space="preserve"> SEQ Figure \* ARABIC </w:instrText>
      </w:r>
      <w:r w:rsidRPr="00704B67">
        <w:rPr>
          <w:sz w:val="20"/>
          <w:szCs w:val="22"/>
        </w:rPr>
        <w:fldChar w:fldCharType="separate"/>
      </w:r>
      <w:r w:rsidR="00D37052" w:rsidRPr="00704B67">
        <w:rPr>
          <w:noProof/>
          <w:sz w:val="20"/>
          <w:szCs w:val="22"/>
        </w:rPr>
        <w:t>1</w:t>
      </w:r>
      <w:r w:rsidRPr="00704B67">
        <w:rPr>
          <w:sz w:val="20"/>
          <w:szCs w:val="22"/>
        </w:rPr>
        <w:fldChar w:fldCharType="end"/>
      </w:r>
      <w:r w:rsidRPr="00704B67">
        <w:rPr>
          <w:sz w:val="20"/>
          <w:szCs w:val="22"/>
        </w:rPr>
        <w:t>. Flow diagram of the proposed LIB recycling system.</w:t>
      </w:r>
    </w:p>
    <w:p w14:paraId="19B11E5B" w14:textId="77777777" w:rsidR="00C07BFE" w:rsidRPr="00704B67" w:rsidRDefault="00C07BFE" w:rsidP="00907983">
      <w:pPr>
        <w:pStyle w:val="Els-body-text"/>
        <w:rPr>
          <w:lang w:val="en-GB" w:eastAsia="ko-KR"/>
        </w:rPr>
      </w:pPr>
    </w:p>
    <w:p w14:paraId="6477A9FD" w14:textId="1122D54D" w:rsidR="007F0260" w:rsidRPr="00704B67" w:rsidRDefault="00991091" w:rsidP="00907983">
      <w:pPr>
        <w:pStyle w:val="Els-body-text"/>
      </w:pPr>
      <w:r w:rsidRPr="00704B67">
        <w:rPr>
          <w:lang w:val="en-GB" w:eastAsia="ko-KR"/>
        </w:rPr>
        <w:t>Fig.</w:t>
      </w:r>
      <w:r w:rsidR="00644A82" w:rsidRPr="00704B67">
        <w:rPr>
          <w:lang w:val="en-GB" w:eastAsia="ko-KR"/>
        </w:rPr>
        <w:t xml:space="preserve"> </w:t>
      </w:r>
      <w:r w:rsidRPr="00704B67">
        <w:rPr>
          <w:lang w:val="en-GB" w:eastAsia="ko-KR"/>
        </w:rPr>
        <w:t xml:space="preserve">1 shows the flow diagram of proposed battery recycling system. </w:t>
      </w:r>
      <w:r w:rsidRPr="00704B67">
        <w:t>The proposed system consists of three major processes: hydrogen roasting, NMC precursor crystallization, and wastewater electrolysis.</w:t>
      </w:r>
      <w:r w:rsidRPr="00704B67">
        <w:rPr>
          <w:lang w:eastAsia="ko-KR"/>
        </w:rPr>
        <w:t xml:space="preserve"> </w:t>
      </w:r>
      <w:r w:rsidRPr="00704B67">
        <w:t xml:space="preserve">First, the NMC cathode </w:t>
      </w:r>
      <w:r w:rsidR="00B360BB" w:rsidRPr="00704B67">
        <w:rPr>
          <w:lang w:eastAsia="ko-KR"/>
        </w:rPr>
        <w:t xml:space="preserve">materials </w:t>
      </w:r>
      <w:r w:rsidR="00B360BB" w:rsidRPr="00704B67">
        <w:t>are</w:t>
      </w:r>
      <w:r w:rsidRPr="00704B67">
        <w:t xml:space="preserve"> decomposed into metal oxide by </w:t>
      </w:r>
      <w:r w:rsidR="00DC28EA" w:rsidRPr="00704B67">
        <w:t xml:space="preserve">hydrogen </w:t>
      </w:r>
      <w:r w:rsidRPr="00704B67">
        <w:t xml:space="preserve">roasting, and water-soluble lithium oxide firstly separated from the </w:t>
      </w:r>
      <w:r w:rsidRPr="00704B67">
        <w:lastRenderedPageBreak/>
        <w:t>metal oxide mixture</w:t>
      </w:r>
      <w:r w:rsidR="00B360BB" w:rsidRPr="00704B67">
        <w:t xml:space="preserve"> by water leaching</w:t>
      </w:r>
      <w:r w:rsidRPr="00704B67">
        <w:t xml:space="preserve">. </w:t>
      </w:r>
      <w:r w:rsidR="003415DE" w:rsidRPr="00704B67">
        <w:t>Then, t</w:t>
      </w:r>
      <w:r w:rsidRPr="00704B67">
        <w:t>he lithium oxide is recovered as LiOH</w:t>
      </w:r>
      <w:r w:rsidRPr="00704B67">
        <w:rPr>
          <w:rFonts w:eastAsia="맑은 고딕"/>
        </w:rPr>
        <w:t>·</w:t>
      </w:r>
      <w:r w:rsidRPr="00704B67">
        <w:t>H</w:t>
      </w:r>
      <w:r w:rsidRPr="00704B67">
        <w:rPr>
          <w:vertAlign w:val="subscript"/>
        </w:rPr>
        <w:t>2</w:t>
      </w:r>
      <w:r w:rsidRPr="00704B67">
        <w:t>O(s) by crystallization.</w:t>
      </w:r>
      <w:r w:rsidR="003415DE" w:rsidRPr="00704B67">
        <w:t xml:space="preserve"> </w:t>
      </w:r>
      <w:r w:rsidRPr="00704B67">
        <w:t xml:space="preserve">Second, the remaining metal oxide mixture undergoes </w:t>
      </w:r>
      <w:r w:rsidR="003415DE" w:rsidRPr="00704B67">
        <w:t xml:space="preserve">acid </w:t>
      </w:r>
      <w:r w:rsidRPr="00704B67">
        <w:t xml:space="preserve">leaching process, </w:t>
      </w:r>
      <w:r w:rsidR="000F4CAD" w:rsidRPr="00704B67">
        <w:t>followed by chelating agent injection and pH adjustment through NaOH injection to meet minimum pH conditions for precursor crystallization.</w:t>
      </w:r>
      <w:r w:rsidR="000F4CAD" w:rsidRPr="00704B67">
        <w:rPr>
          <w:lang w:eastAsia="ko-KR"/>
        </w:rPr>
        <w:t xml:space="preserve"> </w:t>
      </w:r>
      <w:r w:rsidRPr="00704B67">
        <w:t xml:space="preserve">Finally, the wastewater produced following the crystallization is fed to anion-exchange membrane-based electrolysis to regenerate </w:t>
      </w:r>
      <w:r w:rsidR="003415DE" w:rsidRPr="00704B67">
        <w:t>H</w:t>
      </w:r>
      <w:r w:rsidR="003415DE" w:rsidRPr="00704B67">
        <w:rPr>
          <w:vertAlign w:val="subscript"/>
        </w:rPr>
        <w:t>2</w:t>
      </w:r>
      <w:r w:rsidR="003415DE" w:rsidRPr="00704B67">
        <w:t>SO</w:t>
      </w:r>
      <w:r w:rsidR="003415DE" w:rsidRPr="00704B67">
        <w:rPr>
          <w:vertAlign w:val="subscript"/>
        </w:rPr>
        <w:t>4</w:t>
      </w:r>
      <w:r w:rsidRPr="00704B67">
        <w:t xml:space="preserve"> and NaOH, separately.</w:t>
      </w:r>
    </w:p>
    <w:bookmarkEnd w:id="3"/>
    <w:p w14:paraId="65E2FB4C" w14:textId="4590C91F" w:rsidR="00907983" w:rsidRPr="00704B67" w:rsidRDefault="00907983" w:rsidP="00907983">
      <w:pPr>
        <w:pStyle w:val="Els-2ndorder-head"/>
        <w:spacing w:after="120"/>
        <w:rPr>
          <w:lang w:val="en-GB"/>
        </w:rPr>
      </w:pPr>
      <w:r w:rsidRPr="00704B67">
        <w:rPr>
          <w:lang w:val="en-GB"/>
        </w:rPr>
        <w:t>Process model</w:t>
      </w:r>
    </w:p>
    <w:p w14:paraId="410B64BD" w14:textId="25F9D8EB" w:rsidR="00907983" w:rsidRPr="00704B67" w:rsidRDefault="00907983" w:rsidP="00907983">
      <w:pPr>
        <w:pStyle w:val="Els-3rdorder-head"/>
      </w:pPr>
      <w:r w:rsidRPr="00704B67">
        <w:t>Hydrogen roasting</w:t>
      </w:r>
    </w:p>
    <w:p w14:paraId="7628CC18" w14:textId="37AA221F" w:rsidR="00907983" w:rsidRPr="00704B67" w:rsidRDefault="00255E1E" w:rsidP="00907983">
      <w:pPr>
        <w:pStyle w:val="Els-body-text"/>
      </w:pPr>
      <w:r w:rsidRPr="00704B67">
        <w:t xml:space="preserve">The overall </w:t>
      </w:r>
      <w:r w:rsidR="007F0260" w:rsidRPr="00704B67">
        <w:t xml:space="preserve">hydrogen </w:t>
      </w:r>
      <w:r w:rsidRPr="00704B67">
        <w:t xml:space="preserve">roasting </w:t>
      </w:r>
      <w:r w:rsidR="004E6128" w:rsidRPr="00704B67">
        <w:t xml:space="preserve">involves two main reactions: </w:t>
      </w:r>
      <w:r w:rsidRPr="00704B67">
        <w:t>irreversible thermal decomposition to metal oxides and hydrogen r</w:t>
      </w:r>
      <w:r w:rsidR="007F0260" w:rsidRPr="00704B67">
        <w:t>oasting</w:t>
      </w:r>
      <w:r w:rsidRPr="00704B67">
        <w:t xml:space="preserve"> of metal oxides. In the thermal decomposition step</w:t>
      </w:r>
      <w:r w:rsidR="004E6128" w:rsidRPr="00704B67">
        <w:t xml:space="preserve"> shown </w:t>
      </w:r>
      <w:r w:rsidR="000C349A" w:rsidRPr="00704B67">
        <w:rPr>
          <w:lang w:eastAsia="ko-KR"/>
        </w:rPr>
        <w:t xml:space="preserve">in </w:t>
      </w:r>
      <w:r w:rsidR="004E6128" w:rsidRPr="00704B67">
        <w:t>Eq. (1)</w:t>
      </w:r>
      <w:r w:rsidRPr="00704B67">
        <w:t>, the interlayer crystal structure of NM</w:t>
      </w:r>
      <w:r w:rsidR="00D67F4B">
        <w:t>C</w:t>
      </w:r>
      <w:r w:rsidRPr="00704B67">
        <w:t xml:space="preserve"> is destructed and converted into a mixture of metal oxides. In the r</w:t>
      </w:r>
      <w:r w:rsidR="007F0260" w:rsidRPr="00704B67">
        <w:t>oasting</w:t>
      </w:r>
      <w:r w:rsidRPr="00704B67">
        <w:t xml:space="preserve"> step, the reduction of metal oxide with hydrogen is </w:t>
      </w:r>
      <w:r w:rsidR="000C349A" w:rsidRPr="00704B67">
        <w:rPr>
          <w:lang w:eastAsia="ko-KR"/>
        </w:rPr>
        <w:t>described</w:t>
      </w:r>
      <w:r w:rsidR="004E6128" w:rsidRPr="00704B67">
        <w:t xml:space="preserve"> as</w:t>
      </w:r>
      <w:r w:rsidRPr="00704B67">
        <w:t xml:space="preserve"> </w:t>
      </w:r>
      <w:r w:rsidR="004E6128" w:rsidRPr="00704B67">
        <w:t>Eq. (2-4).</w:t>
      </w:r>
    </w:p>
    <w:p w14:paraId="1E0F4AD5" w14:textId="77777777" w:rsidR="00255E1E" w:rsidRPr="00704B67" w:rsidRDefault="00255E1E" w:rsidP="00907983">
      <w:pPr>
        <w:pStyle w:val="Els-body-tex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255E1E" w:rsidRPr="00704B67" w14:paraId="1A878F28" w14:textId="77777777" w:rsidTr="005A036B">
        <w:tc>
          <w:tcPr>
            <w:tcW w:w="387" w:type="dxa"/>
          </w:tcPr>
          <w:p w14:paraId="4D151831" w14:textId="77777777" w:rsidR="00255E1E" w:rsidRPr="00704B67" w:rsidRDefault="00255E1E" w:rsidP="004E6128">
            <w:pPr>
              <w:pStyle w:val="Els-body-text"/>
              <w:jc w:val="center"/>
            </w:pPr>
            <w:bookmarkStart w:id="4" w:name="_Hlk151714728"/>
          </w:p>
        </w:tc>
        <w:tc>
          <w:tcPr>
            <w:tcW w:w="6035" w:type="dxa"/>
          </w:tcPr>
          <w:p w14:paraId="3D4DE7EB" w14:textId="09FEB9ED" w:rsidR="00255E1E" w:rsidRPr="00704B67" w:rsidRDefault="00255E1E" w:rsidP="004E6128">
            <w:pPr>
              <w:pStyle w:val="Els-body-text"/>
              <w:jc w:val="center"/>
              <w:rPr>
                <w:lang w:eastAsia="ko-KR"/>
              </w:rPr>
            </w:pPr>
            <m:oMath>
              <m:r>
                <w:rPr>
                  <w:rFonts w:ascii="Cambria Math" w:hAnsi="Cambria Math"/>
                </w:rPr>
                <m:t>Li</m:t>
              </m:r>
              <m:sSub>
                <m:sSubPr>
                  <m:ctrlPr>
                    <w:rPr>
                      <w:rFonts w:ascii="Cambria Math" w:hAnsi="Cambria Math"/>
                      <w:i/>
                    </w:rPr>
                  </m:ctrlPr>
                </m:sSubPr>
                <m:e>
                  <m:r>
                    <w:rPr>
                      <w:rFonts w:ascii="Cambria Math" w:hAnsi="Cambria Math"/>
                    </w:rPr>
                    <m:t>Ni</m:t>
                  </m:r>
                </m:e>
                <m:sub>
                  <m:r>
                    <w:rPr>
                      <w:rFonts w:ascii="Cambria Math" w:hAnsi="Cambria Math"/>
                    </w:rPr>
                    <m:t>1/3</m:t>
                  </m:r>
                </m:sub>
              </m:sSub>
              <m:sSub>
                <m:sSubPr>
                  <m:ctrlPr>
                    <w:rPr>
                      <w:rFonts w:ascii="Cambria Math" w:hAnsi="Cambria Math"/>
                      <w:i/>
                    </w:rPr>
                  </m:ctrlPr>
                </m:sSubPr>
                <m:e>
                  <m:r>
                    <w:rPr>
                      <w:rFonts w:ascii="Cambria Math" w:hAnsi="Cambria Math"/>
                    </w:rPr>
                    <m:t>Mn</m:t>
                  </m:r>
                </m:e>
                <m:sub>
                  <m:r>
                    <w:rPr>
                      <w:rFonts w:ascii="Cambria Math" w:hAnsi="Cambria Math"/>
                    </w:rPr>
                    <m:t>1/3</m:t>
                  </m:r>
                </m:sub>
              </m:sSub>
              <m:sSub>
                <m:sSubPr>
                  <m:ctrlPr>
                    <w:rPr>
                      <w:rFonts w:ascii="Cambria Math" w:hAnsi="Cambria Math"/>
                      <w:i/>
                    </w:rPr>
                  </m:ctrlPr>
                </m:sSubPr>
                <m:e>
                  <m:r>
                    <w:rPr>
                      <w:rFonts w:ascii="Cambria Math" w:hAnsi="Cambria Math"/>
                    </w:rPr>
                    <m:t>Co</m:t>
                  </m:r>
                </m:e>
                <m:sub>
                  <m:r>
                    <w:rPr>
                      <w:rFonts w:ascii="Cambria Math" w:hAnsi="Cambria Math"/>
                    </w:rPr>
                    <m:t>1/3</m:t>
                  </m:r>
                </m:sub>
              </m:sSub>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Li</m:t>
                  </m:r>
                </m:e>
                <m:sub>
                  <m:r>
                    <w:rPr>
                      <w:rFonts w:ascii="Cambria Math" w:hAnsi="Cambria Math"/>
                    </w:rPr>
                    <m:t>2</m:t>
                  </m:r>
                </m:sub>
              </m:sSub>
              <m:r>
                <w:rPr>
                  <w:rFonts w:ascii="Cambria Math" w:hAnsi="Cambria Math"/>
                </w:rPr>
                <m:t>O+</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NiO+</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CoO+</m:t>
              </m:r>
              <m:f>
                <m:fPr>
                  <m:ctrlPr>
                    <w:rPr>
                      <w:rFonts w:ascii="Cambria Math" w:hAnsi="Cambria Math"/>
                      <w:i/>
                    </w:rPr>
                  </m:ctrlPr>
                </m:fPr>
                <m:num>
                  <m:r>
                    <w:rPr>
                      <w:rFonts w:ascii="Cambria Math" w:hAnsi="Cambria Math"/>
                    </w:rPr>
                    <m:t>1</m:t>
                  </m:r>
                </m:num>
                <m:den>
                  <m:r>
                    <w:rPr>
                      <w:rFonts w:ascii="Cambria Math" w:hAnsi="Cambria Math"/>
                    </w:rPr>
                    <m:t>12</m:t>
                  </m:r>
                </m:den>
              </m:f>
              <m:sSub>
                <m:sSubPr>
                  <m:ctrlPr>
                    <w:rPr>
                      <w:rFonts w:ascii="Cambria Math" w:hAnsi="Cambria Math"/>
                      <w:i/>
                    </w:rPr>
                  </m:ctrlPr>
                </m:sSubPr>
                <m:e>
                  <m:r>
                    <w:rPr>
                      <w:rFonts w:ascii="Cambria Math" w:hAnsi="Cambria Math"/>
                    </w:rPr>
                    <m:t>O</m:t>
                  </m:r>
                </m:e>
                <m:sub>
                  <m:r>
                    <w:rPr>
                      <w:rFonts w:ascii="Cambria Math" w:hAnsi="Cambria Math"/>
                    </w:rPr>
                    <m:t>2</m:t>
                  </m:r>
                </m:sub>
              </m:sSub>
            </m:oMath>
            <w:r w:rsidR="004E6128" w:rsidRPr="00704B67">
              <w:rPr>
                <w:lang w:eastAsia="ko-KR"/>
              </w:rPr>
              <w:t xml:space="preserve">  </w:t>
            </w:r>
          </w:p>
        </w:tc>
        <w:tc>
          <w:tcPr>
            <w:tcW w:w="660" w:type="dxa"/>
          </w:tcPr>
          <w:p w14:paraId="70C6ED39" w14:textId="77777777" w:rsidR="00255E1E" w:rsidRPr="00704B67" w:rsidRDefault="00255E1E" w:rsidP="00704B67">
            <w:pPr>
              <w:pStyle w:val="Els-body-text"/>
              <w:jc w:val="right"/>
              <w:rPr>
                <w:lang w:eastAsia="ko-KR"/>
              </w:rPr>
            </w:pPr>
            <w:r w:rsidRPr="00704B67">
              <w:rPr>
                <w:lang w:eastAsia="ko-KR"/>
              </w:rPr>
              <w:t>(1)</w:t>
            </w:r>
          </w:p>
        </w:tc>
      </w:tr>
      <w:bookmarkEnd w:id="4"/>
    </w:tbl>
    <w:p w14:paraId="7D20C2AE" w14:textId="77777777" w:rsidR="00255E1E" w:rsidRPr="00704B67" w:rsidRDefault="00255E1E" w:rsidP="004E6128">
      <w:pPr>
        <w:pStyle w:val="Els-body-text"/>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255E1E" w:rsidRPr="00704B67" w14:paraId="23B38CD9" w14:textId="77777777" w:rsidTr="005A036B">
        <w:tc>
          <w:tcPr>
            <w:tcW w:w="387" w:type="dxa"/>
          </w:tcPr>
          <w:p w14:paraId="435F3EFF" w14:textId="77777777" w:rsidR="00255E1E" w:rsidRPr="00704B67" w:rsidRDefault="00255E1E" w:rsidP="004E6128">
            <w:pPr>
              <w:pStyle w:val="Els-body-text"/>
              <w:jc w:val="center"/>
            </w:pPr>
          </w:p>
        </w:tc>
        <w:tc>
          <w:tcPr>
            <w:tcW w:w="6035" w:type="dxa"/>
          </w:tcPr>
          <w:p w14:paraId="38008B63" w14:textId="2436C0FA" w:rsidR="00255E1E" w:rsidRPr="00704B67" w:rsidRDefault="00255E1E" w:rsidP="004E6128">
            <w:pPr>
              <w:pStyle w:val="Els-body-text"/>
              <w:jc w:val="center"/>
              <w:rPr>
                <w:lang w:eastAsia="ko-KR"/>
              </w:rPr>
            </w:pPr>
            <m:oMathPara>
              <m:oMathParaPr>
                <m:jc m:val="center"/>
              </m:oMathParaPr>
              <m:oMath>
                <m:r>
                  <w:rPr>
                    <w:rFonts w:ascii="Cambria Math" w:hAnsi="Cambria Math"/>
                  </w:rPr>
                  <m:t>NiO+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→Ni+</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660" w:type="dxa"/>
          </w:tcPr>
          <w:p w14:paraId="07F02B23" w14:textId="080F67DB" w:rsidR="00255E1E" w:rsidRPr="00704B67" w:rsidRDefault="00255E1E" w:rsidP="00704B67">
            <w:pPr>
              <w:pStyle w:val="Els-body-text"/>
              <w:jc w:val="right"/>
              <w:rPr>
                <w:lang w:eastAsia="ko-KR"/>
              </w:rPr>
            </w:pPr>
            <w:r w:rsidRPr="00704B67">
              <w:rPr>
                <w:lang w:eastAsia="ko-KR"/>
              </w:rPr>
              <w:t>(2)</w:t>
            </w:r>
          </w:p>
        </w:tc>
      </w:tr>
    </w:tbl>
    <w:p w14:paraId="769EC101" w14:textId="77777777" w:rsidR="00255E1E" w:rsidRPr="00704B67" w:rsidRDefault="00255E1E" w:rsidP="004E6128">
      <w:pPr>
        <w:pStyle w:val="Els-body-text"/>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255E1E" w:rsidRPr="00704B67" w14:paraId="5D3F48B1" w14:textId="77777777" w:rsidTr="005A036B">
        <w:tc>
          <w:tcPr>
            <w:tcW w:w="387" w:type="dxa"/>
          </w:tcPr>
          <w:p w14:paraId="43AD5579" w14:textId="77777777" w:rsidR="00255E1E" w:rsidRPr="00704B67" w:rsidRDefault="00255E1E" w:rsidP="004E6128">
            <w:pPr>
              <w:pStyle w:val="Els-body-text"/>
              <w:jc w:val="center"/>
            </w:pPr>
          </w:p>
        </w:tc>
        <w:tc>
          <w:tcPr>
            <w:tcW w:w="6035" w:type="dxa"/>
          </w:tcPr>
          <w:p w14:paraId="6BB4DA65" w14:textId="2309913C" w:rsidR="00255E1E" w:rsidRPr="00704B67" w:rsidRDefault="00D67F4B" w:rsidP="004E6128">
            <w:pPr>
              <w:pStyle w:val="Els-body-text"/>
              <w:jc w:val="center"/>
              <w:rPr>
                <w:lang w:eastAsia="ko-KR"/>
              </w:rPr>
            </w:pPr>
            <m:oMathPara>
              <m:oMathParaPr>
                <m:jc m:val="center"/>
              </m:oMathParaPr>
              <m:oMath>
                <m:r>
                  <w:rPr>
                    <w:rFonts w:ascii="Cambria Math" w:hAnsi="Cambria Math"/>
                  </w:rPr>
                  <m:t>MnO+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→Mn+</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660" w:type="dxa"/>
          </w:tcPr>
          <w:p w14:paraId="142B53EC" w14:textId="4A2D4749" w:rsidR="00255E1E" w:rsidRPr="00704B67" w:rsidRDefault="00255E1E" w:rsidP="00704B67">
            <w:pPr>
              <w:pStyle w:val="Els-body-text"/>
              <w:jc w:val="right"/>
              <w:rPr>
                <w:lang w:eastAsia="ko-KR"/>
              </w:rPr>
            </w:pPr>
            <w:r w:rsidRPr="00704B67">
              <w:rPr>
                <w:lang w:eastAsia="ko-KR"/>
              </w:rPr>
              <w:t>(3)</w:t>
            </w:r>
          </w:p>
        </w:tc>
      </w:tr>
    </w:tbl>
    <w:p w14:paraId="1E76CCD7" w14:textId="77777777" w:rsidR="00255E1E" w:rsidRPr="00704B67" w:rsidRDefault="00255E1E" w:rsidP="004E6128">
      <w:pPr>
        <w:pStyle w:val="Els-body-text"/>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255E1E" w:rsidRPr="00704B67" w14:paraId="5017F309" w14:textId="77777777" w:rsidTr="005A036B">
        <w:tc>
          <w:tcPr>
            <w:tcW w:w="387" w:type="dxa"/>
          </w:tcPr>
          <w:p w14:paraId="481D187C" w14:textId="77777777" w:rsidR="00255E1E" w:rsidRPr="00704B67" w:rsidRDefault="00255E1E" w:rsidP="004E6128">
            <w:pPr>
              <w:pStyle w:val="Els-body-text"/>
              <w:jc w:val="center"/>
            </w:pPr>
          </w:p>
        </w:tc>
        <w:tc>
          <w:tcPr>
            <w:tcW w:w="6035" w:type="dxa"/>
          </w:tcPr>
          <w:p w14:paraId="1F4136B3" w14:textId="66141D2F" w:rsidR="00255E1E" w:rsidRPr="00704B67" w:rsidRDefault="00D67F4B" w:rsidP="004E6128">
            <w:pPr>
              <w:pStyle w:val="Els-body-text"/>
              <w:jc w:val="center"/>
              <w:rPr>
                <w:lang w:eastAsia="ko-KR"/>
              </w:rPr>
            </w:pPr>
            <m:oMathPara>
              <m:oMathParaPr>
                <m:jc m:val="center"/>
              </m:oMathParaPr>
              <m:oMath>
                <m:r>
                  <w:rPr>
                    <w:rFonts w:ascii="Cambria Math" w:hAnsi="Cambria Math"/>
                  </w:rPr>
                  <m:t>CoO+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oMath>
            </m:oMathPara>
          </w:p>
        </w:tc>
        <w:tc>
          <w:tcPr>
            <w:tcW w:w="660" w:type="dxa"/>
          </w:tcPr>
          <w:p w14:paraId="23DC28DA" w14:textId="1CBE9299" w:rsidR="00255E1E" w:rsidRPr="00704B67" w:rsidRDefault="00255E1E" w:rsidP="00704B67">
            <w:pPr>
              <w:pStyle w:val="Els-body-text"/>
              <w:jc w:val="right"/>
              <w:rPr>
                <w:lang w:eastAsia="ko-KR"/>
              </w:rPr>
            </w:pPr>
            <w:r w:rsidRPr="00704B67">
              <w:rPr>
                <w:lang w:eastAsia="ko-KR"/>
              </w:rPr>
              <w:t>(4)</w:t>
            </w:r>
          </w:p>
        </w:tc>
      </w:tr>
    </w:tbl>
    <w:p w14:paraId="29128FA3" w14:textId="77777777" w:rsidR="00255E1E" w:rsidRPr="00704B67" w:rsidRDefault="00255E1E" w:rsidP="00907983">
      <w:pPr>
        <w:pStyle w:val="Els-body-text"/>
      </w:pPr>
    </w:p>
    <w:p w14:paraId="56102F75" w14:textId="7B14A2AF" w:rsidR="00FA120E" w:rsidRPr="00704B67" w:rsidRDefault="007F0260" w:rsidP="00907983">
      <w:pPr>
        <w:pStyle w:val="Els-body-text"/>
      </w:pPr>
      <w:r w:rsidRPr="00704B67">
        <w:t>The generated Li</w:t>
      </w:r>
      <w:r w:rsidRPr="00704B67">
        <w:rPr>
          <w:vertAlign w:val="subscript"/>
        </w:rPr>
        <w:t>2</w:t>
      </w:r>
      <w:r w:rsidRPr="00704B67">
        <w:t>O is</w:t>
      </w:r>
      <w:r w:rsidRPr="00704B67">
        <w:rPr>
          <w:lang w:eastAsia="ko-KR"/>
        </w:rPr>
        <w:t xml:space="preserve"> </w:t>
      </w:r>
      <w:r w:rsidRPr="00704B67">
        <w:t xml:space="preserve">soluble in water, </w:t>
      </w:r>
      <w:r w:rsidR="000C349A" w:rsidRPr="00704B67">
        <w:t xml:space="preserve">and water leaching is performed for selective Li extraction as shown in Eq. (5-6). </w:t>
      </w:r>
      <w:r w:rsidRPr="00704B67">
        <w:t xml:space="preserve">Following, </w:t>
      </w:r>
      <w:r w:rsidR="00FA120E" w:rsidRPr="00704B67">
        <w:t>the LiOH slurry</w:t>
      </w:r>
      <w:r w:rsidR="000F4CAD" w:rsidRPr="00704B67">
        <w:t xml:space="preserve"> i</w:t>
      </w:r>
      <w:r w:rsidR="00FA120E" w:rsidRPr="00704B67">
        <w:t>s converted into LiOH</w:t>
      </w:r>
      <w:r w:rsidR="00FA120E" w:rsidRPr="00704B67">
        <w:rPr>
          <w:rFonts w:ascii="MS Gothic" w:eastAsia="MS Gothic" w:hAnsi="MS Gothic" w:cs="MS Gothic" w:hint="eastAsia"/>
        </w:rPr>
        <w:t>⋅</w:t>
      </w:r>
      <w:r w:rsidR="00FA120E" w:rsidRPr="00704B67">
        <w:t>H</w:t>
      </w:r>
      <w:r w:rsidR="00FA120E" w:rsidRPr="00704B67">
        <w:rPr>
          <w:vertAlign w:val="subscript"/>
        </w:rPr>
        <w:t>2</w:t>
      </w:r>
      <w:r w:rsidR="00FA120E" w:rsidRPr="00704B67">
        <w:t>O(s)</w:t>
      </w:r>
      <w:r w:rsidRPr="00704B67">
        <w:t xml:space="preserve"> in the crystallization process </w:t>
      </w:r>
      <w:r w:rsidR="004E6128" w:rsidRPr="00704B67">
        <w:t>as shown</w:t>
      </w:r>
      <w:r w:rsidR="00C71EE9" w:rsidRPr="00704B67">
        <w:t xml:space="preserve"> </w:t>
      </w:r>
      <w:r w:rsidR="00C71EE9" w:rsidRPr="00704B67">
        <w:rPr>
          <w:lang w:eastAsia="ko-KR"/>
        </w:rPr>
        <w:t>in</w:t>
      </w:r>
      <w:r w:rsidR="00C71EE9" w:rsidRPr="00704B67">
        <w:t xml:space="preserve"> </w:t>
      </w:r>
      <w:r w:rsidR="004E6128" w:rsidRPr="00704B67">
        <w:t>Eq. (7)</w:t>
      </w:r>
      <w:r w:rsidR="00FA120E" w:rsidRPr="00704B67">
        <w:t>.</w:t>
      </w:r>
    </w:p>
    <w:p w14:paraId="38F2B2C4" w14:textId="77777777" w:rsidR="007F0260" w:rsidRPr="00704B67" w:rsidRDefault="007F0260" w:rsidP="00907983">
      <w:pPr>
        <w:pStyle w:val="Els-body-tex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7F0260" w:rsidRPr="00704B67" w14:paraId="58ECB44A" w14:textId="77777777" w:rsidTr="00F40739">
        <w:tc>
          <w:tcPr>
            <w:tcW w:w="387" w:type="dxa"/>
          </w:tcPr>
          <w:p w14:paraId="51C0DDA6" w14:textId="77777777" w:rsidR="007F0260" w:rsidRPr="00704B67" w:rsidRDefault="007F0260" w:rsidP="00F40739">
            <w:pPr>
              <w:pStyle w:val="Els-body-text"/>
            </w:pPr>
          </w:p>
        </w:tc>
        <w:tc>
          <w:tcPr>
            <w:tcW w:w="6035" w:type="dxa"/>
          </w:tcPr>
          <w:p w14:paraId="6F03F7FA" w14:textId="0CE6C103" w:rsidR="007F0260" w:rsidRPr="00704B67" w:rsidRDefault="00000000" w:rsidP="00F40739">
            <w:pPr>
              <w:pStyle w:val="Els-body-text"/>
              <w:jc w:val="center"/>
              <w:rPr>
                <w:lang w:eastAsia="ko-KR"/>
              </w:rPr>
            </w:pPr>
            <m:oMathPara>
              <m:oMathParaPr>
                <m:jc m:val="center"/>
              </m:oMathParaPr>
              <m:oMath>
                <m:sSub>
                  <m:sSubPr>
                    <m:ctrlPr>
                      <w:rPr>
                        <w:rFonts w:ascii="Cambria Math" w:hAnsi="Cambria Math"/>
                        <w:i/>
                      </w:rPr>
                    </m:ctrlPr>
                  </m:sSubPr>
                  <m:e>
                    <m:r>
                      <w:rPr>
                        <w:rFonts w:ascii="Cambria Math" w:hAnsi="Cambria Math"/>
                      </w:rPr>
                      <m:t>Li</m:t>
                    </m:r>
                  </m:e>
                  <m:sub>
                    <m:r>
                      <w:rPr>
                        <w:rFonts w:ascii="Cambria Math" w:hAnsi="Cambria Math"/>
                      </w:rPr>
                      <m:t>2</m:t>
                    </m:r>
                  </m:sub>
                </m:sSub>
                <m:r>
                  <w:rPr>
                    <w:rFonts w:ascii="Cambria Math" w:hAnsi="Cambria Math"/>
                  </w:rPr>
                  <m:t>O(s)+</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O(l)→2LiOH(s)</m:t>
                </m:r>
              </m:oMath>
            </m:oMathPara>
          </w:p>
        </w:tc>
        <w:tc>
          <w:tcPr>
            <w:tcW w:w="660" w:type="dxa"/>
          </w:tcPr>
          <w:p w14:paraId="064D2763" w14:textId="40300AC5" w:rsidR="007F0260" w:rsidRPr="00704B67" w:rsidRDefault="007F0260" w:rsidP="00F40739">
            <w:pPr>
              <w:pStyle w:val="Els-body-text"/>
              <w:jc w:val="right"/>
              <w:rPr>
                <w:lang w:eastAsia="ko-KR"/>
              </w:rPr>
            </w:pPr>
            <w:r w:rsidRPr="00704B67">
              <w:rPr>
                <w:lang w:eastAsia="ko-KR"/>
              </w:rPr>
              <w:t>(</w:t>
            </w:r>
            <w:r w:rsidR="0057444F" w:rsidRPr="00704B67">
              <w:rPr>
                <w:lang w:eastAsia="ko-KR"/>
              </w:rPr>
              <w:t>5</w:t>
            </w:r>
            <w:r w:rsidRPr="00704B67">
              <w:rPr>
                <w:lang w:eastAsia="ko-KR"/>
              </w:rPr>
              <w:t>)</w:t>
            </w:r>
          </w:p>
        </w:tc>
      </w:tr>
    </w:tbl>
    <w:p w14:paraId="4A9EDBB2" w14:textId="77777777" w:rsidR="007F0260" w:rsidRPr="00704B67" w:rsidRDefault="007F0260" w:rsidP="00907983">
      <w:pPr>
        <w:pStyle w:val="Els-body-tex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57444F" w:rsidRPr="00704B67" w14:paraId="6D01D65D" w14:textId="77777777" w:rsidTr="00F40739">
        <w:tc>
          <w:tcPr>
            <w:tcW w:w="387" w:type="dxa"/>
          </w:tcPr>
          <w:p w14:paraId="45AA815B" w14:textId="77777777" w:rsidR="0057444F" w:rsidRPr="00704B67" w:rsidRDefault="0057444F" w:rsidP="00F40739">
            <w:pPr>
              <w:pStyle w:val="Els-body-text"/>
            </w:pPr>
          </w:p>
          <w:p w14:paraId="39314B96" w14:textId="77777777" w:rsidR="0057444F" w:rsidRPr="00704B67" w:rsidRDefault="0057444F" w:rsidP="00F40739">
            <w:pPr>
              <w:pStyle w:val="Els-body-text"/>
            </w:pPr>
          </w:p>
        </w:tc>
        <w:tc>
          <w:tcPr>
            <w:tcW w:w="6035" w:type="dxa"/>
          </w:tcPr>
          <w:p w14:paraId="332D96EE" w14:textId="77777777" w:rsidR="0057444F" w:rsidRPr="00704B67" w:rsidRDefault="0057444F" w:rsidP="00F40739">
            <w:pPr>
              <w:pStyle w:val="Els-body-text"/>
              <w:jc w:val="center"/>
              <w:rPr>
                <w:lang w:eastAsia="ko-KR"/>
              </w:rPr>
            </w:pPr>
            <m:oMathPara>
              <m:oMathParaPr>
                <m:jc m:val="center"/>
              </m:oMathParaPr>
              <m:oMath>
                <m:r>
                  <w:rPr>
                    <w:rFonts w:ascii="Cambria Math" w:hAnsi="Cambria Math"/>
                  </w:rPr>
                  <m:t>LiOH</m:t>
                </m:r>
                <m:d>
                  <m:dPr>
                    <m:ctrlPr>
                      <w:rPr>
                        <w:rFonts w:ascii="Cambria Math" w:hAnsi="Cambria Math"/>
                        <w:i/>
                      </w:rPr>
                    </m:ctrlPr>
                  </m:dPr>
                  <m:e>
                    <m:r>
                      <w:rPr>
                        <w:rFonts w:ascii="Cambria Math" w:hAnsi="Cambria Math"/>
                      </w:rPr>
                      <m:t>s</m:t>
                    </m:r>
                  </m:e>
                </m:d>
                <m:r>
                  <w:rPr>
                    <w:rFonts w:ascii="Cambria Math" w:hAnsi="Cambria Math"/>
                  </w:rPr>
                  <m:t>→</m:t>
                </m:r>
                <m:sSup>
                  <m:sSupPr>
                    <m:ctrlPr>
                      <w:rPr>
                        <w:rFonts w:ascii="Cambria Math" w:hAnsi="Cambria Math"/>
                        <w:i/>
                      </w:rPr>
                    </m:ctrlPr>
                  </m:sSupPr>
                  <m:e>
                    <m:r>
                      <w:rPr>
                        <w:rFonts w:ascii="Cambria Math" w:hAnsi="Cambria Math"/>
                      </w:rPr>
                      <m:t>Li</m:t>
                    </m:r>
                  </m:e>
                  <m:sup>
                    <m:r>
                      <w:rPr>
                        <w:rFonts w:ascii="Cambria Math" w:hAnsi="Cambria Math"/>
                      </w:rPr>
                      <m:t>+</m:t>
                    </m:r>
                  </m:sup>
                </m:sSup>
                <m:d>
                  <m:dPr>
                    <m:ctrlPr>
                      <w:rPr>
                        <w:rFonts w:ascii="Cambria Math" w:hAnsi="Cambria Math"/>
                        <w:i/>
                      </w:rPr>
                    </m:ctrlPr>
                  </m:dPr>
                  <m:e>
                    <m:r>
                      <w:rPr>
                        <w:rFonts w:ascii="Cambria Math" w:hAnsi="Cambria Math"/>
                      </w:rPr>
                      <m:t>aq</m:t>
                    </m:r>
                  </m:e>
                </m:d>
                <m:r>
                  <w:rPr>
                    <w:rFonts w:ascii="Cambria Math" w:hAnsi="Cambria Math"/>
                  </w:rPr>
                  <m:t>+</m:t>
                </m:r>
                <m:sSup>
                  <m:sSupPr>
                    <m:ctrlPr>
                      <w:rPr>
                        <w:rFonts w:ascii="Cambria Math" w:hAnsi="Cambria Math"/>
                        <w:i/>
                      </w:rPr>
                    </m:ctrlPr>
                  </m:sSupPr>
                  <m:e>
                    <m:r>
                      <w:rPr>
                        <w:rFonts w:ascii="Cambria Math" w:hAnsi="Cambria Math"/>
                      </w:rPr>
                      <m:t>OH</m:t>
                    </m:r>
                  </m:e>
                  <m:sup>
                    <m:r>
                      <w:rPr>
                        <w:rFonts w:ascii="Cambria Math" w:hAnsi="Cambria Math"/>
                      </w:rPr>
                      <m:t>-</m:t>
                    </m:r>
                  </m:sup>
                </m:sSup>
                <m:d>
                  <m:dPr>
                    <m:ctrlPr>
                      <w:rPr>
                        <w:rFonts w:ascii="Cambria Math" w:hAnsi="Cambria Math"/>
                        <w:i/>
                      </w:rPr>
                    </m:ctrlPr>
                  </m:dPr>
                  <m:e>
                    <m:r>
                      <w:rPr>
                        <w:rFonts w:ascii="Cambria Math" w:hAnsi="Cambria Math"/>
                      </w:rPr>
                      <m:t>aq</m:t>
                    </m:r>
                  </m:e>
                </m:d>
                <m:r>
                  <w:rPr>
                    <w:rFonts w:ascii="Cambria Math" w:hAnsi="Cambria Math"/>
                  </w:rPr>
                  <m:t xml:space="preserve"> </m:t>
                </m:r>
              </m:oMath>
            </m:oMathPara>
          </w:p>
        </w:tc>
        <w:tc>
          <w:tcPr>
            <w:tcW w:w="660" w:type="dxa"/>
          </w:tcPr>
          <w:p w14:paraId="7703EF57" w14:textId="151C96D2" w:rsidR="0057444F" w:rsidRPr="00704B67" w:rsidRDefault="0057444F" w:rsidP="00F40739">
            <w:pPr>
              <w:pStyle w:val="Els-body-text"/>
              <w:jc w:val="right"/>
              <w:rPr>
                <w:lang w:eastAsia="ko-KR"/>
              </w:rPr>
            </w:pPr>
            <w:r w:rsidRPr="00704B67">
              <w:rPr>
                <w:lang w:eastAsia="ko-KR"/>
              </w:rPr>
              <w:t>(6)</w:t>
            </w:r>
          </w:p>
        </w:tc>
      </w:tr>
      <w:tr w:rsidR="0057444F" w:rsidRPr="00704B67" w14:paraId="15DD57E2" w14:textId="77777777" w:rsidTr="00F40739">
        <w:tc>
          <w:tcPr>
            <w:tcW w:w="387" w:type="dxa"/>
          </w:tcPr>
          <w:p w14:paraId="534D24A0" w14:textId="77777777" w:rsidR="0057444F" w:rsidRPr="00704B67" w:rsidRDefault="0057444F" w:rsidP="00F40739">
            <w:pPr>
              <w:pStyle w:val="Els-body-text"/>
            </w:pPr>
          </w:p>
        </w:tc>
        <w:tc>
          <w:tcPr>
            <w:tcW w:w="6035" w:type="dxa"/>
          </w:tcPr>
          <w:p w14:paraId="5182F90C" w14:textId="0E3A3EC8" w:rsidR="0057444F" w:rsidRPr="00704B67" w:rsidRDefault="00000000" w:rsidP="00F40739">
            <w:pPr>
              <w:pStyle w:val="Els-body-text"/>
              <w:jc w:val="center"/>
              <w:rPr>
                <w:lang w:eastAsia="ko-KR"/>
              </w:rPr>
            </w:pPr>
            <m:oMathPara>
              <m:oMathParaPr>
                <m:jc m:val="center"/>
              </m:oMathParaPr>
              <m:oMath>
                <m:sSup>
                  <m:sSupPr>
                    <m:ctrlPr>
                      <w:rPr>
                        <w:rFonts w:ascii="Cambria Math" w:hAnsi="Cambria Math"/>
                        <w:i/>
                      </w:rPr>
                    </m:ctrlPr>
                  </m:sSupPr>
                  <m:e>
                    <m:r>
                      <w:rPr>
                        <w:rFonts w:ascii="Cambria Math" w:hAnsi="Cambria Math"/>
                      </w:rPr>
                      <m:t>Li</m:t>
                    </m:r>
                  </m:e>
                  <m:sup>
                    <m:r>
                      <w:rPr>
                        <w:rFonts w:ascii="Cambria Math" w:hAnsi="Cambria Math"/>
                      </w:rPr>
                      <m:t>+</m:t>
                    </m:r>
                  </m:sup>
                </m:sSup>
                <m:d>
                  <m:dPr>
                    <m:ctrlPr>
                      <w:rPr>
                        <w:rFonts w:ascii="Cambria Math" w:hAnsi="Cambria Math"/>
                        <w:i/>
                      </w:rPr>
                    </m:ctrlPr>
                  </m:dPr>
                  <m:e>
                    <m:r>
                      <w:rPr>
                        <w:rFonts w:ascii="Cambria Math" w:hAnsi="Cambria Math"/>
                      </w:rPr>
                      <m:t>aq</m:t>
                    </m:r>
                  </m:e>
                </m:d>
                <m:r>
                  <w:rPr>
                    <w:rFonts w:ascii="Cambria Math" w:hAnsi="Cambria Math"/>
                  </w:rPr>
                  <m:t>+</m:t>
                </m:r>
                <m:sSup>
                  <m:sSupPr>
                    <m:ctrlPr>
                      <w:rPr>
                        <w:rFonts w:ascii="Cambria Math" w:hAnsi="Cambria Math"/>
                        <w:i/>
                      </w:rPr>
                    </m:ctrlPr>
                  </m:sSupPr>
                  <m:e>
                    <m:r>
                      <w:rPr>
                        <w:rFonts w:ascii="Cambria Math" w:hAnsi="Cambria Math"/>
                      </w:rPr>
                      <m:t>OH</m:t>
                    </m:r>
                  </m:e>
                  <m:sup>
                    <m:r>
                      <w:rPr>
                        <w:rFonts w:ascii="Cambria Math" w:hAnsi="Cambria Math"/>
                      </w:rPr>
                      <m:t>-</m:t>
                    </m:r>
                  </m:sup>
                </m:sSup>
                <m:d>
                  <m:dPr>
                    <m:ctrlPr>
                      <w:rPr>
                        <w:rFonts w:ascii="Cambria Math" w:hAnsi="Cambria Math"/>
                        <w:i/>
                      </w:rPr>
                    </m:ctrlPr>
                  </m:dPr>
                  <m:e>
                    <m:r>
                      <w:rPr>
                        <w:rFonts w:ascii="Cambria Math" w:hAnsi="Cambria Math"/>
                      </w:rPr>
                      <m:t>aq</m:t>
                    </m: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O(l)→LiOH∙</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
                  <m:dPr>
                    <m:ctrlPr>
                      <w:rPr>
                        <w:rFonts w:ascii="Cambria Math" w:hAnsi="Cambria Math"/>
                        <w:i/>
                      </w:rPr>
                    </m:ctrlPr>
                  </m:dPr>
                  <m:e>
                    <m:r>
                      <w:rPr>
                        <w:rFonts w:ascii="Cambria Math" w:hAnsi="Cambria Math"/>
                      </w:rPr>
                      <m:t>s</m:t>
                    </m:r>
                  </m:e>
                </m:d>
                <m:r>
                  <w:rPr>
                    <w:rFonts w:ascii="Cambria Math" w:hAnsi="Cambria Math"/>
                  </w:rPr>
                  <m:t xml:space="preserve"> </m:t>
                </m:r>
              </m:oMath>
            </m:oMathPara>
          </w:p>
        </w:tc>
        <w:tc>
          <w:tcPr>
            <w:tcW w:w="660" w:type="dxa"/>
          </w:tcPr>
          <w:p w14:paraId="289922EB" w14:textId="222C05D7" w:rsidR="0057444F" w:rsidRPr="00704B67" w:rsidRDefault="0057444F" w:rsidP="00F40739">
            <w:pPr>
              <w:pStyle w:val="Els-body-text"/>
              <w:jc w:val="right"/>
              <w:rPr>
                <w:lang w:eastAsia="ko-KR"/>
              </w:rPr>
            </w:pPr>
            <w:r w:rsidRPr="00704B67">
              <w:rPr>
                <w:lang w:eastAsia="ko-KR"/>
              </w:rPr>
              <w:t>(7)</w:t>
            </w:r>
          </w:p>
        </w:tc>
      </w:tr>
    </w:tbl>
    <w:p w14:paraId="2319C3E6" w14:textId="77777777" w:rsidR="00FA120E" w:rsidRPr="00704B67" w:rsidRDefault="00FA120E" w:rsidP="00907983">
      <w:pPr>
        <w:pStyle w:val="Els-body-text"/>
      </w:pPr>
    </w:p>
    <w:p w14:paraId="0212EEC6" w14:textId="17321F1D" w:rsidR="00907983" w:rsidRPr="00704B67" w:rsidRDefault="00907983" w:rsidP="00907983">
      <w:pPr>
        <w:pStyle w:val="Els-3rdorder-head"/>
      </w:pPr>
      <w:r w:rsidRPr="00704B67">
        <w:t>NMC precursor crystallization</w:t>
      </w:r>
    </w:p>
    <w:p w14:paraId="5CB2CD6B" w14:textId="3D8345BD" w:rsidR="00B55076" w:rsidRPr="00704B67" w:rsidRDefault="00C71EE9" w:rsidP="00907983">
      <w:pPr>
        <w:pStyle w:val="Els-body-text"/>
      </w:pPr>
      <w:r w:rsidRPr="00704B67">
        <w:t>In NMC precursor crystallization, mathematical modeling through population balance equation (PBE) approach is applied.</w:t>
      </w:r>
      <w:r w:rsidR="004F1583" w:rsidRPr="00704B67">
        <w:t xml:space="preserve"> In this approach, the evolution of the crystal size distribution is calculated by the </w:t>
      </w:r>
      <w:r w:rsidR="00A92122" w:rsidRPr="00704B67">
        <w:t xml:space="preserve">particle growth rate </w:t>
      </w:r>
      <w:r w:rsidR="00A92122" w:rsidRPr="00704B67">
        <w:rPr>
          <w:lang w:eastAsia="ko-KR"/>
        </w:rPr>
        <w:t>and</w:t>
      </w:r>
      <w:r w:rsidR="00A92122" w:rsidRPr="00704B67">
        <w:t xml:space="preserve"> </w:t>
      </w:r>
      <w:r w:rsidR="004F1583" w:rsidRPr="00704B67">
        <w:t xml:space="preserve">nucleation rate </w:t>
      </w:r>
      <w:r w:rsidR="00B55076" w:rsidRPr="00704B67">
        <w:rPr>
          <w:lang w:eastAsia="ko-KR"/>
        </w:rPr>
        <w:t>as</w:t>
      </w:r>
      <w:r w:rsidR="00B55076" w:rsidRPr="00704B67">
        <w:t xml:space="preserve"> </w:t>
      </w:r>
      <w:r w:rsidR="00B55076" w:rsidRPr="00704B67">
        <w:rPr>
          <w:lang w:eastAsia="ko-KR"/>
        </w:rPr>
        <w:t>shown</w:t>
      </w:r>
      <w:r w:rsidR="00B55076" w:rsidRPr="00704B67">
        <w:t xml:space="preserve"> </w:t>
      </w:r>
      <w:r w:rsidR="00B55076" w:rsidRPr="00704B67">
        <w:rPr>
          <w:lang w:eastAsia="ko-KR"/>
        </w:rPr>
        <w:t>in</w:t>
      </w:r>
      <w:r w:rsidR="00B55076" w:rsidRPr="00704B67">
        <w:t xml:space="preserve"> </w:t>
      </w:r>
      <w:r w:rsidR="00B55076" w:rsidRPr="00704B67">
        <w:rPr>
          <w:lang w:eastAsia="ko-KR"/>
        </w:rPr>
        <w:t>Eq</w:t>
      </w:r>
      <w:r w:rsidR="00644A82" w:rsidRPr="00704B67">
        <w:rPr>
          <w:lang w:eastAsia="ko-KR"/>
        </w:rPr>
        <w:t>.</w:t>
      </w:r>
      <w:r w:rsidR="00644A82" w:rsidRPr="00704B67">
        <w:t xml:space="preserve"> </w:t>
      </w:r>
      <w:r w:rsidR="00B55076" w:rsidRPr="00704B67">
        <w:rPr>
          <w:lang w:eastAsia="ko-KR"/>
        </w:rPr>
        <w:t>(8)</w:t>
      </w:r>
      <w:r w:rsidR="004F1583" w:rsidRPr="00704B67">
        <w:t xml:space="preserve">. </w:t>
      </w:r>
      <w:r w:rsidR="00E97E9A" w:rsidRPr="00704B67">
        <w:t xml:space="preserve">Then, mass balance and energy balance equation </w:t>
      </w:r>
      <w:r w:rsidR="00E97E9A" w:rsidRPr="00704B67">
        <w:rPr>
          <w:lang w:eastAsia="ko-KR"/>
        </w:rPr>
        <w:t>are</w:t>
      </w:r>
      <w:r w:rsidR="00E97E9A" w:rsidRPr="00704B67">
        <w:t xml:space="preserve"> integrated with the PBE and solved iteratively in time steps.</w:t>
      </w:r>
    </w:p>
    <w:p w14:paraId="38112CA8" w14:textId="77777777" w:rsidR="00B55076" w:rsidRPr="00704B67" w:rsidRDefault="00B55076" w:rsidP="00907983">
      <w:pPr>
        <w:pStyle w:val="Els-body-tex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B55076" w:rsidRPr="00704B67" w14:paraId="4BD0DCD0" w14:textId="77777777" w:rsidTr="00BA4DAB">
        <w:tc>
          <w:tcPr>
            <w:tcW w:w="387" w:type="dxa"/>
          </w:tcPr>
          <w:p w14:paraId="2CE9C029" w14:textId="77777777" w:rsidR="00B55076" w:rsidRPr="00704B67" w:rsidRDefault="00B55076" w:rsidP="00BA4DAB">
            <w:pPr>
              <w:pStyle w:val="Els-body-text"/>
            </w:pPr>
          </w:p>
        </w:tc>
        <w:tc>
          <w:tcPr>
            <w:tcW w:w="6035" w:type="dxa"/>
          </w:tcPr>
          <w:p w14:paraId="1E7DBE83" w14:textId="69287307" w:rsidR="00B55076" w:rsidRPr="00704B67" w:rsidRDefault="00000000" w:rsidP="00BA4DAB">
            <w:pPr>
              <w:pStyle w:val="Els-body-text"/>
              <w:jc w:val="center"/>
              <w:rPr>
                <w:lang w:eastAsia="ko-KR"/>
              </w:rPr>
            </w:pPr>
            <m:oMathPara>
              <m:oMathParaPr>
                <m:jc m:val="center"/>
              </m:oMathParaPr>
              <m:oMath>
                <m:f>
                  <m:fPr>
                    <m:ctrlPr>
                      <w:rPr>
                        <w:rFonts w:ascii="Cambria Math" w:hAnsi="Cambria Math"/>
                        <w:i/>
                      </w:rPr>
                    </m:ctrlPr>
                  </m:fPr>
                  <m:num>
                    <m:r>
                      <w:rPr>
                        <w:rFonts w:ascii="Cambria Math" w:hAnsi="Cambria Math"/>
                      </w:rPr>
                      <m:t>∂Vf(L,t)</m:t>
                    </m:r>
                  </m:num>
                  <m:den>
                    <m:r>
                      <w:rPr>
                        <w:rFonts w:ascii="Cambria Math" w:hAnsi="Cambria Math"/>
                      </w:rPr>
                      <m:t>∂t</m:t>
                    </m:r>
                  </m:den>
                </m:f>
                <m:r>
                  <w:rPr>
                    <w:rFonts w:ascii="Cambria Math" w:hAnsi="Cambria Math"/>
                  </w:rPr>
                  <m:t xml:space="preserve"> + V</m:t>
                </m:r>
                <m:f>
                  <m:fPr>
                    <m:ctrlPr>
                      <w:rPr>
                        <w:rFonts w:ascii="Cambria Math" w:hAnsi="Cambria Math"/>
                        <w:i/>
                      </w:rPr>
                    </m:ctrlPr>
                  </m:fPr>
                  <m:num>
                    <m:r>
                      <w:rPr>
                        <w:rFonts w:ascii="Cambria Math" w:hAnsi="Cambria Math"/>
                      </w:rPr>
                      <m:t>∂[G</m:t>
                    </m:r>
                    <m:d>
                      <m:dPr>
                        <m:ctrlPr>
                          <w:rPr>
                            <w:rFonts w:ascii="Cambria Math" w:hAnsi="Cambria Math"/>
                            <w:i/>
                          </w:rPr>
                        </m:ctrlPr>
                      </m:dPr>
                      <m:e>
                        <m:r>
                          <w:rPr>
                            <w:rFonts w:ascii="Cambria Math" w:hAnsi="Cambria Math"/>
                          </w:rPr>
                          <m:t>L</m:t>
                        </m:r>
                      </m:e>
                    </m:d>
                    <m:r>
                      <w:rPr>
                        <w:rFonts w:ascii="Cambria Math" w:hAnsi="Cambria Math"/>
                      </w:rPr>
                      <m:t>f(L,t)]</m:t>
                    </m:r>
                  </m:num>
                  <m:den>
                    <m:r>
                      <w:rPr>
                        <w:rFonts w:ascii="Cambria Math" w:hAnsi="Cambria Math"/>
                      </w:rPr>
                      <m:t>∂L</m:t>
                    </m:r>
                  </m:den>
                </m:f>
                <m:r>
                  <w:rPr>
                    <w:rFonts w:ascii="Cambria Math" w:hAnsi="Cambria Math"/>
                  </w:rPr>
                  <m:t>=VBδ</m:t>
                </m:r>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L</m:t>
                        </m:r>
                      </m:e>
                      <m:sub>
                        <m:r>
                          <w:rPr>
                            <w:rFonts w:ascii="Cambria Math" w:hAnsi="Cambria Math"/>
                          </w:rPr>
                          <m:t>0</m:t>
                        </m:r>
                      </m:sub>
                    </m:sSub>
                  </m:e>
                </m:d>
                <m:r>
                  <w:rPr>
                    <w:rFonts w:ascii="Cambria Math" w:hAnsi="Cambria Math"/>
                  </w:rPr>
                  <m:t xml:space="preserve"> </m:t>
                </m:r>
              </m:oMath>
            </m:oMathPara>
          </w:p>
        </w:tc>
        <w:tc>
          <w:tcPr>
            <w:tcW w:w="660" w:type="dxa"/>
          </w:tcPr>
          <w:p w14:paraId="5902645B" w14:textId="0839E840" w:rsidR="00B55076" w:rsidRPr="00704B67" w:rsidRDefault="00B55076" w:rsidP="00BA4DAB">
            <w:pPr>
              <w:pStyle w:val="Els-body-text"/>
              <w:jc w:val="right"/>
              <w:rPr>
                <w:lang w:eastAsia="ko-KR"/>
              </w:rPr>
            </w:pPr>
            <w:r w:rsidRPr="00704B67">
              <w:rPr>
                <w:lang w:eastAsia="ko-KR"/>
              </w:rPr>
              <w:t>(8)</w:t>
            </w:r>
          </w:p>
        </w:tc>
      </w:tr>
    </w:tbl>
    <w:p w14:paraId="10E2099A" w14:textId="77777777" w:rsidR="00B55076" w:rsidRPr="00704B67" w:rsidRDefault="00B55076" w:rsidP="00907983">
      <w:pPr>
        <w:pStyle w:val="Els-body-text"/>
        <w:rPr>
          <w:lang w:val="en-GB"/>
        </w:rPr>
      </w:pPr>
    </w:p>
    <w:p w14:paraId="2497EADF" w14:textId="30EC9B5B" w:rsidR="00A92122" w:rsidRPr="00704B67" w:rsidRDefault="00A92122" w:rsidP="00907983">
      <w:pPr>
        <w:pStyle w:val="Els-body-text"/>
      </w:pPr>
      <w:r w:rsidRPr="00704B67">
        <w:rPr>
          <w:lang w:eastAsia="ko-KR"/>
        </w:rPr>
        <w:t>The</w:t>
      </w:r>
      <w:r w:rsidRPr="00704B67">
        <w:t xml:space="preserve"> particle growth rate </w:t>
      </w:r>
      <w:r w:rsidRPr="00704B67">
        <w:rPr>
          <w:lang w:eastAsia="ko-KR"/>
        </w:rPr>
        <w:t>is</w:t>
      </w:r>
      <w:r w:rsidRPr="00704B67">
        <w:t xml:space="preserve"> </w:t>
      </w:r>
      <w:r w:rsidRPr="00704B67">
        <w:rPr>
          <w:lang w:eastAsia="ko-KR"/>
        </w:rPr>
        <w:t>described</w:t>
      </w:r>
      <w:r w:rsidRPr="00704B67">
        <w:t xml:space="preserve"> </w:t>
      </w:r>
      <w:r w:rsidRPr="00704B67">
        <w:rPr>
          <w:lang w:eastAsia="ko-KR"/>
        </w:rPr>
        <w:t>as</w:t>
      </w:r>
      <w:r w:rsidRPr="00704B67">
        <w:t xml:space="preserve"> </w:t>
      </w:r>
      <w:r w:rsidRPr="00704B67">
        <w:rPr>
          <w:lang w:eastAsia="ko-KR"/>
        </w:rPr>
        <w:t>Eq</w:t>
      </w:r>
      <w:r w:rsidR="00644A82" w:rsidRPr="00704B67">
        <w:rPr>
          <w:lang w:eastAsia="ko-KR"/>
        </w:rPr>
        <w:t>.</w:t>
      </w:r>
      <w:r w:rsidRPr="00704B67">
        <w:t xml:space="preserve"> </w:t>
      </w:r>
      <w:r w:rsidRPr="00704B67">
        <w:rPr>
          <w:lang w:eastAsia="ko-KR"/>
        </w:rPr>
        <w:t>(9),</w:t>
      </w:r>
      <w:r w:rsidRPr="00704B67">
        <w:t xml:space="preserve"> </w:t>
      </w:r>
      <w:r w:rsidRPr="00704B67">
        <w:rPr>
          <w:lang w:eastAsia="ko-KR"/>
        </w:rPr>
        <w:t>and</w:t>
      </w:r>
      <w:r w:rsidRPr="00704B67">
        <w:t xml:space="preserve"> nucleation rate </w:t>
      </w:r>
      <w:r w:rsidRPr="00704B67">
        <w:rPr>
          <w:lang w:eastAsia="ko-KR"/>
        </w:rPr>
        <w:t>is</w:t>
      </w:r>
      <w:r w:rsidRPr="00704B67">
        <w:t xml:space="preserve"> </w:t>
      </w:r>
      <w:r w:rsidRPr="00704B67">
        <w:rPr>
          <w:lang w:eastAsia="ko-KR"/>
        </w:rPr>
        <w:t>expressed</w:t>
      </w:r>
      <w:r w:rsidRPr="00704B67">
        <w:t xml:space="preserve"> </w:t>
      </w:r>
      <w:r w:rsidRPr="00704B67">
        <w:rPr>
          <w:lang w:eastAsia="ko-KR"/>
        </w:rPr>
        <w:t>by</w:t>
      </w:r>
      <w:r w:rsidRPr="00704B67">
        <w:t xml:space="preserve"> </w:t>
      </w:r>
      <w:r w:rsidRPr="00704B67">
        <w:rPr>
          <w:lang w:eastAsia="ko-KR"/>
        </w:rPr>
        <w:t>Eq</w:t>
      </w:r>
      <w:r w:rsidR="00644A82" w:rsidRPr="00704B67">
        <w:rPr>
          <w:lang w:eastAsia="ko-KR"/>
        </w:rPr>
        <w:t>.</w:t>
      </w:r>
      <w:r w:rsidR="00644A82" w:rsidRPr="00704B67">
        <w:t xml:space="preserve"> </w:t>
      </w:r>
      <w:r w:rsidRPr="00704B67">
        <w:rPr>
          <w:lang w:eastAsia="ko-KR"/>
        </w:rPr>
        <w:t xml:space="preserve">(10). </w:t>
      </w:r>
    </w:p>
    <w:p w14:paraId="5B296D8D" w14:textId="77777777" w:rsidR="00B55076" w:rsidRPr="00704B67" w:rsidRDefault="00B55076" w:rsidP="00907983">
      <w:pPr>
        <w:pStyle w:val="Els-body-tex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B55076" w:rsidRPr="00704B67" w14:paraId="57D77356" w14:textId="77777777" w:rsidTr="00BA4DAB">
        <w:tc>
          <w:tcPr>
            <w:tcW w:w="387" w:type="dxa"/>
          </w:tcPr>
          <w:p w14:paraId="6C91790C" w14:textId="77777777" w:rsidR="00B55076" w:rsidRPr="00704B67" w:rsidRDefault="00B55076" w:rsidP="00BA4DAB">
            <w:pPr>
              <w:pStyle w:val="Els-body-text"/>
            </w:pPr>
            <w:bookmarkStart w:id="5" w:name="_Hlk151993451"/>
          </w:p>
        </w:tc>
        <w:tc>
          <w:tcPr>
            <w:tcW w:w="6035" w:type="dxa"/>
          </w:tcPr>
          <w:p w14:paraId="23DDBBB8" w14:textId="1C598A18" w:rsidR="00B55076" w:rsidRPr="00704B67" w:rsidRDefault="00A92122" w:rsidP="00BA4DAB">
            <w:pPr>
              <w:pStyle w:val="Els-body-text"/>
              <w:jc w:val="center"/>
              <w:rPr>
                <w:lang w:eastAsia="ko-KR"/>
              </w:rPr>
            </w:pPr>
            <m:oMathPara>
              <m:oMathParaPr>
                <m:jc m:val="center"/>
              </m:oMathParaPr>
              <m:oMath>
                <m:r>
                  <w:rPr>
                    <w:rFonts w:ascii="Cambria Math" w:hAnsi="Cambria Math"/>
                  </w:rPr>
                  <m:t>G</m:t>
                </m:r>
                <m:d>
                  <m:dPr>
                    <m:ctrlPr>
                      <w:rPr>
                        <w:rFonts w:ascii="Cambria Math" w:hAnsi="Cambria Math"/>
                        <w:i/>
                      </w:rPr>
                    </m:ctrlPr>
                  </m:dPr>
                  <m:e>
                    <m:r>
                      <w:rPr>
                        <w:rFonts w:ascii="Cambria Math" w:hAnsi="Cambria Math"/>
                      </w:rPr>
                      <m:t>L</m:t>
                    </m:r>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0</m:t>
                    </m:r>
                  </m:sub>
                </m:sSub>
                <m:func>
                  <m:funcPr>
                    <m:ctrlPr>
                      <w:rPr>
                        <w:rFonts w:ascii="Cambria Math" w:hAnsi="Cambria Math"/>
                        <w:i/>
                      </w:rPr>
                    </m:ctrlPr>
                  </m:funcPr>
                  <m:fName>
                    <m:r>
                      <w:rPr>
                        <w:rFonts w:ascii="Cambria Math" w:hAnsi="Cambria Math"/>
                      </w:rPr>
                      <m:t>exp</m:t>
                    </m:r>
                  </m:fName>
                  <m:e>
                    <m:d>
                      <m:dPr>
                        <m:ctrlPr>
                          <w:rPr>
                            <w:rFonts w:ascii="Cambria Math" w:hAnsi="Cambria Math"/>
                            <w:i/>
                          </w:rPr>
                        </m:ctrlPr>
                      </m:dPr>
                      <m:e>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g</m:t>
                                </m:r>
                              </m:sub>
                            </m:sSub>
                          </m:num>
                          <m:den>
                            <m:r>
                              <w:rPr>
                                <w:rFonts w:ascii="Cambria Math" w:hAnsi="Cambria Math"/>
                              </w:rPr>
                              <m:t>RT</m:t>
                            </m:r>
                          </m:den>
                        </m:f>
                      </m:e>
                    </m:d>
                  </m:e>
                </m:func>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m:t>
                        </m:r>
                      </m:e>
                    </m:d>
                  </m:e>
                  <m:sup>
                    <m:sSub>
                      <m:sSubPr>
                        <m:ctrlPr>
                          <w:rPr>
                            <w:rFonts w:ascii="Cambria Math" w:hAnsi="Cambria Math"/>
                            <w:i/>
                          </w:rPr>
                        </m:ctrlPr>
                      </m:sSubPr>
                      <m:e>
                        <m:r>
                          <w:rPr>
                            <w:rFonts w:ascii="Cambria Math" w:hAnsi="Cambria Math"/>
                          </w:rPr>
                          <m:t>k</m:t>
                        </m:r>
                      </m:e>
                      <m:sub>
                        <m:r>
                          <w:rPr>
                            <w:rFonts w:ascii="Cambria Math" w:hAnsi="Cambria Math"/>
                          </w:rPr>
                          <m:t>2</m:t>
                        </m:r>
                      </m:sub>
                    </m:sSub>
                  </m:sup>
                </m:sSup>
                <m:sSup>
                  <m:sSupPr>
                    <m:ctrlPr>
                      <w:rPr>
                        <w:rFonts w:ascii="Cambria Math" w:hAnsi="Cambria Math"/>
                        <w:i/>
                      </w:rPr>
                    </m:ctrlPr>
                  </m:sSupPr>
                  <m:e>
                    <m:d>
                      <m:dPr>
                        <m:ctrlPr>
                          <w:rPr>
                            <w:rFonts w:ascii="Cambria Math" w:hAnsi="Cambria Math"/>
                            <w:i/>
                          </w:rPr>
                        </m:ctrlPr>
                      </m:dPr>
                      <m:e>
                        <m:r>
                          <w:rPr>
                            <w:rFonts w:ascii="Cambria Math" w:hAnsi="Cambria Math"/>
                          </w:rPr>
                          <m:t>S-1</m:t>
                        </m:r>
                      </m:e>
                    </m:d>
                  </m:e>
                  <m:sup>
                    <m:r>
                      <w:rPr>
                        <w:rFonts w:ascii="Cambria Math" w:hAnsi="Cambria Math"/>
                      </w:rPr>
                      <m:t>α</m:t>
                    </m:r>
                  </m:sup>
                </m:sSup>
              </m:oMath>
            </m:oMathPara>
          </w:p>
        </w:tc>
        <w:tc>
          <w:tcPr>
            <w:tcW w:w="660" w:type="dxa"/>
          </w:tcPr>
          <w:p w14:paraId="0C774D26" w14:textId="5E1A28DD" w:rsidR="00B55076" w:rsidRPr="00704B67" w:rsidRDefault="00B55076" w:rsidP="00BA4DAB">
            <w:pPr>
              <w:pStyle w:val="Els-body-text"/>
              <w:jc w:val="right"/>
              <w:rPr>
                <w:lang w:eastAsia="ko-KR"/>
              </w:rPr>
            </w:pPr>
            <w:r w:rsidRPr="00704B67">
              <w:rPr>
                <w:lang w:eastAsia="ko-KR"/>
              </w:rPr>
              <w:t>(9)</w:t>
            </w:r>
          </w:p>
        </w:tc>
      </w:tr>
      <w:bookmarkEnd w:id="5"/>
    </w:tbl>
    <w:p w14:paraId="367CC2DB" w14:textId="77777777" w:rsidR="00B55076" w:rsidRPr="00704B67" w:rsidRDefault="00B55076" w:rsidP="00907983">
      <w:pPr>
        <w:pStyle w:val="Els-body-tex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4F0509" w:rsidRPr="00704B67" w14:paraId="774DC4F0" w14:textId="77777777" w:rsidTr="00BA4DAB">
        <w:tc>
          <w:tcPr>
            <w:tcW w:w="387" w:type="dxa"/>
          </w:tcPr>
          <w:p w14:paraId="6A79D5DA" w14:textId="77777777" w:rsidR="00A92122" w:rsidRPr="00704B67" w:rsidRDefault="00A92122" w:rsidP="00BA4DAB">
            <w:pPr>
              <w:pStyle w:val="Els-body-text"/>
            </w:pPr>
          </w:p>
        </w:tc>
        <w:tc>
          <w:tcPr>
            <w:tcW w:w="6035" w:type="dxa"/>
          </w:tcPr>
          <w:p w14:paraId="5F0DF265" w14:textId="50EFF115" w:rsidR="00A92122" w:rsidRPr="00704B67" w:rsidRDefault="00A92122" w:rsidP="00BA4DAB">
            <w:pPr>
              <w:pStyle w:val="Els-body-text"/>
              <w:jc w:val="center"/>
              <w:rPr>
                <w:lang w:eastAsia="ko-KR"/>
              </w:rPr>
            </w:pPr>
            <m:oMathPara>
              <m:oMathParaPr>
                <m:jc m:val="center"/>
              </m:oMathParaPr>
              <m:oMath>
                <m:r>
                  <w:rPr>
                    <w:rFonts w:ascii="Cambria Math" w:hAnsi="Cambria Math"/>
                  </w:rPr>
                  <m:t xml:space="preserve">B= </m:t>
                </m:r>
                <m:sSub>
                  <m:sSubPr>
                    <m:ctrlPr>
                      <w:rPr>
                        <w:rFonts w:ascii="Cambria Math" w:hAnsi="Cambria Math"/>
                        <w:i/>
                      </w:rPr>
                    </m:ctrlPr>
                  </m:sSubPr>
                  <m:e>
                    <m:r>
                      <w:rPr>
                        <w:rFonts w:ascii="Cambria Math" w:hAnsi="Cambria Math"/>
                      </w:rPr>
                      <m:t>k</m:t>
                    </m:r>
                  </m:e>
                  <m:sub>
                    <m:r>
                      <w:rPr>
                        <w:rFonts w:ascii="Cambria Math" w:hAnsi="Cambria Math"/>
                      </w:rPr>
                      <m:t>b</m:t>
                    </m:r>
                  </m:sub>
                </m:sSub>
                <m:sSup>
                  <m:sSupPr>
                    <m:ctrlPr>
                      <w:rPr>
                        <w:rFonts w:ascii="Cambria Math" w:hAnsi="Cambria Math"/>
                        <w:i/>
                      </w:rPr>
                    </m:ctrlPr>
                  </m:sSupPr>
                  <m:e>
                    <m:d>
                      <m:dPr>
                        <m:ctrlPr>
                          <w:rPr>
                            <w:rFonts w:ascii="Cambria Math" w:hAnsi="Cambria Math"/>
                            <w:i/>
                          </w:rPr>
                        </m:ctrlPr>
                      </m:dPr>
                      <m:e>
                        <m:r>
                          <w:rPr>
                            <w:rFonts w:ascii="Cambria Math" w:hAnsi="Cambria Math"/>
                          </w:rPr>
                          <m:t>S-1</m:t>
                        </m:r>
                      </m:e>
                    </m:d>
                  </m:e>
                  <m:sup>
                    <m:r>
                      <w:rPr>
                        <w:rFonts w:ascii="Cambria Math" w:hAnsi="Cambria Math"/>
                      </w:rPr>
                      <m:t>β</m:t>
                    </m:r>
                  </m:sup>
                </m:sSup>
              </m:oMath>
            </m:oMathPara>
          </w:p>
        </w:tc>
        <w:tc>
          <w:tcPr>
            <w:tcW w:w="660" w:type="dxa"/>
          </w:tcPr>
          <w:p w14:paraId="3519039B" w14:textId="5EFE7421" w:rsidR="00A92122" w:rsidRPr="00704B67" w:rsidRDefault="00A92122" w:rsidP="00BA4DAB">
            <w:pPr>
              <w:pStyle w:val="Els-body-text"/>
              <w:jc w:val="right"/>
              <w:rPr>
                <w:lang w:eastAsia="ko-KR"/>
              </w:rPr>
            </w:pPr>
            <w:r w:rsidRPr="00704B67">
              <w:rPr>
                <w:lang w:eastAsia="ko-KR"/>
              </w:rPr>
              <w:t>(</w:t>
            </w:r>
            <w:r w:rsidR="005A3287" w:rsidRPr="00704B67">
              <w:rPr>
                <w:lang w:eastAsia="ko-KR"/>
              </w:rPr>
              <w:t>10</w:t>
            </w:r>
            <w:r w:rsidRPr="00704B67">
              <w:rPr>
                <w:lang w:eastAsia="ko-KR"/>
              </w:rPr>
              <w:t>)</w:t>
            </w:r>
          </w:p>
        </w:tc>
      </w:tr>
    </w:tbl>
    <w:p w14:paraId="1CE6087A" w14:textId="77777777" w:rsidR="00A92122" w:rsidRPr="00704B67" w:rsidRDefault="00A92122" w:rsidP="00907983">
      <w:pPr>
        <w:pStyle w:val="Els-body-text"/>
      </w:pPr>
    </w:p>
    <w:p w14:paraId="386E8592" w14:textId="06ACBCF6" w:rsidR="0057444F" w:rsidRPr="00704B67" w:rsidRDefault="00A92122" w:rsidP="00907983">
      <w:pPr>
        <w:pStyle w:val="Els-body-text"/>
      </w:pPr>
      <w:r w:rsidRPr="00704B67">
        <w:rPr>
          <w:lang w:eastAsia="ko-KR"/>
        </w:rPr>
        <w:t xml:space="preserve">Detailed parameter definitions and ranges </w:t>
      </w:r>
      <w:r w:rsidR="005A3287" w:rsidRPr="00704B67">
        <w:rPr>
          <w:lang w:eastAsia="ko-KR"/>
        </w:rPr>
        <w:t xml:space="preserve">of Eq. (8-10) </w:t>
      </w:r>
      <w:r w:rsidRPr="00704B67">
        <w:rPr>
          <w:lang w:eastAsia="ko-KR"/>
        </w:rPr>
        <w:t>can be referred to in the study by Hu, Q et al.</w:t>
      </w:r>
    </w:p>
    <w:p w14:paraId="0DDBB715" w14:textId="00105CA9" w:rsidR="00907983" w:rsidRPr="00704B67" w:rsidRDefault="00907983" w:rsidP="00907983">
      <w:pPr>
        <w:pStyle w:val="Els-3rdorder-head"/>
      </w:pPr>
      <w:r w:rsidRPr="00704B67">
        <w:t>Wastewater electrolysis</w:t>
      </w:r>
    </w:p>
    <w:p w14:paraId="4A0F60C9" w14:textId="5690263D" w:rsidR="00907983" w:rsidRPr="00704B67" w:rsidRDefault="00C0095D" w:rsidP="00907983">
      <w:pPr>
        <w:pStyle w:val="Els-body-text"/>
      </w:pPr>
      <w:r w:rsidRPr="00704B67">
        <w:rPr>
          <w:lang w:eastAsia="ko-KR"/>
        </w:rPr>
        <w:t xml:space="preserve">After </w:t>
      </w:r>
      <w:r w:rsidR="000B3432" w:rsidRPr="00704B67">
        <w:rPr>
          <w:lang w:eastAsia="ko-KR"/>
        </w:rPr>
        <w:t xml:space="preserve">NMC precursor </w:t>
      </w:r>
      <w:r w:rsidRPr="00704B67">
        <w:rPr>
          <w:lang w:eastAsia="ko-KR"/>
        </w:rPr>
        <w:t>crystallization, the wastewater</w:t>
      </w:r>
      <w:r w:rsidR="000B3432" w:rsidRPr="00704B67">
        <w:rPr>
          <w:lang w:eastAsia="ko-KR"/>
        </w:rPr>
        <w:t xml:space="preserve"> </w:t>
      </w:r>
      <w:r w:rsidR="001C2C38" w:rsidRPr="00704B67">
        <w:rPr>
          <w:lang w:eastAsia="ko-KR"/>
        </w:rPr>
        <w:t xml:space="preserve">mainly </w:t>
      </w:r>
      <w:r w:rsidR="000B3432" w:rsidRPr="00704B67">
        <w:rPr>
          <w:lang w:eastAsia="ko-KR"/>
        </w:rPr>
        <w:t xml:space="preserve">composed of </w:t>
      </w:r>
      <w:r w:rsidR="000B3432" w:rsidRPr="00704B67">
        <w:t>sodium sulfate</w:t>
      </w:r>
      <w:r w:rsidRPr="00704B67">
        <w:rPr>
          <w:lang w:eastAsia="ko-KR"/>
        </w:rPr>
        <w:t xml:space="preserve"> is fed into the </w:t>
      </w:r>
      <w:r w:rsidR="00615D9F" w:rsidRPr="00704B67">
        <w:t>anion</w:t>
      </w:r>
      <w:r w:rsidR="001C2C38" w:rsidRPr="00704B67">
        <w:t>-</w:t>
      </w:r>
      <w:r w:rsidR="00615D9F" w:rsidRPr="00704B67">
        <w:t>exchange membrane</w:t>
      </w:r>
      <w:r w:rsidR="00B66A14" w:rsidRPr="00704B67">
        <w:t xml:space="preserve"> electrolysis</w:t>
      </w:r>
      <w:r w:rsidR="00615D9F" w:rsidRPr="00704B67">
        <w:t>.</w:t>
      </w:r>
      <w:r w:rsidR="00615D9F" w:rsidRPr="00704B67">
        <w:rPr>
          <w:lang w:eastAsia="ko-KR"/>
        </w:rPr>
        <w:t xml:space="preserve"> </w:t>
      </w:r>
      <w:r w:rsidRPr="00704B67">
        <w:t xml:space="preserve">Deionized water and </w:t>
      </w:r>
      <w:r w:rsidR="000B3432" w:rsidRPr="00704B67">
        <w:t>wastewater</w:t>
      </w:r>
      <w:r w:rsidRPr="00704B67">
        <w:t xml:space="preserve"> </w:t>
      </w:r>
      <w:r w:rsidR="000B3432" w:rsidRPr="00704B67">
        <w:t>are</w:t>
      </w:r>
      <w:r w:rsidRPr="00704B67">
        <w:t xml:space="preserve"> introduced into the anode and cathode compartments, respectively.</w:t>
      </w:r>
      <w:r w:rsidR="00AC0EB3" w:rsidRPr="00704B67">
        <w:t xml:space="preserve"> </w:t>
      </w:r>
      <w:r w:rsidR="00AC0EB3" w:rsidRPr="00704B67">
        <w:rPr>
          <w:lang w:val="en-GB"/>
        </w:rPr>
        <w:t xml:space="preserve">Applying voltage, the water splitting and anion diffusion through membranes leads to </w:t>
      </w:r>
      <w:r w:rsidR="00AC0EB3" w:rsidRPr="00704B67">
        <w:rPr>
          <w:lang w:val="en-GB" w:eastAsia="ko-KR"/>
        </w:rPr>
        <w:t>the</w:t>
      </w:r>
      <w:r w:rsidR="00AC0EB3" w:rsidRPr="00704B67">
        <w:rPr>
          <w:lang w:val="en-GB"/>
        </w:rPr>
        <w:t xml:space="preserve"> </w:t>
      </w:r>
      <w:r w:rsidR="00AC0EB3" w:rsidRPr="00704B67">
        <w:rPr>
          <w:lang w:val="en-GB" w:eastAsia="ko-KR"/>
        </w:rPr>
        <w:t>production</w:t>
      </w:r>
      <w:r w:rsidR="00AC0EB3" w:rsidRPr="00704B67">
        <w:rPr>
          <w:lang w:val="en-GB"/>
        </w:rPr>
        <w:t xml:space="preserve"> </w:t>
      </w:r>
      <w:r w:rsidR="00AC0EB3" w:rsidRPr="00704B67">
        <w:rPr>
          <w:lang w:val="en-GB" w:eastAsia="ko-KR"/>
        </w:rPr>
        <w:t>of</w:t>
      </w:r>
      <w:r w:rsidR="00AC0EB3" w:rsidRPr="00704B67">
        <w:rPr>
          <w:lang w:val="en-GB"/>
        </w:rPr>
        <w:t xml:space="preserve"> </w:t>
      </w:r>
      <w:r w:rsidR="00AC0EB3" w:rsidRPr="00704B67">
        <w:rPr>
          <w:lang w:val="en-GB" w:eastAsia="ko-KR"/>
        </w:rPr>
        <w:t>sodium</w:t>
      </w:r>
      <w:r w:rsidR="00AC0EB3" w:rsidRPr="00704B67">
        <w:rPr>
          <w:lang w:val="en-GB"/>
        </w:rPr>
        <w:t xml:space="preserve"> </w:t>
      </w:r>
      <w:r w:rsidR="00AC0EB3" w:rsidRPr="00704B67">
        <w:rPr>
          <w:lang w:val="en-GB" w:eastAsia="ko-KR"/>
        </w:rPr>
        <w:t>hydroxide</w:t>
      </w:r>
      <w:r w:rsidR="00AC0EB3" w:rsidRPr="00704B67">
        <w:rPr>
          <w:lang w:val="en-GB"/>
        </w:rPr>
        <w:t xml:space="preserve"> </w:t>
      </w:r>
      <w:r w:rsidR="00AC0EB3" w:rsidRPr="00704B67">
        <w:rPr>
          <w:lang w:val="en-GB" w:eastAsia="ko-KR"/>
        </w:rPr>
        <w:t>and</w:t>
      </w:r>
      <w:r w:rsidR="00AC0EB3" w:rsidRPr="00704B67">
        <w:rPr>
          <w:lang w:val="en-GB"/>
        </w:rPr>
        <w:t xml:space="preserve"> </w:t>
      </w:r>
      <w:r w:rsidR="00AC0EB3" w:rsidRPr="00704B67">
        <w:rPr>
          <w:lang w:val="en-GB" w:eastAsia="ko-KR"/>
        </w:rPr>
        <w:t>hydrogen</w:t>
      </w:r>
      <w:r w:rsidR="00AC0EB3" w:rsidRPr="00704B67">
        <w:rPr>
          <w:lang w:val="en-GB"/>
        </w:rPr>
        <w:t xml:space="preserve"> </w:t>
      </w:r>
      <w:r w:rsidR="00AC0EB3" w:rsidRPr="00704B67">
        <w:rPr>
          <w:lang w:val="en-GB" w:eastAsia="ko-KR"/>
        </w:rPr>
        <w:t>at</w:t>
      </w:r>
      <w:r w:rsidR="00AC0EB3" w:rsidRPr="00704B67">
        <w:rPr>
          <w:lang w:val="en-GB"/>
        </w:rPr>
        <w:t xml:space="preserve"> </w:t>
      </w:r>
      <w:r w:rsidR="00AC0EB3" w:rsidRPr="00704B67">
        <w:rPr>
          <w:lang w:val="en-GB" w:eastAsia="ko-KR"/>
        </w:rPr>
        <w:t>cathode</w:t>
      </w:r>
      <w:r w:rsidR="00AC0EB3" w:rsidRPr="00704B67">
        <w:rPr>
          <w:lang w:val="en-GB"/>
        </w:rPr>
        <w:t xml:space="preserve"> </w:t>
      </w:r>
      <w:r w:rsidR="00AC0EB3" w:rsidRPr="00704B67">
        <w:rPr>
          <w:lang w:val="en-GB" w:eastAsia="ko-KR"/>
        </w:rPr>
        <w:t>compartment</w:t>
      </w:r>
      <w:r w:rsidR="00AC0EB3" w:rsidRPr="00704B67">
        <w:rPr>
          <w:lang w:val="en-GB"/>
        </w:rPr>
        <w:t xml:space="preserve"> </w:t>
      </w:r>
      <w:r w:rsidR="00AC0EB3" w:rsidRPr="00704B67">
        <w:rPr>
          <w:lang w:val="en-GB" w:eastAsia="ko-KR"/>
        </w:rPr>
        <w:t>via</w:t>
      </w:r>
      <w:r w:rsidR="00AC0EB3" w:rsidRPr="00704B67">
        <w:rPr>
          <w:lang w:val="en-GB"/>
        </w:rPr>
        <w:t xml:space="preserve"> </w:t>
      </w:r>
      <w:r w:rsidR="00AC0EB3" w:rsidRPr="00704B67">
        <w:rPr>
          <w:lang w:val="en-GB" w:eastAsia="ko-KR"/>
        </w:rPr>
        <w:t>Eq.</w:t>
      </w:r>
      <w:r w:rsidR="00AC0EB3" w:rsidRPr="00704B67">
        <w:rPr>
          <w:lang w:val="en-GB"/>
        </w:rPr>
        <w:t xml:space="preserve"> </w:t>
      </w:r>
      <w:r w:rsidR="00AC0EB3" w:rsidRPr="00704B67">
        <w:rPr>
          <w:lang w:val="en-GB" w:eastAsia="ko-KR"/>
        </w:rPr>
        <w:t>(</w:t>
      </w:r>
      <w:r w:rsidR="00651B0D" w:rsidRPr="00704B67">
        <w:rPr>
          <w:lang w:val="en-GB" w:eastAsia="ko-KR"/>
        </w:rPr>
        <w:t>11</w:t>
      </w:r>
      <w:r w:rsidR="00AC0EB3" w:rsidRPr="00704B67">
        <w:rPr>
          <w:lang w:val="en-GB" w:eastAsia="ko-KR"/>
        </w:rPr>
        <w:t>),</w:t>
      </w:r>
      <w:r w:rsidR="00AC0EB3" w:rsidRPr="00704B67">
        <w:rPr>
          <w:lang w:val="en-GB"/>
        </w:rPr>
        <w:t xml:space="preserve"> </w:t>
      </w:r>
      <w:r w:rsidR="00AC0EB3" w:rsidRPr="00704B67">
        <w:rPr>
          <w:lang w:val="en-GB" w:eastAsia="ko-KR"/>
        </w:rPr>
        <w:t>and</w:t>
      </w:r>
      <w:r w:rsidR="00AC0EB3" w:rsidRPr="00704B67">
        <w:rPr>
          <w:lang w:val="en-GB"/>
        </w:rPr>
        <w:t xml:space="preserve"> </w:t>
      </w:r>
      <w:r w:rsidR="00AC0EB3" w:rsidRPr="00704B67">
        <w:rPr>
          <w:lang w:val="en-GB" w:eastAsia="ko-KR"/>
        </w:rPr>
        <w:t>sulfuric</w:t>
      </w:r>
      <w:r w:rsidR="00AC0EB3" w:rsidRPr="00704B67">
        <w:rPr>
          <w:lang w:val="en-GB"/>
        </w:rPr>
        <w:t xml:space="preserve"> </w:t>
      </w:r>
      <w:r w:rsidR="00AC0EB3" w:rsidRPr="00704B67">
        <w:rPr>
          <w:lang w:val="en-GB" w:eastAsia="ko-KR"/>
        </w:rPr>
        <w:t>acid</w:t>
      </w:r>
      <w:r w:rsidR="00AC0EB3" w:rsidRPr="00704B67">
        <w:rPr>
          <w:lang w:val="en-GB"/>
        </w:rPr>
        <w:t xml:space="preserve"> </w:t>
      </w:r>
      <w:r w:rsidR="00AC0EB3" w:rsidRPr="00704B67">
        <w:rPr>
          <w:lang w:val="en-GB" w:eastAsia="ko-KR"/>
        </w:rPr>
        <w:t>and</w:t>
      </w:r>
      <w:r w:rsidR="00AC0EB3" w:rsidRPr="00704B67">
        <w:rPr>
          <w:lang w:val="en-GB"/>
        </w:rPr>
        <w:t xml:space="preserve"> </w:t>
      </w:r>
      <w:r w:rsidR="00AC0EB3" w:rsidRPr="00704B67">
        <w:rPr>
          <w:lang w:val="en-GB" w:eastAsia="ko-KR"/>
        </w:rPr>
        <w:t>oxygen</w:t>
      </w:r>
      <w:r w:rsidR="00AC0EB3" w:rsidRPr="00704B67">
        <w:rPr>
          <w:lang w:val="en-GB"/>
        </w:rPr>
        <w:t xml:space="preserve"> </w:t>
      </w:r>
      <w:r w:rsidR="00AC0EB3" w:rsidRPr="00704B67">
        <w:rPr>
          <w:lang w:val="en-GB" w:eastAsia="ko-KR"/>
        </w:rPr>
        <w:t>at</w:t>
      </w:r>
      <w:r w:rsidR="00AC0EB3" w:rsidRPr="00704B67">
        <w:rPr>
          <w:lang w:val="en-GB"/>
        </w:rPr>
        <w:t xml:space="preserve"> </w:t>
      </w:r>
      <w:r w:rsidR="00AC0EB3" w:rsidRPr="00704B67">
        <w:rPr>
          <w:lang w:val="en-GB" w:eastAsia="ko-KR"/>
        </w:rPr>
        <w:t>anode</w:t>
      </w:r>
      <w:r w:rsidR="00AC0EB3" w:rsidRPr="00704B67">
        <w:rPr>
          <w:lang w:val="en-GB"/>
        </w:rPr>
        <w:t xml:space="preserve"> </w:t>
      </w:r>
      <w:r w:rsidR="00AC0EB3" w:rsidRPr="00704B67">
        <w:rPr>
          <w:lang w:val="en-GB" w:eastAsia="ko-KR"/>
        </w:rPr>
        <w:t>compartment</w:t>
      </w:r>
      <w:r w:rsidR="00AC0EB3" w:rsidRPr="00704B67">
        <w:rPr>
          <w:lang w:val="en-GB"/>
        </w:rPr>
        <w:t xml:space="preserve"> </w:t>
      </w:r>
      <w:r w:rsidR="00AC0EB3" w:rsidRPr="00704B67">
        <w:rPr>
          <w:lang w:val="en-GB" w:eastAsia="ko-KR"/>
        </w:rPr>
        <w:t>via</w:t>
      </w:r>
      <w:r w:rsidR="00AC0EB3" w:rsidRPr="00704B67">
        <w:rPr>
          <w:lang w:val="en-GB"/>
        </w:rPr>
        <w:t xml:space="preserve"> </w:t>
      </w:r>
      <w:r w:rsidR="00AC0EB3" w:rsidRPr="00704B67">
        <w:rPr>
          <w:lang w:val="en-GB" w:eastAsia="ko-KR"/>
        </w:rPr>
        <w:t>Eq.</w:t>
      </w:r>
      <w:r w:rsidR="00AC0EB3" w:rsidRPr="00704B67">
        <w:rPr>
          <w:lang w:val="en-GB"/>
        </w:rPr>
        <w:t xml:space="preserve"> </w:t>
      </w:r>
      <w:r w:rsidR="00AC0EB3" w:rsidRPr="00704B67">
        <w:rPr>
          <w:lang w:val="en-GB" w:eastAsia="ko-KR"/>
        </w:rPr>
        <w:t>(</w:t>
      </w:r>
      <w:r w:rsidR="00651B0D" w:rsidRPr="00704B67">
        <w:rPr>
          <w:lang w:val="en-GB" w:eastAsia="ko-KR"/>
        </w:rPr>
        <w:t>12</w:t>
      </w:r>
      <w:r w:rsidR="00AC0EB3" w:rsidRPr="00704B67">
        <w:rPr>
          <w:lang w:val="en-GB" w:eastAsia="ko-KR"/>
        </w:rPr>
        <w:t>).</w:t>
      </w:r>
      <w:r w:rsidRPr="00704B67">
        <w:t xml:space="preserve"> </w:t>
      </w:r>
    </w:p>
    <w:p w14:paraId="7138D004" w14:textId="77777777" w:rsidR="002945BD" w:rsidRPr="00704B67" w:rsidRDefault="002945BD" w:rsidP="00907983">
      <w:pPr>
        <w:pStyle w:val="Els-body-text"/>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2945BD" w:rsidRPr="00704B67" w14:paraId="2ABD6B7D" w14:textId="77777777" w:rsidTr="005A036B">
        <w:tc>
          <w:tcPr>
            <w:tcW w:w="387" w:type="dxa"/>
          </w:tcPr>
          <w:p w14:paraId="080A2745" w14:textId="77777777" w:rsidR="002945BD" w:rsidRPr="00704B67" w:rsidRDefault="002945BD" w:rsidP="005A036B">
            <w:pPr>
              <w:pStyle w:val="Els-body-text"/>
            </w:pPr>
          </w:p>
        </w:tc>
        <w:tc>
          <w:tcPr>
            <w:tcW w:w="6035" w:type="dxa"/>
          </w:tcPr>
          <w:p w14:paraId="089144FB" w14:textId="5B674790" w:rsidR="002945BD" w:rsidRPr="00704B67" w:rsidRDefault="002945BD" w:rsidP="005A036B">
            <w:pPr>
              <w:pStyle w:val="Els-body-text"/>
              <w:jc w:val="center"/>
              <w:rPr>
                <w:lang w:eastAsia="ko-KR"/>
              </w:rPr>
            </w:pPr>
            <m:oMathPara>
              <m:oMathParaPr>
                <m:jc m:val="center"/>
              </m:oMathParaPr>
              <m:oMath>
                <m:r>
                  <w:rPr>
                    <w:rFonts w:ascii="Cambria Math" w:hAnsi="Cambria Math"/>
                  </w:rPr>
                  <m:t>Cathode:2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O+2</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+2</m:t>
                </m:r>
                <m:sSup>
                  <m:sSupPr>
                    <m:ctrlPr>
                      <w:rPr>
                        <w:rFonts w:ascii="Cambria Math" w:hAnsi="Cambria Math"/>
                        <w:i/>
                      </w:rPr>
                    </m:ctrlPr>
                  </m:sSupPr>
                  <m:e>
                    <m:r>
                      <w:rPr>
                        <w:rFonts w:ascii="Cambria Math" w:hAnsi="Cambria Math"/>
                      </w:rPr>
                      <m:t>OH</m:t>
                    </m:r>
                  </m:e>
                  <m:sup>
                    <m:r>
                      <w:rPr>
                        <w:rFonts w:ascii="Cambria Math" w:hAnsi="Cambria Math"/>
                      </w:rPr>
                      <m:t>-</m:t>
                    </m:r>
                  </m:sup>
                </m:sSup>
              </m:oMath>
            </m:oMathPara>
          </w:p>
        </w:tc>
        <w:tc>
          <w:tcPr>
            <w:tcW w:w="660" w:type="dxa"/>
          </w:tcPr>
          <w:p w14:paraId="48100C87" w14:textId="7317D477" w:rsidR="002945BD" w:rsidRPr="00704B67" w:rsidRDefault="002945BD" w:rsidP="005A036B">
            <w:pPr>
              <w:pStyle w:val="Els-body-text"/>
              <w:jc w:val="right"/>
              <w:rPr>
                <w:lang w:eastAsia="ko-KR"/>
              </w:rPr>
            </w:pPr>
            <w:r w:rsidRPr="00704B67">
              <w:rPr>
                <w:lang w:eastAsia="ko-KR"/>
              </w:rPr>
              <w:t>(</w:t>
            </w:r>
            <w:r w:rsidR="00651B0D" w:rsidRPr="00704B67">
              <w:rPr>
                <w:lang w:eastAsia="ko-KR"/>
              </w:rPr>
              <w:t>11</w:t>
            </w:r>
            <w:r w:rsidRPr="00704B67">
              <w:rPr>
                <w:lang w:eastAsia="ko-KR"/>
              </w:rPr>
              <w:t>)</w:t>
            </w:r>
          </w:p>
        </w:tc>
      </w:tr>
    </w:tbl>
    <w:p w14:paraId="3FD16916" w14:textId="77777777" w:rsidR="002945BD" w:rsidRPr="00704B67" w:rsidRDefault="002945BD" w:rsidP="002945BD">
      <w:pPr>
        <w:pStyle w:val="Els-body-text"/>
        <w:rPr>
          <w:lang w:eastAsia="ko-KR"/>
        </w:rPr>
      </w:pPr>
    </w:p>
    <w:tbl>
      <w:tblPr>
        <w:tblStyle w:val="af0"/>
        <w:tblW w:w="7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6035"/>
        <w:gridCol w:w="660"/>
      </w:tblGrid>
      <w:tr w:rsidR="002945BD" w:rsidRPr="00704B67" w14:paraId="4C7C9CF8" w14:textId="77777777" w:rsidTr="005A036B">
        <w:tc>
          <w:tcPr>
            <w:tcW w:w="387" w:type="dxa"/>
          </w:tcPr>
          <w:p w14:paraId="5FB94031" w14:textId="77777777" w:rsidR="002945BD" w:rsidRPr="00704B67" w:rsidRDefault="002945BD" w:rsidP="005A036B">
            <w:pPr>
              <w:pStyle w:val="Els-body-text"/>
            </w:pPr>
          </w:p>
        </w:tc>
        <w:tc>
          <w:tcPr>
            <w:tcW w:w="6035" w:type="dxa"/>
          </w:tcPr>
          <w:p w14:paraId="60E0716A" w14:textId="5045BE36" w:rsidR="002945BD" w:rsidRPr="00704B67" w:rsidRDefault="002945BD" w:rsidP="005A036B">
            <w:pPr>
              <w:pStyle w:val="Els-body-text"/>
              <w:jc w:val="center"/>
              <w:rPr>
                <w:lang w:eastAsia="ko-KR"/>
              </w:rPr>
            </w:pPr>
            <m:oMathPara>
              <m:oMathParaPr>
                <m:jc m:val="center"/>
              </m:oMathParaPr>
              <m:oMath>
                <m:r>
                  <w:rPr>
                    <w:rFonts w:ascii="Cambria Math" w:hAnsi="Cambria Math"/>
                  </w:rPr>
                  <m:t>Anode:</m:t>
                </m:r>
                <m:sSub>
                  <m:sSubPr>
                    <m:ctrlPr>
                      <w:rPr>
                        <w:rFonts w:ascii="Cambria Math" w:hAnsi="Cambria Math"/>
                        <w:i/>
                      </w:rPr>
                    </m:ctrlPr>
                  </m:sSubPr>
                  <m:e>
                    <m:r>
                      <w:rPr>
                        <w:rFonts w:ascii="Cambria Math" w:hAnsi="Cambria Math"/>
                      </w:rPr>
                      <m:t>2H</m:t>
                    </m:r>
                  </m:e>
                  <m:sub>
                    <m:r>
                      <w:rPr>
                        <w:rFonts w:ascii="Cambria Math" w:hAnsi="Cambria Math"/>
                      </w:rPr>
                      <m:t>2</m:t>
                    </m:r>
                  </m:sub>
                </m:sSub>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+4</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tc>
        <w:tc>
          <w:tcPr>
            <w:tcW w:w="660" w:type="dxa"/>
          </w:tcPr>
          <w:p w14:paraId="1D6BD2A4" w14:textId="743EBF0E" w:rsidR="002945BD" w:rsidRPr="00704B67" w:rsidRDefault="002945BD" w:rsidP="005A036B">
            <w:pPr>
              <w:pStyle w:val="Els-body-text"/>
              <w:jc w:val="right"/>
              <w:rPr>
                <w:lang w:eastAsia="ko-KR"/>
              </w:rPr>
            </w:pPr>
            <w:r w:rsidRPr="00704B67">
              <w:rPr>
                <w:lang w:eastAsia="ko-KR"/>
              </w:rPr>
              <w:t>(</w:t>
            </w:r>
            <w:r w:rsidR="00651B0D" w:rsidRPr="00704B67">
              <w:rPr>
                <w:lang w:eastAsia="ko-KR"/>
              </w:rPr>
              <w:t>12</w:t>
            </w:r>
            <w:r w:rsidRPr="00704B67">
              <w:rPr>
                <w:lang w:eastAsia="ko-KR"/>
              </w:rPr>
              <w:t>)</w:t>
            </w:r>
          </w:p>
        </w:tc>
      </w:tr>
    </w:tbl>
    <w:p w14:paraId="506AE7EA" w14:textId="77777777" w:rsidR="000C349A" w:rsidRPr="00704B67" w:rsidRDefault="000C349A" w:rsidP="002945BD">
      <w:pPr>
        <w:pStyle w:val="Els-body-text"/>
        <w:rPr>
          <w:lang w:eastAsia="ko-KR"/>
        </w:rPr>
      </w:pPr>
    </w:p>
    <w:p w14:paraId="7965285D" w14:textId="26347698" w:rsidR="002945BD" w:rsidRPr="00704B67" w:rsidRDefault="001C2C38" w:rsidP="002945BD">
      <w:pPr>
        <w:pStyle w:val="Els-body-text"/>
        <w:rPr>
          <w:lang w:val="en-GB" w:eastAsia="ko-KR"/>
        </w:rPr>
      </w:pPr>
      <w:r w:rsidRPr="00704B67">
        <w:rPr>
          <w:lang w:eastAsia="ko-KR"/>
        </w:rPr>
        <w:t xml:space="preserve">The electrochemical model is applied for wastewater electrolysis. </w:t>
      </w:r>
      <w:r w:rsidR="000C349A" w:rsidRPr="00704B67">
        <w:rPr>
          <w:lang w:val="en-GB" w:eastAsia="ko-KR"/>
        </w:rPr>
        <w:t>The total cell voltage is defined in Eq. (1</w:t>
      </w:r>
      <w:r w:rsidR="00651B0D" w:rsidRPr="00704B67">
        <w:rPr>
          <w:lang w:val="en-GB" w:eastAsia="ko-KR"/>
        </w:rPr>
        <w:t>3</w:t>
      </w:r>
      <w:r w:rsidR="000C349A" w:rsidRPr="00704B67">
        <w:rPr>
          <w:lang w:val="en-GB" w:eastAsia="ko-KR"/>
        </w:rPr>
        <w:t>) as the sum of the reversible voltage, activation overpotential, and ohmic overpotential.</w:t>
      </w:r>
    </w:p>
    <w:p w14:paraId="5546FB2E" w14:textId="77777777" w:rsidR="007D4383" w:rsidRPr="00704B67" w:rsidRDefault="007D4383" w:rsidP="002945BD">
      <w:pPr>
        <w:pStyle w:val="Els-body-text"/>
        <w:rPr>
          <w:lang w:eastAsia="ko-KR"/>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953"/>
        <w:gridCol w:w="702"/>
      </w:tblGrid>
      <w:tr w:rsidR="002945BD" w:rsidRPr="00704B67" w14:paraId="5258BDBA" w14:textId="77777777" w:rsidTr="005A036B">
        <w:tc>
          <w:tcPr>
            <w:tcW w:w="421" w:type="dxa"/>
          </w:tcPr>
          <w:p w14:paraId="38CA7524" w14:textId="77777777" w:rsidR="002945BD" w:rsidRPr="00704B67" w:rsidRDefault="002945BD" w:rsidP="005A036B">
            <w:pPr>
              <w:pStyle w:val="Els-body-text"/>
              <w:rPr>
                <w:lang w:eastAsia="ko-KR"/>
              </w:rPr>
            </w:pPr>
          </w:p>
        </w:tc>
        <w:tc>
          <w:tcPr>
            <w:tcW w:w="5953" w:type="dxa"/>
          </w:tcPr>
          <w:p w14:paraId="49FCBB92" w14:textId="3071DEEA" w:rsidR="002945BD" w:rsidRPr="00704B67" w:rsidRDefault="002945BD" w:rsidP="005A036B">
            <w:pPr>
              <w:pStyle w:val="Els-body-text"/>
              <w:rPr>
                <w:i/>
                <w:lang w:eastAsia="ko-KR"/>
              </w:rPr>
            </w:pPr>
            <m:oMathPara>
              <m:oMathParaPr>
                <m:jc m:val="center"/>
              </m:oMathParaPr>
              <m:oMath>
                <m:r>
                  <w:rPr>
                    <w:rStyle w:val="af1"/>
                    <w:rFonts w:ascii="Cambria Math" w:hAnsi="Cambria Math"/>
                    <w:color w:val="auto"/>
                  </w:rPr>
                  <m:t>V=</m:t>
                </m:r>
                <m:sSub>
                  <m:sSubPr>
                    <m:ctrlPr>
                      <w:rPr>
                        <w:rStyle w:val="af1"/>
                        <w:rFonts w:ascii="Cambria Math" w:hAnsi="Cambria Math"/>
                        <w:i/>
                        <w:color w:val="auto"/>
                      </w:rPr>
                    </m:ctrlPr>
                  </m:sSubPr>
                  <m:e>
                    <m:r>
                      <w:rPr>
                        <w:rStyle w:val="af1"/>
                        <w:rFonts w:ascii="Cambria Math" w:hAnsi="Cambria Math"/>
                        <w:color w:val="auto"/>
                      </w:rPr>
                      <m:t>V</m:t>
                    </m:r>
                  </m:e>
                  <m:sub>
                    <m:r>
                      <w:rPr>
                        <w:rStyle w:val="af1"/>
                        <w:rFonts w:ascii="Cambria Math" w:hAnsi="Cambria Math"/>
                        <w:color w:val="auto"/>
                      </w:rPr>
                      <m:t>rev</m:t>
                    </m:r>
                  </m:sub>
                </m:sSub>
                <m:r>
                  <w:rPr>
                    <w:rStyle w:val="af1"/>
                    <w:rFonts w:ascii="Cambria Math" w:hAnsi="Cambria Math"/>
                    <w:color w:val="auto"/>
                  </w:rPr>
                  <m:t>+</m:t>
                </m:r>
                <m:sSub>
                  <m:sSubPr>
                    <m:ctrlPr>
                      <w:rPr>
                        <w:rStyle w:val="af1"/>
                        <w:rFonts w:ascii="Cambria Math" w:hAnsi="Cambria Math"/>
                        <w:i/>
                        <w:color w:val="auto"/>
                      </w:rPr>
                    </m:ctrlPr>
                  </m:sSubPr>
                  <m:e>
                    <m:r>
                      <w:rPr>
                        <w:rStyle w:val="af1"/>
                        <w:rFonts w:ascii="Cambria Math" w:hAnsi="Cambria Math"/>
                        <w:color w:val="auto"/>
                      </w:rPr>
                      <m:t>η</m:t>
                    </m:r>
                  </m:e>
                  <m:sub>
                    <m:r>
                      <w:rPr>
                        <w:rStyle w:val="af1"/>
                        <w:rFonts w:ascii="Cambria Math" w:hAnsi="Cambria Math"/>
                        <w:color w:val="auto"/>
                      </w:rPr>
                      <m:t>act</m:t>
                    </m:r>
                  </m:sub>
                </m:sSub>
                <m:r>
                  <w:rPr>
                    <w:rStyle w:val="af1"/>
                    <w:rFonts w:ascii="Cambria Math" w:hAnsi="Cambria Math"/>
                    <w:color w:val="auto"/>
                  </w:rPr>
                  <m:t>+</m:t>
                </m:r>
                <m:sSub>
                  <m:sSubPr>
                    <m:ctrlPr>
                      <w:rPr>
                        <w:rStyle w:val="af1"/>
                        <w:rFonts w:ascii="Cambria Math" w:hAnsi="Cambria Math"/>
                        <w:i/>
                        <w:color w:val="auto"/>
                      </w:rPr>
                    </m:ctrlPr>
                  </m:sSubPr>
                  <m:e>
                    <m:r>
                      <w:rPr>
                        <w:rStyle w:val="af1"/>
                        <w:rFonts w:ascii="Cambria Math" w:hAnsi="Cambria Math"/>
                        <w:color w:val="auto"/>
                      </w:rPr>
                      <m:t>η</m:t>
                    </m:r>
                  </m:e>
                  <m:sub>
                    <m:r>
                      <w:rPr>
                        <w:rStyle w:val="af1"/>
                        <w:rFonts w:ascii="Cambria Math" w:hAnsi="Cambria Math"/>
                        <w:color w:val="auto"/>
                      </w:rPr>
                      <m:t>Ohm</m:t>
                    </m:r>
                  </m:sub>
                </m:sSub>
              </m:oMath>
            </m:oMathPara>
          </w:p>
        </w:tc>
        <w:tc>
          <w:tcPr>
            <w:tcW w:w="702" w:type="dxa"/>
          </w:tcPr>
          <w:p w14:paraId="7FB4B38A" w14:textId="45B67E75" w:rsidR="002945BD" w:rsidRPr="00704B67" w:rsidRDefault="002945BD" w:rsidP="005A036B">
            <w:pPr>
              <w:pStyle w:val="Els-body-text"/>
              <w:jc w:val="right"/>
              <w:rPr>
                <w:lang w:eastAsia="ko-KR"/>
              </w:rPr>
            </w:pPr>
            <w:r w:rsidRPr="00704B67">
              <w:rPr>
                <w:lang w:eastAsia="ko-KR"/>
              </w:rPr>
              <w:t>(1</w:t>
            </w:r>
            <w:r w:rsidR="00651B0D" w:rsidRPr="00704B67">
              <w:rPr>
                <w:lang w:eastAsia="ko-KR"/>
              </w:rPr>
              <w:t>3</w:t>
            </w:r>
            <w:r w:rsidRPr="00704B67">
              <w:rPr>
                <w:lang w:eastAsia="ko-KR"/>
              </w:rPr>
              <w:t>)</w:t>
            </w:r>
          </w:p>
        </w:tc>
      </w:tr>
    </w:tbl>
    <w:p w14:paraId="28FAF1DA" w14:textId="77777777" w:rsidR="002945BD" w:rsidRPr="00704B67" w:rsidRDefault="002945BD" w:rsidP="002945BD">
      <w:pPr>
        <w:pStyle w:val="Els-body-text"/>
      </w:pPr>
    </w:p>
    <w:p w14:paraId="3E1CFF01" w14:textId="051E3529" w:rsidR="002945BD" w:rsidRPr="00704B67" w:rsidRDefault="002945BD" w:rsidP="002945BD">
      <w:pPr>
        <w:pStyle w:val="Els-body-text"/>
        <w:rPr>
          <w:lang w:eastAsia="ko-KR"/>
        </w:rPr>
      </w:pPr>
      <w:r w:rsidRPr="00704B67">
        <w:rPr>
          <w:lang w:eastAsia="ko-KR"/>
        </w:rPr>
        <w:t xml:space="preserve">The activation overpotential is related to the electrochemical reaction at the electrode and is expressed by the Butler-Volmer equation </w:t>
      </w:r>
      <w:r w:rsidR="001C2C38" w:rsidRPr="00704B67">
        <w:rPr>
          <w:lang w:eastAsia="ko-KR"/>
        </w:rPr>
        <w:t xml:space="preserve">in </w:t>
      </w:r>
      <w:r w:rsidRPr="00704B67">
        <w:rPr>
          <w:lang w:eastAsia="ko-KR"/>
        </w:rPr>
        <w:t>Eq. (1</w:t>
      </w:r>
      <w:r w:rsidR="00651B0D" w:rsidRPr="00704B67">
        <w:rPr>
          <w:lang w:eastAsia="ko-KR"/>
        </w:rPr>
        <w:t>4</w:t>
      </w:r>
      <w:r w:rsidRPr="00704B67">
        <w:rPr>
          <w:lang w:eastAsia="ko-KR"/>
        </w:rPr>
        <w:t>).</w:t>
      </w:r>
    </w:p>
    <w:p w14:paraId="796F95C9" w14:textId="77777777" w:rsidR="002945BD" w:rsidRPr="00704B67" w:rsidRDefault="002945BD" w:rsidP="002945BD">
      <w:pPr>
        <w:pStyle w:val="Els-body-text"/>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953"/>
        <w:gridCol w:w="702"/>
      </w:tblGrid>
      <w:tr w:rsidR="002945BD" w:rsidRPr="00704B67" w14:paraId="5B724AFD" w14:textId="77777777" w:rsidTr="009127F7">
        <w:trPr>
          <w:jc w:val="center"/>
        </w:trPr>
        <w:tc>
          <w:tcPr>
            <w:tcW w:w="421" w:type="dxa"/>
          </w:tcPr>
          <w:p w14:paraId="48D24AB6" w14:textId="77777777" w:rsidR="002945BD" w:rsidRPr="00704B67" w:rsidRDefault="002945BD" w:rsidP="005A036B">
            <w:pPr>
              <w:pStyle w:val="Els-body-text"/>
            </w:pPr>
          </w:p>
        </w:tc>
        <w:tc>
          <w:tcPr>
            <w:tcW w:w="5953" w:type="dxa"/>
          </w:tcPr>
          <w:p w14:paraId="46890A59" w14:textId="745A00A5" w:rsidR="002945BD" w:rsidRPr="00704B67" w:rsidRDefault="00000000" w:rsidP="009127F7">
            <w:pPr>
              <w:pStyle w:val="Els-body-text"/>
              <w:jc w:val="center"/>
              <w:rPr>
                <w:i/>
                <w:lang w:eastAsia="ko-KR"/>
              </w:rPr>
            </w:pPr>
            <m:oMathPara>
              <m:oMathParaPr>
                <m:jc m:val="center"/>
              </m:oMathParaPr>
              <m:oMath>
                <m:sSub>
                  <m:sSubPr>
                    <m:ctrlPr>
                      <w:rPr>
                        <w:rStyle w:val="af1"/>
                        <w:rFonts w:ascii="Cambria Math" w:hAnsi="Cambria Math"/>
                        <w:i/>
                        <w:color w:val="auto"/>
                      </w:rPr>
                    </m:ctrlPr>
                  </m:sSubPr>
                  <m:e>
                    <m:r>
                      <w:rPr>
                        <w:rStyle w:val="af1"/>
                        <w:rFonts w:ascii="Cambria Math" w:hAnsi="Cambria Math"/>
                        <w:color w:val="auto"/>
                      </w:rPr>
                      <m:t>η</m:t>
                    </m:r>
                  </m:e>
                  <m:sub>
                    <m:r>
                      <w:rPr>
                        <w:rStyle w:val="af1"/>
                        <w:rFonts w:ascii="Cambria Math" w:hAnsi="Cambria Math"/>
                        <w:color w:val="auto"/>
                      </w:rPr>
                      <m:t>act</m:t>
                    </m:r>
                  </m:sub>
                </m:sSub>
                <m:r>
                  <w:rPr>
                    <w:rStyle w:val="af1"/>
                    <w:rFonts w:ascii="Cambria Math" w:hAnsi="Cambria Math"/>
                    <w:color w:val="auto"/>
                  </w:rPr>
                  <m:t>=</m:t>
                </m:r>
                <m:f>
                  <m:fPr>
                    <m:ctrlPr>
                      <w:rPr>
                        <w:rStyle w:val="af1"/>
                        <w:rFonts w:ascii="Cambria Math" w:hAnsi="Cambria Math"/>
                        <w:i/>
                        <w:color w:val="auto"/>
                      </w:rPr>
                    </m:ctrlPr>
                  </m:fPr>
                  <m:num>
                    <m:r>
                      <w:rPr>
                        <w:rStyle w:val="af1"/>
                        <w:rFonts w:ascii="Cambria Math" w:hAnsi="Cambria Math"/>
                        <w:color w:val="auto"/>
                      </w:rPr>
                      <m:t>R</m:t>
                    </m:r>
                    <m:sSub>
                      <m:sSubPr>
                        <m:ctrlPr>
                          <w:rPr>
                            <w:rStyle w:val="af1"/>
                            <w:rFonts w:ascii="Cambria Math" w:hAnsi="Cambria Math"/>
                            <w:i/>
                            <w:color w:val="auto"/>
                          </w:rPr>
                        </m:ctrlPr>
                      </m:sSubPr>
                      <m:e>
                        <m:r>
                          <w:rPr>
                            <w:rStyle w:val="af1"/>
                            <w:rFonts w:ascii="Cambria Math" w:hAnsi="Cambria Math"/>
                            <w:color w:val="auto"/>
                          </w:rPr>
                          <m:t>T</m:t>
                        </m:r>
                      </m:e>
                      <m:sub>
                        <m:r>
                          <w:rPr>
                            <w:rStyle w:val="af1"/>
                            <w:rFonts w:ascii="Cambria Math" w:hAnsi="Cambria Math"/>
                            <w:color w:val="auto"/>
                          </w:rPr>
                          <m:t>a</m:t>
                        </m:r>
                      </m:sub>
                    </m:sSub>
                  </m:num>
                  <m:den>
                    <m:r>
                      <w:rPr>
                        <w:rStyle w:val="af1"/>
                        <w:rFonts w:ascii="Cambria Math" w:hAnsi="Cambria Math"/>
                        <w:color w:val="auto"/>
                      </w:rPr>
                      <m:t>2</m:t>
                    </m:r>
                    <m:sSub>
                      <m:sSubPr>
                        <m:ctrlPr>
                          <w:rPr>
                            <w:rStyle w:val="af1"/>
                            <w:rFonts w:ascii="Cambria Math" w:hAnsi="Cambria Math"/>
                            <w:i/>
                            <w:color w:val="auto"/>
                          </w:rPr>
                        </m:ctrlPr>
                      </m:sSubPr>
                      <m:e>
                        <m:r>
                          <w:rPr>
                            <w:rStyle w:val="af1"/>
                            <w:rFonts w:ascii="Cambria Math" w:hAnsi="Cambria Math"/>
                            <w:color w:val="auto"/>
                          </w:rPr>
                          <m:t>α</m:t>
                        </m:r>
                      </m:e>
                      <m:sub>
                        <m:r>
                          <w:rPr>
                            <w:rStyle w:val="af1"/>
                            <w:rFonts w:ascii="Cambria Math" w:hAnsi="Cambria Math"/>
                            <w:color w:val="auto"/>
                          </w:rPr>
                          <m:t>a</m:t>
                        </m:r>
                      </m:sub>
                    </m:sSub>
                    <m:r>
                      <w:rPr>
                        <w:rStyle w:val="af1"/>
                        <w:rFonts w:ascii="Cambria Math" w:hAnsi="Cambria Math"/>
                        <w:color w:val="auto"/>
                      </w:rPr>
                      <m:t>F</m:t>
                    </m:r>
                  </m:den>
                </m:f>
                <m:func>
                  <m:funcPr>
                    <m:ctrlPr>
                      <w:rPr>
                        <w:rStyle w:val="af1"/>
                        <w:rFonts w:ascii="Cambria Math" w:hAnsi="Cambria Math"/>
                        <w:color w:val="auto"/>
                      </w:rPr>
                    </m:ctrlPr>
                  </m:funcPr>
                  <m:fName>
                    <m:r>
                      <m:rPr>
                        <m:sty m:val="p"/>
                      </m:rPr>
                      <w:rPr>
                        <w:rStyle w:val="af1"/>
                        <w:rFonts w:ascii="Cambria Math" w:hAnsi="Cambria Math"/>
                        <w:color w:val="auto"/>
                      </w:rPr>
                      <m:t>arcsinh</m:t>
                    </m:r>
                  </m:fName>
                  <m:e>
                    <m:d>
                      <m:dPr>
                        <m:ctrlPr>
                          <w:rPr>
                            <w:rStyle w:val="af1"/>
                            <w:rFonts w:ascii="Cambria Math" w:hAnsi="Cambria Math"/>
                            <w:color w:val="auto"/>
                          </w:rPr>
                        </m:ctrlPr>
                      </m:dPr>
                      <m:e>
                        <m:f>
                          <m:fPr>
                            <m:ctrlPr>
                              <w:rPr>
                                <w:rStyle w:val="af1"/>
                                <w:rFonts w:ascii="Cambria Math" w:hAnsi="Cambria Math"/>
                                <w:i/>
                                <w:color w:val="auto"/>
                              </w:rPr>
                            </m:ctrlPr>
                          </m:fPr>
                          <m:num>
                            <m:r>
                              <w:rPr>
                                <w:rStyle w:val="af1"/>
                                <w:rFonts w:ascii="Cambria Math" w:hAnsi="Cambria Math"/>
                                <w:color w:val="auto"/>
                              </w:rPr>
                              <m:t>i</m:t>
                            </m:r>
                          </m:num>
                          <m:den>
                            <m:r>
                              <w:rPr>
                                <w:rStyle w:val="af1"/>
                                <w:rFonts w:ascii="Cambria Math" w:hAnsi="Cambria Math"/>
                                <w:color w:val="auto"/>
                              </w:rPr>
                              <m:t>2</m:t>
                            </m:r>
                            <m:sSub>
                              <m:sSubPr>
                                <m:ctrlPr>
                                  <w:rPr>
                                    <w:rStyle w:val="af1"/>
                                    <w:rFonts w:ascii="Cambria Math" w:hAnsi="Cambria Math"/>
                                    <w:i/>
                                    <w:color w:val="auto"/>
                                  </w:rPr>
                                </m:ctrlPr>
                              </m:sSubPr>
                              <m:e>
                                <m:r>
                                  <w:rPr>
                                    <w:rStyle w:val="af1"/>
                                    <w:rFonts w:ascii="Cambria Math" w:hAnsi="Cambria Math"/>
                                    <w:color w:val="auto"/>
                                  </w:rPr>
                                  <m:t>i</m:t>
                                </m:r>
                              </m:e>
                              <m:sub>
                                <m:r>
                                  <w:rPr>
                                    <w:rStyle w:val="af1"/>
                                    <w:rFonts w:ascii="Cambria Math" w:hAnsi="Cambria Math"/>
                                    <w:color w:val="auto"/>
                                  </w:rPr>
                                  <m:t>0, a</m:t>
                                </m:r>
                              </m:sub>
                            </m:sSub>
                          </m:den>
                        </m:f>
                      </m:e>
                    </m:d>
                  </m:e>
                </m:func>
                <m:r>
                  <w:rPr>
                    <w:rStyle w:val="af1"/>
                    <w:rFonts w:ascii="Cambria Math" w:hAnsi="Cambria Math"/>
                    <w:color w:val="auto"/>
                  </w:rPr>
                  <m:t>+</m:t>
                </m:r>
                <m:f>
                  <m:fPr>
                    <m:ctrlPr>
                      <w:rPr>
                        <w:rStyle w:val="af1"/>
                        <w:rFonts w:ascii="Cambria Math" w:hAnsi="Cambria Math"/>
                        <w:i/>
                        <w:color w:val="auto"/>
                      </w:rPr>
                    </m:ctrlPr>
                  </m:fPr>
                  <m:num>
                    <m:r>
                      <w:rPr>
                        <w:rStyle w:val="af1"/>
                        <w:rFonts w:ascii="Cambria Math" w:hAnsi="Cambria Math"/>
                        <w:color w:val="auto"/>
                      </w:rPr>
                      <m:t>R</m:t>
                    </m:r>
                    <m:sSub>
                      <m:sSubPr>
                        <m:ctrlPr>
                          <w:rPr>
                            <w:rStyle w:val="af1"/>
                            <w:rFonts w:ascii="Cambria Math" w:hAnsi="Cambria Math"/>
                            <w:i/>
                            <w:color w:val="auto"/>
                          </w:rPr>
                        </m:ctrlPr>
                      </m:sSubPr>
                      <m:e>
                        <m:r>
                          <w:rPr>
                            <w:rStyle w:val="af1"/>
                            <w:rFonts w:ascii="Cambria Math" w:hAnsi="Cambria Math"/>
                            <w:color w:val="auto"/>
                          </w:rPr>
                          <m:t>T</m:t>
                        </m:r>
                      </m:e>
                      <m:sub>
                        <m:r>
                          <w:rPr>
                            <w:rStyle w:val="af1"/>
                            <w:rFonts w:ascii="Cambria Math" w:hAnsi="Cambria Math"/>
                            <w:color w:val="auto"/>
                          </w:rPr>
                          <m:t>c</m:t>
                        </m:r>
                      </m:sub>
                    </m:sSub>
                  </m:num>
                  <m:den>
                    <m:r>
                      <w:rPr>
                        <w:rStyle w:val="af1"/>
                        <w:rFonts w:ascii="Cambria Math" w:hAnsi="Cambria Math"/>
                        <w:color w:val="auto"/>
                      </w:rPr>
                      <m:t>2</m:t>
                    </m:r>
                    <m:sSub>
                      <m:sSubPr>
                        <m:ctrlPr>
                          <w:rPr>
                            <w:rStyle w:val="af1"/>
                            <w:rFonts w:ascii="Cambria Math" w:hAnsi="Cambria Math"/>
                            <w:i/>
                            <w:color w:val="auto"/>
                          </w:rPr>
                        </m:ctrlPr>
                      </m:sSubPr>
                      <m:e>
                        <m:r>
                          <w:rPr>
                            <w:rStyle w:val="af1"/>
                            <w:rFonts w:ascii="Cambria Math" w:hAnsi="Cambria Math"/>
                            <w:color w:val="auto"/>
                          </w:rPr>
                          <m:t>α</m:t>
                        </m:r>
                      </m:e>
                      <m:sub>
                        <m:r>
                          <w:rPr>
                            <w:rStyle w:val="af1"/>
                            <w:rFonts w:ascii="Cambria Math" w:hAnsi="Cambria Math"/>
                            <w:color w:val="auto"/>
                          </w:rPr>
                          <m:t>c</m:t>
                        </m:r>
                      </m:sub>
                    </m:sSub>
                    <m:r>
                      <w:rPr>
                        <w:rStyle w:val="af1"/>
                        <w:rFonts w:ascii="Cambria Math" w:hAnsi="Cambria Math"/>
                        <w:color w:val="auto"/>
                      </w:rPr>
                      <m:t>F</m:t>
                    </m:r>
                  </m:den>
                </m:f>
                <m:func>
                  <m:funcPr>
                    <m:ctrlPr>
                      <w:rPr>
                        <w:rStyle w:val="af1"/>
                        <w:rFonts w:ascii="Cambria Math" w:hAnsi="Cambria Math"/>
                        <w:color w:val="auto"/>
                      </w:rPr>
                    </m:ctrlPr>
                  </m:funcPr>
                  <m:fName>
                    <m:r>
                      <m:rPr>
                        <m:sty m:val="p"/>
                      </m:rPr>
                      <w:rPr>
                        <w:rStyle w:val="af1"/>
                        <w:rFonts w:ascii="Cambria Math" w:hAnsi="Cambria Math"/>
                        <w:color w:val="auto"/>
                      </w:rPr>
                      <m:t>arcsinh</m:t>
                    </m:r>
                  </m:fName>
                  <m:e>
                    <m:d>
                      <m:dPr>
                        <m:ctrlPr>
                          <w:rPr>
                            <w:rStyle w:val="af1"/>
                            <w:rFonts w:ascii="Cambria Math" w:hAnsi="Cambria Math"/>
                            <w:color w:val="auto"/>
                          </w:rPr>
                        </m:ctrlPr>
                      </m:dPr>
                      <m:e>
                        <m:f>
                          <m:fPr>
                            <m:ctrlPr>
                              <w:rPr>
                                <w:rStyle w:val="af1"/>
                                <w:rFonts w:ascii="Cambria Math" w:hAnsi="Cambria Math"/>
                                <w:i/>
                                <w:color w:val="auto"/>
                              </w:rPr>
                            </m:ctrlPr>
                          </m:fPr>
                          <m:num>
                            <m:r>
                              <w:rPr>
                                <w:rStyle w:val="af1"/>
                                <w:rFonts w:ascii="Cambria Math" w:hAnsi="Cambria Math"/>
                                <w:color w:val="auto"/>
                              </w:rPr>
                              <m:t>i</m:t>
                            </m:r>
                          </m:num>
                          <m:den>
                            <m:r>
                              <w:rPr>
                                <w:rStyle w:val="af1"/>
                                <w:rFonts w:ascii="Cambria Math" w:hAnsi="Cambria Math"/>
                                <w:color w:val="auto"/>
                              </w:rPr>
                              <m:t>2</m:t>
                            </m:r>
                            <m:sSub>
                              <m:sSubPr>
                                <m:ctrlPr>
                                  <w:rPr>
                                    <w:rStyle w:val="af1"/>
                                    <w:rFonts w:ascii="Cambria Math" w:hAnsi="Cambria Math"/>
                                    <w:i/>
                                    <w:color w:val="auto"/>
                                  </w:rPr>
                                </m:ctrlPr>
                              </m:sSubPr>
                              <m:e>
                                <m:r>
                                  <w:rPr>
                                    <w:rStyle w:val="af1"/>
                                    <w:rFonts w:ascii="Cambria Math" w:hAnsi="Cambria Math"/>
                                    <w:color w:val="auto"/>
                                  </w:rPr>
                                  <m:t>i</m:t>
                                </m:r>
                              </m:e>
                              <m:sub>
                                <m:r>
                                  <w:rPr>
                                    <w:rStyle w:val="af1"/>
                                    <w:rFonts w:ascii="Cambria Math" w:hAnsi="Cambria Math"/>
                                    <w:color w:val="auto"/>
                                  </w:rPr>
                                  <m:t>0, c</m:t>
                                </m:r>
                              </m:sub>
                            </m:sSub>
                          </m:den>
                        </m:f>
                      </m:e>
                    </m:d>
                  </m:e>
                </m:func>
              </m:oMath>
            </m:oMathPara>
          </w:p>
        </w:tc>
        <w:tc>
          <w:tcPr>
            <w:tcW w:w="702" w:type="dxa"/>
          </w:tcPr>
          <w:p w14:paraId="125ED732" w14:textId="72EA1386" w:rsidR="002945BD" w:rsidRPr="00704B67" w:rsidRDefault="002945BD" w:rsidP="005A036B">
            <w:pPr>
              <w:pStyle w:val="Els-body-text"/>
              <w:jc w:val="right"/>
              <w:rPr>
                <w:lang w:eastAsia="ko-KR"/>
              </w:rPr>
            </w:pPr>
            <w:r w:rsidRPr="00704B67">
              <w:rPr>
                <w:lang w:eastAsia="ko-KR"/>
              </w:rPr>
              <w:t>(1</w:t>
            </w:r>
            <w:r w:rsidR="00651B0D" w:rsidRPr="00704B67">
              <w:rPr>
                <w:lang w:eastAsia="ko-KR"/>
              </w:rPr>
              <w:t>4</w:t>
            </w:r>
            <w:r w:rsidRPr="00704B67">
              <w:rPr>
                <w:lang w:eastAsia="ko-KR"/>
              </w:rPr>
              <w:t>)</w:t>
            </w:r>
          </w:p>
        </w:tc>
      </w:tr>
    </w:tbl>
    <w:p w14:paraId="423CF497" w14:textId="77777777" w:rsidR="002945BD" w:rsidRPr="00704B67" w:rsidRDefault="002945BD" w:rsidP="002945BD">
      <w:pPr>
        <w:pStyle w:val="Els-body-text"/>
      </w:pPr>
    </w:p>
    <w:p w14:paraId="4976E0B7" w14:textId="1F1EFFFC" w:rsidR="002945BD" w:rsidRPr="00704B67" w:rsidRDefault="002945BD" w:rsidP="002945BD">
      <w:pPr>
        <w:pStyle w:val="Els-body-text"/>
        <w:rPr>
          <w:lang w:eastAsia="ko-KR"/>
        </w:rPr>
      </w:pPr>
      <w:r w:rsidRPr="00704B67">
        <w:rPr>
          <w:lang w:eastAsia="ko-KR"/>
        </w:rPr>
        <w:t>Ohmic overpotential is a term related to resistance when current flows and is expressed by ohmic's law</w:t>
      </w:r>
      <w:r w:rsidR="001C2C38" w:rsidRPr="00704B67">
        <w:rPr>
          <w:lang w:eastAsia="ko-KR"/>
        </w:rPr>
        <w:t xml:space="preserve"> in Eq. (1</w:t>
      </w:r>
      <w:r w:rsidR="00651B0D" w:rsidRPr="00704B67">
        <w:rPr>
          <w:lang w:eastAsia="ko-KR"/>
        </w:rPr>
        <w:t>5</w:t>
      </w:r>
      <w:r w:rsidR="001C2C38" w:rsidRPr="00704B67">
        <w:rPr>
          <w:lang w:eastAsia="ko-KR"/>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953"/>
        <w:gridCol w:w="702"/>
      </w:tblGrid>
      <w:tr w:rsidR="002945BD" w:rsidRPr="00704B67" w14:paraId="4FAE692C" w14:textId="77777777" w:rsidTr="005A036B">
        <w:tc>
          <w:tcPr>
            <w:tcW w:w="421" w:type="dxa"/>
          </w:tcPr>
          <w:p w14:paraId="5CF35713" w14:textId="77777777" w:rsidR="002945BD" w:rsidRPr="00704B67" w:rsidRDefault="002945BD" w:rsidP="005A036B">
            <w:pPr>
              <w:pStyle w:val="Els-body-text"/>
              <w:rPr>
                <w:lang w:eastAsia="ko-KR"/>
              </w:rPr>
            </w:pPr>
          </w:p>
          <w:p w14:paraId="5375D6F3" w14:textId="77777777" w:rsidR="0052644D" w:rsidRPr="00704B67" w:rsidRDefault="0052644D" w:rsidP="005A036B">
            <w:pPr>
              <w:pStyle w:val="Els-body-text"/>
              <w:rPr>
                <w:lang w:eastAsia="ko-KR"/>
              </w:rPr>
            </w:pPr>
          </w:p>
          <w:p w14:paraId="7097A591" w14:textId="77777777" w:rsidR="0052644D" w:rsidRPr="00704B67" w:rsidRDefault="0052644D" w:rsidP="005A036B">
            <w:pPr>
              <w:pStyle w:val="Els-body-text"/>
              <w:rPr>
                <w:lang w:eastAsia="ko-KR"/>
              </w:rPr>
            </w:pPr>
          </w:p>
        </w:tc>
        <w:tc>
          <w:tcPr>
            <w:tcW w:w="5953" w:type="dxa"/>
          </w:tcPr>
          <w:p w14:paraId="04B7AAC2" w14:textId="70B4C6D4" w:rsidR="0052644D" w:rsidRPr="00704B67" w:rsidRDefault="00000000" w:rsidP="005A036B">
            <w:pPr>
              <w:pStyle w:val="Els-body-text"/>
              <w:rPr>
                <w:i/>
              </w:rPr>
            </w:pPr>
            <m:oMathPara>
              <m:oMath>
                <m:sSub>
                  <m:sSubPr>
                    <m:ctrlPr>
                      <w:rPr>
                        <w:rFonts w:ascii="Cambria Math" w:hAnsi="Cambria Math"/>
                      </w:rPr>
                    </m:ctrlPr>
                  </m:sSubPr>
                  <m:e>
                    <m:r>
                      <w:rPr>
                        <w:rFonts w:ascii="Cambria Math" w:hAnsi="Cambria Math"/>
                      </w:rPr>
                      <m:t>η</m:t>
                    </m:r>
                  </m:e>
                  <m:sub>
                    <m:r>
                      <w:rPr>
                        <w:rFonts w:ascii="Cambria Math" w:hAnsi="Cambria Math"/>
                      </w:rPr>
                      <m:t>ohm</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a</m:t>
                    </m:r>
                  </m:sub>
                </m:sSub>
                <m:f>
                  <m:fPr>
                    <m:ctrlPr>
                      <w:rPr>
                        <w:rFonts w:ascii="Cambria Math" w:hAnsi="Cambria Math"/>
                      </w:rPr>
                    </m:ctrlPr>
                  </m:fPr>
                  <m:num>
                    <m:r>
                      <w:rPr>
                        <w:rFonts w:ascii="Cambria Math" w:hAnsi="Cambria Math"/>
                      </w:rPr>
                      <m:t>i</m:t>
                    </m:r>
                  </m:num>
                  <m:den>
                    <m:sSub>
                      <m:sSubPr>
                        <m:ctrlPr>
                          <w:rPr>
                            <w:rFonts w:ascii="Cambria Math" w:hAnsi="Cambria Math"/>
                          </w:rPr>
                        </m:ctrlPr>
                      </m:sSubPr>
                      <m:e>
                        <m:r>
                          <w:rPr>
                            <w:rFonts w:ascii="Cambria Math" w:hAnsi="Cambria Math"/>
                          </w:rPr>
                          <m:t>σ</m:t>
                        </m:r>
                      </m:e>
                      <m:sub>
                        <m:r>
                          <w:rPr>
                            <w:rFonts w:ascii="Cambria Math" w:hAnsi="Cambria Math"/>
                          </w:rPr>
                          <m:t>a</m:t>
                        </m:r>
                      </m:sub>
                    </m:sSub>
                  </m:den>
                </m:f>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m:t>
                    </m:r>
                  </m:sub>
                </m:sSub>
                <m:f>
                  <m:fPr>
                    <m:ctrlPr>
                      <w:rPr>
                        <w:rFonts w:ascii="Cambria Math" w:hAnsi="Cambria Math"/>
                      </w:rPr>
                    </m:ctrlPr>
                  </m:fPr>
                  <m:num>
                    <m:r>
                      <w:rPr>
                        <w:rFonts w:ascii="Cambria Math" w:hAnsi="Cambria Math"/>
                      </w:rPr>
                      <m:t>i</m:t>
                    </m:r>
                  </m:num>
                  <m:den>
                    <m:sSub>
                      <m:sSubPr>
                        <m:ctrlPr>
                          <w:rPr>
                            <w:rFonts w:ascii="Cambria Math" w:hAnsi="Cambria Math"/>
                          </w:rPr>
                        </m:ctrlPr>
                      </m:sSubPr>
                      <m:e>
                        <m:r>
                          <w:rPr>
                            <w:rFonts w:ascii="Cambria Math" w:hAnsi="Cambria Math"/>
                          </w:rPr>
                          <m:t>σ</m:t>
                        </m:r>
                      </m:e>
                      <m:sub>
                        <m:r>
                          <w:rPr>
                            <w:rFonts w:ascii="Cambria Math" w:hAnsi="Cambria Math"/>
                          </w:rPr>
                          <m:t>m</m:t>
                        </m:r>
                      </m:sub>
                    </m:sSub>
                  </m:den>
                </m:f>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c</m:t>
                    </m:r>
                  </m:sub>
                </m:sSub>
                <m:f>
                  <m:fPr>
                    <m:ctrlPr>
                      <w:rPr>
                        <w:rFonts w:ascii="Cambria Math" w:hAnsi="Cambria Math"/>
                      </w:rPr>
                    </m:ctrlPr>
                  </m:fPr>
                  <m:num>
                    <m:r>
                      <w:rPr>
                        <w:rFonts w:ascii="Cambria Math" w:hAnsi="Cambria Math"/>
                      </w:rPr>
                      <m:t>i</m:t>
                    </m:r>
                  </m:num>
                  <m:den>
                    <m:sSub>
                      <m:sSubPr>
                        <m:ctrlPr>
                          <w:rPr>
                            <w:rFonts w:ascii="Cambria Math" w:hAnsi="Cambria Math"/>
                          </w:rPr>
                        </m:ctrlPr>
                      </m:sSubPr>
                      <m:e>
                        <m:r>
                          <w:rPr>
                            <w:rFonts w:ascii="Cambria Math" w:hAnsi="Cambria Math"/>
                          </w:rPr>
                          <m:t>σ</m:t>
                        </m:r>
                      </m:e>
                      <m:sub>
                        <m:r>
                          <w:rPr>
                            <w:rFonts w:ascii="Cambria Math" w:hAnsi="Cambria Math"/>
                          </w:rPr>
                          <m:t>c</m:t>
                        </m:r>
                      </m:sub>
                    </m:sSub>
                  </m:den>
                </m:f>
              </m:oMath>
            </m:oMathPara>
          </w:p>
        </w:tc>
        <w:tc>
          <w:tcPr>
            <w:tcW w:w="702" w:type="dxa"/>
          </w:tcPr>
          <w:p w14:paraId="151E8A5A" w14:textId="13CA57FF" w:rsidR="002945BD" w:rsidRPr="00704B67" w:rsidRDefault="002945BD" w:rsidP="005A036B">
            <w:pPr>
              <w:pStyle w:val="Els-body-text"/>
              <w:jc w:val="right"/>
              <w:rPr>
                <w:lang w:eastAsia="ko-KR"/>
              </w:rPr>
            </w:pPr>
            <w:r w:rsidRPr="00704B67">
              <w:rPr>
                <w:lang w:eastAsia="ko-KR"/>
              </w:rPr>
              <w:t>(1</w:t>
            </w:r>
            <w:r w:rsidR="00651B0D" w:rsidRPr="00704B67">
              <w:rPr>
                <w:lang w:eastAsia="ko-KR"/>
              </w:rPr>
              <w:t>5</w:t>
            </w:r>
            <w:r w:rsidRPr="00704B67">
              <w:rPr>
                <w:lang w:eastAsia="ko-KR"/>
              </w:rPr>
              <w:t>)</w:t>
            </w:r>
          </w:p>
        </w:tc>
      </w:tr>
    </w:tbl>
    <w:p w14:paraId="57C4AC60" w14:textId="72DA0C21" w:rsidR="00A3625A" w:rsidRPr="00704B67" w:rsidRDefault="00EA6F19" w:rsidP="002945BD">
      <w:pPr>
        <w:pStyle w:val="Els-body-text"/>
        <w:rPr>
          <w:lang w:eastAsia="ko-KR"/>
        </w:rPr>
      </w:pPr>
      <w:r w:rsidRPr="00704B67">
        <w:rPr>
          <w:lang w:eastAsia="ko-KR"/>
        </w:rPr>
        <w:t xml:space="preserve">Detailed parameter definitions and ranges </w:t>
      </w:r>
      <w:r w:rsidR="005A3287" w:rsidRPr="00704B67">
        <w:rPr>
          <w:lang w:eastAsia="ko-KR"/>
        </w:rPr>
        <w:t xml:space="preserve">of Eq. (10-12) </w:t>
      </w:r>
      <w:r w:rsidRPr="00704B67">
        <w:rPr>
          <w:lang w:eastAsia="ko-KR"/>
        </w:rPr>
        <w:t xml:space="preserve">can be referred to in the study by </w:t>
      </w:r>
      <w:r w:rsidR="005A3287" w:rsidRPr="00704B67">
        <w:t>Federica Mosca</w:t>
      </w:r>
      <w:r w:rsidRPr="00704B67">
        <w:rPr>
          <w:lang w:eastAsia="ko-KR"/>
        </w:rPr>
        <w:t xml:space="preserve">. </w:t>
      </w:r>
      <w:r w:rsidR="0052644D" w:rsidRPr="00704B67">
        <w:rPr>
          <w:lang w:eastAsia="ko-KR"/>
        </w:rPr>
        <w:t>The ionic conductivity of anolyte and catholyte varies with the concentration of OH</w:t>
      </w:r>
      <w:r w:rsidR="0052644D" w:rsidRPr="00704B67">
        <w:rPr>
          <w:vertAlign w:val="superscript"/>
          <w:lang w:eastAsia="ko-KR"/>
        </w:rPr>
        <w:t>-</w:t>
      </w:r>
      <w:r w:rsidR="0052644D" w:rsidRPr="00704B67">
        <w:rPr>
          <w:lang w:eastAsia="ko-KR"/>
        </w:rPr>
        <w:t xml:space="preserve"> and H</w:t>
      </w:r>
      <w:r w:rsidR="0052644D" w:rsidRPr="00704B67">
        <w:rPr>
          <w:vertAlign w:val="superscript"/>
          <w:lang w:eastAsia="ko-KR"/>
        </w:rPr>
        <w:t>+</w:t>
      </w:r>
      <w:r w:rsidR="0052644D" w:rsidRPr="00704B67">
        <w:rPr>
          <w:lang w:eastAsia="ko-KR"/>
        </w:rPr>
        <w:t xml:space="preserve"> ions produced over time. Therefore, the current density over time </w:t>
      </w:r>
      <w:r w:rsidR="003B4ADB" w:rsidRPr="00704B67">
        <w:rPr>
          <w:lang w:eastAsia="ko-KR"/>
        </w:rPr>
        <w:t>is</w:t>
      </w:r>
      <w:r w:rsidR="0052644D" w:rsidRPr="00704B67">
        <w:rPr>
          <w:lang w:eastAsia="ko-KR"/>
        </w:rPr>
        <w:t xml:space="preserve"> calculated at </w:t>
      </w:r>
      <w:r w:rsidR="003B4ADB" w:rsidRPr="00704B67">
        <w:rPr>
          <w:lang w:eastAsia="ko-KR"/>
        </w:rPr>
        <w:t>constant</w:t>
      </w:r>
      <w:r w:rsidR="0052644D" w:rsidRPr="00704B67">
        <w:rPr>
          <w:lang w:eastAsia="ko-KR"/>
        </w:rPr>
        <w:t xml:space="preserve"> voltage, and the experimental values </w:t>
      </w:r>
      <w:r w:rsidR="003B4ADB" w:rsidRPr="00704B67">
        <w:rPr>
          <w:lang w:eastAsia="ko-KR"/>
        </w:rPr>
        <w:t>are</w:t>
      </w:r>
      <w:r w:rsidR="0052644D" w:rsidRPr="00704B67">
        <w:rPr>
          <w:lang w:eastAsia="ko-KR"/>
        </w:rPr>
        <w:t xml:space="preserve"> used for parameter fitting using a genetic algorithm.</w:t>
      </w:r>
    </w:p>
    <w:p w14:paraId="4FCF72BE" w14:textId="7CEDC75E" w:rsidR="00907983" w:rsidRPr="00704B67" w:rsidRDefault="00907983" w:rsidP="00907983">
      <w:pPr>
        <w:pStyle w:val="Els-2ndorder-head"/>
        <w:spacing w:after="120"/>
        <w:rPr>
          <w:lang w:val="en-GB"/>
        </w:rPr>
      </w:pPr>
      <w:r w:rsidRPr="00704B67">
        <w:rPr>
          <w:lang w:val="en-GB"/>
        </w:rPr>
        <w:t>Process simulation</w:t>
      </w:r>
    </w:p>
    <w:p w14:paraId="21B673A0" w14:textId="0CB1E346" w:rsidR="00A3625A" w:rsidRPr="00704B67" w:rsidRDefault="00A3625A" w:rsidP="00A3625A">
      <w:pPr>
        <w:pStyle w:val="Els-body-text"/>
      </w:pPr>
      <w:r w:rsidRPr="00704B67">
        <w:t xml:space="preserve">The overall system simulation is conducted using the Python environment and a process simulator. Fig. 2 shows the simulation framework of the proposed overall system. Steps 1 to 3, roasting, lithium </w:t>
      </w:r>
      <w:r w:rsidRPr="00704B67">
        <w:rPr>
          <w:lang w:eastAsia="ko-KR"/>
        </w:rPr>
        <w:t>recovery</w:t>
      </w:r>
      <w:r w:rsidRPr="00704B67">
        <w:t>, and acid leaching, are performed in Aspen plus. The stream properties after acid leaching are linked with Python to calculate the NMC precursor crystallization process. The concentration of each ion in the wastewater generated after the crystallization process is taken to calculate the current, time, and flow rate of regenerated chemicals in the electrolysis process. The flow rate of the regenerated chemicals is then fed back into the input streams of the unit processes.</w:t>
      </w:r>
    </w:p>
    <w:p w14:paraId="16B34CB1" w14:textId="77777777" w:rsidR="00443EFC" w:rsidRPr="00704B67" w:rsidRDefault="00443EFC" w:rsidP="008D2649">
      <w:pPr>
        <w:pStyle w:val="Els-body-text"/>
      </w:pPr>
    </w:p>
    <w:p w14:paraId="7528AD6D" w14:textId="77777777" w:rsidR="000535E3" w:rsidRPr="00704B67" w:rsidRDefault="000535E3" w:rsidP="000535E3">
      <w:pPr>
        <w:pStyle w:val="Els-body-text"/>
        <w:keepNext/>
        <w:jc w:val="center"/>
      </w:pPr>
      <w:r w:rsidRPr="00704B67">
        <w:rPr>
          <w:noProof/>
        </w:rPr>
        <w:lastRenderedPageBreak/>
        <w:drawing>
          <wp:inline distT="0" distB="0" distL="0" distR="0" wp14:anchorId="29B2E1CB" wp14:editId="75B516C5">
            <wp:extent cx="2814894" cy="2274125"/>
            <wp:effectExtent l="0" t="0" r="5080" b="0"/>
            <wp:docPr id="574499334" name="그림 57449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99334" name="그림 57449933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6929" cy="2275769"/>
                    </a:xfrm>
                    <a:prstGeom prst="rect">
                      <a:avLst/>
                    </a:prstGeom>
                  </pic:spPr>
                </pic:pic>
              </a:graphicData>
            </a:graphic>
          </wp:inline>
        </w:drawing>
      </w:r>
    </w:p>
    <w:p w14:paraId="3166DD98" w14:textId="03CE10B0" w:rsidR="00443EFC" w:rsidRPr="00704B67" w:rsidRDefault="000535E3" w:rsidP="000535E3">
      <w:pPr>
        <w:pStyle w:val="a3"/>
        <w:jc w:val="center"/>
        <w:rPr>
          <w:sz w:val="20"/>
          <w:szCs w:val="22"/>
        </w:rPr>
      </w:pPr>
      <w:r w:rsidRPr="00704B67">
        <w:rPr>
          <w:sz w:val="20"/>
          <w:szCs w:val="22"/>
        </w:rPr>
        <w:t xml:space="preserve">Fig. </w:t>
      </w:r>
      <w:r w:rsidRPr="00704B67">
        <w:rPr>
          <w:sz w:val="20"/>
          <w:szCs w:val="22"/>
        </w:rPr>
        <w:fldChar w:fldCharType="begin"/>
      </w:r>
      <w:r w:rsidRPr="00704B67">
        <w:rPr>
          <w:sz w:val="20"/>
          <w:szCs w:val="22"/>
        </w:rPr>
        <w:instrText xml:space="preserve"> SEQ Figure \* ARABIC </w:instrText>
      </w:r>
      <w:r w:rsidRPr="00704B67">
        <w:rPr>
          <w:sz w:val="20"/>
          <w:szCs w:val="22"/>
        </w:rPr>
        <w:fldChar w:fldCharType="separate"/>
      </w:r>
      <w:r w:rsidR="00D37052" w:rsidRPr="00704B67">
        <w:rPr>
          <w:noProof/>
          <w:sz w:val="20"/>
          <w:szCs w:val="22"/>
        </w:rPr>
        <w:t>2</w:t>
      </w:r>
      <w:r w:rsidRPr="00704B67">
        <w:rPr>
          <w:sz w:val="20"/>
          <w:szCs w:val="22"/>
        </w:rPr>
        <w:fldChar w:fldCharType="end"/>
      </w:r>
      <w:r w:rsidRPr="00704B67">
        <w:rPr>
          <w:sz w:val="20"/>
          <w:szCs w:val="22"/>
        </w:rPr>
        <w:t>. Simulation framework of the overall proposed system.</w:t>
      </w:r>
    </w:p>
    <w:p w14:paraId="5E0F9BEA" w14:textId="77777777" w:rsidR="00443EFC" w:rsidRPr="00704B67" w:rsidRDefault="00443EFC" w:rsidP="008D2649">
      <w:pPr>
        <w:pStyle w:val="Els-body-text"/>
      </w:pPr>
    </w:p>
    <w:p w14:paraId="144DE6A5" w14:textId="31149756" w:rsidR="008D2649" w:rsidRPr="00704B67" w:rsidRDefault="00907983" w:rsidP="008D2649">
      <w:pPr>
        <w:pStyle w:val="Els-1storder-head"/>
        <w:spacing w:after="120"/>
        <w:rPr>
          <w:lang w:val="en-GB"/>
        </w:rPr>
      </w:pPr>
      <w:r w:rsidRPr="00704B67">
        <w:rPr>
          <w:lang w:val="en-GB"/>
        </w:rPr>
        <w:t>Results</w:t>
      </w:r>
    </w:p>
    <w:p w14:paraId="144DE6A6" w14:textId="5F411A05" w:rsidR="008D2649" w:rsidRPr="00704B67" w:rsidRDefault="00E920E2" w:rsidP="008D2649">
      <w:pPr>
        <w:pStyle w:val="Els-body-text"/>
        <w:spacing w:after="120"/>
        <w:rPr>
          <w:lang w:val="en-GB"/>
        </w:rPr>
      </w:pPr>
      <w:r w:rsidRPr="00704B67">
        <w:rPr>
          <w:lang w:val="en-GB"/>
        </w:rPr>
        <w:t>Table 1</w:t>
      </w:r>
      <w:r w:rsidR="00DA2103" w:rsidRPr="00704B67">
        <w:rPr>
          <w:lang w:val="en-GB"/>
        </w:rPr>
        <w:t xml:space="preserve"> </w:t>
      </w:r>
      <w:r w:rsidRPr="00704B67">
        <w:rPr>
          <w:lang w:val="en-GB"/>
        </w:rPr>
        <w:t>show</w:t>
      </w:r>
      <w:r w:rsidR="00DA2103" w:rsidRPr="00704B67">
        <w:rPr>
          <w:lang w:val="en-GB"/>
        </w:rPr>
        <w:t>s the simulation results of the recovery efficiency of lithium and NMC</w:t>
      </w:r>
      <w:r w:rsidR="003B4ADB" w:rsidRPr="00704B67">
        <w:rPr>
          <w:lang w:val="en-GB"/>
        </w:rPr>
        <w:t xml:space="preserve"> </w:t>
      </w:r>
      <w:r w:rsidR="00DA2103" w:rsidRPr="00704B67">
        <w:rPr>
          <w:lang w:val="en-GB"/>
        </w:rPr>
        <w:t xml:space="preserve">precursor. Lithium </w:t>
      </w:r>
      <w:r w:rsidR="00651B0D" w:rsidRPr="00704B67">
        <w:rPr>
          <w:lang w:val="en-GB" w:eastAsia="ko-KR"/>
        </w:rPr>
        <w:t>i</w:t>
      </w:r>
      <w:r w:rsidR="00DA2103" w:rsidRPr="00704B67">
        <w:rPr>
          <w:lang w:val="en-GB"/>
        </w:rPr>
        <w:t xml:space="preserve">s recovered in the form of </w:t>
      </w:r>
      <w:r w:rsidR="00DA2103" w:rsidRPr="00704B67">
        <w:t>LiOH</w:t>
      </w:r>
      <w:r w:rsidR="00DA2103" w:rsidRPr="00704B67">
        <w:rPr>
          <w:rFonts w:eastAsia="맑은 고딕"/>
        </w:rPr>
        <w:t>·</w:t>
      </w:r>
      <w:r w:rsidR="00DA2103" w:rsidRPr="00704B67">
        <w:t>H</w:t>
      </w:r>
      <w:r w:rsidR="00DA2103" w:rsidRPr="00704B67">
        <w:rPr>
          <w:vertAlign w:val="subscript"/>
        </w:rPr>
        <w:t>2</w:t>
      </w:r>
      <w:r w:rsidR="00DA2103" w:rsidRPr="00704B67">
        <w:t xml:space="preserve">O(s) </w:t>
      </w:r>
      <w:r w:rsidR="00DA2103" w:rsidRPr="00704B67">
        <w:rPr>
          <w:lang w:val="en-GB"/>
        </w:rPr>
        <w:t>with a recovery efficiency of about 9</w:t>
      </w:r>
      <w:r w:rsidR="007151B0" w:rsidRPr="00704B67">
        <w:rPr>
          <w:lang w:val="en-GB"/>
        </w:rPr>
        <w:t>8</w:t>
      </w:r>
      <w:r w:rsidR="00DA2103" w:rsidRPr="00704B67">
        <w:rPr>
          <w:lang w:val="en-GB"/>
        </w:rPr>
        <w:t>.</w:t>
      </w:r>
      <w:r w:rsidR="007151B0" w:rsidRPr="00704B67">
        <w:rPr>
          <w:lang w:val="en-GB"/>
        </w:rPr>
        <w:t>9</w:t>
      </w:r>
      <w:r w:rsidR="00693C10">
        <w:rPr>
          <w:lang w:val="en-GB"/>
        </w:rPr>
        <w:t>5</w:t>
      </w:r>
      <w:r w:rsidR="007151B0" w:rsidRPr="00704B67">
        <w:rPr>
          <w:lang w:val="en-GB"/>
        </w:rPr>
        <w:t xml:space="preserve"> </w:t>
      </w:r>
      <w:r w:rsidR="00DA2103" w:rsidRPr="00704B67">
        <w:rPr>
          <w:lang w:val="en-GB"/>
        </w:rPr>
        <w:t>% and NMC precursor with a recovery efficiency of about 79</w:t>
      </w:r>
      <w:r w:rsidR="007151B0" w:rsidRPr="00704B67">
        <w:rPr>
          <w:lang w:val="en-GB"/>
        </w:rPr>
        <w:t xml:space="preserve">.00 </w:t>
      </w:r>
      <w:r w:rsidR="00DA2103" w:rsidRPr="00704B67">
        <w:rPr>
          <w:lang w:val="en-GB"/>
        </w:rPr>
        <w:t xml:space="preserve">%. </w:t>
      </w:r>
    </w:p>
    <w:p w14:paraId="61563283" w14:textId="77777777" w:rsidR="00132F69" w:rsidRPr="00704B67" w:rsidRDefault="00132F69" w:rsidP="008D2649">
      <w:pPr>
        <w:pStyle w:val="Els-body-text"/>
        <w:spacing w:after="120"/>
        <w:rPr>
          <w:lang w:val="en-GB"/>
        </w:rPr>
      </w:pPr>
    </w:p>
    <w:p w14:paraId="0C454F0C" w14:textId="5BFB9C9F" w:rsidR="00E920E2" w:rsidRPr="00704B67" w:rsidRDefault="00E920E2" w:rsidP="00E920E2">
      <w:pPr>
        <w:pStyle w:val="a3"/>
        <w:keepNext/>
        <w:rPr>
          <w:sz w:val="20"/>
          <w:szCs w:val="22"/>
        </w:rPr>
      </w:pPr>
      <w:r w:rsidRPr="00704B67">
        <w:rPr>
          <w:sz w:val="20"/>
          <w:szCs w:val="22"/>
        </w:rPr>
        <w:t xml:space="preserve">Table </w:t>
      </w:r>
      <w:r w:rsidRPr="00704B67">
        <w:rPr>
          <w:sz w:val="20"/>
          <w:szCs w:val="22"/>
        </w:rPr>
        <w:fldChar w:fldCharType="begin"/>
      </w:r>
      <w:r w:rsidRPr="00704B67">
        <w:rPr>
          <w:sz w:val="20"/>
          <w:szCs w:val="22"/>
        </w:rPr>
        <w:instrText xml:space="preserve"> SEQ Table \* ARABIC </w:instrText>
      </w:r>
      <w:r w:rsidRPr="00704B67">
        <w:rPr>
          <w:sz w:val="20"/>
          <w:szCs w:val="22"/>
        </w:rPr>
        <w:fldChar w:fldCharType="separate"/>
      </w:r>
      <w:r w:rsidRPr="00704B67">
        <w:rPr>
          <w:noProof/>
          <w:sz w:val="20"/>
          <w:szCs w:val="22"/>
        </w:rPr>
        <w:t>1</w:t>
      </w:r>
      <w:r w:rsidRPr="00704B67">
        <w:rPr>
          <w:sz w:val="20"/>
          <w:szCs w:val="22"/>
        </w:rPr>
        <w:fldChar w:fldCharType="end"/>
      </w:r>
      <w:r w:rsidRPr="00704B67">
        <w:rPr>
          <w:sz w:val="20"/>
          <w:szCs w:val="22"/>
        </w:rPr>
        <w:t>. Simulation result of the proposed process.</w:t>
      </w:r>
    </w:p>
    <w:tbl>
      <w:tblPr>
        <w:tblStyle w:val="af0"/>
        <w:tblW w:w="7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2747"/>
        <w:gridCol w:w="2747"/>
      </w:tblGrid>
      <w:tr w:rsidR="00E920E2" w:rsidRPr="00704B67" w14:paraId="63F0AC11" w14:textId="77777777" w:rsidTr="00E920E2">
        <w:trPr>
          <w:trHeight w:val="692"/>
        </w:trPr>
        <w:tc>
          <w:tcPr>
            <w:tcW w:w="1573" w:type="dxa"/>
            <w:tcBorders>
              <w:top w:val="single" w:sz="4" w:space="0" w:color="auto"/>
              <w:bottom w:val="single" w:sz="4" w:space="0" w:color="auto"/>
            </w:tcBorders>
          </w:tcPr>
          <w:p w14:paraId="519D28B1" w14:textId="44A30E50" w:rsidR="00E920E2" w:rsidRPr="00704B67" w:rsidRDefault="00E920E2" w:rsidP="00E920E2">
            <w:pPr>
              <w:pStyle w:val="Els-body-text"/>
              <w:spacing w:after="120"/>
              <w:rPr>
                <w:bCs/>
                <w:lang w:val="en-GB"/>
              </w:rPr>
            </w:pPr>
          </w:p>
        </w:tc>
        <w:tc>
          <w:tcPr>
            <w:tcW w:w="2747" w:type="dxa"/>
            <w:tcBorders>
              <w:top w:val="single" w:sz="4" w:space="0" w:color="auto"/>
              <w:bottom w:val="single" w:sz="4" w:space="0" w:color="auto"/>
            </w:tcBorders>
          </w:tcPr>
          <w:p w14:paraId="57D51354" w14:textId="77777777" w:rsidR="00E920E2" w:rsidRPr="00704B67" w:rsidRDefault="00E920E2" w:rsidP="00E920E2">
            <w:pPr>
              <w:pStyle w:val="Els-body-text"/>
              <w:spacing w:after="120"/>
              <w:rPr>
                <w:bCs/>
                <w:lang w:val="en-GB"/>
              </w:rPr>
            </w:pPr>
            <w:r w:rsidRPr="00704B67">
              <w:rPr>
                <w:bCs/>
                <w:lang w:val="en-GB"/>
              </w:rPr>
              <w:t xml:space="preserve">Li </w:t>
            </w:r>
          </w:p>
          <w:p w14:paraId="152EF7F4" w14:textId="64317151" w:rsidR="00E920E2" w:rsidRPr="00704B67" w:rsidRDefault="00E920E2" w:rsidP="00E920E2">
            <w:pPr>
              <w:pStyle w:val="Els-body-text"/>
              <w:spacing w:after="120"/>
              <w:rPr>
                <w:bCs/>
                <w:lang w:val="en-GB"/>
              </w:rPr>
            </w:pPr>
            <w:r w:rsidRPr="00704B67">
              <w:rPr>
                <w:bCs/>
                <w:lang w:val="en-GB"/>
              </w:rPr>
              <w:t>crystallization</w:t>
            </w:r>
          </w:p>
        </w:tc>
        <w:tc>
          <w:tcPr>
            <w:tcW w:w="2747" w:type="dxa"/>
            <w:tcBorders>
              <w:top w:val="single" w:sz="4" w:space="0" w:color="auto"/>
              <w:bottom w:val="single" w:sz="4" w:space="0" w:color="auto"/>
            </w:tcBorders>
          </w:tcPr>
          <w:p w14:paraId="5EB1C077" w14:textId="77777777" w:rsidR="00E920E2" w:rsidRPr="00704B67" w:rsidRDefault="00E920E2" w:rsidP="00E920E2">
            <w:pPr>
              <w:pStyle w:val="Els-body-text"/>
              <w:spacing w:after="120"/>
              <w:rPr>
                <w:bCs/>
                <w:lang w:val="en-GB"/>
              </w:rPr>
            </w:pPr>
            <w:r w:rsidRPr="00704B67">
              <w:rPr>
                <w:bCs/>
                <w:lang w:val="en-GB"/>
              </w:rPr>
              <w:t>NMC precursor</w:t>
            </w:r>
          </w:p>
          <w:p w14:paraId="45EB0376" w14:textId="73D8C95C" w:rsidR="00E920E2" w:rsidRPr="00704B67" w:rsidRDefault="00E920E2" w:rsidP="00E920E2">
            <w:pPr>
              <w:pStyle w:val="Els-body-text"/>
              <w:spacing w:after="120"/>
              <w:rPr>
                <w:bCs/>
                <w:lang w:val="en-GB"/>
              </w:rPr>
            </w:pPr>
            <w:r w:rsidRPr="00704B67">
              <w:rPr>
                <w:bCs/>
                <w:lang w:val="en-GB"/>
              </w:rPr>
              <w:t>crystallization</w:t>
            </w:r>
          </w:p>
        </w:tc>
      </w:tr>
      <w:tr w:rsidR="00E920E2" w:rsidRPr="00704B67" w14:paraId="16D3545B" w14:textId="77777777" w:rsidTr="00E920E2">
        <w:trPr>
          <w:trHeight w:val="578"/>
        </w:trPr>
        <w:tc>
          <w:tcPr>
            <w:tcW w:w="1573" w:type="dxa"/>
            <w:tcBorders>
              <w:top w:val="single" w:sz="4" w:space="0" w:color="auto"/>
            </w:tcBorders>
          </w:tcPr>
          <w:p w14:paraId="2305FF17" w14:textId="1BE9A7E6" w:rsidR="006C631A" w:rsidRPr="00704B67" w:rsidRDefault="00E920E2" w:rsidP="006C631A">
            <w:pPr>
              <w:pStyle w:val="Els-body-text"/>
              <w:spacing w:after="120"/>
              <w:rPr>
                <w:bCs/>
                <w:lang w:val="en-GB"/>
              </w:rPr>
            </w:pPr>
            <w:r w:rsidRPr="00704B67">
              <w:rPr>
                <w:bCs/>
                <w:lang w:val="en-GB"/>
              </w:rPr>
              <w:t>Temperature (</w:t>
            </w:r>
            <w:r w:rsidRPr="00704B67">
              <w:t>°C)</w:t>
            </w:r>
            <w:r w:rsidRPr="00704B67">
              <w:rPr>
                <w:bCs/>
                <w:lang w:val="en-GB"/>
              </w:rPr>
              <w:t xml:space="preserve"> </w:t>
            </w:r>
          </w:p>
        </w:tc>
        <w:tc>
          <w:tcPr>
            <w:tcW w:w="2747" w:type="dxa"/>
            <w:tcBorders>
              <w:top w:val="single" w:sz="4" w:space="0" w:color="auto"/>
            </w:tcBorders>
          </w:tcPr>
          <w:p w14:paraId="3817D2F3" w14:textId="5BAD146D" w:rsidR="006C631A" w:rsidRPr="00704B67" w:rsidRDefault="00E920E2" w:rsidP="006C631A">
            <w:pPr>
              <w:pStyle w:val="Els-body-text"/>
              <w:spacing w:after="120"/>
              <w:rPr>
                <w:bCs/>
                <w:lang w:val="en-GB" w:eastAsia="ko-KR"/>
              </w:rPr>
            </w:pPr>
            <w:r w:rsidRPr="00704B67">
              <w:rPr>
                <w:bCs/>
                <w:lang w:val="en-GB" w:eastAsia="ko-KR"/>
              </w:rPr>
              <w:t>80</w:t>
            </w:r>
          </w:p>
        </w:tc>
        <w:tc>
          <w:tcPr>
            <w:tcW w:w="2747" w:type="dxa"/>
            <w:tcBorders>
              <w:top w:val="single" w:sz="4" w:space="0" w:color="auto"/>
            </w:tcBorders>
          </w:tcPr>
          <w:p w14:paraId="05047398" w14:textId="43B71050" w:rsidR="006C631A" w:rsidRPr="00704B67" w:rsidRDefault="00E920E2" w:rsidP="006C631A">
            <w:pPr>
              <w:pStyle w:val="Els-body-text"/>
              <w:spacing w:after="120"/>
              <w:rPr>
                <w:bCs/>
                <w:lang w:val="en-GB" w:eastAsia="ko-KR"/>
              </w:rPr>
            </w:pPr>
            <w:r w:rsidRPr="00704B67">
              <w:rPr>
                <w:bCs/>
                <w:lang w:val="en-GB" w:eastAsia="ko-KR"/>
              </w:rPr>
              <w:t>90</w:t>
            </w:r>
          </w:p>
        </w:tc>
      </w:tr>
      <w:tr w:rsidR="00E920E2" w:rsidRPr="00704B67" w14:paraId="2633A066" w14:textId="77777777" w:rsidTr="00E920E2">
        <w:trPr>
          <w:trHeight w:val="350"/>
        </w:trPr>
        <w:tc>
          <w:tcPr>
            <w:tcW w:w="1573" w:type="dxa"/>
          </w:tcPr>
          <w:p w14:paraId="67A4725E" w14:textId="723D238F" w:rsidR="006C631A" w:rsidRPr="00704B67" w:rsidRDefault="00E920E2" w:rsidP="006C631A">
            <w:pPr>
              <w:pStyle w:val="Els-body-text"/>
              <w:spacing w:after="120"/>
              <w:rPr>
                <w:bCs/>
                <w:lang w:val="en-GB" w:eastAsia="ko-KR"/>
              </w:rPr>
            </w:pPr>
            <w:r w:rsidRPr="00704B67">
              <w:rPr>
                <w:bCs/>
                <w:lang w:val="en-GB" w:eastAsia="ko-KR"/>
              </w:rPr>
              <w:t>pH value</w:t>
            </w:r>
          </w:p>
        </w:tc>
        <w:tc>
          <w:tcPr>
            <w:tcW w:w="2747" w:type="dxa"/>
          </w:tcPr>
          <w:p w14:paraId="2AC462FB" w14:textId="5A41A9E8" w:rsidR="006C631A" w:rsidRPr="00704B67" w:rsidRDefault="00E920E2" w:rsidP="006C631A">
            <w:pPr>
              <w:pStyle w:val="Els-body-text"/>
              <w:spacing w:after="120"/>
              <w:rPr>
                <w:bCs/>
                <w:lang w:val="en-GB"/>
              </w:rPr>
            </w:pPr>
            <w:r w:rsidRPr="00704B67">
              <w:rPr>
                <w:lang w:val="en-GB"/>
              </w:rPr>
              <w:t>7.0</w:t>
            </w:r>
          </w:p>
        </w:tc>
        <w:tc>
          <w:tcPr>
            <w:tcW w:w="2747" w:type="dxa"/>
          </w:tcPr>
          <w:p w14:paraId="4B160110" w14:textId="13334FEB" w:rsidR="006C631A" w:rsidRPr="00704B67" w:rsidRDefault="00E920E2" w:rsidP="006C631A">
            <w:pPr>
              <w:pStyle w:val="Els-body-text"/>
              <w:spacing w:after="120"/>
              <w:rPr>
                <w:lang w:val="en-GB" w:eastAsia="ko-KR"/>
              </w:rPr>
            </w:pPr>
            <w:r w:rsidRPr="00704B67">
              <w:rPr>
                <w:lang w:val="en-GB" w:eastAsia="ko-KR"/>
              </w:rPr>
              <w:t>10.6</w:t>
            </w:r>
          </w:p>
        </w:tc>
      </w:tr>
      <w:tr w:rsidR="00E920E2" w:rsidRPr="00704B67" w14:paraId="6373CD6F" w14:textId="77777777" w:rsidTr="00E920E2">
        <w:trPr>
          <w:trHeight w:val="578"/>
        </w:trPr>
        <w:tc>
          <w:tcPr>
            <w:tcW w:w="1573" w:type="dxa"/>
            <w:tcBorders>
              <w:bottom w:val="single" w:sz="4" w:space="0" w:color="auto"/>
            </w:tcBorders>
          </w:tcPr>
          <w:p w14:paraId="26A9B102" w14:textId="257A58F8" w:rsidR="00E920E2" w:rsidRPr="00704B67" w:rsidRDefault="00E920E2" w:rsidP="006C631A">
            <w:pPr>
              <w:pStyle w:val="Els-body-text"/>
              <w:spacing w:after="120"/>
              <w:rPr>
                <w:bCs/>
                <w:lang w:val="en-GB" w:eastAsia="ko-KR"/>
              </w:rPr>
            </w:pPr>
            <w:r w:rsidRPr="00704B67">
              <w:rPr>
                <w:bCs/>
                <w:lang w:val="en-GB" w:eastAsia="ko-KR"/>
              </w:rPr>
              <w:t>Recovery efficiency</w:t>
            </w:r>
            <w:r w:rsidR="006177A1" w:rsidRPr="00704B67">
              <w:rPr>
                <w:bCs/>
                <w:lang w:val="en-GB" w:eastAsia="ko-KR"/>
              </w:rPr>
              <w:t xml:space="preserve"> (%)</w:t>
            </w:r>
          </w:p>
        </w:tc>
        <w:tc>
          <w:tcPr>
            <w:tcW w:w="2747" w:type="dxa"/>
            <w:tcBorders>
              <w:bottom w:val="single" w:sz="4" w:space="0" w:color="auto"/>
            </w:tcBorders>
          </w:tcPr>
          <w:p w14:paraId="56F86C39" w14:textId="4C31A6E8" w:rsidR="006C631A" w:rsidRPr="00704B67" w:rsidRDefault="00E920E2" w:rsidP="006C631A">
            <w:pPr>
              <w:pStyle w:val="Els-body-text"/>
              <w:spacing w:after="120"/>
              <w:rPr>
                <w:lang w:val="en-GB"/>
              </w:rPr>
            </w:pPr>
            <w:r w:rsidRPr="00704B67">
              <w:rPr>
                <w:lang w:val="en-GB"/>
              </w:rPr>
              <w:t>9</w:t>
            </w:r>
            <w:r w:rsidR="00D86433" w:rsidRPr="00704B67">
              <w:rPr>
                <w:lang w:val="en-GB"/>
              </w:rPr>
              <w:t>8</w:t>
            </w:r>
            <w:r w:rsidRPr="00704B67">
              <w:rPr>
                <w:lang w:val="en-GB"/>
              </w:rPr>
              <w:t>.</w:t>
            </w:r>
            <w:r w:rsidR="00D86433" w:rsidRPr="00704B67">
              <w:rPr>
                <w:lang w:val="en-GB"/>
              </w:rPr>
              <w:t>95</w:t>
            </w:r>
          </w:p>
        </w:tc>
        <w:tc>
          <w:tcPr>
            <w:tcW w:w="2747" w:type="dxa"/>
            <w:tcBorders>
              <w:bottom w:val="single" w:sz="4" w:space="0" w:color="auto"/>
            </w:tcBorders>
          </w:tcPr>
          <w:p w14:paraId="135CA006" w14:textId="63637B86" w:rsidR="006C631A" w:rsidRPr="00704B67" w:rsidRDefault="00E920E2" w:rsidP="006C631A">
            <w:pPr>
              <w:pStyle w:val="Els-body-text"/>
              <w:spacing w:after="120"/>
              <w:rPr>
                <w:lang w:val="en-GB" w:eastAsia="ko-KR"/>
              </w:rPr>
            </w:pPr>
            <w:r w:rsidRPr="00704B67">
              <w:rPr>
                <w:lang w:val="en-GB" w:eastAsia="ko-KR"/>
              </w:rPr>
              <w:t>79.00</w:t>
            </w:r>
          </w:p>
        </w:tc>
      </w:tr>
    </w:tbl>
    <w:p w14:paraId="75A2DC6C" w14:textId="77777777" w:rsidR="000D57D5" w:rsidRPr="00704B67" w:rsidRDefault="000D57D5" w:rsidP="008D2649">
      <w:pPr>
        <w:pStyle w:val="Els-body-text"/>
        <w:spacing w:after="120"/>
        <w:rPr>
          <w:lang w:val="en-GB" w:eastAsia="ko-KR"/>
        </w:rPr>
      </w:pPr>
    </w:p>
    <w:p w14:paraId="5585A5A2" w14:textId="023FB9B8" w:rsidR="000D57D5" w:rsidRPr="00704B67" w:rsidRDefault="000D57D5" w:rsidP="008D2649">
      <w:pPr>
        <w:pStyle w:val="Els-body-text"/>
        <w:spacing w:after="120"/>
        <w:rPr>
          <w:lang w:val="en-GB"/>
        </w:rPr>
      </w:pPr>
      <w:r w:rsidRPr="00704B67">
        <w:rPr>
          <w:lang w:val="en-GB"/>
        </w:rPr>
        <w:t xml:space="preserve">Fig. </w:t>
      </w:r>
      <w:r w:rsidR="003B4ADB" w:rsidRPr="00704B67">
        <w:rPr>
          <w:lang w:val="en-GB"/>
        </w:rPr>
        <w:t>3</w:t>
      </w:r>
      <w:r w:rsidRPr="00704B67">
        <w:rPr>
          <w:lang w:val="en-GB"/>
        </w:rPr>
        <w:t xml:space="preserve"> shows the validation of the electrochemical model of the electrolysis cell with experimental data</w:t>
      </w:r>
      <w:r w:rsidR="006C631A" w:rsidRPr="00704B67">
        <w:rPr>
          <w:lang w:val="en-GB"/>
        </w:rPr>
        <w:t xml:space="preserve"> at </w:t>
      </w:r>
      <w:r w:rsidR="003B4ADB" w:rsidRPr="00704B67">
        <w:rPr>
          <w:lang w:val="en-GB"/>
        </w:rPr>
        <w:t xml:space="preserve">voltage of </w:t>
      </w:r>
      <w:r w:rsidR="006C631A" w:rsidRPr="00704B67">
        <w:rPr>
          <w:lang w:val="en-GB"/>
        </w:rPr>
        <w:t>4.75 V</w:t>
      </w:r>
      <w:r w:rsidRPr="00704B67">
        <w:rPr>
          <w:lang w:val="en-GB"/>
        </w:rPr>
        <w:t xml:space="preserve">. To improve the accuracy, parameter fitting </w:t>
      </w:r>
      <w:r w:rsidR="003B4ADB" w:rsidRPr="00704B67">
        <w:rPr>
          <w:lang w:val="en-GB"/>
        </w:rPr>
        <w:t>i</w:t>
      </w:r>
      <w:r w:rsidRPr="00704B67">
        <w:rPr>
          <w:lang w:val="en-GB"/>
        </w:rPr>
        <w:t xml:space="preserve">s performed using a genetic algorithm. </w:t>
      </w:r>
    </w:p>
    <w:p w14:paraId="1F9F8CAC" w14:textId="77777777" w:rsidR="000D57D5" w:rsidRPr="00704B67" w:rsidRDefault="000D57D5" w:rsidP="008D2649">
      <w:pPr>
        <w:pStyle w:val="Els-body-text"/>
        <w:spacing w:after="120"/>
        <w:rPr>
          <w:lang w:val="en-GB"/>
        </w:rPr>
      </w:pPr>
    </w:p>
    <w:p w14:paraId="20B81D2A" w14:textId="77777777" w:rsidR="00D37052" w:rsidRPr="00704B67" w:rsidRDefault="006C631A" w:rsidP="00D37052">
      <w:pPr>
        <w:pStyle w:val="Els-body-text"/>
        <w:keepNext/>
        <w:spacing w:after="120"/>
        <w:jc w:val="center"/>
      </w:pPr>
      <w:r w:rsidRPr="00704B67">
        <w:rPr>
          <w:noProof/>
          <w:lang w:val="en-GB"/>
        </w:rPr>
        <w:lastRenderedPageBreak/>
        <w:drawing>
          <wp:inline distT="0" distB="0" distL="0" distR="0" wp14:anchorId="4148A539" wp14:editId="3DAB84F8">
            <wp:extent cx="2669667" cy="1773860"/>
            <wp:effectExtent l="0" t="0" r="0" b="0"/>
            <wp:docPr id="752965656"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65656" name="그림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9667" cy="1773860"/>
                    </a:xfrm>
                    <a:prstGeom prst="rect">
                      <a:avLst/>
                    </a:prstGeom>
                  </pic:spPr>
                </pic:pic>
              </a:graphicData>
            </a:graphic>
          </wp:inline>
        </w:drawing>
      </w:r>
    </w:p>
    <w:p w14:paraId="43E48BF5" w14:textId="14CF6D95" w:rsidR="000D57D5" w:rsidRPr="00704B67" w:rsidRDefault="00D37052" w:rsidP="00D37052">
      <w:pPr>
        <w:pStyle w:val="a3"/>
        <w:jc w:val="center"/>
        <w:rPr>
          <w:sz w:val="20"/>
          <w:szCs w:val="22"/>
          <w:lang w:val="en-GB"/>
        </w:rPr>
      </w:pPr>
      <w:r w:rsidRPr="00704B67">
        <w:rPr>
          <w:sz w:val="20"/>
          <w:szCs w:val="22"/>
        </w:rPr>
        <w:t xml:space="preserve">Fig. </w:t>
      </w:r>
      <w:r w:rsidRPr="00704B67">
        <w:rPr>
          <w:sz w:val="20"/>
          <w:szCs w:val="22"/>
        </w:rPr>
        <w:fldChar w:fldCharType="begin"/>
      </w:r>
      <w:r w:rsidRPr="00704B67">
        <w:rPr>
          <w:sz w:val="20"/>
          <w:szCs w:val="22"/>
        </w:rPr>
        <w:instrText xml:space="preserve"> SEQ Figure \* ARABIC </w:instrText>
      </w:r>
      <w:r w:rsidRPr="00704B67">
        <w:rPr>
          <w:sz w:val="20"/>
          <w:szCs w:val="22"/>
        </w:rPr>
        <w:fldChar w:fldCharType="separate"/>
      </w:r>
      <w:r w:rsidRPr="00704B67">
        <w:rPr>
          <w:noProof/>
          <w:sz w:val="20"/>
          <w:szCs w:val="22"/>
        </w:rPr>
        <w:t>3</w:t>
      </w:r>
      <w:r w:rsidRPr="00704B67">
        <w:rPr>
          <w:sz w:val="20"/>
          <w:szCs w:val="22"/>
        </w:rPr>
        <w:fldChar w:fldCharType="end"/>
      </w:r>
      <w:r w:rsidRPr="00704B67">
        <w:rPr>
          <w:sz w:val="20"/>
          <w:szCs w:val="22"/>
        </w:rPr>
        <w:t xml:space="preserve">. </w:t>
      </w:r>
      <w:r w:rsidRPr="00704B67">
        <w:rPr>
          <w:sz w:val="20"/>
          <w:szCs w:val="22"/>
          <w:lang w:eastAsia="ko-KR"/>
        </w:rPr>
        <w:t>Comparison between simulation results and experimental data</w:t>
      </w:r>
      <w:r w:rsidR="002E026B" w:rsidRPr="00704B67">
        <w:rPr>
          <w:sz w:val="20"/>
          <w:szCs w:val="22"/>
          <w:lang w:eastAsia="ko-KR"/>
        </w:rPr>
        <w:t>.</w:t>
      </w:r>
    </w:p>
    <w:p w14:paraId="15B881FB" w14:textId="77777777" w:rsidR="000D57D5" w:rsidRPr="00704B67" w:rsidRDefault="000D57D5" w:rsidP="008D2649">
      <w:pPr>
        <w:pStyle w:val="Els-body-text"/>
        <w:spacing w:after="120"/>
        <w:rPr>
          <w:lang w:val="en-GB"/>
        </w:rPr>
      </w:pPr>
    </w:p>
    <w:p w14:paraId="144DE6AE" w14:textId="6F8E6875" w:rsidR="008D2649" w:rsidRPr="00704B67" w:rsidRDefault="00907983" w:rsidP="008D2649">
      <w:pPr>
        <w:pStyle w:val="Els-1storder-head"/>
        <w:spacing w:after="120"/>
        <w:rPr>
          <w:lang w:val="en-GB"/>
        </w:rPr>
      </w:pPr>
      <w:r w:rsidRPr="00704B67">
        <w:rPr>
          <w:lang w:val="en-GB"/>
        </w:rPr>
        <w:t>Conclusions</w:t>
      </w:r>
    </w:p>
    <w:p w14:paraId="0A38FC83" w14:textId="38BF284B" w:rsidR="004A4B50" w:rsidRPr="00704B67" w:rsidRDefault="00A52120" w:rsidP="004A4B50">
      <w:pPr>
        <w:pStyle w:val="Els-body-text"/>
        <w:rPr>
          <w:lang w:val="en-GB" w:eastAsia="ko-KR"/>
        </w:rPr>
      </w:pPr>
      <w:r w:rsidRPr="00704B67">
        <w:t xml:space="preserve">This study firstly proposed conceptual design of closed-loop precursor re-synthesis assisted by hydrogen roasting and wastewater electrolysis. Furthermore, </w:t>
      </w:r>
      <w:r w:rsidR="009167DD">
        <w:t>t</w:t>
      </w:r>
      <w:r w:rsidR="009167DD" w:rsidRPr="009167DD">
        <w:t>he results of industrial scaled simulation showed the recovery of 98.9</w:t>
      </w:r>
      <w:r w:rsidR="00693C10">
        <w:t>5</w:t>
      </w:r>
      <w:r w:rsidR="009167DD" w:rsidRPr="009167DD">
        <w:t xml:space="preserve"> % for Li and 79.00 % for NMC precursor. </w:t>
      </w:r>
      <w:r w:rsidRPr="00704B67">
        <w:rPr>
          <w:lang w:val="en-GB" w:eastAsia="ko-KR"/>
        </w:rPr>
        <w:t xml:space="preserve">As future work, techno-economic analysis will be conducted to reveal that </w:t>
      </w:r>
      <w:r w:rsidRPr="00704B67">
        <w:t>the proposed process could be a feasible solution for economic and environmentally sustainable battery recycling.</w:t>
      </w:r>
      <w:r w:rsidRPr="00704B67">
        <w:rPr>
          <w:lang w:val="en-GB" w:eastAsia="ko-KR"/>
        </w:rPr>
        <w:t xml:space="preserve"> </w:t>
      </w:r>
    </w:p>
    <w:bookmarkEnd w:id="1"/>
    <w:p w14:paraId="144DE6BF" w14:textId="608D0AD6" w:rsidR="008D2649" w:rsidRPr="00704B67" w:rsidRDefault="008D2649" w:rsidP="008D2649">
      <w:pPr>
        <w:pStyle w:val="Els-reference-head"/>
      </w:pPr>
      <w:r w:rsidRPr="00704B67">
        <w:t>References</w:t>
      </w:r>
    </w:p>
    <w:bookmarkEnd w:id="2"/>
    <w:p w14:paraId="728BA2E5" w14:textId="58A8E0C8" w:rsidR="00933963" w:rsidRPr="00704B67" w:rsidRDefault="00933963" w:rsidP="00933963">
      <w:pPr>
        <w:pStyle w:val="Els-referenceno-number"/>
        <w:rPr>
          <w:lang w:val="en-US"/>
        </w:rPr>
      </w:pPr>
      <w:r w:rsidRPr="00704B67">
        <w:t xml:space="preserve">C. Curry, </w:t>
      </w:r>
      <w:r w:rsidRPr="00704B67">
        <w:rPr>
          <w:lang w:eastAsia="ko-KR"/>
        </w:rPr>
        <w:t>2017,</w:t>
      </w:r>
      <w:r w:rsidRPr="00704B67">
        <w:t xml:space="preserve"> Lithium-ion battery costs and market. Bloomberg New Energy Finance</w:t>
      </w:r>
      <w:r w:rsidRPr="00704B67">
        <w:rPr>
          <w:lang w:val="en-US" w:eastAsia="ko-KR"/>
        </w:rPr>
        <w:t>.</w:t>
      </w:r>
    </w:p>
    <w:p w14:paraId="7360E75A" w14:textId="0D939A1A" w:rsidR="00933963" w:rsidRPr="00704B67" w:rsidRDefault="00933963" w:rsidP="00933963">
      <w:pPr>
        <w:pStyle w:val="Els-referenceno-number"/>
        <w:rPr>
          <w:lang w:val="en-US"/>
        </w:rPr>
      </w:pPr>
      <w:r w:rsidRPr="00704B67">
        <w:rPr>
          <w:lang w:val="en-US"/>
        </w:rPr>
        <w:t xml:space="preserve">Jiahu Fang, </w:t>
      </w:r>
      <w:r w:rsidRPr="00704B67">
        <w:rPr>
          <w:lang w:val="en-US" w:eastAsia="ko-KR"/>
        </w:rPr>
        <w:t xml:space="preserve">2022, </w:t>
      </w:r>
      <w:r w:rsidRPr="00704B67">
        <w:rPr>
          <w:lang w:val="en-US"/>
        </w:rPr>
        <w:t>Green recycling and regeneration of LiNi0.5Co0.2Mn0.3O2 from spent Lithium-ion batteries assisted by sodium sulfate electrolysis,</w:t>
      </w:r>
      <w:r w:rsidRPr="00704B67">
        <w:rPr>
          <w:lang w:val="en-US" w:eastAsia="ko-KR"/>
        </w:rPr>
        <w:t xml:space="preserve"> </w:t>
      </w:r>
      <w:r w:rsidRPr="00704B67">
        <w:rPr>
          <w:lang w:val="en-US"/>
        </w:rPr>
        <w:t xml:space="preserve">Chemical Engineering Journal. </w:t>
      </w:r>
    </w:p>
    <w:p w14:paraId="0170C5E9" w14:textId="4C815779" w:rsidR="005F71E2" w:rsidRPr="00704B67" w:rsidRDefault="005F71E2" w:rsidP="005F71E2">
      <w:pPr>
        <w:pStyle w:val="Els-referenceno-number"/>
        <w:rPr>
          <w:lang w:val="en-US"/>
        </w:rPr>
      </w:pPr>
      <w:r w:rsidRPr="00704B67">
        <w:rPr>
          <w:lang w:val="en-US"/>
        </w:rPr>
        <w:t>Xiaoqing Chen, 2022, Co-precipitation preparation of Ni-Co-Mn ternary cathode materials by using the sources extracting directly from spent lithium-ion batteries,</w:t>
      </w:r>
      <w:r w:rsidRPr="00704B67">
        <w:rPr>
          <w:lang w:val="en-US" w:eastAsia="ko-KR"/>
        </w:rPr>
        <w:t xml:space="preserve"> </w:t>
      </w:r>
      <w:r w:rsidRPr="00704B67">
        <w:rPr>
          <w:lang w:val="en-US"/>
        </w:rPr>
        <w:t>Journal of Alloys and Compounds.</w:t>
      </w:r>
    </w:p>
    <w:p w14:paraId="704D5A2D" w14:textId="1905A8B5" w:rsidR="006D31BA" w:rsidRPr="00704B67" w:rsidRDefault="006D31BA" w:rsidP="006D31BA">
      <w:pPr>
        <w:pStyle w:val="Els-referenceno-number"/>
        <w:rPr>
          <w:lang w:val="en-US"/>
        </w:rPr>
      </w:pPr>
      <w:r w:rsidRPr="00704B67">
        <w:rPr>
          <w:lang w:val="en-US"/>
        </w:rPr>
        <w:t>Jucai Wei, 2021, A zero-emission method for recycling phosphogypsum using Na2SO4 electrolysis: Preliminary study,</w:t>
      </w:r>
      <w:r w:rsidRPr="00704B67">
        <w:rPr>
          <w:lang w:val="en-US" w:eastAsia="ko-KR"/>
        </w:rPr>
        <w:t xml:space="preserve"> </w:t>
      </w:r>
      <w:r w:rsidRPr="00704B67">
        <w:rPr>
          <w:lang w:val="en-US"/>
        </w:rPr>
        <w:t>Separation and Purification Technology.</w:t>
      </w:r>
    </w:p>
    <w:p w14:paraId="456A4755" w14:textId="61C4D8C7" w:rsidR="00933963" w:rsidRPr="00704B67" w:rsidRDefault="00933963" w:rsidP="00933963">
      <w:pPr>
        <w:pStyle w:val="Els-referenceno-number"/>
        <w:rPr>
          <w:lang w:val="en-US"/>
        </w:rPr>
      </w:pPr>
      <w:r w:rsidRPr="00704B67">
        <w:rPr>
          <w:lang w:val="en-US"/>
        </w:rPr>
        <w:t>Hyejeong Lee,</w:t>
      </w:r>
      <w:r w:rsidRPr="00704B67">
        <w:rPr>
          <w:lang w:val="en-US" w:eastAsia="ko-KR"/>
        </w:rPr>
        <w:t xml:space="preserve"> </w:t>
      </w:r>
      <w:r w:rsidRPr="00704B67">
        <w:rPr>
          <w:lang w:val="en-US"/>
        </w:rPr>
        <w:t>Novel lithium production process using desalination wastewater and waste heat from natural gas combined cycle,</w:t>
      </w:r>
      <w:r w:rsidRPr="00704B67">
        <w:rPr>
          <w:lang w:val="en-US" w:eastAsia="ko-KR"/>
        </w:rPr>
        <w:t xml:space="preserve"> </w:t>
      </w:r>
      <w:r w:rsidRPr="00704B67">
        <w:rPr>
          <w:lang w:val="en-US"/>
        </w:rPr>
        <w:t>Energy Conversion and Management</w:t>
      </w:r>
      <w:r w:rsidRPr="00704B67">
        <w:rPr>
          <w:lang w:val="en-US" w:eastAsia="ko-KR"/>
        </w:rPr>
        <w:t>.</w:t>
      </w:r>
    </w:p>
    <w:p w14:paraId="189283EB" w14:textId="0D7D6AEB" w:rsidR="006D31BA" w:rsidRPr="00704B67" w:rsidRDefault="006D31BA" w:rsidP="006D31BA">
      <w:pPr>
        <w:pStyle w:val="Els-referenceno-number"/>
      </w:pPr>
      <w:r w:rsidRPr="00704B67">
        <w:t xml:space="preserve">F. Liu, 2021, Selective lithium recovery and integrated preparation of high-purity lithium hydroxide products from spent lithium-ion batteries, </w:t>
      </w:r>
      <w:r w:rsidRPr="00704B67">
        <w:rPr>
          <w:lang w:val="en-US"/>
        </w:rPr>
        <w:t>Separation and Purification Technology</w:t>
      </w:r>
      <w:r w:rsidRPr="00704B67">
        <w:t>.</w:t>
      </w:r>
    </w:p>
    <w:p w14:paraId="54919094" w14:textId="1F7B6E0C" w:rsidR="006D31BA" w:rsidRPr="00704B67" w:rsidRDefault="006D31BA" w:rsidP="006D31BA">
      <w:pPr>
        <w:pStyle w:val="Els-referenceno-number"/>
        <w:rPr>
          <w:lang w:val="en-US"/>
        </w:rPr>
      </w:pPr>
      <w:r w:rsidRPr="00704B67">
        <w:rPr>
          <w:lang w:val="en-US"/>
        </w:rPr>
        <w:t>Jeongdong Kim, 2023, Process design and economic analysis of hydrogen roasting integrated with CCU for a carbon-free spent LIB recycling process,</w:t>
      </w:r>
      <w:r w:rsidRPr="00704B67">
        <w:rPr>
          <w:lang w:val="en-US" w:eastAsia="ko-KR"/>
        </w:rPr>
        <w:t xml:space="preserve"> </w:t>
      </w:r>
      <w:r w:rsidRPr="00704B67">
        <w:rPr>
          <w:lang w:val="en-US"/>
        </w:rPr>
        <w:t>Chemical Engineering Journal.</w:t>
      </w:r>
    </w:p>
    <w:p w14:paraId="0A8196DC" w14:textId="69530C1D" w:rsidR="006D31BA" w:rsidRPr="00704B67" w:rsidRDefault="006D31BA" w:rsidP="006D31BA">
      <w:pPr>
        <w:pStyle w:val="Els-referenceno-number"/>
      </w:pPr>
      <w:r w:rsidRPr="00704B67">
        <w:t xml:space="preserve">Federica Mosca, </w:t>
      </w:r>
      <w:r w:rsidR="009C6874" w:rsidRPr="00704B67">
        <w:rPr>
          <w:lang w:eastAsia="ko-KR"/>
        </w:rPr>
        <w:t>2023,</w:t>
      </w:r>
      <w:r w:rsidR="009C6874" w:rsidRPr="00704B67">
        <w:t xml:space="preserve"> </w:t>
      </w:r>
      <w:r w:rsidRPr="00704B67">
        <w:t>Modelling and simulation of an Offshore Wind-Hydrogen combined system for hydrogen production using an anion exchange membrane electrolyzer, NTNU.</w:t>
      </w:r>
    </w:p>
    <w:p w14:paraId="73AA0F1E" w14:textId="07B19844" w:rsidR="006D31BA" w:rsidRPr="00704B67" w:rsidRDefault="00EE371F" w:rsidP="006D31BA">
      <w:pPr>
        <w:pStyle w:val="Els-referenceno-number"/>
      </w:pPr>
      <w:r w:rsidRPr="00704B67">
        <w:t>Hu, Q</w:t>
      </w:r>
      <w:r w:rsidR="009C6874" w:rsidRPr="00704B67">
        <w:rPr>
          <w:lang w:eastAsia="ko-KR"/>
        </w:rPr>
        <w:t>.,</w:t>
      </w:r>
      <w:r w:rsidRPr="00704B67">
        <w:t xml:space="preserve"> 2004</w:t>
      </w:r>
      <w:r w:rsidRPr="00704B67">
        <w:rPr>
          <w:lang w:eastAsia="ko-KR"/>
        </w:rPr>
        <w:t>,</w:t>
      </w:r>
      <w:r w:rsidRPr="00704B67">
        <w:t xml:space="preserve"> Nonlinear kinetic parameter estimation for batch cooling seeded</w:t>
      </w:r>
      <w:r w:rsidR="009C6874" w:rsidRPr="00704B67">
        <w:t xml:space="preserve"> </w:t>
      </w:r>
      <w:r w:rsidRPr="00704B67">
        <w:t>crystallization</w:t>
      </w:r>
      <w:r w:rsidRPr="00704B67">
        <w:rPr>
          <w:lang w:eastAsia="ko-KR"/>
        </w:rPr>
        <w:t>,</w:t>
      </w:r>
      <w:r w:rsidRPr="00704B67">
        <w:t> AIChE Journal.</w:t>
      </w:r>
    </w:p>
    <w:p w14:paraId="04D9DAE3" w14:textId="3311E582" w:rsidR="00057A8B" w:rsidRPr="00704B67" w:rsidRDefault="00057A8B" w:rsidP="00057A8B">
      <w:pPr>
        <w:pStyle w:val="Els-referenceno-number"/>
        <w:rPr>
          <w:lang w:val="en-US" w:eastAsia="ko-KR"/>
        </w:rPr>
      </w:pPr>
      <w:r w:rsidRPr="00704B67">
        <w:rPr>
          <w:lang w:val="en-US"/>
        </w:rPr>
        <w:t xml:space="preserve">Jeongdong Kim, </w:t>
      </w:r>
      <w:r w:rsidRPr="00704B67">
        <w:rPr>
          <w:lang w:val="en-US" w:eastAsia="ko-KR"/>
        </w:rPr>
        <w:t>2023,</w:t>
      </w:r>
      <w:r w:rsidRPr="00704B67">
        <w:rPr>
          <w:lang w:val="en-US"/>
        </w:rPr>
        <w:t xml:space="preserve"> Integration of wastewater electro-electrodialysis and CO2 capture for sustainable LIB recycling: Process design and economic analyses,</w:t>
      </w:r>
      <w:r w:rsidRPr="00704B67">
        <w:rPr>
          <w:lang w:val="en-US" w:eastAsia="ko-KR"/>
        </w:rPr>
        <w:t xml:space="preserve"> </w:t>
      </w:r>
      <w:r w:rsidRPr="00704B67">
        <w:rPr>
          <w:lang w:val="en-US"/>
        </w:rPr>
        <w:t>Journal of Cleaner Production</w:t>
      </w:r>
      <w:r w:rsidRPr="00704B67">
        <w:rPr>
          <w:lang w:val="en-US" w:eastAsia="ko-KR"/>
        </w:rPr>
        <w:t>.</w:t>
      </w:r>
    </w:p>
    <w:p w14:paraId="20431C50" w14:textId="6D9DFF6E" w:rsidR="00057A8B" w:rsidRPr="00704B67" w:rsidRDefault="00057A8B" w:rsidP="00057A8B">
      <w:pPr>
        <w:pStyle w:val="Els-referenceno-number"/>
        <w:rPr>
          <w:lang w:val="en-US" w:eastAsia="ko-KR"/>
        </w:rPr>
      </w:pPr>
      <w:r w:rsidRPr="00704B67">
        <w:rPr>
          <w:lang w:val="en-US"/>
        </w:rPr>
        <w:t xml:space="preserve">Jeongdong Kim, </w:t>
      </w:r>
      <w:r w:rsidRPr="00704B67">
        <w:rPr>
          <w:lang w:val="en-US" w:eastAsia="ko-KR"/>
        </w:rPr>
        <w:t xml:space="preserve">2023, </w:t>
      </w:r>
      <w:r w:rsidRPr="00704B67">
        <w:rPr>
          <w:lang w:val="en-US"/>
        </w:rPr>
        <w:t>Sequential flue gas utilization for sustainable leaching and metal precipitation of spent lithium-ion battery cathode material: Process design and techno-economic analysis,</w:t>
      </w:r>
      <w:r w:rsidRPr="00704B67">
        <w:rPr>
          <w:lang w:val="en-US" w:eastAsia="ko-KR"/>
        </w:rPr>
        <w:t xml:space="preserve"> </w:t>
      </w:r>
      <w:r w:rsidRPr="00704B67">
        <w:rPr>
          <w:lang w:val="en-US"/>
        </w:rPr>
        <w:t>Journal of Cleaner Production</w:t>
      </w:r>
      <w:r w:rsidRPr="00704B67">
        <w:rPr>
          <w:lang w:val="en-US" w:eastAsia="ko-KR"/>
        </w:rPr>
        <w:t>.</w:t>
      </w:r>
    </w:p>
    <w:p w14:paraId="24238490" w14:textId="61C443A7" w:rsidR="00933963" w:rsidRPr="00704B67" w:rsidRDefault="00933963" w:rsidP="00933963">
      <w:pPr>
        <w:pStyle w:val="Els-referenceno-number"/>
        <w:rPr>
          <w:lang w:val="en-US"/>
        </w:rPr>
      </w:pPr>
    </w:p>
    <w:sectPr w:rsidR="00933963" w:rsidRPr="00704B67"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E3F0" w14:textId="77777777" w:rsidR="001F7F72" w:rsidRDefault="001F7F72">
      <w:r>
        <w:separator/>
      </w:r>
    </w:p>
  </w:endnote>
  <w:endnote w:type="continuationSeparator" w:id="0">
    <w:p w14:paraId="5E483D1B" w14:textId="77777777" w:rsidR="001F7F72" w:rsidRDefault="001F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CA10" w14:textId="77777777" w:rsidR="001F7F72" w:rsidRDefault="001F7F72">
      <w:r>
        <w:separator/>
      </w:r>
    </w:p>
  </w:footnote>
  <w:footnote w:type="continuationSeparator" w:id="0">
    <w:p w14:paraId="6F8BCD77" w14:textId="77777777" w:rsidR="001F7F72" w:rsidRDefault="001F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898FD8C" w:rsidR="00DD3D9E" w:rsidRDefault="00DD3D9E">
    <w:pPr>
      <w:pStyle w:val="a5"/>
      <w:tabs>
        <w:tab w:val="clear" w:pos="7200"/>
        <w:tab w:val="right" w:pos="7088"/>
      </w:tabs>
    </w:pPr>
    <w:r>
      <w:rPr>
        <w:rStyle w:val="aa"/>
      </w:rPr>
      <w:tab/>
    </w:r>
    <w:r>
      <w:rPr>
        <w:rStyle w:val="aa"/>
        <w:i/>
      </w:rPr>
      <w:tab/>
    </w:r>
    <w:r w:rsidR="00077D7E">
      <w:rPr>
        <w:rStyle w:val="aa"/>
        <w:i/>
      </w:rPr>
      <w:t>Sunwoo Kim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936CBD8" w:rsidR="00DD3D9E" w:rsidRDefault="00077D7E" w:rsidP="00077D7E">
    <w:pPr>
      <w:pStyle w:val="a5"/>
      <w:tabs>
        <w:tab w:val="clear" w:pos="7200"/>
        <w:tab w:val="right" w:pos="7088"/>
      </w:tabs>
      <w:rPr>
        <w:sz w:val="24"/>
      </w:rPr>
    </w:pPr>
    <w:r>
      <w:rPr>
        <w:i/>
      </w:rPr>
      <w:t>Novel closed-loop precursor re-synthesis assisted by roasting and wastewater electrolysis: Industrial scaled design and simulation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5814571"/>
    <w:multiLevelType w:val="hybridMultilevel"/>
    <w:tmpl w:val="3B4634E8"/>
    <w:lvl w:ilvl="0" w:tplc="63D458BA">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764523566">
    <w:abstractNumId w:val="11"/>
  </w:num>
  <w:num w:numId="2" w16cid:durableId="1671105256">
    <w:abstractNumId w:val="11"/>
  </w:num>
  <w:num w:numId="3" w16cid:durableId="889148076">
    <w:abstractNumId w:val="11"/>
  </w:num>
  <w:num w:numId="4" w16cid:durableId="1331568630">
    <w:abstractNumId w:val="11"/>
  </w:num>
  <w:num w:numId="5" w16cid:durableId="1363554003">
    <w:abstractNumId w:val="0"/>
  </w:num>
  <w:num w:numId="6" w16cid:durableId="1387097380">
    <w:abstractNumId w:val="6"/>
  </w:num>
  <w:num w:numId="7" w16cid:durableId="1232886261">
    <w:abstractNumId w:val="12"/>
  </w:num>
  <w:num w:numId="8" w16cid:durableId="1737430238">
    <w:abstractNumId w:val="1"/>
  </w:num>
  <w:num w:numId="9" w16cid:durableId="1993680076">
    <w:abstractNumId w:val="10"/>
  </w:num>
  <w:num w:numId="10" w16cid:durableId="823087141">
    <w:abstractNumId w:val="15"/>
  </w:num>
  <w:num w:numId="11" w16cid:durableId="1726827662">
    <w:abstractNumId w:val="14"/>
  </w:num>
  <w:num w:numId="12" w16cid:durableId="1973485744">
    <w:abstractNumId w:val="5"/>
  </w:num>
  <w:num w:numId="13" w16cid:durableId="1994262331">
    <w:abstractNumId w:val="8"/>
  </w:num>
  <w:num w:numId="14" w16cid:durableId="1149055729">
    <w:abstractNumId w:val="2"/>
  </w:num>
  <w:num w:numId="15" w16cid:durableId="427240636">
    <w:abstractNumId w:val="7"/>
  </w:num>
  <w:num w:numId="16" w16cid:durableId="1771312577">
    <w:abstractNumId w:val="3"/>
  </w:num>
  <w:num w:numId="17" w16cid:durableId="731780642">
    <w:abstractNumId w:val="4"/>
  </w:num>
  <w:num w:numId="18" w16cid:durableId="1389839574">
    <w:abstractNumId w:val="9"/>
  </w:num>
  <w:num w:numId="19" w16cid:durableId="18275486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0309"/>
    <w:rsid w:val="00047CE9"/>
    <w:rsid w:val="000535E3"/>
    <w:rsid w:val="00057A8B"/>
    <w:rsid w:val="00067959"/>
    <w:rsid w:val="00077D7E"/>
    <w:rsid w:val="00084082"/>
    <w:rsid w:val="00085B67"/>
    <w:rsid w:val="000A61B7"/>
    <w:rsid w:val="000B3432"/>
    <w:rsid w:val="000C349A"/>
    <w:rsid w:val="000D3D9B"/>
    <w:rsid w:val="000D57D5"/>
    <w:rsid w:val="000F4CAD"/>
    <w:rsid w:val="00100C43"/>
    <w:rsid w:val="00132F69"/>
    <w:rsid w:val="0016032F"/>
    <w:rsid w:val="00187093"/>
    <w:rsid w:val="001879F6"/>
    <w:rsid w:val="001C0148"/>
    <w:rsid w:val="001C2C38"/>
    <w:rsid w:val="001C757E"/>
    <w:rsid w:val="001D7651"/>
    <w:rsid w:val="001F7F72"/>
    <w:rsid w:val="002004FD"/>
    <w:rsid w:val="00202330"/>
    <w:rsid w:val="0020390F"/>
    <w:rsid w:val="00243F4F"/>
    <w:rsid w:val="00254F23"/>
    <w:rsid w:val="00255E1E"/>
    <w:rsid w:val="00264926"/>
    <w:rsid w:val="002945BD"/>
    <w:rsid w:val="00296EEE"/>
    <w:rsid w:val="002C0225"/>
    <w:rsid w:val="002D17DB"/>
    <w:rsid w:val="002E026B"/>
    <w:rsid w:val="002F63E2"/>
    <w:rsid w:val="00324B12"/>
    <w:rsid w:val="003415DE"/>
    <w:rsid w:val="0035521C"/>
    <w:rsid w:val="003B4ADB"/>
    <w:rsid w:val="003C7A6D"/>
    <w:rsid w:val="003D1582"/>
    <w:rsid w:val="003D7E4C"/>
    <w:rsid w:val="003E41C2"/>
    <w:rsid w:val="004007A8"/>
    <w:rsid w:val="00406452"/>
    <w:rsid w:val="00412838"/>
    <w:rsid w:val="00441A01"/>
    <w:rsid w:val="00443EFC"/>
    <w:rsid w:val="00475520"/>
    <w:rsid w:val="004952D0"/>
    <w:rsid w:val="0049772C"/>
    <w:rsid w:val="004A4B50"/>
    <w:rsid w:val="004D31E1"/>
    <w:rsid w:val="004E396D"/>
    <w:rsid w:val="004E601D"/>
    <w:rsid w:val="004E6128"/>
    <w:rsid w:val="004E7504"/>
    <w:rsid w:val="004F0509"/>
    <w:rsid w:val="004F1583"/>
    <w:rsid w:val="004F2993"/>
    <w:rsid w:val="0052644D"/>
    <w:rsid w:val="0054284A"/>
    <w:rsid w:val="00546025"/>
    <w:rsid w:val="00552EEB"/>
    <w:rsid w:val="0057444F"/>
    <w:rsid w:val="00577D58"/>
    <w:rsid w:val="0058259E"/>
    <w:rsid w:val="005A09E5"/>
    <w:rsid w:val="005A3287"/>
    <w:rsid w:val="005B0DA1"/>
    <w:rsid w:val="005B1040"/>
    <w:rsid w:val="005D7D34"/>
    <w:rsid w:val="005F14B6"/>
    <w:rsid w:val="005F71E2"/>
    <w:rsid w:val="00615D9F"/>
    <w:rsid w:val="006177A1"/>
    <w:rsid w:val="00644A82"/>
    <w:rsid w:val="00651B0D"/>
    <w:rsid w:val="00693C10"/>
    <w:rsid w:val="006A69BF"/>
    <w:rsid w:val="006C631A"/>
    <w:rsid w:val="006D31BA"/>
    <w:rsid w:val="006E3D19"/>
    <w:rsid w:val="007024C4"/>
    <w:rsid w:val="00704B67"/>
    <w:rsid w:val="00711DF4"/>
    <w:rsid w:val="007151B0"/>
    <w:rsid w:val="007B338B"/>
    <w:rsid w:val="007C727A"/>
    <w:rsid w:val="007D4383"/>
    <w:rsid w:val="007D70A1"/>
    <w:rsid w:val="007E1EF5"/>
    <w:rsid w:val="007F0260"/>
    <w:rsid w:val="008132E8"/>
    <w:rsid w:val="008148F4"/>
    <w:rsid w:val="00821F7A"/>
    <w:rsid w:val="00823407"/>
    <w:rsid w:val="00826686"/>
    <w:rsid w:val="00860BAE"/>
    <w:rsid w:val="00890C0F"/>
    <w:rsid w:val="008B0184"/>
    <w:rsid w:val="008C5D02"/>
    <w:rsid w:val="008D2649"/>
    <w:rsid w:val="008E5D22"/>
    <w:rsid w:val="008F6425"/>
    <w:rsid w:val="00903215"/>
    <w:rsid w:val="0090568D"/>
    <w:rsid w:val="00907983"/>
    <w:rsid w:val="009125C9"/>
    <w:rsid w:val="009127F7"/>
    <w:rsid w:val="00913879"/>
    <w:rsid w:val="009167DD"/>
    <w:rsid w:val="00917661"/>
    <w:rsid w:val="00933963"/>
    <w:rsid w:val="00941DEF"/>
    <w:rsid w:val="00956498"/>
    <w:rsid w:val="00970E5D"/>
    <w:rsid w:val="0097701C"/>
    <w:rsid w:val="00980A65"/>
    <w:rsid w:val="00991091"/>
    <w:rsid w:val="0099253D"/>
    <w:rsid w:val="009A4DBD"/>
    <w:rsid w:val="009C6874"/>
    <w:rsid w:val="009E43FB"/>
    <w:rsid w:val="009F5FE4"/>
    <w:rsid w:val="00A00EBB"/>
    <w:rsid w:val="00A25E70"/>
    <w:rsid w:val="00A33765"/>
    <w:rsid w:val="00A3625A"/>
    <w:rsid w:val="00A45DE8"/>
    <w:rsid w:val="00A52120"/>
    <w:rsid w:val="00A63269"/>
    <w:rsid w:val="00A92122"/>
    <w:rsid w:val="00A92377"/>
    <w:rsid w:val="00AB29ED"/>
    <w:rsid w:val="00AB3099"/>
    <w:rsid w:val="00AB511D"/>
    <w:rsid w:val="00AC0EB3"/>
    <w:rsid w:val="00AD6531"/>
    <w:rsid w:val="00AE4BD8"/>
    <w:rsid w:val="00AE57D0"/>
    <w:rsid w:val="00AF13E2"/>
    <w:rsid w:val="00B1022B"/>
    <w:rsid w:val="00B25D7B"/>
    <w:rsid w:val="00B360BB"/>
    <w:rsid w:val="00B4388F"/>
    <w:rsid w:val="00B55076"/>
    <w:rsid w:val="00B63237"/>
    <w:rsid w:val="00B66A14"/>
    <w:rsid w:val="00B80B87"/>
    <w:rsid w:val="00BA221F"/>
    <w:rsid w:val="00BD79A7"/>
    <w:rsid w:val="00C0095D"/>
    <w:rsid w:val="00C07BFE"/>
    <w:rsid w:val="00C115FC"/>
    <w:rsid w:val="00C431CF"/>
    <w:rsid w:val="00C46951"/>
    <w:rsid w:val="00C71EE9"/>
    <w:rsid w:val="00C922A6"/>
    <w:rsid w:val="00C960DC"/>
    <w:rsid w:val="00CC1335"/>
    <w:rsid w:val="00CD63F3"/>
    <w:rsid w:val="00D02C75"/>
    <w:rsid w:val="00D10E22"/>
    <w:rsid w:val="00D13D2C"/>
    <w:rsid w:val="00D362F0"/>
    <w:rsid w:val="00D37052"/>
    <w:rsid w:val="00D51F2E"/>
    <w:rsid w:val="00D67F4B"/>
    <w:rsid w:val="00D740F6"/>
    <w:rsid w:val="00D86433"/>
    <w:rsid w:val="00DA2103"/>
    <w:rsid w:val="00DB02CC"/>
    <w:rsid w:val="00DB448A"/>
    <w:rsid w:val="00DC28EA"/>
    <w:rsid w:val="00DC2F94"/>
    <w:rsid w:val="00DD3D9E"/>
    <w:rsid w:val="00DD7908"/>
    <w:rsid w:val="00E436B1"/>
    <w:rsid w:val="00E56F00"/>
    <w:rsid w:val="00E82297"/>
    <w:rsid w:val="00E920E2"/>
    <w:rsid w:val="00E94D74"/>
    <w:rsid w:val="00E97E9A"/>
    <w:rsid w:val="00EA6F19"/>
    <w:rsid w:val="00EE371F"/>
    <w:rsid w:val="00EF39FD"/>
    <w:rsid w:val="00F06842"/>
    <w:rsid w:val="00F06F80"/>
    <w:rsid w:val="00F107FD"/>
    <w:rsid w:val="00F156F0"/>
    <w:rsid w:val="00F36E05"/>
    <w:rsid w:val="00F506FB"/>
    <w:rsid w:val="00F6078A"/>
    <w:rsid w:val="00F9470D"/>
    <w:rsid w:val="00FA120E"/>
    <w:rsid w:val="00FB64A8"/>
    <w:rsid w:val="00FD36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122"/>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Unresolved Mention"/>
    <w:basedOn w:val="a0"/>
    <w:uiPriority w:val="99"/>
    <w:semiHidden/>
    <w:unhideWhenUsed/>
    <w:rsid w:val="00821F7A"/>
    <w:rPr>
      <w:color w:val="605E5C"/>
      <w:shd w:val="clear" w:color="auto" w:fill="E1DFDD"/>
    </w:rPr>
  </w:style>
  <w:style w:type="table" w:styleId="af0">
    <w:name w:val="Table Grid"/>
    <w:basedOn w:val="a1"/>
    <w:rsid w:val="0025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2945BD"/>
    <w:rPr>
      <w:color w:val="808080"/>
    </w:rPr>
  </w:style>
  <w:style w:type="paragraph" w:styleId="af2">
    <w:name w:val="Revision"/>
    <w:hidden/>
    <w:uiPriority w:val="99"/>
    <w:semiHidden/>
    <w:rsid w:val="006E3D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jh24@yonsei.ac.k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3B16A-A977-4E04-89B7-B2957C81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TotalTime>
  <Pages>6</Pages>
  <Words>1984</Words>
  <Characters>11314</Characters>
  <Application>Microsoft Office Word</Application>
  <DocSecurity>0</DocSecurity>
  <Lines>94</Lines>
  <Paragraphs>26</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김선우</cp:lastModifiedBy>
  <cp:revision>3</cp:revision>
  <cp:lastPrinted>2004-12-17T09:20:00Z</cp:lastPrinted>
  <dcterms:created xsi:type="dcterms:W3CDTF">2023-12-10T17:11:00Z</dcterms:created>
  <dcterms:modified xsi:type="dcterms:W3CDTF">2023-12-10T17:15:00Z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