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DE67F" w14:textId="7411D85C" w:rsidR="00DD3D9E" w:rsidRPr="00851B39" w:rsidRDefault="00091837">
      <w:pPr>
        <w:pStyle w:val="Els-Title"/>
        <w:rPr>
          <w:color w:val="000000" w:themeColor="text1"/>
        </w:rPr>
      </w:pPr>
      <w:r w:rsidRPr="00851B39">
        <w:rPr>
          <w:color w:val="000000" w:themeColor="text1"/>
        </w:rPr>
        <w:t>Prospective life cycle analysis of green platform chemicals uncovers their full environmental potential</w:t>
      </w:r>
    </w:p>
    <w:p w14:paraId="144DE680" w14:textId="4CF3203F" w:rsidR="00DD3D9E" w:rsidRPr="00E13FCE" w:rsidRDefault="00BD2651">
      <w:pPr>
        <w:pStyle w:val="Els-Author"/>
        <w:rPr>
          <w:lang w:val="it-IT"/>
        </w:rPr>
      </w:pPr>
      <w:r w:rsidRPr="00E13FCE">
        <w:rPr>
          <w:lang w:val="it-IT"/>
        </w:rPr>
        <w:t>Abhinandan Nabera,</w:t>
      </w:r>
      <w:r w:rsidRPr="00E13FCE">
        <w:rPr>
          <w:vertAlign w:val="superscript"/>
          <w:lang w:val="it-IT"/>
        </w:rPr>
        <w:t>a</w:t>
      </w:r>
      <w:r w:rsidRPr="00E13FCE">
        <w:rPr>
          <w:lang w:val="it-IT"/>
        </w:rPr>
        <w:t xml:space="preserve"> </w:t>
      </w:r>
      <w:bookmarkStart w:id="0" w:name="_GoBack"/>
      <w:bookmarkEnd w:id="0"/>
      <w:r w:rsidRPr="00E13FCE">
        <w:rPr>
          <w:lang w:val="it-IT"/>
        </w:rPr>
        <w:t>Robert Istrate,</w:t>
      </w:r>
      <w:r w:rsidRPr="00E13FCE">
        <w:rPr>
          <w:vertAlign w:val="superscript"/>
          <w:lang w:val="it-IT"/>
        </w:rPr>
        <w:t>b</w:t>
      </w:r>
      <w:r w:rsidRPr="00E13FCE">
        <w:rPr>
          <w:lang w:val="it-IT"/>
        </w:rPr>
        <w:t xml:space="preserve"> Antonio José Martín,</w:t>
      </w:r>
      <w:r w:rsidRPr="00E13FCE">
        <w:rPr>
          <w:vertAlign w:val="superscript"/>
          <w:lang w:val="it-IT"/>
        </w:rPr>
        <w:t>a</w:t>
      </w:r>
      <w:r w:rsidRPr="00E13FCE">
        <w:rPr>
          <w:lang w:val="it-IT"/>
        </w:rPr>
        <w:t xml:space="preserve"> Javier Pérez</w:t>
      </w:r>
      <w:r w:rsidRPr="00E13FCE">
        <w:rPr>
          <w:lang w:val="it-IT"/>
        </w:rPr>
        <w:noBreakHyphen/>
        <w:t>Ramírez,</w:t>
      </w:r>
      <w:r w:rsidRPr="00E13FCE">
        <w:rPr>
          <w:vertAlign w:val="superscript"/>
          <w:lang w:val="it-IT"/>
        </w:rPr>
        <w:t>a,</w:t>
      </w:r>
      <w:r w:rsidRPr="00E13FCE">
        <w:rPr>
          <w:lang w:val="it-IT"/>
        </w:rPr>
        <w:t>* Gonzalo Guillén-Gosálbez</w:t>
      </w:r>
      <w:r w:rsidRPr="00E13FCE">
        <w:rPr>
          <w:vertAlign w:val="superscript"/>
          <w:lang w:val="it-IT"/>
        </w:rPr>
        <w:t>a,</w:t>
      </w:r>
      <w:r w:rsidRPr="00E13FCE">
        <w:rPr>
          <w:lang w:val="it-IT"/>
        </w:rPr>
        <w:t>*</w:t>
      </w:r>
    </w:p>
    <w:p w14:paraId="7B27AF16" w14:textId="693083AB" w:rsidR="002F053D" w:rsidRPr="00851B39" w:rsidRDefault="002F053D" w:rsidP="002F053D">
      <w:pPr>
        <w:pStyle w:val="Els-Affiliation"/>
        <w:rPr>
          <w:lang w:val="en-US"/>
        </w:rPr>
      </w:pPr>
      <w:r w:rsidRPr="00851B39">
        <w:rPr>
          <w:vertAlign w:val="superscript"/>
          <w:lang w:val="en-US"/>
        </w:rPr>
        <w:t>a</w:t>
      </w:r>
      <w:r w:rsidRPr="00851B39">
        <w:rPr>
          <w:lang w:val="en-US"/>
        </w:rPr>
        <w:t>Department of Chemistry and Applied Biosciences, ETH Zurich, 8093 Zurich, Switzerland</w:t>
      </w:r>
    </w:p>
    <w:p w14:paraId="237B0D16" w14:textId="42C386A0" w:rsidR="007C4353" w:rsidRPr="00851B39" w:rsidRDefault="007C4353" w:rsidP="007C4353">
      <w:pPr>
        <w:pStyle w:val="Els-Affiliation"/>
        <w:rPr>
          <w:lang w:val="en-US"/>
        </w:rPr>
      </w:pPr>
      <w:r w:rsidRPr="00851B39">
        <w:rPr>
          <w:vertAlign w:val="superscript"/>
          <w:lang w:val="en-US"/>
        </w:rPr>
        <w:t>b</w:t>
      </w:r>
      <w:r w:rsidRPr="00851B39">
        <w:rPr>
          <w:lang w:val="en-US"/>
        </w:rPr>
        <w:t>Institute of Environmental Sciences (CML), Leiden University, 2333 CC Leiden, The Netherlands</w:t>
      </w:r>
    </w:p>
    <w:p w14:paraId="144DE683" w14:textId="44388B5F" w:rsidR="008D2649" w:rsidRPr="00851B39" w:rsidRDefault="00702780" w:rsidP="008D2649">
      <w:pPr>
        <w:pStyle w:val="Els-Affiliation"/>
        <w:spacing w:after="120"/>
        <w:rPr>
          <w:lang w:val="en-US"/>
        </w:rPr>
      </w:pPr>
      <w:r w:rsidRPr="00851B39">
        <w:rPr>
          <w:lang w:val="en-US"/>
        </w:rPr>
        <w:t>*jpr@chem.ethz.ch, gonzalo.guillen.gosalbez@chem.ethz.ch</w:t>
      </w:r>
    </w:p>
    <w:p w14:paraId="144DE684" w14:textId="77777777" w:rsidR="008D2649" w:rsidRPr="00851B39" w:rsidRDefault="008D2649" w:rsidP="001D5AD3">
      <w:pPr>
        <w:pStyle w:val="Els-Abstract"/>
        <w:spacing w:after="0"/>
      </w:pPr>
      <w:r w:rsidRPr="00851B39">
        <w:t>Abstract</w:t>
      </w:r>
    </w:p>
    <w:p w14:paraId="144DE686" w14:textId="48B15645" w:rsidR="008D2649" w:rsidRPr="00851B39" w:rsidRDefault="002F2F8E" w:rsidP="008D2649">
      <w:pPr>
        <w:pStyle w:val="Els-body-text"/>
        <w:spacing w:after="120"/>
      </w:pPr>
      <w:r w:rsidRPr="00851B39">
        <w:t>Current life cycle assessments (LCAs) of c</w:t>
      </w:r>
      <w:r w:rsidR="001A7816" w:rsidRPr="00851B39">
        <w:t xml:space="preserve">onventional </w:t>
      </w:r>
      <w:r w:rsidRPr="00851B39">
        <w:t xml:space="preserve">and </w:t>
      </w:r>
      <w:r w:rsidR="006D52ED" w:rsidRPr="00851B39">
        <w:t>emerging</w:t>
      </w:r>
      <w:r w:rsidRPr="00851B39">
        <w:t xml:space="preserve"> chemical</w:t>
      </w:r>
      <w:r w:rsidR="006D52ED" w:rsidRPr="00851B39">
        <w:t xml:space="preserve"> technologies </w:t>
      </w:r>
      <w:r w:rsidRPr="00851B39">
        <w:t xml:space="preserve">often </w:t>
      </w:r>
      <w:r w:rsidR="007A717D" w:rsidRPr="00851B39">
        <w:t>neglect</w:t>
      </w:r>
      <w:r w:rsidRPr="00851B39">
        <w:t xml:space="preserve"> future changes in the economy </w:t>
      </w:r>
      <w:r w:rsidR="005B0597" w:rsidRPr="00851B39">
        <w:t xml:space="preserve">required </w:t>
      </w:r>
      <w:r w:rsidRPr="00851B39">
        <w:t xml:space="preserve">to meet climate goals, </w:t>
      </w:r>
      <w:r w:rsidR="005B0597" w:rsidRPr="00851B39">
        <w:t>such as</w:t>
      </w:r>
      <w:r w:rsidRPr="00851B39">
        <w:t xml:space="preserve"> those </w:t>
      </w:r>
      <w:r w:rsidR="005B0597" w:rsidRPr="00851B39">
        <w:t>affecting</w:t>
      </w:r>
      <w:r w:rsidR="009876AE" w:rsidRPr="00851B39">
        <w:t xml:space="preserve"> transportation systems </w:t>
      </w:r>
      <w:r w:rsidRPr="00851B39">
        <w:t>and heat and power generation</w:t>
      </w:r>
      <w:r w:rsidR="009876AE" w:rsidRPr="00851B39">
        <w:t xml:space="preserve">. Disregarding these </w:t>
      </w:r>
      <w:r w:rsidRPr="00851B39">
        <w:t xml:space="preserve">trends, which will shape the future economy, </w:t>
      </w:r>
      <w:r w:rsidR="009876AE" w:rsidRPr="00851B39">
        <w:t>could lead to</w:t>
      </w:r>
      <w:r w:rsidRPr="00851B39">
        <w:t xml:space="preserve"> less accurate assessments and</w:t>
      </w:r>
      <w:r w:rsidR="009876AE" w:rsidRPr="00851B39">
        <w:t xml:space="preserve"> spurious conclusions. Hence, in this study, </w:t>
      </w:r>
      <w:r w:rsidR="00D33EC8" w:rsidRPr="00851B39">
        <w:t>we conduct</w:t>
      </w:r>
      <w:r w:rsidR="00454C54" w:rsidRPr="00851B39">
        <w:t>ed</w:t>
      </w:r>
      <w:r w:rsidR="00D33EC8" w:rsidRPr="00851B39">
        <w:t xml:space="preserve"> a prospective </w:t>
      </w:r>
      <w:r w:rsidR="006505DB" w:rsidRPr="00851B39">
        <w:t>LCA</w:t>
      </w:r>
      <w:r w:rsidRPr="00851B39">
        <w:t xml:space="preserve"> to understand how future changes in the economy</w:t>
      </w:r>
      <w:r w:rsidR="00D33EC8" w:rsidRPr="00851B39">
        <w:t xml:space="preserve"> </w:t>
      </w:r>
      <w:r w:rsidRPr="00851B39">
        <w:t>(</w:t>
      </w:r>
      <w:r w:rsidR="00B7695B" w:rsidRPr="00851B39">
        <w:t>until 2050</w:t>
      </w:r>
      <w:r w:rsidRPr="00851B39">
        <w:t>) will affect the environmental impact of chemicals</w:t>
      </w:r>
      <w:r w:rsidR="006B4C92" w:rsidRPr="00851B39">
        <w:t>,</w:t>
      </w:r>
      <w:r w:rsidRPr="00851B39">
        <w:t xml:space="preserve"> </w:t>
      </w:r>
      <w:r w:rsidR="006B4C92" w:rsidRPr="00851B39">
        <w:t>using</w:t>
      </w:r>
      <w:r w:rsidRPr="00851B39">
        <w:t xml:space="preserve"> ammonia as a representative case.</w:t>
      </w:r>
      <w:r w:rsidR="00B7695B" w:rsidRPr="00851B39">
        <w:t xml:space="preserve"> </w:t>
      </w:r>
      <w:r w:rsidRPr="00851B39">
        <w:t xml:space="preserve">To </w:t>
      </w:r>
      <w:r w:rsidR="00C55D7C" w:rsidRPr="00851B39">
        <w:t>achieve this</w:t>
      </w:r>
      <w:r w:rsidRPr="00851B39">
        <w:t>, we use</w:t>
      </w:r>
      <w:r w:rsidR="00454C54" w:rsidRPr="00851B39">
        <w:t>d</w:t>
      </w:r>
      <w:r w:rsidRPr="00851B39">
        <w:t xml:space="preserve"> background data consistent with</w:t>
      </w:r>
      <w:r w:rsidR="00D33EC8" w:rsidRPr="00851B39">
        <w:t xml:space="preserve"> climate policies </w:t>
      </w:r>
      <w:r w:rsidR="002A30CB" w:rsidRPr="00851B39">
        <w:t>aimed at limiting</w:t>
      </w:r>
      <w:r w:rsidR="00D33EC8" w:rsidRPr="00851B39">
        <w:t xml:space="preserve"> global temperature rise across 26 regions. </w:t>
      </w:r>
      <w:r w:rsidR="00B7695B" w:rsidRPr="00851B39">
        <w:t>Our findings reveal that</w:t>
      </w:r>
      <w:r w:rsidRPr="00851B39">
        <w:t xml:space="preserve"> the environmental gap between fossil and</w:t>
      </w:r>
      <w:r w:rsidR="00B7695B" w:rsidRPr="00851B39">
        <w:t xml:space="preserve"> green </w:t>
      </w:r>
      <w:r w:rsidRPr="00851B39">
        <w:t xml:space="preserve">ammonia will significantly </w:t>
      </w:r>
      <w:r w:rsidR="00160C40" w:rsidRPr="00851B39">
        <w:t>increase</w:t>
      </w:r>
      <w:r w:rsidR="00B7695B" w:rsidRPr="00851B39">
        <w:t xml:space="preserve"> in </w:t>
      </w:r>
      <w:r w:rsidRPr="00851B39">
        <w:t>the future</w:t>
      </w:r>
      <w:r w:rsidR="00876942" w:rsidRPr="00851B39">
        <w:t>, with solar</w:t>
      </w:r>
      <w:r w:rsidR="000267AC" w:rsidRPr="00851B39">
        <w:noBreakHyphen/>
      </w:r>
      <w:r w:rsidR="00876942" w:rsidRPr="00851B39">
        <w:t xml:space="preserve">based routes </w:t>
      </w:r>
      <w:r w:rsidR="00782F1C" w:rsidRPr="00851B39">
        <w:t xml:space="preserve">showing </w:t>
      </w:r>
      <w:r w:rsidRPr="00851B39">
        <w:t xml:space="preserve">the most </w:t>
      </w:r>
      <w:r w:rsidR="00D33FEE" w:rsidRPr="00851B39">
        <w:t xml:space="preserve">improvement </w:t>
      </w:r>
      <w:r w:rsidRPr="00851B39">
        <w:t xml:space="preserve">due to efficiency gains in solar panels and their lower carbon footprint </w:t>
      </w:r>
      <w:r w:rsidR="00D33FEE" w:rsidRPr="00851B39">
        <w:t xml:space="preserve">resulting from </w:t>
      </w:r>
      <w:r w:rsidRPr="00851B39">
        <w:t>the decarbonization of the energy mixes used in their manufacture</w:t>
      </w:r>
      <w:r w:rsidR="00B7695B" w:rsidRPr="00851B39">
        <w:t xml:space="preserve">. </w:t>
      </w:r>
      <w:r w:rsidR="00CC2DEF" w:rsidRPr="00851B39">
        <w:t xml:space="preserve">Overall, this study </w:t>
      </w:r>
      <w:r w:rsidRPr="00851B39">
        <w:t xml:space="preserve">emphasizes the </w:t>
      </w:r>
      <w:r w:rsidR="00FE42D4" w:rsidRPr="00851B39">
        <w:t>importance of considering</w:t>
      </w:r>
      <w:r w:rsidRPr="00851B39">
        <w:t xml:space="preserve"> future trends in the assessment of chemical technologies to draw a more comprehensive picture of their environmental potential</w:t>
      </w:r>
      <w:r w:rsidR="00CC2DEF" w:rsidRPr="00851B39">
        <w:t>.</w:t>
      </w:r>
    </w:p>
    <w:p w14:paraId="144DE687" w14:textId="49ACF2E5" w:rsidR="008D2649" w:rsidRPr="00851B39" w:rsidRDefault="008D2649" w:rsidP="008D2649">
      <w:pPr>
        <w:pStyle w:val="Els-body-text"/>
        <w:spacing w:after="120"/>
      </w:pPr>
      <w:r w:rsidRPr="00851B39">
        <w:rPr>
          <w:b/>
          <w:bCs/>
        </w:rPr>
        <w:t>Keywords</w:t>
      </w:r>
      <w:r w:rsidRPr="00851B39">
        <w:t xml:space="preserve">: </w:t>
      </w:r>
      <w:r w:rsidR="001D1524" w:rsidRPr="00851B39">
        <w:t>climate policies, platform chemicals, prospective life cycle assessment</w:t>
      </w:r>
      <w:r w:rsidRPr="00851B39">
        <w:t>.</w:t>
      </w:r>
    </w:p>
    <w:p w14:paraId="144DE689" w14:textId="08D0F4C9" w:rsidR="008D2649" w:rsidRPr="00851B39" w:rsidRDefault="00B96FD8" w:rsidP="001D5AD3">
      <w:pPr>
        <w:pStyle w:val="Els-1storder-head"/>
        <w:spacing w:after="0"/>
      </w:pPr>
      <w:r w:rsidRPr="00851B39">
        <w:t>Introduction</w:t>
      </w:r>
    </w:p>
    <w:p w14:paraId="534B68DC" w14:textId="3CD0F886" w:rsidR="00E422A2" w:rsidRPr="00851B39" w:rsidRDefault="00E422A2" w:rsidP="00E422A2">
      <w:pPr>
        <w:pStyle w:val="Els-body-text"/>
      </w:pPr>
      <w:r w:rsidRPr="00851B39">
        <w:t xml:space="preserve">The chemical industry </w:t>
      </w:r>
      <w:r w:rsidR="00CA72D0" w:rsidRPr="00851B39">
        <w:t>poses a formidable challenge towards decarbonization, primarily due to its heavy reliance on fossil fuels, leading to 5.6 Gt CO</w:t>
      </w:r>
      <w:r w:rsidR="00CA72D0" w:rsidRPr="00851B39">
        <w:rPr>
          <w:vertAlign w:val="subscript"/>
        </w:rPr>
        <w:t>2</w:t>
      </w:r>
      <w:r w:rsidR="00CA72D0" w:rsidRPr="00851B39">
        <w:noBreakHyphen/>
        <w:t>eq</w:t>
      </w:r>
      <w:r w:rsidR="00053775" w:rsidRPr="00851B39">
        <w:t xml:space="preserve">, accounting for </w:t>
      </w:r>
      <w:r w:rsidR="00CA72D0" w:rsidRPr="00851B39">
        <w:t>10% of global GHG emissions</w:t>
      </w:r>
      <w:r w:rsidR="00053775" w:rsidRPr="00851B39">
        <w:t xml:space="preserve"> </w:t>
      </w:r>
      <w:r w:rsidR="00053775" w:rsidRPr="00851B39">
        <w:fldChar w:fldCharType="begin"/>
      </w:r>
      <w:r w:rsidR="00053775" w:rsidRPr="00851B39">
        <w:instrText xml:space="preserve"> ADDIN ZOTERO_ITEM CSL_CITATION {"citationID":"tImdQC0f","properties":{"formattedCitation":"(Bauer et al., 2023)","plainCitation":"(Bauer et al., 2023)","noteIndex":0},"citationItems":[{"id":189,"uris":["http://zotero.org/users/local/gMmtBwrT/items/DGN7SFQM"],"itemData":{"id":189,"type":"article-journal","abstract":"Chemicals is the industrial sector with the highest energy demand, using a substantial share of global fossil energy and emitting increasing amounts of greenhouse gasses following rapid growth over the past 25 years. Emissions associated with energy used have increased with growth in coal dependent regions but are also commonly underestimated in regions with higher shares of renewable energy. Renewable energy is key to reducing greenhouse gas emissions yet remains niche when considering corporate targets and initiatives aiming at emission reductions, which instead favour incremental energy efficiency improvements. These findings point to a risk for continued lock-in to fossil energy in the industry.","container-title":"Current Opinion in Chemical Engineering","DOI":"https://doi.org/10.1016/j.coche.2022.100881","ISSN":"2211-3398","page":"100881","title":"Mapping GHG emissions and prospects for renewable energy in the chemical industry","volume":"39","author":[{"family":"Bauer","given":"Fredric"},{"family":"Tilsted","given":"Joachim P."},{"family":"Pfister","given":"Stephan"},{"family":"Oberschelp","given":"Christopher"},{"family":"Kulionis","given":"Viktoras"}],"issued":{"date-parts":[["2023"]]}}}],"schema":"https://github.com/citation-style-language/schema/raw/master/csl-citation.json"} </w:instrText>
      </w:r>
      <w:r w:rsidR="00053775" w:rsidRPr="00851B39">
        <w:fldChar w:fldCharType="separate"/>
      </w:r>
      <w:r w:rsidR="000E513E" w:rsidRPr="00851B39">
        <w:t>(Bauer</w:t>
      </w:r>
      <w:r w:rsidR="003367C4" w:rsidRPr="00851B39">
        <w:t> </w:t>
      </w:r>
      <w:r w:rsidR="000E513E" w:rsidRPr="00851B39">
        <w:rPr>
          <w:i/>
        </w:rPr>
        <w:t>et</w:t>
      </w:r>
      <w:r w:rsidR="003367C4" w:rsidRPr="00851B39">
        <w:rPr>
          <w:i/>
        </w:rPr>
        <w:t> </w:t>
      </w:r>
      <w:r w:rsidR="000E513E" w:rsidRPr="00851B39">
        <w:rPr>
          <w:i/>
        </w:rPr>
        <w:t>al.</w:t>
      </w:r>
      <w:r w:rsidR="000E513E" w:rsidRPr="00851B39">
        <w:t>, 2023)</w:t>
      </w:r>
      <w:r w:rsidR="00053775" w:rsidRPr="00851B39">
        <w:fldChar w:fldCharType="end"/>
      </w:r>
      <w:r w:rsidR="00CA72D0" w:rsidRPr="00851B39">
        <w:t>. Moreover, only one</w:t>
      </w:r>
      <w:r w:rsidR="00CA72D0" w:rsidRPr="00851B39">
        <w:noBreakHyphen/>
        <w:t>third of these emissions are direct, with the remaining attributed to energy acquisition and the upstream value chain, highlight</w:t>
      </w:r>
      <w:r w:rsidR="007711DA" w:rsidRPr="00851B39">
        <w:t>ing</w:t>
      </w:r>
      <w:r w:rsidR="00CA72D0" w:rsidRPr="00851B39">
        <w:t xml:space="preserve"> the industry’s dependence on global energy systems and supply chains. However, this challenge also presents an opportunity to reduce environmental impacts </w:t>
      </w:r>
      <w:r w:rsidR="007A717D" w:rsidRPr="00851B39">
        <w:t>in</w:t>
      </w:r>
      <w:r w:rsidR="00CA72D0" w:rsidRPr="00851B39">
        <w:t xml:space="preserve"> chemical production through decarbonization </w:t>
      </w:r>
      <w:r w:rsidR="007A717D" w:rsidRPr="00851B39">
        <w:t>of</w:t>
      </w:r>
      <w:r w:rsidR="00CA72D0" w:rsidRPr="00851B39">
        <w:t xml:space="preserve"> other key sectors. In recent </w:t>
      </w:r>
      <w:r w:rsidR="00CA72D0" w:rsidRPr="00851B39">
        <w:lastRenderedPageBreak/>
        <w:t>times</w:t>
      </w:r>
      <w:r w:rsidR="0093651C" w:rsidRPr="00851B39">
        <w:t>,</w:t>
      </w:r>
      <w:r w:rsidR="00CA72D0" w:rsidRPr="00851B39">
        <w:t xml:space="preserve"> there have been rapid technological advancements in response to decarbonization challenges and climate policies aligned with the Paris Agreement. In this context, key platform chemicals such as ammonia </w:t>
      </w:r>
      <w:r w:rsidR="007A717D" w:rsidRPr="00851B39">
        <w:t xml:space="preserve">could </w:t>
      </w:r>
      <w:r w:rsidR="00CA72D0" w:rsidRPr="00851B39">
        <w:t>play a crucial role in reducing emissions due to their large production volumes and diverse applications.</w:t>
      </w:r>
      <w:r w:rsidR="00032244" w:rsidRPr="00851B39">
        <w:t xml:space="preserve"> Ammonia</w:t>
      </w:r>
      <w:r w:rsidR="00AA5D4A" w:rsidRPr="00851B39">
        <w:t xml:space="preserve"> plays a pivotal role in the production of fertilizers, ensuring global food security. Currently, 60 to 70% of the ammonia is produced from fossil fuels, leading to </w:t>
      </w:r>
      <w:r w:rsidR="00934A80" w:rsidRPr="00851B39">
        <w:t xml:space="preserve">emissions of </w:t>
      </w:r>
      <w:r w:rsidR="00AA5D4A" w:rsidRPr="00851B39">
        <w:t>450 Mt CO</w:t>
      </w:r>
      <w:r w:rsidR="00AA5D4A" w:rsidRPr="00851B39">
        <w:rPr>
          <w:vertAlign w:val="subscript"/>
        </w:rPr>
        <w:t>2</w:t>
      </w:r>
      <w:r w:rsidR="00934A80" w:rsidRPr="00851B39">
        <w:t> y</w:t>
      </w:r>
      <w:r w:rsidR="00934A80" w:rsidRPr="00851B39">
        <w:rPr>
          <w:vertAlign w:val="superscript"/>
        </w:rPr>
        <w:t>–1</w:t>
      </w:r>
      <w:r w:rsidR="00934A80" w:rsidRPr="00851B39">
        <w:t xml:space="preserve"> </w:t>
      </w:r>
      <w:r w:rsidR="00934A80" w:rsidRPr="00851B39">
        <w:fldChar w:fldCharType="begin"/>
      </w:r>
      <w:r w:rsidR="00934A80" w:rsidRPr="00851B39">
        <w:instrText xml:space="preserve"> ADDIN ZOTERO_ITEM CSL_CITATION {"citationID":"MwUfCEs8","properties":{"formattedCitation":"(Gabrielli et al., 2023)","plainCitation":"(Gabrielli et al., 2023)","noteIndex":0},"citationItems":[{"id":297,"uris":["http://zotero.org/users/local/gMmtBwrT/items/736BXPD2"],"itemData":{"id":297,"type":"article-journal","abstract":"The chemical industry is responsible for about 5% of global CO2 emissions and is key to achieving net-zero targets. Decarbonizing this industry, nevertheless, faces particular challenges given the widespread use of carbon-rich raw materials, the need for high-temperature heat, and the complex global value chains. Multiple technology routes are now available for producing chemicals with net-zero CO2 emissions based on biomass, recycling, and carbon capture, utilization, and storage. However, the extent to which these routes are viable with respect to local availability of energy and natural resources remains unclear. In this review, we compare net-zero routes by quantifying their energy, land, and water requirements and the corresponding induced resource scarcity at the country level and further discuss the technical and environmental viability of a net-zero chemical industry. We ﬁnd that a net-zero chemical industry will require location-speciﬁc integrated solutions that combine net-zero routes with circular approaches and demand-side measures and might result in a reshaping of the global chemicals trade.","container-title":"One Earth","DOI":"10.1016/j.oneear.2023.05.006","ISSN":"25903322","issue":"6","journalAbbreviation":"One Earth","language":"en","page":"682-704","source":"DOI.org (Crossref)","title":"Net-zero emissions chemical industry in a world of limited resources","volume":"6","author":[{"family":"Gabrielli","given":"Paolo"},{"family":"Rosa","given":"Lorenzo"},{"family":"Gazzani","given":"Matteo"},{"family":"Meys","given":"Raoul"},{"family":"Bardow","given":"André"},{"family":"Mazzotti","given":"Marco"},{"family":"Sansavini","given":"Giovanni"}],"issued":{"date-parts":[["2023",6]]}}}],"schema":"https://github.com/citation-style-language/schema/raw/master/csl-citation.json"} </w:instrText>
      </w:r>
      <w:r w:rsidR="00934A80" w:rsidRPr="00851B39">
        <w:fldChar w:fldCharType="separate"/>
      </w:r>
      <w:r w:rsidR="000E513E" w:rsidRPr="00851B39">
        <w:t>(Gabrielli</w:t>
      </w:r>
      <w:r w:rsidR="003367C4" w:rsidRPr="00851B39">
        <w:t> </w:t>
      </w:r>
      <w:r w:rsidR="000E513E" w:rsidRPr="00851B39">
        <w:rPr>
          <w:i/>
        </w:rPr>
        <w:t>et</w:t>
      </w:r>
      <w:r w:rsidR="003367C4" w:rsidRPr="00851B39">
        <w:rPr>
          <w:i/>
        </w:rPr>
        <w:t> </w:t>
      </w:r>
      <w:r w:rsidR="000E513E" w:rsidRPr="00851B39">
        <w:rPr>
          <w:i/>
        </w:rPr>
        <w:t>al.</w:t>
      </w:r>
      <w:r w:rsidR="000E513E" w:rsidRPr="00851B39">
        <w:t>, 2023)</w:t>
      </w:r>
      <w:r w:rsidR="00934A80" w:rsidRPr="00851B39">
        <w:fldChar w:fldCharType="end"/>
      </w:r>
      <w:r w:rsidR="00AA5D4A" w:rsidRPr="00851B39">
        <w:t xml:space="preserve">. </w:t>
      </w:r>
      <w:r w:rsidR="007A717D" w:rsidRPr="00851B39">
        <w:t>S</w:t>
      </w:r>
      <w:r w:rsidR="00CA72D0" w:rsidRPr="00851B39">
        <w:t>everal studies have evaluated low</w:t>
      </w:r>
      <w:r w:rsidR="00CA72D0" w:rsidRPr="00851B39">
        <w:noBreakHyphen/>
        <w:t xml:space="preserve">carbon production routes for ammonia </w:t>
      </w:r>
      <w:r w:rsidR="007A717D" w:rsidRPr="00851B39">
        <w:t xml:space="preserve">from </w:t>
      </w:r>
      <w:r w:rsidR="00CA72D0" w:rsidRPr="00851B39">
        <w:t>renewable carbon and hydrogen</w:t>
      </w:r>
      <w:r w:rsidR="009B5336" w:rsidRPr="00851B39">
        <w:noBreakHyphen/>
      </w:r>
      <w:r w:rsidR="00CA72D0" w:rsidRPr="00851B39">
        <w:t>based feedstock</w:t>
      </w:r>
      <w:r w:rsidR="009B5336" w:rsidRPr="00851B39">
        <w:t xml:space="preserve">s </w:t>
      </w:r>
      <w:r w:rsidR="009B5336" w:rsidRPr="00851B39">
        <w:fldChar w:fldCharType="begin"/>
      </w:r>
      <w:r w:rsidR="009B5336" w:rsidRPr="00851B39">
        <w:instrText xml:space="preserve"> ADDIN ZOTERO_ITEM CSL_CITATION {"citationID":"s0f8WweU","properties":{"formattedCitation":"(D\\uc0\\u8217{}Angelo et al., 2021; Gomez et al., 2020)","plainCitation":"(D’Angelo et al., 2021; Gomez et al., 2020)","noteIndex":0},"citationItems":[{"id":301,"uris":["http://zotero.org/users/local/gMmtBwrT/items/PZCWKF83"],"itemData":{"id":301,"type":"article-journal","abstract":"At present, the synthesis of ammonia through the Haber−Bosch (HB) process accounts for 1.2% of the global carbon emissions, representing roughly one-fourth of the global fossil consumption from the chemical industry, which creates a pressing need for alternative low-carbon synthesis routes. Analyzing seven essential planetary boundaries (PBs) for the safe operation of our planet, we ﬁnd that the standard HB process is unsustainable as it vastly transgresses the climate change PB. In order to identify more responsible strategies from this integrated perspective, we assess the absolute sustainability level of 34 alternative routes where hydrogen (H2) is supplied by steam methane reforming with carbon capture and storage, biomass gasiﬁcation, or water electrolysis powered by various energy sources. We found that some of these scenarios could substantially reduce the global impact of fossil HB, yet alleviating the impact on climate change could critically exacerbate the impacts on other Earth-system processes. Furthermore, we identify that reducing the cost of electrolytic H2 is the main avenue toward the economic appeal of the most sustainable routes. Our work highlights the need to embrace global impacts beyond climate change in the assessment of decarbonization routes of fossil chemicals. This approach enabled us to identify more suitable alternatives and associated challenges toward environmental and economically attractive ammonia synthesis.","container-title":"ACS Sustainable Chemistry &amp; Engineering","DOI":"10.1021/acssuschemeng.1c01915","ISSN":"2168-0485, 2168-0485","issue":"29","journalAbbreviation":"ACS Sustainable Chem. Eng.","language":"en","page":"9740-9749","source":"DOI.org (Crossref)","title":"Planetary Boundaries Analysis of Low-Carbon Ammonia Production Routes","volume":"9","author":[{"family":"D’Angelo","given":"Sebastiano Carlo"},{"family":"Cobo","given":"Selene"},{"family":"Tulus","given":"Victor"},{"family":"Nabera","given":"Abhinandan"},{"family":"Martín","given":"Antonio José"},{"family":"Pérez-Ramírez","given":"Javier"},{"family":"Guillén-Gosálbez","given":"Gonzalo"}],"issued":{"date-parts":[["2021",7,26]]}}},{"id":373,"uris":["http://zotero.org/users/local/gMmtBwrT/items/YBQDCQ4Q"],"itemData":{"id":373,"type":"article-journal","abstract":"Green ammonia production is facing increasing interest on a global scale as a hydrogen carrier for power generation as well as fertilizer for food production. The conventional Haber-Bosch method for ammonia synthesis is energy demanding, requires high purity hydrogen, and is based on fossil fuels. A preliminary techno-economic model for electrochemical ammonia synthesis at near ambient pressure using feed rates of 32 metric ton/ day for hydrogen and 135 metric ton/day for nitrogen is presented in this study. Various pathways using different methods for nitrogen generation and hydrogen production were investigated to gain insight into added energy savings per metric ton of ammonia. Electrochemical synthesis using electrolysis for hydrogen and cryogenic nitrogen was found to be a potentially viable pathway for green ammonia. The proﬁtability metrics including discounted cash ﬂow rate of return, net present value and discounted payback period were estimated to be 8%, $40 MM, and 4e6 years respectively for this pathway. The cost of electricity, conversion rate, and conversion efﬁciency dominate the tonnage cost of ammonia and were used to assess the feasibility of the model. A life cycle assessment was also conducted to assess the environmental impact of a well to product ammonia process. © 2019 Hydrogen Energy Publications LLC. Published by Elsevier Ltd. All rights reserved.","container-title":"International Journal of Hydrogen Energy","DOI":"10.1016/j.ijhydene.2019.10.174","ISSN":"03603199","issue":"1","journalAbbreviation":"International Journal of Hydrogen Energy","language":"en","page":"721-737","source":"DOI.org (Crossref)","title":"Techno-economic analysis and life cycle assessment for electrochemical ammonia production using proton conducting membrane","volume":"45","author":[{"family":"Gomez","given":"Jamie R."},{"family":"Baca","given":"John"},{"family":"Garzon","given":"Fernando"}],"issued":{"date-parts":[["2020",1]]}}}],"schema":"https://github.com/citation-style-language/schema/raw/master/csl-citation.json"} </w:instrText>
      </w:r>
      <w:r w:rsidR="009B5336" w:rsidRPr="00851B39">
        <w:fldChar w:fldCharType="separate"/>
      </w:r>
      <w:r w:rsidR="000E513E" w:rsidRPr="00851B39">
        <w:rPr>
          <w:szCs w:val="24"/>
        </w:rPr>
        <w:t>(D’Angelo</w:t>
      </w:r>
      <w:r w:rsidR="003367C4" w:rsidRPr="00851B39">
        <w:rPr>
          <w:szCs w:val="24"/>
        </w:rPr>
        <w:t> </w:t>
      </w:r>
      <w:r w:rsidR="000E513E" w:rsidRPr="00851B39">
        <w:rPr>
          <w:i/>
          <w:szCs w:val="24"/>
        </w:rPr>
        <w:t>et</w:t>
      </w:r>
      <w:r w:rsidR="003367C4" w:rsidRPr="00851B39">
        <w:rPr>
          <w:i/>
          <w:szCs w:val="24"/>
        </w:rPr>
        <w:t> </w:t>
      </w:r>
      <w:r w:rsidR="000E513E" w:rsidRPr="00851B39">
        <w:rPr>
          <w:i/>
          <w:szCs w:val="24"/>
        </w:rPr>
        <w:t>al.</w:t>
      </w:r>
      <w:r w:rsidR="000E513E" w:rsidRPr="00851B39">
        <w:rPr>
          <w:szCs w:val="24"/>
        </w:rPr>
        <w:t>, 2021; Gomez</w:t>
      </w:r>
      <w:r w:rsidR="003367C4" w:rsidRPr="00851B39">
        <w:rPr>
          <w:szCs w:val="24"/>
        </w:rPr>
        <w:t> </w:t>
      </w:r>
      <w:r w:rsidR="000E513E" w:rsidRPr="00851B39">
        <w:rPr>
          <w:i/>
          <w:szCs w:val="24"/>
        </w:rPr>
        <w:t>et</w:t>
      </w:r>
      <w:r w:rsidR="003367C4" w:rsidRPr="00851B39">
        <w:rPr>
          <w:i/>
          <w:szCs w:val="24"/>
        </w:rPr>
        <w:t> </w:t>
      </w:r>
      <w:r w:rsidR="000E513E" w:rsidRPr="00851B39">
        <w:rPr>
          <w:i/>
          <w:szCs w:val="24"/>
        </w:rPr>
        <w:t>al.</w:t>
      </w:r>
      <w:r w:rsidR="000E513E" w:rsidRPr="00851B39">
        <w:rPr>
          <w:szCs w:val="24"/>
        </w:rPr>
        <w:t>, 2020)</w:t>
      </w:r>
      <w:r w:rsidR="009B5336" w:rsidRPr="00851B39">
        <w:fldChar w:fldCharType="end"/>
      </w:r>
      <w:r w:rsidR="009B5336" w:rsidRPr="00851B39">
        <w:t>.</w:t>
      </w:r>
      <w:r w:rsidR="00CA72D0" w:rsidRPr="00851B39">
        <w:t xml:space="preserve"> These analyses have consistently highlighted the environmental superiority of green routes over their fossil counterparts. However, the majority of </w:t>
      </w:r>
      <w:r w:rsidR="007A717D" w:rsidRPr="00851B39">
        <w:t>them</w:t>
      </w:r>
      <w:r w:rsidR="00CA72D0" w:rsidRPr="00851B39">
        <w:t xml:space="preserve"> often assume</w:t>
      </w:r>
      <w:r w:rsidR="007A717D" w:rsidRPr="00851B39">
        <w:t xml:space="preserve"> that the foreground system (chemical plant) interacts with</w:t>
      </w:r>
      <w:r w:rsidR="00CA72D0" w:rsidRPr="00851B39">
        <w:t xml:space="preserve"> the existing energy system</w:t>
      </w:r>
      <w:r w:rsidR="007A717D" w:rsidRPr="00851B39">
        <w:t>s</w:t>
      </w:r>
      <w:r w:rsidR="00CA72D0" w:rsidRPr="00851B39">
        <w:t xml:space="preserve"> </w:t>
      </w:r>
      <w:r w:rsidR="00BB2CE2" w:rsidRPr="00851B39">
        <w:t>and supply chains, neglecting forthcoming decarbonization efforts</w:t>
      </w:r>
      <w:r w:rsidR="007A717D" w:rsidRPr="00851B39">
        <w:t>, which could lead to less accurate and meaningful assessments</w:t>
      </w:r>
      <w:r w:rsidR="00BB2CE2" w:rsidRPr="00851B39">
        <w:t>. Hence, in this work, we evaluate the environmental impacts of fossil and green ammonia pathways until 2050</w:t>
      </w:r>
      <w:r w:rsidR="007A717D" w:rsidRPr="00851B39">
        <w:t>, by considering expected</w:t>
      </w:r>
      <w:r w:rsidR="00907F5D" w:rsidRPr="00851B39">
        <w:t xml:space="preserve"> </w:t>
      </w:r>
      <w:r w:rsidR="00BB2CE2" w:rsidRPr="00851B39">
        <w:t xml:space="preserve">changes in </w:t>
      </w:r>
      <w:r w:rsidR="007A717D" w:rsidRPr="00851B39">
        <w:t xml:space="preserve">the </w:t>
      </w:r>
      <w:r w:rsidR="00BB2CE2" w:rsidRPr="00851B39">
        <w:t xml:space="preserve">power, materials, and transportation sectors under three </w:t>
      </w:r>
      <w:r w:rsidR="007A035E" w:rsidRPr="00851B39">
        <w:t>climate</w:t>
      </w:r>
      <w:r w:rsidR="007A035E" w:rsidRPr="00851B39">
        <w:noBreakHyphen/>
      </w:r>
      <w:r w:rsidR="00BB2CE2" w:rsidRPr="00851B39">
        <w:t>scenarios: a baseline scenario (3.5 </w:t>
      </w:r>
      <w:r w:rsidR="00907F5D" w:rsidRPr="00851B39">
        <w:t>°</w:t>
      </w:r>
      <w:r w:rsidR="00BB2CE2" w:rsidRPr="00851B39">
        <w:t xml:space="preserve">C), and two scenarios </w:t>
      </w:r>
      <w:r w:rsidR="007A717D" w:rsidRPr="00851B39">
        <w:t>consistent with the</w:t>
      </w:r>
      <w:r w:rsidR="00BB2CE2" w:rsidRPr="00851B39">
        <w:t xml:space="preserve"> 2 </w:t>
      </w:r>
      <w:r w:rsidR="00907F5D" w:rsidRPr="00851B39">
        <w:t>°</w:t>
      </w:r>
      <w:r w:rsidR="00BB2CE2" w:rsidRPr="00851B39">
        <w:t>C and 1.5 </w:t>
      </w:r>
      <w:r w:rsidR="00907F5D" w:rsidRPr="00851B39">
        <w:t>°</w:t>
      </w:r>
      <w:r w:rsidR="00BB2CE2" w:rsidRPr="00851B39">
        <w:t>C</w:t>
      </w:r>
      <w:r w:rsidR="007A717D" w:rsidRPr="00851B39">
        <w:t xml:space="preserve"> targets</w:t>
      </w:r>
      <w:r w:rsidR="00BB2CE2" w:rsidRPr="00851B39">
        <w:t xml:space="preserve">, respectively. Furthermore, </w:t>
      </w:r>
      <w:r w:rsidR="00AF7F60" w:rsidRPr="00851B39">
        <w:t xml:space="preserve">we </w:t>
      </w:r>
      <w:r w:rsidR="003A72A8" w:rsidRPr="00851B39">
        <w:t>highlight the significance of location</w:t>
      </w:r>
      <w:r w:rsidR="00AF7F60" w:rsidRPr="00851B39">
        <w:t>s</w:t>
      </w:r>
      <w:r w:rsidR="003A72A8" w:rsidRPr="00851B39">
        <w:t xml:space="preserve"> in decision</w:t>
      </w:r>
      <w:r w:rsidR="003A72A8" w:rsidRPr="00851B39">
        <w:noBreakHyphen/>
        <w:t xml:space="preserve">making, </w:t>
      </w:r>
      <w:r w:rsidR="00874E79" w:rsidRPr="00851B39">
        <w:t>by performing a temporal region</w:t>
      </w:r>
      <w:r w:rsidR="00874E79" w:rsidRPr="00851B39">
        <w:noBreakHyphen/>
        <w:t xml:space="preserve">specific prospective LCA for 26 regions. </w:t>
      </w:r>
      <w:r w:rsidR="009727E7" w:rsidRPr="00851B39">
        <w:t>Our</w:t>
      </w:r>
      <w:r w:rsidR="00874E79" w:rsidRPr="00851B39">
        <w:t xml:space="preserve"> results </w:t>
      </w:r>
      <w:r w:rsidR="007A717D" w:rsidRPr="00851B39">
        <w:t xml:space="preserve">show that </w:t>
      </w:r>
      <w:r w:rsidR="00ED0B0F" w:rsidRPr="00851B39">
        <w:t xml:space="preserve">green ammonia could become more environmentally appealing </w:t>
      </w:r>
      <w:r w:rsidR="007A035E" w:rsidRPr="00851B39">
        <w:t xml:space="preserve">in the future </w:t>
      </w:r>
      <w:r w:rsidR="00ED0B0F" w:rsidRPr="00851B39">
        <w:t>than originally thought</w:t>
      </w:r>
      <w:r w:rsidR="00874E79" w:rsidRPr="00851B39">
        <w:t>.</w:t>
      </w:r>
    </w:p>
    <w:p w14:paraId="144DE699" w14:textId="7E2D8467" w:rsidR="008D2649" w:rsidRPr="00851B39" w:rsidRDefault="00B96FD8" w:rsidP="001D5AD3">
      <w:pPr>
        <w:pStyle w:val="Els-1storder-head"/>
        <w:spacing w:after="0"/>
      </w:pPr>
      <w:r w:rsidRPr="00851B39">
        <w:t>Methods</w:t>
      </w:r>
    </w:p>
    <w:p w14:paraId="24A330CE" w14:textId="110D7323" w:rsidR="001572DC" w:rsidRPr="00851B39" w:rsidRDefault="00FA0615" w:rsidP="001572DC">
      <w:pPr>
        <w:pStyle w:val="Els-1storder-head"/>
        <w:numPr>
          <w:ilvl w:val="0"/>
          <w:numId w:val="0"/>
        </w:numPr>
        <w:spacing w:before="0"/>
        <w:rPr>
          <w:sz w:val="20"/>
        </w:rPr>
      </w:pPr>
      <w:r w:rsidRPr="00851B39">
        <w:rPr>
          <w:b w:val="0"/>
          <w:sz w:val="20"/>
        </w:rPr>
        <w:t xml:space="preserve">In this study, we follow ISO 14040 and 14044 standards </w:t>
      </w:r>
      <w:r w:rsidR="000E513E" w:rsidRPr="00851B39">
        <w:rPr>
          <w:b w:val="0"/>
          <w:sz w:val="20"/>
        </w:rPr>
        <w:fldChar w:fldCharType="begin"/>
      </w:r>
      <w:r w:rsidR="000E513E" w:rsidRPr="00851B39">
        <w:rPr>
          <w:b w:val="0"/>
          <w:sz w:val="20"/>
        </w:rPr>
        <w:instrText xml:space="preserve"> ADDIN ZOTERO_ITEM CSL_CITATION {"citationID":"ENa93p4C","properties":{"formattedCitation":"(International Standards Organization, 2006; International StandardsOrganization, 2006)","plainCitation":"(International Standards Organization, 2006; International StandardsOrganization, 2006)","noteIndex":0},"citationItems":[{"id":158,"uris":["http://zotero.org/users/local/gMmtBwrT/items/RMFW3UCS"],"itemData":{"id":158,"type":"report","title":"In ISO 14040:2006 Environmental Management--Life Cycle Assessment--Principles and Framework","author":[{"literal":"International Standards Organization"}],"issued":{"date-parts":[["2006"]]}}},{"id":159,"uris":["http://zotero.org/users/local/gMmtBwrT/items/RVD2QGLU"],"itemData":{"id":159,"type":"report","title":"In ISO 14044:2006 Environmental Management--Life Cycle Assessment--Requirements and Guidelines","author":[{"literal":"International StandardsOrganization"}],"issued":{"date-parts":[["2006"]]}}}],"schema":"https://github.com/citation-style-language/schema/raw/master/csl-citation.json"} </w:instrText>
      </w:r>
      <w:r w:rsidR="000E513E" w:rsidRPr="00851B39">
        <w:rPr>
          <w:b w:val="0"/>
          <w:sz w:val="20"/>
        </w:rPr>
        <w:fldChar w:fldCharType="separate"/>
      </w:r>
      <w:r w:rsidR="000E513E" w:rsidRPr="00851B39">
        <w:rPr>
          <w:b w:val="0"/>
          <w:sz w:val="20"/>
        </w:rPr>
        <w:t>(International Standards Organization, 2006)</w:t>
      </w:r>
      <w:r w:rsidR="000E513E" w:rsidRPr="00851B39">
        <w:rPr>
          <w:b w:val="0"/>
          <w:sz w:val="20"/>
        </w:rPr>
        <w:fldChar w:fldCharType="end"/>
      </w:r>
      <w:r w:rsidR="000E513E" w:rsidRPr="00851B39">
        <w:rPr>
          <w:b w:val="0"/>
          <w:sz w:val="20"/>
        </w:rPr>
        <w:t xml:space="preserve"> </w:t>
      </w:r>
      <w:r w:rsidRPr="00851B39">
        <w:rPr>
          <w:b w:val="0"/>
          <w:sz w:val="20"/>
        </w:rPr>
        <w:t xml:space="preserve">in four phases. Phase one involves defining the goal and scope, where we assess the production of 1 kg of ammonia </w:t>
      </w:r>
      <w:r w:rsidRPr="00851B39">
        <w:rPr>
          <w:b w:val="0"/>
          <w:i/>
          <w:sz w:val="20"/>
        </w:rPr>
        <w:t xml:space="preserve">via </w:t>
      </w:r>
      <w:r w:rsidRPr="00851B39">
        <w:rPr>
          <w:b w:val="0"/>
          <w:sz w:val="20"/>
        </w:rPr>
        <w:t>specific technologies, considering cradle</w:t>
      </w:r>
      <w:r w:rsidR="00F46B6D" w:rsidRPr="00851B39">
        <w:rPr>
          <w:b w:val="0"/>
          <w:sz w:val="20"/>
        </w:rPr>
        <w:noBreakHyphen/>
      </w:r>
      <w:r w:rsidRPr="00851B39">
        <w:rPr>
          <w:b w:val="0"/>
          <w:sz w:val="20"/>
        </w:rPr>
        <w:t>to</w:t>
      </w:r>
      <w:r w:rsidR="00F46B6D" w:rsidRPr="00851B39">
        <w:rPr>
          <w:b w:val="0"/>
          <w:sz w:val="20"/>
        </w:rPr>
        <w:noBreakHyphen/>
      </w:r>
      <w:r w:rsidRPr="00851B39">
        <w:rPr>
          <w:b w:val="0"/>
          <w:sz w:val="20"/>
        </w:rPr>
        <w:t xml:space="preserve">gate impacts from 2020 to 2050 and various climate targets. Phase two includes the inventory analysis, where we use </w:t>
      </w:r>
      <w:r w:rsidR="00F46B6D" w:rsidRPr="00851B39">
        <w:rPr>
          <w:b w:val="0"/>
          <w:sz w:val="20"/>
        </w:rPr>
        <w:t>life cycle inventory (LCI)</w:t>
      </w:r>
      <w:r w:rsidRPr="00851B39">
        <w:rPr>
          <w:b w:val="0"/>
          <w:sz w:val="20"/>
        </w:rPr>
        <w:t xml:space="preserve"> data generated automatically utilizing</w:t>
      </w:r>
      <w:r w:rsidR="001572DC" w:rsidRPr="00851B39">
        <w:rPr>
          <w:b w:val="0"/>
          <w:sz w:val="20"/>
        </w:rPr>
        <w:t xml:space="preserve"> the IMAGE </w:t>
      </w:r>
      <w:r w:rsidR="000E513E" w:rsidRPr="00851B39">
        <w:rPr>
          <w:b w:val="0"/>
          <w:sz w:val="20"/>
        </w:rPr>
        <w:fldChar w:fldCharType="begin"/>
      </w:r>
      <w:r w:rsidR="000E513E" w:rsidRPr="00851B39">
        <w:rPr>
          <w:b w:val="0"/>
          <w:sz w:val="20"/>
        </w:rPr>
        <w:instrText xml:space="preserve"> ADDIN ZOTERO_ITEM CSL_CITATION {"citationID":"04TksGSS","properties":{"formattedCitation":"({\\i{}Integrated Assessment of Global Environmental Change with IMAGE 3.0}, 2014)","plainCitation":"(Integrated Assessment of Global Environmental Change with IMAGE 3.0, 2014)","noteIndex":0},"citationItems":[{"id":351,"uris":["http://zotero.org/users/local/gMmtBwrT/items/JPZXGVFU"],"itemData":{"id":351,"type":"report","publisher":"PBL Netherlands Environmental Assessment Agency","title":"Integrated Assessment of Global Environmental Change with IMAGE 3.0","issued":{"date-parts":[["2014"]]}}}],"schema":"https://github.com/citation-style-language/schema/raw/master/csl-citation.json"} </w:instrText>
      </w:r>
      <w:r w:rsidR="000E513E" w:rsidRPr="00851B39">
        <w:rPr>
          <w:b w:val="0"/>
          <w:sz w:val="20"/>
        </w:rPr>
        <w:fldChar w:fldCharType="separate"/>
      </w:r>
      <w:r w:rsidR="000E513E" w:rsidRPr="00851B39">
        <w:rPr>
          <w:b w:val="0"/>
          <w:sz w:val="20"/>
          <w:szCs w:val="24"/>
        </w:rPr>
        <w:t>(</w:t>
      </w:r>
      <w:r w:rsidR="000E513E" w:rsidRPr="00851B39">
        <w:rPr>
          <w:b w:val="0"/>
          <w:iCs/>
          <w:sz w:val="20"/>
          <w:szCs w:val="24"/>
        </w:rPr>
        <w:t>Integrated Assessment of Global Environmental Change with IMAGE 3.0</w:t>
      </w:r>
      <w:r w:rsidR="000E513E" w:rsidRPr="00851B39">
        <w:rPr>
          <w:b w:val="0"/>
          <w:sz w:val="20"/>
          <w:szCs w:val="24"/>
        </w:rPr>
        <w:t>, 2014)</w:t>
      </w:r>
      <w:r w:rsidR="000E513E" w:rsidRPr="00851B39">
        <w:rPr>
          <w:b w:val="0"/>
          <w:sz w:val="20"/>
        </w:rPr>
        <w:fldChar w:fldCharType="end"/>
      </w:r>
      <w:r w:rsidR="000E513E" w:rsidRPr="00851B39">
        <w:rPr>
          <w:b w:val="0"/>
          <w:sz w:val="20"/>
        </w:rPr>
        <w:t xml:space="preserve"> </w:t>
      </w:r>
      <w:r w:rsidR="001572DC" w:rsidRPr="00851B39">
        <w:rPr>
          <w:b w:val="0"/>
          <w:sz w:val="20"/>
        </w:rPr>
        <w:t xml:space="preserve">Integrated Assessment Model (IAM) to </w:t>
      </w:r>
      <w:r w:rsidR="004546D4" w:rsidRPr="00851B39">
        <w:rPr>
          <w:b w:val="0"/>
          <w:sz w:val="20"/>
        </w:rPr>
        <w:t>evaluate</w:t>
      </w:r>
      <w:r w:rsidR="001572DC" w:rsidRPr="00851B39">
        <w:rPr>
          <w:b w:val="0"/>
          <w:sz w:val="20"/>
        </w:rPr>
        <w:t xml:space="preserve"> the environmental performance of both fossil and green pathways for ammonia production. This enables us to </w:t>
      </w:r>
      <w:r w:rsidR="004546D4" w:rsidRPr="00851B39">
        <w:rPr>
          <w:b w:val="0"/>
          <w:sz w:val="20"/>
        </w:rPr>
        <w:t>project</w:t>
      </w:r>
      <w:r w:rsidR="001572DC" w:rsidRPr="00851B39">
        <w:rPr>
          <w:b w:val="0"/>
          <w:sz w:val="20"/>
        </w:rPr>
        <w:t xml:space="preserve"> potential economic scenarios and provide</w:t>
      </w:r>
      <w:r w:rsidR="003E05E2" w:rsidRPr="00851B39">
        <w:rPr>
          <w:b w:val="0"/>
          <w:sz w:val="20"/>
        </w:rPr>
        <w:t>s</w:t>
      </w:r>
      <w:r w:rsidR="001572DC" w:rsidRPr="00851B39">
        <w:rPr>
          <w:b w:val="0"/>
          <w:sz w:val="20"/>
        </w:rPr>
        <w:t xml:space="preserve"> insights into the environmental impacts based on expected socioeconomic and technological advancements. </w:t>
      </w:r>
      <w:r w:rsidR="004546D4" w:rsidRPr="00851B39">
        <w:rPr>
          <w:b w:val="0"/>
          <w:sz w:val="20"/>
        </w:rPr>
        <w:t>Specifically</w:t>
      </w:r>
      <w:r w:rsidR="001572DC" w:rsidRPr="00851B39">
        <w:rPr>
          <w:b w:val="0"/>
          <w:sz w:val="20"/>
        </w:rPr>
        <w:t xml:space="preserve">, we adopt the </w:t>
      </w:r>
      <w:r w:rsidR="00DC5673" w:rsidRPr="00851B39">
        <w:rPr>
          <w:b w:val="0"/>
          <w:sz w:val="20"/>
        </w:rPr>
        <w:t>middle</w:t>
      </w:r>
      <w:r w:rsidR="00DC5673" w:rsidRPr="00851B39">
        <w:rPr>
          <w:b w:val="0"/>
          <w:sz w:val="20"/>
        </w:rPr>
        <w:noBreakHyphen/>
        <w:t>of</w:t>
      </w:r>
      <w:r w:rsidR="00DC5673" w:rsidRPr="00851B39">
        <w:rPr>
          <w:b w:val="0"/>
          <w:sz w:val="20"/>
        </w:rPr>
        <w:noBreakHyphen/>
        <w:t>the</w:t>
      </w:r>
      <w:r w:rsidR="00DC5673" w:rsidRPr="00851B39">
        <w:rPr>
          <w:b w:val="0"/>
          <w:sz w:val="20"/>
        </w:rPr>
        <w:noBreakHyphen/>
        <w:t>road</w:t>
      </w:r>
      <w:r w:rsidR="001572DC" w:rsidRPr="00851B39">
        <w:rPr>
          <w:b w:val="0"/>
          <w:sz w:val="20"/>
        </w:rPr>
        <w:t xml:space="preserve"> </w:t>
      </w:r>
      <w:r w:rsidR="00E160EA" w:rsidRPr="00851B39">
        <w:rPr>
          <w:b w:val="0"/>
          <w:sz w:val="20"/>
        </w:rPr>
        <w:t>s</w:t>
      </w:r>
      <w:r w:rsidR="001572DC" w:rsidRPr="00851B39">
        <w:rPr>
          <w:b w:val="0"/>
          <w:sz w:val="20"/>
        </w:rPr>
        <w:t xml:space="preserve">hared </w:t>
      </w:r>
      <w:r w:rsidR="00E160EA" w:rsidRPr="00851B39">
        <w:rPr>
          <w:b w:val="0"/>
          <w:sz w:val="20"/>
        </w:rPr>
        <w:t>s</w:t>
      </w:r>
      <w:r w:rsidR="001572DC" w:rsidRPr="00851B39">
        <w:rPr>
          <w:b w:val="0"/>
          <w:sz w:val="20"/>
        </w:rPr>
        <w:t xml:space="preserve">ocioeconomic </w:t>
      </w:r>
      <w:r w:rsidR="00E160EA" w:rsidRPr="00851B39">
        <w:rPr>
          <w:b w:val="0"/>
          <w:sz w:val="20"/>
        </w:rPr>
        <w:t>p</w:t>
      </w:r>
      <w:r w:rsidR="001572DC" w:rsidRPr="00851B39">
        <w:rPr>
          <w:b w:val="0"/>
          <w:sz w:val="20"/>
        </w:rPr>
        <w:t xml:space="preserve">athway (SSP2) and consider a range of </w:t>
      </w:r>
      <w:r w:rsidR="00E160EA" w:rsidRPr="00851B39">
        <w:rPr>
          <w:b w:val="0"/>
          <w:sz w:val="20"/>
        </w:rPr>
        <w:t>r</w:t>
      </w:r>
      <w:r w:rsidR="001572DC" w:rsidRPr="00851B39">
        <w:rPr>
          <w:b w:val="0"/>
          <w:sz w:val="20"/>
        </w:rPr>
        <w:t xml:space="preserve">epresentative </w:t>
      </w:r>
      <w:r w:rsidR="00E160EA" w:rsidRPr="00851B39">
        <w:rPr>
          <w:b w:val="0"/>
          <w:sz w:val="20"/>
        </w:rPr>
        <w:t>c</w:t>
      </w:r>
      <w:r w:rsidR="001572DC" w:rsidRPr="00851B39">
        <w:rPr>
          <w:b w:val="0"/>
          <w:sz w:val="20"/>
        </w:rPr>
        <w:t xml:space="preserve">oncentration </w:t>
      </w:r>
      <w:r w:rsidR="00E160EA" w:rsidRPr="00851B39">
        <w:rPr>
          <w:b w:val="0"/>
          <w:sz w:val="20"/>
        </w:rPr>
        <w:t>p</w:t>
      </w:r>
      <w:r w:rsidR="001572DC" w:rsidRPr="00851B39">
        <w:rPr>
          <w:b w:val="0"/>
          <w:sz w:val="20"/>
        </w:rPr>
        <w:t xml:space="preserve">athways (RCPs), including RCP6, RCP2.6, and RCP1.9. RCP6 corresponds to </w:t>
      </w:r>
      <w:r w:rsidR="004546D4" w:rsidRPr="00851B39">
        <w:rPr>
          <w:b w:val="0"/>
          <w:sz w:val="20"/>
        </w:rPr>
        <w:t>a</w:t>
      </w:r>
      <w:r w:rsidR="001572DC" w:rsidRPr="00851B39">
        <w:rPr>
          <w:b w:val="0"/>
          <w:sz w:val="20"/>
        </w:rPr>
        <w:t xml:space="preserve"> scenario limiting global temperature rise to 3.5</w:t>
      </w:r>
      <w:r w:rsidR="002B1333" w:rsidRPr="00851B39">
        <w:rPr>
          <w:b w:val="0"/>
          <w:sz w:val="20"/>
        </w:rPr>
        <w:t> </w:t>
      </w:r>
      <w:r w:rsidR="00907F5D" w:rsidRPr="00851B39">
        <w:rPr>
          <w:b w:val="0"/>
          <w:sz w:val="20"/>
        </w:rPr>
        <w:t>°</w:t>
      </w:r>
      <w:r w:rsidR="001572DC" w:rsidRPr="00851B39">
        <w:rPr>
          <w:b w:val="0"/>
          <w:sz w:val="20"/>
        </w:rPr>
        <w:t xml:space="preserve">C, </w:t>
      </w:r>
      <w:r w:rsidR="004546D4" w:rsidRPr="00851B39">
        <w:rPr>
          <w:b w:val="0"/>
          <w:sz w:val="20"/>
        </w:rPr>
        <w:t>while</w:t>
      </w:r>
      <w:r w:rsidR="001572DC" w:rsidRPr="00851B39">
        <w:rPr>
          <w:b w:val="0"/>
          <w:sz w:val="20"/>
        </w:rPr>
        <w:t xml:space="preserve"> RCP2.6 and RCP1.9 correspond to scenarios limiting temperature rise to 2</w:t>
      </w:r>
      <w:r w:rsidR="002B1333" w:rsidRPr="00851B39">
        <w:rPr>
          <w:b w:val="0"/>
          <w:sz w:val="20"/>
        </w:rPr>
        <w:t> </w:t>
      </w:r>
      <w:r w:rsidR="00907F5D" w:rsidRPr="00851B39">
        <w:rPr>
          <w:b w:val="0"/>
          <w:sz w:val="20"/>
        </w:rPr>
        <w:t>°</w:t>
      </w:r>
      <w:r w:rsidR="001572DC" w:rsidRPr="00851B39">
        <w:rPr>
          <w:b w:val="0"/>
          <w:sz w:val="20"/>
        </w:rPr>
        <w:t>C and 1.5</w:t>
      </w:r>
      <w:r w:rsidR="002B1333" w:rsidRPr="00851B39">
        <w:rPr>
          <w:b w:val="0"/>
          <w:sz w:val="20"/>
        </w:rPr>
        <w:t> </w:t>
      </w:r>
      <w:r w:rsidR="00907F5D" w:rsidRPr="00851B39">
        <w:rPr>
          <w:b w:val="0"/>
          <w:sz w:val="20"/>
        </w:rPr>
        <w:t>°</w:t>
      </w:r>
      <w:r w:rsidR="001572DC" w:rsidRPr="00851B39">
        <w:rPr>
          <w:b w:val="0"/>
          <w:sz w:val="20"/>
        </w:rPr>
        <w:t xml:space="preserve">C, respectively. To generate inventories for prospective LCAs </w:t>
      </w:r>
      <w:r w:rsidR="005869D8" w:rsidRPr="00851B39">
        <w:rPr>
          <w:b w:val="0"/>
          <w:sz w:val="20"/>
        </w:rPr>
        <w:t>covering</w:t>
      </w:r>
      <w:r w:rsidR="001572DC" w:rsidRPr="00851B39">
        <w:rPr>
          <w:b w:val="0"/>
          <w:sz w:val="20"/>
        </w:rPr>
        <w:t xml:space="preserve"> the</w:t>
      </w:r>
      <w:r w:rsidR="007711DA" w:rsidRPr="00851B39">
        <w:rPr>
          <w:b w:val="0"/>
          <w:sz w:val="20"/>
        </w:rPr>
        <w:t xml:space="preserve"> time</w:t>
      </w:r>
      <w:r w:rsidR="001572DC" w:rsidRPr="00851B39">
        <w:rPr>
          <w:b w:val="0"/>
          <w:sz w:val="20"/>
        </w:rPr>
        <w:t xml:space="preserve"> period from 2020 to 2050, we utilize the </w:t>
      </w:r>
      <w:r w:rsidR="001572DC" w:rsidRPr="00851B39">
        <w:rPr>
          <w:b w:val="0"/>
          <w:i/>
          <w:sz w:val="20"/>
        </w:rPr>
        <w:t>premise</w:t>
      </w:r>
      <w:r w:rsidR="001572DC" w:rsidRPr="00851B39">
        <w:rPr>
          <w:b w:val="0"/>
          <w:sz w:val="20"/>
        </w:rPr>
        <w:t xml:space="preserve"> framework</w:t>
      </w:r>
      <w:r w:rsidR="002E1665" w:rsidRPr="00851B39">
        <w:rPr>
          <w:b w:val="0"/>
          <w:sz w:val="20"/>
        </w:rPr>
        <w:t xml:space="preserve"> </w:t>
      </w:r>
      <w:r w:rsidR="002E1665" w:rsidRPr="00851B39">
        <w:rPr>
          <w:b w:val="0"/>
          <w:sz w:val="20"/>
        </w:rPr>
        <w:fldChar w:fldCharType="begin"/>
      </w:r>
      <w:r w:rsidR="002E1665" w:rsidRPr="00851B39">
        <w:rPr>
          <w:b w:val="0"/>
          <w:sz w:val="20"/>
        </w:rPr>
        <w:instrText xml:space="preserve"> ADDIN ZOTERO_ITEM CSL_CITATION {"citationID":"3v6PTC75","properties":{"formattedCitation":"(Sacchi et al., 2022)","plainCitation":"(Sacchi et al., 2022)","noteIndex":0},"citationItems":[{"id":289,"uris":["http://zotero.org/users/local/gMmtBwrT/items/2K4ECVXA"],"itemData":{"id":289,"type":"article-journal","abstract":"Prospective Life Cycle Assessment (pLCA) is useful to evaluate the environmental performance of current and emerging technologies in the future. Yet, as energy systems and industries are rapidly shifting towards cleaner means of production, pLCA requires an inventory database that encapsulates the expected changes in technol­ ogies and the environment at a given point in time, following specific socio-techno-economic pathways. To this end, this study introduces premise, a tool to streamline the generation of prospective inventory databases for pLCA by integrating scenarios generated by Integrated Assessment Models (IAM). More precisely, premise applies a number of transformations on energy-intensive activities found in the inventory database ecoinvent according to projections provided by the IAM. Unsurprisingly, the study shows that, within a given socio-economic narrative, the climate change mitigation target chosen affects the performance of nearly all activities in the database. This is illustrated by focusing on the effects observed on a few activities, such as systems for direct air capture of CO2, lithium-ion batteries, electricity and clinker production as well as freight transport by road, in relation to the applied sector-based transformation and the chosen climate change mitigation target. This work also discusses the limitations and challenges faced when coupling IAM and LCA databases and what improve­ ments are to be brought in to further facilitate the development of pLCA.","container-title":"Renewable and Sustainable Energy Reviews","DOI":"10.1016/j.rser.2022.112311","ISSN":"13640321","journalAbbreviation":"Renewable and Sustainable Energy Reviews","language":"en","page":"112311","source":"DOI.org (Crossref)","title":"PRospective EnvironMental Impact asSEment (premise): A streamlined approach to producing databases for prospective life cycle assessment using integrated assessment models","title-short":"PRospective EnvironMental Impact asSEment (premise)","volume":"160","author":[{"family":"Sacchi","given":"R."},{"family":"Terlouw","given":"T."},{"family":"Siala","given":"K."},{"family":"Dirnaichner","given":"A."},{"family":"Bauer","given":"C."},{"family":"Cox","given":"B."},{"family":"Mutel","given":"C."},{"family":"Daioglou","given":"V."},{"family":"Luderer","given":"G."}],"issued":{"date-parts":[["2022",5]]}}}],"schema":"https://github.com/citation-style-language/schema/raw/master/csl-citation.json"} </w:instrText>
      </w:r>
      <w:r w:rsidR="002E1665" w:rsidRPr="00851B39">
        <w:rPr>
          <w:b w:val="0"/>
          <w:sz w:val="20"/>
        </w:rPr>
        <w:fldChar w:fldCharType="separate"/>
      </w:r>
      <w:r w:rsidR="000E513E" w:rsidRPr="00851B39">
        <w:rPr>
          <w:b w:val="0"/>
          <w:sz w:val="20"/>
        </w:rPr>
        <w:t>(Sacchi</w:t>
      </w:r>
      <w:r w:rsidR="00350C62" w:rsidRPr="00851B39">
        <w:rPr>
          <w:b w:val="0"/>
          <w:sz w:val="20"/>
        </w:rPr>
        <w:t> </w:t>
      </w:r>
      <w:r w:rsidR="000E513E" w:rsidRPr="00851B39">
        <w:rPr>
          <w:b w:val="0"/>
          <w:i/>
          <w:sz w:val="20"/>
        </w:rPr>
        <w:t>et</w:t>
      </w:r>
      <w:r w:rsidR="00350C62" w:rsidRPr="00851B39">
        <w:rPr>
          <w:b w:val="0"/>
          <w:i/>
          <w:sz w:val="20"/>
        </w:rPr>
        <w:t> </w:t>
      </w:r>
      <w:r w:rsidR="000E513E" w:rsidRPr="00851B39">
        <w:rPr>
          <w:b w:val="0"/>
          <w:i/>
          <w:sz w:val="20"/>
        </w:rPr>
        <w:t>al.</w:t>
      </w:r>
      <w:r w:rsidR="000E513E" w:rsidRPr="00851B39">
        <w:rPr>
          <w:b w:val="0"/>
          <w:sz w:val="20"/>
        </w:rPr>
        <w:t>, 2022)</w:t>
      </w:r>
      <w:r w:rsidR="002E1665" w:rsidRPr="00851B39">
        <w:rPr>
          <w:b w:val="0"/>
          <w:sz w:val="20"/>
        </w:rPr>
        <w:fldChar w:fldCharType="end"/>
      </w:r>
      <w:r w:rsidR="001572DC" w:rsidRPr="00851B39">
        <w:rPr>
          <w:b w:val="0"/>
          <w:sz w:val="20"/>
        </w:rPr>
        <w:t xml:space="preserve">. </w:t>
      </w:r>
      <w:r w:rsidRPr="00851B39">
        <w:rPr>
          <w:b w:val="0"/>
          <w:sz w:val="20"/>
        </w:rPr>
        <w:t>The year 2020 is considered as the reference year</w:t>
      </w:r>
      <w:r w:rsidR="00D224EC" w:rsidRPr="00851B39">
        <w:rPr>
          <w:b w:val="0"/>
          <w:sz w:val="20"/>
        </w:rPr>
        <w:t xml:space="preserve"> for</w:t>
      </w:r>
      <w:r w:rsidRPr="00851B39">
        <w:rPr>
          <w:b w:val="0"/>
          <w:sz w:val="20"/>
        </w:rPr>
        <w:t xml:space="preserve"> our analysis. </w:t>
      </w:r>
      <w:r w:rsidR="001572DC" w:rsidRPr="00851B39">
        <w:rPr>
          <w:b w:val="0"/>
          <w:sz w:val="20"/>
        </w:rPr>
        <w:t xml:space="preserve">Additionally, we </w:t>
      </w:r>
      <w:r w:rsidR="00641E0D" w:rsidRPr="00851B39">
        <w:rPr>
          <w:b w:val="0"/>
          <w:sz w:val="20"/>
        </w:rPr>
        <w:t>perform a regional assessment</w:t>
      </w:r>
      <w:r w:rsidR="001572DC" w:rsidRPr="00851B39">
        <w:rPr>
          <w:b w:val="0"/>
          <w:sz w:val="20"/>
        </w:rPr>
        <w:t xml:space="preserve"> for the production of these </w:t>
      </w:r>
      <w:r w:rsidR="00C3037C" w:rsidRPr="00851B39">
        <w:rPr>
          <w:b w:val="0"/>
          <w:sz w:val="20"/>
        </w:rPr>
        <w:t>platform chemicals</w:t>
      </w:r>
      <w:r w:rsidR="001572DC" w:rsidRPr="00851B39">
        <w:rPr>
          <w:b w:val="0"/>
          <w:sz w:val="20"/>
        </w:rPr>
        <w:t xml:space="preserve"> across 26 global regions, considering location</w:t>
      </w:r>
      <w:r w:rsidR="00C3037C" w:rsidRPr="00851B39">
        <w:rPr>
          <w:b w:val="0"/>
          <w:sz w:val="20"/>
        </w:rPr>
        <w:noBreakHyphen/>
      </w:r>
      <w:r w:rsidR="001572DC" w:rsidRPr="00851B39">
        <w:rPr>
          <w:b w:val="0"/>
          <w:sz w:val="20"/>
        </w:rPr>
        <w:t xml:space="preserve">specific temporal </w:t>
      </w:r>
      <w:r w:rsidR="00C3037C" w:rsidRPr="00851B39">
        <w:rPr>
          <w:b w:val="0"/>
          <w:sz w:val="20"/>
        </w:rPr>
        <w:t>dynamics</w:t>
      </w:r>
      <w:r w:rsidR="001572DC" w:rsidRPr="00851B39">
        <w:rPr>
          <w:b w:val="0"/>
          <w:sz w:val="20"/>
        </w:rPr>
        <w:t>.</w:t>
      </w:r>
      <w:r w:rsidRPr="00851B39">
        <w:rPr>
          <w:b w:val="0"/>
          <w:sz w:val="20"/>
        </w:rPr>
        <w:t xml:space="preserve"> Phase three involves life cycle impact assessment (LCIA) using IPCC 2013 </w:t>
      </w:r>
      <w:r w:rsidR="00F46B6D" w:rsidRPr="00851B39">
        <w:rPr>
          <w:b w:val="0"/>
          <w:sz w:val="20"/>
        </w:rPr>
        <w:t xml:space="preserve">global warming potentials (GWPs) and Environmental Footprint 3.0 methods to quantify various </w:t>
      </w:r>
      <w:r w:rsidR="00F46B6D" w:rsidRPr="00851B39">
        <w:rPr>
          <w:b w:val="0"/>
          <w:sz w:val="20"/>
        </w:rPr>
        <w:lastRenderedPageBreak/>
        <w:t xml:space="preserve">impact categories, with a focus on climate change. </w:t>
      </w:r>
      <w:r w:rsidR="000E513E" w:rsidRPr="00851B39">
        <w:rPr>
          <w:b w:val="0"/>
          <w:sz w:val="20"/>
        </w:rPr>
        <w:t>Lastly, p</w:t>
      </w:r>
      <w:r w:rsidR="00F46B6D" w:rsidRPr="00851B39">
        <w:rPr>
          <w:b w:val="0"/>
          <w:sz w:val="20"/>
        </w:rPr>
        <w:t xml:space="preserve">hase four </w:t>
      </w:r>
      <w:r w:rsidR="000E513E" w:rsidRPr="00851B39">
        <w:rPr>
          <w:b w:val="0"/>
          <w:sz w:val="20"/>
        </w:rPr>
        <w:t>involves</w:t>
      </w:r>
      <w:r w:rsidR="00F46B6D" w:rsidRPr="00851B39">
        <w:rPr>
          <w:b w:val="0"/>
          <w:sz w:val="20"/>
        </w:rPr>
        <w:t xml:space="preserve"> interpretation</w:t>
      </w:r>
      <w:r w:rsidR="000E513E" w:rsidRPr="00851B39">
        <w:rPr>
          <w:b w:val="0"/>
          <w:sz w:val="20"/>
        </w:rPr>
        <w:t xml:space="preserve"> of the results obtained.</w:t>
      </w:r>
    </w:p>
    <w:p w14:paraId="46032E74" w14:textId="77777777" w:rsidR="00926D74" w:rsidRPr="00851B39" w:rsidRDefault="00B96FD8" w:rsidP="001D5AD3">
      <w:pPr>
        <w:pStyle w:val="Els-1storder-head"/>
        <w:spacing w:after="0"/>
      </w:pPr>
      <w:r w:rsidRPr="00851B39">
        <w:t>Results and Discussions</w:t>
      </w:r>
    </w:p>
    <w:p w14:paraId="5063266A" w14:textId="58945D75" w:rsidR="00935375" w:rsidRDefault="00ED0B0F" w:rsidP="00935375">
      <w:pPr>
        <w:pStyle w:val="Els-body-text"/>
      </w:pPr>
      <w:r w:rsidRPr="00851B39">
        <w:t xml:space="preserve">The impact of both </w:t>
      </w:r>
      <w:r w:rsidR="00935375" w:rsidRPr="00851B39">
        <w:t>fossil</w:t>
      </w:r>
      <w:r w:rsidRPr="00851B39">
        <w:t xml:space="preserve"> and green </w:t>
      </w:r>
      <w:r w:rsidR="00D7441A" w:rsidRPr="00851B39">
        <w:t xml:space="preserve">ammonia </w:t>
      </w:r>
      <w:r w:rsidRPr="00851B39">
        <w:t xml:space="preserve">will decline in the future, but the environmental gap between </w:t>
      </w:r>
      <w:r w:rsidR="00FD20E5" w:rsidRPr="00851B39">
        <w:t>them</w:t>
      </w:r>
      <w:r w:rsidRPr="00851B39">
        <w:t xml:space="preserve"> will grow substantially</w:t>
      </w:r>
      <w:r w:rsidR="00FD20E5" w:rsidRPr="00851B39">
        <w:t>,</w:t>
      </w:r>
      <w:r w:rsidRPr="00851B39">
        <w:t xml:space="preserve"> thus drastically improving the environmental appeal of green ammonia </w:t>
      </w:r>
      <w:r w:rsidR="003655EF" w:rsidRPr="00851B39">
        <w:t>(</w:t>
      </w:r>
      <w:r w:rsidR="00D7441A" w:rsidRPr="00851B39">
        <w:rPr>
          <w:b/>
        </w:rPr>
        <w:t>Figure 1a</w:t>
      </w:r>
      <w:r w:rsidR="00D7441A" w:rsidRPr="00851B39">
        <w:t xml:space="preserve">). </w:t>
      </w:r>
      <w:r w:rsidRPr="00851B39">
        <w:t>Particularly, u</w:t>
      </w:r>
      <w:r w:rsidR="00D7441A" w:rsidRPr="00851B39">
        <w:t xml:space="preserve">nder </w:t>
      </w:r>
      <w:r w:rsidRPr="00851B39">
        <w:t xml:space="preserve">an </w:t>
      </w:r>
      <w:r w:rsidR="00D7441A" w:rsidRPr="00851B39">
        <w:t xml:space="preserve">aggressive </w:t>
      </w:r>
      <w:r w:rsidRPr="00851B39">
        <w:t xml:space="preserve">climate </w:t>
      </w:r>
      <w:r w:rsidR="00D7441A" w:rsidRPr="00851B39">
        <w:t>polic</w:t>
      </w:r>
      <w:r w:rsidRPr="00851B39">
        <w:t>y</w:t>
      </w:r>
      <w:r w:rsidR="00D7441A" w:rsidRPr="00851B39">
        <w:t>, such as the 1.5 </w:t>
      </w:r>
      <w:r w:rsidR="00A01693" w:rsidRPr="00851B39">
        <w:t>°</w:t>
      </w:r>
      <w:r w:rsidR="00D7441A" w:rsidRPr="00851B39">
        <w:t xml:space="preserve">C scenario, these </w:t>
      </w:r>
      <w:r w:rsidR="00A46CC2" w:rsidRPr="00851B39">
        <w:t>impacts</w:t>
      </w:r>
      <w:r w:rsidR="00D7441A" w:rsidRPr="00851B39">
        <w:t xml:space="preserve"> </w:t>
      </w:r>
      <w:r w:rsidR="007C185C" w:rsidRPr="00851B39">
        <w:t>will</w:t>
      </w:r>
      <w:r w:rsidR="00D7441A" w:rsidRPr="00851B39">
        <w:t xml:space="preserve"> decrease significantly</w:t>
      </w:r>
      <w:r w:rsidR="00FD20E5" w:rsidRPr="00851B39">
        <w:t>,</w:t>
      </w:r>
      <w:r w:rsidRPr="00851B39">
        <w:t xml:space="preserve"> with</w:t>
      </w:r>
      <w:r w:rsidR="00D7441A" w:rsidRPr="00851B39">
        <w:t xml:space="preserve"> both the solar and wind</w:t>
      </w:r>
      <w:r w:rsidR="00BF7B57" w:rsidRPr="00851B39">
        <w:noBreakHyphen/>
      </w:r>
      <w:r w:rsidR="00D7441A" w:rsidRPr="00851B39">
        <w:t xml:space="preserve">based pathways </w:t>
      </w:r>
      <w:r w:rsidR="007C185C" w:rsidRPr="00851B39">
        <w:t xml:space="preserve">reducing </w:t>
      </w:r>
      <w:r w:rsidRPr="00851B39">
        <w:t>their impact by</w:t>
      </w:r>
      <w:r w:rsidR="00D7441A" w:rsidRPr="00851B39">
        <w:t xml:space="preserve"> 70% </w:t>
      </w:r>
      <w:r w:rsidR="0026374B" w:rsidRPr="00851B39">
        <w:t>in</w:t>
      </w:r>
      <w:r w:rsidR="00D7441A" w:rsidRPr="00851B39">
        <w:t xml:space="preserve"> 2050</w:t>
      </w:r>
      <w:r w:rsidRPr="00851B39">
        <w:t xml:space="preserve"> (</w:t>
      </w:r>
      <w:r w:rsidR="00FD20E5" w:rsidRPr="00851B39">
        <w:t>compared to</w:t>
      </w:r>
      <w:r w:rsidRPr="00851B39">
        <w:t xml:space="preserve"> </w:t>
      </w:r>
      <w:r w:rsidR="004601F2" w:rsidRPr="00851B39">
        <w:t>4</w:t>
      </w:r>
      <w:r w:rsidRPr="00851B39">
        <w:t>% in the fossil analogue)</w:t>
      </w:r>
      <w:r w:rsidR="00D7441A" w:rsidRPr="00851B39">
        <w:t xml:space="preserve">. </w:t>
      </w:r>
      <w:r w:rsidR="0078798C" w:rsidRPr="00851B39">
        <w:t>Moreover, solar</w:t>
      </w:r>
      <w:r w:rsidR="00FC1388" w:rsidRPr="00851B39">
        <w:noBreakHyphen/>
        <w:t>based routes are projected to compete</w:t>
      </w:r>
      <w:r w:rsidR="007869E3" w:rsidRPr="00851B39">
        <w:t xml:space="preserve"> with</w:t>
      </w:r>
      <w:r w:rsidR="009D32C1" w:rsidRPr="00851B39">
        <w:t>,</w:t>
      </w:r>
      <w:r w:rsidR="00FC1388" w:rsidRPr="00851B39">
        <w:t xml:space="preserve"> </w:t>
      </w:r>
      <w:r w:rsidR="007869E3" w:rsidRPr="00851B39">
        <w:t>or even outperform</w:t>
      </w:r>
      <w:r w:rsidR="009D32C1" w:rsidRPr="00851B39">
        <w:t>,</w:t>
      </w:r>
      <w:r w:rsidR="007869E3" w:rsidRPr="00851B39">
        <w:t xml:space="preserve"> </w:t>
      </w:r>
      <w:r w:rsidR="00FC1388" w:rsidRPr="00851B39">
        <w:t>their wind</w:t>
      </w:r>
      <w:r w:rsidR="00FC1388" w:rsidRPr="00851B39">
        <w:noBreakHyphen/>
        <w:t xml:space="preserve">based counterparts. </w:t>
      </w:r>
      <w:r w:rsidR="0082273E" w:rsidRPr="00851B39">
        <w:t>Under the moderate 2 °C scenario, the impacts of solar and wind</w:t>
      </w:r>
      <w:r w:rsidR="0082273E" w:rsidRPr="00851B39">
        <w:noBreakHyphen/>
        <w:t>based ammonia routes are projected to decrease by two</w:t>
      </w:r>
      <w:r w:rsidR="0082273E" w:rsidRPr="00851B39">
        <w:noBreakHyphen/>
        <w:t xml:space="preserve">thirds </w:t>
      </w:r>
      <w:r w:rsidR="00E12382" w:rsidRPr="00851B39">
        <w:t>compared to</w:t>
      </w:r>
      <w:r w:rsidR="0082273E" w:rsidRPr="00851B39">
        <w:t xml:space="preserve"> their respective 2020 values. In both scenarios, green hydrogen accounted for half of the total impacts in 2020, and its contribution is expected to increase significantly to at least 80% by 2050. Grid electricity played a major role in green ammonia production due to the high</w:t>
      </w:r>
      <w:r w:rsidR="0082273E" w:rsidRPr="00851B39">
        <w:noBreakHyphen/>
        <w:t>pressure Haber</w:t>
      </w:r>
      <w:r w:rsidR="0082273E" w:rsidRPr="00851B39">
        <w:noBreakHyphen/>
        <w:t>Bosch process. However, by 2050, this contribution is expected to decrease six</w:t>
      </w:r>
      <w:r w:rsidR="00E12382" w:rsidRPr="00851B39">
        <w:noBreakHyphen/>
      </w:r>
      <w:r w:rsidR="0082273E" w:rsidRPr="00851B39">
        <w:t xml:space="preserve">fold due to the anticipated decarbonization of the electricity mix. </w:t>
      </w:r>
      <w:r w:rsidR="00614DB7" w:rsidRPr="00851B39">
        <w:t xml:space="preserve">Even under the baseline 3.5 °C scenario, the green ammonia routes are expected to display significant reductions ranging from 17% to 42%. </w:t>
      </w:r>
      <w:r w:rsidR="00D7441A" w:rsidRPr="00851B39">
        <w:t xml:space="preserve">Furthermore, a regional assessment </w:t>
      </w:r>
      <w:r w:rsidR="006132FF" w:rsidRPr="00851B39">
        <w:t xml:space="preserve">reveals </w:t>
      </w:r>
      <w:r w:rsidR="001F0369" w:rsidRPr="00851B39">
        <w:t xml:space="preserve">significant variations in impact reductions </w:t>
      </w:r>
      <w:r w:rsidR="006132FF" w:rsidRPr="00851B39">
        <w:t>for both solar (</w:t>
      </w:r>
      <w:r w:rsidR="006132FF" w:rsidRPr="00851B39">
        <w:rPr>
          <w:b/>
        </w:rPr>
        <w:t>Figure 1b</w:t>
      </w:r>
      <w:r w:rsidR="006132FF" w:rsidRPr="00851B39">
        <w:t>) and wind</w:t>
      </w:r>
      <w:r w:rsidR="006132FF" w:rsidRPr="00851B39">
        <w:noBreakHyphen/>
        <w:t xml:space="preserve">based </w:t>
      </w:r>
      <w:r w:rsidR="006132FF" w:rsidRPr="00851B39">
        <w:rPr>
          <w:b/>
        </w:rPr>
        <w:t>(Figure 1c</w:t>
      </w:r>
      <w:r w:rsidR="006132FF" w:rsidRPr="00851B39">
        <w:t>) ammonia</w:t>
      </w:r>
      <w:r w:rsidR="00A01662" w:rsidRPr="00851B39">
        <w:t xml:space="preserve"> production</w:t>
      </w:r>
      <w:r w:rsidR="006132FF" w:rsidRPr="00851B39">
        <w:t xml:space="preserve">, </w:t>
      </w:r>
      <w:r w:rsidR="009D32C1" w:rsidRPr="00851B39">
        <w:t xml:space="preserve">with African regions </w:t>
      </w:r>
      <w:r w:rsidR="00A01662" w:rsidRPr="00851B39">
        <w:t>demonstrating</w:t>
      </w:r>
      <w:r w:rsidR="009D32C1" w:rsidRPr="00851B39">
        <w:t xml:space="preserve"> the highest reductions</w:t>
      </w:r>
      <w:r w:rsidR="00A01662" w:rsidRPr="00851B39">
        <w:t>. This underscores</w:t>
      </w:r>
      <w:r w:rsidR="006132FF" w:rsidRPr="00851B39">
        <w:t xml:space="preserve"> the crucial </w:t>
      </w:r>
      <w:r w:rsidR="00A01662" w:rsidRPr="00851B39">
        <w:t>importance</w:t>
      </w:r>
      <w:r w:rsidR="006132FF" w:rsidRPr="00851B39">
        <w:t xml:space="preserve"> of </w:t>
      </w:r>
      <w:r w:rsidR="007C185C" w:rsidRPr="00851B39">
        <w:t>the location of green facilities</w:t>
      </w:r>
      <w:r w:rsidR="00EA467C" w:rsidRPr="00851B39">
        <w:t xml:space="preserve"> </w:t>
      </w:r>
      <w:r w:rsidR="00704835" w:rsidRPr="00851B39">
        <w:t>in maximizing</w:t>
      </w:r>
      <w:r w:rsidR="00EA467C" w:rsidRPr="00851B39">
        <w:t xml:space="preserve"> global benefits.</w:t>
      </w:r>
      <w:r w:rsidR="00440160" w:rsidRPr="00851B39">
        <w:t xml:space="preserve"> These results indicate that a paradigm shift may occur, </w:t>
      </w:r>
      <w:r w:rsidR="00440160" w:rsidRPr="00851B39">
        <w:rPr>
          <w:i/>
        </w:rPr>
        <w:t>i.e.</w:t>
      </w:r>
      <w:r w:rsidR="00440160" w:rsidRPr="00851B39">
        <w:t>, solar</w:t>
      </w:r>
      <w:r w:rsidR="00440160" w:rsidRPr="00851B39">
        <w:noBreakHyphen/>
        <w:t>based production routes may demonstrate the highest reduction in climate change impacts over time, approaching the performance levels of their corresponding wind</w:t>
      </w:r>
      <w:r w:rsidR="00440160" w:rsidRPr="00851B39">
        <w:noBreakHyphen/>
        <w:t xml:space="preserve">based </w:t>
      </w:r>
      <w:r w:rsidR="002B5ED5">
        <w:t>counterparts</w:t>
      </w:r>
      <w:r w:rsidR="00440160" w:rsidRPr="00851B39">
        <w:t>. This nuances previous studies that consistently found wind</w:t>
      </w:r>
      <w:r w:rsidR="00440160" w:rsidRPr="00851B39">
        <w:noBreakHyphen/>
        <w:t>based routes to outperform solar pathways. This is in alignment with investigations indicating that wind turbine performances are plateauing and the most significant improvements in carbon intensity will be derived from the manufacturing and end</w:t>
      </w:r>
      <w:r w:rsidR="00440160" w:rsidRPr="00851B39">
        <w:noBreakHyphen/>
        <w:t>of</w:t>
      </w:r>
      <w:r w:rsidR="00440160" w:rsidRPr="00851B39">
        <w:noBreakHyphen/>
        <w:t xml:space="preserve">life recycling of these turbines </w:t>
      </w:r>
      <w:r w:rsidR="00440160" w:rsidRPr="00851B39">
        <w:fldChar w:fldCharType="begin"/>
      </w:r>
      <w:r w:rsidR="00440160" w:rsidRPr="00851B39">
        <w:instrText xml:space="preserve"> ADDIN ZOTERO_ITEM CSL_CITATION {"citationID":"NWO4tG02","properties":{"formattedCitation":"(Li et al., 2022)","plainCitation":"(Li et al., 2022)","noteIndex":0},"citationItems":[{"id":241,"uris":["http://zotero.org/users/local/gMmtBwrT/items/A7CAX9Q6"],"itemData":{"id":241,"type":"article-journal","abstract":"Continuous reduction in the levelized cost of energy is driving the rapid development of offshore wind energy (OWE). It is thus important to evaluate, from an environmental perspective, the implications of expanding OWE capacity on a global scale. Nevertheless, this assessment must take into account various scenarios for the growth of different OWE technologies in the near future. To evaluate the environmental impacts of future OWE development, this paper conducts a prospective life cycle assessment (LCA) including parameterized supply chains with high technology resolution. Results show that OWE-related environmental impacts, including climate change, marine ecotoxicity, marine eutrophication, and metal depletion, are reduced by </w:instrText>
      </w:r>
      <w:r w:rsidR="00440160" w:rsidRPr="00851B39">
        <w:rPr>
          <w:rFonts w:ascii="Cambria Math" w:hAnsi="Cambria Math" w:cs="Cambria Math"/>
        </w:rPr>
        <w:instrText>∼</w:instrText>
      </w:r>
      <w:r w:rsidR="00440160" w:rsidRPr="00851B39">
        <w:instrText xml:space="preserve">20% per MWh from 2020 to 2040 due to various developments including size expansion, lifetime extension, and technology innovation. At the global scale, 2.6−3.6 Gt CO2 equiv of greenhouse gas emissions are emitted cumulatively due to OWE deployment from 2020 to 2040. The manufacturing of primary raw materials, such as steel and fibers, is the dominant contributor to impacts. Overall, 6−9% of the cumulative OWE-related environmental impacts could be reduced by end-of-life (EoL) recycling and the substitution of raw materials.","container-title":"Environmental Science &amp; Technology","DOI":"10.1021/acs.est.2c02183","ISSN":"0013-936X, 1520-5851","issue":"16","journalAbbreviation":"Environ. Sci. Technol.","language":"en","page":"11567-11577","source":"DOI.org (Crossref)","title":"Environmental Impacts of Global Offshore Wind Energy Development until 2040","volume":"56","author":[{"family":"Li","given":"Chen"},{"family":"Mogollón","given":"José M."},{"family":"Tukker","given":"Arnold"},{"family":"Steubing","given":"Bernhard"}],"issued":{"date-parts":[["2022",8,16]]}}}],"schema":"https://github.com/citation-style-language/schema/raw/master/csl-citation.json"} </w:instrText>
      </w:r>
      <w:r w:rsidR="00440160" w:rsidRPr="00851B39">
        <w:fldChar w:fldCharType="separate"/>
      </w:r>
      <w:r w:rsidR="00440160" w:rsidRPr="00851B39">
        <w:t>(Li </w:t>
      </w:r>
      <w:r w:rsidR="00440160" w:rsidRPr="00851B39">
        <w:rPr>
          <w:i/>
        </w:rPr>
        <w:t>et al.</w:t>
      </w:r>
      <w:r w:rsidR="00440160" w:rsidRPr="00851B39">
        <w:t>, 2022)</w:t>
      </w:r>
      <w:r w:rsidR="00440160" w:rsidRPr="00851B39">
        <w:fldChar w:fldCharType="end"/>
      </w:r>
      <w:r w:rsidR="00440160" w:rsidRPr="00851B39">
        <w:t>.</w:t>
      </w:r>
    </w:p>
    <w:p w14:paraId="6E563A22" w14:textId="77777777" w:rsidR="00CE6583" w:rsidRPr="00851B39" w:rsidRDefault="00CE6583" w:rsidP="00CE6583">
      <w:pPr>
        <w:pStyle w:val="Els-1storder-head"/>
        <w:spacing w:after="0"/>
      </w:pPr>
      <w:r w:rsidRPr="00851B39">
        <w:t>Conclusions</w:t>
      </w:r>
    </w:p>
    <w:p w14:paraId="7D0127B4" w14:textId="77777777" w:rsidR="00CE6583" w:rsidRPr="00851B39" w:rsidRDefault="00CE6583" w:rsidP="00CE6583">
      <w:pPr>
        <w:pStyle w:val="Els-body-text"/>
      </w:pPr>
      <w:r w:rsidRPr="00851B39">
        <w:t>In this work, we assess the impact of future economic trends, with a focus on climate policies, on key platform chemicals, using ammonia as a testbed. We conduct this analysis across 26 regions spanning from 2020 to 2050. Our findings reveal that while the impact of both fossil and green routes will decrease, the gap between them will widen, especially under ambitious climate policies. Additionally, we emphasize the significance of facility location in our analysis, as it can significantly influence the results over time. Overall, this work underscores the importance of considering technological advancements, market trends, and regional factors in LCAs of emerging technologies. We hope this study will aid in making informed decisions during the transition towards more sustainable chemicals.</w:t>
      </w:r>
    </w:p>
    <w:p w14:paraId="79233E7A" w14:textId="77777777" w:rsidR="006833EC" w:rsidRPr="00851B39" w:rsidRDefault="00A46CC2" w:rsidP="006833EC">
      <w:pPr>
        <w:pStyle w:val="Els-body-text"/>
        <w:keepNext/>
        <w:jc w:val="center"/>
      </w:pPr>
      <w:r w:rsidRPr="00851B39">
        <w:rPr>
          <w:rFonts w:ascii="Calibri" w:hAnsi="Calibri" w:cs="Calibri"/>
          <w:b/>
          <w:noProof/>
        </w:rPr>
        <w:lastRenderedPageBreak/>
        <w:drawing>
          <wp:inline distT="0" distB="0" distL="0" distR="0" wp14:anchorId="06889E38" wp14:editId="25415D98">
            <wp:extent cx="3900805" cy="2290853"/>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f all image SSP2 GL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00805" cy="2290853"/>
                    </a:xfrm>
                    <a:prstGeom prst="rect">
                      <a:avLst/>
                    </a:prstGeom>
                  </pic:spPr>
                </pic:pic>
              </a:graphicData>
            </a:graphic>
          </wp:inline>
        </w:drawing>
      </w:r>
    </w:p>
    <w:p w14:paraId="3EB56CF6" w14:textId="4592DF31" w:rsidR="00A46CC2" w:rsidRPr="00851B39" w:rsidRDefault="006833EC" w:rsidP="006833EC">
      <w:pPr>
        <w:pStyle w:val="Didascalia"/>
        <w:jc w:val="both"/>
        <w:rPr>
          <w:sz w:val="20"/>
        </w:rPr>
      </w:pPr>
      <w:r w:rsidRPr="00851B39">
        <w:rPr>
          <w:b/>
          <w:sz w:val="20"/>
        </w:rPr>
        <w:t>Figure</w:t>
      </w:r>
      <w:r w:rsidR="00326BC9" w:rsidRPr="00851B39">
        <w:rPr>
          <w:b/>
          <w:sz w:val="20"/>
        </w:rPr>
        <w:t> </w:t>
      </w:r>
      <w:r w:rsidRPr="00851B39">
        <w:rPr>
          <w:b/>
          <w:sz w:val="20"/>
        </w:rPr>
        <w:fldChar w:fldCharType="begin"/>
      </w:r>
      <w:r w:rsidRPr="00851B39">
        <w:rPr>
          <w:b/>
          <w:sz w:val="20"/>
        </w:rPr>
        <w:instrText xml:space="preserve"> SEQ Figure \* ARABIC </w:instrText>
      </w:r>
      <w:r w:rsidRPr="00851B39">
        <w:rPr>
          <w:b/>
          <w:sz w:val="20"/>
        </w:rPr>
        <w:fldChar w:fldCharType="separate"/>
      </w:r>
      <w:r w:rsidRPr="00851B39">
        <w:rPr>
          <w:b/>
          <w:noProof/>
          <w:sz w:val="20"/>
        </w:rPr>
        <w:t>1</w:t>
      </w:r>
      <w:r w:rsidRPr="00851B39">
        <w:rPr>
          <w:b/>
          <w:sz w:val="20"/>
        </w:rPr>
        <w:fldChar w:fldCharType="end"/>
      </w:r>
      <w:r w:rsidRPr="00851B39">
        <w:rPr>
          <w:sz w:val="20"/>
        </w:rPr>
        <w:t xml:space="preserve"> Climate change impacts of ammonia production technologies. </w:t>
      </w:r>
      <w:r w:rsidRPr="00851B39">
        <w:rPr>
          <w:b/>
          <w:sz w:val="20"/>
        </w:rPr>
        <w:t>(a)</w:t>
      </w:r>
      <w:r w:rsidRPr="00851B39">
        <w:rPr>
          <w:sz w:val="20"/>
        </w:rPr>
        <w:t xml:space="preserve"> Global average impacts of fossil, solar and wind</w:t>
      </w:r>
      <w:r w:rsidRPr="00851B39">
        <w:rPr>
          <w:sz w:val="20"/>
        </w:rPr>
        <w:noBreakHyphen/>
        <w:t xml:space="preserve">based production from 2020 to 2050 across three scenarios (3.5 °C, 2 °C, and 1.5 °C). Regional analysis under the 2 °C scenario for </w:t>
      </w:r>
      <w:r w:rsidRPr="00851B39">
        <w:rPr>
          <w:b/>
          <w:sz w:val="20"/>
        </w:rPr>
        <w:t>(b)</w:t>
      </w:r>
      <w:r w:rsidRPr="00851B39">
        <w:rPr>
          <w:sz w:val="20"/>
        </w:rPr>
        <w:t xml:space="preserve"> solar and </w:t>
      </w:r>
      <w:r w:rsidRPr="00851B39">
        <w:rPr>
          <w:b/>
          <w:sz w:val="20"/>
        </w:rPr>
        <w:t>(c)</w:t>
      </w:r>
      <w:r w:rsidRPr="00851B39">
        <w:rPr>
          <w:sz w:val="20"/>
        </w:rPr>
        <w:t xml:space="preserve"> wind</w:t>
      </w:r>
      <w:r w:rsidRPr="00851B39">
        <w:rPr>
          <w:sz w:val="20"/>
        </w:rPr>
        <w:noBreakHyphen/>
        <w:t>based production pathways.</w:t>
      </w:r>
    </w:p>
    <w:p w14:paraId="144DE6BF" w14:textId="608D0AD6" w:rsidR="008D2649" w:rsidRPr="00851B39" w:rsidRDefault="008D2649" w:rsidP="001D5AD3">
      <w:pPr>
        <w:pStyle w:val="Els-reference-head"/>
        <w:spacing w:after="0"/>
        <w:rPr>
          <w:lang w:val="de-CH"/>
        </w:rPr>
      </w:pPr>
      <w:r w:rsidRPr="00851B39">
        <w:rPr>
          <w:lang w:val="de-CH"/>
        </w:rPr>
        <w:t>References</w:t>
      </w:r>
    </w:p>
    <w:p w14:paraId="710BA642" w14:textId="20305522" w:rsidR="00440160" w:rsidRPr="00851B39" w:rsidRDefault="002E1665" w:rsidP="00A0737E">
      <w:pPr>
        <w:pStyle w:val="Bibliografia"/>
        <w:jc w:val="both"/>
        <w:rPr>
          <w:sz w:val="18"/>
        </w:rPr>
      </w:pPr>
      <w:r w:rsidRPr="00851B39">
        <w:rPr>
          <w:lang w:val="en-US"/>
        </w:rPr>
        <w:fldChar w:fldCharType="begin"/>
      </w:r>
      <w:r w:rsidRPr="00851B39">
        <w:rPr>
          <w:lang w:val="de-CH"/>
        </w:rPr>
        <w:instrText xml:space="preserve"> ADDIN ZOTERO_BIBL {"uncited":[],"omitted":[],"custom":[]} CSL_BIBLIOGRAPHY </w:instrText>
      </w:r>
      <w:r w:rsidRPr="00851B39">
        <w:rPr>
          <w:lang w:val="en-US"/>
        </w:rPr>
        <w:fldChar w:fldCharType="separate"/>
      </w:r>
      <w:r w:rsidR="00440160" w:rsidRPr="00851B39">
        <w:rPr>
          <w:sz w:val="18"/>
        </w:rPr>
        <w:t>Bauer, F., Tilsted, J.P., Pfister, S., Oberschelp, C., Kulionis, V., 2023. Mapping GHG emissions and prospects for renewable energy in the chemical industry. Curr. Opin. Chem. Eng. 39, 100881.</w:t>
      </w:r>
    </w:p>
    <w:p w14:paraId="66F61EFF" w14:textId="7868EFBC" w:rsidR="00440160" w:rsidRPr="00E13FCE" w:rsidRDefault="00440160" w:rsidP="00A0737E">
      <w:pPr>
        <w:pStyle w:val="Bibliografia"/>
        <w:jc w:val="both"/>
        <w:rPr>
          <w:sz w:val="18"/>
          <w:lang w:val="it-IT"/>
        </w:rPr>
      </w:pPr>
      <w:r w:rsidRPr="00851B39">
        <w:rPr>
          <w:sz w:val="18"/>
        </w:rPr>
        <w:t xml:space="preserve">D’Angelo, S.C., Cobo, S., Tulus, V., Nabera, A., Martín, A.J., Pérez-Ramírez, J., Guillén-Gosálbez, G., 2021. Planetary Boundaries Analysis of Low-Carbon Ammonia Production Routes. ACS Sustain. </w:t>
      </w:r>
      <w:proofErr w:type="spellStart"/>
      <w:r w:rsidRPr="00E13FCE">
        <w:rPr>
          <w:sz w:val="18"/>
          <w:lang w:val="it-IT"/>
        </w:rPr>
        <w:t>Chem</w:t>
      </w:r>
      <w:proofErr w:type="spellEnd"/>
      <w:r w:rsidRPr="00E13FCE">
        <w:rPr>
          <w:sz w:val="18"/>
          <w:lang w:val="it-IT"/>
        </w:rPr>
        <w:t xml:space="preserve">. </w:t>
      </w:r>
      <w:proofErr w:type="spellStart"/>
      <w:r w:rsidRPr="00E13FCE">
        <w:rPr>
          <w:sz w:val="18"/>
          <w:lang w:val="it-IT"/>
        </w:rPr>
        <w:t>Eng</w:t>
      </w:r>
      <w:proofErr w:type="spellEnd"/>
      <w:r w:rsidRPr="00E13FCE">
        <w:rPr>
          <w:sz w:val="18"/>
          <w:lang w:val="it-IT"/>
        </w:rPr>
        <w:t>. 9, 9740–9749.</w:t>
      </w:r>
    </w:p>
    <w:p w14:paraId="0B100192" w14:textId="76701C0D" w:rsidR="00440160" w:rsidRPr="00851B39" w:rsidRDefault="00440160" w:rsidP="00A0737E">
      <w:pPr>
        <w:pStyle w:val="Bibliografia"/>
        <w:jc w:val="both"/>
        <w:rPr>
          <w:sz w:val="18"/>
        </w:rPr>
      </w:pPr>
      <w:r w:rsidRPr="00E13FCE">
        <w:rPr>
          <w:sz w:val="18"/>
          <w:lang w:val="it-IT"/>
        </w:rPr>
        <w:t xml:space="preserve">Gabrielli, P., Rosa, L., </w:t>
      </w:r>
      <w:proofErr w:type="spellStart"/>
      <w:r w:rsidRPr="00E13FCE">
        <w:rPr>
          <w:sz w:val="18"/>
          <w:lang w:val="it-IT"/>
        </w:rPr>
        <w:t>Gazzani</w:t>
      </w:r>
      <w:proofErr w:type="spellEnd"/>
      <w:r w:rsidRPr="00E13FCE">
        <w:rPr>
          <w:sz w:val="18"/>
          <w:lang w:val="it-IT"/>
        </w:rPr>
        <w:t xml:space="preserve">, M., </w:t>
      </w:r>
      <w:proofErr w:type="spellStart"/>
      <w:r w:rsidRPr="00E13FCE">
        <w:rPr>
          <w:sz w:val="18"/>
          <w:lang w:val="it-IT"/>
        </w:rPr>
        <w:t>Meys</w:t>
      </w:r>
      <w:proofErr w:type="spellEnd"/>
      <w:r w:rsidRPr="00E13FCE">
        <w:rPr>
          <w:sz w:val="18"/>
          <w:lang w:val="it-IT"/>
        </w:rPr>
        <w:t xml:space="preserve">, R., Bardow, A., Mazzotti, M., </w:t>
      </w:r>
      <w:proofErr w:type="spellStart"/>
      <w:r w:rsidRPr="00E13FCE">
        <w:rPr>
          <w:sz w:val="18"/>
          <w:lang w:val="it-IT"/>
        </w:rPr>
        <w:t>Sansavini</w:t>
      </w:r>
      <w:proofErr w:type="spellEnd"/>
      <w:r w:rsidRPr="00E13FCE">
        <w:rPr>
          <w:sz w:val="18"/>
          <w:lang w:val="it-IT"/>
        </w:rPr>
        <w:t xml:space="preserve">, G., 2023. </w:t>
      </w:r>
      <w:r w:rsidRPr="00851B39">
        <w:rPr>
          <w:sz w:val="18"/>
        </w:rPr>
        <w:t>Net-zero emissions chemical industry in a world of limited resources. One Earth 6, 682–704.</w:t>
      </w:r>
    </w:p>
    <w:p w14:paraId="0018E4DB" w14:textId="45F12645" w:rsidR="00440160" w:rsidRPr="00851B39" w:rsidRDefault="00440160" w:rsidP="00A0737E">
      <w:pPr>
        <w:pStyle w:val="Bibliografia"/>
        <w:jc w:val="both"/>
        <w:rPr>
          <w:sz w:val="18"/>
        </w:rPr>
      </w:pPr>
      <w:r w:rsidRPr="00851B39">
        <w:rPr>
          <w:sz w:val="18"/>
        </w:rPr>
        <w:t>Gomez, J.R., Baca, J., Garzon, F., 2020. Techno-economic analysis and life cycle assessment for electrochemical ammonia production using proton conducting membrane. Int. J. Hydrog. Energy 45, 721–737.</w:t>
      </w:r>
    </w:p>
    <w:p w14:paraId="56105C7B" w14:textId="569EAB8D" w:rsidR="00440160" w:rsidRPr="00851B39" w:rsidRDefault="00440160" w:rsidP="00A0737E">
      <w:pPr>
        <w:pStyle w:val="Bibliografia"/>
        <w:jc w:val="both"/>
        <w:rPr>
          <w:sz w:val="18"/>
        </w:rPr>
      </w:pPr>
      <w:r w:rsidRPr="00851B39">
        <w:rPr>
          <w:sz w:val="18"/>
        </w:rPr>
        <w:t>Integrated Assessment of Global Environmental Change with IMAGE 3.0, 2014.</w:t>
      </w:r>
      <w:r w:rsidR="00A0737E" w:rsidRPr="00851B39">
        <w:rPr>
          <w:sz w:val="18"/>
        </w:rPr>
        <w:t xml:space="preserve"> </w:t>
      </w:r>
      <w:r w:rsidRPr="00851B39">
        <w:rPr>
          <w:sz w:val="18"/>
        </w:rPr>
        <w:t>PBL Netherlands Environmental Assessment Agency.</w:t>
      </w:r>
    </w:p>
    <w:p w14:paraId="4CB8B9FE" w14:textId="77777777" w:rsidR="00440160" w:rsidRPr="00851B39" w:rsidRDefault="00440160" w:rsidP="00A0737E">
      <w:pPr>
        <w:pStyle w:val="Bibliografia"/>
        <w:jc w:val="both"/>
        <w:rPr>
          <w:sz w:val="18"/>
        </w:rPr>
      </w:pPr>
      <w:r w:rsidRPr="00851B39">
        <w:rPr>
          <w:sz w:val="18"/>
        </w:rPr>
        <w:t>International Standards Organization, 2006. In ISO 14040:2006 Environmental Management--Life Cycle Assessment--Principles and Framework.</w:t>
      </w:r>
    </w:p>
    <w:p w14:paraId="65C42E8C" w14:textId="77777777" w:rsidR="00440160" w:rsidRPr="00851B39" w:rsidRDefault="00440160" w:rsidP="00A0737E">
      <w:pPr>
        <w:pStyle w:val="Bibliografia"/>
        <w:jc w:val="both"/>
        <w:rPr>
          <w:sz w:val="18"/>
        </w:rPr>
      </w:pPr>
      <w:r w:rsidRPr="00851B39">
        <w:rPr>
          <w:sz w:val="18"/>
        </w:rPr>
        <w:t>International StandardsOrganization, 2006. In ISO 14044:2006 Environmental Management--Life Cycle Assessment--Requirements and Guidelines.</w:t>
      </w:r>
    </w:p>
    <w:p w14:paraId="323A9291" w14:textId="3CF86F6F" w:rsidR="00440160" w:rsidRPr="00E13FCE" w:rsidRDefault="00440160" w:rsidP="00A0737E">
      <w:pPr>
        <w:pStyle w:val="Bibliografia"/>
        <w:jc w:val="both"/>
        <w:rPr>
          <w:sz w:val="18"/>
          <w:lang w:val="it-IT"/>
        </w:rPr>
      </w:pPr>
      <w:r w:rsidRPr="00851B39">
        <w:rPr>
          <w:sz w:val="18"/>
        </w:rPr>
        <w:t xml:space="preserve">Li, C., Mogollón, J.M., Tukker, A., Steubing, B., 2022. Environmental Impacts of Global Offshore Wind Energy Development until 2040. </w:t>
      </w:r>
      <w:proofErr w:type="spellStart"/>
      <w:r w:rsidRPr="00E13FCE">
        <w:rPr>
          <w:sz w:val="18"/>
          <w:lang w:val="it-IT"/>
        </w:rPr>
        <w:t>Environ</w:t>
      </w:r>
      <w:proofErr w:type="spellEnd"/>
      <w:r w:rsidRPr="00E13FCE">
        <w:rPr>
          <w:sz w:val="18"/>
          <w:lang w:val="it-IT"/>
        </w:rPr>
        <w:t xml:space="preserve">. Sci. </w:t>
      </w:r>
      <w:proofErr w:type="spellStart"/>
      <w:r w:rsidRPr="00E13FCE">
        <w:rPr>
          <w:sz w:val="18"/>
          <w:lang w:val="it-IT"/>
        </w:rPr>
        <w:t>Technol</w:t>
      </w:r>
      <w:proofErr w:type="spellEnd"/>
      <w:r w:rsidRPr="00E13FCE">
        <w:rPr>
          <w:sz w:val="18"/>
          <w:lang w:val="it-IT"/>
        </w:rPr>
        <w:t>. 56, 11567–11577.</w:t>
      </w:r>
    </w:p>
    <w:p w14:paraId="144DE6C3" w14:textId="1CA752CA" w:rsidR="008D2649" w:rsidRPr="000279DD" w:rsidRDefault="00440160" w:rsidP="00A0737E">
      <w:pPr>
        <w:pStyle w:val="Bibliografia"/>
        <w:jc w:val="both"/>
        <w:rPr>
          <w:lang w:val="en-US"/>
        </w:rPr>
      </w:pPr>
      <w:r w:rsidRPr="00E13FCE">
        <w:rPr>
          <w:sz w:val="18"/>
          <w:lang w:val="it-IT"/>
        </w:rPr>
        <w:t xml:space="preserve">Sacchi, R., </w:t>
      </w:r>
      <w:proofErr w:type="spellStart"/>
      <w:r w:rsidRPr="00E13FCE">
        <w:rPr>
          <w:sz w:val="18"/>
          <w:lang w:val="it-IT"/>
        </w:rPr>
        <w:t>Terlouw</w:t>
      </w:r>
      <w:proofErr w:type="spellEnd"/>
      <w:r w:rsidRPr="00E13FCE">
        <w:rPr>
          <w:sz w:val="18"/>
          <w:lang w:val="it-IT"/>
        </w:rPr>
        <w:t xml:space="preserve">, T., </w:t>
      </w:r>
      <w:proofErr w:type="spellStart"/>
      <w:r w:rsidRPr="00E13FCE">
        <w:rPr>
          <w:sz w:val="18"/>
          <w:lang w:val="it-IT"/>
        </w:rPr>
        <w:t>Siala</w:t>
      </w:r>
      <w:proofErr w:type="spellEnd"/>
      <w:r w:rsidRPr="00E13FCE">
        <w:rPr>
          <w:sz w:val="18"/>
          <w:lang w:val="it-IT"/>
        </w:rPr>
        <w:t xml:space="preserve">, K., </w:t>
      </w:r>
      <w:proofErr w:type="spellStart"/>
      <w:r w:rsidRPr="00E13FCE">
        <w:rPr>
          <w:sz w:val="18"/>
          <w:lang w:val="it-IT"/>
        </w:rPr>
        <w:t>Dirnaichner</w:t>
      </w:r>
      <w:proofErr w:type="spellEnd"/>
      <w:r w:rsidRPr="00E13FCE">
        <w:rPr>
          <w:sz w:val="18"/>
          <w:lang w:val="it-IT"/>
        </w:rPr>
        <w:t xml:space="preserve">, A., Bauer, C., </w:t>
      </w:r>
      <w:proofErr w:type="spellStart"/>
      <w:r w:rsidRPr="00E13FCE">
        <w:rPr>
          <w:sz w:val="18"/>
          <w:lang w:val="it-IT"/>
        </w:rPr>
        <w:t>Cox</w:t>
      </w:r>
      <w:proofErr w:type="spellEnd"/>
      <w:r w:rsidRPr="00E13FCE">
        <w:rPr>
          <w:sz w:val="18"/>
          <w:lang w:val="it-IT"/>
        </w:rPr>
        <w:t xml:space="preserve">, B., </w:t>
      </w:r>
      <w:proofErr w:type="spellStart"/>
      <w:r w:rsidRPr="00E13FCE">
        <w:rPr>
          <w:sz w:val="18"/>
          <w:lang w:val="it-IT"/>
        </w:rPr>
        <w:t>Mutel</w:t>
      </w:r>
      <w:proofErr w:type="spellEnd"/>
      <w:r w:rsidRPr="00E13FCE">
        <w:rPr>
          <w:sz w:val="18"/>
          <w:lang w:val="it-IT"/>
        </w:rPr>
        <w:t xml:space="preserve">, C., </w:t>
      </w:r>
      <w:proofErr w:type="spellStart"/>
      <w:r w:rsidRPr="00E13FCE">
        <w:rPr>
          <w:sz w:val="18"/>
          <w:lang w:val="it-IT"/>
        </w:rPr>
        <w:t>Daioglou</w:t>
      </w:r>
      <w:proofErr w:type="spellEnd"/>
      <w:r w:rsidRPr="00E13FCE">
        <w:rPr>
          <w:sz w:val="18"/>
          <w:lang w:val="it-IT"/>
        </w:rPr>
        <w:t xml:space="preserve">, V., </w:t>
      </w:r>
      <w:proofErr w:type="spellStart"/>
      <w:r w:rsidRPr="00E13FCE">
        <w:rPr>
          <w:sz w:val="18"/>
          <w:lang w:val="it-IT"/>
        </w:rPr>
        <w:t>Luderer</w:t>
      </w:r>
      <w:proofErr w:type="spellEnd"/>
      <w:r w:rsidRPr="00E13FCE">
        <w:rPr>
          <w:sz w:val="18"/>
          <w:lang w:val="it-IT"/>
        </w:rPr>
        <w:t xml:space="preserve">, G., 2022. </w:t>
      </w:r>
      <w:proofErr w:type="spellStart"/>
      <w:r w:rsidRPr="00851B39">
        <w:rPr>
          <w:sz w:val="18"/>
        </w:rPr>
        <w:t>PRospective</w:t>
      </w:r>
      <w:proofErr w:type="spellEnd"/>
      <w:r w:rsidRPr="00851B39">
        <w:rPr>
          <w:sz w:val="18"/>
        </w:rPr>
        <w:t xml:space="preserve"> </w:t>
      </w:r>
      <w:proofErr w:type="spellStart"/>
      <w:r w:rsidRPr="00851B39">
        <w:rPr>
          <w:sz w:val="18"/>
        </w:rPr>
        <w:t>EnvironMental</w:t>
      </w:r>
      <w:proofErr w:type="spellEnd"/>
      <w:r w:rsidRPr="00851B39">
        <w:rPr>
          <w:sz w:val="18"/>
        </w:rPr>
        <w:t xml:space="preserve"> Impact </w:t>
      </w:r>
      <w:proofErr w:type="spellStart"/>
      <w:r w:rsidRPr="00851B39">
        <w:rPr>
          <w:sz w:val="18"/>
        </w:rPr>
        <w:t>asSEment</w:t>
      </w:r>
      <w:proofErr w:type="spellEnd"/>
      <w:r w:rsidRPr="00851B39">
        <w:rPr>
          <w:sz w:val="18"/>
        </w:rPr>
        <w:t xml:space="preserve"> (premise): A streamlined approach to producing databases for prospective life cycle assessment using integrated assessment models. Renew. Sustain. Energy Rev. 160, 112311.</w:t>
      </w:r>
      <w:r w:rsidR="002E1665" w:rsidRPr="00851B39">
        <w:rPr>
          <w:lang w:val="en-US"/>
        </w:rPr>
        <w:fldChar w:fldCharType="end"/>
      </w:r>
    </w:p>
    <w:sectPr w:rsidR="008D2649" w:rsidRPr="000279DD" w:rsidSect="008B0184">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C35BF3" w14:textId="77777777" w:rsidR="00EB165B" w:rsidRDefault="00EB165B">
      <w:r>
        <w:separator/>
      </w:r>
    </w:p>
  </w:endnote>
  <w:endnote w:type="continuationSeparator" w:id="0">
    <w:p w14:paraId="559885FF" w14:textId="77777777" w:rsidR="00EB165B" w:rsidRDefault="00EB1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8AA35" w14:textId="77777777" w:rsidR="00FF6043" w:rsidRDefault="00FF604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C06D4" w14:textId="77777777" w:rsidR="00FF6043" w:rsidRDefault="00FF6043">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2E584" w14:textId="77777777" w:rsidR="00FF6043" w:rsidRDefault="00FF604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DAA8A8" w14:textId="77777777" w:rsidR="00EB165B" w:rsidRDefault="00EB165B">
      <w:r>
        <w:separator/>
      </w:r>
    </w:p>
  </w:footnote>
  <w:footnote w:type="continuationSeparator" w:id="0">
    <w:p w14:paraId="145EA9C3" w14:textId="77777777" w:rsidR="00EB165B" w:rsidRDefault="00EB16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9" w14:textId="5EB2E158" w:rsidR="00DD3D9E" w:rsidRDefault="00DD3D9E">
    <w:pPr>
      <w:pStyle w:val="Intestazione"/>
      <w:tabs>
        <w:tab w:val="clear" w:pos="7200"/>
        <w:tab w:val="right" w:pos="7088"/>
      </w:tabs>
    </w:pPr>
    <w:r>
      <w:rPr>
        <w:rStyle w:val="Numeropagina"/>
      </w:rPr>
      <w:tab/>
    </w:r>
    <w:r>
      <w:rPr>
        <w:rStyle w:val="Numeropagina"/>
        <w:i/>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A" w14:textId="0F7BDF63" w:rsidR="00DD3D9E" w:rsidRDefault="00DD3D9E">
    <w:pPr>
      <w:pStyle w:val="Intestazione"/>
      <w:tabs>
        <w:tab w:val="clear" w:pos="7200"/>
        <w:tab w:val="right" w:pos="7088"/>
      </w:tabs>
      <w:jc w:val="right"/>
      <w:rPr>
        <w:sz w:val="24"/>
      </w:rPr>
    </w:pPr>
    <w:r>
      <w:rPr>
        <w:rStyle w:val="Numeropagina"/>
        <w:i/>
        <w:sz w:val="24"/>
      </w:rPr>
      <w:tab/>
    </w:r>
    <w:r>
      <w:rPr>
        <w:rStyle w:val="Numeropagin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C" w14:textId="65EF433B" w:rsidR="00DD3D9E" w:rsidRPr="00FF6043" w:rsidRDefault="001B1DE3" w:rsidP="00FF6043">
    <w:pPr>
      <w:pStyle w:val="ElsevierBodyTextCentredNospace"/>
      <w:jc w:val="left"/>
      <w:rPr>
        <w:noProof/>
        <w:sz w:val="20"/>
        <w:szCs w:val="20"/>
      </w:rPr>
    </w:pPr>
    <w:r>
      <w:rPr>
        <w:noProof/>
        <w:color w:val="auto"/>
        <w:sz w:val="20"/>
        <w:szCs w:val="20"/>
      </w:rPr>
      <w:drawing>
        <wp:inline distT="0" distB="0" distL="0" distR="0" wp14:anchorId="26F3196F" wp14:editId="0458D368">
          <wp:extent cx="4499610" cy="91694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ongress.jpg"/>
                  <pic:cNvPicPr/>
                </pic:nvPicPr>
                <pic:blipFill>
                  <a:blip r:embed="rId1">
                    <a:extLst>
                      <a:ext uri="{28A0092B-C50C-407E-A947-70E740481C1C}">
                        <a14:useLocalDpi xmlns:a14="http://schemas.microsoft.com/office/drawing/2010/main" val="0"/>
                      </a:ext>
                    </a:extLst>
                  </a:blip>
                  <a:stretch>
                    <a:fillRect/>
                  </a:stretch>
                </pic:blipFill>
                <pic:spPr>
                  <a:xfrm>
                    <a:off x="0" y="0"/>
                    <a:ext cx="4499610" cy="916940"/>
                  </a:xfrm>
                  <a:prstGeom prst="rect">
                    <a:avLst/>
                  </a:prstGeom>
                </pic:spPr>
              </pic:pic>
            </a:graphicData>
          </a:graphic>
        </wp:inline>
      </w:drawing>
    </w:r>
    <w:r w:rsidR="00F06842" w:rsidRPr="00FF6043">
      <w:rPr>
        <w:color w:val="auto"/>
        <w:sz w:val="20"/>
        <w:szCs w:val="20"/>
      </w:rPr>
      <w:t xml:space="preserve">Flavio Manenti, Gintaras V. Reklaitis (Eds.), </w:t>
    </w:r>
    <w:r w:rsidR="00FF6043" w:rsidRPr="00FF6043">
      <w:rPr>
        <w:color w:val="auto"/>
        <w:sz w:val="20"/>
        <w:szCs w:val="20"/>
      </w:rPr>
      <w:t>B</w:t>
    </w:r>
    <w:r w:rsidR="00FF6043" w:rsidRPr="00FF6043">
      <w:rPr>
        <w:noProof/>
        <w:sz w:val="20"/>
        <w:szCs w:val="20"/>
      </w:rPr>
      <w:t>ook of Abstract</w:t>
    </w:r>
    <w:r w:rsidR="00F06842" w:rsidRPr="00FF6043">
      <w:rPr>
        <w:noProof/>
        <w:sz w:val="20"/>
        <w:szCs w:val="20"/>
      </w:rPr>
      <w:t xml:space="preserve"> of the </w:t>
    </w:r>
    <w:r w:rsidR="00F06842" w:rsidRPr="00FF6043">
      <w:rPr>
        <w:rStyle w:val="underline1"/>
        <w:sz w:val="20"/>
        <w:szCs w:val="20"/>
        <w:u w:val="none"/>
      </w:rPr>
      <w:t>34</w:t>
    </w:r>
    <w:r w:rsidR="00F06842" w:rsidRPr="00FF6043">
      <w:rPr>
        <w:rStyle w:val="underline1"/>
        <w:sz w:val="20"/>
        <w:szCs w:val="20"/>
        <w:u w:val="none"/>
        <w:vertAlign w:val="superscript"/>
      </w:rPr>
      <w:t>th</w:t>
    </w:r>
    <w:r w:rsidR="00F06842" w:rsidRPr="00FF6043">
      <w:rPr>
        <w:rStyle w:val="underline1"/>
        <w:sz w:val="20"/>
        <w:szCs w:val="20"/>
        <w:u w:val="none"/>
      </w:rPr>
      <w:t xml:space="preserve"> European Symposium on Computer Aided Process Engineering / 15</w:t>
    </w:r>
    <w:r w:rsidR="00F06842" w:rsidRPr="00FF6043">
      <w:rPr>
        <w:rStyle w:val="underline1"/>
        <w:sz w:val="20"/>
        <w:szCs w:val="20"/>
        <w:u w:val="none"/>
        <w:vertAlign w:val="superscript"/>
      </w:rPr>
      <w:t>th</w:t>
    </w:r>
    <w:r w:rsidR="00F06842" w:rsidRPr="00FF6043">
      <w:rPr>
        <w:rStyle w:val="underline1"/>
        <w:sz w:val="20"/>
        <w:szCs w:val="20"/>
        <w:u w:val="none"/>
      </w:rPr>
      <w:t xml:space="preserve"> International Symposium on Process Systems Engineerin</w:t>
    </w:r>
    <w:r w:rsidR="00F06842" w:rsidRPr="00FF6043">
      <w:rPr>
        <w:rStyle w:val="underline1"/>
        <w:sz w:val="20"/>
        <w:szCs w:val="20"/>
      </w:rPr>
      <w:t>g</w:t>
    </w:r>
    <w:r w:rsidR="00F06842" w:rsidRPr="00FF6043">
      <w:rPr>
        <w:noProof/>
        <w:sz w:val="20"/>
        <w:szCs w:val="20"/>
      </w:rPr>
      <w:t xml:space="preserve"> (ESCAPE34/PSE24), June 2-6, 2024,</w:t>
    </w:r>
    <w:r w:rsidR="00F06842" w:rsidRPr="00FF6043">
      <w:rPr>
        <w:sz w:val="20"/>
        <w:szCs w:val="20"/>
      </w:rPr>
      <w:t xml:space="preserve"> Florence</w:t>
    </w:r>
    <w:r w:rsidR="00F06842" w:rsidRPr="00FF6043">
      <w:rPr>
        <w:noProof/>
        <w:sz w:val="20"/>
        <w:szCs w:val="20"/>
      </w:rPr>
      <w:t>, Italy</w:t>
    </w:r>
    <w:r w:rsidR="00FF6043">
      <w:rPr>
        <w:noProof/>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1"/>
  </w:num>
  <w:num w:numId="3">
    <w:abstractNumId w:val="11"/>
  </w:num>
  <w:num w:numId="4">
    <w:abstractNumId w:val="11"/>
  </w:num>
  <w:num w:numId="5">
    <w:abstractNumId w:val="0"/>
  </w:num>
  <w:num w:numId="6">
    <w:abstractNumId w:val="6"/>
  </w:num>
  <w:num w:numId="7">
    <w:abstractNumId w:val="12"/>
  </w:num>
  <w:num w:numId="8">
    <w:abstractNumId w:val="1"/>
  </w:num>
  <w:num w:numId="9">
    <w:abstractNumId w:val="10"/>
  </w:num>
  <w:num w:numId="10">
    <w:abstractNumId w:val="14"/>
  </w:num>
  <w:num w:numId="11">
    <w:abstractNumId w:val="13"/>
  </w:num>
  <w:num w:numId="12">
    <w:abstractNumId w:val="5"/>
  </w:num>
  <w:num w:numId="13">
    <w:abstractNumId w:val="8"/>
  </w:num>
  <w:num w:numId="14">
    <w:abstractNumId w:val="2"/>
  </w:num>
  <w:num w:numId="15">
    <w:abstractNumId w:val="7"/>
  </w:num>
  <w:num w:numId="16">
    <w:abstractNumId w:val="3"/>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UyNDEwsTQ3NbQ0tDBS0lEKTi0uzszPAymwqAUAFMOQXSwAAAA="/>
  </w:docVars>
  <w:rsids>
    <w:rsidRoot w:val="00B63237"/>
    <w:rsid w:val="000062D9"/>
    <w:rsid w:val="000267AC"/>
    <w:rsid w:val="000279DD"/>
    <w:rsid w:val="00032244"/>
    <w:rsid w:val="00032FC1"/>
    <w:rsid w:val="000415B9"/>
    <w:rsid w:val="00044B03"/>
    <w:rsid w:val="00053775"/>
    <w:rsid w:val="00064E67"/>
    <w:rsid w:val="00091837"/>
    <w:rsid w:val="000D2FBC"/>
    <w:rsid w:val="000D3D9B"/>
    <w:rsid w:val="000E0BA4"/>
    <w:rsid w:val="000E513E"/>
    <w:rsid w:val="001023E5"/>
    <w:rsid w:val="001572DC"/>
    <w:rsid w:val="0016032F"/>
    <w:rsid w:val="00160C40"/>
    <w:rsid w:val="001879F6"/>
    <w:rsid w:val="001A7816"/>
    <w:rsid w:val="001B1DE3"/>
    <w:rsid w:val="001B33DD"/>
    <w:rsid w:val="001C0148"/>
    <w:rsid w:val="001C1013"/>
    <w:rsid w:val="001C757E"/>
    <w:rsid w:val="001D1524"/>
    <w:rsid w:val="001D51FA"/>
    <w:rsid w:val="001D5AD3"/>
    <w:rsid w:val="001F0369"/>
    <w:rsid w:val="001F624A"/>
    <w:rsid w:val="0020390F"/>
    <w:rsid w:val="00212DB6"/>
    <w:rsid w:val="00213844"/>
    <w:rsid w:val="00225A5B"/>
    <w:rsid w:val="002572F1"/>
    <w:rsid w:val="0026374B"/>
    <w:rsid w:val="00264926"/>
    <w:rsid w:val="00270B06"/>
    <w:rsid w:val="002A30CB"/>
    <w:rsid w:val="002B02FF"/>
    <w:rsid w:val="002B1333"/>
    <w:rsid w:val="002B5ED5"/>
    <w:rsid w:val="002D62C9"/>
    <w:rsid w:val="002E1438"/>
    <w:rsid w:val="002E1665"/>
    <w:rsid w:val="002F053D"/>
    <w:rsid w:val="002F2F8E"/>
    <w:rsid w:val="00326BC9"/>
    <w:rsid w:val="0033302A"/>
    <w:rsid w:val="003367C4"/>
    <w:rsid w:val="00344D01"/>
    <w:rsid w:val="00350C62"/>
    <w:rsid w:val="0036113D"/>
    <w:rsid w:val="003655EF"/>
    <w:rsid w:val="003702C5"/>
    <w:rsid w:val="003823CC"/>
    <w:rsid w:val="00394A96"/>
    <w:rsid w:val="003A72A8"/>
    <w:rsid w:val="003B1BAD"/>
    <w:rsid w:val="003D1582"/>
    <w:rsid w:val="003D7E4C"/>
    <w:rsid w:val="003E05E2"/>
    <w:rsid w:val="003E41C2"/>
    <w:rsid w:val="003F55DA"/>
    <w:rsid w:val="004043A8"/>
    <w:rsid w:val="00405DEF"/>
    <w:rsid w:val="00413A0B"/>
    <w:rsid w:val="00440160"/>
    <w:rsid w:val="004546D4"/>
    <w:rsid w:val="00454C54"/>
    <w:rsid w:val="004601F2"/>
    <w:rsid w:val="004628E9"/>
    <w:rsid w:val="00483509"/>
    <w:rsid w:val="00496FB1"/>
    <w:rsid w:val="0049772C"/>
    <w:rsid w:val="0050057F"/>
    <w:rsid w:val="005043CF"/>
    <w:rsid w:val="00507296"/>
    <w:rsid w:val="00507CB7"/>
    <w:rsid w:val="00552EEB"/>
    <w:rsid w:val="00567D93"/>
    <w:rsid w:val="0057572A"/>
    <w:rsid w:val="00576B67"/>
    <w:rsid w:val="005869D8"/>
    <w:rsid w:val="005A42EE"/>
    <w:rsid w:val="005B0597"/>
    <w:rsid w:val="005B7E18"/>
    <w:rsid w:val="006132FF"/>
    <w:rsid w:val="00614DB7"/>
    <w:rsid w:val="0062267A"/>
    <w:rsid w:val="00641E0D"/>
    <w:rsid w:val="00641F98"/>
    <w:rsid w:val="00642B5A"/>
    <w:rsid w:val="006505DB"/>
    <w:rsid w:val="00654179"/>
    <w:rsid w:val="006833EC"/>
    <w:rsid w:val="006A1733"/>
    <w:rsid w:val="006A38B3"/>
    <w:rsid w:val="006A69BF"/>
    <w:rsid w:val="006B4C92"/>
    <w:rsid w:val="006C11D1"/>
    <w:rsid w:val="006D01A8"/>
    <w:rsid w:val="006D02FE"/>
    <w:rsid w:val="006D3C9C"/>
    <w:rsid w:val="006D52ED"/>
    <w:rsid w:val="006E6A82"/>
    <w:rsid w:val="007017E0"/>
    <w:rsid w:val="00702780"/>
    <w:rsid w:val="00704835"/>
    <w:rsid w:val="00711DF4"/>
    <w:rsid w:val="00720E4F"/>
    <w:rsid w:val="00723122"/>
    <w:rsid w:val="007667B6"/>
    <w:rsid w:val="007711DA"/>
    <w:rsid w:val="00782F1C"/>
    <w:rsid w:val="007869E3"/>
    <w:rsid w:val="0078798C"/>
    <w:rsid w:val="007879D2"/>
    <w:rsid w:val="007A035E"/>
    <w:rsid w:val="007A717D"/>
    <w:rsid w:val="007B59FB"/>
    <w:rsid w:val="007C185C"/>
    <w:rsid w:val="007C4353"/>
    <w:rsid w:val="007C79B6"/>
    <w:rsid w:val="007D15BE"/>
    <w:rsid w:val="007D70A1"/>
    <w:rsid w:val="007E67F8"/>
    <w:rsid w:val="007F0038"/>
    <w:rsid w:val="007F0BEC"/>
    <w:rsid w:val="008132E8"/>
    <w:rsid w:val="0082273E"/>
    <w:rsid w:val="00823407"/>
    <w:rsid w:val="00851B39"/>
    <w:rsid w:val="00874E79"/>
    <w:rsid w:val="00876942"/>
    <w:rsid w:val="008B0184"/>
    <w:rsid w:val="008C5D02"/>
    <w:rsid w:val="008D2649"/>
    <w:rsid w:val="0090568D"/>
    <w:rsid w:val="00907F5D"/>
    <w:rsid w:val="009125C9"/>
    <w:rsid w:val="00913879"/>
    <w:rsid w:val="00916831"/>
    <w:rsid w:val="009175BA"/>
    <w:rsid w:val="00917661"/>
    <w:rsid w:val="00920107"/>
    <w:rsid w:val="00921770"/>
    <w:rsid w:val="00926D74"/>
    <w:rsid w:val="00934A80"/>
    <w:rsid w:val="00935375"/>
    <w:rsid w:val="0093651C"/>
    <w:rsid w:val="00943838"/>
    <w:rsid w:val="00945C26"/>
    <w:rsid w:val="00950D1C"/>
    <w:rsid w:val="00970E5D"/>
    <w:rsid w:val="009727E7"/>
    <w:rsid w:val="0097701C"/>
    <w:rsid w:val="00980A65"/>
    <w:rsid w:val="009822B9"/>
    <w:rsid w:val="009876AE"/>
    <w:rsid w:val="009A558C"/>
    <w:rsid w:val="009B0FFB"/>
    <w:rsid w:val="009B5336"/>
    <w:rsid w:val="009B707C"/>
    <w:rsid w:val="009C051D"/>
    <w:rsid w:val="009D32C1"/>
    <w:rsid w:val="009D6578"/>
    <w:rsid w:val="009D7978"/>
    <w:rsid w:val="009E0E97"/>
    <w:rsid w:val="009F1103"/>
    <w:rsid w:val="00A00CAA"/>
    <w:rsid w:val="00A01662"/>
    <w:rsid w:val="00A01693"/>
    <w:rsid w:val="00A055D0"/>
    <w:rsid w:val="00A0737E"/>
    <w:rsid w:val="00A25E70"/>
    <w:rsid w:val="00A33765"/>
    <w:rsid w:val="00A46CC2"/>
    <w:rsid w:val="00A54FA6"/>
    <w:rsid w:val="00A63269"/>
    <w:rsid w:val="00A75845"/>
    <w:rsid w:val="00A86529"/>
    <w:rsid w:val="00A92377"/>
    <w:rsid w:val="00AA06CC"/>
    <w:rsid w:val="00AA2DC8"/>
    <w:rsid w:val="00AA5D4A"/>
    <w:rsid w:val="00AB29ED"/>
    <w:rsid w:val="00AD13E7"/>
    <w:rsid w:val="00AE4BD8"/>
    <w:rsid w:val="00AE6403"/>
    <w:rsid w:val="00AF7F60"/>
    <w:rsid w:val="00B034DE"/>
    <w:rsid w:val="00B15BBC"/>
    <w:rsid w:val="00B17927"/>
    <w:rsid w:val="00B37719"/>
    <w:rsid w:val="00B4388F"/>
    <w:rsid w:val="00B63237"/>
    <w:rsid w:val="00B7695B"/>
    <w:rsid w:val="00B827AA"/>
    <w:rsid w:val="00B96FD8"/>
    <w:rsid w:val="00BB2CE2"/>
    <w:rsid w:val="00BD2651"/>
    <w:rsid w:val="00BD3A16"/>
    <w:rsid w:val="00BF7B57"/>
    <w:rsid w:val="00C00AC9"/>
    <w:rsid w:val="00C3037C"/>
    <w:rsid w:val="00C344CE"/>
    <w:rsid w:val="00C359ED"/>
    <w:rsid w:val="00C430E7"/>
    <w:rsid w:val="00C505B6"/>
    <w:rsid w:val="00C55D7C"/>
    <w:rsid w:val="00C71A0E"/>
    <w:rsid w:val="00C77343"/>
    <w:rsid w:val="00C960DC"/>
    <w:rsid w:val="00CA72D0"/>
    <w:rsid w:val="00CC2DEF"/>
    <w:rsid w:val="00CE6583"/>
    <w:rsid w:val="00CF078F"/>
    <w:rsid w:val="00D02C75"/>
    <w:rsid w:val="00D10E22"/>
    <w:rsid w:val="00D13D2C"/>
    <w:rsid w:val="00D224EC"/>
    <w:rsid w:val="00D33EC8"/>
    <w:rsid w:val="00D33FEE"/>
    <w:rsid w:val="00D37222"/>
    <w:rsid w:val="00D51712"/>
    <w:rsid w:val="00D51DF6"/>
    <w:rsid w:val="00D7441A"/>
    <w:rsid w:val="00D861CE"/>
    <w:rsid w:val="00D92C68"/>
    <w:rsid w:val="00DA4641"/>
    <w:rsid w:val="00DC2F94"/>
    <w:rsid w:val="00DC5673"/>
    <w:rsid w:val="00DD21A2"/>
    <w:rsid w:val="00DD3D9E"/>
    <w:rsid w:val="00DD7908"/>
    <w:rsid w:val="00E12382"/>
    <w:rsid w:val="00E13FCE"/>
    <w:rsid w:val="00E160EA"/>
    <w:rsid w:val="00E3315A"/>
    <w:rsid w:val="00E422A2"/>
    <w:rsid w:val="00E82297"/>
    <w:rsid w:val="00EA467C"/>
    <w:rsid w:val="00EB165B"/>
    <w:rsid w:val="00ED0B0F"/>
    <w:rsid w:val="00ED1670"/>
    <w:rsid w:val="00EF2BFB"/>
    <w:rsid w:val="00EF39FD"/>
    <w:rsid w:val="00F06842"/>
    <w:rsid w:val="00F107FD"/>
    <w:rsid w:val="00F25A8E"/>
    <w:rsid w:val="00F46B6D"/>
    <w:rsid w:val="00F7772A"/>
    <w:rsid w:val="00FA0615"/>
    <w:rsid w:val="00FB64A8"/>
    <w:rsid w:val="00FB6A08"/>
    <w:rsid w:val="00FC1388"/>
    <w:rsid w:val="00FD20E5"/>
    <w:rsid w:val="00FE42D4"/>
    <w:rsid w:val="00FF6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8B0184"/>
    <w:rPr>
      <w:lang w:eastAsia="en-US"/>
    </w:rPr>
  </w:style>
  <w:style w:type="paragraph" w:styleId="Titolo3">
    <w:name w:val="heading 3"/>
    <w:basedOn w:val="Normale"/>
    <w:next w:val="Normale"/>
    <w:qFormat/>
    <w:rsid w:val="008B0184"/>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imandonotadichiusura">
    <w:name w:val="endnote reference"/>
    <w:basedOn w:val="Carpredefinitoparagrafo"/>
    <w:semiHidden/>
    <w:rsid w:val="008B0184"/>
    <w:rPr>
      <w:vertAlign w:val="superscript"/>
    </w:rPr>
  </w:style>
  <w:style w:type="paragraph" w:styleId="Intestazione">
    <w:name w:val="header"/>
    <w:rsid w:val="008B0184"/>
    <w:pPr>
      <w:tabs>
        <w:tab w:val="center" w:pos="3600"/>
        <w:tab w:val="right" w:pos="7200"/>
      </w:tabs>
      <w:spacing w:line="200" w:lineRule="atLeast"/>
    </w:pPr>
    <w:rPr>
      <w:noProof/>
      <w:lang w:eastAsia="en-US"/>
    </w:rPr>
  </w:style>
  <w:style w:type="paragraph" w:styleId="Pidipagina">
    <w:name w:val="footer"/>
    <w:basedOn w:val="Intestazione"/>
    <w:rsid w:val="008B0184"/>
  </w:style>
  <w:style w:type="character" w:styleId="Rimandonotaapidipagina">
    <w:name w:val="footnote reference"/>
    <w:semiHidden/>
    <w:rsid w:val="008B0184"/>
    <w:rPr>
      <w:vertAlign w:val="superscript"/>
    </w:rPr>
  </w:style>
  <w:style w:type="paragraph" w:styleId="Testonotaapidipagina">
    <w:name w:val="footnote text"/>
    <w:basedOn w:val="Normale"/>
    <w:semiHidden/>
    <w:rsid w:val="008B0184"/>
    <w:rPr>
      <w:rFonts w:ascii="Univers" w:hAnsi="Univers"/>
    </w:rPr>
  </w:style>
  <w:style w:type="character" w:styleId="Collegamentoipertestuale">
    <w:name w:val="Hyperlink"/>
    <w:basedOn w:val="Carpredefinitoparagrafo"/>
    <w:rsid w:val="008B0184"/>
    <w:rPr>
      <w:color w:val="0000FF"/>
      <w:u w:val="single"/>
    </w:rPr>
  </w:style>
  <w:style w:type="character" w:customStyle="1" w:styleId="MTEquationSection">
    <w:name w:val="MTEquationSection"/>
    <w:basedOn w:val="Carpredefinitoparagrafo"/>
    <w:rsid w:val="008B0184"/>
    <w:rPr>
      <w:vanish/>
      <w:color w:val="FF0000"/>
    </w:rPr>
  </w:style>
  <w:style w:type="character" w:styleId="Numeropagina">
    <w:name w:val="page number"/>
    <w:basedOn w:val="Carpredefinitoparagrafo"/>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Carpredefinitoparagrafo"/>
    <w:rsid w:val="008B0184"/>
    <w:rPr>
      <w:sz w:val="18"/>
      <w:lang w:val="en-US" w:eastAsia="en-US" w:bidi="ar-SA"/>
    </w:rPr>
  </w:style>
  <w:style w:type="character" w:styleId="Rimandocommento">
    <w:name w:val="annotation reference"/>
    <w:basedOn w:val="Carpredefinitoparagrafo"/>
    <w:semiHidden/>
    <w:rsid w:val="008B0184"/>
    <w:rPr>
      <w:sz w:val="16"/>
      <w:szCs w:val="16"/>
    </w:rPr>
  </w:style>
  <w:style w:type="paragraph" w:styleId="Testocommento">
    <w:name w:val="annotation text"/>
    <w:basedOn w:val="Normale"/>
    <w:semiHidden/>
    <w:rsid w:val="008B0184"/>
  </w:style>
  <w:style w:type="paragraph" w:styleId="Soggettocommento">
    <w:name w:val="annotation subject"/>
    <w:basedOn w:val="Testocommento"/>
    <w:next w:val="Testocommento"/>
    <w:semiHidden/>
    <w:rsid w:val="008B0184"/>
    <w:rPr>
      <w:b/>
      <w:bCs/>
    </w:rPr>
  </w:style>
  <w:style w:type="paragraph" w:styleId="Testofumetto">
    <w:name w:val="Balloon Text"/>
    <w:basedOn w:val="Normale"/>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Carpredefinitoparagrafo"/>
    <w:rsid w:val="00F06842"/>
    <w:rPr>
      <w:u w:val="single"/>
    </w:rPr>
  </w:style>
  <w:style w:type="paragraph" w:customStyle="1" w:styleId="ElsevierBodyTextCentredNospace">
    <w:name w:val="Elsevier Body Text Centred No space"/>
    <w:basedOn w:val="Normale"/>
    <w:qFormat/>
    <w:rsid w:val="00F06842"/>
    <w:pPr>
      <w:jc w:val="center"/>
    </w:pPr>
    <w:rPr>
      <w:bCs/>
      <w:iCs/>
      <w:color w:val="000000" w:themeColor="text1"/>
      <w:sz w:val="22"/>
      <w:szCs w:val="24"/>
      <w:lang w:val="en-US"/>
    </w:rPr>
  </w:style>
  <w:style w:type="character" w:styleId="Menzionenonrisolta">
    <w:name w:val="Unresolved Mention"/>
    <w:basedOn w:val="Carpredefinitoparagrafo"/>
    <w:uiPriority w:val="99"/>
    <w:semiHidden/>
    <w:unhideWhenUsed/>
    <w:rsid w:val="00702780"/>
    <w:rPr>
      <w:color w:val="605E5C"/>
      <w:shd w:val="clear" w:color="auto" w:fill="E1DFDD"/>
    </w:rPr>
  </w:style>
  <w:style w:type="paragraph" w:styleId="Bibliografia">
    <w:name w:val="Bibliography"/>
    <w:basedOn w:val="Normale"/>
    <w:next w:val="Normale"/>
    <w:uiPriority w:val="37"/>
    <w:unhideWhenUsed/>
    <w:rsid w:val="002E1665"/>
    <w:pPr>
      <w:ind w:left="720" w:hanging="720"/>
    </w:pPr>
  </w:style>
  <w:style w:type="paragraph" w:styleId="Revisione">
    <w:name w:val="Revision"/>
    <w:hidden/>
    <w:uiPriority w:val="99"/>
    <w:semiHidden/>
    <w:rsid w:val="002F2F8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F2974-8839-4B85-BF1A-DC866E223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1</TotalTime>
  <Pages>4</Pages>
  <Words>1567</Words>
  <Characters>24840</Characters>
  <Application>Microsoft Office Word</Application>
  <DocSecurity>0</DocSecurity>
  <Lines>207</Lines>
  <Paragraphs>52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Chapter</vt:lpstr>
      <vt:lpstr>Chapter</vt:lpstr>
    </vt:vector>
  </TitlesOfParts>
  <Company>Elsevier Science</Company>
  <LinksUpToDate>false</LinksUpToDate>
  <CharactersWithSpaces>26355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Sauro Pierucci</cp:lastModifiedBy>
  <cp:revision>88</cp:revision>
  <cp:lastPrinted>2004-12-17T09:20:00Z</cp:lastPrinted>
  <dcterms:created xsi:type="dcterms:W3CDTF">2023-11-27T09:21:00Z</dcterms:created>
  <dcterms:modified xsi:type="dcterms:W3CDTF">2024-01-21T15:04:00Z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y fmtid="{D5CDD505-2E9C-101B-9397-08002B2CF9AE}" pid="10" name="ZOTERO_PREF_1">
    <vt:lpwstr>&lt;data data-version="3" zotero-version="6.0.30"&gt;&lt;session id="P8p5BkFv"/&gt;&lt;style id="http://www.zotero.org/styles/computers-and-chemical-engineering" hasBibliography="1" bibliographyStyleHasBeenSet="1"/&gt;&lt;prefs&gt;&lt;pref name="fieldType" value="Field"/&gt;&lt;pref name</vt:lpwstr>
  </property>
  <property fmtid="{D5CDD505-2E9C-101B-9397-08002B2CF9AE}" pid="11" name="ZOTERO_PREF_2">
    <vt:lpwstr>="automaticJournalAbbreviations" value="true"/&gt;&lt;/prefs&gt;&lt;/data&gt;</vt:lpwstr>
  </property>
</Properties>
</file>