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E67F" w14:textId="42AF0FD6" w:rsidR="00DD3D9E" w:rsidRPr="00B4388F" w:rsidRDefault="005E35CF">
      <w:pPr>
        <w:pStyle w:val="Els-Title"/>
        <w:rPr>
          <w:color w:val="000000" w:themeColor="text1"/>
        </w:rPr>
      </w:pPr>
      <w:r>
        <w:rPr>
          <w:rFonts w:hint="eastAsia"/>
          <w:color w:val="000000" w:themeColor="text1"/>
          <w:lang w:eastAsia="ko-KR"/>
        </w:rPr>
        <w:t>Process</w:t>
      </w:r>
      <w:r>
        <w:rPr>
          <w:color w:val="000000" w:themeColor="text1"/>
        </w:rPr>
        <w:t xml:space="preserve"> </w:t>
      </w:r>
      <w:r w:rsidRPr="005E35CF">
        <w:rPr>
          <w:color w:val="000000" w:themeColor="text1"/>
        </w:rPr>
        <w:t>simulation of effects of ammonia co-firing on the thermal performances of the supercritical circulating fluidized bed boiler</w:t>
      </w:r>
    </w:p>
    <w:p w14:paraId="144DE680" w14:textId="7E042F5D" w:rsidR="00DD3D9E" w:rsidRDefault="005E35CF">
      <w:pPr>
        <w:pStyle w:val="Els-Author"/>
      </w:pPr>
      <w:r>
        <w:rPr>
          <w:rFonts w:hint="eastAsia"/>
          <w:lang w:eastAsia="ko-KR"/>
        </w:rPr>
        <w:t>Seong</w:t>
      </w:r>
      <w:r>
        <w:rPr>
          <w:lang w:eastAsia="ko-KR"/>
        </w:rPr>
        <w:t>-</w:t>
      </w:r>
      <w:r>
        <w:rPr>
          <w:rFonts w:hint="eastAsia"/>
          <w:lang w:eastAsia="ko-KR"/>
        </w:rPr>
        <w:t>il</w:t>
      </w:r>
      <w:r w:rsidRPr="005E35CF">
        <w:rPr>
          <w:vertAlign w:val="superscript"/>
          <w:lang w:eastAsia="ko-KR"/>
        </w:rPr>
        <w:t>a</w:t>
      </w:r>
      <w:r>
        <w:t xml:space="preserve"> </w:t>
      </w:r>
      <w:r>
        <w:rPr>
          <w:rFonts w:hint="eastAsia"/>
          <w:lang w:eastAsia="ko-KR"/>
        </w:rPr>
        <w:t>Kim</w:t>
      </w:r>
      <w:r>
        <w:rPr>
          <w:lang w:eastAsia="ko-KR"/>
        </w:rPr>
        <w:t xml:space="preserve"> and Won Yang</w:t>
      </w:r>
      <w:r w:rsidR="00AB01EE" w:rsidRPr="005E35CF">
        <w:rPr>
          <w:vertAlign w:val="superscript"/>
          <w:lang w:eastAsia="ko-KR"/>
        </w:rPr>
        <w:t>a</w:t>
      </w:r>
      <w:r w:rsidR="008E1A3E">
        <w:rPr>
          <w:vertAlign w:val="superscript"/>
          <w:lang w:eastAsia="ko-KR"/>
        </w:rPr>
        <w:t>*</w:t>
      </w:r>
    </w:p>
    <w:p w14:paraId="5FC015FA" w14:textId="0CE870AD" w:rsidR="00805D0D" w:rsidRPr="00805D0D" w:rsidRDefault="00805D0D">
      <w:pPr>
        <w:pStyle w:val="Els-Affiliation"/>
      </w:pPr>
      <w:r w:rsidRPr="00805D0D">
        <w:rPr>
          <w:vertAlign w:val="superscript"/>
        </w:rPr>
        <w:t>a</w:t>
      </w:r>
      <w:r w:rsidRPr="00805D0D">
        <w:t>Carbon Neutral Technology R&amp;D Department</w:t>
      </w:r>
      <w:r>
        <w:t>;</w:t>
      </w:r>
      <w:r w:rsidRPr="00805D0D">
        <w:t xml:space="preserve"> Research Institute of Clean Manufacturing System; Korea Institute of Industrial Technology, Cheon-an, </w:t>
      </w:r>
      <w:r>
        <w:t xml:space="preserve">31056, </w:t>
      </w:r>
      <w:r w:rsidRPr="00805D0D">
        <w:t>Republic of Korea</w:t>
      </w:r>
    </w:p>
    <w:p w14:paraId="144DE683" w14:textId="39033405" w:rsidR="008D2649" w:rsidRPr="00A94774" w:rsidRDefault="007D70A1" w:rsidP="008D2649">
      <w:pPr>
        <w:pStyle w:val="Els-Affiliation"/>
        <w:spacing w:after="120"/>
      </w:pPr>
      <w:r w:rsidRPr="00D22E38">
        <w:t>E</w:t>
      </w:r>
      <w:r w:rsidR="008D2649" w:rsidRPr="00D22E38">
        <w:t>mail</w:t>
      </w:r>
      <w:r w:rsidR="0020390F">
        <w:t>_</w:t>
      </w:r>
      <w:r>
        <w:t>of</w:t>
      </w:r>
      <w:r w:rsidR="0020390F">
        <w:t>_</w:t>
      </w:r>
      <w:r>
        <w:t>t</w:t>
      </w:r>
      <w:r w:rsidR="008D2649" w:rsidRPr="00D22E38">
        <w:t>he</w:t>
      </w:r>
      <w:r w:rsidR="0020390F">
        <w:t>_</w:t>
      </w:r>
      <w:r w:rsidR="008D2649" w:rsidRPr="00D22E38">
        <w:t>Corresponding</w:t>
      </w:r>
      <w:r w:rsidR="0020390F">
        <w:t>_</w:t>
      </w:r>
      <w:r w:rsidR="00805D0D">
        <w:t>yangwon</w:t>
      </w:r>
      <w:r w:rsidR="008D2649" w:rsidRPr="00D22E38">
        <w:t>@</w:t>
      </w:r>
      <w:r w:rsidR="00805D0D">
        <w:t>kitech</w:t>
      </w:r>
      <w:r w:rsidR="008D2649" w:rsidRPr="00D22E38">
        <w:t>.</w:t>
      </w:r>
      <w:r w:rsidR="00805D0D">
        <w:t>re.kr</w:t>
      </w:r>
    </w:p>
    <w:p w14:paraId="144DE684" w14:textId="77777777" w:rsidR="008D2649" w:rsidRDefault="008D2649" w:rsidP="008D2649">
      <w:pPr>
        <w:pStyle w:val="Els-Abstract"/>
      </w:pPr>
      <w:r>
        <w:t>Abstract</w:t>
      </w:r>
    </w:p>
    <w:p w14:paraId="2664E0A6" w14:textId="1A254280" w:rsidR="00805D0D" w:rsidRDefault="00805D0D" w:rsidP="00C506B2">
      <w:pPr>
        <w:pStyle w:val="Els-body-text"/>
        <w:spacing w:after="120"/>
        <w:rPr>
          <w:lang w:val="en-GB"/>
        </w:rPr>
      </w:pPr>
      <w:r w:rsidRPr="00805D0D">
        <w:rPr>
          <w:lang w:val="en-GB"/>
        </w:rPr>
        <w:t xml:space="preserve">The use of ammonia co-firing technology for carbon neutrality has emerged in the power generation industry. It is necessary to determine the optimal operating conditions by </w:t>
      </w:r>
      <w:r w:rsidR="001D5677">
        <w:rPr>
          <w:lang w:val="en-GB"/>
        </w:rPr>
        <w:t>investigat</w:t>
      </w:r>
      <w:r w:rsidR="00894047">
        <w:rPr>
          <w:lang w:val="en-GB"/>
        </w:rPr>
        <w:t>ing</w:t>
      </w:r>
      <w:r w:rsidRPr="00805D0D">
        <w:rPr>
          <w:lang w:val="en-GB"/>
        </w:rPr>
        <w:t xml:space="preserve"> boiler performance during ammonia co-firing. In this study, a process simulation was performed to determine the effect of ammonia co-firing on the thermal performances of the 550 MWe supercritical circulating fluidized bed (CFB) boiler. The process simulations were conducted using co-firing ratios of 5, 10, 15, 20, and 30%. Although the amount of CO</w:t>
      </w:r>
      <w:r w:rsidRPr="00894047">
        <w:rPr>
          <w:vertAlign w:val="subscript"/>
          <w:lang w:val="en-GB"/>
        </w:rPr>
        <w:t>2</w:t>
      </w:r>
      <w:r w:rsidRPr="00805D0D">
        <w:rPr>
          <w:lang w:val="en-GB"/>
        </w:rPr>
        <w:t xml:space="preserve"> reduction during ammonia co-firing was confirmed, the radiation and convective heat transfer rates decreased due to changes in the adiabatic flame temperature, flue gas flow rate, and increased moisture heat loss. Accordingly, the main and reheat steam temperatures decrease. </w:t>
      </w:r>
      <w:r w:rsidR="00894047">
        <w:rPr>
          <w:lang w:val="en-GB"/>
        </w:rPr>
        <w:t>In conclusion</w:t>
      </w:r>
      <w:r w:rsidRPr="00805D0D">
        <w:rPr>
          <w:lang w:val="en-GB"/>
        </w:rPr>
        <w:t>, the boiler thermal efficiency decreases under the condition of ammonia co-firing. These findings can be used to establish optimal operating conditions for CO</w:t>
      </w:r>
      <w:r w:rsidRPr="00894047">
        <w:rPr>
          <w:vertAlign w:val="subscript"/>
          <w:lang w:val="en-GB"/>
        </w:rPr>
        <w:t>2</w:t>
      </w:r>
      <w:r w:rsidRPr="00805D0D">
        <w:rPr>
          <w:lang w:val="en-GB"/>
        </w:rPr>
        <w:t xml:space="preserve"> reduction and improve plant efficiency, which are operational trade-offs during ammonia co-firing.</w:t>
      </w:r>
    </w:p>
    <w:p w14:paraId="144DE687" w14:textId="1C45373D" w:rsidR="008D2649" w:rsidRDefault="008D2649" w:rsidP="00C506B2">
      <w:pPr>
        <w:pStyle w:val="Els-body-text"/>
        <w:spacing w:after="120"/>
        <w:rPr>
          <w:lang w:val="en-GB"/>
        </w:rPr>
      </w:pPr>
      <w:r>
        <w:rPr>
          <w:b/>
          <w:bCs/>
          <w:lang w:val="en-GB"/>
        </w:rPr>
        <w:t>Keywords</w:t>
      </w:r>
      <w:r>
        <w:rPr>
          <w:lang w:val="en-GB"/>
        </w:rPr>
        <w:t xml:space="preserve">: </w:t>
      </w:r>
      <w:r w:rsidR="00805D0D">
        <w:rPr>
          <w:lang w:val="en-GB"/>
        </w:rPr>
        <w:t xml:space="preserve">ammonia co-firing, CFB boiler, process simulation, heat transfer </w:t>
      </w:r>
    </w:p>
    <w:p w14:paraId="144DE689" w14:textId="1D5C2F79" w:rsidR="008D2649" w:rsidRDefault="00356445" w:rsidP="008D2649">
      <w:pPr>
        <w:pStyle w:val="Els-1storder-head"/>
      </w:pPr>
      <w:r>
        <w:t>Introduction</w:t>
      </w:r>
    </w:p>
    <w:p w14:paraId="2FBA1087" w14:textId="52BCCF2C" w:rsidR="004A5E55" w:rsidRDefault="00894047" w:rsidP="00C506B2">
      <w:pPr>
        <w:pStyle w:val="Els-body-text"/>
        <w:rPr>
          <w:lang w:eastAsia="ko-KR"/>
        </w:rPr>
      </w:pPr>
      <w:r w:rsidRPr="00894047">
        <w:rPr>
          <w:lang w:eastAsia="ko-KR"/>
        </w:rPr>
        <w:t xml:space="preserve">With the global declaration of carbon neutrality, the reduction of greenhouse gases in the power generation sector must be accompanied. </w:t>
      </w:r>
      <w:r w:rsidR="00AA6220">
        <w:rPr>
          <w:lang w:eastAsia="ko-KR"/>
        </w:rPr>
        <w:t>A</w:t>
      </w:r>
      <w:r w:rsidRPr="00894047">
        <w:rPr>
          <w:lang w:eastAsia="ko-KR"/>
        </w:rPr>
        <w:t xml:space="preserve">ccording to Korea's Nationally Determined Contribution, greenhouse gas emissions from the power generation sector were adjusted </w:t>
      </w:r>
      <w:r w:rsidR="00C506B2">
        <w:rPr>
          <w:lang w:eastAsia="ko-KR"/>
        </w:rPr>
        <w:t>down</w:t>
      </w:r>
      <w:r w:rsidRPr="00894047">
        <w:rPr>
          <w:lang w:eastAsia="ko-KR"/>
        </w:rPr>
        <w:t>ward from 192.7 million tons to 145.9 million tons by 2030. According to Korea’s power mix, the power generations of a coal-fired power plant and a combined cycle power plant account for 32.8% and 68.7</w:t>
      </w:r>
      <w:r w:rsidR="00C506B2">
        <w:rPr>
          <w:lang w:eastAsia="ko-KR"/>
        </w:rPr>
        <w:t>%</w:t>
      </w:r>
      <w:r w:rsidRPr="00894047">
        <w:rPr>
          <w:lang w:eastAsia="ko-KR"/>
        </w:rPr>
        <w:t xml:space="preserve">, respectively. Therefore, for carbon neutrality in the power generation field, </w:t>
      </w:r>
      <w:r w:rsidR="00FA3984">
        <w:rPr>
          <w:lang w:eastAsia="ko-KR"/>
        </w:rPr>
        <w:t>the</w:t>
      </w:r>
      <w:r w:rsidR="00FA3984" w:rsidRPr="00894047">
        <w:rPr>
          <w:lang w:eastAsia="ko-KR"/>
        </w:rPr>
        <w:t xml:space="preserve"> </w:t>
      </w:r>
      <w:r w:rsidRPr="00894047">
        <w:rPr>
          <w:lang w:eastAsia="ko-KR"/>
        </w:rPr>
        <w:t>transition from fossil fuel-based to carbon-free fuel</w:t>
      </w:r>
      <w:r w:rsidR="00FA3984" w:rsidRPr="00FA3984">
        <w:rPr>
          <w:lang w:eastAsia="ko-KR"/>
        </w:rPr>
        <w:t xml:space="preserve"> </w:t>
      </w:r>
      <w:r w:rsidR="00FA3984" w:rsidRPr="00894047">
        <w:rPr>
          <w:lang w:eastAsia="ko-KR"/>
        </w:rPr>
        <w:t>is essential</w:t>
      </w:r>
      <w:r w:rsidRPr="00894047">
        <w:rPr>
          <w:lang w:eastAsia="ko-KR"/>
        </w:rPr>
        <w:t>. Under this power supply situation, Korea announced the 10</w:t>
      </w:r>
      <w:r w:rsidRPr="00AA6220">
        <w:rPr>
          <w:vertAlign w:val="superscript"/>
          <w:lang w:eastAsia="ko-KR"/>
        </w:rPr>
        <w:t>th</w:t>
      </w:r>
      <w:r w:rsidRPr="00894047">
        <w:rPr>
          <w:lang w:eastAsia="ko-KR"/>
        </w:rPr>
        <w:t xml:space="preserve"> basic plan for electricity supply and demand this year as shown in Table 1.  In 2030, electricity production from coal-fired plants by utilizing ammonia will begin. Based on the power supply and demand plan, Korea started an ammonia co-firing demonstration project in 2030. The target co-firing rate is 20%, and it is planned to be demonstrated in pulverized coal (PC) boilers and circulating fluidized bed (CFB) boilers in 2027. In particular, the world's first ammonia co-firing project in a circulating fluidized bed boiler was started in Korea. The target power plants were two PC boilers and two CFB boilers in Korea.</w:t>
      </w:r>
    </w:p>
    <w:p w14:paraId="58E90164" w14:textId="39E2CF52" w:rsidR="00C90518" w:rsidRPr="00E62D7F" w:rsidRDefault="00C90518" w:rsidP="00C90518">
      <w:pPr>
        <w:pStyle w:val="a3"/>
        <w:keepNext/>
      </w:pPr>
      <w:r w:rsidRPr="00E62D7F">
        <w:lastRenderedPageBreak/>
        <w:t xml:space="preserve">Table </w:t>
      </w:r>
      <w:r w:rsidRPr="00E62D7F">
        <w:fldChar w:fldCharType="begin"/>
      </w:r>
      <w:r w:rsidRPr="00E62D7F">
        <w:instrText xml:space="preserve"> SEQ Table \* ARABIC </w:instrText>
      </w:r>
      <w:r w:rsidRPr="00E62D7F">
        <w:fldChar w:fldCharType="separate"/>
      </w:r>
      <w:r w:rsidR="00CD0334">
        <w:rPr>
          <w:noProof/>
        </w:rPr>
        <w:t>1</w:t>
      </w:r>
      <w:r w:rsidRPr="00E62D7F">
        <w:fldChar w:fldCharType="end"/>
      </w:r>
      <w:r w:rsidRPr="00E62D7F">
        <w:t xml:space="preserve"> 10</w:t>
      </w:r>
      <w:r w:rsidRPr="00E62D7F">
        <w:rPr>
          <w:rFonts w:hint="eastAsia"/>
          <w:vertAlign w:val="superscript"/>
          <w:lang w:eastAsia="ko-KR"/>
        </w:rPr>
        <w:t>t</w:t>
      </w:r>
      <w:r w:rsidRPr="00E62D7F">
        <w:rPr>
          <w:vertAlign w:val="superscript"/>
          <w:lang w:eastAsia="ko-KR"/>
        </w:rPr>
        <w:t>h</w:t>
      </w:r>
      <w:r w:rsidRPr="00E62D7F">
        <w:rPr>
          <w:lang w:eastAsia="ko-KR"/>
        </w:rPr>
        <w:t xml:space="preserve"> </w:t>
      </w:r>
      <w:r w:rsidRPr="00E62D7F">
        <w:t>Basic plant for electricity supply and demand in KOREA, 2023</w:t>
      </w:r>
    </w:p>
    <w:tbl>
      <w:tblPr>
        <w:tblW w:w="7148" w:type="dxa"/>
        <w:tblLayout w:type="fixed"/>
        <w:tblCellMar>
          <w:left w:w="0" w:type="dxa"/>
          <w:right w:w="0" w:type="dxa"/>
        </w:tblCellMar>
        <w:tblLook w:val="0420" w:firstRow="1" w:lastRow="0" w:firstColumn="0" w:lastColumn="0" w:noHBand="0" w:noVBand="1"/>
      </w:tblPr>
      <w:tblGrid>
        <w:gridCol w:w="631"/>
        <w:gridCol w:w="1008"/>
        <w:gridCol w:w="838"/>
        <w:gridCol w:w="708"/>
        <w:gridCol w:w="708"/>
        <w:gridCol w:w="1045"/>
        <w:gridCol w:w="916"/>
        <w:gridCol w:w="627"/>
        <w:gridCol w:w="667"/>
      </w:tblGrid>
      <w:tr w:rsidR="00C90518" w:rsidRPr="004D0E3E" w14:paraId="186B2299" w14:textId="77777777" w:rsidTr="00F06A1B">
        <w:trPr>
          <w:trHeight w:val="245"/>
        </w:trPr>
        <w:tc>
          <w:tcPr>
            <w:tcW w:w="631" w:type="dxa"/>
            <w:tcBorders>
              <w:top w:val="single" w:sz="8" w:space="0" w:color="000000"/>
              <w:left w:val="nil"/>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7DE74A04" w14:textId="77777777" w:rsidR="00C90518" w:rsidRPr="004D0E3E" w:rsidRDefault="00C90518" w:rsidP="00F06A1B">
            <w:pPr>
              <w:pStyle w:val="Els-body-text"/>
              <w:jc w:val="center"/>
              <w:rPr>
                <w:sz w:val="16"/>
                <w:szCs w:val="16"/>
                <w:lang w:eastAsia="ko-KR"/>
              </w:rPr>
            </w:pPr>
            <w:r w:rsidRPr="004D0E3E">
              <w:rPr>
                <w:rFonts w:hint="eastAsia"/>
                <w:b/>
                <w:bCs/>
                <w:sz w:val="16"/>
                <w:szCs w:val="16"/>
                <w:lang w:eastAsia="ko-KR"/>
              </w:rPr>
              <w:t>Year</w:t>
            </w:r>
          </w:p>
        </w:tc>
        <w:tc>
          <w:tcPr>
            <w:tcW w:w="100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2D0F82DA" w14:textId="77777777" w:rsidR="00C90518" w:rsidRPr="004D0E3E" w:rsidRDefault="00C90518" w:rsidP="00F06A1B">
            <w:pPr>
              <w:pStyle w:val="Els-body-text"/>
              <w:jc w:val="center"/>
              <w:rPr>
                <w:sz w:val="16"/>
                <w:szCs w:val="16"/>
                <w:lang w:eastAsia="ko-KR"/>
              </w:rPr>
            </w:pPr>
            <w:r w:rsidRPr="004D0E3E">
              <w:rPr>
                <w:rFonts w:hint="eastAsia"/>
                <w:b/>
                <w:bCs/>
                <w:sz w:val="16"/>
                <w:szCs w:val="16"/>
                <w:lang w:eastAsia="ko-KR"/>
              </w:rPr>
              <w:t>Division</w:t>
            </w:r>
          </w:p>
        </w:tc>
        <w:tc>
          <w:tcPr>
            <w:tcW w:w="83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471BA15D" w14:textId="77777777" w:rsidR="00C90518" w:rsidRPr="004D0E3E" w:rsidRDefault="00C90518" w:rsidP="00F06A1B">
            <w:pPr>
              <w:pStyle w:val="Els-body-text"/>
              <w:jc w:val="center"/>
              <w:rPr>
                <w:sz w:val="16"/>
                <w:szCs w:val="16"/>
                <w:lang w:eastAsia="ko-KR"/>
              </w:rPr>
            </w:pPr>
            <w:r w:rsidRPr="004D0E3E">
              <w:rPr>
                <w:rFonts w:hint="eastAsia"/>
                <w:b/>
                <w:bCs/>
                <w:sz w:val="16"/>
                <w:szCs w:val="16"/>
                <w:lang w:eastAsia="ko-KR"/>
              </w:rPr>
              <w:t>Nuclear</w:t>
            </w:r>
          </w:p>
        </w:tc>
        <w:tc>
          <w:tcPr>
            <w:tcW w:w="70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0A0A4128" w14:textId="77777777" w:rsidR="00C90518" w:rsidRPr="004D0E3E" w:rsidRDefault="00C90518" w:rsidP="00F06A1B">
            <w:pPr>
              <w:pStyle w:val="Els-body-text"/>
              <w:jc w:val="center"/>
              <w:rPr>
                <w:sz w:val="16"/>
                <w:szCs w:val="16"/>
                <w:lang w:eastAsia="ko-KR"/>
              </w:rPr>
            </w:pPr>
            <w:r w:rsidRPr="004D0E3E">
              <w:rPr>
                <w:rFonts w:hint="eastAsia"/>
                <w:b/>
                <w:bCs/>
                <w:sz w:val="16"/>
                <w:szCs w:val="16"/>
                <w:lang w:eastAsia="ko-KR"/>
              </w:rPr>
              <w:t>Coal</w:t>
            </w:r>
          </w:p>
        </w:tc>
        <w:tc>
          <w:tcPr>
            <w:tcW w:w="70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4672633D" w14:textId="77777777" w:rsidR="00C90518" w:rsidRPr="004D0E3E" w:rsidRDefault="00C90518" w:rsidP="00F06A1B">
            <w:pPr>
              <w:pStyle w:val="Els-body-text"/>
              <w:jc w:val="center"/>
              <w:rPr>
                <w:sz w:val="16"/>
                <w:szCs w:val="16"/>
                <w:lang w:eastAsia="ko-KR"/>
              </w:rPr>
            </w:pPr>
            <w:r w:rsidRPr="004D0E3E">
              <w:rPr>
                <w:rFonts w:hint="eastAsia"/>
                <w:b/>
                <w:bCs/>
                <w:sz w:val="16"/>
                <w:szCs w:val="16"/>
                <w:lang w:eastAsia="ko-KR"/>
              </w:rPr>
              <w:t>LNG</w:t>
            </w:r>
          </w:p>
        </w:tc>
        <w:tc>
          <w:tcPr>
            <w:tcW w:w="104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2D55EE7B" w14:textId="77777777" w:rsidR="00C90518" w:rsidRPr="004D0E3E" w:rsidRDefault="00C90518" w:rsidP="00F06A1B">
            <w:pPr>
              <w:pStyle w:val="Els-body-text"/>
              <w:jc w:val="center"/>
              <w:rPr>
                <w:sz w:val="16"/>
                <w:szCs w:val="16"/>
                <w:lang w:eastAsia="ko-KR"/>
              </w:rPr>
            </w:pPr>
            <w:r w:rsidRPr="004D0E3E">
              <w:rPr>
                <w:rFonts w:hint="eastAsia"/>
                <w:b/>
                <w:bCs/>
                <w:sz w:val="16"/>
                <w:szCs w:val="16"/>
                <w:lang w:eastAsia="ko-KR"/>
              </w:rPr>
              <w:t>Renewable</w:t>
            </w:r>
          </w:p>
        </w:tc>
        <w:tc>
          <w:tcPr>
            <w:tcW w:w="91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54AABDEC" w14:textId="77777777" w:rsidR="00C90518" w:rsidRPr="004D0E3E" w:rsidRDefault="00C90518" w:rsidP="00F06A1B">
            <w:pPr>
              <w:pStyle w:val="Els-body-text"/>
              <w:jc w:val="center"/>
              <w:rPr>
                <w:sz w:val="16"/>
                <w:szCs w:val="16"/>
                <w:lang w:eastAsia="ko-KR"/>
              </w:rPr>
            </w:pPr>
            <w:r w:rsidRPr="004D0E3E">
              <w:rPr>
                <w:rFonts w:hint="eastAsia"/>
                <w:b/>
                <w:bCs/>
                <w:sz w:val="16"/>
                <w:szCs w:val="16"/>
                <w:lang w:eastAsia="ko-KR"/>
              </w:rPr>
              <w:t>H</w:t>
            </w:r>
            <w:r w:rsidRPr="004D0E3E">
              <w:rPr>
                <w:rFonts w:hint="eastAsia"/>
                <w:b/>
                <w:bCs/>
                <w:sz w:val="16"/>
                <w:szCs w:val="16"/>
                <w:vertAlign w:val="subscript"/>
                <w:lang w:eastAsia="ko-KR"/>
              </w:rPr>
              <w:t>2</w:t>
            </w:r>
            <w:r w:rsidRPr="004D0E3E">
              <w:rPr>
                <w:rFonts w:hint="eastAsia"/>
                <w:b/>
                <w:bCs/>
                <w:sz w:val="16"/>
                <w:szCs w:val="16"/>
                <w:lang w:eastAsia="ko-KR"/>
              </w:rPr>
              <w:t xml:space="preserve"> &amp;</w:t>
            </w:r>
            <w:r>
              <w:rPr>
                <w:b/>
                <w:bCs/>
                <w:sz w:val="16"/>
                <w:szCs w:val="16"/>
                <w:lang w:eastAsia="ko-KR"/>
              </w:rPr>
              <w:t xml:space="preserve"> </w:t>
            </w:r>
            <w:r w:rsidRPr="004D0E3E">
              <w:rPr>
                <w:rFonts w:hint="eastAsia"/>
                <w:b/>
                <w:bCs/>
                <w:sz w:val="16"/>
                <w:szCs w:val="16"/>
                <w:lang w:eastAsia="ko-KR"/>
              </w:rPr>
              <w:t>NH</w:t>
            </w:r>
            <w:r w:rsidRPr="004D0E3E">
              <w:rPr>
                <w:rFonts w:hint="eastAsia"/>
                <w:b/>
                <w:bCs/>
                <w:sz w:val="16"/>
                <w:szCs w:val="16"/>
                <w:vertAlign w:val="subscript"/>
                <w:lang w:eastAsia="ko-KR"/>
              </w:rPr>
              <w:t>3</w:t>
            </w:r>
          </w:p>
        </w:tc>
        <w:tc>
          <w:tcPr>
            <w:tcW w:w="62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3544ED63" w14:textId="77777777" w:rsidR="00C90518" w:rsidRPr="004D0E3E" w:rsidRDefault="00C90518" w:rsidP="00F06A1B">
            <w:pPr>
              <w:pStyle w:val="Els-body-text"/>
              <w:jc w:val="center"/>
              <w:rPr>
                <w:sz w:val="16"/>
                <w:szCs w:val="16"/>
                <w:lang w:eastAsia="ko-KR"/>
              </w:rPr>
            </w:pPr>
            <w:r w:rsidRPr="004D0E3E">
              <w:rPr>
                <w:rFonts w:hint="eastAsia"/>
                <w:b/>
                <w:bCs/>
                <w:sz w:val="16"/>
                <w:szCs w:val="16"/>
                <w:lang w:eastAsia="ko-KR"/>
              </w:rPr>
              <w:t>Etc.</w:t>
            </w:r>
          </w:p>
        </w:tc>
        <w:tc>
          <w:tcPr>
            <w:tcW w:w="667" w:type="dxa"/>
            <w:tcBorders>
              <w:top w:val="single" w:sz="8" w:space="0" w:color="000000"/>
              <w:left w:val="single" w:sz="8" w:space="0" w:color="000000"/>
              <w:bottom w:val="single" w:sz="8" w:space="0" w:color="000000"/>
              <w:right w:val="nil"/>
            </w:tcBorders>
            <w:shd w:val="clear" w:color="auto" w:fill="F2F2F2" w:themeFill="background1" w:themeFillShade="F2"/>
            <w:tcMar>
              <w:top w:w="72" w:type="dxa"/>
              <w:left w:w="144" w:type="dxa"/>
              <w:bottom w:w="72" w:type="dxa"/>
              <w:right w:w="144" w:type="dxa"/>
            </w:tcMar>
            <w:vAlign w:val="center"/>
            <w:hideMark/>
          </w:tcPr>
          <w:p w14:paraId="3053C2F6" w14:textId="77777777" w:rsidR="00C90518" w:rsidRPr="004D0E3E" w:rsidRDefault="00C90518" w:rsidP="00F06A1B">
            <w:pPr>
              <w:pStyle w:val="Els-body-text"/>
              <w:jc w:val="center"/>
              <w:rPr>
                <w:sz w:val="16"/>
                <w:szCs w:val="16"/>
                <w:lang w:eastAsia="ko-KR"/>
              </w:rPr>
            </w:pPr>
            <w:r w:rsidRPr="004D0E3E">
              <w:rPr>
                <w:rFonts w:hint="eastAsia"/>
                <w:b/>
                <w:bCs/>
                <w:sz w:val="16"/>
                <w:szCs w:val="16"/>
                <w:lang w:eastAsia="ko-KR"/>
              </w:rPr>
              <w:t>Total</w:t>
            </w:r>
          </w:p>
        </w:tc>
      </w:tr>
      <w:tr w:rsidR="00C90518" w:rsidRPr="004D0E3E" w14:paraId="6DE28CE1" w14:textId="77777777" w:rsidTr="009A00AD">
        <w:trPr>
          <w:trHeight w:val="57"/>
        </w:trPr>
        <w:tc>
          <w:tcPr>
            <w:tcW w:w="631" w:type="dxa"/>
            <w:vMerge w:val="restart"/>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1B0925"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2030</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3AA7CE"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Generation</w:t>
            </w:r>
          </w:p>
          <w:p w14:paraId="16448219"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[TWh]</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3FC103"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201.7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DC7850"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122.5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00884E"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142.4</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79D9E6"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134.1</w:t>
            </w:r>
          </w:p>
        </w:tc>
        <w:tc>
          <w:tcPr>
            <w:tcW w:w="9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A923EC" w14:textId="77777777" w:rsidR="00C90518" w:rsidRPr="004D0E3E" w:rsidRDefault="00C90518" w:rsidP="00F06A1B">
            <w:pPr>
              <w:pStyle w:val="Els-body-text"/>
              <w:jc w:val="center"/>
              <w:rPr>
                <w:b/>
                <w:bCs/>
                <w:sz w:val="16"/>
                <w:szCs w:val="16"/>
                <w:lang w:eastAsia="ko-KR"/>
              </w:rPr>
            </w:pPr>
            <w:r w:rsidRPr="004D0E3E">
              <w:rPr>
                <w:rFonts w:hint="eastAsia"/>
                <w:b/>
                <w:bCs/>
                <w:sz w:val="16"/>
                <w:szCs w:val="16"/>
                <w:lang w:eastAsia="ko-KR"/>
              </w:rPr>
              <w:t>13.0</w:t>
            </w:r>
          </w:p>
        </w:tc>
        <w:tc>
          <w:tcPr>
            <w:tcW w:w="6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D3E6A2"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8.1</w:t>
            </w:r>
          </w:p>
        </w:tc>
        <w:tc>
          <w:tcPr>
            <w:tcW w:w="66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vAlign w:val="center"/>
            <w:hideMark/>
          </w:tcPr>
          <w:p w14:paraId="65439CC8"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621.8</w:t>
            </w:r>
          </w:p>
        </w:tc>
      </w:tr>
      <w:tr w:rsidR="00C90518" w:rsidRPr="004D0E3E" w14:paraId="6B8C96E7" w14:textId="77777777" w:rsidTr="009A00AD">
        <w:trPr>
          <w:trHeight w:val="73"/>
        </w:trPr>
        <w:tc>
          <w:tcPr>
            <w:tcW w:w="631" w:type="dxa"/>
            <w:vMerge/>
            <w:tcBorders>
              <w:top w:val="single" w:sz="8" w:space="0" w:color="000000"/>
              <w:left w:val="nil"/>
              <w:bottom w:val="single" w:sz="8" w:space="0" w:color="000000"/>
              <w:right w:val="single" w:sz="8" w:space="0" w:color="000000"/>
            </w:tcBorders>
            <w:vAlign w:val="center"/>
            <w:hideMark/>
          </w:tcPr>
          <w:p w14:paraId="274386FB" w14:textId="77777777" w:rsidR="00C90518" w:rsidRPr="004D0E3E" w:rsidRDefault="00C90518" w:rsidP="00F06A1B">
            <w:pPr>
              <w:pStyle w:val="Els-body-text"/>
              <w:jc w:val="center"/>
              <w:rPr>
                <w:sz w:val="16"/>
                <w:szCs w:val="16"/>
                <w:lang w:eastAsia="ko-KR"/>
              </w:rPr>
            </w:pP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9E0CBE"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Ratio</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5BD2C1"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32.4%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B10803"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19.7%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8D2305"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22.9%</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855F0B"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21.6%</w:t>
            </w:r>
          </w:p>
        </w:tc>
        <w:tc>
          <w:tcPr>
            <w:tcW w:w="9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9BF5F3" w14:textId="77777777" w:rsidR="00C90518" w:rsidRPr="004D0E3E" w:rsidRDefault="00C90518" w:rsidP="00F06A1B">
            <w:pPr>
              <w:pStyle w:val="Els-body-text"/>
              <w:jc w:val="center"/>
              <w:rPr>
                <w:b/>
                <w:bCs/>
                <w:sz w:val="16"/>
                <w:szCs w:val="16"/>
                <w:lang w:eastAsia="ko-KR"/>
              </w:rPr>
            </w:pPr>
            <w:r w:rsidRPr="004D0E3E">
              <w:rPr>
                <w:rFonts w:hint="eastAsia"/>
                <w:b/>
                <w:bCs/>
                <w:sz w:val="16"/>
                <w:szCs w:val="16"/>
                <w:lang w:eastAsia="ko-KR"/>
              </w:rPr>
              <w:t>2.1%</w:t>
            </w:r>
          </w:p>
        </w:tc>
        <w:tc>
          <w:tcPr>
            <w:tcW w:w="6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3733A9"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1.3%</w:t>
            </w:r>
          </w:p>
        </w:tc>
        <w:tc>
          <w:tcPr>
            <w:tcW w:w="66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vAlign w:val="center"/>
            <w:hideMark/>
          </w:tcPr>
          <w:p w14:paraId="4FC59FB4"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100%</w:t>
            </w:r>
          </w:p>
        </w:tc>
      </w:tr>
      <w:tr w:rsidR="00C90518" w:rsidRPr="004D0E3E" w14:paraId="66DCB725" w14:textId="77777777" w:rsidTr="009A00AD">
        <w:trPr>
          <w:trHeight w:val="145"/>
        </w:trPr>
        <w:tc>
          <w:tcPr>
            <w:tcW w:w="631" w:type="dxa"/>
            <w:vMerge w:val="restart"/>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8605F2"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2036</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9EC94A"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Generation</w:t>
            </w:r>
          </w:p>
          <w:p w14:paraId="799CF472"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[TWh]</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5AAE15"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230.7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D50810"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95.9</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A31CA3"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62.3</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8E7659"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204.4</w:t>
            </w:r>
          </w:p>
        </w:tc>
        <w:tc>
          <w:tcPr>
            <w:tcW w:w="9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5F2C11" w14:textId="77777777" w:rsidR="00C90518" w:rsidRPr="004D0E3E" w:rsidRDefault="00C90518" w:rsidP="00F06A1B">
            <w:pPr>
              <w:pStyle w:val="Els-body-text"/>
              <w:jc w:val="center"/>
              <w:rPr>
                <w:b/>
                <w:bCs/>
                <w:sz w:val="16"/>
                <w:szCs w:val="16"/>
                <w:lang w:eastAsia="ko-KR"/>
              </w:rPr>
            </w:pPr>
            <w:r w:rsidRPr="004D0E3E">
              <w:rPr>
                <w:rFonts w:hint="eastAsia"/>
                <w:b/>
                <w:bCs/>
                <w:sz w:val="16"/>
                <w:szCs w:val="16"/>
                <w:lang w:eastAsia="ko-KR"/>
              </w:rPr>
              <w:t>47.4</w:t>
            </w:r>
          </w:p>
        </w:tc>
        <w:tc>
          <w:tcPr>
            <w:tcW w:w="6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2A6C36"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26.6</w:t>
            </w:r>
          </w:p>
        </w:tc>
        <w:tc>
          <w:tcPr>
            <w:tcW w:w="66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vAlign w:val="center"/>
            <w:hideMark/>
          </w:tcPr>
          <w:p w14:paraId="0D85F38A"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667.3</w:t>
            </w:r>
          </w:p>
        </w:tc>
      </w:tr>
      <w:tr w:rsidR="00C90518" w:rsidRPr="004D0E3E" w14:paraId="2EF1C3E7" w14:textId="77777777" w:rsidTr="009A00AD">
        <w:trPr>
          <w:trHeight w:val="8"/>
        </w:trPr>
        <w:tc>
          <w:tcPr>
            <w:tcW w:w="631" w:type="dxa"/>
            <w:vMerge/>
            <w:tcBorders>
              <w:top w:val="single" w:sz="8" w:space="0" w:color="000000"/>
              <w:left w:val="nil"/>
              <w:bottom w:val="single" w:sz="8" w:space="0" w:color="000000"/>
              <w:right w:val="single" w:sz="8" w:space="0" w:color="000000"/>
            </w:tcBorders>
            <w:vAlign w:val="center"/>
            <w:hideMark/>
          </w:tcPr>
          <w:p w14:paraId="3C6AF842" w14:textId="77777777" w:rsidR="00C90518" w:rsidRPr="004D0E3E" w:rsidRDefault="00C90518" w:rsidP="00F06A1B">
            <w:pPr>
              <w:pStyle w:val="Els-body-text"/>
              <w:jc w:val="center"/>
              <w:rPr>
                <w:sz w:val="16"/>
                <w:szCs w:val="16"/>
                <w:lang w:eastAsia="ko-KR"/>
              </w:rPr>
            </w:pP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C2D271"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Ratio</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102A6B"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34.6%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381DF7"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14.4%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E2776E"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9.3%</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0C839C"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30.6%</w:t>
            </w:r>
          </w:p>
        </w:tc>
        <w:tc>
          <w:tcPr>
            <w:tcW w:w="9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21F0E8" w14:textId="77777777" w:rsidR="00C90518" w:rsidRPr="004D0E3E" w:rsidRDefault="00C90518" w:rsidP="00F06A1B">
            <w:pPr>
              <w:pStyle w:val="Els-body-text"/>
              <w:jc w:val="center"/>
              <w:rPr>
                <w:b/>
                <w:bCs/>
                <w:sz w:val="16"/>
                <w:szCs w:val="16"/>
                <w:lang w:eastAsia="ko-KR"/>
              </w:rPr>
            </w:pPr>
            <w:r w:rsidRPr="004D0E3E">
              <w:rPr>
                <w:rFonts w:hint="eastAsia"/>
                <w:b/>
                <w:bCs/>
                <w:sz w:val="16"/>
                <w:szCs w:val="16"/>
                <w:lang w:eastAsia="ko-KR"/>
              </w:rPr>
              <w:t>7.1%</w:t>
            </w:r>
          </w:p>
        </w:tc>
        <w:tc>
          <w:tcPr>
            <w:tcW w:w="6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23CA39"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4.0%</w:t>
            </w:r>
          </w:p>
        </w:tc>
        <w:tc>
          <w:tcPr>
            <w:tcW w:w="66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vAlign w:val="center"/>
            <w:hideMark/>
          </w:tcPr>
          <w:p w14:paraId="0811D3AA" w14:textId="77777777" w:rsidR="00C90518" w:rsidRPr="004D0E3E" w:rsidRDefault="00C90518" w:rsidP="00F06A1B">
            <w:pPr>
              <w:pStyle w:val="Els-body-text"/>
              <w:jc w:val="center"/>
              <w:rPr>
                <w:sz w:val="16"/>
                <w:szCs w:val="16"/>
                <w:lang w:eastAsia="ko-KR"/>
              </w:rPr>
            </w:pPr>
            <w:r w:rsidRPr="004D0E3E">
              <w:rPr>
                <w:rFonts w:hint="eastAsia"/>
                <w:sz w:val="16"/>
                <w:szCs w:val="16"/>
                <w:lang w:eastAsia="ko-KR"/>
              </w:rPr>
              <w:t>100%</w:t>
            </w:r>
          </w:p>
        </w:tc>
      </w:tr>
    </w:tbl>
    <w:p w14:paraId="5025A34B" w14:textId="77777777" w:rsidR="00C506B2" w:rsidRDefault="00C506B2" w:rsidP="00C506B2">
      <w:pPr>
        <w:pStyle w:val="Els-body-text"/>
        <w:rPr>
          <w:lang w:val="en-GB" w:eastAsia="ko-KR"/>
        </w:rPr>
      </w:pPr>
    </w:p>
    <w:p w14:paraId="3638CC6A" w14:textId="6B70597B" w:rsidR="00C506B2" w:rsidRDefault="00C506B2" w:rsidP="00C506B2">
      <w:pPr>
        <w:pStyle w:val="Els-body-text"/>
        <w:rPr>
          <w:lang w:eastAsia="ko-KR"/>
        </w:rPr>
      </w:pPr>
      <w:r w:rsidRPr="00833EAD">
        <w:rPr>
          <w:lang w:eastAsia="ko-KR"/>
        </w:rPr>
        <w:t xml:space="preserve">Table 2 shows the fuel </w:t>
      </w:r>
      <w:r>
        <w:rPr>
          <w:lang w:eastAsia="ko-KR"/>
        </w:rPr>
        <w:t>characteristics</w:t>
      </w:r>
      <w:r w:rsidRPr="00833EAD">
        <w:rPr>
          <w:lang w:eastAsia="ko-KR"/>
        </w:rPr>
        <w:t xml:space="preserve"> of ammonia compared to other</w:t>
      </w:r>
      <w:r>
        <w:rPr>
          <w:lang w:eastAsia="ko-KR"/>
        </w:rPr>
        <w:t xml:space="preserve"> hydrocarbon </w:t>
      </w:r>
      <w:r w:rsidRPr="00833EAD">
        <w:rPr>
          <w:lang w:eastAsia="ko-KR"/>
        </w:rPr>
        <w:t>fuels.</w:t>
      </w:r>
      <w:r>
        <w:rPr>
          <w:lang w:eastAsia="ko-KR"/>
        </w:rPr>
        <w:t xml:space="preserve"> Ammonia combustion only generates water and nitrogen. Therefore, ammonia can be considered as a carbon-free fuel. Ammonia is easily transportable and storable due to high </w:t>
      </w:r>
    </w:p>
    <w:p w14:paraId="265680AC" w14:textId="1BA83E1C" w:rsidR="004A5E55" w:rsidRDefault="00C90518" w:rsidP="00C506B2">
      <w:pPr>
        <w:pStyle w:val="Els-body-text"/>
        <w:rPr>
          <w:lang w:eastAsia="ko-KR"/>
        </w:rPr>
      </w:pPr>
      <w:r>
        <w:rPr>
          <w:lang w:eastAsia="ko-KR"/>
        </w:rPr>
        <w:t>boiling temperature compared to other fuels.</w:t>
      </w:r>
      <w:r w:rsidR="00FB2A04">
        <w:rPr>
          <w:lang w:eastAsia="ko-KR"/>
        </w:rPr>
        <w:t xml:space="preserve"> </w:t>
      </w:r>
      <w:r w:rsidRPr="00D36EB7">
        <w:rPr>
          <w:lang w:eastAsia="ko-KR"/>
        </w:rPr>
        <w:t>However, ammonia has lower combustibility than other fuels, and fuel-NOx may be emitted</w:t>
      </w:r>
      <w:r w:rsidR="003135A6">
        <w:rPr>
          <w:lang w:eastAsia="ko-KR"/>
        </w:rPr>
        <w:t>,</w:t>
      </w:r>
      <w:r w:rsidRPr="00D36EB7">
        <w:rPr>
          <w:lang w:eastAsia="ko-KR"/>
        </w:rPr>
        <w:t xml:space="preserve"> when ammonia is </w:t>
      </w:r>
      <w:r>
        <w:rPr>
          <w:lang w:eastAsia="ko-KR"/>
        </w:rPr>
        <w:t>combusted</w:t>
      </w:r>
      <w:r w:rsidRPr="00D36EB7">
        <w:rPr>
          <w:lang w:eastAsia="ko-KR"/>
        </w:rPr>
        <w:t xml:space="preserve"> due to the N component in </w:t>
      </w:r>
      <w:r>
        <w:rPr>
          <w:lang w:eastAsia="ko-KR"/>
        </w:rPr>
        <w:t>ammonia</w:t>
      </w:r>
      <w:r w:rsidRPr="00D36EB7">
        <w:rPr>
          <w:lang w:eastAsia="ko-KR"/>
        </w:rPr>
        <w:t>. Therefore, it is important to minimize NO</w:t>
      </w:r>
      <w:r w:rsidRPr="00AA6220">
        <w:rPr>
          <w:vertAlign w:val="subscript"/>
          <w:lang w:eastAsia="ko-KR"/>
        </w:rPr>
        <w:t>x</w:t>
      </w:r>
      <w:r w:rsidRPr="00D36EB7">
        <w:rPr>
          <w:lang w:eastAsia="ko-KR"/>
        </w:rPr>
        <w:t xml:space="preserve"> emissions</w:t>
      </w:r>
      <w:r w:rsidR="003135A6">
        <w:rPr>
          <w:lang w:eastAsia="ko-KR"/>
        </w:rPr>
        <w:t>,</w:t>
      </w:r>
      <w:r w:rsidRPr="00D36EB7">
        <w:rPr>
          <w:lang w:eastAsia="ko-KR"/>
        </w:rPr>
        <w:t xml:space="preserve"> while ensuring sufficient ammonia combustibility.</w:t>
      </w:r>
    </w:p>
    <w:p w14:paraId="27FB4FAE" w14:textId="7BA3571F" w:rsidR="008E1A3E" w:rsidRDefault="008E1A3E" w:rsidP="0013050F">
      <w:pPr>
        <w:pStyle w:val="Els-body-text"/>
        <w:rPr>
          <w:lang w:eastAsia="ko-KR"/>
        </w:rPr>
      </w:pPr>
      <w:r>
        <w:rPr>
          <w:lang w:eastAsia="ko-KR"/>
        </w:rPr>
        <w:t>P</w:t>
      </w:r>
      <w:r w:rsidRPr="008E1A3E">
        <w:rPr>
          <w:lang w:eastAsia="ko-KR"/>
        </w:rPr>
        <w:t>revious studies have mainly been conducted to identify ammonia combustion and NO</w:t>
      </w:r>
      <w:r w:rsidRPr="00AA6220">
        <w:rPr>
          <w:vertAlign w:val="subscript"/>
          <w:lang w:eastAsia="ko-KR"/>
        </w:rPr>
        <w:t>x</w:t>
      </w:r>
      <w:r w:rsidRPr="008E1A3E">
        <w:rPr>
          <w:lang w:eastAsia="ko-KR"/>
        </w:rPr>
        <w:t xml:space="preserve"> emission characteristics</w:t>
      </w:r>
      <w:r w:rsidR="00E857FC">
        <w:rPr>
          <w:lang w:eastAsia="ko-KR"/>
        </w:rPr>
        <w:t xml:space="preserve"> [Kobayashi et al.]</w:t>
      </w:r>
      <w:r w:rsidRPr="008E1A3E">
        <w:rPr>
          <w:lang w:eastAsia="ko-KR"/>
        </w:rPr>
        <w:t>.</w:t>
      </w:r>
      <w:r w:rsidR="00E857FC">
        <w:rPr>
          <w:lang w:eastAsia="ko-KR"/>
        </w:rPr>
        <w:t xml:space="preserve"> </w:t>
      </w:r>
      <w:r w:rsidR="00A237B2" w:rsidRPr="00A237B2">
        <w:rPr>
          <w:lang w:eastAsia="ko-KR"/>
        </w:rPr>
        <w:t>However, under the ammonia co-firing condition, the flue gas properties change due to the change in adiabatic flame temperature, required air flow rate, flue gas composition, and flue gas mass flow rate. These changes affect the radiation and convection heat transfer rate of each heat exchanger in a boiler. Accordingly, main and reheat steam temperatures change, which means a change in plant efficiency. Therefore, for ammonia co-firing, it is necessary to establish optimal operating conditions by analyzing the heat transfer characteristics in the boiler in terms of power operation.</w:t>
      </w:r>
    </w:p>
    <w:p w14:paraId="6E5941FC" w14:textId="2EB6EB9B" w:rsidR="004D0E3E" w:rsidRDefault="00677006" w:rsidP="0013050F">
      <w:pPr>
        <w:pStyle w:val="Els-body-text"/>
      </w:pPr>
      <w:r>
        <w:rPr>
          <w:lang w:eastAsia="ko-KR"/>
        </w:rPr>
        <w:t xml:space="preserve">The aim of this study is to predict main and reheat steam temperature by investigating the variation of heat transfer rate through process simulation techniques. The process simulation model was developed by In-house code to </w:t>
      </w:r>
      <w:r w:rsidR="00F949E2">
        <w:rPr>
          <w:lang w:eastAsia="ko-KR"/>
        </w:rPr>
        <w:t>analyze</w:t>
      </w:r>
      <w:r>
        <w:rPr>
          <w:lang w:eastAsia="ko-KR"/>
        </w:rPr>
        <w:t xml:space="preserve"> the change in heat transfer mechanism. </w:t>
      </w:r>
      <w:r w:rsidRPr="00677006">
        <w:rPr>
          <w:lang w:eastAsia="ko-KR"/>
        </w:rPr>
        <w:t>The target plant was selected as the 550</w:t>
      </w:r>
      <w:r>
        <w:rPr>
          <w:lang w:eastAsia="ko-KR"/>
        </w:rPr>
        <w:t xml:space="preserve"> </w:t>
      </w:r>
      <w:r w:rsidRPr="00677006">
        <w:rPr>
          <w:lang w:eastAsia="ko-KR"/>
        </w:rPr>
        <w:t>M</w:t>
      </w:r>
      <w:r>
        <w:rPr>
          <w:lang w:eastAsia="ko-KR"/>
        </w:rPr>
        <w:t>W</w:t>
      </w:r>
      <w:r w:rsidRPr="00677006">
        <w:rPr>
          <w:vertAlign w:val="subscript"/>
          <w:lang w:eastAsia="ko-KR"/>
        </w:rPr>
        <w:t>e</w:t>
      </w:r>
      <w:r w:rsidRPr="00677006">
        <w:rPr>
          <w:lang w:eastAsia="ko-KR"/>
        </w:rPr>
        <w:t xml:space="preserve"> </w:t>
      </w:r>
      <w:r w:rsidR="00C90518">
        <w:rPr>
          <w:lang w:eastAsia="ko-KR"/>
        </w:rPr>
        <w:t>CFB</w:t>
      </w:r>
      <w:r w:rsidRPr="00677006">
        <w:rPr>
          <w:lang w:eastAsia="ko-KR"/>
        </w:rPr>
        <w:t xml:space="preserve"> boiler, which is the subject of the demonstration project</w:t>
      </w:r>
      <w:r w:rsidR="00AA6220">
        <w:rPr>
          <w:lang w:eastAsia="ko-KR"/>
        </w:rPr>
        <w:t>. T</w:t>
      </w:r>
      <w:r w:rsidRPr="00677006">
        <w:rPr>
          <w:lang w:eastAsia="ko-KR"/>
        </w:rPr>
        <w:t xml:space="preserve">he </w:t>
      </w:r>
      <w:r w:rsidR="00065B56">
        <w:rPr>
          <w:lang w:eastAsia="ko-KR"/>
        </w:rPr>
        <w:t>simulation</w:t>
      </w:r>
      <w:r w:rsidRPr="00677006">
        <w:rPr>
          <w:lang w:eastAsia="ko-KR"/>
        </w:rPr>
        <w:t xml:space="preserve"> results were compared with the 870</w:t>
      </w:r>
      <w:r>
        <w:rPr>
          <w:lang w:eastAsia="ko-KR"/>
        </w:rPr>
        <w:t xml:space="preserve"> </w:t>
      </w:r>
      <w:r w:rsidRPr="00677006">
        <w:rPr>
          <w:lang w:eastAsia="ko-KR"/>
        </w:rPr>
        <w:t>M</w:t>
      </w:r>
      <w:r>
        <w:rPr>
          <w:lang w:eastAsia="ko-KR"/>
        </w:rPr>
        <w:t>W</w:t>
      </w:r>
      <w:r w:rsidRPr="00677006">
        <w:rPr>
          <w:vertAlign w:val="subscript"/>
          <w:lang w:eastAsia="ko-KR"/>
        </w:rPr>
        <w:t>e</w:t>
      </w:r>
      <w:r w:rsidR="00C90518">
        <w:rPr>
          <w:lang w:eastAsia="ko-KR"/>
        </w:rPr>
        <w:t xml:space="preserve"> PC</w:t>
      </w:r>
      <w:r w:rsidRPr="00677006">
        <w:rPr>
          <w:lang w:eastAsia="ko-KR"/>
        </w:rPr>
        <w:t xml:space="preserve"> boiler.</w:t>
      </w:r>
      <w:r w:rsidR="00065B56">
        <w:rPr>
          <w:lang w:eastAsia="ko-KR"/>
        </w:rPr>
        <w:t xml:space="preserve"> Based on the simulation data, it is possible to understand the </w:t>
      </w:r>
      <w:r w:rsidR="00065B56" w:rsidRPr="00065B56">
        <w:rPr>
          <w:rFonts w:hint="eastAsia"/>
        </w:rPr>
        <w:t>relationship between CO</w:t>
      </w:r>
      <w:r w:rsidR="00065B56" w:rsidRPr="00065B56">
        <w:rPr>
          <w:rFonts w:hint="eastAsia"/>
          <w:vertAlign w:val="subscript"/>
        </w:rPr>
        <w:t>2</w:t>
      </w:r>
      <w:r w:rsidR="00065B56" w:rsidRPr="00065B56">
        <w:rPr>
          <w:rFonts w:hint="eastAsia"/>
        </w:rPr>
        <w:t xml:space="preserve"> reduction and boiler thermal efficiency according to the change in heat transfer rate due to ammonia co-firing</w:t>
      </w:r>
      <w:r w:rsidR="00065B56">
        <w:t>.</w:t>
      </w:r>
    </w:p>
    <w:p w14:paraId="66453532" w14:textId="1683EDE7" w:rsidR="00E62D7F" w:rsidRPr="00E62D7F" w:rsidRDefault="00B12CD9" w:rsidP="00E62D7F">
      <w:pPr>
        <w:pStyle w:val="Els-1storder-head"/>
      </w:pPr>
      <w:r>
        <w:t>Model description</w:t>
      </w:r>
      <w:r w:rsidR="00481F51">
        <w:t>s</w:t>
      </w:r>
    </w:p>
    <w:p w14:paraId="144DE69B" w14:textId="5DB72EFC" w:rsidR="008D2649" w:rsidRDefault="00B12CD9" w:rsidP="008D2649">
      <w:pPr>
        <w:pStyle w:val="Els-2ndorder-head"/>
      </w:pPr>
      <w:r>
        <w:t>Target boiler system</w:t>
      </w:r>
      <w:r w:rsidR="00FD4954">
        <w:t xml:space="preserve"> and CFB loop model</w:t>
      </w:r>
    </w:p>
    <w:p w14:paraId="4B82539A" w14:textId="581E7A4C" w:rsidR="00924750" w:rsidRDefault="00356445" w:rsidP="00924750">
      <w:pPr>
        <w:pStyle w:val="Els-body-text"/>
        <w:rPr>
          <w:lang w:eastAsia="ko-KR"/>
        </w:rPr>
      </w:pPr>
      <w:r w:rsidRPr="00356445">
        <w:rPr>
          <w:lang w:eastAsia="ko-KR"/>
        </w:rPr>
        <w:t>Fig</w:t>
      </w:r>
      <w:r w:rsidR="00543D5C">
        <w:rPr>
          <w:lang w:eastAsia="ko-KR"/>
        </w:rPr>
        <w:t>.</w:t>
      </w:r>
      <w:r w:rsidRPr="00356445">
        <w:rPr>
          <w:lang w:eastAsia="ko-KR"/>
        </w:rPr>
        <w:t xml:space="preserve"> 1 shows a schematic diagram of the target </w:t>
      </w:r>
      <w:r>
        <w:rPr>
          <w:lang w:eastAsia="ko-KR"/>
        </w:rPr>
        <w:t>CFB</w:t>
      </w:r>
      <w:r w:rsidRPr="00356445">
        <w:rPr>
          <w:lang w:eastAsia="ko-KR"/>
        </w:rPr>
        <w:t xml:space="preserve"> boiler and </w:t>
      </w:r>
      <w:r w:rsidR="00AC14C2">
        <w:rPr>
          <w:lang w:eastAsia="ko-KR"/>
        </w:rPr>
        <w:t>the model diagram of the CFB loop</w:t>
      </w:r>
      <w:r w:rsidRPr="00356445">
        <w:rPr>
          <w:lang w:eastAsia="ko-KR"/>
        </w:rPr>
        <w:t xml:space="preserve">. Unlike pulverized coal boilers, </w:t>
      </w:r>
      <w:r>
        <w:rPr>
          <w:lang w:eastAsia="ko-KR"/>
        </w:rPr>
        <w:t>the CFB</w:t>
      </w:r>
      <w:r w:rsidRPr="00356445">
        <w:rPr>
          <w:lang w:eastAsia="ko-KR"/>
        </w:rPr>
        <w:t xml:space="preserve"> boiler ha</w:t>
      </w:r>
      <w:r>
        <w:rPr>
          <w:lang w:eastAsia="ko-KR"/>
        </w:rPr>
        <w:t>s</w:t>
      </w:r>
      <w:r w:rsidRPr="00356445">
        <w:rPr>
          <w:lang w:eastAsia="ko-KR"/>
        </w:rPr>
        <w:t xml:space="preserve"> a solid </w:t>
      </w:r>
      <w:r>
        <w:rPr>
          <w:lang w:eastAsia="ko-KR"/>
        </w:rPr>
        <w:t>return part</w:t>
      </w:r>
      <w:r w:rsidRPr="00356445">
        <w:rPr>
          <w:lang w:eastAsia="ko-KR"/>
        </w:rPr>
        <w:t xml:space="preserve"> due to the bed material.</w:t>
      </w:r>
      <w:r>
        <w:rPr>
          <w:lang w:eastAsia="ko-KR"/>
        </w:rPr>
        <w:t xml:space="preserve"> </w:t>
      </w:r>
      <w:r w:rsidR="007E6B7C">
        <w:rPr>
          <w:lang w:eastAsia="ko-KR"/>
        </w:rPr>
        <w:t xml:space="preserve">The CFB loop includes a cyclone, a loop-seal, and external heat exchanger (EXHE) or internal heat exchanger (INTREX). </w:t>
      </w:r>
      <w:r>
        <w:rPr>
          <w:lang w:eastAsia="ko-KR"/>
        </w:rPr>
        <w:t>EHEX and INTREX are a type of heat exchanger that utilizes the sensible heat of circulating solids.</w:t>
      </w:r>
      <w:r w:rsidR="00E661B3">
        <w:rPr>
          <w:lang w:eastAsia="ko-KR"/>
        </w:rPr>
        <w:t xml:space="preserve"> </w:t>
      </w:r>
      <w:r w:rsidR="007E6B7C">
        <w:rPr>
          <w:lang w:eastAsia="ko-KR"/>
        </w:rPr>
        <w:t xml:space="preserve">The bed material is circulated in this CFB loop. </w:t>
      </w:r>
      <w:r w:rsidR="00E661B3">
        <w:rPr>
          <w:lang w:eastAsia="ko-KR"/>
        </w:rPr>
        <w:t>Due to these bed material</w:t>
      </w:r>
      <w:r w:rsidR="00B02B8D">
        <w:rPr>
          <w:lang w:eastAsia="ko-KR"/>
        </w:rPr>
        <w:t>s</w:t>
      </w:r>
      <w:r w:rsidR="00E661B3">
        <w:rPr>
          <w:lang w:eastAsia="ko-KR"/>
        </w:rPr>
        <w:t xml:space="preserve">, the range of the furnace temperature of </w:t>
      </w:r>
      <w:r w:rsidR="007E6B7C">
        <w:rPr>
          <w:lang w:eastAsia="ko-KR"/>
        </w:rPr>
        <w:t xml:space="preserve">the </w:t>
      </w:r>
      <w:r w:rsidR="00E661B3">
        <w:rPr>
          <w:lang w:eastAsia="ko-KR"/>
        </w:rPr>
        <w:t xml:space="preserve">CFB boiler is about 800~900 </w:t>
      </w:r>
      <w:r w:rsidR="00B02B8D" w:rsidRPr="00B02B8D">
        <w:rPr>
          <w:rFonts w:eastAsia="맑은 고딕"/>
          <w:vertAlign w:val="superscript"/>
          <w:lang w:eastAsia="ko-KR"/>
        </w:rPr>
        <w:t>o</w:t>
      </w:r>
      <w:r w:rsidR="00B02B8D">
        <w:rPr>
          <w:lang w:val="en-GB"/>
        </w:rPr>
        <w:t>C</w:t>
      </w:r>
      <w:r w:rsidR="00E661B3">
        <w:rPr>
          <w:lang w:eastAsia="ko-KR"/>
        </w:rPr>
        <w:t xml:space="preserve">, which is lower than that of the PC boiler. </w:t>
      </w:r>
      <w:r w:rsidR="00924750" w:rsidRPr="00E661B3">
        <w:rPr>
          <w:lang w:eastAsia="ko-KR"/>
        </w:rPr>
        <w:t xml:space="preserve">Due to these characteristics, thermal NOx emissions are lower than </w:t>
      </w:r>
      <w:r w:rsidR="00924750">
        <w:rPr>
          <w:lang w:eastAsia="ko-KR"/>
        </w:rPr>
        <w:t>PC</w:t>
      </w:r>
      <w:r w:rsidR="00924750" w:rsidRPr="00E661B3">
        <w:rPr>
          <w:lang w:eastAsia="ko-KR"/>
        </w:rPr>
        <w:t xml:space="preserve"> boilers and low-grade coal can be used.</w:t>
      </w:r>
      <w:r w:rsidR="00924750">
        <w:rPr>
          <w:lang w:eastAsia="ko-KR"/>
        </w:rPr>
        <w:t xml:space="preserve"> </w:t>
      </w:r>
      <w:r w:rsidR="00924750" w:rsidRPr="00D33721">
        <w:rPr>
          <w:lang w:eastAsia="ko-KR"/>
        </w:rPr>
        <w:t xml:space="preserve">The solid </w:t>
      </w:r>
      <w:r w:rsidR="00924750">
        <w:rPr>
          <w:lang w:eastAsia="ko-KR"/>
        </w:rPr>
        <w:t>return part</w:t>
      </w:r>
      <w:r w:rsidR="00924750" w:rsidRPr="00D33721">
        <w:rPr>
          <w:lang w:eastAsia="ko-KR"/>
        </w:rPr>
        <w:t xml:space="preserve"> of the target boiler has 8 cyclones, </w:t>
      </w:r>
      <w:r w:rsidR="00924750">
        <w:rPr>
          <w:lang w:eastAsia="ko-KR"/>
        </w:rPr>
        <w:t xml:space="preserve">8 </w:t>
      </w:r>
      <w:r w:rsidR="00924750" w:rsidRPr="00D33721">
        <w:rPr>
          <w:lang w:eastAsia="ko-KR"/>
        </w:rPr>
        <w:t xml:space="preserve">loop seals, and </w:t>
      </w:r>
      <w:r w:rsidR="00924750">
        <w:rPr>
          <w:lang w:eastAsia="ko-KR"/>
        </w:rPr>
        <w:t xml:space="preserve">8 </w:t>
      </w:r>
      <w:r w:rsidR="00924750" w:rsidRPr="00D33721">
        <w:rPr>
          <w:lang w:eastAsia="ko-KR"/>
        </w:rPr>
        <w:t>INTREX</w:t>
      </w:r>
      <w:r w:rsidR="00924750">
        <w:rPr>
          <w:lang w:eastAsia="ko-KR"/>
        </w:rPr>
        <w:t>s</w:t>
      </w:r>
      <w:r w:rsidR="00924750" w:rsidRPr="00D33721">
        <w:rPr>
          <w:lang w:eastAsia="ko-KR"/>
        </w:rPr>
        <w:t>.</w:t>
      </w:r>
      <w:r w:rsidR="00924750">
        <w:rPr>
          <w:lang w:eastAsia="ko-KR"/>
        </w:rPr>
        <w:t xml:space="preserve"> </w:t>
      </w:r>
      <w:r w:rsidR="00924750" w:rsidRPr="00D33721">
        <w:rPr>
          <w:lang w:eastAsia="ko-KR"/>
        </w:rPr>
        <w:t>The INTREX</w:t>
      </w:r>
      <w:r w:rsidR="00924750">
        <w:rPr>
          <w:lang w:eastAsia="ko-KR"/>
        </w:rPr>
        <w:t>s</w:t>
      </w:r>
      <w:r w:rsidR="00924750" w:rsidRPr="00D33721">
        <w:rPr>
          <w:lang w:eastAsia="ko-KR"/>
        </w:rPr>
        <w:t xml:space="preserve"> of the target boiler system </w:t>
      </w:r>
      <w:r w:rsidR="00924750">
        <w:rPr>
          <w:lang w:eastAsia="ko-KR"/>
        </w:rPr>
        <w:t>are</w:t>
      </w:r>
      <w:r w:rsidR="00924750" w:rsidRPr="00D33721">
        <w:rPr>
          <w:lang w:eastAsia="ko-KR"/>
        </w:rPr>
        <w:t xml:space="preserve"> used as the </w:t>
      </w:r>
      <w:r w:rsidR="00924750">
        <w:rPr>
          <w:noProof/>
        </w:rPr>
        <w:lastRenderedPageBreak/>
        <mc:AlternateContent>
          <mc:Choice Requires="wps">
            <w:drawing>
              <wp:anchor distT="0" distB="0" distL="114300" distR="114300" simplePos="0" relativeHeight="251660288" behindDoc="0" locked="0" layoutInCell="1" allowOverlap="1" wp14:anchorId="43EF9B33" wp14:editId="2AE4FC97">
                <wp:simplePos x="0" y="0"/>
                <wp:positionH relativeFrom="margin">
                  <wp:align>right</wp:align>
                </wp:positionH>
                <wp:positionV relativeFrom="paragraph">
                  <wp:posOffset>2191279</wp:posOffset>
                </wp:positionV>
                <wp:extent cx="449961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499610" cy="635"/>
                        </a:xfrm>
                        <a:prstGeom prst="rect">
                          <a:avLst/>
                        </a:prstGeom>
                        <a:solidFill>
                          <a:prstClr val="white"/>
                        </a:solidFill>
                        <a:ln>
                          <a:noFill/>
                        </a:ln>
                      </wps:spPr>
                      <wps:txbx>
                        <w:txbxContent>
                          <w:p w14:paraId="1B348BA8" w14:textId="7D727A6B" w:rsidR="00924750" w:rsidRPr="00B5264E" w:rsidRDefault="00924750" w:rsidP="00924750">
                            <w:pPr>
                              <w:pStyle w:val="a3"/>
                              <w:rPr>
                                <w:noProof/>
                              </w:rPr>
                            </w:pPr>
                            <w:r>
                              <w:t xml:space="preserve">Figure </w:t>
                            </w:r>
                            <w:r>
                              <w:fldChar w:fldCharType="begin"/>
                            </w:r>
                            <w:r>
                              <w:instrText xml:space="preserve"> SEQ Figure \* ARABIC </w:instrText>
                            </w:r>
                            <w:r>
                              <w:fldChar w:fldCharType="separate"/>
                            </w:r>
                            <w:r>
                              <w:rPr>
                                <w:noProof/>
                              </w:rPr>
                              <w:t>1</w:t>
                            </w:r>
                            <w:r>
                              <w:fldChar w:fldCharType="end"/>
                            </w:r>
                            <w:r w:rsidRPr="00924750">
                              <w:t xml:space="preserve"> </w:t>
                            </w:r>
                            <w:r w:rsidRPr="00924750">
                              <w:t>Schematic diagram of the target CFB boiler (a) and model diagram of the CFB loop (b) [Kim et. 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3EF9B33" id="_x0000_t202" coordsize="21600,21600" o:spt="202" path="m,l,21600r21600,l21600,xe">
                <v:stroke joinstyle="miter"/>
                <v:path gradientshapeok="t" o:connecttype="rect"/>
              </v:shapetype>
              <v:shape id="Text Box 4" o:spid="_x0000_s1026" type="#_x0000_t202" style="position:absolute;left:0;text-align:left;margin-left:303.1pt;margin-top:172.55pt;width:354.3pt;height:.0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" stroked="f">
                <v:textbox style="mso-fit-shape-to-text:t" inset="0,0,0,0">
                  <w:txbxContent>
                    <w:p w14:paraId="1B348BA8" w14:textId="7D727A6B" w:rsidR="00924750" w:rsidRPr="00B5264E" w:rsidRDefault="00924750" w:rsidP="00924750">
                      <w:pPr>
                        <w:pStyle w:val="a3"/>
                        <w:rPr>
                          <w:noProof/>
                        </w:rPr>
                      </w:pPr>
                      <w:r>
                        <w:t xml:space="preserve">Figure </w:t>
                      </w:r>
                      <w:r>
                        <w:fldChar w:fldCharType="begin"/>
                      </w:r>
                      <w:r>
                        <w:instrText xml:space="preserve"> SEQ Figure \* ARABIC </w:instrText>
                      </w:r>
                      <w:r>
                        <w:fldChar w:fldCharType="separate"/>
                      </w:r>
                      <w:r>
                        <w:rPr>
                          <w:noProof/>
                        </w:rPr>
                        <w:t>1</w:t>
                      </w:r>
                      <w:r>
                        <w:fldChar w:fldCharType="end"/>
                      </w:r>
                      <w:r w:rsidRPr="00924750">
                        <w:t xml:space="preserve"> </w:t>
                      </w:r>
                      <w:r w:rsidRPr="00924750">
                        <w:t>Schematic diagram of the target CFB boiler (a) and model diagram of the CFB loop (b) [Kim et. al.]</w:t>
                      </w:r>
                    </w:p>
                  </w:txbxContent>
                </v:textbox>
                <w10:wrap type="square" anchorx="margin"/>
              </v:shape>
            </w:pict>
          </mc:Fallback>
        </mc:AlternateContent>
      </w:r>
      <w:r w:rsidR="00924750" w:rsidRPr="00AC14C2">
        <w:rPr>
          <w:noProof/>
          <w:lang w:eastAsia="ko-KR"/>
        </w:rPr>
        <w:drawing>
          <wp:anchor distT="0" distB="0" distL="114300" distR="114300" simplePos="0" relativeHeight="251658240" behindDoc="0" locked="0" layoutInCell="1" allowOverlap="1" wp14:anchorId="63FFD384" wp14:editId="22C6AA77">
            <wp:simplePos x="0" y="0"/>
            <wp:positionH relativeFrom="margin">
              <wp:posOffset>4445</wp:posOffset>
            </wp:positionH>
            <wp:positionV relativeFrom="paragraph">
              <wp:posOffset>10795</wp:posOffset>
            </wp:positionV>
            <wp:extent cx="4499610" cy="2192655"/>
            <wp:effectExtent l="0" t="0" r="0" b="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9610" cy="2192655"/>
                    </a:xfrm>
                    <a:prstGeom prst="rect">
                      <a:avLst/>
                    </a:prstGeom>
                  </pic:spPr>
                </pic:pic>
              </a:graphicData>
            </a:graphic>
            <wp14:sizeRelH relativeFrom="page">
              <wp14:pctWidth>0</wp14:pctWidth>
            </wp14:sizeRelH>
            <wp14:sizeRelV relativeFrom="page">
              <wp14:pctHeight>0</wp14:pctHeight>
            </wp14:sizeRelV>
          </wp:anchor>
        </w:drawing>
      </w:r>
      <w:r w:rsidR="00924750" w:rsidRPr="00D33721">
        <w:rPr>
          <w:lang w:eastAsia="ko-KR"/>
        </w:rPr>
        <w:t>final superheater</w:t>
      </w:r>
      <w:r w:rsidR="00924750">
        <w:rPr>
          <w:lang w:eastAsia="ko-KR"/>
        </w:rPr>
        <w:t xml:space="preserve"> (SH)</w:t>
      </w:r>
      <w:r w:rsidR="00924750" w:rsidRPr="00D33721">
        <w:rPr>
          <w:lang w:eastAsia="ko-KR"/>
        </w:rPr>
        <w:t xml:space="preserve"> and reheater</w:t>
      </w:r>
      <w:r w:rsidR="00924750">
        <w:rPr>
          <w:lang w:eastAsia="ko-KR"/>
        </w:rPr>
        <w:t xml:space="preserve"> (RH)</w:t>
      </w:r>
      <w:r w:rsidR="00924750" w:rsidRPr="00D33721">
        <w:rPr>
          <w:lang w:eastAsia="ko-KR"/>
        </w:rPr>
        <w:t xml:space="preserve">. The heat exchangers of the target boiler system include </w:t>
      </w:r>
      <w:r w:rsidR="00924750">
        <w:rPr>
          <w:lang w:eastAsia="ko-KR"/>
        </w:rPr>
        <w:t>economizer (ECO)</w:t>
      </w:r>
      <w:r w:rsidR="00924750" w:rsidRPr="00D33721">
        <w:rPr>
          <w:lang w:eastAsia="ko-KR"/>
        </w:rPr>
        <w:t xml:space="preserve">, </w:t>
      </w:r>
      <w:r w:rsidR="00924750">
        <w:rPr>
          <w:lang w:eastAsia="ko-KR"/>
        </w:rPr>
        <w:t>evaporator (EVA)</w:t>
      </w:r>
      <w:r w:rsidR="00924750" w:rsidRPr="00D33721">
        <w:rPr>
          <w:lang w:eastAsia="ko-KR"/>
        </w:rPr>
        <w:t xml:space="preserve">, SH1~5, and RH1~2. </w:t>
      </w:r>
      <w:r w:rsidR="00924750">
        <w:rPr>
          <w:lang w:eastAsia="ko-KR"/>
        </w:rPr>
        <w:t>T</w:t>
      </w:r>
      <w:r w:rsidR="00924750" w:rsidRPr="00D33721">
        <w:rPr>
          <w:lang w:eastAsia="ko-KR"/>
        </w:rPr>
        <w:t>he CFB loop include</w:t>
      </w:r>
      <w:r w:rsidR="00924750">
        <w:rPr>
          <w:lang w:eastAsia="ko-KR"/>
        </w:rPr>
        <w:t>s</w:t>
      </w:r>
      <w:r w:rsidR="00924750" w:rsidRPr="00D33721">
        <w:rPr>
          <w:lang w:eastAsia="ko-KR"/>
        </w:rPr>
        <w:t xml:space="preserve"> EVA and SH4 in the combustion chamber, </w:t>
      </w:r>
      <w:r w:rsidR="00924750">
        <w:rPr>
          <w:lang w:eastAsia="ko-KR"/>
        </w:rPr>
        <w:t>SH</w:t>
      </w:r>
      <w:r w:rsidR="00924750" w:rsidRPr="00D33721">
        <w:rPr>
          <w:lang w:eastAsia="ko-KR"/>
        </w:rPr>
        <w:t xml:space="preserve">1 in the cyclone, and </w:t>
      </w:r>
      <w:r w:rsidR="00924750">
        <w:rPr>
          <w:lang w:eastAsia="ko-KR"/>
        </w:rPr>
        <w:t>SH</w:t>
      </w:r>
      <w:r w:rsidR="00924750" w:rsidRPr="00D33721">
        <w:rPr>
          <w:lang w:eastAsia="ko-KR"/>
        </w:rPr>
        <w:t xml:space="preserve">5 and RH2 in ITNREX. Since the heat load of </w:t>
      </w:r>
      <w:r w:rsidR="00924750">
        <w:rPr>
          <w:lang w:eastAsia="ko-KR"/>
        </w:rPr>
        <w:t>the heat exchangers of the CFB loop</w:t>
      </w:r>
      <w:r w:rsidR="00924750" w:rsidRPr="00D33721">
        <w:rPr>
          <w:lang w:eastAsia="ko-KR"/>
        </w:rPr>
        <w:t xml:space="preserve"> accounts for 68% of the total boiler heat load, it is important to evaluate the heat transfer characteristics within the </w:t>
      </w:r>
      <w:r w:rsidR="00924750">
        <w:rPr>
          <w:lang w:eastAsia="ko-KR"/>
        </w:rPr>
        <w:t>CFB loop</w:t>
      </w:r>
      <w:r w:rsidR="00924750" w:rsidRPr="00D33721">
        <w:rPr>
          <w:lang w:eastAsia="ko-KR"/>
        </w:rPr>
        <w:t>.</w:t>
      </w:r>
      <w:r w:rsidR="005B44DA">
        <w:rPr>
          <w:rFonts w:hint="eastAsia"/>
          <w:lang w:eastAsia="ko-KR"/>
        </w:rPr>
        <w:t xml:space="preserve"> </w:t>
      </w:r>
      <w:r w:rsidR="00924750">
        <w:rPr>
          <w:lang w:eastAsia="ko-KR"/>
        </w:rPr>
        <w:t>Due to the bed material, the following model consideration has to be applied. Ascending and descending</w:t>
      </w:r>
      <w:r w:rsidR="00924750" w:rsidRPr="00AC14C2">
        <w:rPr>
          <w:lang w:eastAsia="ko-KR"/>
        </w:rPr>
        <w:t xml:space="preserve"> solids in the </w:t>
      </w:r>
      <w:r w:rsidR="00924750">
        <w:rPr>
          <w:lang w:eastAsia="ko-KR"/>
        </w:rPr>
        <w:t>furnace</w:t>
      </w:r>
      <w:r w:rsidR="00924750" w:rsidRPr="00AC14C2">
        <w:rPr>
          <w:lang w:eastAsia="ko-KR"/>
        </w:rPr>
        <w:t xml:space="preserve"> and </w:t>
      </w:r>
      <w:r w:rsidR="00924750">
        <w:rPr>
          <w:lang w:eastAsia="ko-KR"/>
        </w:rPr>
        <w:t xml:space="preserve">circulating solids </w:t>
      </w:r>
      <w:r w:rsidR="00924750" w:rsidRPr="00AC14C2">
        <w:rPr>
          <w:lang w:eastAsia="ko-KR"/>
        </w:rPr>
        <w:t>must be considered.</w:t>
      </w:r>
      <w:r w:rsidR="00924750">
        <w:rPr>
          <w:lang w:eastAsia="ko-KR"/>
        </w:rPr>
        <w:t xml:space="preserve"> Therefore</w:t>
      </w:r>
      <w:r w:rsidR="00924750" w:rsidRPr="00AC14C2">
        <w:rPr>
          <w:lang w:eastAsia="ko-KR"/>
        </w:rPr>
        <w:t xml:space="preserve">, the CFB </w:t>
      </w:r>
      <w:r w:rsidR="00924750">
        <w:rPr>
          <w:lang w:eastAsia="ko-KR"/>
        </w:rPr>
        <w:t xml:space="preserve">furnace </w:t>
      </w:r>
      <w:r w:rsidR="00924750" w:rsidRPr="00AC14C2">
        <w:rPr>
          <w:lang w:eastAsia="ko-KR"/>
        </w:rPr>
        <w:t>was divided into lower</w:t>
      </w:r>
      <w:r w:rsidR="00924750">
        <w:rPr>
          <w:lang w:eastAsia="ko-KR"/>
        </w:rPr>
        <w:t xml:space="preserve"> furnace (LF)</w:t>
      </w:r>
      <w:r w:rsidR="00924750" w:rsidRPr="00AC14C2">
        <w:rPr>
          <w:lang w:eastAsia="ko-KR"/>
        </w:rPr>
        <w:t xml:space="preserve"> and upper </w:t>
      </w:r>
      <w:r w:rsidR="00924750">
        <w:rPr>
          <w:lang w:eastAsia="ko-KR"/>
        </w:rPr>
        <w:t xml:space="preserve">furnace (UF) by considering the up-down flows of solids between LF and UF. </w:t>
      </w:r>
      <w:r w:rsidR="00924750" w:rsidRPr="00FD4954">
        <w:rPr>
          <w:lang w:eastAsia="ko-KR"/>
        </w:rPr>
        <w:t xml:space="preserve">Additionally, because circulating solids affect the heat transfer </w:t>
      </w:r>
      <w:r w:rsidR="00924750">
        <w:rPr>
          <w:lang w:eastAsia="ko-KR"/>
        </w:rPr>
        <w:t>rate</w:t>
      </w:r>
      <w:r w:rsidR="00924750" w:rsidRPr="00FD4954">
        <w:rPr>
          <w:lang w:eastAsia="ko-KR"/>
        </w:rPr>
        <w:t xml:space="preserve"> and temperature </w:t>
      </w:r>
      <w:r w:rsidR="00924750">
        <w:rPr>
          <w:lang w:eastAsia="ko-KR"/>
        </w:rPr>
        <w:t>of</w:t>
      </w:r>
      <w:r w:rsidR="00924750" w:rsidRPr="00FD4954">
        <w:rPr>
          <w:lang w:eastAsia="ko-KR"/>
        </w:rPr>
        <w:t xml:space="preserve"> the CFB loop, the </w:t>
      </w:r>
      <w:r w:rsidR="00924750">
        <w:rPr>
          <w:lang w:eastAsia="ko-KR"/>
        </w:rPr>
        <w:t xml:space="preserve">solid circulation rate </w:t>
      </w:r>
      <w:r w:rsidR="00924750" w:rsidRPr="00FD4954">
        <w:rPr>
          <w:lang w:eastAsia="ko-KR"/>
        </w:rPr>
        <w:t>must be derived.</w:t>
      </w:r>
      <w:r w:rsidR="00924750">
        <w:rPr>
          <w:lang w:eastAsia="ko-KR"/>
        </w:rPr>
        <w:t xml:space="preserve"> </w:t>
      </w:r>
      <w:r w:rsidR="00924750" w:rsidRPr="00FD4954">
        <w:rPr>
          <w:lang w:eastAsia="ko-KR"/>
        </w:rPr>
        <w:t>In this study, the temperature of the CFB loop was adjusted to match the design data by adjusting</w:t>
      </w:r>
      <w:r w:rsidR="00924750">
        <w:rPr>
          <w:lang w:eastAsia="ko-KR"/>
        </w:rPr>
        <w:t xml:space="preserve"> the solid circulation rate</w:t>
      </w:r>
      <w:r w:rsidR="00924750" w:rsidRPr="00FD4954">
        <w:rPr>
          <w:lang w:eastAsia="ko-KR"/>
        </w:rPr>
        <w:t>.</w:t>
      </w:r>
      <w:r w:rsidR="00924750">
        <w:rPr>
          <w:lang w:eastAsia="ko-KR"/>
        </w:rPr>
        <w:t xml:space="preserve"> Therefore, </w:t>
      </w:r>
      <w:r w:rsidR="00924750" w:rsidRPr="00FD4954">
        <w:rPr>
          <w:lang w:eastAsia="ko-KR"/>
        </w:rPr>
        <w:t xml:space="preserve">a fitting equation </w:t>
      </w:r>
      <w:r w:rsidR="00924750">
        <w:rPr>
          <w:lang w:eastAsia="ko-KR"/>
        </w:rPr>
        <w:t>of a second order of the flue gas velocity</w:t>
      </w:r>
      <w:r w:rsidR="00924750" w:rsidRPr="00FD4954">
        <w:rPr>
          <w:lang w:eastAsia="ko-KR"/>
        </w:rPr>
        <w:t xml:space="preserve"> was presented.</w:t>
      </w:r>
      <w:r w:rsidR="00924750">
        <w:rPr>
          <w:lang w:eastAsia="ko-KR"/>
        </w:rPr>
        <w:t xml:space="preserve"> </w:t>
      </w:r>
      <w:r w:rsidR="00924750" w:rsidRPr="00FD4954">
        <w:rPr>
          <w:lang w:eastAsia="ko-KR"/>
        </w:rPr>
        <w:t xml:space="preserve">In addition, to derive the heat </w:t>
      </w:r>
      <w:r w:rsidR="00924750">
        <w:rPr>
          <w:lang w:eastAsia="ko-KR"/>
        </w:rPr>
        <w:t>transfer</w:t>
      </w:r>
      <w:r w:rsidR="00924750" w:rsidRPr="00FD4954">
        <w:rPr>
          <w:lang w:eastAsia="ko-KR"/>
        </w:rPr>
        <w:t xml:space="preserve"> coefficient</w:t>
      </w:r>
      <w:r w:rsidR="00924750">
        <w:rPr>
          <w:lang w:eastAsia="ko-KR"/>
        </w:rPr>
        <w:t xml:space="preserve"> (HTC)</w:t>
      </w:r>
      <w:r w:rsidR="00924750" w:rsidRPr="00FD4954">
        <w:rPr>
          <w:lang w:eastAsia="ko-KR"/>
        </w:rPr>
        <w:t xml:space="preserve"> of INTREX, </w:t>
      </w:r>
      <w:r w:rsidR="00924750">
        <w:rPr>
          <w:lang w:eastAsia="ko-KR"/>
        </w:rPr>
        <w:t>a correlation equation is developed based on the solid circulation rate and inlet solid temperature of INTREX by using the design data of HTC of INTREX.</w:t>
      </w:r>
    </w:p>
    <w:p w14:paraId="16D920B1" w14:textId="0E79406A" w:rsidR="00924750" w:rsidRPr="00924750" w:rsidRDefault="00924750" w:rsidP="00924750">
      <w:pPr>
        <w:pStyle w:val="Els-body-text"/>
        <w:rPr>
          <w:rFonts w:hint="eastAsia"/>
          <w:lang w:eastAsia="ko-KR"/>
        </w:rPr>
      </w:pPr>
    </w:p>
    <w:p w14:paraId="449630F7" w14:textId="77777777" w:rsidR="00894CEF" w:rsidRDefault="00894CEF" w:rsidP="00894CEF">
      <w:pPr>
        <w:pStyle w:val="Els-2ndorder-head"/>
      </w:pPr>
      <w:r>
        <w:rPr>
          <w:lang w:eastAsia="ko-KR"/>
        </w:rPr>
        <w:t>Process simulation model</w:t>
      </w:r>
    </w:p>
    <w:p w14:paraId="34BD8C82" w14:textId="11BF7466" w:rsidR="00CE4FF9" w:rsidRDefault="00CE4FF9" w:rsidP="005B44DA">
      <w:pPr>
        <w:pStyle w:val="Els-body-text"/>
        <w:rPr>
          <w:lang w:eastAsia="ko-KR"/>
        </w:rPr>
      </w:pPr>
      <w:r w:rsidRPr="00CE4FF9">
        <w:rPr>
          <w:lang w:eastAsia="ko-KR"/>
        </w:rPr>
        <w:t>The model approach is the heat exchanger block simulation model. Fig. 2 shows a schematic diagram of the process simulation model and each heat exchanger model. In this model approach, the entire boiler system is divided into finite heat exchangers. Each heat exchanger is composed of a gas-solid side model and a water-steam side model, in which a lumped parameter model was applied. The gas-solid side and water-steam side models are connected through heat transfer. Therefore, the mass and energy balance</w:t>
      </w:r>
      <w:r>
        <w:rPr>
          <w:lang w:eastAsia="ko-KR"/>
        </w:rPr>
        <w:t>s</w:t>
      </w:r>
      <w:r w:rsidRPr="00CE4FF9">
        <w:rPr>
          <w:lang w:eastAsia="ko-KR"/>
        </w:rPr>
        <w:t xml:space="preserve"> of the solid-gas and water-steam blocks </w:t>
      </w:r>
      <w:r>
        <w:rPr>
          <w:lang w:eastAsia="ko-KR"/>
        </w:rPr>
        <w:t>are</w:t>
      </w:r>
      <w:r w:rsidRPr="00CE4FF9">
        <w:rPr>
          <w:lang w:eastAsia="ko-KR"/>
        </w:rPr>
        <w:t xml:space="preserve"> solved. In this model, the heat transfer rate is calculated by overall HTC, heat transfer area, and logarithmic mean temperature difference. Overall HTC is calculated using the external HTC of the gas-solid side and the internal HTC of the water-steam side.</w:t>
      </w:r>
    </w:p>
    <w:p w14:paraId="4396C046" w14:textId="5B2F5070" w:rsidR="00077EB6" w:rsidRDefault="00077EB6" w:rsidP="00CE4FF9">
      <w:pPr>
        <w:pStyle w:val="Els-body-text"/>
        <w:rPr>
          <w:color w:val="000000" w:themeColor="text1"/>
          <w:lang w:eastAsia="ko-KR"/>
        </w:rPr>
      </w:pPr>
      <w:r w:rsidRPr="005E00AD">
        <w:rPr>
          <w:color w:val="000000" w:themeColor="text1"/>
          <w:lang w:eastAsia="ko-KR"/>
        </w:rPr>
        <w:t xml:space="preserve">The applied correlations for the calculation of HTC of the CFB boiler are as follows. The calculation of outer HTC is divided into the CFB furnace, solid return part, and back </w:t>
      </w:r>
      <w:r w:rsidRPr="0059250A">
        <w:rPr>
          <w:lang w:eastAsia="ko-KR"/>
        </w:rPr>
        <w:t xml:space="preserve">pass. In the CFB furnace, the cluster-renewal model is </w:t>
      </w:r>
      <w:r w:rsidRPr="00DD291D">
        <w:rPr>
          <w:color w:val="000000" w:themeColor="text1"/>
          <w:lang w:eastAsia="ko-KR"/>
        </w:rPr>
        <w:t xml:space="preserve">applied, which can calculate the radiation and convection heat transfer of bed material and flue gas </w:t>
      </w:r>
      <w:r w:rsidRPr="00DD291D">
        <w:rPr>
          <w:rFonts w:hint="eastAsia"/>
          <w:color w:val="000000" w:themeColor="text1"/>
          <w:lang w:eastAsia="ko-KR"/>
        </w:rPr>
        <w:t>[</w:t>
      </w:r>
      <w:r w:rsidRPr="00DD291D">
        <w:rPr>
          <w:color w:val="000000" w:themeColor="text1"/>
          <w:lang w:eastAsia="ko-KR"/>
        </w:rPr>
        <w:t>Basu, 2006</w:t>
      </w:r>
      <w:r w:rsidRPr="00DD291D">
        <w:rPr>
          <w:rFonts w:hint="eastAsia"/>
          <w:color w:val="000000" w:themeColor="text1"/>
          <w:lang w:eastAsia="ko-KR"/>
        </w:rPr>
        <w:t>]</w:t>
      </w:r>
      <w:r w:rsidRPr="00DD291D">
        <w:rPr>
          <w:color w:val="000000" w:themeColor="text1"/>
          <w:lang w:eastAsia="ko-KR"/>
        </w:rPr>
        <w:t xml:space="preserve">. In the </w:t>
      </w:r>
    </w:p>
    <w:p w14:paraId="428E4E43" w14:textId="77777777" w:rsidR="00077EB6" w:rsidRPr="00FE2396" w:rsidRDefault="00077EB6" w:rsidP="00077EB6">
      <w:pPr>
        <w:pStyle w:val="Els-body-text"/>
        <w:keepNext/>
      </w:pPr>
      <w:r w:rsidRPr="003A57D3">
        <w:rPr>
          <w:noProof/>
          <w:sz w:val="18"/>
          <w:szCs w:val="18"/>
          <w:lang w:eastAsia="ko-KR"/>
        </w:rPr>
        <w:lastRenderedPageBreak/>
        <w:drawing>
          <wp:inline distT="0" distB="0" distL="0" distR="0" wp14:anchorId="685D3801" wp14:editId="5B3A6C22">
            <wp:extent cx="4499610" cy="160782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9610" cy="1607820"/>
                    </a:xfrm>
                    <a:prstGeom prst="rect">
                      <a:avLst/>
                    </a:prstGeom>
                  </pic:spPr>
                </pic:pic>
              </a:graphicData>
            </a:graphic>
          </wp:inline>
        </w:drawing>
      </w:r>
      <w:r w:rsidRPr="00FE2396">
        <w:rPr>
          <w:sz w:val="18"/>
          <w:szCs w:val="18"/>
        </w:rPr>
        <w:t xml:space="preserve">Figure </w:t>
      </w:r>
      <w:r>
        <w:rPr>
          <w:rFonts w:hint="eastAsia"/>
          <w:sz w:val="18"/>
          <w:szCs w:val="18"/>
          <w:lang w:eastAsia="ko-KR"/>
        </w:rPr>
        <w:t>2</w:t>
      </w:r>
      <w:r w:rsidRPr="00FE2396">
        <w:rPr>
          <w:sz w:val="18"/>
          <w:szCs w:val="18"/>
        </w:rPr>
        <w:t xml:space="preserve"> Diagram of process simulation model</w:t>
      </w:r>
      <w:r>
        <w:rPr>
          <w:sz w:val="18"/>
          <w:szCs w:val="18"/>
        </w:rPr>
        <w:t xml:space="preserve"> (a)</w:t>
      </w:r>
      <w:r w:rsidRPr="00FE2396">
        <w:rPr>
          <w:sz w:val="18"/>
          <w:szCs w:val="18"/>
        </w:rPr>
        <w:t xml:space="preserve"> and </w:t>
      </w:r>
      <w:r w:rsidRPr="00FE2396">
        <w:rPr>
          <w:rFonts w:hint="eastAsia"/>
          <w:sz w:val="18"/>
          <w:szCs w:val="18"/>
          <w:lang w:eastAsia="ko-KR"/>
        </w:rPr>
        <w:t>l</w:t>
      </w:r>
      <w:r w:rsidRPr="00FE2396">
        <w:rPr>
          <w:sz w:val="18"/>
          <w:szCs w:val="18"/>
          <w:lang w:eastAsia="ko-KR"/>
        </w:rPr>
        <w:t>umped parameter model</w:t>
      </w:r>
      <w:r>
        <w:rPr>
          <w:sz w:val="18"/>
          <w:szCs w:val="18"/>
          <w:lang w:eastAsia="ko-KR"/>
        </w:rPr>
        <w:t xml:space="preserve"> (b)</w:t>
      </w:r>
      <w:r w:rsidRPr="00FE2396">
        <w:rPr>
          <w:sz w:val="18"/>
          <w:szCs w:val="18"/>
          <w:lang w:eastAsia="ko-KR"/>
        </w:rPr>
        <w:t xml:space="preserve"> [Kim. et. al.]</w:t>
      </w:r>
    </w:p>
    <w:p w14:paraId="07535B56" w14:textId="77777777" w:rsidR="00077EB6" w:rsidRPr="00077EB6" w:rsidRDefault="00077EB6" w:rsidP="00077EB6">
      <w:pPr>
        <w:pStyle w:val="Els-body-text"/>
        <w:ind w:firstLineChars="100" w:firstLine="200"/>
        <w:rPr>
          <w:color w:val="000000" w:themeColor="text1"/>
          <w:lang w:eastAsia="ko-KR"/>
        </w:rPr>
      </w:pPr>
    </w:p>
    <w:p w14:paraId="747676B5" w14:textId="5D2F5381" w:rsidR="00077EB6" w:rsidRDefault="00077EB6" w:rsidP="00077EB6">
      <w:pPr>
        <w:pStyle w:val="Els-body-text"/>
        <w:rPr>
          <w:lang w:eastAsia="ko-KR"/>
        </w:rPr>
      </w:pPr>
      <w:r w:rsidRPr="00DD291D">
        <w:rPr>
          <w:color w:val="000000" w:themeColor="text1"/>
          <w:lang w:eastAsia="ko-KR"/>
        </w:rPr>
        <w:t xml:space="preserve">solid return part, the fitting equation was applied as mentioned in the previous </w:t>
      </w:r>
      <w:r w:rsidRPr="0059250A">
        <w:rPr>
          <w:lang w:eastAsia="ko-KR"/>
        </w:rPr>
        <w:t>page</w:t>
      </w:r>
      <w:r>
        <w:rPr>
          <w:lang w:eastAsia="ko-KR"/>
        </w:rPr>
        <w:t xml:space="preserve"> [Zhang et al.]</w:t>
      </w:r>
      <w:r w:rsidRPr="0059250A">
        <w:rPr>
          <w:lang w:eastAsia="ko-KR"/>
        </w:rPr>
        <w:t xml:space="preserve">. In the back pass, the correlation for calculating the radiation and convection </w:t>
      </w:r>
      <w:r w:rsidRPr="005B44DA">
        <w:rPr>
          <w:lang w:eastAsia="ko-KR"/>
        </w:rPr>
        <w:t xml:space="preserve">of the flue gas was applied [Basu, 2000; Incropera et al.]. HTC of the water-steam side was applied according to subcritical and supercritical pressures </w:t>
      </w:r>
      <w:r w:rsidRPr="005B44DA">
        <w:rPr>
          <w:rFonts w:hint="eastAsia"/>
          <w:lang w:eastAsia="ko-KR"/>
        </w:rPr>
        <w:t>[</w:t>
      </w:r>
      <w:r w:rsidRPr="005B44DA">
        <w:rPr>
          <w:lang w:eastAsia="ko-KR"/>
        </w:rPr>
        <w:t xml:space="preserve">Incropera et al.; </w:t>
      </w:r>
      <w:r w:rsidRPr="005B44DA">
        <w:rPr>
          <w:lang w:val="en-GB" w:eastAsia="ko-KR"/>
        </w:rPr>
        <w:t>Sallevelt et al.</w:t>
      </w:r>
      <w:r w:rsidRPr="005B44DA">
        <w:rPr>
          <w:rFonts w:hint="eastAsia"/>
          <w:lang w:eastAsia="ko-KR"/>
        </w:rPr>
        <w:t>]</w:t>
      </w:r>
      <w:r w:rsidRPr="005B44DA">
        <w:rPr>
          <w:lang w:eastAsia="ko-KR"/>
        </w:rPr>
        <w:t>. This process simulation model was validated with the design data. The error rate of solid-gas temperature, the water-steam temperature, and the heat transfer rate are below 5%. Therefore, model reliability was confirmed.</w:t>
      </w:r>
    </w:p>
    <w:p w14:paraId="144DE6A1" w14:textId="0ECDE4C4" w:rsidR="008D2649" w:rsidRDefault="008D57C0" w:rsidP="008D2649">
      <w:pPr>
        <w:pStyle w:val="Els-1storder-head"/>
        <w:spacing w:after="120"/>
        <w:rPr>
          <w:lang w:val="en-GB" w:eastAsia="ko-KR"/>
        </w:rPr>
      </w:pPr>
      <w:r>
        <w:rPr>
          <w:rFonts w:hint="eastAsia"/>
          <w:lang w:val="en-GB" w:eastAsia="ko-KR"/>
        </w:rPr>
        <w:t>P</w:t>
      </w:r>
      <w:r>
        <w:rPr>
          <w:lang w:val="en-GB" w:eastAsia="ko-KR"/>
        </w:rPr>
        <w:t>rocess simulation results</w:t>
      </w:r>
    </w:p>
    <w:p w14:paraId="548F4CCF" w14:textId="6EE9A98C" w:rsidR="00DE4AC9" w:rsidRDefault="00DE4AC9" w:rsidP="001736F5">
      <w:pPr>
        <w:pStyle w:val="Els-body-text"/>
        <w:rPr>
          <w:lang w:val="en-GB" w:eastAsia="ko-KR"/>
        </w:rPr>
      </w:pPr>
      <w:r w:rsidRPr="00DE4AC9">
        <w:rPr>
          <w:lang w:val="en-GB" w:eastAsia="ko-KR"/>
        </w:rPr>
        <w:t>The simulation conditions are Boiler Maximum Continuous Rating</w:t>
      </w:r>
      <w:r w:rsidR="00CE4FF9">
        <w:rPr>
          <w:lang w:val="en-GB" w:eastAsia="ko-KR"/>
        </w:rPr>
        <w:t xml:space="preserve"> </w:t>
      </w:r>
      <w:r w:rsidRPr="00DE4AC9">
        <w:rPr>
          <w:lang w:val="en-GB" w:eastAsia="ko-KR"/>
        </w:rPr>
        <w:t xml:space="preserve">with the design coal. </w:t>
      </w:r>
      <w:r w:rsidR="00026A17">
        <w:rPr>
          <w:lang w:val="en-GB" w:eastAsia="ko-KR"/>
        </w:rPr>
        <w:t>The a</w:t>
      </w:r>
      <w:r w:rsidR="006F53DF">
        <w:rPr>
          <w:lang w:val="en-GB" w:eastAsia="ko-KR"/>
        </w:rPr>
        <w:t xml:space="preserve">mmonia co-firing ratio is 0, 5, 10, 20, and 30% based on high heating value (HHV). </w:t>
      </w:r>
      <w:r w:rsidR="00CD0334">
        <w:rPr>
          <w:lang w:val="en-GB" w:eastAsia="ko-KR"/>
        </w:rPr>
        <w:t>As shown in Table 2, the CFB boiler utilize</w:t>
      </w:r>
      <w:r w:rsidR="00E0572C">
        <w:rPr>
          <w:lang w:val="en-GB" w:eastAsia="ko-KR"/>
        </w:rPr>
        <w:t>s</w:t>
      </w:r>
      <w:r w:rsidR="00CD0334">
        <w:rPr>
          <w:lang w:val="en-GB" w:eastAsia="ko-KR"/>
        </w:rPr>
        <w:t xml:space="preserve"> low-grade coal compared to the PC boiler. </w:t>
      </w:r>
      <w:r w:rsidRPr="00DE4AC9">
        <w:rPr>
          <w:lang w:val="en-GB" w:eastAsia="ko-KR"/>
        </w:rPr>
        <w:t xml:space="preserve">Table </w:t>
      </w:r>
      <w:r w:rsidR="00CD0334">
        <w:rPr>
          <w:lang w:val="en-GB" w:eastAsia="ko-KR"/>
        </w:rPr>
        <w:t>3</w:t>
      </w:r>
      <w:r w:rsidRPr="00DE4AC9">
        <w:rPr>
          <w:lang w:val="en-GB" w:eastAsia="ko-KR"/>
        </w:rPr>
        <w:t xml:space="preserve"> shows the mass balance results and adiabatic flame temperature (AFT) according to ammonia co-firing. </w:t>
      </w:r>
      <w:r w:rsidR="00CE4FF9">
        <w:rPr>
          <w:lang w:val="en-GB" w:eastAsia="ko-KR"/>
        </w:rPr>
        <w:t>T</w:t>
      </w:r>
      <w:r w:rsidRPr="00DE4AC9">
        <w:rPr>
          <w:lang w:val="en-GB" w:eastAsia="ko-KR"/>
        </w:rPr>
        <w:t>he total flue gas flow rate and AFT decrease according to the increase in ammonia co-firing ratio</w:t>
      </w:r>
      <w:r w:rsidR="00CE4FF9">
        <w:rPr>
          <w:lang w:val="en-GB" w:eastAsia="ko-KR"/>
        </w:rPr>
        <w:t xml:space="preserve">. </w:t>
      </w:r>
      <w:r w:rsidRPr="00DE4AC9">
        <w:rPr>
          <w:lang w:val="en-GB" w:eastAsia="ko-KR"/>
        </w:rPr>
        <w:t>Solid circulation rate decreases due to the decrease in air flow rate. At 30% co-firing condition, the solid circulation rate decreases by approximately 150 kg/s. It is assessed that the reduction in solid circulation does not significantly affect heat transfer. Apparently, as the ammonia co-firing ratio increases, the mole fraction of CO</w:t>
      </w:r>
      <w:r w:rsidRPr="00DE4AC9">
        <w:rPr>
          <w:vertAlign w:val="subscript"/>
          <w:lang w:val="en-GB" w:eastAsia="ko-KR"/>
        </w:rPr>
        <w:t>2</w:t>
      </w:r>
      <w:r w:rsidRPr="00DE4AC9">
        <w:rPr>
          <w:lang w:val="en-GB" w:eastAsia="ko-KR"/>
        </w:rPr>
        <w:t xml:space="preserve"> decreases, and the mole fraction of H</w:t>
      </w:r>
      <w:r w:rsidRPr="00DE4AC9">
        <w:rPr>
          <w:vertAlign w:val="subscript"/>
          <w:lang w:val="en-GB" w:eastAsia="ko-KR"/>
        </w:rPr>
        <w:t>2</w:t>
      </w:r>
      <w:r w:rsidRPr="00DE4AC9">
        <w:rPr>
          <w:lang w:val="en-GB" w:eastAsia="ko-KR"/>
        </w:rPr>
        <w:t>O increases.</w:t>
      </w:r>
    </w:p>
    <w:p w14:paraId="57535A8A" w14:textId="57B8B80D" w:rsidR="00CD0334" w:rsidRDefault="00CD0334" w:rsidP="00CD0334">
      <w:pPr>
        <w:pStyle w:val="a3"/>
        <w:keepNext/>
      </w:pPr>
      <w:r>
        <w:t xml:space="preserve">Table </w:t>
      </w:r>
      <w:r>
        <w:fldChar w:fldCharType="begin"/>
      </w:r>
      <w:r>
        <w:instrText xml:space="preserve"> SEQ Table \* ARABIC </w:instrText>
      </w:r>
      <w:r>
        <w:fldChar w:fldCharType="separate"/>
      </w:r>
      <w:r>
        <w:rPr>
          <w:noProof/>
        </w:rPr>
        <w:t>2</w:t>
      </w:r>
      <w:r>
        <w:fldChar w:fldCharType="end"/>
      </w:r>
      <w:r>
        <w:t xml:space="preserve"> Design coal of the CFB boiler and PC boiler</w:t>
      </w:r>
    </w:p>
    <w:tbl>
      <w:tblPr>
        <w:tblStyle w:val="af"/>
        <w:tblW w:w="0" w:type="auto"/>
        <w:tblBorders>
          <w:left w:val="none" w:sz="0" w:space="0" w:color="auto"/>
          <w:right w:val="none" w:sz="0" w:space="0" w:color="auto"/>
        </w:tblBorders>
        <w:tblLook w:val="04A0" w:firstRow="1" w:lastRow="0" w:firstColumn="1" w:lastColumn="0" w:noHBand="0" w:noVBand="1"/>
      </w:tblPr>
      <w:tblGrid>
        <w:gridCol w:w="762"/>
        <w:gridCol w:w="651"/>
        <w:gridCol w:w="652"/>
        <w:gridCol w:w="652"/>
        <w:gridCol w:w="652"/>
        <w:gridCol w:w="652"/>
        <w:gridCol w:w="794"/>
        <w:gridCol w:w="992"/>
        <w:gridCol w:w="1188"/>
      </w:tblGrid>
      <w:tr w:rsidR="00CD0334" w14:paraId="02835F2B" w14:textId="77777777" w:rsidTr="00CD0334">
        <w:trPr>
          <w:trHeight w:val="236"/>
        </w:trPr>
        <w:tc>
          <w:tcPr>
            <w:tcW w:w="762" w:type="dxa"/>
            <w:shd w:val="clear" w:color="auto" w:fill="D9D9D9" w:themeFill="background1" w:themeFillShade="D9"/>
          </w:tcPr>
          <w:p w14:paraId="2A8CCD42" w14:textId="77777777" w:rsidR="00CD0334" w:rsidRPr="00CD0334" w:rsidRDefault="00CD0334" w:rsidP="00CD0334">
            <w:pPr>
              <w:pStyle w:val="Els-body-text"/>
              <w:jc w:val="center"/>
              <w:rPr>
                <w:sz w:val="16"/>
                <w:szCs w:val="16"/>
                <w:lang w:val="en-GB" w:eastAsia="ko-KR"/>
              </w:rPr>
            </w:pPr>
          </w:p>
        </w:tc>
        <w:tc>
          <w:tcPr>
            <w:tcW w:w="651" w:type="dxa"/>
            <w:shd w:val="clear" w:color="auto" w:fill="D9D9D9" w:themeFill="background1" w:themeFillShade="D9"/>
          </w:tcPr>
          <w:p w14:paraId="76AB3504" w14:textId="59EA5FBB" w:rsidR="00CD0334" w:rsidRPr="00CD0334" w:rsidRDefault="00CD0334" w:rsidP="00CD0334">
            <w:pPr>
              <w:pStyle w:val="Els-body-text"/>
              <w:jc w:val="center"/>
              <w:rPr>
                <w:sz w:val="16"/>
                <w:szCs w:val="16"/>
                <w:lang w:val="en-GB" w:eastAsia="ko-KR"/>
              </w:rPr>
            </w:pPr>
            <w:r w:rsidRPr="00CD0334">
              <w:rPr>
                <w:rFonts w:hint="eastAsia"/>
                <w:sz w:val="16"/>
                <w:szCs w:val="16"/>
                <w:lang w:val="en-GB" w:eastAsia="ko-KR"/>
              </w:rPr>
              <w:t>C</w:t>
            </w:r>
            <w:r>
              <w:rPr>
                <w:sz w:val="16"/>
                <w:szCs w:val="16"/>
                <w:lang w:val="en-GB" w:eastAsia="ko-KR"/>
              </w:rPr>
              <w:t xml:space="preserve"> (%)</w:t>
            </w:r>
          </w:p>
        </w:tc>
        <w:tc>
          <w:tcPr>
            <w:tcW w:w="652" w:type="dxa"/>
            <w:shd w:val="clear" w:color="auto" w:fill="D9D9D9" w:themeFill="background1" w:themeFillShade="D9"/>
          </w:tcPr>
          <w:p w14:paraId="211DC4B4" w14:textId="450F2403" w:rsidR="00CD0334" w:rsidRPr="00CD0334" w:rsidRDefault="00CD0334" w:rsidP="00CD0334">
            <w:pPr>
              <w:pStyle w:val="Els-body-text"/>
              <w:jc w:val="center"/>
              <w:rPr>
                <w:sz w:val="16"/>
                <w:szCs w:val="16"/>
                <w:lang w:val="en-GB" w:eastAsia="ko-KR"/>
              </w:rPr>
            </w:pPr>
            <w:r w:rsidRPr="00CD0334">
              <w:rPr>
                <w:rFonts w:hint="eastAsia"/>
                <w:sz w:val="16"/>
                <w:szCs w:val="16"/>
                <w:lang w:val="en-GB" w:eastAsia="ko-KR"/>
              </w:rPr>
              <w:t>H</w:t>
            </w:r>
            <w:r>
              <w:rPr>
                <w:sz w:val="16"/>
                <w:szCs w:val="16"/>
                <w:lang w:val="en-GB" w:eastAsia="ko-KR"/>
              </w:rPr>
              <w:t xml:space="preserve"> (%)</w:t>
            </w:r>
          </w:p>
        </w:tc>
        <w:tc>
          <w:tcPr>
            <w:tcW w:w="652" w:type="dxa"/>
            <w:shd w:val="clear" w:color="auto" w:fill="D9D9D9" w:themeFill="background1" w:themeFillShade="D9"/>
          </w:tcPr>
          <w:p w14:paraId="0E0FF6C0" w14:textId="29F56572" w:rsidR="00CD0334" w:rsidRPr="00CD0334" w:rsidRDefault="00CD0334" w:rsidP="00CD0334">
            <w:pPr>
              <w:pStyle w:val="Els-body-text"/>
              <w:jc w:val="center"/>
              <w:rPr>
                <w:sz w:val="16"/>
                <w:szCs w:val="16"/>
                <w:lang w:val="en-GB" w:eastAsia="ko-KR"/>
              </w:rPr>
            </w:pPr>
            <w:r w:rsidRPr="00CD0334">
              <w:rPr>
                <w:rFonts w:hint="eastAsia"/>
                <w:sz w:val="16"/>
                <w:szCs w:val="16"/>
                <w:lang w:val="en-GB" w:eastAsia="ko-KR"/>
              </w:rPr>
              <w:t>O</w:t>
            </w:r>
            <w:r>
              <w:rPr>
                <w:sz w:val="16"/>
                <w:szCs w:val="16"/>
                <w:lang w:val="en-GB" w:eastAsia="ko-KR"/>
              </w:rPr>
              <w:t xml:space="preserve"> (%)</w:t>
            </w:r>
          </w:p>
        </w:tc>
        <w:tc>
          <w:tcPr>
            <w:tcW w:w="652" w:type="dxa"/>
            <w:shd w:val="clear" w:color="auto" w:fill="D9D9D9" w:themeFill="background1" w:themeFillShade="D9"/>
          </w:tcPr>
          <w:p w14:paraId="1579D08F" w14:textId="5D1B4164" w:rsidR="00CD0334" w:rsidRPr="00CD0334" w:rsidRDefault="00CD0334" w:rsidP="00CD0334">
            <w:pPr>
              <w:pStyle w:val="Els-body-text"/>
              <w:jc w:val="center"/>
              <w:rPr>
                <w:sz w:val="16"/>
                <w:szCs w:val="16"/>
                <w:lang w:val="en-GB" w:eastAsia="ko-KR"/>
              </w:rPr>
            </w:pPr>
            <w:r w:rsidRPr="00CD0334">
              <w:rPr>
                <w:rFonts w:hint="eastAsia"/>
                <w:sz w:val="16"/>
                <w:szCs w:val="16"/>
                <w:lang w:val="en-GB" w:eastAsia="ko-KR"/>
              </w:rPr>
              <w:t>N</w:t>
            </w:r>
            <w:r>
              <w:rPr>
                <w:sz w:val="16"/>
                <w:szCs w:val="16"/>
                <w:lang w:val="en-GB" w:eastAsia="ko-KR"/>
              </w:rPr>
              <w:t xml:space="preserve"> (%)</w:t>
            </w:r>
          </w:p>
        </w:tc>
        <w:tc>
          <w:tcPr>
            <w:tcW w:w="652" w:type="dxa"/>
            <w:shd w:val="clear" w:color="auto" w:fill="D9D9D9" w:themeFill="background1" w:themeFillShade="D9"/>
          </w:tcPr>
          <w:p w14:paraId="7D42C940" w14:textId="4E7F487B" w:rsidR="00CD0334" w:rsidRPr="00CD0334" w:rsidRDefault="00CD0334" w:rsidP="00CD0334">
            <w:pPr>
              <w:pStyle w:val="Els-body-text"/>
              <w:jc w:val="center"/>
              <w:rPr>
                <w:sz w:val="16"/>
                <w:szCs w:val="16"/>
                <w:lang w:val="en-GB" w:eastAsia="ko-KR"/>
              </w:rPr>
            </w:pPr>
            <w:r w:rsidRPr="00CD0334">
              <w:rPr>
                <w:rFonts w:hint="eastAsia"/>
                <w:sz w:val="16"/>
                <w:szCs w:val="16"/>
                <w:lang w:val="en-GB" w:eastAsia="ko-KR"/>
              </w:rPr>
              <w:t>S</w:t>
            </w:r>
            <w:r>
              <w:rPr>
                <w:sz w:val="16"/>
                <w:szCs w:val="16"/>
                <w:lang w:val="en-GB" w:eastAsia="ko-KR"/>
              </w:rPr>
              <w:t xml:space="preserve"> (%)</w:t>
            </w:r>
          </w:p>
        </w:tc>
        <w:tc>
          <w:tcPr>
            <w:tcW w:w="794" w:type="dxa"/>
            <w:shd w:val="clear" w:color="auto" w:fill="D9D9D9" w:themeFill="background1" w:themeFillShade="D9"/>
          </w:tcPr>
          <w:p w14:paraId="062F8B26" w14:textId="6509BEAF" w:rsidR="00CD0334" w:rsidRPr="00CD0334" w:rsidRDefault="00CD0334" w:rsidP="00CD0334">
            <w:pPr>
              <w:pStyle w:val="Els-body-text"/>
              <w:jc w:val="center"/>
              <w:rPr>
                <w:sz w:val="16"/>
                <w:szCs w:val="16"/>
                <w:lang w:val="en-GB" w:eastAsia="ko-KR"/>
              </w:rPr>
            </w:pPr>
            <w:r w:rsidRPr="00CD0334">
              <w:rPr>
                <w:rFonts w:hint="eastAsia"/>
                <w:sz w:val="16"/>
                <w:szCs w:val="16"/>
                <w:lang w:val="en-GB" w:eastAsia="ko-KR"/>
              </w:rPr>
              <w:t>A</w:t>
            </w:r>
            <w:r w:rsidRPr="00CD0334">
              <w:rPr>
                <w:sz w:val="16"/>
                <w:szCs w:val="16"/>
                <w:lang w:val="en-GB" w:eastAsia="ko-KR"/>
              </w:rPr>
              <w:t>sh</w:t>
            </w:r>
            <w:r>
              <w:rPr>
                <w:sz w:val="16"/>
                <w:szCs w:val="16"/>
                <w:lang w:val="en-GB" w:eastAsia="ko-KR"/>
              </w:rPr>
              <w:t xml:space="preserve"> (%)</w:t>
            </w:r>
          </w:p>
        </w:tc>
        <w:tc>
          <w:tcPr>
            <w:tcW w:w="992" w:type="dxa"/>
            <w:shd w:val="clear" w:color="auto" w:fill="D9D9D9" w:themeFill="background1" w:themeFillShade="D9"/>
          </w:tcPr>
          <w:p w14:paraId="68F9DDAF" w14:textId="179AE7BC" w:rsidR="00CD0334" w:rsidRPr="00CD0334" w:rsidRDefault="00CD0334" w:rsidP="00CD0334">
            <w:pPr>
              <w:pStyle w:val="Els-body-text"/>
              <w:jc w:val="center"/>
              <w:rPr>
                <w:sz w:val="16"/>
                <w:szCs w:val="16"/>
                <w:lang w:val="en-GB" w:eastAsia="ko-KR"/>
              </w:rPr>
            </w:pPr>
            <w:r w:rsidRPr="00CD0334">
              <w:rPr>
                <w:rFonts w:hint="eastAsia"/>
                <w:sz w:val="16"/>
                <w:szCs w:val="16"/>
                <w:lang w:val="en-GB" w:eastAsia="ko-KR"/>
              </w:rPr>
              <w:t>M</w:t>
            </w:r>
            <w:r w:rsidRPr="00CD0334">
              <w:rPr>
                <w:sz w:val="16"/>
                <w:szCs w:val="16"/>
                <w:lang w:val="en-GB" w:eastAsia="ko-KR"/>
              </w:rPr>
              <w:t>ois</w:t>
            </w:r>
            <w:r>
              <w:rPr>
                <w:sz w:val="16"/>
                <w:szCs w:val="16"/>
                <w:lang w:val="en-GB" w:eastAsia="ko-KR"/>
              </w:rPr>
              <w:t>. (%)</w:t>
            </w:r>
          </w:p>
        </w:tc>
        <w:tc>
          <w:tcPr>
            <w:tcW w:w="1188" w:type="dxa"/>
            <w:shd w:val="clear" w:color="auto" w:fill="D9D9D9" w:themeFill="background1" w:themeFillShade="D9"/>
          </w:tcPr>
          <w:p w14:paraId="54BA7B35" w14:textId="284D5B3F" w:rsidR="00CD0334" w:rsidRPr="00CD0334" w:rsidRDefault="00CD0334" w:rsidP="00CD0334">
            <w:pPr>
              <w:pStyle w:val="Els-body-text"/>
              <w:jc w:val="center"/>
              <w:rPr>
                <w:sz w:val="16"/>
                <w:szCs w:val="16"/>
                <w:lang w:val="en-GB" w:eastAsia="ko-KR"/>
              </w:rPr>
            </w:pPr>
            <w:r w:rsidRPr="00CD0334">
              <w:rPr>
                <w:rFonts w:hint="eastAsia"/>
                <w:sz w:val="16"/>
                <w:szCs w:val="16"/>
                <w:lang w:val="en-GB" w:eastAsia="ko-KR"/>
              </w:rPr>
              <w:t>H</w:t>
            </w:r>
            <w:r w:rsidRPr="00CD0334">
              <w:rPr>
                <w:sz w:val="16"/>
                <w:szCs w:val="16"/>
                <w:lang w:val="en-GB" w:eastAsia="ko-KR"/>
              </w:rPr>
              <w:t>HV</w:t>
            </w:r>
            <w:r>
              <w:rPr>
                <w:sz w:val="16"/>
                <w:szCs w:val="16"/>
                <w:lang w:val="en-GB" w:eastAsia="ko-KR"/>
              </w:rPr>
              <w:t xml:space="preserve"> (kcal/kg)</w:t>
            </w:r>
          </w:p>
        </w:tc>
      </w:tr>
      <w:tr w:rsidR="00CD0334" w14:paraId="4F4DD45D" w14:textId="77777777" w:rsidTr="00CD0334">
        <w:trPr>
          <w:trHeight w:val="231"/>
        </w:trPr>
        <w:tc>
          <w:tcPr>
            <w:tcW w:w="762" w:type="dxa"/>
          </w:tcPr>
          <w:p w14:paraId="04E69D03" w14:textId="53D2E67C" w:rsidR="00CD0334" w:rsidRPr="00CD0334" w:rsidRDefault="00CD0334" w:rsidP="00CD0334">
            <w:pPr>
              <w:pStyle w:val="Els-body-text"/>
              <w:jc w:val="center"/>
              <w:rPr>
                <w:sz w:val="16"/>
                <w:szCs w:val="16"/>
                <w:lang w:val="en-GB" w:eastAsia="ko-KR"/>
              </w:rPr>
            </w:pPr>
            <w:r>
              <w:rPr>
                <w:rFonts w:hint="eastAsia"/>
                <w:sz w:val="16"/>
                <w:szCs w:val="16"/>
                <w:lang w:val="en-GB" w:eastAsia="ko-KR"/>
              </w:rPr>
              <w:t>C</w:t>
            </w:r>
            <w:r>
              <w:rPr>
                <w:sz w:val="16"/>
                <w:szCs w:val="16"/>
                <w:lang w:val="en-GB" w:eastAsia="ko-KR"/>
              </w:rPr>
              <w:t>FB</w:t>
            </w:r>
          </w:p>
        </w:tc>
        <w:tc>
          <w:tcPr>
            <w:tcW w:w="651" w:type="dxa"/>
          </w:tcPr>
          <w:p w14:paraId="1E222BE6" w14:textId="625995EE" w:rsidR="00CD0334" w:rsidRPr="00CD0334" w:rsidRDefault="00CD0334" w:rsidP="00CD0334">
            <w:pPr>
              <w:pStyle w:val="Els-body-text"/>
              <w:jc w:val="center"/>
              <w:rPr>
                <w:sz w:val="16"/>
                <w:szCs w:val="16"/>
                <w:lang w:val="en-GB" w:eastAsia="ko-KR"/>
              </w:rPr>
            </w:pPr>
            <w:r>
              <w:rPr>
                <w:rFonts w:hint="eastAsia"/>
                <w:sz w:val="16"/>
                <w:szCs w:val="16"/>
                <w:lang w:val="en-GB" w:eastAsia="ko-KR"/>
              </w:rPr>
              <w:t>4</w:t>
            </w:r>
            <w:r>
              <w:rPr>
                <w:sz w:val="16"/>
                <w:szCs w:val="16"/>
                <w:lang w:val="en-GB" w:eastAsia="ko-KR"/>
              </w:rPr>
              <w:t>7.80</w:t>
            </w:r>
          </w:p>
        </w:tc>
        <w:tc>
          <w:tcPr>
            <w:tcW w:w="652" w:type="dxa"/>
          </w:tcPr>
          <w:p w14:paraId="1FFADCAE" w14:textId="5F93BFC9" w:rsidR="00CD0334" w:rsidRPr="00CD0334" w:rsidRDefault="00CD0334" w:rsidP="00CD0334">
            <w:pPr>
              <w:pStyle w:val="Els-body-text"/>
              <w:jc w:val="center"/>
              <w:rPr>
                <w:sz w:val="16"/>
                <w:szCs w:val="16"/>
                <w:lang w:val="en-GB" w:eastAsia="ko-KR"/>
              </w:rPr>
            </w:pPr>
            <w:r>
              <w:rPr>
                <w:rFonts w:hint="eastAsia"/>
                <w:sz w:val="16"/>
                <w:szCs w:val="16"/>
                <w:lang w:val="en-GB" w:eastAsia="ko-KR"/>
              </w:rPr>
              <w:t>3</w:t>
            </w:r>
            <w:r>
              <w:rPr>
                <w:sz w:val="16"/>
                <w:szCs w:val="16"/>
                <w:lang w:val="en-GB" w:eastAsia="ko-KR"/>
              </w:rPr>
              <w:t>.67</w:t>
            </w:r>
          </w:p>
        </w:tc>
        <w:tc>
          <w:tcPr>
            <w:tcW w:w="652" w:type="dxa"/>
          </w:tcPr>
          <w:p w14:paraId="75F0CA66" w14:textId="003FCA9B" w:rsidR="00CD0334" w:rsidRPr="00CD0334" w:rsidRDefault="00CD0334" w:rsidP="00CD0334">
            <w:pPr>
              <w:pStyle w:val="Els-body-text"/>
              <w:jc w:val="center"/>
              <w:rPr>
                <w:sz w:val="16"/>
                <w:szCs w:val="16"/>
                <w:lang w:val="en-GB" w:eastAsia="ko-KR"/>
              </w:rPr>
            </w:pPr>
            <w:r>
              <w:rPr>
                <w:rFonts w:hint="eastAsia"/>
                <w:sz w:val="16"/>
                <w:szCs w:val="16"/>
                <w:lang w:val="en-GB" w:eastAsia="ko-KR"/>
              </w:rPr>
              <w:t>2</w:t>
            </w:r>
            <w:r>
              <w:rPr>
                <w:sz w:val="16"/>
                <w:szCs w:val="16"/>
                <w:lang w:val="en-GB" w:eastAsia="ko-KR"/>
              </w:rPr>
              <w:t>2.5</w:t>
            </w:r>
          </w:p>
        </w:tc>
        <w:tc>
          <w:tcPr>
            <w:tcW w:w="652" w:type="dxa"/>
          </w:tcPr>
          <w:p w14:paraId="3191A2AE" w14:textId="3264B2E7" w:rsidR="00CD0334" w:rsidRPr="00CD0334" w:rsidRDefault="00CD0334" w:rsidP="00CD0334">
            <w:pPr>
              <w:pStyle w:val="Els-body-text"/>
              <w:jc w:val="center"/>
              <w:rPr>
                <w:sz w:val="16"/>
                <w:szCs w:val="16"/>
                <w:lang w:val="en-GB" w:eastAsia="ko-KR"/>
              </w:rPr>
            </w:pPr>
            <w:r>
              <w:rPr>
                <w:rFonts w:hint="eastAsia"/>
                <w:sz w:val="16"/>
                <w:szCs w:val="16"/>
                <w:lang w:val="en-GB" w:eastAsia="ko-KR"/>
              </w:rPr>
              <w:t>0</w:t>
            </w:r>
            <w:r>
              <w:rPr>
                <w:sz w:val="16"/>
                <w:szCs w:val="16"/>
                <w:lang w:val="en-GB" w:eastAsia="ko-KR"/>
              </w:rPr>
              <w:t>.75</w:t>
            </w:r>
          </w:p>
        </w:tc>
        <w:tc>
          <w:tcPr>
            <w:tcW w:w="652" w:type="dxa"/>
          </w:tcPr>
          <w:p w14:paraId="3B1AB392" w14:textId="1C1CCCF3" w:rsidR="00CD0334" w:rsidRPr="00CD0334" w:rsidRDefault="00CD0334" w:rsidP="00CD0334">
            <w:pPr>
              <w:pStyle w:val="Els-body-text"/>
              <w:jc w:val="center"/>
              <w:rPr>
                <w:sz w:val="16"/>
                <w:szCs w:val="16"/>
                <w:lang w:val="en-GB" w:eastAsia="ko-KR"/>
              </w:rPr>
            </w:pPr>
            <w:r>
              <w:rPr>
                <w:rFonts w:hint="eastAsia"/>
                <w:sz w:val="16"/>
                <w:szCs w:val="16"/>
                <w:lang w:val="en-GB" w:eastAsia="ko-KR"/>
              </w:rPr>
              <w:t>0</w:t>
            </w:r>
            <w:r>
              <w:rPr>
                <w:sz w:val="16"/>
                <w:szCs w:val="16"/>
                <w:lang w:val="en-GB" w:eastAsia="ko-KR"/>
              </w:rPr>
              <w:t>.22</w:t>
            </w:r>
          </w:p>
        </w:tc>
        <w:tc>
          <w:tcPr>
            <w:tcW w:w="794" w:type="dxa"/>
          </w:tcPr>
          <w:p w14:paraId="0A67B106" w14:textId="7A870715" w:rsidR="00CD0334" w:rsidRPr="00CD0334" w:rsidRDefault="00CD0334" w:rsidP="00CD0334">
            <w:pPr>
              <w:pStyle w:val="Els-body-text"/>
              <w:jc w:val="center"/>
              <w:rPr>
                <w:sz w:val="16"/>
                <w:szCs w:val="16"/>
                <w:lang w:val="en-GB" w:eastAsia="ko-KR"/>
              </w:rPr>
            </w:pPr>
            <w:r>
              <w:rPr>
                <w:rFonts w:hint="eastAsia"/>
                <w:sz w:val="16"/>
                <w:szCs w:val="16"/>
                <w:lang w:val="en-GB" w:eastAsia="ko-KR"/>
              </w:rPr>
              <w:t>4</w:t>
            </w:r>
            <w:r>
              <w:rPr>
                <w:sz w:val="16"/>
                <w:szCs w:val="16"/>
                <w:lang w:val="en-GB" w:eastAsia="ko-KR"/>
              </w:rPr>
              <w:t>.5</w:t>
            </w:r>
          </w:p>
        </w:tc>
        <w:tc>
          <w:tcPr>
            <w:tcW w:w="992" w:type="dxa"/>
          </w:tcPr>
          <w:p w14:paraId="46FEE382" w14:textId="15CDE340" w:rsidR="00CD0334" w:rsidRPr="00CD0334" w:rsidRDefault="00CD0334" w:rsidP="00CD0334">
            <w:pPr>
              <w:pStyle w:val="Els-body-text"/>
              <w:jc w:val="center"/>
              <w:rPr>
                <w:sz w:val="16"/>
                <w:szCs w:val="16"/>
                <w:lang w:val="en-GB" w:eastAsia="ko-KR"/>
              </w:rPr>
            </w:pPr>
            <w:r>
              <w:rPr>
                <w:rFonts w:hint="eastAsia"/>
                <w:sz w:val="16"/>
                <w:szCs w:val="16"/>
                <w:lang w:val="en-GB" w:eastAsia="ko-KR"/>
              </w:rPr>
              <w:t>2</w:t>
            </w:r>
            <w:r>
              <w:rPr>
                <w:sz w:val="16"/>
                <w:szCs w:val="16"/>
                <w:lang w:val="en-GB" w:eastAsia="ko-KR"/>
              </w:rPr>
              <w:t>0.5</w:t>
            </w:r>
          </w:p>
        </w:tc>
        <w:tc>
          <w:tcPr>
            <w:tcW w:w="1188" w:type="dxa"/>
          </w:tcPr>
          <w:p w14:paraId="3B6AD223" w14:textId="023CA2B8" w:rsidR="00CD0334" w:rsidRPr="00CD0334" w:rsidRDefault="00CD0334" w:rsidP="00CD0334">
            <w:pPr>
              <w:pStyle w:val="Els-body-text"/>
              <w:jc w:val="center"/>
              <w:rPr>
                <w:sz w:val="16"/>
                <w:szCs w:val="16"/>
                <w:lang w:val="en-GB" w:eastAsia="ko-KR"/>
              </w:rPr>
            </w:pPr>
            <w:r>
              <w:rPr>
                <w:rFonts w:hint="eastAsia"/>
                <w:sz w:val="16"/>
                <w:szCs w:val="16"/>
                <w:lang w:val="en-GB" w:eastAsia="ko-KR"/>
              </w:rPr>
              <w:t>4</w:t>
            </w:r>
            <w:r>
              <w:rPr>
                <w:sz w:val="16"/>
                <w:szCs w:val="16"/>
                <w:lang w:val="en-GB" w:eastAsia="ko-KR"/>
              </w:rPr>
              <w:t>,350</w:t>
            </w:r>
          </w:p>
        </w:tc>
      </w:tr>
      <w:tr w:rsidR="00CD0334" w14:paraId="0EE36D00" w14:textId="77777777" w:rsidTr="00CD0334">
        <w:trPr>
          <w:trHeight w:val="236"/>
        </w:trPr>
        <w:tc>
          <w:tcPr>
            <w:tcW w:w="762" w:type="dxa"/>
          </w:tcPr>
          <w:p w14:paraId="77D8E05A" w14:textId="5094D149" w:rsidR="00CD0334" w:rsidRPr="00CD0334" w:rsidRDefault="00CD0334" w:rsidP="00CD0334">
            <w:pPr>
              <w:pStyle w:val="Els-body-text"/>
              <w:jc w:val="center"/>
              <w:rPr>
                <w:sz w:val="16"/>
                <w:szCs w:val="16"/>
                <w:lang w:val="en-GB" w:eastAsia="ko-KR"/>
              </w:rPr>
            </w:pPr>
            <w:r>
              <w:rPr>
                <w:rFonts w:hint="eastAsia"/>
                <w:sz w:val="16"/>
                <w:szCs w:val="16"/>
                <w:lang w:val="en-GB" w:eastAsia="ko-KR"/>
              </w:rPr>
              <w:t>P</w:t>
            </w:r>
            <w:r>
              <w:rPr>
                <w:sz w:val="16"/>
                <w:szCs w:val="16"/>
                <w:lang w:val="en-GB" w:eastAsia="ko-KR"/>
              </w:rPr>
              <w:t>C</w:t>
            </w:r>
          </w:p>
        </w:tc>
        <w:tc>
          <w:tcPr>
            <w:tcW w:w="651" w:type="dxa"/>
          </w:tcPr>
          <w:p w14:paraId="5623E477" w14:textId="1DC32470" w:rsidR="00CD0334" w:rsidRPr="00CD0334" w:rsidRDefault="00CD0334" w:rsidP="00CD0334">
            <w:pPr>
              <w:pStyle w:val="Els-body-text"/>
              <w:jc w:val="center"/>
              <w:rPr>
                <w:sz w:val="16"/>
                <w:szCs w:val="16"/>
                <w:lang w:val="en-GB" w:eastAsia="ko-KR"/>
              </w:rPr>
            </w:pPr>
            <w:r>
              <w:rPr>
                <w:rFonts w:hint="eastAsia"/>
                <w:sz w:val="16"/>
                <w:szCs w:val="16"/>
                <w:lang w:val="en-GB" w:eastAsia="ko-KR"/>
              </w:rPr>
              <w:t>5</w:t>
            </w:r>
            <w:r>
              <w:rPr>
                <w:sz w:val="16"/>
                <w:szCs w:val="16"/>
                <w:lang w:val="en-GB" w:eastAsia="ko-KR"/>
              </w:rPr>
              <w:t>7.42</w:t>
            </w:r>
          </w:p>
        </w:tc>
        <w:tc>
          <w:tcPr>
            <w:tcW w:w="652" w:type="dxa"/>
          </w:tcPr>
          <w:p w14:paraId="3A00882A" w14:textId="7D14AE65" w:rsidR="00CD0334" w:rsidRPr="00CD0334" w:rsidRDefault="00CD0334" w:rsidP="00CD0334">
            <w:pPr>
              <w:pStyle w:val="Els-body-text"/>
              <w:jc w:val="center"/>
              <w:rPr>
                <w:sz w:val="16"/>
                <w:szCs w:val="16"/>
                <w:lang w:val="en-GB" w:eastAsia="ko-KR"/>
              </w:rPr>
            </w:pPr>
            <w:r>
              <w:rPr>
                <w:rFonts w:hint="eastAsia"/>
                <w:sz w:val="16"/>
                <w:szCs w:val="16"/>
                <w:lang w:val="en-GB" w:eastAsia="ko-KR"/>
              </w:rPr>
              <w:t>3</w:t>
            </w:r>
            <w:r>
              <w:rPr>
                <w:sz w:val="16"/>
                <w:szCs w:val="16"/>
                <w:lang w:val="en-GB" w:eastAsia="ko-KR"/>
              </w:rPr>
              <w:t>.32</w:t>
            </w:r>
          </w:p>
        </w:tc>
        <w:tc>
          <w:tcPr>
            <w:tcW w:w="652" w:type="dxa"/>
          </w:tcPr>
          <w:p w14:paraId="4174926B" w14:textId="20FDF9B5" w:rsidR="00CD0334" w:rsidRPr="00CD0334" w:rsidRDefault="00CD0334" w:rsidP="00CD0334">
            <w:pPr>
              <w:pStyle w:val="Els-body-text"/>
              <w:jc w:val="center"/>
              <w:rPr>
                <w:sz w:val="16"/>
                <w:szCs w:val="16"/>
                <w:lang w:val="en-GB" w:eastAsia="ko-KR"/>
              </w:rPr>
            </w:pPr>
            <w:r>
              <w:rPr>
                <w:rFonts w:hint="eastAsia"/>
                <w:sz w:val="16"/>
                <w:szCs w:val="16"/>
                <w:lang w:val="en-GB" w:eastAsia="ko-KR"/>
              </w:rPr>
              <w:t>1</w:t>
            </w:r>
            <w:r>
              <w:rPr>
                <w:sz w:val="16"/>
                <w:szCs w:val="16"/>
                <w:lang w:val="en-GB" w:eastAsia="ko-KR"/>
              </w:rPr>
              <w:t>1.7</w:t>
            </w:r>
          </w:p>
        </w:tc>
        <w:tc>
          <w:tcPr>
            <w:tcW w:w="652" w:type="dxa"/>
          </w:tcPr>
          <w:p w14:paraId="3021E093" w14:textId="5E4FF645" w:rsidR="00CD0334" w:rsidRPr="00CD0334" w:rsidRDefault="00CD0334" w:rsidP="00CD0334">
            <w:pPr>
              <w:pStyle w:val="Els-body-text"/>
              <w:jc w:val="center"/>
              <w:rPr>
                <w:sz w:val="16"/>
                <w:szCs w:val="16"/>
                <w:lang w:val="en-GB" w:eastAsia="ko-KR"/>
              </w:rPr>
            </w:pPr>
            <w:r>
              <w:rPr>
                <w:rFonts w:hint="eastAsia"/>
                <w:sz w:val="16"/>
                <w:szCs w:val="16"/>
                <w:lang w:val="en-GB" w:eastAsia="ko-KR"/>
              </w:rPr>
              <w:t>1</w:t>
            </w:r>
            <w:r>
              <w:rPr>
                <w:sz w:val="16"/>
                <w:szCs w:val="16"/>
                <w:lang w:val="en-GB" w:eastAsia="ko-KR"/>
              </w:rPr>
              <w:t>.15</w:t>
            </w:r>
          </w:p>
        </w:tc>
        <w:tc>
          <w:tcPr>
            <w:tcW w:w="652" w:type="dxa"/>
          </w:tcPr>
          <w:p w14:paraId="1EB128BE" w14:textId="45D8A985" w:rsidR="00CD0334" w:rsidRPr="00CD0334" w:rsidRDefault="00CD0334" w:rsidP="00CD0334">
            <w:pPr>
              <w:pStyle w:val="Els-body-text"/>
              <w:jc w:val="center"/>
              <w:rPr>
                <w:sz w:val="16"/>
                <w:szCs w:val="16"/>
                <w:lang w:val="en-GB" w:eastAsia="ko-KR"/>
              </w:rPr>
            </w:pPr>
            <w:r>
              <w:rPr>
                <w:rFonts w:hint="eastAsia"/>
                <w:sz w:val="16"/>
                <w:szCs w:val="16"/>
                <w:lang w:val="en-GB" w:eastAsia="ko-KR"/>
              </w:rPr>
              <w:t>0</w:t>
            </w:r>
            <w:r>
              <w:rPr>
                <w:sz w:val="16"/>
                <w:szCs w:val="16"/>
                <w:lang w:val="en-GB" w:eastAsia="ko-KR"/>
              </w:rPr>
              <w:t>.31</w:t>
            </w:r>
          </w:p>
        </w:tc>
        <w:tc>
          <w:tcPr>
            <w:tcW w:w="794" w:type="dxa"/>
          </w:tcPr>
          <w:p w14:paraId="0D74C37D" w14:textId="17EF5195" w:rsidR="00CD0334" w:rsidRPr="00CD0334" w:rsidRDefault="00CD0334" w:rsidP="00CD0334">
            <w:pPr>
              <w:pStyle w:val="Els-body-text"/>
              <w:jc w:val="center"/>
              <w:rPr>
                <w:sz w:val="16"/>
                <w:szCs w:val="16"/>
                <w:lang w:val="en-GB" w:eastAsia="ko-KR"/>
              </w:rPr>
            </w:pPr>
            <w:r>
              <w:rPr>
                <w:rFonts w:hint="eastAsia"/>
                <w:sz w:val="16"/>
                <w:szCs w:val="16"/>
                <w:lang w:val="en-GB" w:eastAsia="ko-KR"/>
              </w:rPr>
              <w:t>6</w:t>
            </w:r>
            <w:r>
              <w:rPr>
                <w:sz w:val="16"/>
                <w:szCs w:val="16"/>
                <w:lang w:val="en-GB" w:eastAsia="ko-KR"/>
              </w:rPr>
              <w:t>.0</w:t>
            </w:r>
          </w:p>
        </w:tc>
        <w:tc>
          <w:tcPr>
            <w:tcW w:w="992" w:type="dxa"/>
          </w:tcPr>
          <w:p w14:paraId="537C4A4E" w14:textId="1BF65600" w:rsidR="00CD0334" w:rsidRPr="00CD0334" w:rsidRDefault="00CD0334" w:rsidP="00CD0334">
            <w:pPr>
              <w:pStyle w:val="Els-body-text"/>
              <w:jc w:val="center"/>
              <w:rPr>
                <w:sz w:val="16"/>
                <w:szCs w:val="16"/>
                <w:lang w:val="en-GB" w:eastAsia="ko-KR"/>
              </w:rPr>
            </w:pPr>
            <w:r>
              <w:rPr>
                <w:rFonts w:hint="eastAsia"/>
                <w:sz w:val="16"/>
                <w:szCs w:val="16"/>
                <w:lang w:val="en-GB" w:eastAsia="ko-KR"/>
              </w:rPr>
              <w:t>2</w:t>
            </w:r>
            <w:r>
              <w:rPr>
                <w:sz w:val="16"/>
                <w:szCs w:val="16"/>
                <w:lang w:val="en-GB" w:eastAsia="ko-KR"/>
              </w:rPr>
              <w:t>0.0</w:t>
            </w:r>
          </w:p>
        </w:tc>
        <w:tc>
          <w:tcPr>
            <w:tcW w:w="1188" w:type="dxa"/>
          </w:tcPr>
          <w:p w14:paraId="623B7F81" w14:textId="6B3B1A3F" w:rsidR="00CD0334" w:rsidRPr="00CD0334" w:rsidRDefault="00CD0334" w:rsidP="00CD0334">
            <w:pPr>
              <w:pStyle w:val="Els-body-text"/>
              <w:jc w:val="center"/>
              <w:rPr>
                <w:sz w:val="16"/>
                <w:szCs w:val="16"/>
                <w:lang w:val="en-GB" w:eastAsia="ko-KR"/>
              </w:rPr>
            </w:pPr>
            <w:r>
              <w:rPr>
                <w:rFonts w:hint="eastAsia"/>
                <w:sz w:val="16"/>
                <w:szCs w:val="16"/>
                <w:lang w:val="en-GB" w:eastAsia="ko-KR"/>
              </w:rPr>
              <w:t>5</w:t>
            </w:r>
            <w:r>
              <w:rPr>
                <w:sz w:val="16"/>
                <w:szCs w:val="16"/>
                <w:lang w:val="en-GB" w:eastAsia="ko-KR"/>
              </w:rPr>
              <w:t>,300</w:t>
            </w:r>
          </w:p>
        </w:tc>
      </w:tr>
    </w:tbl>
    <w:p w14:paraId="5C4BA4FC" w14:textId="2AD8CC68" w:rsidR="001A2958" w:rsidRDefault="001A2958" w:rsidP="001A2958">
      <w:pPr>
        <w:pStyle w:val="a3"/>
        <w:keepNext/>
      </w:pPr>
      <w:r>
        <w:t xml:space="preserve">Table </w:t>
      </w:r>
      <w:r w:rsidR="00CD0334">
        <w:rPr>
          <w:lang w:eastAsia="ko-KR"/>
        </w:rPr>
        <w:t>3</w:t>
      </w:r>
      <w:r>
        <w:t xml:space="preserve"> Mass balance results and adiabatic flame temperature according to ammonia co-firing ratio.</w:t>
      </w:r>
    </w:p>
    <w:tbl>
      <w:tblPr>
        <w:tblW w:w="5000" w:type="pct"/>
        <w:tblCellMar>
          <w:left w:w="0" w:type="dxa"/>
          <w:right w:w="0" w:type="dxa"/>
        </w:tblCellMar>
        <w:tblLook w:val="0600" w:firstRow="0" w:lastRow="0" w:firstColumn="0" w:lastColumn="0" w:noHBand="1" w:noVBand="1"/>
      </w:tblPr>
      <w:tblGrid>
        <w:gridCol w:w="1514"/>
        <w:gridCol w:w="1234"/>
        <w:gridCol w:w="728"/>
        <w:gridCol w:w="676"/>
        <w:gridCol w:w="676"/>
        <w:gridCol w:w="754"/>
        <w:gridCol w:w="754"/>
        <w:gridCol w:w="750"/>
      </w:tblGrid>
      <w:tr w:rsidR="008D57C0" w:rsidRPr="008D57C0" w14:paraId="4EDD77F5" w14:textId="77777777" w:rsidTr="00CD0334">
        <w:trPr>
          <w:trHeight w:val="180"/>
        </w:trPr>
        <w:tc>
          <w:tcPr>
            <w:tcW w:w="1939" w:type="pct"/>
            <w:gridSpan w:val="2"/>
            <w:vMerge w:val="restart"/>
            <w:tcBorders>
              <w:top w:val="single" w:sz="4" w:space="0" w:color="auto"/>
              <w:left w:val="nil"/>
              <w:bottom w:val="single" w:sz="12" w:space="0" w:color="000000"/>
              <w:right w:val="single" w:sz="2" w:space="0" w:color="000000"/>
            </w:tcBorders>
            <w:shd w:val="clear" w:color="auto" w:fill="D8D8D8"/>
            <w:tcMar>
              <w:top w:w="28" w:type="dxa"/>
              <w:left w:w="102" w:type="dxa"/>
              <w:bottom w:w="28" w:type="dxa"/>
              <w:right w:w="102" w:type="dxa"/>
            </w:tcMar>
            <w:vAlign w:val="center"/>
            <w:hideMark/>
          </w:tcPr>
          <w:p w14:paraId="0BF3E710" w14:textId="77777777" w:rsidR="008D57C0" w:rsidRPr="008D57C0" w:rsidRDefault="008D57C0" w:rsidP="008D57C0">
            <w:pPr>
              <w:pStyle w:val="Els-body-text"/>
              <w:rPr>
                <w:sz w:val="16"/>
                <w:szCs w:val="16"/>
                <w:lang w:eastAsia="ko-KR"/>
              </w:rPr>
            </w:pPr>
            <w:r w:rsidRPr="008D57C0">
              <w:rPr>
                <w:rFonts w:hint="eastAsia"/>
                <w:sz w:val="16"/>
                <w:szCs w:val="16"/>
                <w:lang w:eastAsia="ko-KR"/>
              </w:rPr>
              <w:t>Design coal_BMCR load condition</w:t>
            </w:r>
          </w:p>
        </w:tc>
        <w:tc>
          <w:tcPr>
            <w:tcW w:w="514" w:type="pct"/>
            <w:vMerge w:val="restart"/>
            <w:tcBorders>
              <w:top w:val="single" w:sz="4" w:space="0" w:color="auto"/>
              <w:left w:val="single" w:sz="2" w:space="0" w:color="000000"/>
              <w:bottom w:val="single" w:sz="12" w:space="0" w:color="000000"/>
              <w:right w:val="single" w:sz="2" w:space="0" w:color="000000"/>
            </w:tcBorders>
            <w:shd w:val="clear" w:color="auto" w:fill="D8D8D8"/>
            <w:tcMar>
              <w:top w:w="28" w:type="dxa"/>
              <w:left w:w="102" w:type="dxa"/>
              <w:bottom w:w="28" w:type="dxa"/>
              <w:right w:w="102" w:type="dxa"/>
            </w:tcMar>
            <w:vAlign w:val="center"/>
            <w:hideMark/>
          </w:tcPr>
          <w:p w14:paraId="26F41AEB" w14:textId="77777777" w:rsidR="008D57C0" w:rsidRPr="008D57C0" w:rsidRDefault="008D57C0" w:rsidP="00290185">
            <w:pPr>
              <w:pStyle w:val="Els-body-text"/>
              <w:jc w:val="center"/>
              <w:rPr>
                <w:sz w:val="16"/>
                <w:szCs w:val="16"/>
                <w:lang w:eastAsia="ko-KR"/>
              </w:rPr>
            </w:pPr>
            <w:r w:rsidRPr="008D57C0">
              <w:rPr>
                <w:rFonts w:hint="eastAsia"/>
                <w:sz w:val="16"/>
                <w:szCs w:val="16"/>
                <w:lang w:eastAsia="ko-KR"/>
              </w:rPr>
              <w:t>Unit</w:t>
            </w:r>
          </w:p>
        </w:tc>
        <w:tc>
          <w:tcPr>
            <w:tcW w:w="2547" w:type="pct"/>
            <w:gridSpan w:val="5"/>
            <w:tcBorders>
              <w:top w:val="single" w:sz="4" w:space="0" w:color="auto"/>
              <w:left w:val="single" w:sz="2" w:space="0" w:color="000000"/>
              <w:bottom w:val="single" w:sz="2" w:space="0" w:color="000000"/>
              <w:right w:val="nil"/>
            </w:tcBorders>
            <w:shd w:val="clear" w:color="auto" w:fill="D8D8D8"/>
            <w:tcMar>
              <w:top w:w="28" w:type="dxa"/>
              <w:left w:w="102" w:type="dxa"/>
              <w:bottom w:w="28" w:type="dxa"/>
              <w:right w:w="102" w:type="dxa"/>
            </w:tcMar>
            <w:vAlign w:val="center"/>
            <w:hideMark/>
          </w:tcPr>
          <w:p w14:paraId="7DB9757F" w14:textId="77777777" w:rsidR="008D57C0" w:rsidRPr="008D57C0" w:rsidRDefault="008D57C0" w:rsidP="00290185">
            <w:pPr>
              <w:pStyle w:val="Els-body-text"/>
              <w:jc w:val="center"/>
              <w:rPr>
                <w:sz w:val="16"/>
                <w:szCs w:val="16"/>
                <w:lang w:eastAsia="ko-KR"/>
              </w:rPr>
            </w:pPr>
            <w:r w:rsidRPr="008D57C0">
              <w:rPr>
                <w:rFonts w:hint="eastAsia"/>
                <w:sz w:val="16"/>
                <w:szCs w:val="16"/>
                <w:lang w:eastAsia="ko-KR"/>
              </w:rPr>
              <w:t>Ammonia co-firing ratio</w:t>
            </w:r>
          </w:p>
        </w:tc>
      </w:tr>
      <w:tr w:rsidR="008D57C0" w:rsidRPr="008D57C0" w14:paraId="7263B7B4" w14:textId="77777777" w:rsidTr="00CD0334">
        <w:trPr>
          <w:trHeight w:val="180"/>
        </w:trPr>
        <w:tc>
          <w:tcPr>
            <w:tcW w:w="1939" w:type="pct"/>
            <w:gridSpan w:val="2"/>
            <w:vMerge/>
            <w:tcBorders>
              <w:top w:val="single" w:sz="12" w:space="0" w:color="000000"/>
              <w:left w:val="nil"/>
              <w:bottom w:val="single" w:sz="4" w:space="0" w:color="auto"/>
              <w:right w:val="single" w:sz="2" w:space="0" w:color="000000"/>
            </w:tcBorders>
            <w:vAlign w:val="center"/>
            <w:hideMark/>
          </w:tcPr>
          <w:p w14:paraId="214FBE5C" w14:textId="77777777" w:rsidR="008D57C0" w:rsidRPr="008D57C0" w:rsidRDefault="008D57C0" w:rsidP="008D57C0">
            <w:pPr>
              <w:pStyle w:val="Els-body-text"/>
              <w:rPr>
                <w:sz w:val="16"/>
                <w:szCs w:val="16"/>
                <w:lang w:eastAsia="ko-KR"/>
              </w:rPr>
            </w:pPr>
          </w:p>
        </w:tc>
        <w:tc>
          <w:tcPr>
            <w:tcW w:w="514" w:type="pct"/>
            <w:vMerge/>
            <w:tcBorders>
              <w:top w:val="single" w:sz="12" w:space="0" w:color="000000"/>
              <w:left w:val="single" w:sz="2" w:space="0" w:color="000000"/>
              <w:bottom w:val="single" w:sz="4" w:space="0" w:color="auto"/>
              <w:right w:val="single" w:sz="2" w:space="0" w:color="000000"/>
            </w:tcBorders>
            <w:vAlign w:val="center"/>
            <w:hideMark/>
          </w:tcPr>
          <w:p w14:paraId="0B46866C" w14:textId="77777777" w:rsidR="008D57C0" w:rsidRPr="008D57C0" w:rsidRDefault="008D57C0" w:rsidP="008D57C0">
            <w:pPr>
              <w:pStyle w:val="Els-body-text"/>
              <w:rPr>
                <w:sz w:val="16"/>
                <w:szCs w:val="16"/>
                <w:lang w:eastAsia="ko-KR"/>
              </w:rPr>
            </w:pPr>
          </w:p>
        </w:tc>
        <w:tc>
          <w:tcPr>
            <w:tcW w:w="477" w:type="pct"/>
            <w:tcBorders>
              <w:top w:val="single" w:sz="2" w:space="0" w:color="000000"/>
              <w:left w:val="single" w:sz="2" w:space="0" w:color="000000"/>
              <w:bottom w:val="single" w:sz="4" w:space="0" w:color="auto"/>
              <w:right w:val="single" w:sz="2" w:space="0" w:color="000000"/>
            </w:tcBorders>
            <w:shd w:val="clear" w:color="auto" w:fill="D8D8D8"/>
            <w:tcMar>
              <w:top w:w="28" w:type="dxa"/>
              <w:left w:w="102" w:type="dxa"/>
              <w:bottom w:w="28" w:type="dxa"/>
              <w:right w:w="102" w:type="dxa"/>
            </w:tcMar>
            <w:vAlign w:val="center"/>
            <w:hideMark/>
          </w:tcPr>
          <w:p w14:paraId="2B9F9D26" w14:textId="77777777" w:rsidR="008D57C0" w:rsidRPr="008D57C0" w:rsidRDefault="008D57C0" w:rsidP="008D57C0">
            <w:pPr>
              <w:pStyle w:val="Els-body-text"/>
              <w:jc w:val="center"/>
              <w:rPr>
                <w:sz w:val="16"/>
                <w:szCs w:val="16"/>
                <w:lang w:eastAsia="ko-KR"/>
              </w:rPr>
            </w:pPr>
            <w:r w:rsidRPr="008D57C0">
              <w:rPr>
                <w:rFonts w:hint="eastAsia"/>
                <w:sz w:val="16"/>
                <w:szCs w:val="16"/>
                <w:lang w:eastAsia="ko-KR"/>
              </w:rPr>
              <w:t>0%</w:t>
            </w:r>
          </w:p>
        </w:tc>
        <w:tc>
          <w:tcPr>
            <w:tcW w:w="477" w:type="pct"/>
            <w:tcBorders>
              <w:top w:val="single" w:sz="2" w:space="0" w:color="000000"/>
              <w:left w:val="single" w:sz="2" w:space="0" w:color="000000"/>
              <w:bottom w:val="single" w:sz="4" w:space="0" w:color="auto"/>
              <w:right w:val="single" w:sz="2" w:space="0" w:color="000000"/>
            </w:tcBorders>
            <w:shd w:val="clear" w:color="auto" w:fill="D8D8D8"/>
            <w:tcMar>
              <w:top w:w="28" w:type="dxa"/>
              <w:left w:w="102" w:type="dxa"/>
              <w:bottom w:w="28" w:type="dxa"/>
              <w:right w:w="102" w:type="dxa"/>
            </w:tcMar>
            <w:vAlign w:val="center"/>
            <w:hideMark/>
          </w:tcPr>
          <w:p w14:paraId="255C9253" w14:textId="77777777" w:rsidR="008D57C0" w:rsidRPr="008D57C0" w:rsidRDefault="008D57C0" w:rsidP="008D57C0">
            <w:pPr>
              <w:pStyle w:val="Els-body-text"/>
              <w:jc w:val="center"/>
              <w:rPr>
                <w:sz w:val="16"/>
                <w:szCs w:val="16"/>
                <w:lang w:eastAsia="ko-KR"/>
              </w:rPr>
            </w:pPr>
            <w:r w:rsidRPr="008D57C0">
              <w:rPr>
                <w:rFonts w:hint="eastAsia"/>
                <w:sz w:val="16"/>
                <w:szCs w:val="16"/>
                <w:lang w:eastAsia="ko-KR"/>
              </w:rPr>
              <w:t>5%</w:t>
            </w:r>
          </w:p>
        </w:tc>
        <w:tc>
          <w:tcPr>
            <w:tcW w:w="532" w:type="pct"/>
            <w:tcBorders>
              <w:top w:val="single" w:sz="2" w:space="0" w:color="000000"/>
              <w:left w:val="single" w:sz="2" w:space="0" w:color="000000"/>
              <w:bottom w:val="single" w:sz="4" w:space="0" w:color="auto"/>
              <w:right w:val="single" w:sz="2" w:space="0" w:color="000000"/>
            </w:tcBorders>
            <w:shd w:val="clear" w:color="auto" w:fill="D8D8D8"/>
            <w:tcMar>
              <w:top w:w="28" w:type="dxa"/>
              <w:left w:w="102" w:type="dxa"/>
              <w:bottom w:w="28" w:type="dxa"/>
              <w:right w:w="102" w:type="dxa"/>
            </w:tcMar>
            <w:vAlign w:val="center"/>
            <w:hideMark/>
          </w:tcPr>
          <w:p w14:paraId="6B66339F" w14:textId="77777777" w:rsidR="008D57C0" w:rsidRPr="008D57C0" w:rsidRDefault="008D57C0" w:rsidP="008D57C0">
            <w:pPr>
              <w:pStyle w:val="Els-body-text"/>
              <w:jc w:val="center"/>
              <w:rPr>
                <w:sz w:val="16"/>
                <w:szCs w:val="16"/>
                <w:lang w:eastAsia="ko-KR"/>
              </w:rPr>
            </w:pPr>
            <w:r w:rsidRPr="008D57C0">
              <w:rPr>
                <w:rFonts w:hint="eastAsia"/>
                <w:sz w:val="16"/>
                <w:szCs w:val="16"/>
                <w:lang w:eastAsia="ko-KR"/>
              </w:rPr>
              <w:t>10%</w:t>
            </w:r>
          </w:p>
        </w:tc>
        <w:tc>
          <w:tcPr>
            <w:tcW w:w="532" w:type="pct"/>
            <w:tcBorders>
              <w:top w:val="single" w:sz="2" w:space="0" w:color="000000"/>
              <w:left w:val="single" w:sz="2" w:space="0" w:color="000000"/>
              <w:bottom w:val="single" w:sz="4" w:space="0" w:color="auto"/>
              <w:right w:val="single" w:sz="2" w:space="0" w:color="000000"/>
            </w:tcBorders>
            <w:shd w:val="clear" w:color="auto" w:fill="D8D8D8"/>
            <w:tcMar>
              <w:top w:w="28" w:type="dxa"/>
              <w:left w:w="102" w:type="dxa"/>
              <w:bottom w:w="28" w:type="dxa"/>
              <w:right w:w="102" w:type="dxa"/>
            </w:tcMar>
            <w:vAlign w:val="center"/>
            <w:hideMark/>
          </w:tcPr>
          <w:p w14:paraId="4AD740D0" w14:textId="77777777" w:rsidR="008D57C0" w:rsidRPr="008D57C0" w:rsidRDefault="008D57C0" w:rsidP="008D57C0">
            <w:pPr>
              <w:pStyle w:val="Els-body-text"/>
              <w:jc w:val="center"/>
              <w:rPr>
                <w:sz w:val="16"/>
                <w:szCs w:val="16"/>
                <w:lang w:eastAsia="ko-KR"/>
              </w:rPr>
            </w:pPr>
            <w:r w:rsidRPr="008D57C0">
              <w:rPr>
                <w:rFonts w:hint="eastAsia"/>
                <w:sz w:val="16"/>
                <w:szCs w:val="16"/>
                <w:lang w:eastAsia="ko-KR"/>
              </w:rPr>
              <w:t>20%</w:t>
            </w:r>
          </w:p>
        </w:tc>
        <w:tc>
          <w:tcPr>
            <w:tcW w:w="529" w:type="pct"/>
            <w:tcBorders>
              <w:top w:val="single" w:sz="2" w:space="0" w:color="000000"/>
              <w:left w:val="single" w:sz="2" w:space="0" w:color="000000"/>
              <w:bottom w:val="single" w:sz="4" w:space="0" w:color="auto"/>
              <w:right w:val="nil"/>
            </w:tcBorders>
            <w:shd w:val="clear" w:color="auto" w:fill="D8D8D8"/>
            <w:tcMar>
              <w:top w:w="28" w:type="dxa"/>
              <w:left w:w="102" w:type="dxa"/>
              <w:bottom w:w="28" w:type="dxa"/>
              <w:right w:w="102" w:type="dxa"/>
            </w:tcMar>
            <w:vAlign w:val="center"/>
            <w:hideMark/>
          </w:tcPr>
          <w:p w14:paraId="3EDE54B0" w14:textId="77777777" w:rsidR="008D57C0" w:rsidRPr="008D57C0" w:rsidRDefault="008D57C0" w:rsidP="008D57C0">
            <w:pPr>
              <w:pStyle w:val="Els-body-text"/>
              <w:jc w:val="center"/>
              <w:rPr>
                <w:sz w:val="16"/>
                <w:szCs w:val="16"/>
                <w:lang w:eastAsia="ko-KR"/>
              </w:rPr>
            </w:pPr>
            <w:r w:rsidRPr="008D57C0">
              <w:rPr>
                <w:rFonts w:hint="eastAsia"/>
                <w:sz w:val="16"/>
                <w:szCs w:val="16"/>
                <w:lang w:eastAsia="ko-KR"/>
              </w:rPr>
              <w:t>30%</w:t>
            </w:r>
          </w:p>
        </w:tc>
      </w:tr>
      <w:tr w:rsidR="008D57C0" w:rsidRPr="008D57C0" w14:paraId="282A5404" w14:textId="77777777" w:rsidTr="00CD0334">
        <w:trPr>
          <w:trHeight w:val="180"/>
        </w:trPr>
        <w:tc>
          <w:tcPr>
            <w:tcW w:w="1939" w:type="pct"/>
            <w:gridSpan w:val="2"/>
            <w:tcBorders>
              <w:top w:val="single" w:sz="4" w:space="0" w:color="auto"/>
              <w:left w:val="nil"/>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768B7770" w14:textId="77777777" w:rsidR="008D57C0" w:rsidRPr="008D57C0" w:rsidRDefault="008D57C0" w:rsidP="008D57C0">
            <w:pPr>
              <w:pStyle w:val="Els-body-text"/>
              <w:jc w:val="left"/>
              <w:rPr>
                <w:sz w:val="16"/>
                <w:szCs w:val="16"/>
                <w:lang w:eastAsia="ko-KR"/>
              </w:rPr>
            </w:pPr>
            <w:r w:rsidRPr="008D57C0">
              <w:rPr>
                <w:rFonts w:hint="eastAsia"/>
                <w:sz w:val="16"/>
                <w:szCs w:val="16"/>
                <w:lang w:eastAsia="ko-KR"/>
              </w:rPr>
              <w:t>Coal flow rate</w:t>
            </w:r>
          </w:p>
        </w:tc>
        <w:tc>
          <w:tcPr>
            <w:tcW w:w="514" w:type="pct"/>
            <w:tcBorders>
              <w:top w:val="single" w:sz="4" w:space="0" w:color="auto"/>
              <w:left w:val="single" w:sz="2" w:space="0" w:color="000000"/>
              <w:bottom w:val="single" w:sz="2" w:space="0" w:color="000000"/>
              <w:right w:val="single" w:sz="4" w:space="0" w:color="000000"/>
            </w:tcBorders>
            <w:shd w:val="clear" w:color="auto" w:fill="auto"/>
            <w:tcMar>
              <w:top w:w="28" w:type="dxa"/>
              <w:left w:w="102" w:type="dxa"/>
              <w:bottom w:w="28" w:type="dxa"/>
              <w:right w:w="102" w:type="dxa"/>
            </w:tcMar>
            <w:vAlign w:val="center"/>
            <w:hideMark/>
          </w:tcPr>
          <w:p w14:paraId="5F71F80D" w14:textId="77777777" w:rsidR="008D57C0" w:rsidRPr="008D57C0" w:rsidRDefault="008D57C0" w:rsidP="008D57C0">
            <w:pPr>
              <w:pStyle w:val="Els-body-text"/>
              <w:jc w:val="center"/>
              <w:rPr>
                <w:sz w:val="16"/>
                <w:szCs w:val="16"/>
                <w:lang w:eastAsia="ko-KR"/>
              </w:rPr>
            </w:pPr>
            <w:r w:rsidRPr="008D57C0">
              <w:rPr>
                <w:rFonts w:hint="eastAsia"/>
                <w:sz w:val="16"/>
                <w:szCs w:val="16"/>
                <w:lang w:eastAsia="ko-KR"/>
              </w:rPr>
              <w:t>kg/s</w:t>
            </w:r>
          </w:p>
        </w:tc>
        <w:tc>
          <w:tcPr>
            <w:tcW w:w="477"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45E802"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76.20</w:t>
            </w:r>
          </w:p>
        </w:tc>
        <w:tc>
          <w:tcPr>
            <w:tcW w:w="477"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E27409"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72.39</w:t>
            </w:r>
          </w:p>
        </w:tc>
        <w:tc>
          <w:tcPr>
            <w:tcW w:w="532"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8A58E9"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68.58</w:t>
            </w:r>
          </w:p>
        </w:tc>
        <w:tc>
          <w:tcPr>
            <w:tcW w:w="532"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819BBE"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60.96</w:t>
            </w:r>
          </w:p>
        </w:tc>
        <w:tc>
          <w:tcPr>
            <w:tcW w:w="529"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408B3C"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53.34</w:t>
            </w:r>
          </w:p>
        </w:tc>
      </w:tr>
      <w:tr w:rsidR="008D57C0" w:rsidRPr="008D57C0" w14:paraId="6FCF4DB7" w14:textId="77777777" w:rsidTr="00CD0334">
        <w:trPr>
          <w:trHeight w:val="180"/>
        </w:trPr>
        <w:tc>
          <w:tcPr>
            <w:tcW w:w="1939" w:type="pct"/>
            <w:gridSpan w:val="2"/>
            <w:tcBorders>
              <w:top w:val="single" w:sz="2" w:space="0" w:color="000000"/>
              <w:left w:val="nil"/>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7AE5E169" w14:textId="77777777" w:rsidR="008D57C0" w:rsidRPr="008D57C0" w:rsidRDefault="008D57C0" w:rsidP="008D57C0">
            <w:pPr>
              <w:pStyle w:val="Els-body-text"/>
              <w:jc w:val="left"/>
              <w:rPr>
                <w:sz w:val="16"/>
                <w:szCs w:val="16"/>
                <w:lang w:eastAsia="ko-KR"/>
              </w:rPr>
            </w:pPr>
            <w:r w:rsidRPr="008D57C0">
              <w:rPr>
                <w:rFonts w:hint="eastAsia"/>
                <w:sz w:val="16"/>
                <w:szCs w:val="16"/>
                <w:lang w:eastAsia="ko-KR"/>
              </w:rPr>
              <w:t>Ammonia flow rate</w:t>
            </w:r>
          </w:p>
        </w:tc>
        <w:tc>
          <w:tcPr>
            <w:tcW w:w="514" w:type="pct"/>
            <w:tcBorders>
              <w:top w:val="single" w:sz="2" w:space="0" w:color="000000"/>
              <w:left w:val="single" w:sz="2" w:space="0" w:color="000000"/>
              <w:bottom w:val="single" w:sz="2" w:space="0" w:color="000000"/>
              <w:right w:val="single" w:sz="4" w:space="0" w:color="000000"/>
            </w:tcBorders>
            <w:shd w:val="clear" w:color="auto" w:fill="auto"/>
            <w:tcMar>
              <w:top w:w="28" w:type="dxa"/>
              <w:left w:w="102" w:type="dxa"/>
              <w:bottom w:w="28" w:type="dxa"/>
              <w:right w:w="102" w:type="dxa"/>
            </w:tcMar>
            <w:vAlign w:val="center"/>
            <w:hideMark/>
          </w:tcPr>
          <w:p w14:paraId="60056FAE" w14:textId="77777777" w:rsidR="008D57C0" w:rsidRPr="008D57C0" w:rsidRDefault="008D57C0" w:rsidP="008D57C0">
            <w:pPr>
              <w:pStyle w:val="Els-body-text"/>
              <w:jc w:val="center"/>
              <w:rPr>
                <w:sz w:val="16"/>
                <w:szCs w:val="16"/>
                <w:lang w:eastAsia="ko-KR"/>
              </w:rPr>
            </w:pPr>
            <w:r w:rsidRPr="008D57C0">
              <w:rPr>
                <w:rFonts w:hint="eastAsia"/>
                <w:sz w:val="16"/>
                <w:szCs w:val="16"/>
                <w:lang w:eastAsia="ko-KR"/>
              </w:rPr>
              <w:t>kg/s</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9A4DD6"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0</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A8EC98"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3.08</w:t>
            </w: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898BF6"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6.16</w:t>
            </w: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CB493E"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12.32</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C58013"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18.47</w:t>
            </w:r>
          </w:p>
        </w:tc>
      </w:tr>
      <w:tr w:rsidR="008D57C0" w:rsidRPr="008D57C0" w14:paraId="3FAEF06C" w14:textId="77777777" w:rsidTr="00CD0334">
        <w:trPr>
          <w:trHeight w:val="180"/>
        </w:trPr>
        <w:tc>
          <w:tcPr>
            <w:tcW w:w="1939" w:type="pct"/>
            <w:gridSpan w:val="2"/>
            <w:tcBorders>
              <w:top w:val="single" w:sz="2" w:space="0" w:color="000000"/>
              <w:left w:val="nil"/>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1B1BCCC8" w14:textId="77777777" w:rsidR="008D57C0" w:rsidRPr="008D57C0" w:rsidRDefault="008D57C0" w:rsidP="008D57C0">
            <w:pPr>
              <w:pStyle w:val="Els-body-text"/>
              <w:jc w:val="left"/>
              <w:rPr>
                <w:sz w:val="16"/>
                <w:szCs w:val="16"/>
                <w:lang w:eastAsia="ko-KR"/>
              </w:rPr>
            </w:pPr>
            <w:r w:rsidRPr="008D57C0">
              <w:rPr>
                <w:rFonts w:hint="eastAsia"/>
                <w:sz w:val="16"/>
                <w:szCs w:val="16"/>
                <w:lang w:eastAsia="ko-KR"/>
              </w:rPr>
              <w:t>Total air flow rate</w:t>
            </w:r>
          </w:p>
        </w:tc>
        <w:tc>
          <w:tcPr>
            <w:tcW w:w="514" w:type="pct"/>
            <w:tcBorders>
              <w:top w:val="single" w:sz="2" w:space="0" w:color="000000"/>
              <w:left w:val="single" w:sz="2" w:space="0" w:color="000000"/>
              <w:bottom w:val="single" w:sz="2" w:space="0" w:color="000000"/>
              <w:right w:val="single" w:sz="4" w:space="0" w:color="000000"/>
            </w:tcBorders>
            <w:shd w:val="clear" w:color="auto" w:fill="auto"/>
            <w:tcMar>
              <w:top w:w="28" w:type="dxa"/>
              <w:left w:w="102" w:type="dxa"/>
              <w:bottom w:w="28" w:type="dxa"/>
              <w:right w:w="102" w:type="dxa"/>
            </w:tcMar>
            <w:vAlign w:val="center"/>
            <w:hideMark/>
          </w:tcPr>
          <w:p w14:paraId="148BE5A8" w14:textId="77777777" w:rsidR="008D57C0" w:rsidRPr="008D57C0" w:rsidRDefault="008D57C0" w:rsidP="008D57C0">
            <w:pPr>
              <w:pStyle w:val="Els-body-text"/>
              <w:jc w:val="center"/>
              <w:rPr>
                <w:sz w:val="16"/>
                <w:szCs w:val="16"/>
                <w:lang w:eastAsia="ko-KR"/>
              </w:rPr>
            </w:pPr>
            <w:r w:rsidRPr="008D57C0">
              <w:rPr>
                <w:rFonts w:hint="eastAsia"/>
                <w:sz w:val="16"/>
                <w:szCs w:val="16"/>
                <w:lang w:eastAsia="ko-KR"/>
              </w:rPr>
              <w:t>kg/s</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F61F11"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532.32</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12C27D"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528.31</w:t>
            </w: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BC2428"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524.31</w:t>
            </w: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C3D7D8"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516.29</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3C2D9F"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508.27</w:t>
            </w:r>
          </w:p>
        </w:tc>
      </w:tr>
      <w:tr w:rsidR="008D57C0" w:rsidRPr="008D57C0" w14:paraId="4B5CFB0D" w14:textId="77777777" w:rsidTr="00CD0334">
        <w:trPr>
          <w:trHeight w:val="180"/>
        </w:trPr>
        <w:tc>
          <w:tcPr>
            <w:tcW w:w="1939" w:type="pct"/>
            <w:gridSpan w:val="2"/>
            <w:tcBorders>
              <w:top w:val="single" w:sz="2" w:space="0" w:color="000000"/>
              <w:left w:val="nil"/>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hideMark/>
          </w:tcPr>
          <w:p w14:paraId="354A39E6" w14:textId="77777777" w:rsidR="008D57C0" w:rsidRPr="008D57C0" w:rsidRDefault="008D57C0" w:rsidP="008D57C0">
            <w:pPr>
              <w:pStyle w:val="Els-body-text"/>
              <w:rPr>
                <w:b/>
                <w:bCs/>
                <w:sz w:val="16"/>
                <w:szCs w:val="16"/>
                <w:lang w:eastAsia="ko-KR"/>
              </w:rPr>
            </w:pPr>
            <w:r w:rsidRPr="008D57C0">
              <w:rPr>
                <w:rFonts w:hint="eastAsia"/>
                <w:b/>
                <w:bCs/>
                <w:sz w:val="16"/>
                <w:szCs w:val="16"/>
                <w:lang w:eastAsia="ko-KR"/>
              </w:rPr>
              <w:t>Total flue gas flow rate</w:t>
            </w:r>
          </w:p>
        </w:tc>
        <w:tc>
          <w:tcPr>
            <w:tcW w:w="514" w:type="pct"/>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28" w:type="dxa"/>
              <w:left w:w="102" w:type="dxa"/>
              <w:bottom w:w="28" w:type="dxa"/>
              <w:right w:w="102" w:type="dxa"/>
            </w:tcMar>
            <w:vAlign w:val="center"/>
            <w:hideMark/>
          </w:tcPr>
          <w:p w14:paraId="7B9BFE26" w14:textId="77777777" w:rsidR="008D57C0" w:rsidRPr="008D57C0" w:rsidRDefault="008D57C0" w:rsidP="008D57C0">
            <w:pPr>
              <w:pStyle w:val="Els-body-text"/>
              <w:jc w:val="center"/>
              <w:rPr>
                <w:b/>
                <w:bCs/>
                <w:sz w:val="16"/>
                <w:szCs w:val="16"/>
                <w:lang w:eastAsia="ko-KR"/>
              </w:rPr>
            </w:pPr>
            <w:r w:rsidRPr="008D57C0">
              <w:rPr>
                <w:rFonts w:hint="eastAsia"/>
                <w:b/>
                <w:bCs/>
                <w:sz w:val="16"/>
                <w:szCs w:val="16"/>
                <w:lang w:eastAsia="ko-KR"/>
              </w:rPr>
              <w:t>kg/s</w:t>
            </w:r>
          </w:p>
        </w:tc>
        <w:tc>
          <w:tcPr>
            <w:tcW w:w="4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2A71F097"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604.83</w:t>
            </w:r>
          </w:p>
        </w:tc>
        <w:tc>
          <w:tcPr>
            <w:tcW w:w="4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7027A333"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600.28</w:t>
            </w:r>
          </w:p>
        </w:tc>
        <w:tc>
          <w:tcPr>
            <w:tcW w:w="5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3BACCD45"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595.73</w:t>
            </w:r>
          </w:p>
        </w:tc>
        <w:tc>
          <w:tcPr>
            <w:tcW w:w="5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6F4B9FB6"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586.63</w:t>
            </w:r>
          </w:p>
        </w:tc>
        <w:tc>
          <w:tcPr>
            <w:tcW w:w="5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433B0C8B"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577.53</w:t>
            </w:r>
          </w:p>
        </w:tc>
      </w:tr>
      <w:tr w:rsidR="008D57C0" w:rsidRPr="008D57C0" w14:paraId="6F720607" w14:textId="77777777" w:rsidTr="00CD0334">
        <w:trPr>
          <w:trHeight w:val="180"/>
        </w:trPr>
        <w:tc>
          <w:tcPr>
            <w:tcW w:w="1939" w:type="pct"/>
            <w:gridSpan w:val="2"/>
            <w:tcBorders>
              <w:top w:val="single" w:sz="2" w:space="0" w:color="000000"/>
              <w:left w:val="nil"/>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hideMark/>
          </w:tcPr>
          <w:p w14:paraId="4917F14C" w14:textId="77777777" w:rsidR="008D57C0" w:rsidRPr="008D57C0" w:rsidRDefault="008D57C0" w:rsidP="008D57C0">
            <w:pPr>
              <w:pStyle w:val="Els-body-text"/>
              <w:rPr>
                <w:b/>
                <w:bCs/>
                <w:sz w:val="16"/>
                <w:szCs w:val="16"/>
                <w:lang w:eastAsia="ko-KR"/>
              </w:rPr>
            </w:pPr>
            <w:r w:rsidRPr="008D57C0">
              <w:rPr>
                <w:rFonts w:hint="eastAsia"/>
                <w:b/>
                <w:bCs/>
                <w:sz w:val="16"/>
                <w:szCs w:val="16"/>
                <w:lang w:eastAsia="ko-KR"/>
              </w:rPr>
              <w:t>Solid circulation rate</w:t>
            </w:r>
          </w:p>
        </w:tc>
        <w:tc>
          <w:tcPr>
            <w:tcW w:w="514" w:type="pct"/>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28" w:type="dxa"/>
              <w:left w:w="102" w:type="dxa"/>
              <w:bottom w:w="28" w:type="dxa"/>
              <w:right w:w="102" w:type="dxa"/>
            </w:tcMar>
            <w:vAlign w:val="center"/>
            <w:hideMark/>
          </w:tcPr>
          <w:p w14:paraId="3690C6B4" w14:textId="77777777" w:rsidR="008D57C0" w:rsidRPr="008D57C0" w:rsidRDefault="008D57C0" w:rsidP="008D57C0">
            <w:pPr>
              <w:pStyle w:val="Els-body-text"/>
              <w:jc w:val="center"/>
              <w:rPr>
                <w:b/>
                <w:bCs/>
                <w:sz w:val="16"/>
                <w:szCs w:val="16"/>
                <w:lang w:eastAsia="ko-KR"/>
              </w:rPr>
            </w:pPr>
            <w:r w:rsidRPr="008D57C0">
              <w:rPr>
                <w:rFonts w:hint="eastAsia"/>
                <w:b/>
                <w:bCs/>
                <w:sz w:val="16"/>
                <w:szCs w:val="16"/>
                <w:lang w:eastAsia="ko-KR"/>
              </w:rPr>
              <w:t>kg/s</w:t>
            </w:r>
          </w:p>
        </w:tc>
        <w:tc>
          <w:tcPr>
            <w:tcW w:w="4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6B23B5EA"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3,093</w:t>
            </w:r>
          </w:p>
        </w:tc>
        <w:tc>
          <w:tcPr>
            <w:tcW w:w="4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5406B9A2"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3,069</w:t>
            </w:r>
          </w:p>
        </w:tc>
        <w:tc>
          <w:tcPr>
            <w:tcW w:w="5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210C5DC9"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3,046</w:t>
            </w:r>
          </w:p>
        </w:tc>
        <w:tc>
          <w:tcPr>
            <w:tcW w:w="5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7276AB01"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2,999</w:t>
            </w:r>
          </w:p>
        </w:tc>
        <w:tc>
          <w:tcPr>
            <w:tcW w:w="5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4D8B2E0A"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2,953</w:t>
            </w:r>
          </w:p>
        </w:tc>
      </w:tr>
      <w:tr w:rsidR="008D57C0" w:rsidRPr="008D57C0" w14:paraId="6864EE39" w14:textId="77777777" w:rsidTr="00CD0334">
        <w:trPr>
          <w:trHeight w:val="180"/>
        </w:trPr>
        <w:tc>
          <w:tcPr>
            <w:tcW w:w="1068" w:type="pct"/>
            <w:vMerge w:val="restart"/>
            <w:tcBorders>
              <w:top w:val="single" w:sz="2" w:space="0" w:color="000000"/>
              <w:left w:val="nil"/>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29EF2A72" w14:textId="77777777" w:rsidR="008D57C0" w:rsidRDefault="008D57C0" w:rsidP="003F69BE">
            <w:pPr>
              <w:pStyle w:val="Els-body-text"/>
              <w:jc w:val="left"/>
              <w:rPr>
                <w:sz w:val="16"/>
                <w:szCs w:val="16"/>
                <w:lang w:eastAsia="ko-KR"/>
              </w:rPr>
            </w:pPr>
            <w:r>
              <w:rPr>
                <w:rFonts w:hint="eastAsia"/>
                <w:sz w:val="16"/>
                <w:szCs w:val="16"/>
                <w:lang w:eastAsia="ko-KR"/>
              </w:rPr>
              <w:t>F</w:t>
            </w:r>
            <w:r>
              <w:rPr>
                <w:sz w:val="16"/>
                <w:szCs w:val="16"/>
                <w:lang w:eastAsia="ko-KR"/>
              </w:rPr>
              <w:t>lue gas composition</w:t>
            </w:r>
          </w:p>
          <w:p w14:paraId="045E36EE" w14:textId="2F80B106" w:rsidR="008D57C0" w:rsidRPr="008D57C0" w:rsidRDefault="008D57C0" w:rsidP="003F69BE">
            <w:pPr>
              <w:pStyle w:val="Els-body-text"/>
              <w:jc w:val="left"/>
              <w:rPr>
                <w:sz w:val="16"/>
                <w:szCs w:val="16"/>
                <w:lang w:eastAsia="ko-KR"/>
              </w:rPr>
            </w:pPr>
            <w:r>
              <w:rPr>
                <w:rFonts w:hint="eastAsia"/>
                <w:sz w:val="16"/>
                <w:szCs w:val="16"/>
                <w:lang w:eastAsia="ko-KR"/>
              </w:rPr>
              <w:lastRenderedPageBreak/>
              <w:t>(</w:t>
            </w:r>
            <w:r>
              <w:rPr>
                <w:sz w:val="16"/>
                <w:szCs w:val="16"/>
                <w:lang w:eastAsia="ko-KR"/>
              </w:rPr>
              <w:t>Mass fraction)</w:t>
            </w:r>
          </w:p>
        </w:tc>
        <w:tc>
          <w:tcPr>
            <w:tcW w:w="871" w:type="pct"/>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2D6DE9A8" w14:textId="77777777" w:rsidR="008D57C0" w:rsidRPr="008D57C0" w:rsidRDefault="008D57C0" w:rsidP="008D57C0">
            <w:pPr>
              <w:pStyle w:val="Els-body-text"/>
              <w:rPr>
                <w:sz w:val="16"/>
                <w:szCs w:val="16"/>
                <w:lang w:eastAsia="ko-KR"/>
              </w:rPr>
            </w:pPr>
            <w:r w:rsidRPr="008D57C0">
              <w:rPr>
                <w:rFonts w:hint="eastAsia"/>
                <w:sz w:val="16"/>
                <w:szCs w:val="16"/>
                <w:lang w:eastAsia="ko-KR"/>
              </w:rPr>
              <w:lastRenderedPageBreak/>
              <w:t>O</w:t>
            </w:r>
            <w:r w:rsidRPr="008D57C0">
              <w:rPr>
                <w:rFonts w:hint="eastAsia"/>
                <w:sz w:val="16"/>
                <w:szCs w:val="16"/>
                <w:vertAlign w:val="subscript"/>
                <w:lang w:eastAsia="ko-KR"/>
              </w:rPr>
              <w:t>2</w:t>
            </w:r>
          </w:p>
        </w:tc>
        <w:tc>
          <w:tcPr>
            <w:tcW w:w="514" w:type="pct"/>
            <w:tcBorders>
              <w:top w:val="single" w:sz="2" w:space="0" w:color="000000"/>
              <w:left w:val="single" w:sz="2" w:space="0" w:color="000000"/>
              <w:bottom w:val="single" w:sz="2" w:space="0" w:color="000000"/>
              <w:right w:val="single" w:sz="4" w:space="0" w:color="000000"/>
            </w:tcBorders>
            <w:shd w:val="clear" w:color="auto" w:fill="auto"/>
            <w:tcMar>
              <w:top w:w="28" w:type="dxa"/>
              <w:left w:w="102" w:type="dxa"/>
              <w:bottom w:w="28" w:type="dxa"/>
              <w:right w:w="102" w:type="dxa"/>
            </w:tcMar>
            <w:vAlign w:val="center"/>
            <w:hideMark/>
          </w:tcPr>
          <w:p w14:paraId="6CA9976A" w14:textId="77777777" w:rsidR="008D57C0" w:rsidRPr="008D57C0" w:rsidRDefault="008D57C0" w:rsidP="008D57C0">
            <w:pPr>
              <w:pStyle w:val="Els-body-text"/>
              <w:jc w:val="center"/>
              <w:rPr>
                <w:sz w:val="16"/>
                <w:szCs w:val="16"/>
                <w:lang w:eastAsia="ko-KR"/>
              </w:rPr>
            </w:pPr>
            <w:r w:rsidRPr="008D57C0">
              <w:rPr>
                <w:rFonts w:hint="eastAsia"/>
                <w:sz w:val="16"/>
                <w:szCs w:val="16"/>
                <w:lang w:eastAsia="ko-KR"/>
              </w:rPr>
              <w:t>%</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229EFD"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3.38</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3A35E3"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3.37</w:t>
            </w: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322779"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3.36</w:t>
            </w: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2116E9"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3.35</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78CD33"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3.33</w:t>
            </w:r>
          </w:p>
        </w:tc>
      </w:tr>
      <w:tr w:rsidR="008D57C0" w:rsidRPr="008D57C0" w14:paraId="6BB7B7D9" w14:textId="77777777" w:rsidTr="00CD0334">
        <w:trPr>
          <w:trHeight w:val="180"/>
        </w:trPr>
        <w:tc>
          <w:tcPr>
            <w:tcW w:w="1068" w:type="pct"/>
            <w:vMerge/>
            <w:tcBorders>
              <w:top w:val="single" w:sz="2" w:space="0" w:color="000000"/>
              <w:left w:val="nil"/>
              <w:bottom w:val="single" w:sz="2" w:space="0" w:color="000000"/>
              <w:right w:val="single" w:sz="2" w:space="0" w:color="000000"/>
            </w:tcBorders>
            <w:vAlign w:val="center"/>
            <w:hideMark/>
          </w:tcPr>
          <w:p w14:paraId="0313F29A" w14:textId="77777777" w:rsidR="008D57C0" w:rsidRPr="008D57C0" w:rsidRDefault="008D57C0" w:rsidP="008D57C0">
            <w:pPr>
              <w:pStyle w:val="Els-body-text"/>
              <w:rPr>
                <w:sz w:val="16"/>
                <w:szCs w:val="16"/>
                <w:lang w:eastAsia="ko-KR"/>
              </w:rPr>
            </w:pPr>
          </w:p>
        </w:tc>
        <w:tc>
          <w:tcPr>
            <w:tcW w:w="871" w:type="pct"/>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2F4EB505" w14:textId="77777777" w:rsidR="008D57C0" w:rsidRPr="008D57C0" w:rsidRDefault="008D57C0" w:rsidP="008D57C0">
            <w:pPr>
              <w:pStyle w:val="Els-body-text"/>
              <w:rPr>
                <w:sz w:val="16"/>
                <w:szCs w:val="16"/>
                <w:lang w:eastAsia="ko-KR"/>
              </w:rPr>
            </w:pPr>
            <w:r w:rsidRPr="008D57C0">
              <w:rPr>
                <w:rFonts w:hint="eastAsia"/>
                <w:sz w:val="16"/>
                <w:szCs w:val="16"/>
                <w:lang w:eastAsia="ko-KR"/>
              </w:rPr>
              <w:t>N</w:t>
            </w:r>
            <w:r w:rsidRPr="008D57C0">
              <w:rPr>
                <w:rFonts w:hint="eastAsia"/>
                <w:sz w:val="16"/>
                <w:szCs w:val="16"/>
                <w:vertAlign w:val="subscript"/>
                <w:lang w:eastAsia="ko-KR"/>
              </w:rPr>
              <w:t>2</w:t>
            </w:r>
          </w:p>
        </w:tc>
        <w:tc>
          <w:tcPr>
            <w:tcW w:w="514" w:type="pct"/>
            <w:tcBorders>
              <w:top w:val="single" w:sz="2" w:space="0" w:color="000000"/>
              <w:left w:val="single" w:sz="2" w:space="0" w:color="000000"/>
              <w:bottom w:val="single" w:sz="2" w:space="0" w:color="000000"/>
              <w:right w:val="single" w:sz="4" w:space="0" w:color="000000"/>
            </w:tcBorders>
            <w:shd w:val="clear" w:color="auto" w:fill="auto"/>
            <w:tcMar>
              <w:top w:w="28" w:type="dxa"/>
              <w:left w:w="102" w:type="dxa"/>
              <w:bottom w:w="28" w:type="dxa"/>
              <w:right w:w="102" w:type="dxa"/>
            </w:tcMar>
            <w:vAlign w:val="center"/>
            <w:hideMark/>
          </w:tcPr>
          <w:p w14:paraId="798347B3" w14:textId="77777777" w:rsidR="008D57C0" w:rsidRPr="008D57C0" w:rsidRDefault="008D57C0" w:rsidP="008D57C0">
            <w:pPr>
              <w:pStyle w:val="Els-body-text"/>
              <w:jc w:val="center"/>
              <w:rPr>
                <w:sz w:val="16"/>
                <w:szCs w:val="16"/>
                <w:lang w:eastAsia="ko-KR"/>
              </w:rPr>
            </w:pPr>
            <w:r w:rsidRPr="008D57C0">
              <w:rPr>
                <w:rFonts w:hint="eastAsia"/>
                <w:sz w:val="16"/>
                <w:szCs w:val="16"/>
                <w:lang w:eastAsia="ko-KR"/>
              </w:rPr>
              <w:t>%</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62886D"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66.75</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1894BE"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67.17</w:t>
            </w: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0EFA03"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67.60</w:t>
            </w: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9A3FBE"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68.47</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8C697C" w14:textId="77777777" w:rsidR="008D57C0" w:rsidRPr="008D57C0" w:rsidRDefault="008D57C0" w:rsidP="008D57C0">
            <w:pPr>
              <w:pStyle w:val="Els-body-text"/>
              <w:jc w:val="right"/>
              <w:rPr>
                <w:sz w:val="16"/>
                <w:szCs w:val="16"/>
                <w:lang w:eastAsia="ko-KR"/>
              </w:rPr>
            </w:pPr>
            <w:r w:rsidRPr="008D57C0">
              <w:rPr>
                <w:rFonts w:hint="eastAsia"/>
                <w:sz w:val="16"/>
                <w:szCs w:val="16"/>
                <w:lang w:eastAsia="ko-KR"/>
              </w:rPr>
              <w:t>69.36</w:t>
            </w:r>
          </w:p>
        </w:tc>
      </w:tr>
      <w:tr w:rsidR="008D57C0" w:rsidRPr="008D57C0" w14:paraId="48C7FE00" w14:textId="77777777" w:rsidTr="00CD0334">
        <w:trPr>
          <w:trHeight w:val="180"/>
        </w:trPr>
        <w:tc>
          <w:tcPr>
            <w:tcW w:w="1068" w:type="pct"/>
            <w:vMerge/>
            <w:tcBorders>
              <w:top w:val="single" w:sz="2" w:space="0" w:color="000000"/>
              <w:left w:val="nil"/>
              <w:bottom w:val="single" w:sz="2" w:space="0" w:color="000000"/>
              <w:right w:val="single" w:sz="2" w:space="0" w:color="000000"/>
            </w:tcBorders>
            <w:vAlign w:val="center"/>
            <w:hideMark/>
          </w:tcPr>
          <w:p w14:paraId="0214FF24" w14:textId="77777777" w:rsidR="008D57C0" w:rsidRPr="008D57C0" w:rsidRDefault="008D57C0" w:rsidP="008D57C0">
            <w:pPr>
              <w:pStyle w:val="Els-body-text"/>
              <w:rPr>
                <w:sz w:val="16"/>
                <w:szCs w:val="16"/>
                <w:lang w:eastAsia="ko-KR"/>
              </w:rPr>
            </w:pPr>
          </w:p>
        </w:tc>
        <w:tc>
          <w:tcPr>
            <w:tcW w:w="871"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hideMark/>
          </w:tcPr>
          <w:p w14:paraId="7A8CAC91" w14:textId="77777777" w:rsidR="008D57C0" w:rsidRPr="008D57C0" w:rsidRDefault="008D57C0" w:rsidP="008D57C0">
            <w:pPr>
              <w:pStyle w:val="Els-body-text"/>
              <w:rPr>
                <w:b/>
                <w:bCs/>
                <w:sz w:val="16"/>
                <w:szCs w:val="16"/>
                <w:lang w:eastAsia="ko-KR"/>
              </w:rPr>
            </w:pPr>
            <w:r w:rsidRPr="008D57C0">
              <w:rPr>
                <w:rFonts w:hint="eastAsia"/>
                <w:b/>
                <w:bCs/>
                <w:sz w:val="16"/>
                <w:szCs w:val="16"/>
                <w:lang w:eastAsia="ko-KR"/>
              </w:rPr>
              <w:t>CO</w:t>
            </w:r>
            <w:r w:rsidRPr="008D57C0">
              <w:rPr>
                <w:rFonts w:hint="eastAsia"/>
                <w:b/>
                <w:bCs/>
                <w:sz w:val="16"/>
                <w:szCs w:val="16"/>
                <w:vertAlign w:val="subscript"/>
                <w:lang w:eastAsia="ko-KR"/>
              </w:rPr>
              <w:t>2</w:t>
            </w:r>
          </w:p>
        </w:tc>
        <w:tc>
          <w:tcPr>
            <w:tcW w:w="514" w:type="pct"/>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28" w:type="dxa"/>
              <w:left w:w="102" w:type="dxa"/>
              <w:bottom w:w="28" w:type="dxa"/>
              <w:right w:w="102" w:type="dxa"/>
            </w:tcMar>
            <w:vAlign w:val="center"/>
            <w:hideMark/>
          </w:tcPr>
          <w:p w14:paraId="01C52221" w14:textId="77777777" w:rsidR="008D57C0" w:rsidRPr="008D57C0" w:rsidRDefault="008D57C0" w:rsidP="008D57C0">
            <w:pPr>
              <w:pStyle w:val="Els-body-text"/>
              <w:jc w:val="center"/>
              <w:rPr>
                <w:b/>
                <w:bCs/>
                <w:sz w:val="16"/>
                <w:szCs w:val="16"/>
                <w:lang w:eastAsia="ko-KR"/>
              </w:rPr>
            </w:pPr>
            <w:r w:rsidRPr="008D57C0">
              <w:rPr>
                <w:rFonts w:hint="eastAsia"/>
                <w:b/>
                <w:bCs/>
                <w:sz w:val="16"/>
                <w:szCs w:val="16"/>
                <w:lang w:eastAsia="ko-KR"/>
              </w:rPr>
              <w:t>%</w:t>
            </w:r>
          </w:p>
        </w:tc>
        <w:tc>
          <w:tcPr>
            <w:tcW w:w="4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02BB0251"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21.93</w:t>
            </w:r>
          </w:p>
        </w:tc>
        <w:tc>
          <w:tcPr>
            <w:tcW w:w="4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5B5484FD"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20.99</w:t>
            </w:r>
          </w:p>
        </w:tc>
        <w:tc>
          <w:tcPr>
            <w:tcW w:w="5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547ECB26"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20.04</w:t>
            </w:r>
          </w:p>
        </w:tc>
        <w:tc>
          <w:tcPr>
            <w:tcW w:w="5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1F4462EC"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18.09</w:t>
            </w:r>
          </w:p>
        </w:tc>
        <w:tc>
          <w:tcPr>
            <w:tcW w:w="5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1D93C3B7"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16.08</w:t>
            </w:r>
          </w:p>
        </w:tc>
      </w:tr>
      <w:tr w:rsidR="008D57C0" w:rsidRPr="008D57C0" w14:paraId="7E6536BB" w14:textId="77777777" w:rsidTr="00CD0334">
        <w:trPr>
          <w:trHeight w:val="180"/>
        </w:trPr>
        <w:tc>
          <w:tcPr>
            <w:tcW w:w="1068" w:type="pct"/>
            <w:vMerge/>
            <w:tcBorders>
              <w:top w:val="single" w:sz="2" w:space="0" w:color="000000"/>
              <w:left w:val="nil"/>
              <w:bottom w:val="single" w:sz="2" w:space="0" w:color="000000"/>
              <w:right w:val="single" w:sz="2" w:space="0" w:color="000000"/>
            </w:tcBorders>
            <w:vAlign w:val="center"/>
            <w:hideMark/>
          </w:tcPr>
          <w:p w14:paraId="3B681A85" w14:textId="77777777" w:rsidR="008D57C0" w:rsidRPr="008D57C0" w:rsidRDefault="008D57C0" w:rsidP="008D57C0">
            <w:pPr>
              <w:pStyle w:val="Els-body-text"/>
              <w:rPr>
                <w:sz w:val="16"/>
                <w:szCs w:val="16"/>
                <w:lang w:eastAsia="ko-KR"/>
              </w:rPr>
            </w:pPr>
          </w:p>
        </w:tc>
        <w:tc>
          <w:tcPr>
            <w:tcW w:w="871"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hideMark/>
          </w:tcPr>
          <w:p w14:paraId="23CE35F6" w14:textId="77777777" w:rsidR="008D57C0" w:rsidRPr="008D57C0" w:rsidRDefault="008D57C0" w:rsidP="008D57C0">
            <w:pPr>
              <w:pStyle w:val="Els-body-text"/>
              <w:rPr>
                <w:b/>
                <w:bCs/>
                <w:sz w:val="16"/>
                <w:szCs w:val="16"/>
                <w:lang w:eastAsia="ko-KR"/>
              </w:rPr>
            </w:pPr>
            <w:r w:rsidRPr="008D57C0">
              <w:rPr>
                <w:rFonts w:hint="eastAsia"/>
                <w:b/>
                <w:bCs/>
                <w:sz w:val="16"/>
                <w:szCs w:val="16"/>
                <w:lang w:eastAsia="ko-KR"/>
              </w:rPr>
              <w:t>H</w:t>
            </w:r>
            <w:r w:rsidRPr="008D57C0">
              <w:rPr>
                <w:rFonts w:hint="eastAsia"/>
                <w:b/>
                <w:bCs/>
                <w:sz w:val="16"/>
                <w:szCs w:val="16"/>
                <w:vertAlign w:val="subscript"/>
                <w:lang w:eastAsia="ko-KR"/>
              </w:rPr>
              <w:t>2</w:t>
            </w:r>
            <w:r w:rsidRPr="008D57C0">
              <w:rPr>
                <w:rFonts w:hint="eastAsia"/>
                <w:b/>
                <w:bCs/>
                <w:sz w:val="16"/>
                <w:szCs w:val="16"/>
                <w:lang w:eastAsia="ko-KR"/>
              </w:rPr>
              <w:t>O</w:t>
            </w:r>
          </w:p>
        </w:tc>
        <w:tc>
          <w:tcPr>
            <w:tcW w:w="514" w:type="pct"/>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28" w:type="dxa"/>
              <w:left w:w="102" w:type="dxa"/>
              <w:bottom w:w="28" w:type="dxa"/>
              <w:right w:w="102" w:type="dxa"/>
            </w:tcMar>
            <w:vAlign w:val="center"/>
            <w:hideMark/>
          </w:tcPr>
          <w:p w14:paraId="38F8E972" w14:textId="77777777" w:rsidR="008D57C0" w:rsidRPr="008D57C0" w:rsidRDefault="008D57C0" w:rsidP="008D57C0">
            <w:pPr>
              <w:pStyle w:val="Els-body-text"/>
              <w:jc w:val="center"/>
              <w:rPr>
                <w:b/>
                <w:bCs/>
                <w:sz w:val="16"/>
                <w:szCs w:val="16"/>
                <w:lang w:eastAsia="ko-KR"/>
              </w:rPr>
            </w:pPr>
            <w:r w:rsidRPr="008D57C0">
              <w:rPr>
                <w:rFonts w:hint="eastAsia"/>
                <w:b/>
                <w:bCs/>
                <w:sz w:val="16"/>
                <w:szCs w:val="16"/>
                <w:lang w:eastAsia="ko-KR"/>
              </w:rPr>
              <w:t>%</w:t>
            </w:r>
          </w:p>
        </w:tc>
        <w:tc>
          <w:tcPr>
            <w:tcW w:w="4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40209467"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7.94</w:t>
            </w:r>
          </w:p>
        </w:tc>
        <w:tc>
          <w:tcPr>
            <w:tcW w:w="4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3CEA1307"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8.46</w:t>
            </w:r>
          </w:p>
        </w:tc>
        <w:tc>
          <w:tcPr>
            <w:tcW w:w="5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7AE8C4B0"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9.00</w:t>
            </w:r>
          </w:p>
        </w:tc>
        <w:tc>
          <w:tcPr>
            <w:tcW w:w="5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4ECE8946"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10.1</w:t>
            </w:r>
          </w:p>
        </w:tc>
        <w:tc>
          <w:tcPr>
            <w:tcW w:w="5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64752DA6" w14:textId="77777777"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11.23</w:t>
            </w:r>
          </w:p>
        </w:tc>
      </w:tr>
      <w:tr w:rsidR="008D57C0" w:rsidRPr="008D57C0" w14:paraId="061328D2" w14:textId="77777777" w:rsidTr="00CD0334">
        <w:trPr>
          <w:trHeight w:val="180"/>
        </w:trPr>
        <w:tc>
          <w:tcPr>
            <w:tcW w:w="1939" w:type="pct"/>
            <w:gridSpan w:val="2"/>
            <w:tcBorders>
              <w:top w:val="single" w:sz="2" w:space="0" w:color="000000"/>
              <w:left w:val="nil"/>
              <w:bottom w:val="single" w:sz="4" w:space="0" w:color="auto"/>
              <w:right w:val="single" w:sz="2" w:space="0" w:color="000000"/>
            </w:tcBorders>
            <w:shd w:val="clear" w:color="auto" w:fill="D9D9D9" w:themeFill="background1" w:themeFillShade="D9"/>
            <w:tcMar>
              <w:top w:w="28" w:type="dxa"/>
              <w:left w:w="102" w:type="dxa"/>
              <w:bottom w:w="28" w:type="dxa"/>
              <w:right w:w="102" w:type="dxa"/>
            </w:tcMar>
            <w:vAlign w:val="center"/>
            <w:hideMark/>
          </w:tcPr>
          <w:p w14:paraId="0BF1A6B0" w14:textId="77777777" w:rsidR="008D57C0" w:rsidRPr="008D57C0" w:rsidRDefault="008D57C0" w:rsidP="008D57C0">
            <w:pPr>
              <w:pStyle w:val="Els-body-text"/>
              <w:rPr>
                <w:b/>
                <w:bCs/>
                <w:sz w:val="16"/>
                <w:szCs w:val="16"/>
                <w:lang w:eastAsia="ko-KR"/>
              </w:rPr>
            </w:pPr>
            <w:r w:rsidRPr="008D57C0">
              <w:rPr>
                <w:rFonts w:hint="eastAsia"/>
                <w:b/>
                <w:bCs/>
                <w:sz w:val="16"/>
                <w:szCs w:val="16"/>
                <w:lang w:eastAsia="ko-KR"/>
              </w:rPr>
              <w:t>Adiabatic flame temperature</w:t>
            </w:r>
          </w:p>
        </w:tc>
        <w:tc>
          <w:tcPr>
            <w:tcW w:w="514" w:type="pct"/>
            <w:tcBorders>
              <w:top w:val="single" w:sz="2" w:space="0" w:color="000000"/>
              <w:left w:val="single" w:sz="2" w:space="0" w:color="000000"/>
              <w:bottom w:val="single" w:sz="4" w:space="0" w:color="auto"/>
              <w:right w:val="single" w:sz="4" w:space="0" w:color="000000"/>
            </w:tcBorders>
            <w:shd w:val="clear" w:color="auto" w:fill="D9D9D9" w:themeFill="background1" w:themeFillShade="D9"/>
            <w:tcMar>
              <w:top w:w="28" w:type="dxa"/>
              <w:left w:w="102" w:type="dxa"/>
              <w:bottom w:w="28" w:type="dxa"/>
              <w:right w:w="102" w:type="dxa"/>
            </w:tcMar>
            <w:vAlign w:val="center"/>
            <w:hideMark/>
          </w:tcPr>
          <w:p w14:paraId="50946010" w14:textId="77777777" w:rsidR="008D57C0" w:rsidRPr="008D57C0" w:rsidRDefault="008D57C0" w:rsidP="008D57C0">
            <w:pPr>
              <w:pStyle w:val="Els-body-text"/>
              <w:jc w:val="center"/>
              <w:rPr>
                <w:b/>
                <w:bCs/>
                <w:sz w:val="16"/>
                <w:szCs w:val="16"/>
                <w:lang w:eastAsia="ko-KR"/>
              </w:rPr>
            </w:pPr>
            <w:r w:rsidRPr="008D57C0">
              <w:rPr>
                <w:rFonts w:hint="eastAsia"/>
                <w:b/>
                <w:bCs/>
                <w:sz w:val="16"/>
                <w:szCs w:val="16"/>
                <w:lang w:eastAsia="ko-KR"/>
              </w:rPr>
              <w:t>°</w:t>
            </w:r>
            <w:r w:rsidRPr="008D57C0">
              <w:rPr>
                <w:rFonts w:hint="eastAsia"/>
                <w:b/>
                <w:bCs/>
                <w:sz w:val="16"/>
                <w:szCs w:val="16"/>
                <w:lang w:eastAsia="ko-KR"/>
              </w:rPr>
              <w:t>C</w:t>
            </w:r>
          </w:p>
        </w:tc>
        <w:tc>
          <w:tcPr>
            <w:tcW w:w="477"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15" w:type="dxa"/>
              <w:left w:w="15" w:type="dxa"/>
              <w:bottom w:w="0" w:type="dxa"/>
              <w:right w:w="15" w:type="dxa"/>
            </w:tcMar>
            <w:vAlign w:val="center"/>
            <w:hideMark/>
          </w:tcPr>
          <w:p w14:paraId="67363381" w14:textId="4118090E"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1</w:t>
            </w:r>
            <w:r w:rsidR="00290185">
              <w:rPr>
                <w:b/>
                <w:bCs/>
                <w:sz w:val="16"/>
                <w:szCs w:val="16"/>
                <w:lang w:eastAsia="ko-KR"/>
              </w:rPr>
              <w:t>,</w:t>
            </w:r>
            <w:r w:rsidRPr="008D57C0">
              <w:rPr>
                <w:rFonts w:hint="eastAsia"/>
                <w:b/>
                <w:bCs/>
                <w:sz w:val="16"/>
                <w:szCs w:val="16"/>
                <w:lang w:eastAsia="ko-KR"/>
              </w:rPr>
              <w:t>668</w:t>
            </w:r>
          </w:p>
        </w:tc>
        <w:tc>
          <w:tcPr>
            <w:tcW w:w="477"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15" w:type="dxa"/>
              <w:left w:w="15" w:type="dxa"/>
              <w:bottom w:w="0" w:type="dxa"/>
              <w:right w:w="15" w:type="dxa"/>
            </w:tcMar>
            <w:vAlign w:val="center"/>
            <w:hideMark/>
          </w:tcPr>
          <w:p w14:paraId="2562D912" w14:textId="52202D82"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1</w:t>
            </w:r>
            <w:r w:rsidR="00290185">
              <w:rPr>
                <w:b/>
                <w:bCs/>
                <w:sz w:val="16"/>
                <w:szCs w:val="16"/>
                <w:lang w:eastAsia="ko-KR"/>
              </w:rPr>
              <w:t>,</w:t>
            </w:r>
            <w:r w:rsidRPr="008D57C0">
              <w:rPr>
                <w:rFonts w:hint="eastAsia"/>
                <w:b/>
                <w:bCs/>
                <w:sz w:val="16"/>
                <w:szCs w:val="16"/>
                <w:lang w:eastAsia="ko-KR"/>
              </w:rPr>
              <w:t>665</w:t>
            </w:r>
          </w:p>
        </w:tc>
        <w:tc>
          <w:tcPr>
            <w:tcW w:w="532"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15" w:type="dxa"/>
              <w:left w:w="15" w:type="dxa"/>
              <w:bottom w:w="0" w:type="dxa"/>
              <w:right w:w="15" w:type="dxa"/>
            </w:tcMar>
            <w:vAlign w:val="center"/>
            <w:hideMark/>
          </w:tcPr>
          <w:p w14:paraId="5C2E4F05" w14:textId="377EC2BF"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1</w:t>
            </w:r>
            <w:r w:rsidR="00290185">
              <w:rPr>
                <w:b/>
                <w:bCs/>
                <w:sz w:val="16"/>
                <w:szCs w:val="16"/>
                <w:lang w:eastAsia="ko-KR"/>
              </w:rPr>
              <w:t>,</w:t>
            </w:r>
            <w:r w:rsidRPr="008D57C0">
              <w:rPr>
                <w:rFonts w:hint="eastAsia"/>
                <w:b/>
                <w:bCs/>
                <w:sz w:val="16"/>
                <w:szCs w:val="16"/>
                <w:lang w:eastAsia="ko-KR"/>
              </w:rPr>
              <w:t>662</w:t>
            </w:r>
          </w:p>
        </w:tc>
        <w:tc>
          <w:tcPr>
            <w:tcW w:w="532"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15" w:type="dxa"/>
              <w:left w:w="15" w:type="dxa"/>
              <w:bottom w:w="0" w:type="dxa"/>
              <w:right w:w="15" w:type="dxa"/>
            </w:tcMar>
            <w:vAlign w:val="center"/>
            <w:hideMark/>
          </w:tcPr>
          <w:p w14:paraId="779A5798" w14:textId="1501F028"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1</w:t>
            </w:r>
            <w:r w:rsidR="00290185">
              <w:rPr>
                <w:b/>
                <w:bCs/>
                <w:sz w:val="16"/>
                <w:szCs w:val="16"/>
                <w:lang w:eastAsia="ko-KR"/>
              </w:rPr>
              <w:t>,</w:t>
            </w:r>
            <w:r w:rsidRPr="008D57C0">
              <w:rPr>
                <w:rFonts w:hint="eastAsia"/>
                <w:b/>
                <w:bCs/>
                <w:sz w:val="16"/>
                <w:szCs w:val="16"/>
                <w:lang w:eastAsia="ko-KR"/>
              </w:rPr>
              <w:t>657</w:t>
            </w:r>
          </w:p>
        </w:tc>
        <w:tc>
          <w:tcPr>
            <w:tcW w:w="529"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15" w:type="dxa"/>
              <w:left w:w="15" w:type="dxa"/>
              <w:bottom w:w="0" w:type="dxa"/>
              <w:right w:w="15" w:type="dxa"/>
            </w:tcMar>
            <w:vAlign w:val="center"/>
            <w:hideMark/>
          </w:tcPr>
          <w:p w14:paraId="771F47D2" w14:textId="0666EF0C" w:rsidR="008D57C0" w:rsidRPr="008D57C0" w:rsidRDefault="008D57C0" w:rsidP="008D57C0">
            <w:pPr>
              <w:pStyle w:val="Els-body-text"/>
              <w:jc w:val="right"/>
              <w:rPr>
                <w:b/>
                <w:bCs/>
                <w:sz w:val="16"/>
                <w:szCs w:val="16"/>
                <w:lang w:eastAsia="ko-KR"/>
              </w:rPr>
            </w:pPr>
            <w:r w:rsidRPr="008D57C0">
              <w:rPr>
                <w:rFonts w:hint="eastAsia"/>
                <w:b/>
                <w:bCs/>
                <w:sz w:val="16"/>
                <w:szCs w:val="16"/>
                <w:lang w:eastAsia="ko-KR"/>
              </w:rPr>
              <w:t>1</w:t>
            </w:r>
            <w:r w:rsidR="00290185">
              <w:rPr>
                <w:b/>
                <w:bCs/>
                <w:sz w:val="16"/>
                <w:szCs w:val="16"/>
                <w:lang w:eastAsia="ko-KR"/>
              </w:rPr>
              <w:t>,</w:t>
            </w:r>
            <w:r w:rsidRPr="008D57C0">
              <w:rPr>
                <w:rFonts w:hint="eastAsia"/>
                <w:b/>
                <w:bCs/>
                <w:sz w:val="16"/>
                <w:szCs w:val="16"/>
                <w:lang w:eastAsia="ko-KR"/>
              </w:rPr>
              <w:t>651</w:t>
            </w:r>
          </w:p>
        </w:tc>
      </w:tr>
    </w:tbl>
    <w:p w14:paraId="37FCF087" w14:textId="35ED61E6" w:rsidR="008D57C0" w:rsidRDefault="008D57C0" w:rsidP="008D57C0">
      <w:pPr>
        <w:pStyle w:val="Els-body-text"/>
        <w:rPr>
          <w:lang w:val="en-GB" w:eastAsia="ko-KR"/>
        </w:rPr>
      </w:pPr>
    </w:p>
    <w:p w14:paraId="19CDCBE5" w14:textId="6C5FFC03" w:rsidR="00B02B8D" w:rsidRPr="00DD291D" w:rsidRDefault="00026A17" w:rsidP="001736F5">
      <w:pPr>
        <w:pStyle w:val="Els-body-text"/>
      </w:pPr>
      <w:r w:rsidRPr="00026A17">
        <w:t>Fig. 3 shows the simulation results of the heat transfer rate of each heat exchanger according to the ammonia co-firing ratio (a) and the comparison with the PC boiler (b).</w:t>
      </w:r>
      <w:r w:rsidR="00DD291D">
        <w:t xml:space="preserve"> </w:t>
      </w:r>
      <w:r w:rsidR="00DD291D">
        <w:rPr>
          <w:rFonts w:hint="eastAsia"/>
          <w:lang w:eastAsia="ko-KR"/>
        </w:rPr>
        <w:t>T</w:t>
      </w:r>
      <w:r w:rsidR="00DD291D">
        <w:rPr>
          <w:lang w:eastAsia="ko-KR"/>
        </w:rPr>
        <w:t xml:space="preserve">he </w:t>
      </w:r>
      <w:r w:rsidR="00DD291D" w:rsidRPr="00DD291D">
        <w:rPr>
          <w:lang w:val="en-GB"/>
        </w:rPr>
        <w:t xml:space="preserve">process simulation model </w:t>
      </w:r>
      <w:r w:rsidR="00DD291D">
        <w:rPr>
          <w:lang w:val="en-GB"/>
        </w:rPr>
        <w:t xml:space="preserve">and results </w:t>
      </w:r>
      <w:r w:rsidR="00DD291D" w:rsidRPr="00DD291D">
        <w:rPr>
          <w:lang w:val="en-GB"/>
        </w:rPr>
        <w:t xml:space="preserve">of the PC boiler can be referred </w:t>
      </w:r>
      <w:r w:rsidR="00251E09">
        <w:rPr>
          <w:lang w:val="en-GB"/>
        </w:rPr>
        <w:t>to</w:t>
      </w:r>
      <w:r w:rsidR="00DD291D" w:rsidRPr="00DD291D">
        <w:rPr>
          <w:lang w:val="en-GB"/>
        </w:rPr>
        <w:t xml:space="preserve"> the reference</w:t>
      </w:r>
      <w:r w:rsidR="00DD291D">
        <w:rPr>
          <w:lang w:val="en-GB"/>
        </w:rPr>
        <w:t xml:space="preserve"> [Kim et. al.].</w:t>
      </w:r>
      <w:r w:rsidRPr="00026A17">
        <w:t xml:space="preserve"> Although flame emissivity slightly increases due to the increase in H</w:t>
      </w:r>
      <w:r w:rsidRPr="00DD291D">
        <w:rPr>
          <w:vertAlign w:val="subscript"/>
        </w:rPr>
        <w:t>2</w:t>
      </w:r>
      <w:r w:rsidRPr="00026A17">
        <w:t xml:space="preserve">O mole fraction, the radiation heat transfer rate decreases due to the decrease in AFR, circulating solids, and mass fraction of coal particles. In addition, the convective heat transfer rate decreases due to the decrease in the flue gas mass flow rate. However, </w:t>
      </w:r>
      <w:r w:rsidR="00066CF4">
        <w:t>a</w:t>
      </w:r>
      <w:r w:rsidR="00066CF4" w:rsidRPr="00026A17">
        <w:t xml:space="preserve">s </w:t>
      </w:r>
      <w:r w:rsidRPr="00026A17">
        <w:t>shown in Fig. 3(b), the decrease in heat transfer rate of the CFB boiler is lower than in the PC boiler. This is because the CFB boiler uses low-grade coal (low HHV and large content of moisture). Therefore, the reduction in AF</w:t>
      </w:r>
      <w:r>
        <w:t>T a</w:t>
      </w:r>
      <w:r w:rsidRPr="00026A17">
        <w:t>nd heat loss of moisture of the CFB boiler is lower than that of the PC boiler. In addition, due to the heat transfer mechanism of the circulating solids, the reduction in radiative heat transfer in CFB boilers is lower compared to PC boilers, where only a flue gas heat transfer mechanism exists.</w:t>
      </w:r>
      <w:r>
        <w:t xml:space="preserve"> Accordingly, the main and reheat steam temperature decreases due to the decrease in the radiation and convection heat transfer rate under the ammonia co-firing condition as shown in Fig. 4. Because there is </w:t>
      </w:r>
      <w:r w:rsidR="00251E09">
        <w:t>a</w:t>
      </w:r>
      <w:r>
        <w:t xml:space="preserve"> difference </w:t>
      </w:r>
      <w:r w:rsidR="00251E09">
        <w:t>in</w:t>
      </w:r>
      <w:r>
        <w:t xml:space="preserve"> the heat transfer rate of both boilers, </w:t>
      </w:r>
      <w:r>
        <w:rPr>
          <w:lang w:val="en-GB"/>
        </w:rPr>
        <w:t>t</w:t>
      </w:r>
      <w:r w:rsidRPr="00026A17">
        <w:rPr>
          <w:lang w:val="en-GB"/>
        </w:rPr>
        <w:t>he reduction of main and reheat steam temperature of the CFB boiler is lower than that of the PC boiler.</w:t>
      </w:r>
      <w:r w:rsidR="00B02B8D">
        <w:rPr>
          <w:lang w:val="en-GB"/>
        </w:rPr>
        <w:t xml:space="preserve"> At ammonia co-firing of 30%, the main and reheat steam temperatures of the CFB boiler decrease by 18.5</w:t>
      </w:r>
      <w:r w:rsidR="00B02B8D" w:rsidRPr="00B02B8D">
        <w:rPr>
          <w:rFonts w:eastAsia="맑은 고딕"/>
          <w:vertAlign w:val="superscript"/>
          <w:lang w:eastAsia="ko-KR"/>
        </w:rPr>
        <w:t>o</w:t>
      </w:r>
      <w:r w:rsidR="00B02B8D">
        <w:rPr>
          <w:lang w:val="en-GB"/>
        </w:rPr>
        <w:t>C and 6.5</w:t>
      </w:r>
      <w:r w:rsidR="00B02B8D" w:rsidRPr="00B02B8D">
        <w:rPr>
          <w:rFonts w:eastAsia="맑은 고딕"/>
          <w:vertAlign w:val="superscript"/>
          <w:lang w:eastAsia="ko-KR"/>
        </w:rPr>
        <w:t>o</w:t>
      </w:r>
      <w:r w:rsidR="00B02B8D">
        <w:rPr>
          <w:lang w:val="en-GB"/>
        </w:rPr>
        <w:t>C</w:t>
      </w:r>
      <w:r w:rsidR="00251E09">
        <w:rPr>
          <w:lang w:val="en-GB"/>
        </w:rPr>
        <w:t>, respectively</w:t>
      </w:r>
      <w:r w:rsidR="00B02B8D">
        <w:rPr>
          <w:lang w:val="en-GB"/>
        </w:rPr>
        <w:t xml:space="preserve">. </w:t>
      </w:r>
    </w:p>
    <w:p w14:paraId="2E908C34" w14:textId="332E2F1C" w:rsidR="00026A17" w:rsidRDefault="00B02B8D" w:rsidP="001736F5">
      <w:pPr>
        <w:pStyle w:val="Els-body-text"/>
        <w:rPr>
          <w:lang w:val="en-GB"/>
        </w:rPr>
      </w:pPr>
      <w:r>
        <w:rPr>
          <w:lang w:val="en-GB"/>
        </w:rPr>
        <w:t>Fig. 5 shows the reduction of CO</w:t>
      </w:r>
      <w:r w:rsidRPr="00B02B8D">
        <w:rPr>
          <w:vertAlign w:val="subscript"/>
          <w:lang w:val="en-GB"/>
        </w:rPr>
        <w:t>2</w:t>
      </w:r>
      <w:r>
        <w:rPr>
          <w:lang w:val="en-GB"/>
        </w:rPr>
        <w:t xml:space="preserve"> and boiler thermal efficiency. As shown in Fig. 5, </w:t>
      </w:r>
      <w:r w:rsidRPr="00B02B8D">
        <w:rPr>
          <w:rFonts w:hint="eastAsia"/>
          <w:lang w:val="en-GB"/>
        </w:rPr>
        <w:t>As the ammonia co-firing rate increases, the reduction in CO</w:t>
      </w:r>
      <w:r w:rsidRPr="00B02B8D">
        <w:rPr>
          <w:rFonts w:hint="eastAsia"/>
          <w:vertAlign w:val="subscript"/>
          <w:lang w:val="en-GB"/>
        </w:rPr>
        <w:t>2</w:t>
      </w:r>
      <w:r w:rsidRPr="00B02B8D">
        <w:rPr>
          <w:rFonts w:hint="eastAsia"/>
          <w:lang w:val="en-GB"/>
        </w:rPr>
        <w:t xml:space="preserve"> emissions increases, but the boiler thermal efficiency decrease</w:t>
      </w:r>
      <w:r w:rsidR="00251E09">
        <w:rPr>
          <w:lang w:val="en-GB"/>
        </w:rPr>
        <w:t>s</w:t>
      </w:r>
      <w:r>
        <w:rPr>
          <w:lang w:val="en-GB"/>
        </w:rPr>
        <w:t xml:space="preserve">. This </w:t>
      </w:r>
      <w:r w:rsidR="007F3D9C">
        <w:rPr>
          <w:lang w:val="en-GB"/>
        </w:rPr>
        <w:t>shows</w:t>
      </w:r>
      <w:r>
        <w:rPr>
          <w:lang w:val="en-GB"/>
        </w:rPr>
        <w:t xml:space="preserve"> the trade-off relationship between CO</w:t>
      </w:r>
      <w:r w:rsidRPr="00B02B8D">
        <w:rPr>
          <w:vertAlign w:val="subscript"/>
          <w:lang w:val="en-GB"/>
        </w:rPr>
        <w:t>2</w:t>
      </w:r>
      <w:r>
        <w:rPr>
          <w:lang w:val="en-GB"/>
        </w:rPr>
        <w:t xml:space="preserve"> reduction and boiler thermal efficiency. </w:t>
      </w:r>
      <w:r w:rsidR="007F3D9C">
        <w:rPr>
          <w:lang w:val="en-GB"/>
        </w:rPr>
        <w:t xml:space="preserve">The boiler thermal efficiency of the CFB boiler decreases by 1.9%, which is lower than that of the PC boiler (2.3%). </w:t>
      </w:r>
      <w:r w:rsidR="007F3D9C" w:rsidRPr="007F3D9C">
        <w:rPr>
          <w:lang w:val="en-GB"/>
        </w:rPr>
        <w:t>Therefore, it is important to establish optimal operation conditions with ammonia-co-firing condition</w:t>
      </w:r>
      <w:r w:rsidR="00251E09">
        <w:rPr>
          <w:lang w:val="en-GB"/>
        </w:rPr>
        <w:t>s</w:t>
      </w:r>
      <w:r w:rsidR="007F3D9C" w:rsidRPr="007F3D9C">
        <w:rPr>
          <w:lang w:val="en-GB"/>
        </w:rPr>
        <w:t>.</w:t>
      </w:r>
    </w:p>
    <w:p w14:paraId="2E66E413" w14:textId="77777777" w:rsidR="00894047" w:rsidRPr="00894047" w:rsidRDefault="00894047" w:rsidP="00026A17">
      <w:pPr>
        <w:pStyle w:val="Els-body-text"/>
        <w:ind w:firstLineChars="100" w:firstLine="200"/>
        <w:rPr>
          <w:lang w:val="en-GB"/>
        </w:rPr>
      </w:pPr>
    </w:p>
    <w:p w14:paraId="481F3CAB" w14:textId="77777777" w:rsidR="005E00AD" w:rsidRDefault="006B5D21" w:rsidP="00CD0334">
      <w:pPr>
        <w:pStyle w:val="Els-body-text"/>
        <w:keepNext/>
      </w:pPr>
      <w:r w:rsidRPr="006B5D21">
        <w:rPr>
          <w:noProof/>
          <w:lang w:eastAsia="ko-KR"/>
        </w:rPr>
        <w:drawing>
          <wp:inline distT="0" distB="0" distL="0" distR="0" wp14:anchorId="1C395E37" wp14:editId="3F3A2A9E">
            <wp:extent cx="3493382" cy="149575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13019" cy="1504163"/>
                    </a:xfrm>
                    <a:prstGeom prst="rect">
                      <a:avLst/>
                    </a:prstGeom>
                  </pic:spPr>
                </pic:pic>
              </a:graphicData>
            </a:graphic>
          </wp:inline>
        </w:drawing>
      </w:r>
    </w:p>
    <w:p w14:paraId="5F3A0724" w14:textId="49B0D4E9" w:rsidR="00290185" w:rsidRDefault="005E00AD" w:rsidP="005E00AD">
      <w:pPr>
        <w:pStyle w:val="a3"/>
        <w:jc w:val="both"/>
        <w:rPr>
          <w:lang w:val="en-GB" w:eastAsia="ko-KR"/>
        </w:rPr>
      </w:pPr>
      <w:r>
        <w:t xml:space="preserve">Figure </w:t>
      </w:r>
      <w:r>
        <w:rPr>
          <w:rFonts w:hint="eastAsia"/>
          <w:lang w:eastAsia="ko-KR"/>
        </w:rPr>
        <w:t>3</w:t>
      </w:r>
      <w:r>
        <w:t xml:space="preserve"> </w:t>
      </w:r>
      <w:r>
        <w:rPr>
          <w:rFonts w:hint="eastAsia"/>
          <w:lang w:eastAsia="ko-KR"/>
        </w:rPr>
        <w:t>Simulation</w:t>
      </w:r>
      <w:r>
        <w:t xml:space="preserve"> </w:t>
      </w:r>
      <w:r>
        <w:rPr>
          <w:rFonts w:hint="eastAsia"/>
          <w:lang w:eastAsia="ko-KR"/>
        </w:rPr>
        <w:t>results</w:t>
      </w:r>
      <w:r>
        <w:t xml:space="preserve"> </w:t>
      </w:r>
      <w:r>
        <w:rPr>
          <w:rFonts w:hint="eastAsia"/>
          <w:lang w:eastAsia="ko-KR"/>
        </w:rPr>
        <w:t>of</w:t>
      </w:r>
      <w:r>
        <w:t xml:space="preserve"> </w:t>
      </w:r>
      <w:r>
        <w:rPr>
          <w:rFonts w:hint="eastAsia"/>
          <w:lang w:eastAsia="ko-KR"/>
        </w:rPr>
        <w:t>heat</w:t>
      </w:r>
      <w:r>
        <w:t xml:space="preserve"> </w:t>
      </w:r>
      <w:r>
        <w:rPr>
          <w:rFonts w:hint="eastAsia"/>
          <w:lang w:eastAsia="ko-KR"/>
        </w:rPr>
        <w:t>transfer</w:t>
      </w:r>
      <w:r>
        <w:rPr>
          <w:lang w:eastAsia="ko-KR"/>
        </w:rPr>
        <w:t xml:space="preserve"> </w:t>
      </w:r>
      <w:r>
        <w:rPr>
          <w:rFonts w:hint="eastAsia"/>
          <w:lang w:eastAsia="ko-KR"/>
        </w:rPr>
        <w:t>rate</w:t>
      </w:r>
      <w:r>
        <w:rPr>
          <w:lang w:eastAsia="ko-KR"/>
        </w:rPr>
        <w:t xml:space="preserve"> </w:t>
      </w:r>
      <w:r>
        <w:rPr>
          <w:rFonts w:hint="eastAsia"/>
          <w:lang w:eastAsia="ko-KR"/>
        </w:rPr>
        <w:t>of</w:t>
      </w:r>
      <w:r>
        <w:rPr>
          <w:lang w:eastAsia="ko-KR"/>
        </w:rPr>
        <w:t xml:space="preserve"> </w:t>
      </w:r>
      <w:r>
        <w:rPr>
          <w:rFonts w:hint="eastAsia"/>
          <w:lang w:eastAsia="ko-KR"/>
        </w:rPr>
        <w:t>each</w:t>
      </w:r>
      <w:r>
        <w:rPr>
          <w:lang w:eastAsia="ko-KR"/>
        </w:rPr>
        <w:t xml:space="preserve"> </w:t>
      </w:r>
      <w:r>
        <w:rPr>
          <w:rFonts w:hint="eastAsia"/>
          <w:lang w:eastAsia="ko-KR"/>
        </w:rPr>
        <w:t>heat</w:t>
      </w:r>
      <w:r>
        <w:rPr>
          <w:lang w:eastAsia="ko-KR"/>
        </w:rPr>
        <w:t xml:space="preserve"> </w:t>
      </w:r>
      <w:r>
        <w:rPr>
          <w:rFonts w:hint="eastAsia"/>
          <w:lang w:eastAsia="ko-KR"/>
        </w:rPr>
        <w:t>exchanger</w:t>
      </w:r>
      <w:r>
        <w:rPr>
          <w:lang w:eastAsia="ko-KR"/>
        </w:rPr>
        <w:t xml:space="preserve"> </w:t>
      </w:r>
      <w:r>
        <w:rPr>
          <w:rFonts w:hint="eastAsia"/>
          <w:lang w:eastAsia="ko-KR"/>
        </w:rPr>
        <w:t>according</w:t>
      </w:r>
      <w:r>
        <w:rPr>
          <w:lang w:eastAsia="ko-KR"/>
        </w:rPr>
        <w:t xml:space="preserve"> </w:t>
      </w:r>
      <w:r>
        <w:rPr>
          <w:rFonts w:hint="eastAsia"/>
          <w:lang w:eastAsia="ko-KR"/>
        </w:rPr>
        <w:t>to</w:t>
      </w:r>
      <w:r>
        <w:rPr>
          <w:lang w:eastAsia="ko-KR"/>
        </w:rPr>
        <w:t xml:space="preserve"> </w:t>
      </w:r>
      <w:r>
        <w:rPr>
          <w:rFonts w:hint="eastAsia"/>
          <w:lang w:eastAsia="ko-KR"/>
        </w:rPr>
        <w:t>ammonia</w:t>
      </w:r>
      <w:r>
        <w:rPr>
          <w:lang w:eastAsia="ko-KR"/>
        </w:rPr>
        <w:t xml:space="preserve"> </w:t>
      </w:r>
      <w:r>
        <w:rPr>
          <w:rFonts w:hint="eastAsia"/>
          <w:lang w:eastAsia="ko-KR"/>
        </w:rPr>
        <w:t>co-firing</w:t>
      </w:r>
      <w:r>
        <w:rPr>
          <w:lang w:eastAsia="ko-KR"/>
        </w:rPr>
        <w:t xml:space="preserve"> </w:t>
      </w:r>
      <w:r>
        <w:rPr>
          <w:rFonts w:hint="eastAsia"/>
          <w:lang w:eastAsia="ko-KR"/>
        </w:rPr>
        <w:t>ratio</w:t>
      </w:r>
      <w:r>
        <w:rPr>
          <w:lang w:eastAsia="ko-KR"/>
        </w:rPr>
        <w:t xml:space="preserve"> </w:t>
      </w:r>
      <w:r>
        <w:rPr>
          <w:rFonts w:hint="eastAsia"/>
          <w:lang w:eastAsia="ko-KR"/>
        </w:rPr>
        <w:t>(a)</w:t>
      </w:r>
      <w:r>
        <w:rPr>
          <w:lang w:eastAsia="ko-KR"/>
        </w:rPr>
        <w:t xml:space="preserve"> </w:t>
      </w:r>
      <w:r>
        <w:rPr>
          <w:rFonts w:hint="eastAsia"/>
          <w:lang w:eastAsia="ko-KR"/>
        </w:rPr>
        <w:t>and</w:t>
      </w:r>
      <w:r>
        <w:rPr>
          <w:lang w:eastAsia="ko-KR"/>
        </w:rPr>
        <w:t xml:space="preserve"> </w:t>
      </w:r>
      <w:r>
        <w:rPr>
          <w:rFonts w:hint="eastAsia"/>
          <w:lang w:eastAsia="ko-KR"/>
        </w:rPr>
        <w:t>the</w:t>
      </w:r>
      <w:r>
        <w:rPr>
          <w:lang w:eastAsia="ko-KR"/>
        </w:rPr>
        <w:t xml:space="preserve"> </w:t>
      </w:r>
      <w:r>
        <w:rPr>
          <w:rFonts w:hint="eastAsia"/>
          <w:lang w:eastAsia="ko-KR"/>
        </w:rPr>
        <w:t>comparison</w:t>
      </w:r>
      <w:r>
        <w:rPr>
          <w:lang w:eastAsia="ko-KR"/>
        </w:rPr>
        <w:t xml:space="preserve"> </w:t>
      </w:r>
      <w:r>
        <w:rPr>
          <w:rFonts w:hint="eastAsia"/>
          <w:lang w:eastAsia="ko-KR"/>
        </w:rPr>
        <w:t>with</w:t>
      </w:r>
      <w:r>
        <w:rPr>
          <w:lang w:eastAsia="ko-KR"/>
        </w:rPr>
        <w:t xml:space="preserve"> </w:t>
      </w:r>
      <w:r>
        <w:rPr>
          <w:rFonts w:hint="eastAsia"/>
          <w:lang w:eastAsia="ko-KR"/>
        </w:rPr>
        <w:t>PC</w:t>
      </w:r>
      <w:r>
        <w:rPr>
          <w:lang w:eastAsia="ko-KR"/>
        </w:rPr>
        <w:t xml:space="preserve"> </w:t>
      </w:r>
      <w:r>
        <w:rPr>
          <w:rFonts w:hint="eastAsia"/>
          <w:lang w:eastAsia="ko-KR"/>
        </w:rPr>
        <w:t>boiler</w:t>
      </w:r>
      <w:r>
        <w:rPr>
          <w:lang w:eastAsia="ko-KR"/>
        </w:rPr>
        <w:t xml:space="preserve"> </w:t>
      </w:r>
      <w:r>
        <w:rPr>
          <w:rFonts w:hint="eastAsia"/>
          <w:lang w:eastAsia="ko-KR"/>
        </w:rPr>
        <w:t>(b)</w:t>
      </w:r>
    </w:p>
    <w:p w14:paraId="430B08A1" w14:textId="77777777" w:rsidR="00077EB6" w:rsidRPr="00A94774" w:rsidRDefault="00077EB6" w:rsidP="00077EB6">
      <w:pPr>
        <w:pStyle w:val="Els-1storder-head"/>
        <w:spacing w:after="120"/>
        <w:rPr>
          <w:lang w:val="en-GB"/>
        </w:rPr>
      </w:pPr>
      <w:r w:rsidRPr="00A94774">
        <w:rPr>
          <w:lang w:val="en-GB"/>
        </w:rPr>
        <w:t>Conclusions</w:t>
      </w:r>
    </w:p>
    <w:p w14:paraId="1956D179" w14:textId="77777777" w:rsidR="00077EB6" w:rsidRPr="00077EB6" w:rsidRDefault="00077EB6" w:rsidP="001736F5">
      <w:pPr>
        <w:pStyle w:val="Els-body-text"/>
        <w:spacing w:after="120"/>
        <w:rPr>
          <w:lang w:val="en-GB"/>
        </w:rPr>
      </w:pPr>
      <w:r w:rsidRPr="007F3D9C">
        <w:rPr>
          <w:lang w:val="en-GB"/>
        </w:rPr>
        <w:t xml:space="preserve">We performed a process simulation of a CFB boiler utilizing ammonia as a carbon-free fuel for the evaluation of thermal performance. We demonstrated the reduction of radiation and convective heat transfer rate with ammonia co-firing conditions. This means a reduction in plant efficiency. However, we also confirmed the reduction of the heat </w:t>
      </w:r>
      <w:r w:rsidRPr="007F3D9C">
        <w:rPr>
          <w:lang w:val="en-GB"/>
        </w:rPr>
        <w:lastRenderedPageBreak/>
        <w:t>transfer rate of the CFB boiler is lower than that of the PC boiler due to the use of low-grade coal and the heat transfer mechanism of circulating solids. This study can be used to establish optimal operating conditions for CO</w:t>
      </w:r>
      <w:r w:rsidRPr="007F3D9C">
        <w:rPr>
          <w:vertAlign w:val="subscript"/>
          <w:lang w:val="en-GB"/>
        </w:rPr>
        <w:t>2</w:t>
      </w:r>
      <w:r w:rsidRPr="007F3D9C">
        <w:rPr>
          <w:lang w:val="en-GB"/>
        </w:rPr>
        <w:t xml:space="preserve"> emissions and the improvement of plant efficiency during ammonia co-firing in terms of power plant operation.</w:t>
      </w:r>
    </w:p>
    <w:p w14:paraId="6010DBBC" w14:textId="77777777" w:rsidR="005E00AD" w:rsidRDefault="006B5D21" w:rsidP="005E00AD">
      <w:pPr>
        <w:pStyle w:val="Els-body-text"/>
        <w:keepNext/>
      </w:pPr>
      <w:r w:rsidRPr="006B5D21">
        <w:rPr>
          <w:noProof/>
          <w:lang w:eastAsia="ko-KR"/>
        </w:rPr>
        <w:drawing>
          <wp:inline distT="0" distB="0" distL="0" distR="0" wp14:anchorId="6374D6B3" wp14:editId="67CF2D4D">
            <wp:extent cx="3467256" cy="1502673"/>
            <wp:effectExtent l="0" t="0" r="0" b="254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02898" cy="1518120"/>
                    </a:xfrm>
                    <a:prstGeom prst="rect">
                      <a:avLst/>
                    </a:prstGeom>
                  </pic:spPr>
                </pic:pic>
              </a:graphicData>
            </a:graphic>
          </wp:inline>
        </w:drawing>
      </w:r>
    </w:p>
    <w:p w14:paraId="1D67AE7C" w14:textId="20B3D9ED" w:rsidR="006B5D21" w:rsidRDefault="005E00AD" w:rsidP="00EF70F9">
      <w:pPr>
        <w:pStyle w:val="a3"/>
        <w:jc w:val="both"/>
        <w:rPr>
          <w:lang w:val="en-GB" w:eastAsia="ko-KR"/>
        </w:rPr>
      </w:pPr>
      <w:r>
        <w:t xml:space="preserve">Figure </w:t>
      </w:r>
      <w:r w:rsidR="00EF70F9">
        <w:rPr>
          <w:rFonts w:hint="eastAsia"/>
          <w:lang w:eastAsia="ko-KR"/>
        </w:rPr>
        <w:t>4</w:t>
      </w:r>
      <w:r w:rsidR="00EF70F9">
        <w:t xml:space="preserve"> </w:t>
      </w:r>
      <w:r w:rsidR="00EF70F9">
        <w:rPr>
          <w:rFonts w:hint="eastAsia"/>
          <w:lang w:eastAsia="ko-KR"/>
        </w:rPr>
        <w:t>Simulation</w:t>
      </w:r>
      <w:r w:rsidR="00EF70F9">
        <w:t xml:space="preserve"> </w:t>
      </w:r>
      <w:r w:rsidR="00EF70F9">
        <w:rPr>
          <w:rFonts w:hint="eastAsia"/>
          <w:lang w:eastAsia="ko-KR"/>
        </w:rPr>
        <w:t>results</w:t>
      </w:r>
      <w:r w:rsidR="00EF70F9">
        <w:rPr>
          <w:lang w:eastAsia="ko-KR"/>
        </w:rPr>
        <w:t xml:space="preserve"> </w:t>
      </w:r>
      <w:r w:rsidR="00EF70F9">
        <w:rPr>
          <w:rFonts w:hint="eastAsia"/>
          <w:lang w:eastAsia="ko-KR"/>
        </w:rPr>
        <w:t>of</w:t>
      </w:r>
      <w:r w:rsidR="00EF70F9">
        <w:rPr>
          <w:lang w:eastAsia="ko-KR"/>
        </w:rPr>
        <w:t xml:space="preserve"> </w:t>
      </w:r>
      <w:r w:rsidR="00EF70F9">
        <w:rPr>
          <w:rFonts w:hint="eastAsia"/>
          <w:lang w:eastAsia="ko-KR"/>
        </w:rPr>
        <w:t>main</w:t>
      </w:r>
      <w:r w:rsidR="00EF70F9">
        <w:rPr>
          <w:lang w:eastAsia="ko-KR"/>
        </w:rPr>
        <w:t xml:space="preserve"> </w:t>
      </w:r>
      <w:r w:rsidR="00EF70F9">
        <w:rPr>
          <w:rFonts w:hint="eastAsia"/>
          <w:lang w:eastAsia="ko-KR"/>
        </w:rPr>
        <w:t>and</w:t>
      </w:r>
      <w:r w:rsidR="00EF70F9">
        <w:rPr>
          <w:lang w:eastAsia="ko-KR"/>
        </w:rPr>
        <w:t xml:space="preserve"> </w:t>
      </w:r>
      <w:r w:rsidR="00EF70F9">
        <w:rPr>
          <w:rFonts w:hint="eastAsia"/>
          <w:lang w:eastAsia="ko-KR"/>
        </w:rPr>
        <w:t>reheat</w:t>
      </w:r>
      <w:r w:rsidR="00EF70F9">
        <w:rPr>
          <w:lang w:eastAsia="ko-KR"/>
        </w:rPr>
        <w:t xml:space="preserve"> </w:t>
      </w:r>
      <w:r w:rsidR="00EF70F9">
        <w:rPr>
          <w:rFonts w:hint="eastAsia"/>
          <w:lang w:eastAsia="ko-KR"/>
        </w:rPr>
        <w:t>steam</w:t>
      </w:r>
      <w:r w:rsidR="00EF70F9">
        <w:rPr>
          <w:lang w:eastAsia="ko-KR"/>
        </w:rPr>
        <w:t xml:space="preserve"> </w:t>
      </w:r>
      <w:r w:rsidR="00EF70F9">
        <w:rPr>
          <w:rFonts w:hint="eastAsia"/>
          <w:lang w:eastAsia="ko-KR"/>
        </w:rPr>
        <w:t>temperatures</w:t>
      </w:r>
      <w:r w:rsidR="00EF70F9">
        <w:rPr>
          <w:lang w:eastAsia="ko-KR"/>
        </w:rPr>
        <w:t xml:space="preserve"> </w:t>
      </w:r>
      <w:r w:rsidR="00EF70F9">
        <w:rPr>
          <w:rFonts w:hint="eastAsia"/>
          <w:lang w:eastAsia="ko-KR"/>
        </w:rPr>
        <w:t>of</w:t>
      </w:r>
      <w:r w:rsidR="00EF70F9">
        <w:rPr>
          <w:lang w:eastAsia="ko-KR"/>
        </w:rPr>
        <w:t xml:space="preserve"> </w:t>
      </w:r>
      <w:r w:rsidR="00EF70F9">
        <w:rPr>
          <w:rFonts w:hint="eastAsia"/>
          <w:lang w:eastAsia="ko-KR"/>
        </w:rPr>
        <w:t>the</w:t>
      </w:r>
      <w:r w:rsidR="00EF70F9">
        <w:rPr>
          <w:lang w:eastAsia="ko-KR"/>
        </w:rPr>
        <w:t xml:space="preserve"> </w:t>
      </w:r>
      <w:r w:rsidR="00EF70F9">
        <w:rPr>
          <w:rFonts w:hint="eastAsia"/>
          <w:lang w:eastAsia="ko-KR"/>
        </w:rPr>
        <w:t>CFB</w:t>
      </w:r>
      <w:r w:rsidR="00EF70F9">
        <w:rPr>
          <w:lang w:eastAsia="ko-KR"/>
        </w:rPr>
        <w:t xml:space="preserve"> </w:t>
      </w:r>
      <w:r w:rsidR="00EF70F9">
        <w:rPr>
          <w:rFonts w:hint="eastAsia"/>
          <w:lang w:eastAsia="ko-KR"/>
        </w:rPr>
        <w:t>boiler</w:t>
      </w:r>
      <w:r w:rsidR="00EF70F9">
        <w:rPr>
          <w:lang w:eastAsia="ko-KR"/>
        </w:rPr>
        <w:t xml:space="preserve"> </w:t>
      </w:r>
      <w:r w:rsidR="00EF70F9">
        <w:rPr>
          <w:rFonts w:hint="eastAsia"/>
          <w:lang w:eastAsia="ko-KR"/>
        </w:rPr>
        <w:t>and</w:t>
      </w:r>
      <w:r w:rsidR="00EF70F9">
        <w:rPr>
          <w:lang w:eastAsia="ko-KR"/>
        </w:rPr>
        <w:t xml:space="preserve"> </w:t>
      </w:r>
      <w:r w:rsidR="00EF70F9">
        <w:rPr>
          <w:rFonts w:hint="eastAsia"/>
          <w:lang w:eastAsia="ko-KR"/>
        </w:rPr>
        <w:t>the</w:t>
      </w:r>
      <w:r w:rsidR="00EF70F9">
        <w:rPr>
          <w:lang w:eastAsia="ko-KR"/>
        </w:rPr>
        <w:t xml:space="preserve"> </w:t>
      </w:r>
      <w:r w:rsidR="00EF70F9">
        <w:rPr>
          <w:rFonts w:hint="eastAsia"/>
          <w:lang w:eastAsia="ko-KR"/>
        </w:rPr>
        <w:t>PC</w:t>
      </w:r>
      <w:r w:rsidR="00EF70F9">
        <w:rPr>
          <w:lang w:eastAsia="ko-KR"/>
        </w:rPr>
        <w:t xml:space="preserve"> </w:t>
      </w:r>
      <w:r w:rsidR="00EF70F9">
        <w:rPr>
          <w:rFonts w:hint="eastAsia"/>
          <w:lang w:eastAsia="ko-KR"/>
        </w:rPr>
        <w:t>boiler</w:t>
      </w:r>
    </w:p>
    <w:p w14:paraId="274E1713" w14:textId="186D7026" w:rsidR="00EF70F9" w:rsidRDefault="003F69BE" w:rsidP="00EF70F9">
      <w:pPr>
        <w:pStyle w:val="Els-body-text"/>
        <w:keepNext/>
      </w:pPr>
      <w:r w:rsidRPr="003F69BE">
        <w:rPr>
          <w:noProof/>
          <w:lang w:eastAsia="ko-KR"/>
        </w:rPr>
        <w:drawing>
          <wp:inline distT="0" distB="0" distL="0" distR="0" wp14:anchorId="397423D1" wp14:editId="6E14781F">
            <wp:extent cx="3624010" cy="1470368"/>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41279" cy="1477375"/>
                    </a:xfrm>
                    <a:prstGeom prst="rect">
                      <a:avLst/>
                    </a:prstGeom>
                  </pic:spPr>
                </pic:pic>
              </a:graphicData>
            </a:graphic>
          </wp:inline>
        </w:drawing>
      </w:r>
    </w:p>
    <w:p w14:paraId="7815E53F" w14:textId="0F939729" w:rsidR="00077EB6" w:rsidRPr="00077EB6" w:rsidRDefault="00EF70F9" w:rsidP="00D415A8">
      <w:pPr>
        <w:pStyle w:val="a3"/>
        <w:spacing w:after="0"/>
        <w:jc w:val="both"/>
        <w:rPr>
          <w:lang w:eastAsia="ko-KR"/>
        </w:rPr>
      </w:pPr>
      <w:r>
        <w:t xml:space="preserve">Figure </w:t>
      </w:r>
      <w:r>
        <w:rPr>
          <w:rFonts w:hint="eastAsia"/>
          <w:lang w:eastAsia="ko-KR"/>
        </w:rPr>
        <w:t>5</w:t>
      </w:r>
      <w:r>
        <w:t xml:space="preserve"> </w:t>
      </w:r>
      <w:r>
        <w:rPr>
          <w:rFonts w:hint="eastAsia"/>
          <w:lang w:eastAsia="ko-KR"/>
        </w:rPr>
        <w:t>Relationship</w:t>
      </w:r>
      <w:r>
        <w:t xml:space="preserve"> </w:t>
      </w:r>
      <w:r>
        <w:rPr>
          <w:rFonts w:hint="eastAsia"/>
          <w:lang w:eastAsia="ko-KR"/>
        </w:rPr>
        <w:t>between</w:t>
      </w:r>
      <w:r>
        <w:t xml:space="preserve"> </w:t>
      </w:r>
      <w:r>
        <w:rPr>
          <w:rFonts w:hint="eastAsia"/>
          <w:lang w:eastAsia="ko-KR"/>
        </w:rPr>
        <w:t>the</w:t>
      </w:r>
      <w:r>
        <w:rPr>
          <w:lang w:eastAsia="ko-KR"/>
        </w:rPr>
        <w:t xml:space="preserve"> </w:t>
      </w:r>
      <w:r>
        <w:rPr>
          <w:rFonts w:hint="eastAsia"/>
          <w:lang w:eastAsia="ko-KR"/>
        </w:rPr>
        <w:t>reduction</w:t>
      </w:r>
      <w:r>
        <w:rPr>
          <w:lang w:eastAsia="ko-KR"/>
        </w:rPr>
        <w:t xml:space="preserve"> </w:t>
      </w:r>
      <w:r>
        <w:rPr>
          <w:rFonts w:hint="eastAsia"/>
          <w:lang w:eastAsia="ko-KR"/>
        </w:rPr>
        <w:t>of</w:t>
      </w:r>
      <w:r>
        <w:rPr>
          <w:lang w:eastAsia="ko-KR"/>
        </w:rPr>
        <w:t xml:space="preserve"> </w:t>
      </w:r>
      <w:r>
        <w:rPr>
          <w:rFonts w:hint="eastAsia"/>
          <w:lang w:eastAsia="ko-KR"/>
        </w:rPr>
        <w:t>CO2</w:t>
      </w:r>
      <w:r>
        <w:rPr>
          <w:lang w:eastAsia="ko-KR"/>
        </w:rPr>
        <w:t xml:space="preserve"> </w:t>
      </w:r>
      <w:r>
        <w:rPr>
          <w:rFonts w:hint="eastAsia"/>
          <w:lang w:eastAsia="ko-KR"/>
        </w:rPr>
        <w:t>and</w:t>
      </w:r>
      <w:r>
        <w:rPr>
          <w:lang w:eastAsia="ko-KR"/>
        </w:rPr>
        <w:t xml:space="preserve"> </w:t>
      </w:r>
      <w:r>
        <w:rPr>
          <w:rFonts w:hint="eastAsia"/>
          <w:lang w:eastAsia="ko-KR"/>
        </w:rPr>
        <w:t>boiler</w:t>
      </w:r>
      <w:r>
        <w:rPr>
          <w:lang w:eastAsia="ko-KR"/>
        </w:rPr>
        <w:t xml:space="preserve"> </w:t>
      </w:r>
      <w:r>
        <w:rPr>
          <w:rFonts w:hint="eastAsia"/>
          <w:lang w:eastAsia="ko-KR"/>
        </w:rPr>
        <w:t>thermal</w:t>
      </w:r>
      <w:r>
        <w:rPr>
          <w:lang w:eastAsia="ko-KR"/>
        </w:rPr>
        <w:t xml:space="preserve"> </w:t>
      </w:r>
      <w:r>
        <w:rPr>
          <w:rFonts w:hint="eastAsia"/>
          <w:lang w:eastAsia="ko-KR"/>
        </w:rPr>
        <w:t>efficiency</w:t>
      </w:r>
      <w:r>
        <w:rPr>
          <w:lang w:eastAsia="ko-KR"/>
        </w:rPr>
        <w:t xml:space="preserve"> of the CFB boiler and PC boiler.</w:t>
      </w:r>
      <w:bookmarkStart w:id="0" w:name="_GoBack"/>
      <w:bookmarkEnd w:id="0"/>
    </w:p>
    <w:p w14:paraId="144DE6BF" w14:textId="608D0AD6" w:rsidR="008D2649" w:rsidRDefault="008D2649" w:rsidP="008D2649">
      <w:pPr>
        <w:pStyle w:val="Els-reference-head"/>
      </w:pPr>
      <w:r>
        <w:t>References</w:t>
      </w:r>
    </w:p>
    <w:p w14:paraId="44095473" w14:textId="10A329C0" w:rsidR="001D5677" w:rsidRDefault="001D5677" w:rsidP="001D5677">
      <w:pPr>
        <w:pStyle w:val="Els-body-text"/>
        <w:spacing w:after="120"/>
        <w:rPr>
          <w:sz w:val="18"/>
          <w:szCs w:val="18"/>
          <w:lang w:val="en-GB"/>
        </w:rPr>
      </w:pPr>
      <w:r>
        <w:rPr>
          <w:sz w:val="18"/>
          <w:szCs w:val="18"/>
          <w:lang w:val="en-GB"/>
        </w:rPr>
        <w:t xml:space="preserve">P. Basu, </w:t>
      </w:r>
      <w:r w:rsidR="00EB5762">
        <w:rPr>
          <w:sz w:val="18"/>
          <w:szCs w:val="18"/>
          <w:lang w:val="en-GB"/>
        </w:rPr>
        <w:t xml:space="preserve">2006, </w:t>
      </w:r>
      <w:r w:rsidR="008B79C7">
        <w:rPr>
          <w:sz w:val="18"/>
          <w:szCs w:val="18"/>
          <w:lang w:val="en-GB"/>
        </w:rPr>
        <w:t xml:space="preserve">Chap. </w:t>
      </w:r>
      <w:r w:rsidR="00EB5762">
        <w:rPr>
          <w:sz w:val="18"/>
          <w:szCs w:val="18"/>
          <w:lang w:val="en-GB"/>
        </w:rPr>
        <w:t>Heat Transfer in</w:t>
      </w:r>
      <w:r w:rsidR="00EB5762" w:rsidRPr="00EB5762">
        <w:rPr>
          <w:sz w:val="18"/>
          <w:szCs w:val="18"/>
          <w:lang w:val="en-GB"/>
        </w:rPr>
        <w:t xml:space="preserve"> C</w:t>
      </w:r>
      <w:r w:rsidR="00EB5762">
        <w:rPr>
          <w:sz w:val="18"/>
          <w:szCs w:val="18"/>
          <w:lang w:val="en-GB"/>
        </w:rPr>
        <w:t>irculating</w:t>
      </w:r>
      <w:r w:rsidR="00EB5762" w:rsidRPr="00EB5762">
        <w:rPr>
          <w:sz w:val="18"/>
          <w:szCs w:val="18"/>
          <w:lang w:val="en-GB"/>
        </w:rPr>
        <w:t xml:space="preserve"> F</w:t>
      </w:r>
      <w:r w:rsidR="00EB5762">
        <w:rPr>
          <w:sz w:val="18"/>
          <w:szCs w:val="18"/>
          <w:lang w:val="en-GB"/>
        </w:rPr>
        <w:t xml:space="preserve">luidized Beds, </w:t>
      </w:r>
      <w:r w:rsidRPr="001D5677">
        <w:rPr>
          <w:sz w:val="18"/>
          <w:szCs w:val="18"/>
          <w:lang w:val="en-GB"/>
        </w:rPr>
        <w:t>Combustion and gasification in fluidized beds. New York: Taylor &amp; Francis</w:t>
      </w:r>
      <w:r w:rsidR="00EB5762">
        <w:rPr>
          <w:sz w:val="18"/>
          <w:szCs w:val="18"/>
          <w:lang w:val="en-GB"/>
        </w:rPr>
        <w:t xml:space="preserve">, </w:t>
      </w:r>
      <w:r w:rsidR="00A0697F">
        <w:rPr>
          <w:sz w:val="18"/>
          <w:szCs w:val="18"/>
          <w:lang w:val="en-GB"/>
        </w:rPr>
        <w:t xml:space="preserve">pp. </w:t>
      </w:r>
      <w:r w:rsidR="00EB5762">
        <w:rPr>
          <w:sz w:val="18"/>
          <w:szCs w:val="18"/>
          <w:lang w:val="en-GB"/>
        </w:rPr>
        <w:t>178</w:t>
      </w:r>
      <w:r w:rsidRPr="001D5677">
        <w:rPr>
          <w:sz w:val="18"/>
          <w:szCs w:val="18"/>
          <w:lang w:val="en-GB"/>
        </w:rPr>
        <w:t>.</w:t>
      </w:r>
    </w:p>
    <w:p w14:paraId="66A3B480" w14:textId="24CBBB83" w:rsidR="001D5677" w:rsidRPr="001D5677" w:rsidRDefault="001D5677" w:rsidP="001D5677">
      <w:pPr>
        <w:pStyle w:val="Els-body-text"/>
        <w:spacing w:after="120"/>
        <w:rPr>
          <w:sz w:val="18"/>
          <w:szCs w:val="18"/>
          <w:lang w:val="en-GB"/>
        </w:rPr>
      </w:pPr>
      <w:r>
        <w:rPr>
          <w:rFonts w:hint="eastAsia"/>
          <w:sz w:val="18"/>
          <w:szCs w:val="18"/>
          <w:lang w:val="en-GB"/>
        </w:rPr>
        <w:t>P</w:t>
      </w:r>
      <w:r>
        <w:rPr>
          <w:sz w:val="18"/>
          <w:szCs w:val="18"/>
          <w:lang w:val="en-GB"/>
        </w:rPr>
        <w:t xml:space="preserve">. Basu, C. Kefa, L. Jestin, </w:t>
      </w:r>
      <w:r w:rsidR="00A0697F">
        <w:rPr>
          <w:sz w:val="18"/>
          <w:szCs w:val="18"/>
          <w:lang w:val="en-GB"/>
        </w:rPr>
        <w:t xml:space="preserve">2000, Chap. </w:t>
      </w:r>
      <w:r w:rsidR="00A0697F" w:rsidRPr="00A0697F">
        <w:rPr>
          <w:sz w:val="18"/>
          <w:szCs w:val="18"/>
          <w:lang w:val="en-GB"/>
        </w:rPr>
        <w:t>Boiler Furnace Design Methods</w:t>
      </w:r>
      <w:r w:rsidR="00A0697F">
        <w:rPr>
          <w:sz w:val="18"/>
          <w:szCs w:val="18"/>
          <w:lang w:val="en-GB"/>
        </w:rPr>
        <w:t xml:space="preserve">, </w:t>
      </w:r>
      <w:r w:rsidRPr="001D5677">
        <w:rPr>
          <w:sz w:val="18"/>
          <w:szCs w:val="18"/>
          <w:lang w:val="en-GB"/>
        </w:rPr>
        <w:t>Boiler and burners (Design and Theory). New York</w:t>
      </w:r>
      <w:r>
        <w:rPr>
          <w:sz w:val="18"/>
          <w:szCs w:val="18"/>
          <w:lang w:val="en-GB"/>
        </w:rPr>
        <w:t xml:space="preserve">, </w:t>
      </w:r>
      <w:r w:rsidRPr="001D5677">
        <w:rPr>
          <w:sz w:val="18"/>
          <w:szCs w:val="18"/>
          <w:lang w:val="en-GB"/>
        </w:rPr>
        <w:t>Springer</w:t>
      </w:r>
      <w:r w:rsidR="00A0697F">
        <w:rPr>
          <w:sz w:val="18"/>
          <w:szCs w:val="18"/>
          <w:lang w:val="en-GB"/>
        </w:rPr>
        <w:t>, pp. 128</w:t>
      </w:r>
    </w:p>
    <w:p w14:paraId="7D3FEBF9" w14:textId="696AED9D" w:rsidR="00DD291D" w:rsidRDefault="00DD291D" w:rsidP="00DD291D">
      <w:pPr>
        <w:pStyle w:val="Els-body-text"/>
        <w:spacing w:after="120"/>
        <w:rPr>
          <w:sz w:val="18"/>
          <w:szCs w:val="18"/>
          <w:lang w:val="en-GB" w:eastAsia="ko-KR"/>
        </w:rPr>
      </w:pPr>
      <w:r>
        <w:rPr>
          <w:sz w:val="18"/>
          <w:szCs w:val="18"/>
          <w:lang w:val="en-GB" w:eastAsia="ko-KR"/>
        </w:rPr>
        <w:t xml:space="preserve">FP. </w:t>
      </w:r>
      <w:r w:rsidRPr="00E96B08">
        <w:rPr>
          <w:sz w:val="18"/>
          <w:szCs w:val="18"/>
          <w:lang w:val="en-GB" w:eastAsia="ko-KR"/>
        </w:rPr>
        <w:t xml:space="preserve">Incropera, </w:t>
      </w:r>
      <w:r>
        <w:rPr>
          <w:sz w:val="18"/>
          <w:szCs w:val="18"/>
          <w:lang w:val="en-GB" w:eastAsia="ko-KR"/>
        </w:rPr>
        <w:t xml:space="preserve">DP. </w:t>
      </w:r>
      <w:r w:rsidRPr="00E96B08">
        <w:rPr>
          <w:sz w:val="18"/>
          <w:szCs w:val="18"/>
          <w:lang w:val="en-GB" w:eastAsia="ko-KR"/>
        </w:rPr>
        <w:t>Dewitt</w:t>
      </w:r>
      <w:r>
        <w:rPr>
          <w:sz w:val="18"/>
          <w:szCs w:val="18"/>
          <w:lang w:val="en-GB" w:eastAsia="ko-KR"/>
        </w:rPr>
        <w:t>,</w:t>
      </w:r>
      <w:r w:rsidRPr="00E96B08">
        <w:rPr>
          <w:sz w:val="18"/>
          <w:szCs w:val="18"/>
          <w:lang w:val="en-GB" w:eastAsia="ko-KR"/>
        </w:rPr>
        <w:t xml:space="preserve"> </w:t>
      </w:r>
      <w:r>
        <w:rPr>
          <w:sz w:val="18"/>
          <w:szCs w:val="18"/>
          <w:lang w:val="en-GB" w:eastAsia="ko-KR"/>
        </w:rPr>
        <w:t xml:space="preserve">TL. </w:t>
      </w:r>
      <w:r w:rsidRPr="00E96B08">
        <w:rPr>
          <w:sz w:val="18"/>
          <w:szCs w:val="18"/>
          <w:lang w:val="en-GB" w:eastAsia="ko-KR"/>
        </w:rPr>
        <w:t xml:space="preserve">Bergman, </w:t>
      </w:r>
      <w:r>
        <w:rPr>
          <w:sz w:val="18"/>
          <w:szCs w:val="18"/>
          <w:lang w:val="en-GB" w:eastAsia="ko-KR"/>
        </w:rPr>
        <w:t xml:space="preserve">AS. </w:t>
      </w:r>
      <w:r w:rsidRPr="00E96B08">
        <w:rPr>
          <w:sz w:val="18"/>
          <w:szCs w:val="18"/>
          <w:lang w:val="en-GB" w:eastAsia="ko-KR"/>
        </w:rPr>
        <w:t>Lavine</w:t>
      </w:r>
      <w:r>
        <w:rPr>
          <w:sz w:val="18"/>
          <w:szCs w:val="18"/>
          <w:lang w:val="en-GB" w:eastAsia="ko-KR"/>
        </w:rPr>
        <w:t>,</w:t>
      </w:r>
      <w:r w:rsidRPr="00E96B08">
        <w:rPr>
          <w:sz w:val="18"/>
          <w:szCs w:val="18"/>
          <w:lang w:val="en-GB" w:eastAsia="ko-KR"/>
        </w:rPr>
        <w:t xml:space="preserve"> </w:t>
      </w:r>
      <w:r w:rsidR="008B79C7">
        <w:rPr>
          <w:sz w:val="18"/>
          <w:szCs w:val="18"/>
          <w:lang w:val="en-GB" w:eastAsia="ko-KR"/>
        </w:rPr>
        <w:t xml:space="preserve">2008, </w:t>
      </w:r>
      <w:r w:rsidRPr="00E96B08">
        <w:rPr>
          <w:sz w:val="18"/>
          <w:szCs w:val="18"/>
          <w:lang w:val="en-GB" w:eastAsia="ko-KR"/>
        </w:rPr>
        <w:t>Fundamentals of Heat and Mass</w:t>
      </w:r>
      <w:r>
        <w:rPr>
          <w:rFonts w:hint="eastAsia"/>
          <w:sz w:val="18"/>
          <w:szCs w:val="18"/>
          <w:lang w:val="en-GB" w:eastAsia="ko-KR"/>
        </w:rPr>
        <w:t xml:space="preserve"> </w:t>
      </w:r>
      <w:r w:rsidRPr="00E96B08">
        <w:rPr>
          <w:sz w:val="18"/>
          <w:szCs w:val="18"/>
          <w:lang w:val="en-GB" w:eastAsia="ko-KR"/>
        </w:rPr>
        <w:t>Transfer</w:t>
      </w:r>
      <w:r>
        <w:rPr>
          <w:sz w:val="18"/>
          <w:szCs w:val="18"/>
          <w:lang w:val="en-GB" w:eastAsia="ko-KR"/>
        </w:rPr>
        <w:t>,</w:t>
      </w:r>
      <w:r w:rsidRPr="00E96B08">
        <w:rPr>
          <w:sz w:val="18"/>
          <w:szCs w:val="18"/>
          <w:lang w:val="en-GB" w:eastAsia="ko-KR"/>
        </w:rPr>
        <w:t xml:space="preserve"> New York</w:t>
      </w:r>
      <w:r>
        <w:rPr>
          <w:sz w:val="18"/>
          <w:szCs w:val="18"/>
          <w:lang w:val="en-GB" w:eastAsia="ko-KR"/>
        </w:rPr>
        <w:t>,</w:t>
      </w:r>
      <w:r w:rsidRPr="00E96B08">
        <w:rPr>
          <w:sz w:val="18"/>
          <w:szCs w:val="18"/>
          <w:lang w:val="en-GB" w:eastAsia="ko-KR"/>
        </w:rPr>
        <w:t xml:space="preserve"> Wiley.</w:t>
      </w:r>
    </w:p>
    <w:p w14:paraId="4ABA89E4" w14:textId="3E97FBD5" w:rsidR="001D5677" w:rsidRDefault="001D5677" w:rsidP="001D5677">
      <w:pPr>
        <w:pStyle w:val="Els-body-text"/>
        <w:spacing w:after="120"/>
        <w:rPr>
          <w:sz w:val="18"/>
          <w:szCs w:val="18"/>
          <w:lang w:val="en-GB" w:eastAsia="ko-KR"/>
        </w:rPr>
      </w:pPr>
      <w:r>
        <w:rPr>
          <w:rFonts w:hint="eastAsia"/>
          <w:sz w:val="18"/>
          <w:szCs w:val="18"/>
          <w:lang w:val="en-GB" w:eastAsia="ko-KR"/>
        </w:rPr>
        <w:t>S</w:t>
      </w:r>
      <w:r>
        <w:rPr>
          <w:sz w:val="18"/>
          <w:szCs w:val="18"/>
          <w:lang w:val="en-GB" w:eastAsia="ko-KR"/>
        </w:rPr>
        <w:t xml:space="preserve">. Kim, M. Lim, Y. Lee, J. Lee, and W Yang, </w:t>
      </w:r>
      <w:r w:rsidR="008B79C7">
        <w:rPr>
          <w:sz w:val="18"/>
          <w:szCs w:val="18"/>
          <w:lang w:val="en-GB" w:eastAsia="ko-KR"/>
        </w:rPr>
        <w:t xml:space="preserve">2023, </w:t>
      </w:r>
      <w:r w:rsidRPr="001D5677">
        <w:rPr>
          <w:sz w:val="18"/>
          <w:szCs w:val="18"/>
          <w:lang w:val="en-GB" w:eastAsia="ko-KR"/>
        </w:rPr>
        <w:t>Evaluation of effects of ammonia co-firing on the thermal performances of</w:t>
      </w:r>
      <w:r>
        <w:rPr>
          <w:sz w:val="18"/>
          <w:szCs w:val="18"/>
          <w:lang w:val="en-GB" w:eastAsia="ko-KR"/>
        </w:rPr>
        <w:t xml:space="preserve"> </w:t>
      </w:r>
      <w:r w:rsidRPr="001D5677">
        <w:rPr>
          <w:sz w:val="18"/>
          <w:szCs w:val="18"/>
          <w:lang w:val="en-GB" w:eastAsia="ko-KR"/>
        </w:rPr>
        <w:t>supercritical pulverized coal and circulating fluidized bed boilers</w:t>
      </w:r>
      <w:r w:rsidR="008B79C7">
        <w:rPr>
          <w:sz w:val="18"/>
          <w:szCs w:val="18"/>
          <w:lang w:val="en-GB" w:eastAsia="ko-KR"/>
        </w:rPr>
        <w:t>, 276,</w:t>
      </w:r>
      <w:r>
        <w:rPr>
          <w:sz w:val="18"/>
          <w:szCs w:val="18"/>
          <w:lang w:val="en-GB" w:eastAsia="ko-KR"/>
        </w:rPr>
        <w:t xml:space="preserve"> 116528.</w:t>
      </w:r>
    </w:p>
    <w:p w14:paraId="67A4E634" w14:textId="7B3172D3" w:rsidR="00D415A8" w:rsidRDefault="00D415A8" w:rsidP="001D5677">
      <w:pPr>
        <w:pStyle w:val="Els-body-text"/>
        <w:spacing w:after="120"/>
        <w:rPr>
          <w:rFonts w:hint="eastAsia"/>
          <w:sz w:val="18"/>
          <w:szCs w:val="18"/>
          <w:lang w:val="en-GB" w:eastAsia="ko-KR"/>
        </w:rPr>
      </w:pPr>
      <w:r>
        <w:rPr>
          <w:sz w:val="18"/>
          <w:szCs w:val="18"/>
          <w:lang w:val="en-GB" w:eastAsia="ko-KR"/>
        </w:rPr>
        <w:t>H. Kobayashi</w:t>
      </w:r>
      <w:r w:rsidRPr="00850B23">
        <w:rPr>
          <w:sz w:val="18"/>
          <w:szCs w:val="18"/>
          <w:lang w:val="en-GB" w:eastAsia="ko-KR"/>
        </w:rPr>
        <w:t xml:space="preserve">, </w:t>
      </w:r>
      <w:r>
        <w:rPr>
          <w:sz w:val="18"/>
          <w:szCs w:val="18"/>
          <w:lang w:val="en-GB" w:eastAsia="ko-KR"/>
        </w:rPr>
        <w:t>A. Hayakawa</w:t>
      </w:r>
      <w:r w:rsidRPr="00850B23">
        <w:rPr>
          <w:sz w:val="18"/>
          <w:szCs w:val="18"/>
          <w:lang w:val="en-GB" w:eastAsia="ko-KR"/>
        </w:rPr>
        <w:t xml:space="preserve">, </w:t>
      </w:r>
      <w:r>
        <w:rPr>
          <w:sz w:val="18"/>
          <w:szCs w:val="18"/>
          <w:lang w:val="en-GB" w:eastAsia="ko-KR"/>
        </w:rPr>
        <w:t>K. Somarathne</w:t>
      </w:r>
      <w:r w:rsidRPr="00850B23">
        <w:rPr>
          <w:sz w:val="18"/>
          <w:szCs w:val="18"/>
          <w:lang w:val="en-GB" w:eastAsia="ko-KR"/>
        </w:rPr>
        <w:t xml:space="preserve">, </w:t>
      </w:r>
      <w:r>
        <w:rPr>
          <w:sz w:val="18"/>
          <w:szCs w:val="18"/>
          <w:lang w:val="en-GB" w:eastAsia="ko-KR"/>
        </w:rPr>
        <w:t>E. Okafor</w:t>
      </w:r>
      <w:r w:rsidRPr="00850B23">
        <w:rPr>
          <w:sz w:val="18"/>
          <w:szCs w:val="18"/>
          <w:lang w:val="en-GB" w:eastAsia="ko-KR"/>
        </w:rPr>
        <w:t>. Science and technology of</w:t>
      </w:r>
      <w:r>
        <w:rPr>
          <w:rFonts w:hint="eastAsia"/>
          <w:sz w:val="18"/>
          <w:szCs w:val="18"/>
          <w:lang w:val="en-GB" w:eastAsia="ko-KR"/>
        </w:rPr>
        <w:t xml:space="preserve"> </w:t>
      </w:r>
      <w:r w:rsidRPr="00850B23">
        <w:rPr>
          <w:sz w:val="18"/>
          <w:szCs w:val="18"/>
          <w:lang w:val="en-GB" w:eastAsia="ko-KR"/>
        </w:rPr>
        <w:t xml:space="preserve">ammonia combustion. </w:t>
      </w:r>
      <w:r>
        <w:rPr>
          <w:sz w:val="18"/>
          <w:szCs w:val="18"/>
          <w:lang w:val="en-GB" w:eastAsia="ko-KR"/>
        </w:rPr>
        <w:t xml:space="preserve">2019, </w:t>
      </w:r>
      <w:r w:rsidRPr="00850B23">
        <w:rPr>
          <w:sz w:val="18"/>
          <w:szCs w:val="18"/>
          <w:lang w:val="en-GB" w:eastAsia="ko-KR"/>
        </w:rPr>
        <w:t xml:space="preserve">Proc Combust Inst </w:t>
      </w:r>
      <w:r>
        <w:rPr>
          <w:sz w:val="18"/>
          <w:szCs w:val="18"/>
          <w:lang w:val="en-GB" w:eastAsia="ko-KR"/>
        </w:rPr>
        <w:t xml:space="preserve">37, </w:t>
      </w:r>
      <w:r w:rsidRPr="00850B23">
        <w:rPr>
          <w:sz w:val="18"/>
          <w:szCs w:val="18"/>
          <w:lang w:val="en-GB" w:eastAsia="ko-KR"/>
        </w:rPr>
        <w:t>109–</w:t>
      </w:r>
      <w:r>
        <w:rPr>
          <w:sz w:val="18"/>
          <w:szCs w:val="18"/>
          <w:lang w:val="en-GB" w:eastAsia="ko-KR"/>
        </w:rPr>
        <w:t>1</w:t>
      </w:r>
      <w:r>
        <w:rPr>
          <w:sz w:val="18"/>
          <w:szCs w:val="18"/>
          <w:lang w:val="en-GB" w:eastAsia="ko-KR"/>
        </w:rPr>
        <w:t>33. https://doi.org/</w:t>
      </w:r>
      <w:r w:rsidRPr="00850B23">
        <w:rPr>
          <w:sz w:val="18"/>
          <w:szCs w:val="18"/>
          <w:lang w:val="en-GB" w:eastAsia="ko-KR"/>
        </w:rPr>
        <w:t>10.1016/j.proci.2018.09.029.</w:t>
      </w:r>
    </w:p>
    <w:p w14:paraId="26BADBB8" w14:textId="49FFBA08" w:rsidR="001D5677" w:rsidRDefault="001D5677" w:rsidP="001D5677">
      <w:pPr>
        <w:pStyle w:val="Els-body-text"/>
        <w:spacing w:after="120"/>
        <w:jc w:val="left"/>
        <w:rPr>
          <w:sz w:val="18"/>
          <w:szCs w:val="18"/>
          <w:lang w:val="en-GB" w:eastAsia="ko-KR"/>
        </w:rPr>
      </w:pPr>
      <w:r>
        <w:rPr>
          <w:sz w:val="18"/>
          <w:szCs w:val="18"/>
          <w:lang w:val="en-GB" w:eastAsia="ko-KR"/>
        </w:rPr>
        <w:t xml:space="preserve">J. Sallevelt, J. Withag, E. Bramer, D. Brilman, G. Brem, </w:t>
      </w:r>
      <w:r w:rsidR="008B79C7">
        <w:rPr>
          <w:sz w:val="18"/>
          <w:szCs w:val="18"/>
          <w:lang w:val="en-GB" w:eastAsia="ko-KR"/>
        </w:rPr>
        <w:t xml:space="preserve">2012, </w:t>
      </w:r>
      <w:r w:rsidRPr="001D5677">
        <w:rPr>
          <w:sz w:val="18"/>
          <w:szCs w:val="18"/>
          <w:lang w:val="en-GB" w:eastAsia="ko-KR"/>
        </w:rPr>
        <w:t>One-dimensional</w:t>
      </w:r>
      <w:r>
        <w:rPr>
          <w:rFonts w:hint="eastAsia"/>
          <w:sz w:val="18"/>
          <w:szCs w:val="18"/>
          <w:lang w:val="en-GB" w:eastAsia="ko-KR"/>
        </w:rPr>
        <w:t xml:space="preserve"> </w:t>
      </w:r>
      <w:r w:rsidRPr="001D5677">
        <w:rPr>
          <w:sz w:val="18"/>
          <w:szCs w:val="18"/>
          <w:lang w:val="en-GB" w:eastAsia="ko-KR"/>
        </w:rPr>
        <w:t>model for heat transfer to a supercritical water flow in a tube</w:t>
      </w:r>
      <w:r>
        <w:rPr>
          <w:sz w:val="18"/>
          <w:szCs w:val="18"/>
          <w:lang w:val="en-GB" w:eastAsia="ko-KR"/>
        </w:rPr>
        <w:t>,</w:t>
      </w:r>
      <w:r w:rsidRPr="001D5677">
        <w:rPr>
          <w:sz w:val="18"/>
          <w:szCs w:val="18"/>
          <w:lang w:val="en-GB" w:eastAsia="ko-KR"/>
        </w:rPr>
        <w:t xml:space="preserve"> J Supercrit Fluids</w:t>
      </w:r>
      <w:r>
        <w:rPr>
          <w:sz w:val="18"/>
          <w:szCs w:val="18"/>
          <w:lang w:val="en-GB" w:eastAsia="ko-KR"/>
        </w:rPr>
        <w:t>,</w:t>
      </w:r>
      <w:r>
        <w:rPr>
          <w:rFonts w:hint="eastAsia"/>
          <w:sz w:val="18"/>
          <w:szCs w:val="18"/>
          <w:lang w:val="en-GB" w:eastAsia="ko-KR"/>
        </w:rPr>
        <w:t xml:space="preserve"> </w:t>
      </w:r>
      <w:r w:rsidRPr="001D5677">
        <w:rPr>
          <w:sz w:val="18"/>
          <w:szCs w:val="18"/>
          <w:lang w:val="en-GB" w:eastAsia="ko-KR"/>
        </w:rPr>
        <w:t>68</w:t>
      </w:r>
      <w:r>
        <w:rPr>
          <w:sz w:val="18"/>
          <w:szCs w:val="18"/>
          <w:lang w:val="en-GB" w:eastAsia="ko-KR"/>
        </w:rPr>
        <w:t>,</w:t>
      </w:r>
      <w:r w:rsidR="008B79C7">
        <w:rPr>
          <w:sz w:val="18"/>
          <w:szCs w:val="18"/>
          <w:lang w:val="en-GB" w:eastAsia="ko-KR"/>
        </w:rPr>
        <w:t xml:space="preserve"> </w:t>
      </w:r>
      <w:r w:rsidRPr="001D5677">
        <w:rPr>
          <w:sz w:val="18"/>
          <w:szCs w:val="18"/>
          <w:lang w:val="en-GB" w:eastAsia="ko-KR"/>
        </w:rPr>
        <w:t>1–12. https://doi.org/10.1016/j.supflu.2012.04.003.</w:t>
      </w:r>
    </w:p>
    <w:p w14:paraId="61649211" w14:textId="09A453C8" w:rsidR="001D5677" w:rsidRPr="00FB2FB1" w:rsidRDefault="001D5677" w:rsidP="00D415A8">
      <w:pPr>
        <w:pStyle w:val="Els-body-text"/>
        <w:spacing w:after="120"/>
        <w:rPr>
          <w:rFonts w:hint="eastAsia"/>
          <w:sz w:val="18"/>
          <w:szCs w:val="18"/>
          <w:lang w:val="en-GB"/>
        </w:rPr>
      </w:pPr>
      <w:r>
        <w:rPr>
          <w:rFonts w:hint="eastAsia"/>
          <w:sz w:val="18"/>
          <w:szCs w:val="18"/>
          <w:lang w:val="en-GB"/>
        </w:rPr>
        <w:t>M</w:t>
      </w:r>
      <w:r>
        <w:rPr>
          <w:sz w:val="18"/>
          <w:szCs w:val="18"/>
          <w:lang w:val="en-GB"/>
        </w:rPr>
        <w:t>. Zhang, H. Wu, Q. Lu, Y. Sun, and G. Song,</w:t>
      </w:r>
      <w:r>
        <w:rPr>
          <w:rFonts w:hint="eastAsia"/>
          <w:sz w:val="18"/>
          <w:szCs w:val="18"/>
          <w:lang w:val="en-GB"/>
        </w:rPr>
        <w:t xml:space="preserve"> </w:t>
      </w:r>
      <w:r w:rsidR="008B79C7">
        <w:rPr>
          <w:sz w:val="18"/>
          <w:szCs w:val="18"/>
          <w:lang w:val="en-GB"/>
        </w:rPr>
        <w:t xml:space="preserve">2012, </w:t>
      </w:r>
      <w:r w:rsidRPr="001D5677">
        <w:rPr>
          <w:sz w:val="18"/>
          <w:szCs w:val="18"/>
          <w:lang w:val="en-GB"/>
        </w:rPr>
        <w:t>Heat transfer characteristics of fluidized bed</w:t>
      </w:r>
      <w:r>
        <w:rPr>
          <w:rFonts w:hint="eastAsia"/>
          <w:sz w:val="18"/>
          <w:szCs w:val="18"/>
          <w:lang w:val="en-GB" w:eastAsia="ko-KR"/>
        </w:rPr>
        <w:t xml:space="preserve"> </w:t>
      </w:r>
      <w:r w:rsidRPr="001D5677">
        <w:rPr>
          <w:sz w:val="18"/>
          <w:szCs w:val="18"/>
          <w:lang w:val="en-GB"/>
        </w:rPr>
        <w:t>heat exchanger in a 300MW CFB boiler</w:t>
      </w:r>
      <w:r>
        <w:rPr>
          <w:sz w:val="18"/>
          <w:szCs w:val="18"/>
          <w:lang w:val="en-GB"/>
        </w:rPr>
        <w:t>,</w:t>
      </w:r>
      <w:r w:rsidRPr="001D5677">
        <w:rPr>
          <w:sz w:val="18"/>
          <w:szCs w:val="18"/>
          <w:lang w:val="en-GB"/>
        </w:rPr>
        <w:t xml:space="preserve"> Powder Technol</w:t>
      </w:r>
      <w:r>
        <w:rPr>
          <w:sz w:val="18"/>
          <w:szCs w:val="18"/>
          <w:lang w:val="en-GB"/>
        </w:rPr>
        <w:t>,</w:t>
      </w:r>
      <w:r w:rsidR="008B79C7">
        <w:rPr>
          <w:sz w:val="18"/>
          <w:szCs w:val="18"/>
          <w:lang w:val="en-GB"/>
        </w:rPr>
        <w:t xml:space="preserve"> </w:t>
      </w:r>
      <w:r w:rsidRPr="001D5677">
        <w:rPr>
          <w:sz w:val="18"/>
          <w:szCs w:val="18"/>
          <w:lang w:val="en-GB"/>
        </w:rPr>
        <w:t>222</w:t>
      </w:r>
      <w:r>
        <w:rPr>
          <w:sz w:val="18"/>
          <w:szCs w:val="18"/>
          <w:lang w:val="en-GB"/>
        </w:rPr>
        <w:t>,</w:t>
      </w:r>
      <w:r w:rsidR="008B79C7">
        <w:rPr>
          <w:sz w:val="18"/>
          <w:szCs w:val="18"/>
          <w:lang w:val="en-GB"/>
        </w:rPr>
        <w:t xml:space="preserve"> </w:t>
      </w:r>
      <w:r w:rsidRPr="001D5677">
        <w:rPr>
          <w:sz w:val="18"/>
          <w:szCs w:val="18"/>
          <w:lang w:val="en-GB"/>
        </w:rPr>
        <w:t>1–7.</w:t>
      </w:r>
    </w:p>
    <w:sectPr w:rsidR="001D5677" w:rsidRPr="00FB2FB1"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8C04DB" w16cex:dateUtc="2023-12-12T19:22:00Z"/>
  <w16cex:commentExtensible w16cex:durableId="7A35EDC2" w16cex:dateUtc="2023-12-12T19:22:00Z"/>
  <w16cex:commentExtensible w16cex:durableId="77059C81" w16cex:dateUtc="2023-12-12T19:22:00Z"/>
  <w16cex:commentExtensible w16cex:durableId="47B999F7" w16cex:dateUtc="2023-12-12T19:23:00Z"/>
  <w16cex:commentExtensible w16cex:durableId="7C135BC7" w16cex:dateUtc="2023-12-12T19:28:00Z"/>
  <w16cex:commentExtensible w16cex:durableId="7A40762F" w16cex:dateUtc="2023-12-12T19:28:00Z"/>
  <w16cex:commentExtensible w16cex:durableId="204B0624" w16cex:dateUtc="2023-12-12T19:31:00Z"/>
  <w16cex:commentExtensible w16cex:durableId="36B01737" w16cex:dateUtc="2023-12-12T19:30:00Z"/>
  <w16cex:commentExtensible w16cex:durableId="407895B8" w16cex:dateUtc="2023-12-12T19:30:00Z"/>
  <w16cex:commentExtensible w16cex:durableId="7D8CEB3F" w16cex:dateUtc="2023-12-12T19:35:00Z"/>
  <w16cex:commentExtensible w16cex:durableId="68722E68" w16cex:dateUtc="2023-12-12T19:40:00Z"/>
  <w16cex:commentExtensible w16cex:durableId="4229BF96" w16cex:dateUtc="2023-12-14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E6079" w16cid:durableId="058C04DB"/>
  <w16cid:commentId w16cid:paraId="20BE2BD4" w16cid:durableId="7A35EDC2"/>
  <w16cid:commentId w16cid:paraId="718A9F5B" w16cid:durableId="77059C81"/>
  <w16cid:commentId w16cid:paraId="23AD68F7" w16cid:durableId="47B999F7"/>
  <w16cid:commentId w16cid:paraId="03C06D74" w16cid:durableId="7C135BC7"/>
  <w16cid:commentId w16cid:paraId="383D5DC6" w16cid:durableId="7A40762F"/>
  <w16cid:commentId w16cid:paraId="63E32DDC" w16cid:durableId="204B0624"/>
  <w16cid:commentId w16cid:paraId="649F2D50" w16cid:durableId="36B01737"/>
  <w16cid:commentId w16cid:paraId="0587E90D" w16cid:durableId="407895B8"/>
  <w16cid:commentId w16cid:paraId="79CF544E" w16cid:durableId="7D8CEB3F"/>
  <w16cid:commentId w16cid:paraId="374736C4" w16cid:durableId="68722E68"/>
  <w16cid:commentId w16cid:paraId="614ACF93" w16cid:durableId="4229BF9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E9F9E" w14:textId="77777777" w:rsidR="00AC1602" w:rsidRDefault="00AC1602">
      <w:r>
        <w:separator/>
      </w:r>
    </w:p>
  </w:endnote>
  <w:endnote w:type="continuationSeparator" w:id="0">
    <w:p w14:paraId="0B0E97A2" w14:textId="77777777" w:rsidR="00AC1602" w:rsidRDefault="00AC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68F21" w14:textId="77777777" w:rsidR="00AC1602" w:rsidRDefault="00AC1602">
      <w:r>
        <w:separator/>
      </w:r>
    </w:p>
  </w:footnote>
  <w:footnote w:type="continuationSeparator" w:id="0">
    <w:p w14:paraId="32214266" w14:textId="77777777" w:rsidR="00AC1602" w:rsidRDefault="00AC16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629A4AAB" w:rsidR="00DD3D9E" w:rsidRDefault="00DD3D9E">
    <w:pPr>
      <w:pStyle w:val="a5"/>
      <w:tabs>
        <w:tab w:val="clear" w:pos="7200"/>
        <w:tab w:val="right" w:pos="7088"/>
      </w:tabs>
    </w:pPr>
    <w:r>
      <w:rPr>
        <w:rStyle w:val="aa"/>
      </w:rPr>
      <w:tab/>
    </w:r>
    <w:r>
      <w:rPr>
        <w:rStyle w:val="aa"/>
        <w:i/>
      </w:rPr>
      <w:tab/>
    </w:r>
    <w:r w:rsidR="00894047">
      <w:rPr>
        <w:i/>
      </w:rPr>
      <w:t>S. Kim and W. Yang</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546286B2" w:rsidR="00DD3D9E" w:rsidRDefault="00894047" w:rsidP="00894047">
    <w:pPr>
      <w:pStyle w:val="a5"/>
      <w:tabs>
        <w:tab w:val="clear" w:pos="7200"/>
        <w:tab w:val="right" w:pos="7088"/>
      </w:tabs>
      <w:rPr>
        <w:sz w:val="24"/>
      </w:rPr>
    </w:pPr>
    <w:r w:rsidRPr="00894047">
      <w:rPr>
        <w:i/>
      </w:rPr>
      <w:t>Process simulation of effects of ammonia co-firing on the thermal performances of the supercritical circulating fluidized bed boiler</w:t>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26A17"/>
    <w:rsid w:val="00056ECB"/>
    <w:rsid w:val="00065B56"/>
    <w:rsid w:val="00066CF4"/>
    <w:rsid w:val="00077EB6"/>
    <w:rsid w:val="000D3D9B"/>
    <w:rsid w:val="0013050F"/>
    <w:rsid w:val="00136995"/>
    <w:rsid w:val="0016032F"/>
    <w:rsid w:val="001736F5"/>
    <w:rsid w:val="001879F6"/>
    <w:rsid w:val="001A2958"/>
    <w:rsid w:val="001C0148"/>
    <w:rsid w:val="001C757E"/>
    <w:rsid w:val="001D5046"/>
    <w:rsid w:val="001D5677"/>
    <w:rsid w:val="0020390F"/>
    <w:rsid w:val="00251E09"/>
    <w:rsid w:val="00264926"/>
    <w:rsid w:val="0028546A"/>
    <w:rsid w:val="00290185"/>
    <w:rsid w:val="002B7B5A"/>
    <w:rsid w:val="002F40B9"/>
    <w:rsid w:val="002F620E"/>
    <w:rsid w:val="003135A6"/>
    <w:rsid w:val="00356445"/>
    <w:rsid w:val="003A0712"/>
    <w:rsid w:val="003A57D3"/>
    <w:rsid w:val="003D1582"/>
    <w:rsid w:val="003D7E4C"/>
    <w:rsid w:val="003E41C2"/>
    <w:rsid w:val="003F69BE"/>
    <w:rsid w:val="0042027C"/>
    <w:rsid w:val="0048023A"/>
    <w:rsid w:val="00481F51"/>
    <w:rsid w:val="0049772C"/>
    <w:rsid w:val="004A5E55"/>
    <w:rsid w:val="004D0E3E"/>
    <w:rsid w:val="00533F84"/>
    <w:rsid w:val="00543D5C"/>
    <w:rsid w:val="00552EEB"/>
    <w:rsid w:val="00562E7A"/>
    <w:rsid w:val="0059250A"/>
    <w:rsid w:val="005B44DA"/>
    <w:rsid w:val="005E00AD"/>
    <w:rsid w:val="005E35CF"/>
    <w:rsid w:val="00614B10"/>
    <w:rsid w:val="00630EAB"/>
    <w:rsid w:val="00674AE6"/>
    <w:rsid w:val="00677006"/>
    <w:rsid w:val="006A69BF"/>
    <w:rsid w:val="006B5D21"/>
    <w:rsid w:val="006D4753"/>
    <w:rsid w:val="006F53DF"/>
    <w:rsid w:val="00711DF4"/>
    <w:rsid w:val="007D70A1"/>
    <w:rsid w:val="007E6686"/>
    <w:rsid w:val="007E6B7C"/>
    <w:rsid w:val="007F3D9C"/>
    <w:rsid w:val="007F5CC8"/>
    <w:rsid w:val="007F6CA4"/>
    <w:rsid w:val="00800D6C"/>
    <w:rsid w:val="00805D0D"/>
    <w:rsid w:val="008132E8"/>
    <w:rsid w:val="00816AA0"/>
    <w:rsid w:val="00823407"/>
    <w:rsid w:val="00824AB3"/>
    <w:rsid w:val="00833EAD"/>
    <w:rsid w:val="00845F45"/>
    <w:rsid w:val="00850B23"/>
    <w:rsid w:val="008726A4"/>
    <w:rsid w:val="00894047"/>
    <w:rsid w:val="00894CEF"/>
    <w:rsid w:val="008B0184"/>
    <w:rsid w:val="008B79C7"/>
    <w:rsid w:val="008C5D02"/>
    <w:rsid w:val="008D2649"/>
    <w:rsid w:val="008D57C0"/>
    <w:rsid w:val="008E1A3E"/>
    <w:rsid w:val="0090568D"/>
    <w:rsid w:val="009125C9"/>
    <w:rsid w:val="00913879"/>
    <w:rsid w:val="00917661"/>
    <w:rsid w:val="00924750"/>
    <w:rsid w:val="0095075B"/>
    <w:rsid w:val="00970E5D"/>
    <w:rsid w:val="00975A13"/>
    <w:rsid w:val="0097701C"/>
    <w:rsid w:val="00980A65"/>
    <w:rsid w:val="009A00AD"/>
    <w:rsid w:val="009A2142"/>
    <w:rsid w:val="00A0697F"/>
    <w:rsid w:val="00A237B2"/>
    <w:rsid w:val="00A25E70"/>
    <w:rsid w:val="00A33765"/>
    <w:rsid w:val="00A55F3B"/>
    <w:rsid w:val="00A63269"/>
    <w:rsid w:val="00A6457C"/>
    <w:rsid w:val="00A92377"/>
    <w:rsid w:val="00AA6220"/>
    <w:rsid w:val="00AB01EE"/>
    <w:rsid w:val="00AB29ED"/>
    <w:rsid w:val="00AC14C2"/>
    <w:rsid w:val="00AC1602"/>
    <w:rsid w:val="00AE4BD8"/>
    <w:rsid w:val="00B02B8D"/>
    <w:rsid w:val="00B12CD9"/>
    <w:rsid w:val="00B4388F"/>
    <w:rsid w:val="00B63237"/>
    <w:rsid w:val="00C01E8C"/>
    <w:rsid w:val="00C400C6"/>
    <w:rsid w:val="00C506B2"/>
    <w:rsid w:val="00C53A7F"/>
    <w:rsid w:val="00C90518"/>
    <w:rsid w:val="00C960DC"/>
    <w:rsid w:val="00CA7B83"/>
    <w:rsid w:val="00CD0334"/>
    <w:rsid w:val="00CE4FF9"/>
    <w:rsid w:val="00CE7E19"/>
    <w:rsid w:val="00D02C75"/>
    <w:rsid w:val="00D10E22"/>
    <w:rsid w:val="00D13D2C"/>
    <w:rsid w:val="00D33721"/>
    <w:rsid w:val="00D36EB7"/>
    <w:rsid w:val="00D415A8"/>
    <w:rsid w:val="00D63B8E"/>
    <w:rsid w:val="00D653A7"/>
    <w:rsid w:val="00D83A50"/>
    <w:rsid w:val="00DC2F94"/>
    <w:rsid w:val="00DD291D"/>
    <w:rsid w:val="00DD3D9E"/>
    <w:rsid w:val="00DD7908"/>
    <w:rsid w:val="00DE4AC9"/>
    <w:rsid w:val="00DF6076"/>
    <w:rsid w:val="00E0572C"/>
    <w:rsid w:val="00E46348"/>
    <w:rsid w:val="00E62D7F"/>
    <w:rsid w:val="00E661B3"/>
    <w:rsid w:val="00E71266"/>
    <w:rsid w:val="00E7447D"/>
    <w:rsid w:val="00E82297"/>
    <w:rsid w:val="00E857FC"/>
    <w:rsid w:val="00E96B08"/>
    <w:rsid w:val="00EA0CFE"/>
    <w:rsid w:val="00EB5762"/>
    <w:rsid w:val="00EC290C"/>
    <w:rsid w:val="00EC5A8F"/>
    <w:rsid w:val="00EF39FD"/>
    <w:rsid w:val="00EF70F9"/>
    <w:rsid w:val="00F06842"/>
    <w:rsid w:val="00F107FD"/>
    <w:rsid w:val="00F14382"/>
    <w:rsid w:val="00F949E2"/>
    <w:rsid w:val="00FA3984"/>
    <w:rsid w:val="00FB2A04"/>
    <w:rsid w:val="00FB2FB1"/>
    <w:rsid w:val="00FB64A8"/>
    <w:rsid w:val="00FD4954"/>
    <w:rsid w:val="00FE23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184"/>
    <w:rPr>
      <w:lang w:eastAsia="en-US"/>
    </w:rPr>
  </w:style>
  <w:style w:type="paragraph" w:styleId="1">
    <w:name w:val="heading 1"/>
    <w:basedOn w:val="a"/>
    <w:next w:val="a"/>
    <w:link w:val="1Char"/>
    <w:qFormat/>
    <w:rsid w:val="00FB2FB1"/>
    <w:pPr>
      <w:keepNext/>
      <w:outlineLvl w:val="0"/>
    </w:pPr>
    <w:rPr>
      <w:rFonts w:asciiTheme="majorHAnsi" w:eastAsiaTheme="majorEastAsia" w:hAnsiTheme="majorHAnsi" w:cstheme="majorBidi"/>
      <w:sz w:val="28"/>
      <w:szCs w:val="28"/>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table" w:styleId="af">
    <w:name w:val="Table Grid"/>
    <w:basedOn w:val="a1"/>
    <w:rsid w:val="004D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rsid w:val="00FB2FB1"/>
    <w:rPr>
      <w:rFonts w:asciiTheme="majorHAnsi" w:eastAsiaTheme="majorEastAsia" w:hAnsiTheme="majorHAnsi" w:cstheme="majorBidi"/>
      <w:sz w:val="28"/>
      <w:szCs w:val="28"/>
      <w:lang w:eastAsia="en-US"/>
    </w:rPr>
  </w:style>
  <w:style w:type="paragraph" w:styleId="af0">
    <w:name w:val="Normal (Web)"/>
    <w:basedOn w:val="a"/>
    <w:uiPriority w:val="99"/>
    <w:semiHidden/>
    <w:unhideWhenUsed/>
    <w:rsid w:val="00065B56"/>
    <w:pPr>
      <w:spacing w:before="100" w:beforeAutospacing="1" w:after="100" w:afterAutospacing="1"/>
    </w:pPr>
    <w:rPr>
      <w:rFonts w:ascii="굴림" w:eastAsia="굴림" w:hAnsi="굴림" w:cs="굴림"/>
      <w:sz w:val="24"/>
      <w:szCs w:val="24"/>
      <w:lang w:val="en-US" w:eastAsia="ko-KR"/>
    </w:rPr>
  </w:style>
  <w:style w:type="paragraph" w:styleId="af1">
    <w:name w:val="Revision"/>
    <w:hidden/>
    <w:uiPriority w:val="99"/>
    <w:semiHidden/>
    <w:rsid w:val="00FA398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606">
      <w:bodyDiv w:val="1"/>
      <w:marLeft w:val="0"/>
      <w:marRight w:val="0"/>
      <w:marTop w:val="0"/>
      <w:marBottom w:val="0"/>
      <w:divBdr>
        <w:top w:val="none" w:sz="0" w:space="0" w:color="auto"/>
        <w:left w:val="none" w:sz="0" w:space="0" w:color="auto"/>
        <w:bottom w:val="none" w:sz="0" w:space="0" w:color="auto"/>
        <w:right w:val="none" w:sz="0" w:space="0" w:color="auto"/>
      </w:divBdr>
    </w:div>
    <w:div w:id="123274661">
      <w:bodyDiv w:val="1"/>
      <w:marLeft w:val="0"/>
      <w:marRight w:val="0"/>
      <w:marTop w:val="0"/>
      <w:marBottom w:val="0"/>
      <w:divBdr>
        <w:top w:val="none" w:sz="0" w:space="0" w:color="auto"/>
        <w:left w:val="none" w:sz="0" w:space="0" w:color="auto"/>
        <w:bottom w:val="none" w:sz="0" w:space="0" w:color="auto"/>
        <w:right w:val="none" w:sz="0" w:space="0" w:color="auto"/>
      </w:divBdr>
    </w:div>
    <w:div w:id="143401530">
      <w:bodyDiv w:val="1"/>
      <w:marLeft w:val="0"/>
      <w:marRight w:val="0"/>
      <w:marTop w:val="0"/>
      <w:marBottom w:val="0"/>
      <w:divBdr>
        <w:top w:val="none" w:sz="0" w:space="0" w:color="auto"/>
        <w:left w:val="none" w:sz="0" w:space="0" w:color="auto"/>
        <w:bottom w:val="none" w:sz="0" w:space="0" w:color="auto"/>
        <w:right w:val="none" w:sz="0" w:space="0" w:color="auto"/>
      </w:divBdr>
    </w:div>
    <w:div w:id="165482032">
      <w:bodyDiv w:val="1"/>
      <w:marLeft w:val="0"/>
      <w:marRight w:val="0"/>
      <w:marTop w:val="0"/>
      <w:marBottom w:val="0"/>
      <w:divBdr>
        <w:top w:val="none" w:sz="0" w:space="0" w:color="auto"/>
        <w:left w:val="none" w:sz="0" w:space="0" w:color="auto"/>
        <w:bottom w:val="none" w:sz="0" w:space="0" w:color="auto"/>
        <w:right w:val="none" w:sz="0" w:space="0" w:color="auto"/>
      </w:divBdr>
    </w:div>
    <w:div w:id="228809921">
      <w:bodyDiv w:val="1"/>
      <w:marLeft w:val="0"/>
      <w:marRight w:val="0"/>
      <w:marTop w:val="0"/>
      <w:marBottom w:val="0"/>
      <w:divBdr>
        <w:top w:val="none" w:sz="0" w:space="0" w:color="auto"/>
        <w:left w:val="none" w:sz="0" w:space="0" w:color="auto"/>
        <w:bottom w:val="none" w:sz="0" w:space="0" w:color="auto"/>
        <w:right w:val="none" w:sz="0" w:space="0" w:color="auto"/>
      </w:divBdr>
    </w:div>
    <w:div w:id="410933242">
      <w:bodyDiv w:val="1"/>
      <w:marLeft w:val="0"/>
      <w:marRight w:val="0"/>
      <w:marTop w:val="0"/>
      <w:marBottom w:val="0"/>
      <w:divBdr>
        <w:top w:val="none" w:sz="0" w:space="0" w:color="auto"/>
        <w:left w:val="none" w:sz="0" w:space="0" w:color="auto"/>
        <w:bottom w:val="none" w:sz="0" w:space="0" w:color="auto"/>
        <w:right w:val="none" w:sz="0" w:space="0" w:color="auto"/>
      </w:divBdr>
    </w:div>
    <w:div w:id="725571026">
      <w:bodyDiv w:val="1"/>
      <w:marLeft w:val="0"/>
      <w:marRight w:val="0"/>
      <w:marTop w:val="0"/>
      <w:marBottom w:val="0"/>
      <w:divBdr>
        <w:top w:val="none" w:sz="0" w:space="0" w:color="auto"/>
        <w:left w:val="none" w:sz="0" w:space="0" w:color="auto"/>
        <w:bottom w:val="none" w:sz="0" w:space="0" w:color="auto"/>
        <w:right w:val="none" w:sz="0" w:space="0" w:color="auto"/>
      </w:divBdr>
    </w:div>
    <w:div w:id="774374017">
      <w:bodyDiv w:val="1"/>
      <w:marLeft w:val="0"/>
      <w:marRight w:val="0"/>
      <w:marTop w:val="0"/>
      <w:marBottom w:val="0"/>
      <w:divBdr>
        <w:top w:val="none" w:sz="0" w:space="0" w:color="auto"/>
        <w:left w:val="none" w:sz="0" w:space="0" w:color="auto"/>
        <w:bottom w:val="none" w:sz="0" w:space="0" w:color="auto"/>
        <w:right w:val="none" w:sz="0" w:space="0" w:color="auto"/>
      </w:divBdr>
    </w:div>
    <w:div w:id="867376835">
      <w:bodyDiv w:val="1"/>
      <w:marLeft w:val="0"/>
      <w:marRight w:val="0"/>
      <w:marTop w:val="0"/>
      <w:marBottom w:val="0"/>
      <w:divBdr>
        <w:top w:val="none" w:sz="0" w:space="0" w:color="auto"/>
        <w:left w:val="none" w:sz="0" w:space="0" w:color="auto"/>
        <w:bottom w:val="none" w:sz="0" w:space="0" w:color="auto"/>
        <w:right w:val="none" w:sz="0" w:space="0" w:color="auto"/>
      </w:divBdr>
    </w:div>
    <w:div w:id="970863475">
      <w:bodyDiv w:val="1"/>
      <w:marLeft w:val="0"/>
      <w:marRight w:val="0"/>
      <w:marTop w:val="0"/>
      <w:marBottom w:val="0"/>
      <w:divBdr>
        <w:top w:val="none" w:sz="0" w:space="0" w:color="auto"/>
        <w:left w:val="none" w:sz="0" w:space="0" w:color="auto"/>
        <w:bottom w:val="none" w:sz="0" w:space="0" w:color="auto"/>
        <w:right w:val="none" w:sz="0" w:space="0" w:color="auto"/>
      </w:divBdr>
      <w:divsChild>
        <w:div w:id="1155033007">
          <w:marLeft w:val="274"/>
          <w:marRight w:val="0"/>
          <w:marTop w:val="0"/>
          <w:marBottom w:val="0"/>
          <w:divBdr>
            <w:top w:val="none" w:sz="0" w:space="0" w:color="auto"/>
            <w:left w:val="none" w:sz="0" w:space="0" w:color="auto"/>
            <w:bottom w:val="none" w:sz="0" w:space="0" w:color="auto"/>
            <w:right w:val="none" w:sz="0" w:space="0" w:color="auto"/>
          </w:divBdr>
        </w:div>
      </w:divsChild>
    </w:div>
    <w:div w:id="1334187380">
      <w:bodyDiv w:val="1"/>
      <w:marLeft w:val="0"/>
      <w:marRight w:val="0"/>
      <w:marTop w:val="0"/>
      <w:marBottom w:val="0"/>
      <w:divBdr>
        <w:top w:val="none" w:sz="0" w:space="0" w:color="auto"/>
        <w:left w:val="none" w:sz="0" w:space="0" w:color="auto"/>
        <w:bottom w:val="none" w:sz="0" w:space="0" w:color="auto"/>
        <w:right w:val="none" w:sz="0" w:space="0" w:color="auto"/>
      </w:divBdr>
      <w:divsChild>
        <w:div w:id="1099372117">
          <w:marLeft w:val="274"/>
          <w:marRight w:val="0"/>
          <w:marTop w:val="0"/>
          <w:marBottom w:val="0"/>
          <w:divBdr>
            <w:top w:val="none" w:sz="0" w:space="0" w:color="auto"/>
            <w:left w:val="none" w:sz="0" w:space="0" w:color="auto"/>
            <w:bottom w:val="none" w:sz="0" w:space="0" w:color="auto"/>
            <w:right w:val="none" w:sz="0" w:space="0" w:color="auto"/>
          </w:divBdr>
        </w:div>
      </w:divsChild>
    </w:div>
    <w:div w:id="1360164248">
      <w:bodyDiv w:val="1"/>
      <w:marLeft w:val="0"/>
      <w:marRight w:val="0"/>
      <w:marTop w:val="0"/>
      <w:marBottom w:val="0"/>
      <w:divBdr>
        <w:top w:val="none" w:sz="0" w:space="0" w:color="auto"/>
        <w:left w:val="none" w:sz="0" w:space="0" w:color="auto"/>
        <w:bottom w:val="none" w:sz="0" w:space="0" w:color="auto"/>
        <w:right w:val="none" w:sz="0" w:space="0" w:color="auto"/>
      </w:divBdr>
    </w:div>
    <w:div w:id="1431197476">
      <w:bodyDiv w:val="1"/>
      <w:marLeft w:val="0"/>
      <w:marRight w:val="0"/>
      <w:marTop w:val="0"/>
      <w:marBottom w:val="0"/>
      <w:divBdr>
        <w:top w:val="none" w:sz="0" w:space="0" w:color="auto"/>
        <w:left w:val="none" w:sz="0" w:space="0" w:color="auto"/>
        <w:bottom w:val="none" w:sz="0" w:space="0" w:color="auto"/>
        <w:right w:val="none" w:sz="0" w:space="0" w:color="auto"/>
      </w:divBdr>
    </w:div>
    <w:div w:id="1477841825">
      <w:bodyDiv w:val="1"/>
      <w:marLeft w:val="0"/>
      <w:marRight w:val="0"/>
      <w:marTop w:val="0"/>
      <w:marBottom w:val="0"/>
      <w:divBdr>
        <w:top w:val="none" w:sz="0" w:space="0" w:color="auto"/>
        <w:left w:val="none" w:sz="0" w:space="0" w:color="auto"/>
        <w:bottom w:val="none" w:sz="0" w:space="0" w:color="auto"/>
        <w:right w:val="none" w:sz="0" w:space="0" w:color="auto"/>
      </w:divBdr>
    </w:div>
    <w:div w:id="1513031869">
      <w:bodyDiv w:val="1"/>
      <w:marLeft w:val="0"/>
      <w:marRight w:val="0"/>
      <w:marTop w:val="0"/>
      <w:marBottom w:val="0"/>
      <w:divBdr>
        <w:top w:val="none" w:sz="0" w:space="0" w:color="auto"/>
        <w:left w:val="none" w:sz="0" w:space="0" w:color="auto"/>
        <w:bottom w:val="none" w:sz="0" w:space="0" w:color="auto"/>
        <w:right w:val="none" w:sz="0" w:space="0" w:color="auto"/>
      </w:divBdr>
    </w:div>
    <w:div w:id="1888487822">
      <w:bodyDiv w:val="1"/>
      <w:marLeft w:val="0"/>
      <w:marRight w:val="0"/>
      <w:marTop w:val="0"/>
      <w:marBottom w:val="0"/>
      <w:divBdr>
        <w:top w:val="none" w:sz="0" w:space="0" w:color="auto"/>
        <w:left w:val="none" w:sz="0" w:space="0" w:color="auto"/>
        <w:bottom w:val="none" w:sz="0" w:space="0" w:color="auto"/>
        <w:right w:val="none" w:sz="0" w:space="0" w:color="auto"/>
      </w:divBdr>
    </w:div>
    <w:div w:id="1950703020">
      <w:bodyDiv w:val="1"/>
      <w:marLeft w:val="0"/>
      <w:marRight w:val="0"/>
      <w:marTop w:val="0"/>
      <w:marBottom w:val="0"/>
      <w:divBdr>
        <w:top w:val="none" w:sz="0" w:space="0" w:color="auto"/>
        <w:left w:val="none" w:sz="0" w:space="0" w:color="auto"/>
        <w:bottom w:val="none" w:sz="0" w:space="0" w:color="auto"/>
        <w:right w:val="none" w:sz="0" w:space="0" w:color="auto"/>
      </w:divBdr>
    </w:div>
    <w:div w:id="1974601301">
      <w:bodyDiv w:val="1"/>
      <w:marLeft w:val="0"/>
      <w:marRight w:val="0"/>
      <w:marTop w:val="0"/>
      <w:marBottom w:val="0"/>
      <w:divBdr>
        <w:top w:val="none" w:sz="0" w:space="0" w:color="auto"/>
        <w:left w:val="none" w:sz="0" w:space="0" w:color="auto"/>
        <w:bottom w:val="none" w:sz="0" w:space="0" w:color="auto"/>
        <w:right w:val="none" w:sz="0" w:space="0" w:color="auto"/>
      </w:divBdr>
    </w:div>
    <w:div w:id="2029791190">
      <w:bodyDiv w:val="1"/>
      <w:marLeft w:val="0"/>
      <w:marRight w:val="0"/>
      <w:marTop w:val="0"/>
      <w:marBottom w:val="0"/>
      <w:divBdr>
        <w:top w:val="none" w:sz="0" w:space="0" w:color="auto"/>
        <w:left w:val="none" w:sz="0" w:space="0" w:color="auto"/>
        <w:bottom w:val="none" w:sz="0" w:space="0" w:color="auto"/>
        <w:right w:val="none" w:sz="0" w:space="0" w:color="auto"/>
      </w:divBdr>
    </w:div>
    <w:div w:id="2104521606">
      <w:bodyDiv w:val="1"/>
      <w:marLeft w:val="0"/>
      <w:marRight w:val="0"/>
      <w:marTop w:val="0"/>
      <w:marBottom w:val="0"/>
      <w:divBdr>
        <w:top w:val="none" w:sz="0" w:space="0" w:color="auto"/>
        <w:left w:val="none" w:sz="0" w:space="0" w:color="auto"/>
        <w:bottom w:val="none" w:sz="0" w:space="0" w:color="auto"/>
        <w:right w:val="none" w:sz="0" w:space="0" w:color="auto"/>
      </w:divBdr>
    </w:div>
    <w:div w:id="2110394015">
      <w:bodyDiv w:val="1"/>
      <w:marLeft w:val="0"/>
      <w:marRight w:val="0"/>
      <w:marTop w:val="0"/>
      <w:marBottom w:val="0"/>
      <w:divBdr>
        <w:top w:val="none" w:sz="0" w:space="0" w:color="auto"/>
        <w:left w:val="none" w:sz="0" w:space="0" w:color="auto"/>
        <w:bottom w:val="none" w:sz="0" w:space="0" w:color="auto"/>
        <w:right w:val="none" w:sz="0" w:space="0" w:color="auto"/>
      </w:divBdr>
      <w:divsChild>
        <w:div w:id="143204725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D52B-D28D-4176-A7AC-DA3A2C54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37</TotalTime>
  <Pages>6</Pages>
  <Words>2324</Words>
  <Characters>13248</Characters>
  <Application>Microsoft Office Word</Application>
  <DocSecurity>0</DocSecurity>
  <Lines>110</Lines>
  <Paragraphs>31</Paragraphs>
  <ScaleCrop>false</ScaleCrop>
  <HeadingPairs>
    <vt:vector size="6" baseType="variant">
      <vt:variant>
        <vt:lpstr>제목</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김성일</cp:lastModifiedBy>
  <cp:revision>47</cp:revision>
  <cp:lastPrinted>2004-12-17T09:20:00Z</cp:lastPrinted>
  <dcterms:created xsi:type="dcterms:W3CDTF">2023-12-07T10:55:00Z</dcterms:created>
  <dcterms:modified xsi:type="dcterms:W3CDTF">2023-12-24T02:46:00Z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