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39F5D76A" w:rsidR="00DD3D9E" w:rsidRPr="00B4388F" w:rsidRDefault="00303EAA">
      <w:pPr>
        <w:pStyle w:val="Els-Title"/>
        <w:rPr>
          <w:color w:val="000000" w:themeColor="text1"/>
        </w:rPr>
      </w:pPr>
      <w:r w:rsidRPr="00303EAA">
        <w:rPr>
          <w:color w:val="000000" w:themeColor="text1"/>
        </w:rPr>
        <w:t xml:space="preserve">Bridging </w:t>
      </w:r>
      <w:r w:rsidR="007E6237">
        <w:rPr>
          <w:color w:val="000000" w:themeColor="text1"/>
        </w:rPr>
        <w:t>W</w:t>
      </w:r>
      <w:r w:rsidRPr="00303EAA">
        <w:rPr>
          <w:color w:val="000000" w:themeColor="text1"/>
        </w:rPr>
        <w:t xml:space="preserve">eak </w:t>
      </w:r>
      <w:r w:rsidR="007E6237">
        <w:rPr>
          <w:color w:val="000000" w:themeColor="text1"/>
        </w:rPr>
        <w:t>L</w:t>
      </w:r>
      <w:r w:rsidRPr="00303EAA">
        <w:rPr>
          <w:color w:val="000000" w:themeColor="text1"/>
        </w:rPr>
        <w:t xml:space="preserve">inks in </w:t>
      </w:r>
      <w:r w:rsidR="007E6237">
        <w:rPr>
          <w:color w:val="000000" w:themeColor="text1"/>
        </w:rPr>
        <w:t>M</w:t>
      </w:r>
      <w:r w:rsidRPr="00303EAA">
        <w:rPr>
          <w:color w:val="000000" w:themeColor="text1"/>
        </w:rPr>
        <w:t xml:space="preserve">echanistic </w:t>
      </w:r>
      <w:r w:rsidR="007E6237">
        <w:rPr>
          <w:color w:val="000000" w:themeColor="text1"/>
        </w:rPr>
        <w:t>M</w:t>
      </w:r>
      <w:r w:rsidRPr="00303EAA">
        <w:rPr>
          <w:color w:val="000000" w:themeColor="text1"/>
        </w:rPr>
        <w:t xml:space="preserve">odeling: </w:t>
      </w:r>
      <w:r w:rsidR="007E6237">
        <w:rPr>
          <w:color w:val="000000" w:themeColor="text1"/>
        </w:rPr>
        <w:t>A</w:t>
      </w:r>
      <w:r w:rsidRPr="00303EAA">
        <w:rPr>
          <w:color w:val="000000" w:themeColor="text1"/>
        </w:rPr>
        <w:t xml:space="preserve">pproach and </w:t>
      </w:r>
      <w:r w:rsidR="007E6237">
        <w:rPr>
          <w:color w:val="000000" w:themeColor="text1"/>
        </w:rPr>
        <w:t>A</w:t>
      </w:r>
      <w:r w:rsidRPr="00303EAA">
        <w:rPr>
          <w:color w:val="000000" w:themeColor="text1"/>
        </w:rPr>
        <w:t xml:space="preserve">pplication in CHO </w:t>
      </w:r>
      <w:r w:rsidR="007E6237">
        <w:rPr>
          <w:color w:val="000000" w:themeColor="text1"/>
        </w:rPr>
        <w:t>C</w:t>
      </w:r>
      <w:r w:rsidRPr="00303EAA">
        <w:rPr>
          <w:color w:val="000000" w:themeColor="text1"/>
        </w:rPr>
        <w:t>ell</w:t>
      </w:r>
      <w:r w:rsidR="007E6237">
        <w:rPr>
          <w:color w:val="000000" w:themeColor="text1"/>
        </w:rPr>
        <w:t xml:space="preserve"> C</w:t>
      </w:r>
      <w:r w:rsidRPr="00303EAA">
        <w:rPr>
          <w:color w:val="000000" w:themeColor="text1"/>
        </w:rPr>
        <w:t xml:space="preserve">ultivation for mAb </w:t>
      </w:r>
      <w:r w:rsidR="007E6237">
        <w:rPr>
          <w:color w:val="000000" w:themeColor="text1"/>
        </w:rPr>
        <w:t>P</w:t>
      </w:r>
      <w:r w:rsidRPr="00303EAA">
        <w:rPr>
          <w:color w:val="000000" w:themeColor="text1"/>
        </w:rPr>
        <w:t>roduction</w:t>
      </w:r>
    </w:p>
    <w:p w14:paraId="144DE680" w14:textId="5F91A1A1" w:rsidR="00DD3D9E" w:rsidRPr="006D1916" w:rsidRDefault="00D252B8">
      <w:pPr>
        <w:pStyle w:val="Els-Author"/>
        <w:rPr>
          <w:lang w:val="it-IT"/>
        </w:rPr>
      </w:pPr>
      <w:r w:rsidRPr="006D1916">
        <w:rPr>
          <w:lang w:val="it-IT"/>
        </w:rPr>
        <w:t>Kozue Okamura,</w:t>
      </w:r>
      <w:r w:rsidR="001348C8" w:rsidRPr="006D1916">
        <w:rPr>
          <w:vertAlign w:val="superscript"/>
          <w:lang w:val="it-IT"/>
        </w:rPr>
        <w:t>a</w:t>
      </w:r>
      <w:r w:rsidRPr="006D1916">
        <w:rPr>
          <w:lang w:val="it-IT"/>
        </w:rPr>
        <w:t xml:space="preserve"> </w:t>
      </w:r>
      <w:r w:rsidR="001348C8" w:rsidRPr="006D1916">
        <w:rPr>
          <w:lang w:val="it-IT"/>
        </w:rPr>
        <w:t>Sara Badr,</w:t>
      </w:r>
      <w:r w:rsidR="0024484D" w:rsidRPr="006D1916">
        <w:rPr>
          <w:vertAlign w:val="superscript"/>
          <w:lang w:val="it-IT"/>
        </w:rPr>
        <w:t>a</w:t>
      </w:r>
      <w:r w:rsidR="001348C8" w:rsidRPr="006D1916">
        <w:rPr>
          <w:lang w:val="it-IT"/>
        </w:rPr>
        <w:t xml:space="preserve"> Hirokazu Sugiyama</w:t>
      </w:r>
      <w:r w:rsidR="0024484D" w:rsidRPr="006D1916">
        <w:rPr>
          <w:vertAlign w:val="superscript"/>
          <w:lang w:val="it-IT"/>
        </w:rPr>
        <w:t>a</w:t>
      </w:r>
      <w:r w:rsidR="00E03FF5" w:rsidRPr="006D1916">
        <w:rPr>
          <w:vertAlign w:val="superscript"/>
          <w:lang w:val="it-IT"/>
        </w:rPr>
        <w:t>*</w:t>
      </w:r>
    </w:p>
    <w:p w14:paraId="54D38C77" w14:textId="77777777" w:rsidR="00287D2C" w:rsidRDefault="00287D2C" w:rsidP="00287D2C">
      <w:pPr>
        <w:pStyle w:val="Els-Affiliation"/>
      </w:pPr>
      <w:r w:rsidRPr="00287D2C">
        <w:rPr>
          <w:vertAlign w:val="superscript"/>
        </w:rPr>
        <w:t>a</w:t>
      </w:r>
      <w:r>
        <w:t>Department of Chemical System Engineering, The University of Tokyo, 7-3-1, Hongo, Bunkyo-ku, 113-8656, Tokyo, Japan</w:t>
      </w:r>
    </w:p>
    <w:p w14:paraId="144DE681" w14:textId="52C08334" w:rsidR="00DD3D9E" w:rsidRDefault="00287D2C" w:rsidP="00287D2C">
      <w:pPr>
        <w:pStyle w:val="Els-Affiliation"/>
      </w:pPr>
      <w:r>
        <w:t>sugiyama@chemsys.t.u-tokyo.ac.jp</w:t>
      </w:r>
    </w:p>
    <w:p w14:paraId="144DE684" w14:textId="77777777" w:rsidR="008D2649" w:rsidRDefault="008D2649" w:rsidP="008D2649">
      <w:pPr>
        <w:pStyle w:val="Els-Abstract"/>
      </w:pPr>
      <w:r>
        <w:t>Abstract</w:t>
      </w:r>
    </w:p>
    <w:p w14:paraId="6D4E11E8" w14:textId="6D2F083E" w:rsidR="00B02F46" w:rsidRDefault="003B1582" w:rsidP="008D2649">
      <w:pPr>
        <w:pStyle w:val="Els-body-text"/>
        <w:spacing w:after="120"/>
        <w:rPr>
          <w:lang w:val="en-GB"/>
        </w:rPr>
      </w:pPr>
      <w:r w:rsidRPr="003B1582">
        <w:rPr>
          <w:lang w:val="en-GB"/>
        </w:rPr>
        <w:t xml:space="preserve">Monoclonal antibodies (mAbs) are valuable but expensive pharmaceuticals. Their production involves cell cultivation, often utilizing Chinese hamster ovary (CHO) cells, and purification. Cell cultivation is costly, and various methods have been proposed to enhance efficiency, including improving host cell lines, operating conditions, and modes. Process models are crucial for assessing these alternatives to narrow down the </w:t>
      </w:r>
      <w:r w:rsidR="00C54B96">
        <w:rPr>
          <w:lang w:val="en-GB"/>
        </w:rPr>
        <w:t xml:space="preserve">combinations of available </w:t>
      </w:r>
      <w:r w:rsidRPr="003B1582">
        <w:rPr>
          <w:lang w:val="en-GB"/>
        </w:rPr>
        <w:t xml:space="preserve">options. Recent studies have introduced various models but face challenges in capturing dynamic </w:t>
      </w:r>
      <w:proofErr w:type="spellStart"/>
      <w:r w:rsidR="0015535A" w:rsidRPr="003B1582">
        <w:rPr>
          <w:lang w:val="en-GB"/>
        </w:rPr>
        <w:t>behavior</w:t>
      </w:r>
      <w:proofErr w:type="spellEnd"/>
      <w:r w:rsidRPr="003B1582">
        <w:rPr>
          <w:lang w:val="en-GB"/>
        </w:rPr>
        <w:t xml:space="preserve"> and biological changes.</w:t>
      </w:r>
      <w:r w:rsidR="00897D2A">
        <w:rPr>
          <w:lang w:val="en-GB"/>
        </w:rPr>
        <w:t xml:space="preserve"> Lactate is </w:t>
      </w:r>
      <w:r w:rsidR="00A20D75">
        <w:rPr>
          <w:lang w:val="en-GB"/>
        </w:rPr>
        <w:t>a</w:t>
      </w:r>
      <w:r w:rsidR="00897D2A">
        <w:rPr>
          <w:lang w:val="en-GB"/>
        </w:rPr>
        <w:t xml:space="preserve"> major system component</w:t>
      </w:r>
      <w:r w:rsidR="00A20D75">
        <w:rPr>
          <w:lang w:val="en-GB"/>
        </w:rPr>
        <w:t>, which can be affected by</w:t>
      </w:r>
      <w:r w:rsidR="007E1CF8">
        <w:rPr>
          <w:lang w:val="en-GB"/>
        </w:rPr>
        <w:t xml:space="preserve"> metabolic shifts </w:t>
      </w:r>
      <w:r w:rsidR="00897D2A">
        <w:rPr>
          <w:lang w:val="en-GB"/>
        </w:rPr>
        <w:t>from production to consumption</w:t>
      </w:r>
      <w:r w:rsidR="00A20D75">
        <w:rPr>
          <w:lang w:val="en-GB"/>
        </w:rPr>
        <w:t>. Accurately modelling such shifts</w:t>
      </w:r>
      <w:r w:rsidR="00897D2A">
        <w:rPr>
          <w:lang w:val="en-GB"/>
        </w:rPr>
        <w:t xml:space="preserve"> </w:t>
      </w:r>
      <w:r w:rsidR="00A20D75">
        <w:rPr>
          <w:lang w:val="en-GB"/>
        </w:rPr>
        <w:t>is</w:t>
      </w:r>
      <w:r w:rsidR="007E1CF8">
        <w:rPr>
          <w:lang w:val="en-GB"/>
        </w:rPr>
        <w:t xml:space="preserve"> important</w:t>
      </w:r>
      <w:r w:rsidR="00A20D75">
        <w:rPr>
          <w:lang w:val="en-GB"/>
        </w:rPr>
        <w:t xml:space="preserve"> </w:t>
      </w:r>
      <w:r w:rsidR="00897D2A">
        <w:rPr>
          <w:lang w:val="en-GB"/>
        </w:rPr>
        <w:t xml:space="preserve">because of the </w:t>
      </w:r>
      <w:r w:rsidR="007E1CF8">
        <w:rPr>
          <w:lang w:val="en-GB"/>
        </w:rPr>
        <w:t>potential impacts on cell growth and death, and</w:t>
      </w:r>
      <w:r w:rsidR="00C2616C">
        <w:rPr>
          <w:lang w:val="en-GB"/>
        </w:rPr>
        <w:t xml:space="preserve"> the</w:t>
      </w:r>
      <w:r w:rsidR="007E1CF8">
        <w:rPr>
          <w:lang w:val="en-GB"/>
        </w:rPr>
        <w:t xml:space="preserve"> subsequent release of process-related impurities.</w:t>
      </w:r>
      <w:r w:rsidRPr="003B1582">
        <w:rPr>
          <w:lang w:val="en-GB"/>
        </w:rPr>
        <w:t xml:space="preserve"> Experimental data from pilot-scale cell cultivation using standard and highly productive CHO cell lines were used. </w:t>
      </w:r>
      <w:r w:rsidR="00B02F46">
        <w:rPr>
          <w:lang w:val="en-GB"/>
        </w:rPr>
        <w:t xml:space="preserve">A data-driven investigation was conducted to identify critical factors associated with variations in cell metabolism. The insights gained from the employed principal component analysis and data clustering were used to suggest more representative formulations of metabolism-relevant parameters in the mechanistic models. The updated mechanistic models showed higher robustness and accuracy in modeling lactate shifts. A sensitivity analysis was subsequently carried out to show the impact of changes in process design on drug price flexibility. </w:t>
      </w:r>
      <w:r w:rsidR="00B02F46" w:rsidRPr="007074D3">
        <w:rPr>
          <w:lang w:val="en-GB"/>
        </w:rPr>
        <w:t xml:space="preserve">The </w:t>
      </w:r>
      <w:r w:rsidR="00A20D75" w:rsidRPr="007074D3">
        <w:rPr>
          <w:lang w:val="en-GB"/>
        </w:rPr>
        <w:t xml:space="preserve">developed modeling framework can be used towards achieving more efficient process design </w:t>
      </w:r>
      <w:r w:rsidR="00830ED8">
        <w:rPr>
          <w:lang w:val="en-GB"/>
        </w:rPr>
        <w:t>and lower production costs.</w:t>
      </w:r>
    </w:p>
    <w:p w14:paraId="144DE687" w14:textId="75BF8972" w:rsidR="008D2649" w:rsidRDefault="008D2649" w:rsidP="008D2649">
      <w:pPr>
        <w:pStyle w:val="Els-body-text"/>
        <w:spacing w:after="120"/>
        <w:rPr>
          <w:lang w:val="en-GB"/>
        </w:rPr>
      </w:pPr>
      <w:r>
        <w:rPr>
          <w:b/>
          <w:bCs/>
          <w:lang w:val="en-GB"/>
        </w:rPr>
        <w:t>Keywords</w:t>
      </w:r>
      <w:r>
        <w:rPr>
          <w:lang w:val="en-GB"/>
        </w:rPr>
        <w:t xml:space="preserve">: </w:t>
      </w:r>
      <w:r w:rsidR="007641A4" w:rsidRPr="007641A4">
        <w:rPr>
          <w:lang w:val="en-GB"/>
        </w:rPr>
        <w:t>Biopharmaceuticals, Cell cultivation, Hybrid modeling, Sensitivity analysis</w:t>
      </w:r>
    </w:p>
    <w:p w14:paraId="144DE689" w14:textId="2D64006C" w:rsidR="008D2649" w:rsidRDefault="00263FC7" w:rsidP="00173512">
      <w:pPr>
        <w:pStyle w:val="Els-1storder-head"/>
        <w:numPr>
          <w:ilvl w:val="0"/>
          <w:numId w:val="22"/>
        </w:numPr>
      </w:pPr>
      <w:r>
        <w:t>Introduction</w:t>
      </w:r>
    </w:p>
    <w:p w14:paraId="4EA4B1BE" w14:textId="0B1510C6" w:rsidR="007453C0" w:rsidRDefault="007453C0" w:rsidP="007453C0">
      <w:pPr>
        <w:pStyle w:val="Els-body-text"/>
      </w:pPr>
      <w:r>
        <w:t xml:space="preserve">Monoclonal antibodies (mAbs) are important active pharmaceutical ingredients despite their high drug prices. The mAb production process involves cell cultivation, using mainly Chinese hamster ovary (CHO) cells and downstream purification units. Cell cultivation is one of the most expensive steps with many suggested developments to improve process efficiency, including modifying host cell lines, reactor types, operating strategies, and modes. Process models serve as the fundament to screen and evaluate numerous alternatives comprehensively. There have been many modeling works </w:t>
      </w:r>
      <w:sdt>
        <w:sdtPr>
          <w:rPr>
            <w:color w:val="000000"/>
          </w:rPr>
          <w:tag w:val="MENDELEY_CITATION_v3_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"/>
          <w:id w:val="-1170565459"/>
          <w:placeholder>
            <w:docPart w:val="DefaultPlaceholder_-1854013440"/>
          </w:placeholder>
        </w:sdtPr>
        <w:sdtEndPr/>
        <w:sdtContent>
          <w:r w:rsidR="003D3043" w:rsidRPr="003D3043">
            <w:rPr>
              <w:color w:val="000000"/>
            </w:rPr>
            <w:t>(Reddy et al., 2023)</w:t>
          </w:r>
        </w:sdtContent>
      </w:sdt>
      <w:r>
        <w:t xml:space="preserve"> and recent studies include Monod-type mechanistic models (e.g., </w:t>
      </w:r>
      <w:sdt>
        <w:sdtPr>
          <w:rPr>
            <w:color w:val="000000"/>
          </w:rPr>
          <w:tag w:val="MENDELEY_CITATION_v3_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"/>
          <w:id w:val="-1931267318"/>
          <w:placeholder>
            <w:docPart w:val="DefaultPlaceholder_-1854013440"/>
          </w:placeholder>
        </w:sdtPr>
        <w:sdtEndPr/>
        <w:sdtContent>
          <w:r w:rsidR="003D3043" w:rsidRPr="003D3043">
            <w:rPr>
              <w:color w:val="000000"/>
            </w:rPr>
            <w:t>Badr et al., 2021</w:t>
          </w:r>
        </w:sdtContent>
      </w:sdt>
      <w:r>
        <w:t xml:space="preserve">), CFD-based bioreactor models (e.g., </w:t>
      </w:r>
      <w:sdt>
        <w:sdtPr>
          <w:tag w:val="MENDELEY_CITATION_v3_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"/>
          <w:id w:val="-1738389677"/>
          <w:placeholder>
            <w:docPart w:val="DefaultPlaceholder_-1854013440"/>
          </w:placeholder>
        </w:sdtPr>
        <w:sdtEndPr/>
        <w:sdtContent>
          <w:r w:rsidR="003D3043">
            <w:rPr>
              <w:rFonts w:eastAsia="Times New Roman"/>
            </w:rPr>
            <w:t>Farzan &amp; Ierapetritou, 2018</w:t>
          </w:r>
        </w:sdtContent>
      </w:sdt>
      <w:r>
        <w:t xml:space="preserve">), and hybrid-modeling with data-driven components (e.g., </w:t>
      </w:r>
      <w:sdt>
        <w:sdtPr>
          <w:rPr>
            <w:color w:val="000000"/>
          </w:rPr>
          <w:tag w:val="MENDELEY_CITATION_v3_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"/>
          <w:id w:val="814676958"/>
          <w:placeholder>
            <w:docPart w:val="DefaultPlaceholder_-1854013440"/>
          </w:placeholder>
        </w:sdtPr>
        <w:sdtEndPr/>
        <w:sdtContent>
          <w:r w:rsidR="003D3043" w:rsidRPr="003D3043">
            <w:rPr>
              <w:color w:val="000000"/>
            </w:rPr>
            <w:t>Okamura et al., 2022</w:t>
          </w:r>
        </w:sdtContent>
      </w:sdt>
      <w:r>
        <w:t>). However, these contributions struggle with different aspects of modeling dynamic behavior and changes in the associated biological phenomena.</w:t>
      </w:r>
      <w:r w:rsidR="003804BC">
        <w:t xml:space="preserve"> </w:t>
      </w:r>
      <w:r w:rsidR="003F1635">
        <w:t>D</w:t>
      </w:r>
      <w:r w:rsidR="003804BC">
        <w:t>escrib</w:t>
      </w:r>
      <w:r w:rsidR="00C73B98">
        <w:t>ing</w:t>
      </w:r>
      <w:r w:rsidR="003804BC">
        <w:t xml:space="preserve"> the </w:t>
      </w:r>
      <w:r w:rsidR="00C73B98">
        <w:t xml:space="preserve">lactate </w:t>
      </w:r>
      <w:r w:rsidR="003804BC">
        <w:t xml:space="preserve">metabolic shifts from </w:t>
      </w:r>
      <w:r w:rsidR="003804BC">
        <w:lastRenderedPageBreak/>
        <w:t>production as metabolites to consumption as nutrients is a</w:t>
      </w:r>
      <w:r w:rsidR="00C73B98">
        <w:t>n important</w:t>
      </w:r>
      <w:r w:rsidR="003804BC">
        <w:t xml:space="preserve"> </w:t>
      </w:r>
      <w:r w:rsidR="00C73B98">
        <w:t xml:space="preserve">modeling </w:t>
      </w:r>
      <w:r w:rsidR="003804BC">
        <w:t>challenge</w:t>
      </w:r>
      <w:r w:rsidR="00C73B98">
        <w:t xml:space="preserve">. This is because of the potential impacts of lactate on cell growth and death, and the </w:t>
      </w:r>
      <w:r w:rsidR="003F1635">
        <w:t xml:space="preserve">subsequent </w:t>
      </w:r>
      <w:r w:rsidR="00C73B98">
        <w:t>release of process-related impurities such as host cell protein (HCP)</w:t>
      </w:r>
      <w:r w:rsidR="004C523F">
        <w:t>, which can affect the final product quality and safety</w:t>
      </w:r>
      <w:r w:rsidR="003804BC">
        <w:t>.</w:t>
      </w:r>
    </w:p>
    <w:p w14:paraId="144DE698" w14:textId="110C41D4" w:rsidR="008D2649" w:rsidRPr="002D193D" w:rsidRDefault="007453C0" w:rsidP="008D2649">
      <w:pPr>
        <w:pStyle w:val="Els-body-text"/>
      </w:pPr>
      <w:r>
        <w:t>This work proposes a modeling approach that makes use of data-driven techniques to compensate for the gap between the experimental data and the process knowledge toward</w:t>
      </w:r>
      <w:r w:rsidR="00830ED8">
        <w:t>s the development of</w:t>
      </w:r>
      <w:r>
        <w:t xml:space="preserve"> more representative mechanistic model</w:t>
      </w:r>
      <w:r w:rsidR="00830ED8">
        <w:t>s</w:t>
      </w:r>
      <w:r>
        <w:t>.</w:t>
      </w:r>
      <w:r w:rsidR="004C523F">
        <w:t xml:space="preserve"> The </w:t>
      </w:r>
      <w:r w:rsidR="007F516D">
        <w:t>focus</w:t>
      </w:r>
      <w:r w:rsidR="004C523F">
        <w:t xml:space="preserve"> was</w:t>
      </w:r>
      <w:r w:rsidR="007F516D">
        <w:t xml:space="preserve"> to</w:t>
      </w:r>
      <w:r w:rsidR="004C523F">
        <w:t xml:space="preserve"> </w:t>
      </w:r>
      <w:r w:rsidR="007F516D">
        <w:t>improve the modeling accuracy of lactate concentrations by depicting the changes in cell phases, which led to the lactate metabolic shifts.</w:t>
      </w:r>
      <w:r>
        <w:t xml:space="preserve"> Principal component analysis</w:t>
      </w:r>
      <w:r w:rsidR="00F655A2">
        <w:t xml:space="preserve"> (PCA)</w:t>
      </w:r>
      <w:r>
        <w:t xml:space="preserve"> followed by linear regression (PCR) and clustering techniques were used to identify critical factors </w:t>
      </w:r>
      <w:r w:rsidR="003F1635">
        <w:t xml:space="preserve">contributing to </w:t>
      </w:r>
      <w:r w:rsidR="00947AD5">
        <w:t>differen</w:t>
      </w:r>
      <w:r w:rsidR="003F1635">
        <w:t>ces in</w:t>
      </w:r>
      <w:r w:rsidR="00947AD5">
        <w:t xml:space="preserve"> cell phases</w:t>
      </w:r>
      <w:r>
        <w:t xml:space="preserve">. </w:t>
      </w:r>
      <w:r w:rsidR="00947AD5">
        <w:t xml:space="preserve">Based on the </w:t>
      </w:r>
      <w:r w:rsidR="00EB353A">
        <w:t>identified phases, t</w:t>
      </w:r>
      <w:r>
        <w:t>h</w:t>
      </w:r>
      <w:r w:rsidR="00EB353A">
        <w:t>e</w:t>
      </w:r>
      <w:r>
        <w:t xml:space="preserve"> </w:t>
      </w:r>
      <w:r w:rsidR="00EB353A">
        <w:t xml:space="preserve">mechanistic </w:t>
      </w:r>
      <w:r>
        <w:t xml:space="preserve">cell cultivation model was </w:t>
      </w:r>
      <w:r w:rsidR="00EB353A">
        <w:t>updated. Then,</w:t>
      </w:r>
      <w:r>
        <w:t xml:space="preserve"> dynamic simulation </w:t>
      </w:r>
      <w:r w:rsidR="003F1635">
        <w:t xml:space="preserve">of </w:t>
      </w:r>
      <w:r>
        <w:t>different operating conditions</w:t>
      </w:r>
      <w:r w:rsidR="00EB353A">
        <w:t xml:space="preserve"> was conducted</w:t>
      </w:r>
      <w:r>
        <w:t xml:space="preserve">, and cost of goods (COG) was evaluated based on </w:t>
      </w:r>
      <w:r w:rsidR="003F1635">
        <w:t xml:space="preserve">the </w:t>
      </w:r>
      <w:r>
        <w:t>performance. The evaluated COG was used to estimate potential impacts</w:t>
      </w:r>
      <w:r w:rsidR="00EF3D17">
        <w:t xml:space="preserve"> of changes in process design</w:t>
      </w:r>
      <w:r>
        <w:t xml:space="preserve"> on drug price flexibility.</w:t>
      </w:r>
    </w:p>
    <w:p w14:paraId="144DE699" w14:textId="0AE0A967" w:rsidR="008D2649" w:rsidRDefault="008E4582" w:rsidP="00C018ED">
      <w:pPr>
        <w:pStyle w:val="Els-1storder-head"/>
        <w:numPr>
          <w:ilvl w:val="0"/>
          <w:numId w:val="22"/>
        </w:numPr>
      </w:pPr>
      <w:r>
        <w:t>Methods</w:t>
      </w:r>
    </w:p>
    <w:p w14:paraId="144DE69A" w14:textId="1DB947E5" w:rsidR="008D2649" w:rsidRPr="00684EC2" w:rsidRDefault="005B6038" w:rsidP="002D4BE9">
      <w:pPr>
        <w:pStyle w:val="Els-2ndorder-head"/>
        <w:numPr>
          <w:ilvl w:val="1"/>
          <w:numId w:val="17"/>
        </w:numPr>
      </w:pPr>
      <w:r w:rsidRPr="00684EC2">
        <w:t>Experimental data acquisition</w:t>
      </w:r>
    </w:p>
    <w:p w14:paraId="3BE858AE" w14:textId="5CDCC16B" w:rsidR="002D4BE9" w:rsidRPr="002D4BE9" w:rsidRDefault="00CD0233" w:rsidP="002D4BE9">
      <w:pPr>
        <w:pStyle w:val="Els-body-text"/>
      </w:pPr>
      <w:r w:rsidRPr="003919BA">
        <w:rPr>
          <w:lang w:val="en-GB"/>
        </w:rPr>
        <w:t xml:space="preserve">CHO cell cultivation data were obtained from </w:t>
      </w:r>
      <w:r w:rsidR="00864DA8">
        <w:rPr>
          <w:lang w:val="en-GB"/>
        </w:rPr>
        <w:t xml:space="preserve">the available data pool </w:t>
      </w:r>
      <w:r w:rsidR="00864DA8" w:rsidRPr="008A0334">
        <w:rPr>
          <w:lang w:val="en-GB"/>
        </w:rPr>
        <w:t xml:space="preserve">of </w:t>
      </w:r>
      <w:r w:rsidRPr="008A0334">
        <w:rPr>
          <w:lang w:val="en-GB"/>
        </w:rPr>
        <w:t>the Kobe GMP consolidated lab</w:t>
      </w:r>
      <w:r w:rsidRPr="008A0334">
        <w:rPr>
          <w:lang w:val="en-GB" w:eastAsia="ja-JP"/>
        </w:rPr>
        <w:t>oratory</w:t>
      </w:r>
      <w:r w:rsidRPr="008A0334">
        <w:rPr>
          <w:lang w:val="en-GB"/>
        </w:rPr>
        <w:t xml:space="preserve"> of the Manufacturing Technology Association </w:t>
      </w:r>
      <w:r w:rsidR="00684EC2" w:rsidRPr="008A0334">
        <w:rPr>
          <w:lang w:val="en-GB"/>
        </w:rPr>
        <w:t xml:space="preserve">of Biologics </w:t>
      </w:r>
      <w:r w:rsidRPr="008A0334">
        <w:rPr>
          <w:lang w:val="en-GB"/>
        </w:rPr>
        <w:t xml:space="preserve">in Japan. </w:t>
      </w:r>
      <w:r w:rsidR="00864DA8" w:rsidRPr="008A0334">
        <w:rPr>
          <w:lang w:val="en-GB"/>
        </w:rPr>
        <w:t>Four</w:t>
      </w:r>
      <w:r w:rsidR="0077620F" w:rsidRPr="008A0334">
        <w:rPr>
          <w:lang w:val="en-GB"/>
        </w:rPr>
        <w:t xml:space="preserve"> experiments with different cell lines</w:t>
      </w:r>
      <w:r w:rsidR="001F2EDC" w:rsidRPr="008A0334">
        <w:rPr>
          <w:lang w:val="en-GB"/>
        </w:rPr>
        <w:t xml:space="preserve"> including CHO-MK 9E-1 cells </w:t>
      </w:r>
      <w:sdt>
        <w:sdtPr>
          <w:rPr>
            <w:color w:val="000000"/>
            <w:lang w:val="en-GB"/>
          </w:rPr>
          <w:tag w:val="MENDELEY_CITATION_v3_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"/>
          <w:id w:val="-36978561"/>
          <w:placeholder>
            <w:docPart w:val="EEDCAF1682494EC58219BAAAF27CE56F"/>
          </w:placeholder>
        </w:sdtPr>
        <w:sdtEndPr/>
        <w:sdtContent>
          <w:r w:rsidR="003D3043" w:rsidRPr="008A0334">
            <w:rPr>
              <w:color w:val="000000"/>
              <w:lang w:val="en-GB"/>
            </w:rPr>
            <w:t>(Horiuchi, 2019)</w:t>
          </w:r>
        </w:sdtContent>
      </w:sdt>
      <w:r w:rsidR="00A44EBD" w:rsidRPr="008A0334">
        <w:rPr>
          <w:lang w:val="en-GB"/>
        </w:rPr>
        <w:t xml:space="preserve">, operating modes, and scales were used for the </w:t>
      </w:r>
      <w:r w:rsidR="003F1635" w:rsidRPr="008A0334">
        <w:rPr>
          <w:lang w:val="en-GB"/>
        </w:rPr>
        <w:t xml:space="preserve">initial analysis using </w:t>
      </w:r>
      <w:r w:rsidR="00A44EBD" w:rsidRPr="008A0334">
        <w:rPr>
          <w:lang w:val="en-GB"/>
        </w:rPr>
        <w:t xml:space="preserve">PCA. </w:t>
      </w:r>
      <w:r w:rsidR="001F2EDC" w:rsidRPr="008A0334">
        <w:rPr>
          <w:lang w:val="en-GB"/>
        </w:rPr>
        <w:t>T</w:t>
      </w:r>
      <w:r w:rsidRPr="008A0334">
        <w:rPr>
          <w:lang w:val="en-GB"/>
        </w:rPr>
        <w:t>hree experiment</w:t>
      </w:r>
      <w:r w:rsidR="00864DA8" w:rsidRPr="008A0334">
        <w:rPr>
          <w:lang w:val="en-GB"/>
        </w:rPr>
        <w:t>al runs</w:t>
      </w:r>
      <w:r w:rsidR="009943DC" w:rsidRPr="008A0334">
        <w:rPr>
          <w:lang w:val="en-GB"/>
        </w:rPr>
        <w:t xml:space="preserve"> (i.e., Experiments (A)</w:t>
      </w:r>
      <w:r w:rsidR="006C2290" w:rsidRPr="008A0334">
        <w:rPr>
          <w:lang w:val="en-GB"/>
        </w:rPr>
        <w:t>–(C)</w:t>
      </w:r>
      <w:r w:rsidR="009943DC" w:rsidRPr="008A0334">
        <w:rPr>
          <w:lang w:val="en-GB"/>
        </w:rPr>
        <w:t>)</w:t>
      </w:r>
      <w:r w:rsidRPr="008A0334">
        <w:rPr>
          <w:lang w:val="en-GB"/>
        </w:rPr>
        <w:t xml:space="preserve"> </w:t>
      </w:r>
      <w:r w:rsidR="00D95EF8" w:rsidRPr="008A0334">
        <w:rPr>
          <w:lang w:val="en-GB"/>
        </w:rPr>
        <w:t>with</w:t>
      </w:r>
      <w:r w:rsidR="00D95EF8" w:rsidRPr="008A0334">
        <w:rPr>
          <w:rStyle w:val="Rimandocommento"/>
        </w:rPr>
        <w:t xml:space="preserve"> </w:t>
      </w:r>
      <w:r w:rsidRPr="008A0334">
        <w:rPr>
          <w:lang w:val="en-GB"/>
        </w:rPr>
        <w:t>CHO-MK 9E-1 cells in</w:t>
      </w:r>
      <w:r w:rsidR="00D95EF8">
        <w:rPr>
          <w:lang w:val="en-GB"/>
        </w:rPr>
        <w:t xml:space="preserve"> the</w:t>
      </w:r>
      <w:r w:rsidRPr="003919BA">
        <w:rPr>
          <w:lang w:val="en-GB"/>
        </w:rPr>
        <w:t xml:space="preserve"> </w:t>
      </w:r>
      <w:r w:rsidR="00D95EF8">
        <w:rPr>
          <w:lang w:val="en-GB"/>
        </w:rPr>
        <w:t xml:space="preserve">50 L </w:t>
      </w:r>
      <w:r w:rsidRPr="003919BA">
        <w:rPr>
          <w:lang w:val="en-GB"/>
        </w:rPr>
        <w:t>fed-batch mode</w:t>
      </w:r>
      <w:r w:rsidR="00D95EF8">
        <w:rPr>
          <w:lang w:val="en-GB"/>
        </w:rPr>
        <w:t xml:space="preserve"> were </w:t>
      </w:r>
      <w:r w:rsidR="00EF3D17">
        <w:rPr>
          <w:lang w:val="en-GB"/>
        </w:rPr>
        <w:t>used</w:t>
      </w:r>
      <w:r w:rsidR="00D95EF8">
        <w:rPr>
          <w:lang w:val="en-GB"/>
        </w:rPr>
        <w:t xml:space="preserve"> for the </w:t>
      </w:r>
      <w:r w:rsidR="009943DC">
        <w:rPr>
          <w:lang w:val="en-GB"/>
        </w:rPr>
        <w:t>clustering and mechanistic model update</w:t>
      </w:r>
      <w:r w:rsidRPr="003919BA">
        <w:rPr>
          <w:lang w:val="en-GB"/>
        </w:rPr>
        <w:t>.</w:t>
      </w:r>
      <w:r>
        <w:rPr>
          <w:lang w:val="en-GB"/>
        </w:rPr>
        <w:t xml:space="preserve"> Experiments (A)</w:t>
      </w:r>
      <w:r w:rsidRPr="003919BA">
        <w:rPr>
          <w:lang w:val="en-GB"/>
        </w:rPr>
        <w:t xml:space="preserve"> </w:t>
      </w:r>
      <w:r>
        <w:rPr>
          <w:lang w:val="en-GB"/>
        </w:rPr>
        <w:t xml:space="preserve">and (B) were conducted in </w:t>
      </w:r>
      <w:r w:rsidR="00CE0D58">
        <w:rPr>
          <w:lang w:val="en-GB"/>
        </w:rPr>
        <w:t>orbitally-shaken-tank</w:t>
      </w:r>
      <w:r>
        <w:rPr>
          <w:lang w:val="en-GB"/>
        </w:rPr>
        <w:t xml:space="preserve"> reactor while Experiment (C) used </w:t>
      </w:r>
      <w:r w:rsidR="00CE0D58">
        <w:rPr>
          <w:lang w:val="en-GB"/>
        </w:rPr>
        <w:t>stirred-tank</w:t>
      </w:r>
      <w:r>
        <w:rPr>
          <w:lang w:val="en-GB"/>
        </w:rPr>
        <w:t xml:space="preserve"> reactor. Dissolved oxygen (DO) was downshifted from 50% to 10% to </w:t>
      </w:r>
      <w:r w:rsidR="0081150A">
        <w:rPr>
          <w:lang w:val="en-GB"/>
        </w:rPr>
        <w:t>maintain cell viability</w:t>
      </w:r>
      <w:r w:rsidR="003F1635">
        <w:rPr>
          <w:lang w:val="en-GB"/>
        </w:rPr>
        <w:t xml:space="preserve"> for longer durations</w:t>
      </w:r>
      <w:r>
        <w:rPr>
          <w:lang w:val="en-GB"/>
        </w:rPr>
        <w:t xml:space="preserve">. </w:t>
      </w:r>
      <w:r w:rsidR="000943CD">
        <w:rPr>
          <w:lang w:val="en-GB"/>
        </w:rPr>
        <w:t xml:space="preserve">The </w:t>
      </w:r>
      <w:r>
        <w:rPr>
          <w:lang w:val="en-GB"/>
        </w:rPr>
        <w:t xml:space="preserve">pH and temperature were controlled </w:t>
      </w:r>
      <w:r w:rsidR="003F1635">
        <w:rPr>
          <w:lang w:val="en-GB"/>
        </w:rPr>
        <w:t xml:space="preserve">and </w:t>
      </w:r>
      <w:r w:rsidR="00CE0D58">
        <w:rPr>
          <w:lang w:val="en-GB"/>
        </w:rPr>
        <w:t>maintain</w:t>
      </w:r>
      <w:r w:rsidR="003F1635">
        <w:rPr>
          <w:lang w:val="en-GB"/>
        </w:rPr>
        <w:t>ed</w:t>
      </w:r>
      <w:r w:rsidR="00CE0D58">
        <w:rPr>
          <w:lang w:val="en-GB"/>
        </w:rPr>
        <w:t xml:space="preserve"> a</w:t>
      </w:r>
      <w:r w:rsidR="003F1635">
        <w:rPr>
          <w:lang w:val="en-GB"/>
        </w:rPr>
        <w:t>t</w:t>
      </w:r>
      <w:r w:rsidR="00CE0D58">
        <w:rPr>
          <w:lang w:val="en-GB"/>
        </w:rPr>
        <w:t xml:space="preserve"> set</w:t>
      </w:r>
      <w:r w:rsidR="003F1635">
        <w:rPr>
          <w:lang w:val="en-GB"/>
        </w:rPr>
        <w:t xml:space="preserve"> values</w:t>
      </w:r>
      <w:r>
        <w:rPr>
          <w:lang w:val="en-GB"/>
        </w:rPr>
        <w:t xml:space="preserve">. </w:t>
      </w:r>
      <w:r w:rsidRPr="003919BA">
        <w:rPr>
          <w:lang w:val="en-GB"/>
        </w:rPr>
        <w:t xml:space="preserve">Daily offline measurements included viable cell density, versatility, concentrations of nutrients and metabolites. </w:t>
      </w:r>
      <w:r>
        <w:rPr>
          <w:lang w:val="en-GB"/>
        </w:rPr>
        <w:t>DO</w:t>
      </w:r>
      <w:r w:rsidRPr="003919BA">
        <w:rPr>
          <w:lang w:val="en-GB"/>
        </w:rPr>
        <w:t>, pH, temperature, pressure, solution weight, sparging</w:t>
      </w:r>
      <w:r w:rsidR="00C54B96">
        <w:rPr>
          <w:lang w:val="en-GB"/>
        </w:rPr>
        <w:t xml:space="preserve"> rates of air and oxygen</w:t>
      </w:r>
      <w:r w:rsidRPr="003919BA">
        <w:rPr>
          <w:lang w:val="en-GB"/>
        </w:rPr>
        <w:t xml:space="preserve">, and agitation rate were measured online every </w:t>
      </w:r>
      <w:r w:rsidR="00185E11">
        <w:rPr>
          <w:lang w:val="en-GB"/>
        </w:rPr>
        <w:t>minute</w:t>
      </w:r>
      <w:r w:rsidRPr="003919BA">
        <w:rPr>
          <w:lang w:val="en-GB"/>
        </w:rPr>
        <w:t>.</w:t>
      </w:r>
      <w:r>
        <w:rPr>
          <w:lang w:val="en-GB"/>
        </w:rPr>
        <w:t xml:space="preserve"> In </w:t>
      </w:r>
      <w:r w:rsidR="006C2290">
        <w:rPr>
          <w:lang w:val="en-GB"/>
        </w:rPr>
        <w:t>Experiments (A)–(C)</w:t>
      </w:r>
      <w:r>
        <w:rPr>
          <w:lang w:val="en-GB"/>
        </w:rPr>
        <w:t>, the lactate metabolic shift was observed.</w:t>
      </w:r>
    </w:p>
    <w:p w14:paraId="144DE69D" w14:textId="17629484" w:rsidR="008D2649" w:rsidRDefault="0060142D" w:rsidP="002D4BE9">
      <w:pPr>
        <w:pStyle w:val="Els-2ndorder-head"/>
        <w:numPr>
          <w:ilvl w:val="1"/>
          <w:numId w:val="17"/>
        </w:numPr>
        <w:rPr>
          <w:lang w:val="en-GB"/>
        </w:rPr>
      </w:pPr>
      <w:r>
        <w:rPr>
          <w:lang w:val="en-GB"/>
        </w:rPr>
        <w:t>Mathematical models</w:t>
      </w:r>
    </w:p>
    <w:p w14:paraId="5FF5B514" w14:textId="77777777" w:rsidR="002D4BE9" w:rsidRDefault="002D2F3C" w:rsidP="002D4BE9">
      <w:pPr>
        <w:pStyle w:val="Els-3rdorder-head"/>
        <w:numPr>
          <w:ilvl w:val="2"/>
          <w:numId w:val="17"/>
        </w:numPr>
      </w:pPr>
      <w:r w:rsidRPr="002D2F3C">
        <w:t>Cell cultivation model and simulation</w:t>
      </w:r>
    </w:p>
    <w:p w14:paraId="3C979CB1" w14:textId="65B15ACF" w:rsidR="005F078A" w:rsidRDefault="005F078A" w:rsidP="00087896">
      <w:pPr>
        <w:pStyle w:val="Els-3rdorder-head"/>
        <w:numPr>
          <w:ilvl w:val="3"/>
          <w:numId w:val="17"/>
        </w:numPr>
      </w:pPr>
      <w:r>
        <w:t>Fundamental mechanistic cell cultivation model including impurity generation</w:t>
      </w:r>
    </w:p>
    <w:p w14:paraId="0796BB2F" w14:textId="4C250B5E" w:rsidR="005F078A" w:rsidRDefault="009830FA" w:rsidP="005F078A">
      <w:pPr>
        <w:pStyle w:val="Els-body-text"/>
      </w:pPr>
      <w:r w:rsidRPr="009830FA">
        <w:t xml:space="preserve">The fundamental model to describe cell cultivation including process-related impurity generation developed </w:t>
      </w:r>
      <w:r w:rsidR="003F1635">
        <w:t>by</w:t>
      </w:r>
      <w:r w:rsidR="003F1635" w:rsidRPr="00351ED9">
        <w:t xml:space="preserve"> </w:t>
      </w:r>
      <w:sdt>
        <w:sdtPr>
          <w:rPr>
            <w:color w:val="000000"/>
          </w:rPr>
          <w:tag w:val="MENDELEY_CITATION_v3_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"/>
          <w:id w:val="-927807606"/>
          <w:placeholder>
            <w:docPart w:val="DefaultPlaceholder_-1854013440"/>
          </w:placeholder>
        </w:sdtPr>
        <w:sdtEndPr/>
        <w:sdtContent>
          <w:r w:rsidR="003D3043" w:rsidRPr="003D3043">
            <w:rPr>
              <w:color w:val="000000"/>
            </w:rPr>
            <w:t>Badr et al. (2021)</w:t>
          </w:r>
        </w:sdtContent>
      </w:sdt>
      <w:r w:rsidRPr="00351ED9">
        <w:t xml:space="preserve"> and </w:t>
      </w:r>
      <w:sdt>
        <w:sdtPr>
          <w:rPr>
            <w:color w:val="000000"/>
          </w:rPr>
          <w:tag w:val="MENDELEY_CITATION_v3_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"/>
          <w:id w:val="-36901240"/>
          <w:placeholder>
            <w:docPart w:val="DefaultPlaceholder_-1854013440"/>
          </w:placeholder>
        </w:sdtPr>
        <w:sdtEndPr/>
        <w:sdtContent>
          <w:r w:rsidR="003D3043" w:rsidRPr="003D3043">
            <w:rPr>
              <w:color w:val="000000"/>
            </w:rPr>
            <w:t>Okamura et al. (2022)</w:t>
          </w:r>
        </w:sdtContent>
      </w:sdt>
      <w:r w:rsidRPr="00351ED9">
        <w:t xml:space="preserve"> </w:t>
      </w:r>
      <w:r w:rsidR="003F1635" w:rsidRPr="00351ED9">
        <w:t>w</w:t>
      </w:r>
      <w:r w:rsidR="003F1635">
        <w:t>as initially</w:t>
      </w:r>
      <w:r w:rsidR="003F1635" w:rsidRPr="009830FA">
        <w:t xml:space="preserve"> </w:t>
      </w:r>
      <w:r w:rsidRPr="009830FA">
        <w:t xml:space="preserve">applied. The model involves a set of mass balance equations for system components, including solution volume and density/concentrations of viable cell, mAb, glucose, lactate, dead cell, </w:t>
      </w:r>
      <w:r w:rsidR="00C73B98">
        <w:t>HCP</w:t>
      </w:r>
      <w:r w:rsidRPr="009830FA">
        <w:t>, and DNA as shown in Eqs</w:t>
      </w:r>
      <w:r>
        <w:t>.</w:t>
      </w:r>
      <w:r w:rsidRPr="009830FA">
        <w:t xml:space="preserve"> (1)</w:t>
      </w:r>
      <w:proofErr w:type="gramStart"/>
      <w:r w:rsidRPr="009830FA">
        <w:t>–(</w:t>
      </w:r>
      <w:proofErr w:type="gramEnd"/>
      <w:r w:rsidRPr="009830FA">
        <w:t>8). Specific cell growth and death rates are described in Monod-type equation</w:t>
      </w:r>
      <w:r w:rsidR="009E77FA">
        <w:t>s</w:t>
      </w:r>
      <w:r w:rsidRPr="009830FA">
        <w:t>.</w:t>
      </w:r>
    </w:p>
    <w:tbl>
      <w:tblPr>
        <w:tblStyle w:val="Grigliatabella"/>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4"/>
        <w:gridCol w:w="703"/>
      </w:tblGrid>
      <w:tr w:rsidR="00CA118F" w:rsidRPr="00A6566F" w14:paraId="62FA1BA3" w14:textId="77777777" w:rsidTr="001B6099">
        <w:trPr>
          <w:trHeight w:val="680"/>
        </w:trPr>
        <w:tc>
          <w:tcPr>
            <w:tcW w:w="6384" w:type="dxa"/>
            <w:vAlign w:val="center"/>
          </w:tcPr>
          <w:p w14:paraId="4E0D499B" w14:textId="1B332BD7" w:rsidR="00CA118F" w:rsidRPr="00331DEF" w:rsidRDefault="006D1916" w:rsidP="009953BA">
            <m:oMathPara>
              <m:oMathParaPr>
                <m:jc m:val="left"/>
              </m:oMathParaPr>
              <m:oMath>
                <m:f>
                  <m:fPr>
                    <m:ctrlPr>
                      <w:rPr>
                        <w:rFonts w:ascii="Cambria Math" w:hAnsi="Cambria Math"/>
                      </w:rPr>
                    </m:ctrlPr>
                  </m:fPr>
                  <m:num>
                    <m:r>
                      <w:rPr>
                        <w:rFonts w:ascii="Cambria Math" w:hAnsi="Cambria Math"/>
                      </w:rPr>
                      <m:t>d</m:t>
                    </m:r>
                    <m:d>
                      <m:dPr>
                        <m:ctrlPr>
                          <w:rPr>
                            <w:rFonts w:ascii="Cambria Math" w:hAnsi="Cambria Math"/>
                          </w:rPr>
                        </m:ctrlPr>
                      </m:dPr>
                      <m:e>
                        <m:r>
                          <w:rPr>
                            <w:rFonts w:ascii="Cambria Math" w:hAnsi="Cambria Math"/>
                          </w:rPr>
                          <m:t>V</m:t>
                        </m:r>
                        <m:sSub>
                          <m:sSubPr>
                            <m:ctrlPr>
                              <w:rPr>
                                <w:rFonts w:ascii="Cambria Math" w:hAnsi="Cambria Math"/>
                              </w:rPr>
                            </m:ctrlPr>
                          </m:sSubPr>
                          <m:e>
                            <m:r>
                              <w:rPr>
                                <w:rFonts w:ascii="Cambria Math" w:hAnsi="Cambria Math"/>
                              </w:rPr>
                              <m:t>X</m:t>
                            </m:r>
                          </m:e>
                          <m:sub>
                            <m:r>
                              <m:rPr>
                                <m:sty m:val="p"/>
                              </m:rPr>
                              <w:rPr>
                                <w:rFonts w:ascii="Cambria Math" w:hAnsi="Cambria Math"/>
                              </w:rPr>
                              <m:t>v</m:t>
                            </m:r>
                          </m:sub>
                        </m:sSub>
                      </m:e>
                    </m:d>
                  </m:num>
                  <m:den>
                    <m:r>
                      <w:rPr>
                        <w:rFonts w:ascii="Cambria Math" w:hAnsi="Cambria Math"/>
                      </w:rPr>
                      <m:t>dt</m:t>
                    </m:r>
                  </m:den>
                </m:f>
                <m:r>
                  <m:rPr>
                    <m:sty m:val="p"/>
                  </m:rPr>
                  <w:rPr>
                    <w:rFonts w:ascii="Cambria Math" w:hAnsi="Cambria Math"/>
                  </w:rPr>
                  <m:t>=</m:t>
                </m:r>
                <m:d>
                  <m:dPr>
                    <m:ctrlPr>
                      <w:rPr>
                        <w:rFonts w:ascii="Cambria Math" w:hAnsi="Cambria Math"/>
                      </w:rPr>
                    </m:ctrlPr>
                  </m:dPr>
                  <m:e>
                    <m:r>
                      <w:rPr>
                        <w:rFonts w:ascii="Cambria Math" w:hAnsi="Cambria Math"/>
                      </w:rPr>
                      <m:t>μ</m:t>
                    </m:r>
                    <m:r>
                      <m:rPr>
                        <m:sty m:val="p"/>
                      </m:rP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d</m:t>
                        </m:r>
                      </m:sub>
                    </m:sSub>
                  </m:e>
                </m:d>
                <m:r>
                  <w:rPr>
                    <w:rFonts w:ascii="Cambria Math" w:hAnsi="Cambria Math"/>
                  </w:rPr>
                  <m:t>V</m:t>
                </m:r>
                <m:sSub>
                  <m:sSubPr>
                    <m:ctrlPr>
                      <w:rPr>
                        <w:rFonts w:ascii="Cambria Math" w:hAnsi="Cambria Math"/>
                      </w:rPr>
                    </m:ctrlPr>
                  </m:sSubPr>
                  <m:e>
                    <m:r>
                      <w:rPr>
                        <w:rFonts w:ascii="Cambria Math" w:hAnsi="Cambria Math"/>
                      </w:rPr>
                      <m:t>X</m:t>
                    </m:r>
                  </m:e>
                  <m:sub>
                    <m:r>
                      <m:rPr>
                        <m:sty m:val="p"/>
                      </m:rPr>
                      <w:rPr>
                        <w:rFonts w:ascii="Cambria Math" w:hAnsi="Cambria Math"/>
                      </w:rPr>
                      <m:t>v</m:t>
                    </m:r>
                  </m:sub>
                </m:sSub>
              </m:oMath>
            </m:oMathPara>
          </w:p>
        </w:tc>
        <w:tc>
          <w:tcPr>
            <w:tcW w:w="703" w:type="dxa"/>
            <w:vAlign w:val="center"/>
          </w:tcPr>
          <w:p w14:paraId="6ECDA9DB" w14:textId="77777777" w:rsidR="00CA118F" w:rsidRPr="00A6566F" w:rsidRDefault="00CA118F" w:rsidP="009953BA">
            <w:r w:rsidRPr="00A6566F">
              <w:t>(1)</w:t>
            </w:r>
          </w:p>
        </w:tc>
      </w:tr>
      <w:tr w:rsidR="00CA118F" w:rsidRPr="00A6566F" w14:paraId="4AEEA5E6" w14:textId="77777777" w:rsidTr="001B6099">
        <w:trPr>
          <w:trHeight w:val="680"/>
        </w:trPr>
        <w:tc>
          <w:tcPr>
            <w:tcW w:w="6384" w:type="dxa"/>
            <w:vAlign w:val="center"/>
          </w:tcPr>
          <w:p w14:paraId="30031767" w14:textId="77777777" w:rsidR="00CA118F" w:rsidRPr="00A6566F" w:rsidRDefault="006D1916" w:rsidP="009953BA">
            <m:oMathPara>
              <m:oMathParaPr>
                <m:jc m:val="left"/>
              </m:oMathParaPr>
              <m:oMath>
                <m:f>
                  <m:fPr>
                    <m:ctrlPr>
                      <w:rPr>
                        <w:rFonts w:ascii="Cambria Math" w:hAnsi="Cambria Math"/>
                      </w:rPr>
                    </m:ctrlPr>
                  </m:fPr>
                  <m:num>
                    <m:r>
                      <w:rPr>
                        <w:rFonts w:ascii="Cambria Math" w:hAnsi="Cambria Math"/>
                      </w:rPr>
                      <m:t>d</m:t>
                    </m:r>
                    <m:d>
                      <m:dPr>
                        <m:ctrlPr>
                          <w:rPr>
                            <w:rFonts w:ascii="Cambria Math" w:hAnsi="Cambria Math"/>
                          </w:rPr>
                        </m:ctrlPr>
                      </m:dPr>
                      <m:e>
                        <m:r>
                          <w:rPr>
                            <w:rFonts w:ascii="Cambria Math" w:hAnsi="Cambria Math"/>
                          </w:rPr>
                          <m:t>VP</m:t>
                        </m:r>
                      </m:e>
                    </m:d>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p</m:t>
                    </m:r>
                  </m:sub>
                </m:sSub>
                <m:r>
                  <w:rPr>
                    <w:rFonts w:ascii="Cambria Math" w:hAnsi="Cambria Math"/>
                  </w:rPr>
                  <m:t>V</m:t>
                </m:r>
                <m:sSub>
                  <m:sSubPr>
                    <m:ctrlPr>
                      <w:rPr>
                        <w:rFonts w:ascii="Cambria Math" w:hAnsi="Cambria Math"/>
                      </w:rPr>
                    </m:ctrlPr>
                  </m:sSubPr>
                  <m:e>
                    <m:r>
                      <w:rPr>
                        <w:rFonts w:ascii="Cambria Math" w:hAnsi="Cambria Math"/>
                      </w:rPr>
                      <m:t>X</m:t>
                    </m:r>
                  </m:e>
                  <m:sub>
                    <m:r>
                      <m:rPr>
                        <m:sty m:val="p"/>
                      </m:rPr>
                      <w:rPr>
                        <w:rFonts w:ascii="Cambria Math" w:hAnsi="Cambria Math"/>
                      </w:rPr>
                      <m:t>v</m:t>
                    </m:r>
                  </m:sub>
                </m:sSub>
              </m:oMath>
            </m:oMathPara>
          </w:p>
        </w:tc>
        <w:tc>
          <w:tcPr>
            <w:tcW w:w="703" w:type="dxa"/>
            <w:vAlign w:val="center"/>
          </w:tcPr>
          <w:p w14:paraId="01A5A66F" w14:textId="77777777" w:rsidR="00CA118F" w:rsidRPr="00A6566F" w:rsidRDefault="00CA118F" w:rsidP="009953BA">
            <w:r w:rsidRPr="00A6566F">
              <w:t>(2)</w:t>
            </w:r>
          </w:p>
        </w:tc>
      </w:tr>
      <w:tr w:rsidR="00CA118F" w:rsidRPr="00A6566F" w14:paraId="38D6287F" w14:textId="77777777" w:rsidTr="001B6099">
        <w:trPr>
          <w:trHeight w:val="680"/>
        </w:trPr>
        <w:tc>
          <w:tcPr>
            <w:tcW w:w="6384" w:type="dxa"/>
            <w:vAlign w:val="center"/>
          </w:tcPr>
          <w:p w14:paraId="405F3D86" w14:textId="77777777" w:rsidR="00CA118F" w:rsidRPr="00A6566F" w:rsidRDefault="006D1916" w:rsidP="009953BA">
            <m:oMathPara>
              <m:oMathParaPr>
                <m:jc m:val="left"/>
              </m:oMathParaPr>
              <m:oMath>
                <m:f>
                  <m:fPr>
                    <m:ctrlPr>
                      <w:rPr>
                        <w:rFonts w:ascii="Cambria Math" w:hAnsi="Cambria Math"/>
                      </w:rPr>
                    </m:ctrlPr>
                  </m:fPr>
                  <m:num>
                    <m:r>
                      <w:rPr>
                        <w:rFonts w:ascii="Cambria Math" w:hAnsi="Cambria Math"/>
                      </w:rPr>
                      <m:t>d</m:t>
                    </m:r>
                    <m:d>
                      <m:dPr>
                        <m:ctrlPr>
                          <w:rPr>
                            <w:rFonts w:ascii="Cambria Math" w:hAnsi="Cambria Math"/>
                          </w:rPr>
                        </m:ctrlPr>
                      </m:dPr>
                      <m:e>
                        <m:r>
                          <w:rPr>
                            <w:rFonts w:ascii="Cambria Math" w:hAnsi="Cambria Math"/>
                          </w:rPr>
                          <m:t>V</m:t>
                        </m:r>
                        <m:d>
                          <m:dPr>
                            <m:begChr m:val="["/>
                            <m:endChr m:val="]"/>
                            <m:ctrlPr>
                              <w:rPr>
                                <w:rFonts w:ascii="Cambria Math" w:hAnsi="Cambria Math"/>
                              </w:rPr>
                            </m:ctrlPr>
                          </m:dPr>
                          <m:e>
                            <m:r>
                              <m:rPr>
                                <m:sty m:val="p"/>
                              </m:rPr>
                              <w:rPr>
                                <w:rFonts w:ascii="Cambria Math" w:hAnsi="Cambria Math"/>
                              </w:rPr>
                              <m:t>GLC</m:t>
                            </m:r>
                          </m:e>
                        </m:d>
                      </m:e>
                    </m:d>
                  </m:num>
                  <m:den>
                    <m:r>
                      <w:rPr>
                        <w:rFonts w:ascii="Cambria Math" w:hAnsi="Cambria Math"/>
                      </w:rPr>
                      <m:t>dt</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μ</m:t>
                        </m:r>
                      </m:num>
                      <m:den>
                        <m:sSub>
                          <m:sSubPr>
                            <m:ctrlPr>
                              <w:rPr>
                                <w:rFonts w:ascii="Cambria Math" w:hAnsi="Cambria Math"/>
                              </w:rPr>
                            </m:ctrlPr>
                          </m:sSubPr>
                          <m:e>
                            <m:r>
                              <w:rPr>
                                <w:rFonts w:ascii="Cambria Math" w:hAnsi="Cambria Math"/>
                              </w:rPr>
                              <m:t>Y</m:t>
                            </m:r>
                          </m:e>
                          <m:sub>
                            <m:sSub>
                              <m:sSubPr>
                                <m:ctrlPr>
                                  <w:rPr>
                                    <w:rFonts w:ascii="Cambria Math" w:hAnsi="Cambria Math"/>
                                  </w:rPr>
                                </m:ctrlPr>
                              </m:sSubPr>
                              <m:e>
                                <m:r>
                                  <w:rPr>
                                    <w:rFonts w:ascii="Cambria Math" w:hAnsi="Cambria Math"/>
                                  </w:rPr>
                                  <m:t>X</m:t>
                                </m:r>
                              </m:e>
                              <m:sub>
                                <m:r>
                                  <m:rPr>
                                    <m:sty m:val="p"/>
                                  </m:rPr>
                                  <w:rPr>
                                    <w:rFonts w:ascii="Cambria Math" w:hAnsi="Cambria Math"/>
                                  </w:rPr>
                                  <m:t>v</m:t>
                                </m:r>
                              </m:sub>
                            </m:sSub>
                            <m:r>
                              <m:rPr>
                                <m:lit/>
                                <m:sty m:val="p"/>
                              </m:rPr>
                              <w:rPr>
                                <w:rFonts w:ascii="Cambria Math" w:hAnsi="Cambria Math"/>
                              </w:rPr>
                              <m:t>/</m:t>
                            </m:r>
                            <m:r>
                              <m:rPr>
                                <m:sty m:val="p"/>
                              </m:rPr>
                              <w:rPr>
                                <w:rFonts w:ascii="Cambria Math" w:hAnsi="Cambria Math"/>
                              </w:rPr>
                              <m:t>glc</m:t>
                            </m:r>
                          </m:sub>
                        </m:sSub>
                      </m:den>
                    </m:f>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glc</m:t>
                        </m:r>
                      </m:sub>
                    </m:sSub>
                  </m:e>
                </m:d>
                <m:r>
                  <w:rPr>
                    <w:rFonts w:ascii="Cambria Math" w:hAnsi="Cambria Math"/>
                  </w:rPr>
                  <m:t>V</m:t>
                </m:r>
                <m:sSub>
                  <m:sSubPr>
                    <m:ctrlPr>
                      <w:rPr>
                        <w:rFonts w:ascii="Cambria Math" w:hAnsi="Cambria Math"/>
                      </w:rPr>
                    </m:ctrlPr>
                  </m:sSubPr>
                  <m:e>
                    <m:r>
                      <w:rPr>
                        <w:rFonts w:ascii="Cambria Math" w:hAnsi="Cambria Math"/>
                      </w:rPr>
                      <m:t>X</m:t>
                    </m:r>
                  </m:e>
                  <m:sub>
                    <m:r>
                      <m:rPr>
                        <m:sty m:val="p"/>
                      </m:rP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in</m:t>
                    </m:r>
                  </m:sub>
                </m:sSub>
                <m:sSub>
                  <m:sSubPr>
                    <m:ctrlPr>
                      <w:rPr>
                        <w:rFonts w:ascii="Cambria Math" w:hAnsi="Cambria Math"/>
                      </w:rPr>
                    </m:ctrlPr>
                  </m:sSubPr>
                  <m:e>
                    <m:r>
                      <w:rPr>
                        <w:rFonts w:ascii="Cambria Math" w:hAnsi="Cambria Math"/>
                      </w:rPr>
                      <m:t>c</m:t>
                    </m:r>
                  </m:e>
                  <m:sub>
                    <m:r>
                      <m:rPr>
                        <m:sty m:val="p"/>
                      </m:rPr>
                      <w:rPr>
                        <w:rFonts w:ascii="Cambria Math" w:hAnsi="Cambria Math"/>
                      </w:rPr>
                      <m:t>in_glc</m:t>
                    </m:r>
                  </m:sub>
                </m:sSub>
              </m:oMath>
            </m:oMathPara>
          </w:p>
        </w:tc>
        <w:tc>
          <w:tcPr>
            <w:tcW w:w="703" w:type="dxa"/>
            <w:vAlign w:val="center"/>
          </w:tcPr>
          <w:p w14:paraId="20C8223C" w14:textId="77777777" w:rsidR="00CA118F" w:rsidRPr="00A6566F" w:rsidRDefault="00CA118F" w:rsidP="009953BA">
            <w:r w:rsidRPr="00A6566F">
              <w:t>(3)</w:t>
            </w:r>
          </w:p>
        </w:tc>
      </w:tr>
      <w:tr w:rsidR="00CA118F" w:rsidRPr="00A6566F" w14:paraId="441E530C" w14:textId="77777777" w:rsidTr="001B6099">
        <w:trPr>
          <w:trHeight w:val="680"/>
        </w:trPr>
        <w:tc>
          <w:tcPr>
            <w:tcW w:w="6384" w:type="dxa"/>
            <w:vAlign w:val="center"/>
          </w:tcPr>
          <w:p w14:paraId="0ADC5BAB" w14:textId="77777777" w:rsidR="00CA118F" w:rsidRPr="00A6566F" w:rsidRDefault="006D1916" w:rsidP="009953BA">
            <m:oMathPara>
              <m:oMathParaPr>
                <m:jc m:val="left"/>
              </m:oMathParaPr>
              <m:oMath>
                <m:f>
                  <m:fPr>
                    <m:ctrlPr>
                      <w:rPr>
                        <w:rFonts w:ascii="Cambria Math" w:hAnsi="Cambria Math"/>
                      </w:rPr>
                    </m:ctrlPr>
                  </m:fPr>
                  <m:num>
                    <m:r>
                      <w:rPr>
                        <w:rFonts w:ascii="Cambria Math" w:hAnsi="Cambria Math"/>
                      </w:rPr>
                      <m:t>d</m:t>
                    </m:r>
                    <m:d>
                      <m:dPr>
                        <m:ctrlPr>
                          <w:rPr>
                            <w:rFonts w:ascii="Cambria Math" w:hAnsi="Cambria Math"/>
                          </w:rPr>
                        </m:ctrlPr>
                      </m:dPr>
                      <m:e>
                        <m:r>
                          <w:rPr>
                            <w:rFonts w:ascii="Cambria Math" w:hAnsi="Cambria Math"/>
                          </w:rPr>
                          <m:t>V</m:t>
                        </m:r>
                        <m:d>
                          <m:dPr>
                            <m:begChr m:val="["/>
                            <m:endChr m:val="]"/>
                            <m:ctrlPr>
                              <w:rPr>
                                <w:rFonts w:ascii="Cambria Math" w:hAnsi="Cambria Math"/>
                              </w:rPr>
                            </m:ctrlPr>
                          </m:dPr>
                          <m:e>
                            <m:r>
                              <m:rPr>
                                <m:sty m:val="p"/>
                              </m:rPr>
                              <w:rPr>
                                <w:rFonts w:ascii="Cambria Math" w:hAnsi="Cambria Math"/>
                              </w:rPr>
                              <m:t>LAC</m:t>
                            </m:r>
                          </m:e>
                        </m:d>
                      </m:e>
                    </m:d>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lac</m:t>
                    </m:r>
                  </m:sub>
                </m:sSub>
                <m:r>
                  <w:rPr>
                    <w:rFonts w:ascii="Cambria Math" w:hAnsi="Cambria Math"/>
                  </w:rPr>
                  <m:t>V</m:t>
                </m:r>
                <m:sSub>
                  <m:sSubPr>
                    <m:ctrlPr>
                      <w:rPr>
                        <w:rFonts w:ascii="Cambria Math" w:hAnsi="Cambria Math"/>
                      </w:rPr>
                    </m:ctrlPr>
                  </m:sSubPr>
                  <m:e>
                    <m:r>
                      <w:rPr>
                        <w:rFonts w:ascii="Cambria Math" w:hAnsi="Cambria Math"/>
                      </w:rPr>
                      <m:t>X</m:t>
                    </m:r>
                  </m:e>
                  <m:sub>
                    <m:r>
                      <m:rPr>
                        <m:sty m:val="p"/>
                      </m:rPr>
                      <w:rPr>
                        <w:rFonts w:ascii="Cambria Math" w:hAnsi="Cambria Math"/>
                      </w:rPr>
                      <m:t>v</m:t>
                    </m:r>
                  </m:sub>
                </m:sSub>
              </m:oMath>
            </m:oMathPara>
          </w:p>
        </w:tc>
        <w:tc>
          <w:tcPr>
            <w:tcW w:w="703" w:type="dxa"/>
            <w:vAlign w:val="center"/>
          </w:tcPr>
          <w:p w14:paraId="42B56632" w14:textId="77777777" w:rsidR="00CA118F" w:rsidRPr="00A6566F" w:rsidRDefault="00CA118F" w:rsidP="009953BA">
            <w:r w:rsidRPr="00A6566F">
              <w:t>(4)</w:t>
            </w:r>
          </w:p>
        </w:tc>
      </w:tr>
      <w:tr w:rsidR="00CA118F" w:rsidRPr="00A6566F" w14:paraId="46DDBE52" w14:textId="77777777" w:rsidTr="001B6099">
        <w:trPr>
          <w:trHeight w:val="680"/>
        </w:trPr>
        <w:tc>
          <w:tcPr>
            <w:tcW w:w="6384" w:type="dxa"/>
            <w:vAlign w:val="center"/>
          </w:tcPr>
          <w:p w14:paraId="5A64C6C1" w14:textId="77777777" w:rsidR="00CA118F" w:rsidRPr="00A6566F" w:rsidRDefault="006D1916" w:rsidP="009953BA">
            <m:oMathPara>
              <m:oMathParaPr>
                <m:jc m:val="left"/>
              </m:oMathParaPr>
              <m:oMath>
                <m:f>
                  <m:fPr>
                    <m:ctrlPr>
                      <w:rPr>
                        <w:rFonts w:ascii="Cambria Math" w:hAnsi="Cambria Math"/>
                      </w:rPr>
                    </m:ctrlPr>
                  </m:fPr>
                  <m:num>
                    <m:r>
                      <w:rPr>
                        <w:rFonts w:ascii="Cambria Math" w:hAnsi="Cambria Math"/>
                      </w:rPr>
                      <m:t>d</m:t>
                    </m:r>
                    <m:d>
                      <m:dPr>
                        <m:ctrlPr>
                          <w:rPr>
                            <w:rFonts w:ascii="Cambria Math" w:hAnsi="Cambria Math"/>
                          </w:rPr>
                        </m:ctrlPr>
                      </m:dPr>
                      <m:e>
                        <m:r>
                          <w:rPr>
                            <w:rFonts w:ascii="Cambria Math" w:hAnsi="Cambria Math"/>
                          </w:rPr>
                          <m:t>V</m:t>
                        </m:r>
                      </m:e>
                    </m:d>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in</m:t>
                    </m:r>
                  </m:sub>
                </m:sSub>
              </m:oMath>
            </m:oMathPara>
          </w:p>
        </w:tc>
        <w:tc>
          <w:tcPr>
            <w:tcW w:w="703" w:type="dxa"/>
            <w:vAlign w:val="center"/>
          </w:tcPr>
          <w:p w14:paraId="6729BA52" w14:textId="77777777" w:rsidR="00CA118F" w:rsidRPr="00A6566F" w:rsidRDefault="00CA118F" w:rsidP="009953BA">
            <w:r w:rsidRPr="00A6566F">
              <w:t>(5)</w:t>
            </w:r>
          </w:p>
        </w:tc>
      </w:tr>
      <w:tr w:rsidR="00CA118F" w:rsidRPr="00A6566F" w14:paraId="2CAEE744" w14:textId="77777777" w:rsidTr="001B6099">
        <w:trPr>
          <w:trHeight w:val="680"/>
        </w:trPr>
        <w:tc>
          <w:tcPr>
            <w:tcW w:w="6384" w:type="dxa"/>
            <w:vAlign w:val="center"/>
          </w:tcPr>
          <w:p w14:paraId="43DB2429" w14:textId="77777777" w:rsidR="00CA118F" w:rsidRPr="00667EDE" w:rsidRDefault="006D1916" w:rsidP="009953BA">
            <m:oMathPara>
              <m:oMathParaPr>
                <m:jc m:val="left"/>
              </m:oMathParaPr>
              <m:oMath>
                <m:f>
                  <m:fPr>
                    <m:ctrlPr>
                      <w:rPr>
                        <w:rFonts w:ascii="Cambria Math" w:hAnsi="Cambria Math"/>
                      </w:rPr>
                    </m:ctrlPr>
                  </m:fPr>
                  <m:num>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VX</m:t>
                        </m:r>
                      </m:e>
                      <m:sub>
                        <m:r>
                          <m:rPr>
                            <m:sty m:val="p"/>
                          </m:rPr>
                          <w:rPr>
                            <w:rFonts w:ascii="Cambria Math" w:hAnsi="Cambria Math"/>
                          </w:rPr>
                          <m:t>d</m:t>
                        </m:r>
                      </m:sub>
                    </m:sSub>
                    <m:r>
                      <m:rPr>
                        <m:sty m:val="p"/>
                      </m:rPr>
                      <w:rPr>
                        <w:rFonts w:ascii="Cambria Math" w:hAnsi="Cambria Math"/>
                      </w:rPr>
                      <m:t>)</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d</m:t>
                    </m:r>
                  </m:sub>
                </m:sSub>
                <m:r>
                  <w:rPr>
                    <w:rFonts w:ascii="Cambria Math" w:hAnsi="Cambria Math"/>
                  </w:rPr>
                  <m:t>V</m:t>
                </m:r>
                <m:sSub>
                  <m:sSubPr>
                    <m:ctrlPr>
                      <w:rPr>
                        <w:rFonts w:ascii="Cambria Math" w:hAnsi="Cambria Math"/>
                      </w:rPr>
                    </m:ctrlPr>
                  </m:sSubPr>
                  <m:e>
                    <m:r>
                      <w:rPr>
                        <w:rFonts w:ascii="Cambria Math" w:hAnsi="Cambria Math"/>
                      </w:rPr>
                      <m:t>X</m:t>
                    </m:r>
                  </m:e>
                  <m:sub>
                    <m:r>
                      <m:rPr>
                        <m:sty m:val="p"/>
                      </m:rP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dcell</m:t>
                        </m:r>
                      </m:sub>
                    </m:sSub>
                    <m:sSub>
                      <m:sSubPr>
                        <m:ctrlPr>
                          <w:rPr>
                            <w:rFonts w:ascii="Cambria Math" w:hAnsi="Cambria Math"/>
                          </w:rPr>
                        </m:ctrlPr>
                      </m:sSubPr>
                      <m:e>
                        <m:r>
                          <w:rPr>
                            <w:rFonts w:ascii="Cambria Math" w:hAnsi="Cambria Math"/>
                          </w:rPr>
                          <m:t>VX</m:t>
                        </m:r>
                      </m:e>
                      <m:sub>
                        <m:r>
                          <m:rPr>
                            <m:sty m:val="p"/>
                          </m:rPr>
                          <w:rPr>
                            <w:rFonts w:ascii="Cambria Math" w:hAnsi="Cambria Math"/>
                          </w:rPr>
                          <m:t>d</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ldcell</m:t>
                        </m:r>
                      </m:sub>
                    </m:sSub>
                    <m:sSub>
                      <m:sSubPr>
                        <m:ctrlPr>
                          <w:rPr>
                            <w:rFonts w:ascii="Cambria Math" w:hAnsi="Cambria Math"/>
                          </w:rPr>
                        </m:ctrlPr>
                      </m:sSubPr>
                      <m:e>
                        <m:r>
                          <m:rPr>
                            <m:sty m:val="p"/>
                          </m:rPr>
                          <w:rPr>
                            <w:rFonts w:ascii="Cambria Math" w:hAnsi="Cambria Math"/>
                          </w:rPr>
                          <m:t>+</m:t>
                        </m:r>
                        <m:r>
                          <w:rPr>
                            <w:rFonts w:ascii="Cambria Math" w:hAnsi="Cambria Math"/>
                          </w:rPr>
                          <m:t>X</m:t>
                        </m:r>
                      </m:e>
                      <m:sub>
                        <m:r>
                          <m:rPr>
                            <m:sty m:val="p"/>
                          </m:rPr>
                          <w:rPr>
                            <w:rFonts w:ascii="Cambria Math" w:hAnsi="Cambria Math"/>
                          </w:rPr>
                          <m:t>d</m:t>
                        </m:r>
                      </m:sub>
                    </m:sSub>
                  </m:den>
                </m:f>
              </m:oMath>
            </m:oMathPara>
          </w:p>
        </w:tc>
        <w:tc>
          <w:tcPr>
            <w:tcW w:w="703" w:type="dxa"/>
            <w:vAlign w:val="center"/>
          </w:tcPr>
          <w:p w14:paraId="4907009A" w14:textId="77777777" w:rsidR="00CA118F" w:rsidRPr="00A6566F" w:rsidRDefault="00CA118F" w:rsidP="009953BA">
            <w:r>
              <w:rPr>
                <w:rFonts w:hint="eastAsia"/>
              </w:rPr>
              <w:t>(</w:t>
            </w:r>
            <w:r>
              <w:t>6)</w:t>
            </w:r>
          </w:p>
        </w:tc>
      </w:tr>
      <w:tr w:rsidR="00CA118F" w:rsidRPr="00A6566F" w14:paraId="2918A6E3" w14:textId="77777777" w:rsidTr="001B6099">
        <w:trPr>
          <w:trHeight w:val="680"/>
        </w:trPr>
        <w:tc>
          <w:tcPr>
            <w:tcW w:w="6384" w:type="dxa"/>
            <w:vAlign w:val="center"/>
          </w:tcPr>
          <w:p w14:paraId="4CEAF4F1" w14:textId="77777777" w:rsidR="00CA118F" w:rsidRPr="00667EDE" w:rsidRDefault="006D1916" w:rsidP="009953BA">
            <m:oMathPara>
              <m:oMathParaPr>
                <m:jc m:val="left"/>
              </m:oMathParaPr>
              <m:oMath>
                <m:f>
                  <m:fPr>
                    <m:ctrlPr>
                      <w:rPr>
                        <w:rFonts w:ascii="Cambria Math" w:hAnsi="Cambria Math"/>
                      </w:rPr>
                    </m:ctrlPr>
                  </m:fPr>
                  <m:num>
                    <m:r>
                      <w:rPr>
                        <w:rFonts w:ascii="Cambria Math" w:hAnsi="Cambria Math"/>
                      </w:rPr>
                      <m:t>d</m:t>
                    </m:r>
                    <m:d>
                      <m:dPr>
                        <m:ctrlPr>
                          <w:rPr>
                            <w:rFonts w:ascii="Cambria Math" w:hAnsi="Cambria Math"/>
                          </w:rPr>
                        </m:ctrlPr>
                      </m:dPr>
                      <m:e>
                        <m:r>
                          <w:rPr>
                            <w:rFonts w:ascii="Cambria Math" w:hAnsi="Cambria Math"/>
                          </w:rPr>
                          <m:t>V</m:t>
                        </m:r>
                        <m:r>
                          <m:rPr>
                            <m:sty m:val="p"/>
                          </m:rPr>
                          <w:rPr>
                            <w:rFonts w:ascii="Cambria Math" w:hAnsi="Cambria Math"/>
                          </w:rPr>
                          <m:t>[HCP]</m:t>
                        </m:r>
                      </m:e>
                    </m:d>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hcp/</m:t>
                    </m:r>
                    <m:sSub>
                      <m:sSubPr>
                        <m:ctrlPr>
                          <w:rPr>
                            <w:rFonts w:ascii="Cambria Math" w:hAnsi="Cambria Math"/>
                          </w:rPr>
                        </m:ctrlPr>
                      </m:sSubPr>
                      <m:e>
                        <m:r>
                          <w:rPr>
                            <w:rFonts w:ascii="Cambria Math" w:hAnsi="Cambria Math"/>
                          </w:rPr>
                          <m:t>X</m:t>
                        </m:r>
                      </m:e>
                      <m:sub>
                        <m:r>
                          <m:rPr>
                            <m:sty m:val="p"/>
                          </m:rPr>
                          <w:rPr>
                            <w:rFonts w:ascii="Cambria Math" w:hAnsi="Cambria Math"/>
                          </w:rPr>
                          <m:t>d</m:t>
                        </m:r>
                      </m:sub>
                    </m:sSub>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dcell</m:t>
                            </m:r>
                          </m:sub>
                        </m:sSub>
                        <m:sSub>
                          <m:sSubPr>
                            <m:ctrlPr>
                              <w:rPr>
                                <w:rFonts w:ascii="Cambria Math" w:hAnsi="Cambria Math"/>
                              </w:rPr>
                            </m:ctrlPr>
                          </m:sSubPr>
                          <m:e>
                            <m:r>
                              <w:rPr>
                                <w:rFonts w:ascii="Cambria Math" w:hAnsi="Cambria Math"/>
                              </w:rPr>
                              <m:t>VX</m:t>
                            </m:r>
                          </m:e>
                          <m:sub>
                            <m:r>
                              <m:rPr>
                                <m:sty m:val="p"/>
                              </m:rPr>
                              <w:rPr>
                                <w:rFonts w:ascii="Cambria Math" w:hAnsi="Cambria Math"/>
                              </w:rPr>
                              <m:t>d</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ldcell</m:t>
                            </m:r>
                          </m:sub>
                        </m:sSub>
                        <m:sSub>
                          <m:sSubPr>
                            <m:ctrlPr>
                              <w:rPr>
                                <w:rFonts w:ascii="Cambria Math" w:hAnsi="Cambria Math"/>
                              </w:rPr>
                            </m:ctrlPr>
                          </m:sSubPr>
                          <m:e>
                            <m:r>
                              <m:rPr>
                                <m:sty m:val="p"/>
                              </m:rPr>
                              <w:rPr>
                                <w:rFonts w:ascii="Cambria Math" w:hAnsi="Cambria Math"/>
                              </w:rPr>
                              <m:t>+</m:t>
                            </m:r>
                            <m:r>
                              <w:rPr>
                                <w:rFonts w:ascii="Cambria Math" w:hAnsi="Cambria Math"/>
                              </w:rPr>
                              <m:t>X</m:t>
                            </m:r>
                          </m:e>
                          <m:sub>
                            <m:r>
                              <m:rPr>
                                <m:sty m:val="p"/>
                              </m:rPr>
                              <w:rPr>
                                <w:rFonts w:ascii="Cambria Math" w:hAnsi="Cambria Math"/>
                              </w:rPr>
                              <m:t>d</m:t>
                            </m:r>
                          </m:sub>
                        </m:sSub>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hcp</m:t>
                            </m:r>
                          </m:sub>
                        </m:sSub>
                        <m:r>
                          <w:rPr>
                            <w:rFonts w:ascii="Cambria Math" w:hAnsi="Cambria Math"/>
                          </w:rPr>
                          <m:t>V</m:t>
                        </m:r>
                        <m:r>
                          <m:rPr>
                            <m:sty m:val="p"/>
                          </m:rPr>
                          <w:rPr>
                            <w:rFonts w:ascii="Cambria Math" w:hAnsi="Cambria Math"/>
                          </w:rPr>
                          <m:t>[HCP]</m:t>
                        </m:r>
                      </m:num>
                      <m:den>
                        <m:sSub>
                          <m:sSubPr>
                            <m:ctrlPr>
                              <w:rPr>
                                <w:rFonts w:ascii="Cambria Math" w:hAnsi="Cambria Math"/>
                              </w:rPr>
                            </m:ctrlPr>
                          </m:sSubPr>
                          <m:e>
                            <m:r>
                              <w:rPr>
                                <w:rFonts w:ascii="Cambria Math" w:hAnsi="Cambria Math"/>
                              </w:rPr>
                              <m:t>K</m:t>
                            </m:r>
                          </m:e>
                          <m:sub>
                            <m:r>
                              <m:rPr>
                                <m:sty m:val="p"/>
                              </m:rPr>
                              <w:rPr>
                                <w:rFonts w:ascii="Cambria Math" w:hAnsi="Cambria Math"/>
                              </w:rPr>
                              <m:t>dhcp</m:t>
                            </m:r>
                          </m:sub>
                        </m:sSub>
                        <m:r>
                          <m:rPr>
                            <m:sty m:val="p"/>
                          </m:rPr>
                          <w:rPr>
                            <w:rFonts w:ascii="Cambria Math" w:hAnsi="Cambria Math"/>
                          </w:rPr>
                          <m:t>+[HCP]</m:t>
                        </m:r>
                      </m:den>
                    </m:f>
                  </m:e>
                </m:d>
              </m:oMath>
            </m:oMathPara>
          </w:p>
        </w:tc>
        <w:tc>
          <w:tcPr>
            <w:tcW w:w="703" w:type="dxa"/>
            <w:vAlign w:val="center"/>
          </w:tcPr>
          <w:p w14:paraId="6CC3A833" w14:textId="77777777" w:rsidR="00CA118F" w:rsidRPr="00A6566F" w:rsidRDefault="00CA118F" w:rsidP="009953BA">
            <w:r>
              <w:rPr>
                <w:rFonts w:hint="eastAsia"/>
              </w:rPr>
              <w:t>(</w:t>
            </w:r>
            <w:r>
              <w:t>7)</w:t>
            </w:r>
          </w:p>
        </w:tc>
      </w:tr>
      <w:tr w:rsidR="00CA118F" w:rsidRPr="00A6566F" w14:paraId="79C1AD53" w14:textId="77777777" w:rsidTr="001B6099">
        <w:trPr>
          <w:trHeight w:val="680"/>
        </w:trPr>
        <w:tc>
          <w:tcPr>
            <w:tcW w:w="6384" w:type="dxa"/>
            <w:vAlign w:val="center"/>
          </w:tcPr>
          <w:p w14:paraId="31C71DC5" w14:textId="77777777" w:rsidR="00CA118F" w:rsidRPr="00667EDE" w:rsidRDefault="006D1916" w:rsidP="009953BA">
            <m:oMathPara>
              <m:oMathParaPr>
                <m:jc m:val="left"/>
              </m:oMathParaPr>
              <m:oMath>
                <m:f>
                  <m:fPr>
                    <m:ctrlPr>
                      <w:rPr>
                        <w:rFonts w:ascii="Cambria Math" w:hAnsi="Cambria Math"/>
                      </w:rPr>
                    </m:ctrlPr>
                  </m:fPr>
                  <m:num>
                    <m:r>
                      <w:rPr>
                        <w:rFonts w:ascii="Cambria Math" w:hAnsi="Cambria Math"/>
                      </w:rPr>
                      <m:t>d</m:t>
                    </m:r>
                    <m:d>
                      <m:dPr>
                        <m:ctrlPr>
                          <w:rPr>
                            <w:rFonts w:ascii="Cambria Math" w:hAnsi="Cambria Math"/>
                          </w:rPr>
                        </m:ctrlPr>
                      </m:dPr>
                      <m:e>
                        <m:r>
                          <w:rPr>
                            <w:rFonts w:ascii="Cambria Math" w:hAnsi="Cambria Math"/>
                          </w:rPr>
                          <m:t>V</m:t>
                        </m:r>
                        <m:r>
                          <m:rPr>
                            <m:sty m:val="p"/>
                          </m:rPr>
                          <w:rPr>
                            <w:rFonts w:ascii="Cambria Math" w:hAnsi="Cambria Math"/>
                          </w:rPr>
                          <m:t>[DNA]</m:t>
                        </m:r>
                      </m:e>
                    </m:d>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dna/</m:t>
                    </m:r>
                    <m:sSub>
                      <m:sSubPr>
                        <m:ctrlPr>
                          <w:rPr>
                            <w:rFonts w:ascii="Cambria Math" w:hAnsi="Cambria Math"/>
                          </w:rPr>
                        </m:ctrlPr>
                      </m:sSubPr>
                      <m:e>
                        <m:r>
                          <w:rPr>
                            <w:rFonts w:ascii="Cambria Math" w:hAnsi="Cambria Math"/>
                          </w:rPr>
                          <m:t>X</m:t>
                        </m:r>
                      </m:e>
                      <m:sub>
                        <m:r>
                          <m:rPr>
                            <m:sty m:val="p"/>
                          </m:rPr>
                          <w:rPr>
                            <w:rFonts w:ascii="Cambria Math" w:hAnsi="Cambria Math"/>
                          </w:rPr>
                          <m:t>d</m:t>
                        </m:r>
                      </m:sub>
                    </m:sSub>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dcell</m:t>
                            </m:r>
                          </m:sub>
                        </m:sSub>
                        <m:sSub>
                          <m:sSubPr>
                            <m:ctrlPr>
                              <w:rPr>
                                <w:rFonts w:ascii="Cambria Math" w:hAnsi="Cambria Math"/>
                              </w:rPr>
                            </m:ctrlPr>
                          </m:sSubPr>
                          <m:e>
                            <m:r>
                              <w:rPr>
                                <w:rFonts w:ascii="Cambria Math" w:hAnsi="Cambria Math"/>
                              </w:rPr>
                              <m:t>VX</m:t>
                            </m:r>
                          </m:e>
                          <m:sub>
                            <m:r>
                              <m:rPr>
                                <m:sty m:val="p"/>
                              </m:rPr>
                              <w:rPr>
                                <w:rFonts w:ascii="Cambria Math" w:hAnsi="Cambria Math"/>
                              </w:rPr>
                              <m:t>d</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ldcell</m:t>
                            </m:r>
                          </m:sub>
                        </m:sSub>
                        <m:sSub>
                          <m:sSubPr>
                            <m:ctrlPr>
                              <w:rPr>
                                <w:rFonts w:ascii="Cambria Math" w:hAnsi="Cambria Math"/>
                              </w:rPr>
                            </m:ctrlPr>
                          </m:sSubPr>
                          <m:e>
                            <m:r>
                              <m:rPr>
                                <m:sty m:val="p"/>
                              </m:rPr>
                              <w:rPr>
                                <w:rFonts w:ascii="Cambria Math" w:hAnsi="Cambria Math"/>
                              </w:rPr>
                              <m:t>+</m:t>
                            </m:r>
                            <m:r>
                              <w:rPr>
                                <w:rFonts w:ascii="Cambria Math" w:hAnsi="Cambria Math"/>
                              </w:rPr>
                              <m:t>X</m:t>
                            </m:r>
                          </m:e>
                          <m:sub>
                            <m:r>
                              <m:rPr>
                                <m:sty m:val="p"/>
                              </m:rPr>
                              <w:rPr>
                                <w:rFonts w:ascii="Cambria Math" w:hAnsi="Cambria Math"/>
                              </w:rPr>
                              <m:t>d</m:t>
                            </m:r>
                          </m:sub>
                        </m:sSub>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dna</m:t>
                            </m:r>
                          </m:sub>
                        </m:sSub>
                        <m:r>
                          <w:rPr>
                            <w:rFonts w:ascii="Cambria Math" w:hAnsi="Cambria Math"/>
                          </w:rPr>
                          <m:t>V</m:t>
                        </m:r>
                        <m:r>
                          <m:rPr>
                            <m:sty m:val="p"/>
                          </m:rPr>
                          <w:rPr>
                            <w:rFonts w:ascii="Cambria Math" w:hAnsi="Cambria Math"/>
                          </w:rPr>
                          <m:t>[DNA]</m:t>
                        </m:r>
                      </m:num>
                      <m:den>
                        <m:sSub>
                          <m:sSubPr>
                            <m:ctrlPr>
                              <w:rPr>
                                <w:rFonts w:ascii="Cambria Math" w:hAnsi="Cambria Math"/>
                              </w:rPr>
                            </m:ctrlPr>
                          </m:sSubPr>
                          <m:e>
                            <m:r>
                              <w:rPr>
                                <w:rFonts w:ascii="Cambria Math" w:hAnsi="Cambria Math"/>
                              </w:rPr>
                              <m:t>K</m:t>
                            </m:r>
                          </m:e>
                          <m:sub>
                            <m:r>
                              <m:rPr>
                                <m:sty m:val="p"/>
                              </m:rPr>
                              <w:rPr>
                                <w:rFonts w:ascii="Cambria Math" w:hAnsi="Cambria Math"/>
                              </w:rPr>
                              <m:t>ddna</m:t>
                            </m:r>
                          </m:sub>
                        </m:sSub>
                        <m:r>
                          <m:rPr>
                            <m:sty m:val="p"/>
                          </m:rPr>
                          <w:rPr>
                            <w:rFonts w:ascii="Cambria Math" w:hAnsi="Cambria Math"/>
                          </w:rPr>
                          <m:t>+[DNA]</m:t>
                        </m:r>
                      </m:den>
                    </m:f>
                  </m:e>
                </m:d>
              </m:oMath>
            </m:oMathPara>
          </w:p>
        </w:tc>
        <w:tc>
          <w:tcPr>
            <w:tcW w:w="703" w:type="dxa"/>
            <w:vAlign w:val="center"/>
          </w:tcPr>
          <w:p w14:paraId="3ECDD719" w14:textId="77777777" w:rsidR="00CA118F" w:rsidRPr="00A6566F" w:rsidRDefault="00CA118F" w:rsidP="009953BA">
            <w:r>
              <w:rPr>
                <w:rFonts w:hint="eastAsia"/>
              </w:rPr>
              <w:t>(</w:t>
            </w:r>
            <w:r>
              <w:t>8)</w:t>
            </w:r>
          </w:p>
        </w:tc>
      </w:tr>
    </w:tbl>
    <w:p w14:paraId="32FCD831" w14:textId="6D27B062" w:rsidR="00087896" w:rsidRPr="00087896" w:rsidRDefault="00BB010C" w:rsidP="00087896">
      <w:r w:rsidRPr="00036253">
        <w:t xml:space="preserve">where, </w:t>
      </w:r>
      <m:oMath>
        <m:r>
          <w:rPr>
            <w:rFonts w:ascii="Cambria Math" w:hAnsi="Cambria Math"/>
          </w:rPr>
          <m:t>V</m:t>
        </m:r>
      </m:oMath>
      <w:r w:rsidR="0086055E">
        <w:t xml:space="preserve"> [L]</w:t>
      </w:r>
      <w:r w:rsidRPr="00036253">
        <w:rPr>
          <w:rFonts w:hint="eastAsia"/>
        </w:rPr>
        <w:t>,</w:t>
      </w:r>
      <w:r w:rsidRPr="00036253">
        <w:t xml:space="preserve"> </w:t>
      </w:r>
      <m:oMath>
        <m:sSub>
          <m:sSubPr>
            <m:ctrlPr>
              <w:rPr>
                <w:rFonts w:ascii="Cambria Math" w:hAnsi="Cambria Math"/>
              </w:rPr>
            </m:ctrlPr>
          </m:sSubPr>
          <m:e>
            <m:r>
              <w:rPr>
                <w:rFonts w:ascii="Cambria Math" w:hAnsi="Cambria Math"/>
              </w:rPr>
              <m:t>X</m:t>
            </m:r>
          </m:e>
          <m:sub>
            <m:r>
              <m:rPr>
                <m:sty m:val="p"/>
              </m:rPr>
              <w:rPr>
                <w:rFonts w:ascii="Cambria Math" w:hAnsi="Cambria Math"/>
              </w:rPr>
              <m:t>v</m:t>
            </m:r>
          </m:sub>
        </m:sSub>
      </m:oMath>
      <w:r w:rsidR="0086055E">
        <w:t xml:space="preserve"> [cells L</w:t>
      </w:r>
      <w:r w:rsidR="0086055E" w:rsidRPr="0086055E">
        <w:rPr>
          <w:vertAlign w:val="superscript"/>
        </w:rPr>
        <w:t>–1</w:t>
      </w:r>
      <w:r w:rsidR="0086055E">
        <w:t>]</w:t>
      </w:r>
      <w:r w:rsidRPr="00036253">
        <w:rPr>
          <w:rFonts w:hint="eastAsia"/>
        </w:rPr>
        <w:t>,</w:t>
      </w:r>
      <w:r w:rsidRPr="00036253">
        <w:t xml:space="preserve"> </w:t>
      </w:r>
      <m:oMath>
        <m:r>
          <w:rPr>
            <w:rFonts w:ascii="Cambria Math" w:hAnsi="Cambria Math"/>
          </w:rPr>
          <m:t>P</m:t>
        </m:r>
      </m:oMath>
      <w:r w:rsidR="0086055E">
        <w:t xml:space="preserve"> [g L</w:t>
      </w:r>
      <w:r w:rsidR="0086055E" w:rsidRPr="0086055E">
        <w:rPr>
          <w:vertAlign w:val="superscript"/>
        </w:rPr>
        <w:t>–1</w:t>
      </w:r>
      <w:r w:rsidR="0086055E">
        <w:t>]</w:t>
      </w:r>
      <w:r w:rsidRPr="00036253">
        <w:rPr>
          <w:rFonts w:hint="eastAsia"/>
        </w:rPr>
        <w:t>,</w:t>
      </w:r>
      <w:r w:rsidRPr="00036253">
        <w:t xml:space="preserve"> </w:t>
      </w:r>
      <m:oMath>
        <m:d>
          <m:dPr>
            <m:begChr m:val="["/>
            <m:endChr m:val="]"/>
            <m:ctrlPr>
              <w:rPr>
                <w:rFonts w:ascii="Cambria Math" w:hAnsi="Cambria Math"/>
              </w:rPr>
            </m:ctrlPr>
          </m:dPr>
          <m:e>
            <m:r>
              <m:rPr>
                <m:sty m:val="p"/>
              </m:rPr>
              <w:rPr>
                <w:rFonts w:ascii="Cambria Math" w:hAnsi="Cambria Math"/>
              </w:rPr>
              <m:t>GLC</m:t>
            </m:r>
          </m:e>
        </m:d>
      </m:oMath>
      <w:r w:rsidR="0086055E">
        <w:t xml:space="preserve"> [mmol L</w:t>
      </w:r>
      <w:r w:rsidR="0086055E" w:rsidRPr="0086055E">
        <w:rPr>
          <w:vertAlign w:val="superscript"/>
        </w:rPr>
        <w:t>–1</w:t>
      </w:r>
      <w:r w:rsidR="0086055E">
        <w:t>]</w:t>
      </w:r>
      <w:r w:rsidRPr="00036253">
        <w:rPr>
          <w:rFonts w:hint="eastAsia"/>
        </w:rPr>
        <w:t>,</w:t>
      </w:r>
      <w:r w:rsidRPr="00036253">
        <w:t xml:space="preserve"> </w:t>
      </w:r>
      <m:oMath>
        <m:d>
          <m:dPr>
            <m:begChr m:val="["/>
            <m:endChr m:val="]"/>
            <m:ctrlPr>
              <w:rPr>
                <w:rFonts w:ascii="Cambria Math" w:hAnsi="Cambria Math"/>
              </w:rPr>
            </m:ctrlPr>
          </m:dPr>
          <m:e>
            <m:r>
              <m:rPr>
                <m:sty m:val="p"/>
              </m:rPr>
              <w:rPr>
                <w:rFonts w:ascii="Cambria Math" w:hAnsi="Cambria Math"/>
              </w:rPr>
              <m:t>LAC</m:t>
            </m:r>
          </m:e>
        </m:d>
      </m:oMath>
      <w:r w:rsidR="0086055E">
        <w:t xml:space="preserve"> [mmol L</w:t>
      </w:r>
      <w:r w:rsidR="0086055E" w:rsidRPr="0086055E">
        <w:rPr>
          <w:vertAlign w:val="superscript"/>
        </w:rPr>
        <w:t>–1</w:t>
      </w:r>
      <w:r w:rsidR="0086055E">
        <w:t>]</w:t>
      </w:r>
      <w:r w:rsidRPr="00036253">
        <w:rPr>
          <w:rFonts w:hint="eastAsia"/>
        </w:rPr>
        <w:t>,</w:t>
      </w:r>
      <w:r w:rsidRPr="00036253">
        <w:t xml:space="preserve"> </w:t>
      </w:r>
      <m:oMath>
        <m:sSub>
          <m:sSubPr>
            <m:ctrlPr>
              <w:rPr>
                <w:rFonts w:ascii="Cambria Math" w:hAnsi="Cambria Math"/>
              </w:rPr>
            </m:ctrlPr>
          </m:sSubPr>
          <m:e>
            <m:r>
              <w:rPr>
                <w:rFonts w:ascii="Cambria Math" w:hAnsi="Cambria Math"/>
              </w:rPr>
              <m:t>X</m:t>
            </m:r>
          </m:e>
          <m:sub>
            <m:r>
              <m:rPr>
                <m:sty m:val="p"/>
              </m:rPr>
              <w:rPr>
                <w:rFonts w:ascii="Cambria Math" w:hAnsi="Cambria Math"/>
              </w:rPr>
              <m:t>d</m:t>
            </m:r>
          </m:sub>
        </m:sSub>
      </m:oMath>
      <w:r w:rsidR="0086055E">
        <w:t xml:space="preserve"> [cells </w:t>
      </w:r>
      <w:r w:rsidR="005C7FC8">
        <w:br/>
      </w:r>
      <w:r w:rsidR="0086055E">
        <w:t>L</w:t>
      </w:r>
      <w:r w:rsidR="0086055E" w:rsidRPr="0086055E">
        <w:rPr>
          <w:vertAlign w:val="superscript"/>
        </w:rPr>
        <w:t>–1</w:t>
      </w:r>
      <w:r w:rsidR="0086055E">
        <w:t>]</w:t>
      </w:r>
      <w:r w:rsidRPr="00036253">
        <w:rPr>
          <w:rFonts w:hint="eastAsia"/>
        </w:rPr>
        <w:t>,</w:t>
      </w:r>
      <w:r w:rsidRPr="00036253">
        <w:t xml:space="preserve"> </w:t>
      </w:r>
      <m:oMath>
        <m:r>
          <m:rPr>
            <m:sty m:val="p"/>
          </m:rPr>
          <w:rPr>
            <w:rFonts w:ascii="Cambria Math" w:hAnsi="Cambria Math"/>
          </w:rPr>
          <m:t>[HCP]</m:t>
        </m:r>
      </m:oMath>
      <w:r w:rsidR="0086055E">
        <w:t xml:space="preserve"> [mg L</w:t>
      </w:r>
      <w:r w:rsidR="0086055E" w:rsidRPr="0086055E">
        <w:rPr>
          <w:vertAlign w:val="superscript"/>
        </w:rPr>
        <w:t>–1</w:t>
      </w:r>
      <w:r w:rsidR="0086055E">
        <w:t>]</w:t>
      </w:r>
      <w:r w:rsidRPr="00036253">
        <w:rPr>
          <w:rFonts w:hint="eastAsia"/>
        </w:rPr>
        <w:t>,</w:t>
      </w:r>
      <w:r w:rsidRPr="00036253">
        <w:t xml:space="preserve"> </w:t>
      </w:r>
      <m:oMath>
        <m:r>
          <m:rPr>
            <m:sty m:val="p"/>
          </m:rPr>
          <w:rPr>
            <w:rFonts w:ascii="Cambria Math" w:hAnsi="Cambria Math"/>
          </w:rPr>
          <m:t>[DNA]</m:t>
        </m:r>
      </m:oMath>
      <w:r w:rsidRPr="00036253">
        <w:t xml:space="preserve"> </w:t>
      </w:r>
      <w:r w:rsidR="0086055E">
        <w:t>[mg L</w:t>
      </w:r>
      <w:r w:rsidR="0086055E" w:rsidRPr="0086055E">
        <w:rPr>
          <w:vertAlign w:val="superscript"/>
        </w:rPr>
        <w:t>–1</w:t>
      </w:r>
      <w:r w:rsidR="0086055E">
        <w:t xml:space="preserve">] </w:t>
      </w:r>
      <w:r w:rsidRPr="00036253">
        <w:t xml:space="preserve">are the solution volume, density/concentrations of the viable cells, mAb, glucose, lactate, dead cells, HCP, and DNA. </w:t>
      </w:r>
      <m:oMath>
        <m:sSub>
          <m:sSubPr>
            <m:ctrlPr>
              <w:rPr>
                <w:rFonts w:ascii="Cambria Math" w:hAnsi="Cambria Math"/>
              </w:rPr>
            </m:ctrlPr>
          </m:sSubPr>
          <m:e>
            <m:r>
              <w:rPr>
                <w:rFonts w:ascii="Cambria Math" w:hAnsi="Cambria Math"/>
              </w:rPr>
              <m:t>F</m:t>
            </m:r>
          </m:e>
          <m:sub>
            <m:r>
              <m:rPr>
                <m:sty m:val="p"/>
              </m:rPr>
              <w:rPr>
                <w:rFonts w:ascii="Cambria Math" w:hAnsi="Cambria Math"/>
              </w:rPr>
              <m:t>in</m:t>
            </m:r>
          </m:sub>
        </m:sSub>
      </m:oMath>
      <w:r w:rsidRPr="00036253">
        <w:rPr>
          <w:rFonts w:hint="eastAsia"/>
        </w:rPr>
        <w:t xml:space="preserve"> </w:t>
      </w:r>
      <w:r w:rsidR="003B523C">
        <w:t>[L h</w:t>
      </w:r>
      <w:r w:rsidR="003B523C" w:rsidRPr="0086055E">
        <w:rPr>
          <w:vertAlign w:val="superscript"/>
        </w:rPr>
        <w:t>–1</w:t>
      </w:r>
      <w:r w:rsidR="003B523C">
        <w:t xml:space="preserve">] </w:t>
      </w:r>
      <w:r w:rsidRPr="00036253">
        <w:t xml:space="preserve">and </w:t>
      </w:r>
      <m:oMath>
        <m:sSub>
          <m:sSubPr>
            <m:ctrlPr>
              <w:rPr>
                <w:rFonts w:ascii="Cambria Math" w:hAnsi="Cambria Math"/>
              </w:rPr>
            </m:ctrlPr>
          </m:sSubPr>
          <m:e>
            <m:r>
              <w:rPr>
                <w:rFonts w:ascii="Cambria Math" w:hAnsi="Cambria Math"/>
              </w:rPr>
              <m:t>c</m:t>
            </m:r>
          </m:e>
          <m:sub>
            <m:r>
              <m:rPr>
                <m:sty m:val="p"/>
              </m:rPr>
              <w:rPr>
                <w:rFonts w:ascii="Cambria Math" w:hAnsi="Cambria Math"/>
              </w:rPr>
              <m:t>in_glc</m:t>
            </m:r>
          </m:sub>
        </m:sSub>
      </m:oMath>
      <w:r w:rsidRPr="00036253">
        <w:rPr>
          <w:rFonts w:hint="eastAsia"/>
        </w:rPr>
        <w:t xml:space="preserve"> </w:t>
      </w:r>
      <w:r w:rsidR="003B523C">
        <w:t>[mmol L</w:t>
      </w:r>
      <w:r w:rsidR="003B523C" w:rsidRPr="0086055E">
        <w:rPr>
          <w:vertAlign w:val="superscript"/>
        </w:rPr>
        <w:t>–1</w:t>
      </w:r>
      <w:r w:rsidR="003B523C">
        <w:t xml:space="preserve">] </w:t>
      </w:r>
      <w:r w:rsidRPr="00036253">
        <w:t xml:space="preserve">are feed flow rate and glucose concentration of fresh media, respectively. </w:t>
      </w:r>
      <m:oMath>
        <m:r>
          <w:rPr>
            <w:rFonts w:ascii="Cambria Math" w:hAnsi="Cambria Math"/>
          </w:rPr>
          <m:t>μ</m:t>
        </m:r>
      </m:oMath>
      <w:r w:rsidRPr="00036253">
        <w:t xml:space="preserve"> </w:t>
      </w:r>
      <w:r w:rsidR="003B523C">
        <w:t>[h</w:t>
      </w:r>
      <w:r w:rsidR="003B523C" w:rsidRPr="0086055E">
        <w:rPr>
          <w:vertAlign w:val="superscript"/>
        </w:rPr>
        <w:t>–1</w:t>
      </w:r>
      <w:r w:rsidR="003B523C">
        <w:t xml:space="preserve">] </w:t>
      </w:r>
      <w:r w:rsidRPr="00036253">
        <w:t xml:space="preserve">and </w:t>
      </w:r>
      <m:oMath>
        <m:sSub>
          <m:sSubPr>
            <m:ctrlPr>
              <w:rPr>
                <w:rFonts w:ascii="Cambria Math" w:hAnsi="Cambria Math"/>
              </w:rPr>
            </m:ctrlPr>
          </m:sSubPr>
          <m:e>
            <m:r>
              <w:rPr>
                <w:rFonts w:ascii="Cambria Math" w:hAnsi="Cambria Math"/>
              </w:rPr>
              <m:t>μ</m:t>
            </m:r>
          </m:e>
          <m:sub>
            <m:r>
              <m:rPr>
                <m:sty m:val="p"/>
              </m:rPr>
              <w:rPr>
                <w:rFonts w:ascii="Cambria Math" w:hAnsi="Cambria Math"/>
              </w:rPr>
              <m:t>d</m:t>
            </m:r>
          </m:sub>
        </m:sSub>
      </m:oMath>
      <w:r w:rsidRPr="00036253">
        <w:t xml:space="preserve"> </w:t>
      </w:r>
      <w:r w:rsidR="003B523C">
        <w:t>[h</w:t>
      </w:r>
      <w:r w:rsidR="003B523C" w:rsidRPr="0086055E">
        <w:rPr>
          <w:vertAlign w:val="superscript"/>
        </w:rPr>
        <w:t>–1</w:t>
      </w:r>
      <w:r w:rsidR="003B523C">
        <w:t xml:space="preserve">] </w:t>
      </w:r>
      <w:r w:rsidRPr="00036253">
        <w:t xml:space="preserve">are specific cell growth and death rates, respectively. </w:t>
      </w:r>
      <m:oMath>
        <m:sSub>
          <m:sSubPr>
            <m:ctrlPr>
              <w:rPr>
                <w:rFonts w:ascii="Cambria Math" w:hAnsi="Cambria Math"/>
              </w:rPr>
            </m:ctrlPr>
          </m:sSubPr>
          <m:e>
            <m:r>
              <w:rPr>
                <w:rFonts w:ascii="Cambria Math" w:hAnsi="Cambria Math"/>
              </w:rPr>
              <m:t>Q</m:t>
            </m:r>
          </m:e>
          <m:sub>
            <m:r>
              <m:rPr>
                <m:sty m:val="p"/>
              </m:rPr>
              <w:rPr>
                <w:rFonts w:ascii="Cambria Math" w:hAnsi="Cambria Math"/>
              </w:rPr>
              <m:t>p</m:t>
            </m:r>
          </m:sub>
        </m:sSub>
      </m:oMath>
      <w:r w:rsidRPr="00036253">
        <w:rPr>
          <w:rFonts w:hint="eastAsia"/>
        </w:rPr>
        <w:t xml:space="preserve"> </w:t>
      </w:r>
      <w:r w:rsidR="003B523C">
        <w:t>[g cell</w:t>
      </w:r>
      <w:r w:rsidR="003B523C" w:rsidRPr="0086055E">
        <w:rPr>
          <w:vertAlign w:val="superscript"/>
        </w:rPr>
        <w:t>–1</w:t>
      </w:r>
      <w:r w:rsidR="003B523C">
        <w:t xml:space="preserve"> h</w:t>
      </w:r>
      <w:r w:rsidR="003B523C" w:rsidRPr="0086055E">
        <w:rPr>
          <w:vertAlign w:val="superscript"/>
        </w:rPr>
        <w:t>–1</w:t>
      </w:r>
      <w:r w:rsidR="003B523C">
        <w:t xml:space="preserve">] </w:t>
      </w:r>
      <w:r w:rsidRPr="00036253">
        <w:t xml:space="preserve">and </w:t>
      </w:r>
      <m:oMath>
        <m:sSub>
          <m:sSubPr>
            <m:ctrlPr>
              <w:rPr>
                <w:rFonts w:ascii="Cambria Math" w:hAnsi="Cambria Math"/>
              </w:rPr>
            </m:ctrlPr>
          </m:sSubPr>
          <m:e>
            <m:r>
              <w:rPr>
                <w:rFonts w:ascii="Cambria Math" w:hAnsi="Cambria Math"/>
              </w:rPr>
              <m:t>Q</m:t>
            </m:r>
          </m:e>
          <m:sub>
            <m:r>
              <m:rPr>
                <m:sty m:val="p"/>
              </m:rPr>
              <w:rPr>
                <w:rFonts w:ascii="Cambria Math" w:hAnsi="Cambria Math"/>
              </w:rPr>
              <m:t>lac</m:t>
            </m:r>
          </m:sub>
        </m:sSub>
      </m:oMath>
      <w:r w:rsidRPr="00036253">
        <w:rPr>
          <w:rFonts w:hint="eastAsia"/>
        </w:rPr>
        <w:t xml:space="preserve"> </w:t>
      </w:r>
      <w:r w:rsidR="003B523C">
        <w:t>[mmol cell</w:t>
      </w:r>
      <w:r w:rsidR="003B523C" w:rsidRPr="0086055E">
        <w:rPr>
          <w:vertAlign w:val="superscript"/>
        </w:rPr>
        <w:t>–1</w:t>
      </w:r>
      <w:r w:rsidR="003B523C">
        <w:t xml:space="preserve"> h</w:t>
      </w:r>
      <w:r w:rsidR="003B523C" w:rsidRPr="0086055E">
        <w:rPr>
          <w:vertAlign w:val="superscript"/>
        </w:rPr>
        <w:t>–1</w:t>
      </w:r>
      <w:r w:rsidR="003B523C">
        <w:t xml:space="preserve">] </w:t>
      </w:r>
      <w:r w:rsidRPr="00036253">
        <w:t xml:space="preserve">are specific production rates of mAb and lactate, respectively. </w:t>
      </w:r>
      <m:oMath>
        <m:sSub>
          <m:sSubPr>
            <m:ctrlPr>
              <w:rPr>
                <w:rFonts w:ascii="Cambria Math" w:hAnsi="Cambria Math"/>
              </w:rPr>
            </m:ctrlPr>
          </m:sSubPr>
          <m:e>
            <m:r>
              <w:rPr>
                <w:rFonts w:ascii="Cambria Math" w:hAnsi="Cambria Math"/>
              </w:rPr>
              <m:t>Y</m:t>
            </m:r>
          </m:e>
          <m:sub>
            <m:sSub>
              <m:sSubPr>
                <m:ctrlPr>
                  <w:rPr>
                    <w:rFonts w:ascii="Cambria Math" w:hAnsi="Cambria Math"/>
                  </w:rPr>
                </m:ctrlPr>
              </m:sSubPr>
              <m:e>
                <m:r>
                  <w:rPr>
                    <w:rFonts w:ascii="Cambria Math" w:hAnsi="Cambria Math"/>
                  </w:rPr>
                  <m:t>X</m:t>
                </m:r>
              </m:e>
              <m:sub>
                <m:r>
                  <m:rPr>
                    <m:sty m:val="p"/>
                  </m:rPr>
                  <w:rPr>
                    <w:rFonts w:ascii="Cambria Math" w:hAnsi="Cambria Math"/>
                  </w:rPr>
                  <m:t>v</m:t>
                </m:r>
              </m:sub>
            </m:sSub>
            <m:r>
              <m:rPr>
                <m:lit/>
                <m:sty m:val="p"/>
              </m:rPr>
              <w:rPr>
                <w:rFonts w:ascii="Cambria Math" w:hAnsi="Cambria Math"/>
              </w:rPr>
              <m:t>/</m:t>
            </m:r>
            <m:r>
              <m:rPr>
                <m:sty m:val="p"/>
              </m:rPr>
              <w:rPr>
                <w:rFonts w:ascii="Cambria Math" w:hAnsi="Cambria Math"/>
              </w:rPr>
              <m:t>glc</m:t>
            </m:r>
          </m:sub>
        </m:sSub>
      </m:oMath>
      <w:r w:rsidRPr="00036253">
        <w:t xml:space="preserve"> </w:t>
      </w:r>
      <w:r w:rsidR="003B523C">
        <w:t>[cell</w:t>
      </w:r>
      <w:r w:rsidR="00D02462">
        <w:t>s</w:t>
      </w:r>
      <w:r w:rsidR="003B523C">
        <w:t xml:space="preserve"> </w:t>
      </w:r>
      <w:r w:rsidR="00D02462">
        <w:t>mmol</w:t>
      </w:r>
      <w:r w:rsidR="003B523C" w:rsidRPr="0086055E">
        <w:rPr>
          <w:vertAlign w:val="superscript"/>
        </w:rPr>
        <w:t>–1</w:t>
      </w:r>
      <w:r w:rsidR="003B523C">
        <w:t xml:space="preserve">] </w:t>
      </w:r>
      <w:r w:rsidRPr="00036253">
        <w:t xml:space="preserve">and </w:t>
      </w:r>
      <m:oMath>
        <m:sSub>
          <m:sSubPr>
            <m:ctrlPr>
              <w:rPr>
                <w:rFonts w:ascii="Cambria Math" w:hAnsi="Cambria Math"/>
              </w:rPr>
            </m:ctrlPr>
          </m:sSubPr>
          <m:e>
            <m:r>
              <w:rPr>
                <w:rFonts w:ascii="Cambria Math" w:hAnsi="Cambria Math"/>
              </w:rPr>
              <m:t>m</m:t>
            </m:r>
          </m:e>
          <m:sub>
            <m:r>
              <m:rPr>
                <m:sty m:val="p"/>
              </m:rPr>
              <w:rPr>
                <w:rFonts w:ascii="Cambria Math" w:hAnsi="Cambria Math"/>
              </w:rPr>
              <m:t>glc</m:t>
            </m:r>
          </m:sub>
        </m:sSub>
      </m:oMath>
      <w:r w:rsidRPr="00036253">
        <w:t xml:space="preserve"> </w:t>
      </w:r>
      <w:r w:rsidR="003B523C">
        <w:t>[</w:t>
      </w:r>
      <w:r w:rsidR="00D02462">
        <w:t>mmol</w:t>
      </w:r>
      <w:r w:rsidR="003B523C">
        <w:t xml:space="preserve"> cell</w:t>
      </w:r>
      <w:r w:rsidR="003B523C" w:rsidRPr="0086055E">
        <w:rPr>
          <w:vertAlign w:val="superscript"/>
        </w:rPr>
        <w:t>–1</w:t>
      </w:r>
      <w:r w:rsidR="003B523C">
        <w:t xml:space="preserve"> h</w:t>
      </w:r>
      <w:r w:rsidR="003B523C" w:rsidRPr="0086055E">
        <w:rPr>
          <w:vertAlign w:val="superscript"/>
        </w:rPr>
        <w:t>–1</w:t>
      </w:r>
      <w:r w:rsidR="003B523C">
        <w:t xml:space="preserve">] </w:t>
      </w:r>
      <w:r w:rsidRPr="00036253">
        <w:t>are specific glucose consumption for cell growth and cell maintenance, respectively.</w:t>
      </w:r>
      <w:r w:rsidR="002407EF">
        <w:t xml:space="preserve"> </w:t>
      </w:r>
      <m:oMath>
        <m:r>
          <w:rPr>
            <w:rFonts w:ascii="Cambria Math" w:hAnsi="Cambria Math"/>
          </w:rPr>
          <m:t>r</m:t>
        </m:r>
      </m:oMath>
      <w:r w:rsidR="00223FEE">
        <w:t xml:space="preserve"> </w:t>
      </w:r>
      <w:r w:rsidR="00C43516" w:rsidRPr="00036253">
        <w:t xml:space="preserve">and </w:t>
      </w:r>
      <m:oMath>
        <m:r>
          <w:rPr>
            <w:rFonts w:ascii="Cambria Math" w:hAnsi="Cambria Math"/>
          </w:rPr>
          <m:t>K</m:t>
        </m:r>
      </m:oMath>
      <w:r w:rsidR="00C43516">
        <w:t xml:space="preserve"> </w:t>
      </w:r>
      <w:r w:rsidR="00C43516" w:rsidRPr="00036253">
        <w:t>are</w:t>
      </w:r>
      <w:r w:rsidR="002407EF" w:rsidRPr="00036253">
        <w:rPr>
          <w:rFonts w:hint="eastAsia"/>
        </w:rPr>
        <w:t xml:space="preserve"> </w:t>
      </w:r>
      <w:r w:rsidR="00C43516">
        <w:t xml:space="preserve">the rate </w:t>
      </w:r>
      <w:r w:rsidR="000D19B5">
        <w:t xml:space="preserve">constants </w:t>
      </w:r>
      <w:r w:rsidR="00C43516">
        <w:t xml:space="preserve">of </w:t>
      </w:r>
      <w:r w:rsidR="000D19B5">
        <w:t xml:space="preserve">the </w:t>
      </w:r>
      <w:r w:rsidR="00BB233E">
        <w:t xml:space="preserve">dead cell lyses and the impurity </w:t>
      </w:r>
      <w:r w:rsidR="00FD217E">
        <w:t>dissolution</w:t>
      </w:r>
      <w:r w:rsidR="000D19B5">
        <w:t>.</w:t>
      </w:r>
      <w:r w:rsidRPr="00036253">
        <w:t xml:space="preserve"> </w:t>
      </w:r>
      <m:oMath>
        <m:sSub>
          <m:sSubPr>
            <m:ctrlPr>
              <w:rPr>
                <w:rFonts w:ascii="Cambria Math" w:hAnsi="Cambria Math"/>
              </w:rPr>
            </m:ctrlPr>
          </m:sSubPr>
          <m:e>
            <m:r>
              <w:rPr>
                <w:rFonts w:ascii="Cambria Math" w:hAnsi="Cambria Math"/>
              </w:rPr>
              <m:t>Y</m:t>
            </m:r>
          </m:e>
          <m:sub>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d</m:t>
                </m:r>
              </m:sub>
            </m:sSub>
          </m:sub>
        </m:sSub>
      </m:oMath>
      <w:r w:rsidR="000D19B5">
        <w:t xml:space="preserve"> </w:t>
      </w:r>
      <w:r w:rsidR="003B523C">
        <w:t>[mg cell</w:t>
      </w:r>
      <w:r w:rsidR="003B523C" w:rsidRPr="0086055E">
        <w:rPr>
          <w:vertAlign w:val="superscript"/>
        </w:rPr>
        <w:t>–1</w:t>
      </w:r>
      <w:r w:rsidR="003B523C">
        <w:t xml:space="preserve">] </w:t>
      </w:r>
      <w:r w:rsidR="000D19B5">
        <w:t xml:space="preserve">is the </w:t>
      </w:r>
      <w:r w:rsidR="00663912">
        <w:t xml:space="preserve">mass of impurity </w:t>
      </w:r>
      <m:oMath>
        <m:r>
          <w:rPr>
            <w:rFonts w:ascii="Cambria Math" w:hAnsi="Cambria Math"/>
          </w:rPr>
          <m:t>i</m:t>
        </m:r>
      </m:oMath>
      <w:r w:rsidR="00663912">
        <w:rPr>
          <w:i/>
          <w:iCs/>
        </w:rPr>
        <w:t xml:space="preserve"> </w:t>
      </w:r>
      <w:r w:rsidR="00663912">
        <w:t xml:space="preserve">released from a lysed dead cell, where </w:t>
      </w:r>
      <m:oMath>
        <m:r>
          <w:rPr>
            <w:rFonts w:ascii="Cambria Math" w:hAnsi="Cambria Math"/>
          </w:rPr>
          <m:t>i</m:t>
        </m:r>
      </m:oMath>
      <w:r w:rsidR="00663912">
        <w:rPr>
          <w:i/>
          <w:iCs/>
        </w:rPr>
        <w:t xml:space="preserve"> </w:t>
      </w:r>
      <w:r w:rsidR="00663912">
        <w:t>include</w:t>
      </w:r>
      <w:r w:rsidR="005C0E5E">
        <w:t>s HCP and DNA</w:t>
      </w:r>
      <w:r w:rsidR="00663912">
        <w:t xml:space="preserve">. </w:t>
      </w:r>
      <w:r w:rsidRPr="00036253">
        <w:t xml:space="preserve">The previous works </w:t>
      </w:r>
      <w:r w:rsidR="006A243F">
        <w:t xml:space="preserve">used </w:t>
      </w:r>
      <m:oMath>
        <m:sSub>
          <m:sSubPr>
            <m:ctrlPr>
              <w:rPr>
                <w:rFonts w:ascii="Cambria Math" w:hAnsi="Cambria Math"/>
              </w:rPr>
            </m:ctrlPr>
          </m:sSubPr>
          <m:e>
            <m:r>
              <w:rPr>
                <w:rFonts w:ascii="Cambria Math" w:hAnsi="Cambria Math"/>
              </w:rPr>
              <m:t>Q</m:t>
            </m:r>
          </m:e>
          <m:sub>
            <m:r>
              <m:rPr>
                <m:sty m:val="p"/>
              </m:rPr>
              <w:rPr>
                <w:rFonts w:ascii="Cambria Math" w:hAnsi="Cambria Math"/>
              </w:rPr>
              <m:t>lac</m:t>
            </m:r>
          </m:sub>
        </m:sSub>
      </m:oMath>
      <w:r w:rsidRPr="00036253">
        <w:t xml:space="preserve"> as a constant </w:t>
      </w:r>
      <w:r w:rsidR="006A243F">
        <w:t>which made it difficult to represent the lactate metabolic shifts as cells changed their behavior</w:t>
      </w:r>
      <w:r w:rsidRPr="00036253">
        <w:t>.</w:t>
      </w:r>
      <w:r w:rsidR="00572649">
        <w:t xml:space="preserve"> Therefore, </w:t>
      </w:r>
      <w:r w:rsidR="00C165CF">
        <w:t xml:space="preserve">updating the representation of </w:t>
      </w:r>
      <m:oMath>
        <m:sSub>
          <m:sSubPr>
            <m:ctrlPr>
              <w:rPr>
                <w:rFonts w:ascii="Cambria Math" w:hAnsi="Cambria Math"/>
              </w:rPr>
            </m:ctrlPr>
          </m:sSubPr>
          <m:e>
            <m:r>
              <w:rPr>
                <w:rFonts w:ascii="Cambria Math" w:hAnsi="Cambria Math"/>
              </w:rPr>
              <m:t>Q</m:t>
            </m:r>
          </m:e>
          <m:sub>
            <m:r>
              <m:rPr>
                <m:sty m:val="p"/>
              </m:rPr>
              <w:rPr>
                <w:rFonts w:ascii="Cambria Math" w:hAnsi="Cambria Math"/>
              </w:rPr>
              <m:t>lac</m:t>
            </m:r>
          </m:sub>
        </m:sSub>
      </m:oMath>
      <w:r w:rsidR="00C165CF">
        <w:t xml:space="preserve"> was required.</w:t>
      </w:r>
    </w:p>
    <w:p w14:paraId="58C9E346" w14:textId="23E56914" w:rsidR="00F2146D" w:rsidRPr="00087896" w:rsidRDefault="00F2146D" w:rsidP="00087896">
      <w:pPr>
        <w:pStyle w:val="Els-3rdorder-head"/>
        <w:numPr>
          <w:ilvl w:val="3"/>
          <w:numId w:val="17"/>
        </w:numPr>
      </w:pPr>
      <w:r w:rsidRPr="00087896">
        <w:rPr>
          <w:lang w:val="en-GB"/>
        </w:rPr>
        <w:t>Data-driven analysis</w:t>
      </w:r>
    </w:p>
    <w:p w14:paraId="56E3273A" w14:textId="31AB51B7" w:rsidR="00D96B42" w:rsidRDefault="00F2146D" w:rsidP="00BB2F14">
      <w:pPr>
        <w:pStyle w:val="Els-body-text"/>
        <w:rPr>
          <w:lang w:val="en-GB" w:eastAsia="ja-JP"/>
        </w:rPr>
      </w:pPr>
      <w:r>
        <w:rPr>
          <w:lang w:val="en-GB" w:eastAsia="ja-JP"/>
        </w:rPr>
        <w:t xml:space="preserve">To identify critical factors </w:t>
      </w:r>
      <w:r w:rsidR="00C63FD2">
        <w:rPr>
          <w:lang w:val="en-GB" w:eastAsia="ja-JP"/>
        </w:rPr>
        <w:t>represent</w:t>
      </w:r>
      <w:r w:rsidR="005C1FD2">
        <w:rPr>
          <w:lang w:val="en-GB" w:eastAsia="ja-JP"/>
        </w:rPr>
        <w:t>ing changes in</w:t>
      </w:r>
      <w:r>
        <w:rPr>
          <w:lang w:val="en-GB" w:eastAsia="ja-JP"/>
        </w:rPr>
        <w:t xml:space="preserve"> </w:t>
      </w:r>
      <m:oMath>
        <m:sSub>
          <m:sSubPr>
            <m:ctrlPr>
              <w:rPr>
                <w:rFonts w:ascii="Cambria Math" w:hAnsi="Cambria Math"/>
              </w:rPr>
            </m:ctrlPr>
          </m:sSubPr>
          <m:e>
            <m:r>
              <w:rPr>
                <w:rFonts w:ascii="Cambria Math" w:hAnsi="Cambria Math"/>
              </w:rPr>
              <m:t>Q</m:t>
            </m:r>
          </m:e>
          <m:sub>
            <m:r>
              <m:rPr>
                <m:sty m:val="p"/>
              </m:rPr>
              <w:rPr>
                <w:rFonts w:ascii="Cambria Math" w:hAnsi="Cambria Math"/>
              </w:rPr>
              <m:t>lac</m:t>
            </m:r>
          </m:sub>
        </m:sSub>
      </m:oMath>
      <w:r w:rsidR="00C63FD2">
        <w:t xml:space="preserve"> within the experiments under</w:t>
      </w:r>
      <w:r w:rsidR="00081726">
        <w:t xml:space="preserve"> </w:t>
      </w:r>
      <w:r w:rsidR="00C63FD2">
        <w:t>investigation</w:t>
      </w:r>
      <w:r>
        <w:rPr>
          <w:lang w:eastAsia="ja-JP"/>
        </w:rPr>
        <w:t>,</w:t>
      </w:r>
      <w:r w:rsidR="00081726">
        <w:rPr>
          <w:lang w:eastAsia="ja-JP"/>
        </w:rPr>
        <w:t xml:space="preserve"> </w:t>
      </w:r>
      <w:r w:rsidR="00F709F7">
        <w:rPr>
          <w:lang w:eastAsia="ja-JP"/>
        </w:rPr>
        <w:t>data-drive</w:t>
      </w:r>
      <w:r w:rsidR="005C1FD2">
        <w:rPr>
          <w:lang w:eastAsia="ja-JP"/>
        </w:rPr>
        <w:t>n</w:t>
      </w:r>
      <w:r w:rsidR="00F709F7">
        <w:rPr>
          <w:lang w:eastAsia="ja-JP"/>
        </w:rPr>
        <w:t xml:space="preserve"> modules were introduced. In the analysis,</w:t>
      </w:r>
      <w:r>
        <w:rPr>
          <w:lang w:eastAsia="ja-JP"/>
        </w:rPr>
        <w:t xml:space="preserve"> PCR </w:t>
      </w:r>
      <w:r>
        <w:rPr>
          <w:lang w:val="en-GB" w:eastAsia="ja-JP"/>
        </w:rPr>
        <w:t xml:space="preserve">and clustering techniques were used. First, PCR was </w:t>
      </w:r>
      <w:r w:rsidR="00990C3B">
        <w:rPr>
          <w:lang w:val="en-GB" w:eastAsia="ja-JP"/>
        </w:rPr>
        <w:t xml:space="preserve">used to </w:t>
      </w:r>
      <w:r w:rsidR="00BA77A2">
        <w:rPr>
          <w:lang w:val="en-GB" w:eastAsia="ja-JP"/>
        </w:rPr>
        <w:t xml:space="preserve">predict </w:t>
      </w:r>
      <w:r w:rsidR="00990C3B">
        <w:rPr>
          <w:lang w:val="en-GB" w:eastAsia="ja-JP"/>
        </w:rPr>
        <w:t xml:space="preserve">changes in </w:t>
      </w:r>
      <w:r w:rsidR="005F1A04">
        <w:rPr>
          <w:lang w:val="en-GB" w:eastAsia="ja-JP"/>
        </w:rPr>
        <w:t>lactate concentrations</w:t>
      </w:r>
      <w:r w:rsidR="0020250D">
        <w:rPr>
          <w:lang w:val="en-GB" w:eastAsia="ja-JP"/>
        </w:rPr>
        <w:t xml:space="preserve">. The </w:t>
      </w:r>
      <w:r w:rsidR="00D33349">
        <w:rPr>
          <w:lang w:val="en-GB" w:eastAsia="ja-JP"/>
        </w:rPr>
        <w:t>PCR module gave updated predictions of lactate concentrations</w:t>
      </w:r>
      <w:r w:rsidR="007401CA">
        <w:rPr>
          <w:lang w:val="en-GB" w:eastAsia="ja-JP"/>
        </w:rPr>
        <w:t xml:space="preserve"> using the input from the fundamental cell metabolism model</w:t>
      </w:r>
      <w:r w:rsidR="00C01EE5">
        <w:rPr>
          <w:lang w:val="en-GB" w:eastAsia="ja-JP"/>
        </w:rPr>
        <w:t xml:space="preserve"> predictions</w:t>
      </w:r>
      <w:r w:rsidR="007401CA">
        <w:rPr>
          <w:lang w:val="en-GB" w:eastAsia="ja-JP"/>
        </w:rPr>
        <w:t xml:space="preserve"> </w:t>
      </w:r>
      <w:r w:rsidR="00C01EE5">
        <w:rPr>
          <w:lang w:val="en-GB" w:eastAsia="ja-JP"/>
        </w:rPr>
        <w:t xml:space="preserve">along with online measurement data. The </w:t>
      </w:r>
      <w:r w:rsidR="00192310">
        <w:rPr>
          <w:lang w:val="en-GB" w:eastAsia="ja-JP"/>
        </w:rPr>
        <w:t xml:space="preserve">updated lactate predictions were then used as inputs to the impurity generation module. </w:t>
      </w:r>
      <w:r w:rsidR="00A6468E">
        <w:rPr>
          <w:lang w:val="en-GB" w:eastAsia="ja-JP"/>
        </w:rPr>
        <w:t xml:space="preserve">Analysis of the contribution to variance of each </w:t>
      </w:r>
      <w:r w:rsidR="005B2A42">
        <w:rPr>
          <w:lang w:val="en-GB" w:eastAsia="ja-JP"/>
        </w:rPr>
        <w:t>principal component (</w:t>
      </w:r>
      <w:r w:rsidR="00A6468E">
        <w:rPr>
          <w:lang w:val="en-GB" w:eastAsia="ja-JP"/>
        </w:rPr>
        <w:t>PC</w:t>
      </w:r>
      <w:r w:rsidR="005B2A42">
        <w:rPr>
          <w:lang w:val="en-GB" w:eastAsia="ja-JP"/>
        </w:rPr>
        <w:t>)</w:t>
      </w:r>
      <w:r w:rsidR="00A6468E">
        <w:rPr>
          <w:lang w:val="en-GB" w:eastAsia="ja-JP"/>
        </w:rPr>
        <w:t xml:space="preserve"> and </w:t>
      </w:r>
      <w:r w:rsidR="001477B2">
        <w:rPr>
          <w:lang w:val="en-GB" w:eastAsia="ja-JP"/>
        </w:rPr>
        <w:t xml:space="preserve">the </w:t>
      </w:r>
      <w:r w:rsidR="00A6468E">
        <w:rPr>
          <w:lang w:val="en-GB" w:eastAsia="ja-JP"/>
        </w:rPr>
        <w:t xml:space="preserve">correlations between </w:t>
      </w:r>
      <w:r w:rsidR="001477B2">
        <w:rPr>
          <w:lang w:val="en-GB" w:eastAsia="ja-JP"/>
        </w:rPr>
        <w:t>system components and measurements</w:t>
      </w:r>
      <w:r w:rsidR="00993A5E">
        <w:rPr>
          <w:lang w:val="en-GB" w:eastAsia="ja-JP"/>
        </w:rPr>
        <w:t xml:space="preserve"> </w:t>
      </w:r>
      <w:r w:rsidR="00E57838">
        <w:rPr>
          <w:lang w:val="en-GB" w:eastAsia="ja-JP"/>
        </w:rPr>
        <w:t>w</w:t>
      </w:r>
      <w:r w:rsidR="001327E3">
        <w:rPr>
          <w:lang w:val="en-GB" w:eastAsia="ja-JP"/>
        </w:rPr>
        <w:t>as</w:t>
      </w:r>
      <w:r w:rsidR="00E57838">
        <w:rPr>
          <w:lang w:val="en-GB" w:eastAsia="ja-JP"/>
        </w:rPr>
        <w:t xml:space="preserve"> </w:t>
      </w:r>
      <w:r w:rsidR="00993A5E">
        <w:rPr>
          <w:lang w:val="en-GB" w:eastAsia="ja-JP"/>
        </w:rPr>
        <w:t xml:space="preserve">used to investigate the </w:t>
      </w:r>
      <w:r w:rsidR="00BB2F14">
        <w:rPr>
          <w:lang w:val="en-GB" w:eastAsia="ja-JP"/>
        </w:rPr>
        <w:t xml:space="preserve">variations in cell </w:t>
      </w:r>
      <w:proofErr w:type="spellStart"/>
      <w:r w:rsidR="00D96B42">
        <w:rPr>
          <w:lang w:val="en-GB" w:eastAsia="ja-JP"/>
        </w:rPr>
        <w:t>behavior</w:t>
      </w:r>
      <w:proofErr w:type="spellEnd"/>
      <w:r w:rsidR="00BB2F14">
        <w:rPr>
          <w:lang w:val="en-GB" w:eastAsia="ja-JP"/>
        </w:rPr>
        <w:t xml:space="preserve"> and the underlying conditions</w:t>
      </w:r>
      <w:r>
        <w:rPr>
          <w:lang w:val="en-GB" w:eastAsia="ja-JP"/>
        </w:rPr>
        <w:t>. Second, HDBSCAN clustering</w:t>
      </w:r>
      <w:r w:rsidR="00A50C2F">
        <w:rPr>
          <w:lang w:val="en-GB" w:eastAsia="ja-JP"/>
        </w:rPr>
        <w:t xml:space="preserve"> </w:t>
      </w:r>
      <w:sdt>
        <w:sdtPr>
          <w:rPr>
            <w:color w:val="000000"/>
            <w:lang w:val="en-GB" w:eastAsia="ja-JP"/>
          </w:rPr>
          <w:tag w:val="MENDELEY_CITATION_v3_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"/>
          <w:id w:val="-808866010"/>
          <w:placeholder>
            <w:docPart w:val="DefaultPlaceholder_-1854013440"/>
          </w:placeholder>
        </w:sdtPr>
        <w:sdtEndPr/>
        <w:sdtContent>
          <w:r w:rsidR="003D3043" w:rsidRPr="003D3043">
            <w:rPr>
              <w:color w:val="000000"/>
              <w:lang w:val="en-GB" w:eastAsia="ja-JP"/>
            </w:rPr>
            <w:t>(</w:t>
          </w:r>
          <w:proofErr w:type="spellStart"/>
          <w:r w:rsidR="003D3043" w:rsidRPr="003D3043">
            <w:rPr>
              <w:color w:val="000000"/>
              <w:lang w:val="en-GB" w:eastAsia="ja-JP"/>
            </w:rPr>
            <w:t>Campello</w:t>
          </w:r>
          <w:proofErr w:type="spellEnd"/>
          <w:r w:rsidR="003D3043" w:rsidRPr="003D3043">
            <w:rPr>
              <w:color w:val="000000"/>
              <w:lang w:val="en-GB" w:eastAsia="ja-JP"/>
            </w:rPr>
            <w:t xml:space="preserve"> et al., 2013)</w:t>
          </w:r>
        </w:sdtContent>
      </w:sdt>
      <w:r>
        <w:rPr>
          <w:lang w:val="en-GB" w:eastAsia="ja-JP"/>
        </w:rPr>
        <w:t xml:space="preserve"> was applied to offline and online measurement data to automatically identify shifts</w:t>
      </w:r>
      <w:r w:rsidR="00D96B42">
        <w:rPr>
          <w:lang w:val="en-GB" w:eastAsia="ja-JP"/>
        </w:rPr>
        <w:t xml:space="preserve"> in phases</w:t>
      </w:r>
      <w:r>
        <w:rPr>
          <w:lang w:val="en-GB" w:eastAsia="ja-JP"/>
        </w:rPr>
        <w:t xml:space="preserve"> between different cell </w:t>
      </w:r>
      <w:proofErr w:type="spellStart"/>
      <w:r>
        <w:rPr>
          <w:lang w:val="en-GB" w:eastAsia="ja-JP"/>
        </w:rPr>
        <w:t>behaviors</w:t>
      </w:r>
      <w:proofErr w:type="spellEnd"/>
      <w:r>
        <w:rPr>
          <w:lang w:val="en-GB" w:eastAsia="ja-JP"/>
        </w:rPr>
        <w:t xml:space="preserve">. </w:t>
      </w:r>
      <w:r w:rsidR="00416323">
        <w:rPr>
          <w:lang w:val="en-GB" w:eastAsia="ja-JP"/>
        </w:rPr>
        <w:t xml:space="preserve">The sensitivity of the analysis to the minimum cluster size </w:t>
      </w:r>
      <m:oMath>
        <m:r>
          <w:rPr>
            <w:rFonts w:ascii="Cambria Math" w:hAnsi="Cambria Math"/>
            <w:lang w:val="en-GB" w:eastAsia="ja-JP"/>
          </w:rPr>
          <m:t>m</m:t>
        </m:r>
      </m:oMath>
      <w:r w:rsidR="00416323">
        <w:rPr>
          <w:lang w:val="en-GB" w:eastAsia="ja-JP"/>
        </w:rPr>
        <w:t xml:space="preserve"> was investigated</w:t>
      </w:r>
      <w:r w:rsidR="00FD33B4">
        <w:rPr>
          <w:lang w:val="en-GB" w:eastAsia="ja-JP"/>
        </w:rPr>
        <w:t xml:space="preserve">. The results of the clustering were used to </w:t>
      </w:r>
      <w:r w:rsidR="00286E67">
        <w:rPr>
          <w:lang w:val="en-GB" w:eastAsia="ja-JP"/>
        </w:rPr>
        <w:t xml:space="preserve">identify the critical cultivation conditions </w:t>
      </w:r>
      <w:r w:rsidR="007B66BF">
        <w:rPr>
          <w:lang w:val="en-GB" w:eastAsia="ja-JP"/>
        </w:rPr>
        <w:t xml:space="preserve">corresponding to the changes in cell </w:t>
      </w:r>
      <w:proofErr w:type="spellStart"/>
      <w:r w:rsidR="007B66BF">
        <w:rPr>
          <w:lang w:val="en-GB" w:eastAsia="ja-JP"/>
        </w:rPr>
        <w:t>behavior</w:t>
      </w:r>
      <w:proofErr w:type="spellEnd"/>
      <w:r w:rsidR="00C857CB">
        <w:rPr>
          <w:lang w:val="en-GB" w:eastAsia="ja-JP"/>
        </w:rPr>
        <w:t>.</w:t>
      </w:r>
    </w:p>
    <w:p w14:paraId="0B144D8B" w14:textId="66896A49" w:rsidR="00F2146D" w:rsidRPr="005840B9" w:rsidRDefault="00F2146D" w:rsidP="005840B9">
      <w:pPr>
        <w:pStyle w:val="Els-3rdorder-head"/>
        <w:numPr>
          <w:ilvl w:val="3"/>
          <w:numId w:val="17"/>
        </w:numPr>
      </w:pPr>
      <w:r w:rsidRPr="005840B9">
        <w:rPr>
          <w:lang w:val="en-GB"/>
        </w:rPr>
        <w:t>Updating</w:t>
      </w:r>
      <w:r w:rsidR="006374EB">
        <w:rPr>
          <w:lang w:val="en-GB"/>
        </w:rPr>
        <w:t xml:space="preserve"> the</w:t>
      </w:r>
      <w:r w:rsidRPr="005840B9">
        <w:rPr>
          <w:lang w:val="en-GB"/>
        </w:rPr>
        <w:t xml:space="preserve"> mechanistic model</w:t>
      </w:r>
    </w:p>
    <w:p w14:paraId="24EF7583" w14:textId="517239C8" w:rsidR="00F2146D" w:rsidRDefault="00F2146D" w:rsidP="00F2146D">
      <w:pPr>
        <w:pStyle w:val="Els-body-text"/>
        <w:rPr>
          <w:lang w:val="en-GB" w:eastAsia="ja-JP"/>
        </w:rPr>
      </w:pPr>
      <w:r>
        <w:rPr>
          <w:rFonts w:hint="eastAsia"/>
          <w:lang w:val="en-GB" w:eastAsia="ja-JP"/>
        </w:rPr>
        <w:t>B</w:t>
      </w:r>
      <w:r>
        <w:rPr>
          <w:lang w:val="en-GB" w:eastAsia="ja-JP"/>
        </w:rPr>
        <w:t xml:space="preserve">ased on the insights obtained </w:t>
      </w:r>
      <w:r w:rsidR="006374EB">
        <w:rPr>
          <w:lang w:val="en-GB" w:eastAsia="ja-JP"/>
        </w:rPr>
        <w:t xml:space="preserve">from </w:t>
      </w:r>
      <w:r>
        <w:rPr>
          <w:lang w:val="en-GB" w:eastAsia="ja-JP"/>
        </w:rPr>
        <w:t>the data-driven analysis,</w:t>
      </w:r>
      <w:r w:rsidR="006374EB">
        <w:rPr>
          <w:lang w:val="en-GB" w:eastAsia="ja-JP"/>
        </w:rPr>
        <w:t xml:space="preserve"> alternative formulations of</w:t>
      </w:r>
      <w:r>
        <w:rPr>
          <w:lang w:val="en-GB" w:eastAsia="ja-JP"/>
        </w:rPr>
        <w:t xml:space="preserve"> </w:t>
      </w:r>
      <m:oMath>
        <m:sSub>
          <m:sSubPr>
            <m:ctrlPr>
              <w:rPr>
                <w:rFonts w:ascii="Cambria Math" w:hAnsi="Cambria Math"/>
              </w:rPr>
            </m:ctrlPr>
          </m:sSubPr>
          <m:e>
            <m:r>
              <w:rPr>
                <w:rFonts w:ascii="Cambria Math" w:hAnsi="Cambria Math"/>
              </w:rPr>
              <m:t>Q</m:t>
            </m:r>
          </m:e>
          <m:sub>
            <m:r>
              <m:rPr>
                <m:sty m:val="p"/>
              </m:rPr>
              <w:rPr>
                <w:rFonts w:ascii="Cambria Math" w:hAnsi="Cambria Math"/>
              </w:rPr>
              <m:t>lac</m:t>
            </m:r>
          </m:sub>
        </m:sSub>
      </m:oMath>
      <w:r w:rsidRPr="00CF0F14">
        <w:rPr>
          <w:lang w:val="en-GB" w:eastAsia="ja-JP"/>
        </w:rPr>
        <w:t xml:space="preserve"> w</w:t>
      </w:r>
      <w:r w:rsidR="006374EB">
        <w:rPr>
          <w:lang w:val="en-GB" w:eastAsia="ja-JP"/>
        </w:rPr>
        <w:t xml:space="preserve">ere suggested </w:t>
      </w:r>
      <w:r>
        <w:rPr>
          <w:lang w:val="en-GB" w:eastAsia="ja-JP"/>
        </w:rPr>
        <w:t xml:space="preserve">for each identified </w:t>
      </w:r>
      <w:r w:rsidR="00631587">
        <w:rPr>
          <w:lang w:val="en-GB" w:eastAsia="ja-JP"/>
        </w:rPr>
        <w:t xml:space="preserve">cell </w:t>
      </w:r>
      <w:r>
        <w:rPr>
          <w:lang w:val="en-GB" w:eastAsia="ja-JP"/>
        </w:rPr>
        <w:t>phase</w:t>
      </w:r>
      <w:r w:rsidR="00356FD7">
        <w:rPr>
          <w:lang w:val="en-GB" w:eastAsia="ja-JP"/>
        </w:rPr>
        <w:t>.</w:t>
      </w:r>
      <w:r w:rsidR="00087D88">
        <w:rPr>
          <w:lang w:val="en-GB" w:eastAsia="ja-JP"/>
        </w:rPr>
        <w:t xml:space="preserve"> </w:t>
      </w:r>
      <w:r>
        <w:rPr>
          <w:lang w:val="en-GB" w:eastAsia="ja-JP"/>
        </w:rPr>
        <w:t xml:space="preserve">The updated model was fitted to </w:t>
      </w:r>
      <w:r>
        <w:rPr>
          <w:lang w:val="en-GB" w:eastAsia="ja-JP"/>
        </w:rPr>
        <w:lastRenderedPageBreak/>
        <w:t>Experiments (A) and (</w:t>
      </w:r>
      <w:r w:rsidR="00C74640">
        <w:rPr>
          <w:lang w:val="en-GB" w:eastAsia="ja-JP"/>
        </w:rPr>
        <w:t>C</w:t>
      </w:r>
      <w:r>
        <w:rPr>
          <w:lang w:val="en-GB" w:eastAsia="ja-JP"/>
        </w:rPr>
        <w:t xml:space="preserve">). The </w:t>
      </w:r>
      <w:r>
        <w:rPr>
          <w:rFonts w:hint="eastAsia"/>
          <w:lang w:val="en-GB" w:eastAsia="ja-JP"/>
        </w:rPr>
        <w:t>es</w:t>
      </w:r>
      <w:r>
        <w:rPr>
          <w:lang w:val="en-GB" w:eastAsia="ja-JP"/>
        </w:rPr>
        <w:t>timated parameters in Experiment (</w:t>
      </w:r>
      <w:r w:rsidR="00C74640">
        <w:rPr>
          <w:lang w:val="en-GB" w:eastAsia="ja-JP"/>
        </w:rPr>
        <w:t>A</w:t>
      </w:r>
      <w:r>
        <w:rPr>
          <w:lang w:val="en-GB" w:eastAsia="ja-JP"/>
        </w:rPr>
        <w:t>) were used to predict the performance of Experiment (</w:t>
      </w:r>
      <w:r w:rsidR="00C74640">
        <w:rPr>
          <w:lang w:val="en-GB" w:eastAsia="ja-JP"/>
        </w:rPr>
        <w:t>B</w:t>
      </w:r>
      <w:r>
        <w:rPr>
          <w:lang w:val="en-GB" w:eastAsia="ja-JP"/>
        </w:rPr>
        <w:t>).</w:t>
      </w:r>
    </w:p>
    <w:p w14:paraId="117BD5EB" w14:textId="44BD4BD8" w:rsidR="00F2146D" w:rsidRPr="005840B9" w:rsidRDefault="00F2146D" w:rsidP="003D6B69">
      <w:pPr>
        <w:pStyle w:val="Els-3rdorder-head"/>
        <w:numPr>
          <w:ilvl w:val="2"/>
          <w:numId w:val="17"/>
        </w:numPr>
      </w:pPr>
      <w:r w:rsidRPr="005840B9">
        <w:rPr>
          <w:rFonts w:hint="eastAsia"/>
          <w:lang w:val="en-GB" w:eastAsia="ja-JP"/>
        </w:rPr>
        <w:t>D</w:t>
      </w:r>
      <w:r w:rsidRPr="005840B9">
        <w:rPr>
          <w:lang w:val="en-GB" w:eastAsia="ja-JP"/>
        </w:rPr>
        <w:t>ynamic simulation</w:t>
      </w:r>
    </w:p>
    <w:p w14:paraId="56CA5C1B" w14:textId="6DE0248B" w:rsidR="00F2146D" w:rsidRDefault="00F2146D" w:rsidP="00F2146D">
      <w:pPr>
        <w:pStyle w:val="Els-body-text"/>
      </w:pPr>
      <w:r>
        <w:rPr>
          <w:rFonts w:hint="eastAsia"/>
          <w:lang w:val="en-GB" w:eastAsia="ja-JP"/>
        </w:rPr>
        <w:t>U</w:t>
      </w:r>
      <w:r>
        <w:rPr>
          <w:lang w:val="en-GB" w:eastAsia="ja-JP"/>
        </w:rPr>
        <w:t xml:space="preserve">sing the developed cell cultivation model, dynamic simulation was conducted. </w:t>
      </w:r>
      <w:r w:rsidR="009B1EBD" w:rsidRPr="00EB1C5B">
        <w:rPr>
          <w:lang w:val="en-GB" w:eastAsia="ja-JP"/>
        </w:rPr>
        <w:t>Scenarios with different</w:t>
      </w:r>
      <w:r w:rsidR="009B1EBD">
        <w:rPr>
          <w:lang w:val="en-GB" w:eastAsia="ja-JP"/>
        </w:rPr>
        <w:t xml:space="preserve"> </w:t>
      </w:r>
      <w:r w:rsidR="00111A13">
        <w:rPr>
          <w:lang w:val="en-GB" w:eastAsia="ja-JP"/>
        </w:rPr>
        <w:t xml:space="preserve">cell lines, reactor types, </w:t>
      </w:r>
      <w:r w:rsidR="007F4E95">
        <w:rPr>
          <w:lang w:val="en-GB" w:eastAsia="ja-JP"/>
        </w:rPr>
        <w:t xml:space="preserve">and </w:t>
      </w:r>
      <w:r w:rsidR="009B1EBD">
        <w:rPr>
          <w:lang w:val="en-GB" w:eastAsia="ja-JP"/>
        </w:rPr>
        <w:t>f</w:t>
      </w:r>
      <w:r>
        <w:rPr>
          <w:lang w:val="en-GB" w:eastAsia="ja-JP"/>
        </w:rPr>
        <w:t xml:space="preserve">eeding strategies with </w:t>
      </w:r>
      <w:r w:rsidR="00E4075F">
        <w:rPr>
          <w:lang w:val="en-GB" w:eastAsia="ja-JP"/>
        </w:rPr>
        <w:t>varying</w:t>
      </w:r>
      <w:r>
        <w:rPr>
          <w:lang w:val="en-GB" w:eastAsia="ja-JP"/>
        </w:rPr>
        <w:t xml:space="preserve"> feed flow rates and feed start timing were explored. For CHO-MK 9E-1 cell lines, different timing for DO downshifts was also explored. </w:t>
      </w:r>
      <w:r w:rsidR="00177288">
        <w:rPr>
          <w:lang w:val="en-GB" w:eastAsia="ja-JP"/>
        </w:rPr>
        <w:t xml:space="preserve">Scenarios were categorized into five groups depending on the combination of </w:t>
      </w:r>
      <w:r w:rsidR="009914DA">
        <w:rPr>
          <w:lang w:val="en-GB" w:eastAsia="ja-JP"/>
        </w:rPr>
        <w:t xml:space="preserve">used </w:t>
      </w:r>
      <w:r w:rsidR="00177288">
        <w:rPr>
          <w:lang w:val="en-GB" w:eastAsia="ja-JP"/>
        </w:rPr>
        <w:t xml:space="preserve">cell lines, reactor types, and explored variables. </w:t>
      </w:r>
      <w:r w:rsidR="009E2E70">
        <w:t>T</w:t>
      </w:r>
      <w:r>
        <w:t xml:space="preserve">he final HCP concentrations </w:t>
      </w:r>
      <m:oMath>
        <m:sSub>
          <m:sSubPr>
            <m:ctrlPr>
              <w:rPr>
                <w:rFonts w:ascii="Cambria Math" w:hAnsi="Cambria Math"/>
                <w:sz w:val="21"/>
                <w:szCs w:val="21"/>
              </w:rPr>
            </m:ctrlPr>
          </m:sSubPr>
          <m:e>
            <m:d>
              <m:dPr>
                <m:begChr m:val=""/>
                <m:endChr m:val="|"/>
                <m:ctrlPr>
                  <w:rPr>
                    <w:rFonts w:ascii="Cambria Math" w:hAnsi="Cambria Math"/>
                    <w:i/>
                    <w:sz w:val="21"/>
                    <w:szCs w:val="21"/>
                  </w:rPr>
                </m:ctrlPr>
              </m:dPr>
              <m:e>
                <m:r>
                  <w:rPr>
                    <w:rFonts w:ascii="Cambria Math" w:hAnsi="Cambria Math"/>
                    <w:sz w:val="21"/>
                    <w:szCs w:val="21"/>
                  </w:rPr>
                  <m:t>[</m:t>
                </m:r>
                <m:r>
                  <m:rPr>
                    <m:sty m:val="p"/>
                  </m:rPr>
                  <w:rPr>
                    <w:rFonts w:ascii="Cambria Math" w:hAnsi="Cambria Math"/>
                    <w:sz w:val="21"/>
                    <w:szCs w:val="21"/>
                  </w:rPr>
                  <m:t>HCP</m:t>
                </m:r>
                <m:r>
                  <w:rPr>
                    <w:rFonts w:ascii="Cambria Math" w:hAnsi="Cambria Math"/>
                    <w:sz w:val="21"/>
                    <w:szCs w:val="21"/>
                  </w:rPr>
                  <m:t>]</m:t>
                </m:r>
              </m:e>
            </m:d>
          </m:e>
          <m:sub>
            <m:sSub>
              <m:sSubPr>
                <m:ctrlPr>
                  <w:rPr>
                    <w:rFonts w:ascii="Cambria Math" w:hAnsi="Cambria Math"/>
                    <w:i/>
                    <w:sz w:val="21"/>
                    <w:szCs w:val="21"/>
                  </w:rPr>
                </m:ctrlPr>
              </m:sSubPr>
              <m:e>
                <m:r>
                  <w:rPr>
                    <w:rFonts w:ascii="Cambria Math" w:hAnsi="Cambria Math"/>
                    <w:sz w:val="21"/>
                    <w:szCs w:val="21"/>
                  </w:rPr>
                  <m:t>t</m:t>
                </m:r>
              </m:e>
              <m:sub>
                <m:r>
                  <m:rPr>
                    <m:sty m:val="p"/>
                  </m:rPr>
                  <w:rPr>
                    <w:rFonts w:ascii="Cambria Math" w:hAnsi="Cambria Math"/>
                    <w:sz w:val="21"/>
                    <w:szCs w:val="21"/>
                  </w:rPr>
                  <m:t>final</m:t>
                </m:r>
              </m:sub>
            </m:sSub>
          </m:sub>
        </m:sSub>
      </m:oMath>
      <w:r>
        <w:t xml:space="preserve"> [g L</w:t>
      </w:r>
      <w:r w:rsidRPr="000020D4">
        <w:rPr>
          <w:vertAlign w:val="superscript"/>
        </w:rPr>
        <w:t>–1</w:t>
      </w:r>
      <w:r>
        <w:t xml:space="preserve">] and the total mAb production </w:t>
      </w:r>
      <m:oMath>
        <m:sSub>
          <m:sSubPr>
            <m:ctrlPr>
              <w:rPr>
                <w:rFonts w:ascii="Cambria Math" w:hAnsi="Cambria Math"/>
                <w:i/>
              </w:rPr>
            </m:ctrlPr>
          </m:sSubPr>
          <m:e>
            <m:r>
              <w:rPr>
                <w:rFonts w:ascii="Cambria Math" w:hAnsi="Cambria Math"/>
              </w:rPr>
              <m:t>W</m:t>
            </m:r>
          </m:e>
          <m:sub>
            <m:r>
              <m:rPr>
                <m:sty m:val="p"/>
              </m:rPr>
              <w:rPr>
                <w:rFonts w:ascii="Cambria Math" w:hAnsi="Cambria Math"/>
              </w:rPr>
              <m:t>mAb</m:t>
            </m:r>
          </m:sub>
        </m:sSub>
      </m:oMath>
      <w:r>
        <w:rPr>
          <w:rFonts w:hint="eastAsia"/>
        </w:rPr>
        <w:t xml:space="preserve"> </w:t>
      </w:r>
      <w:r>
        <w:t xml:space="preserve">[g] </w:t>
      </w:r>
      <w:r w:rsidR="009E2E70">
        <w:t xml:space="preserve">were used </w:t>
      </w:r>
      <w:r w:rsidR="009E2E70">
        <w:rPr>
          <w:lang w:val="en-GB" w:eastAsia="ja-JP"/>
        </w:rPr>
        <w:t>as indicators of cell cultivation performance</w:t>
      </w:r>
      <w:r w:rsidR="00294AA0">
        <w:t>, where</w:t>
      </w:r>
      <w:r w:rsidR="009E2E70" w:rsidRPr="009E2E70">
        <w:t xml:space="preserve"> </w:t>
      </w:r>
      <m:oMath>
        <m:sSub>
          <m:sSubPr>
            <m:ctrlPr>
              <w:rPr>
                <w:rFonts w:ascii="Cambria Math" w:hAnsi="Cambria Math"/>
                <w:i/>
              </w:rPr>
            </m:ctrlPr>
          </m:sSubPr>
          <m:e>
            <m:r>
              <w:rPr>
                <w:rFonts w:ascii="Cambria Math" w:hAnsi="Cambria Math"/>
              </w:rPr>
              <m:t>t</m:t>
            </m:r>
          </m:e>
          <m:sub>
            <m:r>
              <m:rPr>
                <m:sty m:val="p"/>
              </m:rPr>
              <w:rPr>
                <w:rFonts w:ascii="Cambria Math" w:hAnsi="Cambria Math"/>
              </w:rPr>
              <m:t>final</m:t>
            </m:r>
          </m:sub>
        </m:sSub>
      </m:oMath>
      <w:r>
        <w:t xml:space="preserve"> </w:t>
      </w:r>
      <w:r w:rsidR="007F6BDB">
        <w:t xml:space="preserve">[h] </w:t>
      </w:r>
      <w:r w:rsidR="00D00825">
        <w:t xml:space="preserve">is </w:t>
      </w:r>
      <w:r w:rsidR="009E2E70">
        <w:t xml:space="preserve">the </w:t>
      </w:r>
      <w:r w:rsidR="00156C76">
        <w:t>duration of cultivation.</w:t>
      </w:r>
      <w:r w:rsidR="009E2E70">
        <w:t xml:space="preserve"> </w:t>
      </w:r>
    </w:p>
    <w:p w14:paraId="33B9F185" w14:textId="35E7AF0E" w:rsidR="00F2146D" w:rsidRPr="008A0FEF" w:rsidRDefault="00F2146D" w:rsidP="008A0FEF">
      <w:pPr>
        <w:pStyle w:val="Els-3rdorder-head"/>
        <w:numPr>
          <w:ilvl w:val="2"/>
          <w:numId w:val="17"/>
        </w:numPr>
      </w:pPr>
      <w:r w:rsidRPr="008A0FEF">
        <w:rPr>
          <w:lang w:val="en-GB"/>
        </w:rPr>
        <w:t>Process evaluation model</w:t>
      </w:r>
    </w:p>
    <w:p w14:paraId="644B24A3" w14:textId="44222D72" w:rsidR="00452428" w:rsidRDefault="00DF06C9" w:rsidP="00452428">
      <w:pPr>
        <w:pStyle w:val="Els-body-text"/>
      </w:pPr>
      <w:r>
        <w:t>An</w:t>
      </w:r>
      <w:r w:rsidR="00452428" w:rsidRPr="00A12C39">
        <w:t xml:space="preserve"> integrat</w:t>
      </w:r>
      <w:r>
        <w:t>ed</w:t>
      </w:r>
      <w:r w:rsidR="00452428" w:rsidRPr="00A12C39">
        <w:t xml:space="preserve"> index </w:t>
      </w:r>
      <m:oMath>
        <m:r>
          <w:rPr>
            <w:rFonts w:ascii="Cambria Math" w:hAnsi="Cambria Math"/>
          </w:rPr>
          <m:t>I</m:t>
        </m:r>
      </m:oMath>
      <w:r w:rsidR="00452428">
        <w:t xml:space="preserve"> [–] combining the two objectives was defined in </w:t>
      </w:r>
      <w:r w:rsidR="00452428" w:rsidRPr="00E214C8">
        <w:t xml:space="preserve">Eq. </w:t>
      </w:r>
      <w:r w:rsidR="00452428" w:rsidRPr="00387906">
        <w:t>(</w:t>
      </w:r>
      <w:r w:rsidR="00452428" w:rsidRPr="00E214C8">
        <w:t>9</w:t>
      </w:r>
      <w:r w:rsidR="00452428">
        <w:t xml:space="preserve">). Process options maximizing </w:t>
      </w:r>
      <m:oMath>
        <m:r>
          <w:rPr>
            <w:rFonts w:ascii="Cambria Math" w:hAnsi="Cambria Math"/>
          </w:rPr>
          <m:t>I</m:t>
        </m:r>
      </m:oMath>
      <w:r w:rsidR="00452428" w:rsidDel="00E214C8">
        <w:t xml:space="preserve"> </w:t>
      </w:r>
      <w:r w:rsidR="00452428">
        <w:t>were selected for further analysis.</w:t>
      </w:r>
    </w:p>
    <w:tbl>
      <w:tblPr>
        <w:tblStyle w:val="Grigliatabella"/>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4"/>
        <w:gridCol w:w="703"/>
      </w:tblGrid>
      <w:tr w:rsidR="00452428" w:rsidRPr="00A6566F" w14:paraId="5E38DB0A" w14:textId="77777777" w:rsidTr="00580DDA">
        <w:trPr>
          <w:trHeight w:val="680"/>
        </w:trPr>
        <w:tc>
          <w:tcPr>
            <w:tcW w:w="6384" w:type="dxa"/>
            <w:vAlign w:val="center"/>
          </w:tcPr>
          <w:p w14:paraId="31C95DAD" w14:textId="1B8E4027" w:rsidR="00452428" w:rsidRPr="00A6566F" w:rsidRDefault="00452428" w:rsidP="00580DDA">
            <m:oMathPara>
              <m:oMathParaPr>
                <m:jc m:val="left"/>
              </m:oMathParaPr>
              <m:oMath>
                <m:r>
                  <w:rPr>
                    <w:rFonts w:ascii="Cambria Math" w:hAnsi="Cambria Math"/>
                  </w:rPr>
                  <m:t>I</m:t>
                </m:r>
                <m:r>
                  <m:rPr>
                    <m:sty m:val="p"/>
                  </m:rPr>
                  <w:rPr>
                    <w:rFonts w:ascii="Cambria Math" w:hAnsi="Cambria Math"/>
                    <w:sz w:val="21"/>
                    <w:szCs w:val="21"/>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m:rPr>
                            <m:sty m:val="p"/>
                          </m:rPr>
                          <w:rPr>
                            <w:rFonts w:ascii="Cambria Math" w:hAnsi="Cambria Math"/>
                          </w:rPr>
                          <m:t>mAb</m:t>
                        </m:r>
                      </m:sub>
                    </m:sSub>
                  </m:num>
                  <m:den>
                    <m:r>
                      <m:rPr>
                        <m:sty m:val="p"/>
                      </m:rPr>
                      <w:rPr>
                        <w:rFonts w:ascii="Cambria Math" w:hAnsi="Cambria Math"/>
                      </w:rPr>
                      <m:t>max⁡(</m:t>
                    </m:r>
                    <m:sSub>
                      <m:sSubPr>
                        <m:ctrlPr>
                          <w:rPr>
                            <w:rFonts w:ascii="Cambria Math" w:hAnsi="Cambria Math"/>
                          </w:rPr>
                        </m:ctrlPr>
                      </m:sSubPr>
                      <m:e>
                        <m:r>
                          <w:rPr>
                            <w:rFonts w:ascii="Cambria Math" w:hAnsi="Cambria Math"/>
                          </w:rPr>
                          <m:t>W</m:t>
                        </m:r>
                      </m:e>
                      <m:sub>
                        <m:r>
                          <m:rPr>
                            <m:sty m:val="p"/>
                          </m:rPr>
                          <w:rPr>
                            <w:rFonts w:ascii="Cambria Math" w:hAnsi="Cambria Math"/>
                          </w:rPr>
                          <m:t>mAb</m:t>
                        </m:r>
                      </m:sub>
                    </m:sSub>
                    <m:r>
                      <m:rPr>
                        <m:sty m:val="p"/>
                      </m:rPr>
                      <w:rPr>
                        <w:rFonts w:ascii="Cambria Math" w:hAnsi="Cambria Math"/>
                      </w:rPr>
                      <m:t>)</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sz w:val="21"/>
                                    <w:szCs w:val="21"/>
                                  </w:rPr>
                                </m:ctrlPr>
                              </m:sSubPr>
                              <m:e>
                                <m:d>
                                  <m:dPr>
                                    <m:begChr m:val=""/>
                                    <m:endChr m:val="|"/>
                                    <m:ctrlPr>
                                      <w:rPr>
                                        <w:rFonts w:ascii="Cambria Math" w:hAnsi="Cambria Math"/>
                                        <w:i/>
                                        <w:sz w:val="21"/>
                                        <w:szCs w:val="21"/>
                                      </w:rPr>
                                    </m:ctrlPr>
                                  </m:dPr>
                                  <m:e>
                                    <m:r>
                                      <w:rPr>
                                        <w:rFonts w:ascii="Cambria Math" w:hAnsi="Cambria Math"/>
                                        <w:sz w:val="21"/>
                                        <w:szCs w:val="21"/>
                                      </w:rPr>
                                      <m:t>[</m:t>
                                    </m:r>
                                    <m:r>
                                      <m:rPr>
                                        <m:sty m:val="p"/>
                                      </m:rPr>
                                      <w:rPr>
                                        <w:rFonts w:ascii="Cambria Math" w:hAnsi="Cambria Math"/>
                                        <w:sz w:val="21"/>
                                        <w:szCs w:val="21"/>
                                      </w:rPr>
                                      <m:t>HCP</m:t>
                                    </m:r>
                                    <m:r>
                                      <w:rPr>
                                        <w:rFonts w:ascii="Cambria Math" w:hAnsi="Cambria Math"/>
                                        <w:sz w:val="21"/>
                                        <w:szCs w:val="21"/>
                                      </w:rPr>
                                      <m:t>]</m:t>
                                    </m:r>
                                  </m:e>
                                </m:d>
                              </m:e>
                              <m:sub>
                                <m:sSub>
                                  <m:sSubPr>
                                    <m:ctrlPr>
                                      <w:rPr>
                                        <w:rFonts w:ascii="Cambria Math" w:hAnsi="Cambria Math"/>
                                        <w:i/>
                                        <w:sz w:val="21"/>
                                        <w:szCs w:val="21"/>
                                      </w:rPr>
                                    </m:ctrlPr>
                                  </m:sSubPr>
                                  <m:e>
                                    <m:r>
                                      <w:rPr>
                                        <w:rFonts w:ascii="Cambria Math" w:hAnsi="Cambria Math"/>
                                        <w:sz w:val="21"/>
                                        <w:szCs w:val="21"/>
                                      </w:rPr>
                                      <m:t>t</m:t>
                                    </m:r>
                                  </m:e>
                                  <m:sub>
                                    <m:r>
                                      <m:rPr>
                                        <m:sty m:val="p"/>
                                      </m:rPr>
                                      <w:rPr>
                                        <w:rFonts w:ascii="Cambria Math" w:hAnsi="Cambria Math"/>
                                        <w:sz w:val="21"/>
                                        <w:szCs w:val="21"/>
                                      </w:rPr>
                                      <m:t>final</m:t>
                                    </m:r>
                                  </m:sub>
                                </m:sSub>
                              </m:sub>
                            </m:sSub>
                          </m:num>
                          <m:den>
                            <m:r>
                              <m:rPr>
                                <m:sty m:val="p"/>
                              </m:rPr>
                              <w:rPr>
                                <w:rFonts w:ascii="Cambria Math" w:hAnsi="Cambria Math"/>
                              </w:rPr>
                              <m:t>max⁡(</m:t>
                            </m:r>
                            <m:sSub>
                              <m:sSubPr>
                                <m:ctrlPr>
                                  <w:rPr>
                                    <w:rFonts w:ascii="Cambria Math" w:hAnsi="Cambria Math"/>
                                    <w:sz w:val="21"/>
                                    <w:szCs w:val="21"/>
                                  </w:rPr>
                                </m:ctrlPr>
                              </m:sSubPr>
                              <m:e>
                                <m:d>
                                  <m:dPr>
                                    <m:begChr m:val=""/>
                                    <m:endChr m:val="|"/>
                                    <m:ctrlPr>
                                      <w:rPr>
                                        <w:rFonts w:ascii="Cambria Math" w:hAnsi="Cambria Math"/>
                                        <w:i/>
                                        <w:sz w:val="21"/>
                                        <w:szCs w:val="21"/>
                                      </w:rPr>
                                    </m:ctrlPr>
                                  </m:dPr>
                                  <m:e>
                                    <m:r>
                                      <w:rPr>
                                        <w:rFonts w:ascii="Cambria Math" w:hAnsi="Cambria Math"/>
                                        <w:sz w:val="21"/>
                                        <w:szCs w:val="21"/>
                                      </w:rPr>
                                      <m:t>[</m:t>
                                    </m:r>
                                    <m:r>
                                      <m:rPr>
                                        <m:sty m:val="p"/>
                                      </m:rPr>
                                      <w:rPr>
                                        <w:rFonts w:ascii="Cambria Math" w:hAnsi="Cambria Math"/>
                                        <w:sz w:val="21"/>
                                        <w:szCs w:val="21"/>
                                      </w:rPr>
                                      <m:t>HCP</m:t>
                                    </m:r>
                                    <m:r>
                                      <w:rPr>
                                        <w:rFonts w:ascii="Cambria Math" w:hAnsi="Cambria Math"/>
                                        <w:sz w:val="21"/>
                                        <w:szCs w:val="21"/>
                                      </w:rPr>
                                      <m:t>]</m:t>
                                    </m:r>
                                  </m:e>
                                </m:d>
                              </m:e>
                              <m:sub>
                                <m:sSub>
                                  <m:sSubPr>
                                    <m:ctrlPr>
                                      <w:rPr>
                                        <w:rFonts w:ascii="Cambria Math" w:hAnsi="Cambria Math"/>
                                        <w:i/>
                                        <w:sz w:val="21"/>
                                        <w:szCs w:val="21"/>
                                      </w:rPr>
                                    </m:ctrlPr>
                                  </m:sSubPr>
                                  <m:e>
                                    <m:r>
                                      <w:rPr>
                                        <w:rFonts w:ascii="Cambria Math" w:hAnsi="Cambria Math"/>
                                        <w:sz w:val="21"/>
                                        <w:szCs w:val="21"/>
                                      </w:rPr>
                                      <m:t>t</m:t>
                                    </m:r>
                                  </m:e>
                                  <m:sub>
                                    <m:r>
                                      <m:rPr>
                                        <m:sty m:val="p"/>
                                      </m:rPr>
                                      <w:rPr>
                                        <w:rFonts w:ascii="Cambria Math" w:hAnsi="Cambria Math"/>
                                        <w:sz w:val="21"/>
                                        <w:szCs w:val="21"/>
                                      </w:rPr>
                                      <m:t>final</m:t>
                                    </m:r>
                                  </m:sub>
                                </m:sSub>
                              </m:sub>
                            </m:sSub>
                            <m:r>
                              <m:rPr>
                                <m:sty m:val="p"/>
                              </m:rPr>
                              <w:rPr>
                                <w:rFonts w:ascii="Cambria Math" w:hAnsi="Cambria Math"/>
                              </w:rPr>
                              <m:t>)</m:t>
                            </m:r>
                          </m:den>
                        </m:f>
                      </m:e>
                    </m:d>
                  </m:e>
                  <m:sup>
                    <m:r>
                      <m:rPr>
                        <m:sty m:val="p"/>
                      </m:rPr>
                      <w:rPr>
                        <w:rFonts w:ascii="Cambria Math" w:hAnsi="Cambria Math"/>
                      </w:rPr>
                      <m:t>-1</m:t>
                    </m:r>
                  </m:sup>
                </m:sSup>
              </m:oMath>
            </m:oMathPara>
          </w:p>
        </w:tc>
        <w:tc>
          <w:tcPr>
            <w:tcW w:w="703" w:type="dxa"/>
            <w:vAlign w:val="center"/>
          </w:tcPr>
          <w:p w14:paraId="151B953C" w14:textId="77777777" w:rsidR="00452428" w:rsidRPr="00A6566F" w:rsidRDefault="00452428" w:rsidP="00580DDA">
            <w:r w:rsidRPr="00A6566F">
              <w:t>(</w:t>
            </w:r>
            <w:r>
              <w:t>9</w:t>
            </w:r>
            <w:r w:rsidRPr="00A6566F">
              <w:t>)</w:t>
            </w:r>
          </w:p>
        </w:tc>
      </w:tr>
    </w:tbl>
    <w:p w14:paraId="7F735A06" w14:textId="04CBBC61" w:rsidR="00F2146D" w:rsidRDefault="0079477B" w:rsidP="00F2146D">
      <w:pPr>
        <w:pStyle w:val="Els-body-text"/>
        <w:rPr>
          <w:lang w:val="en-GB" w:eastAsia="ja-JP"/>
        </w:rPr>
      </w:pPr>
      <w:r>
        <w:rPr>
          <w:lang w:eastAsia="ja-JP"/>
        </w:rPr>
        <w:t xml:space="preserve">Then, </w:t>
      </w:r>
      <w:r w:rsidR="00F2146D">
        <w:rPr>
          <w:lang w:val="en-GB" w:eastAsia="ja-JP"/>
        </w:rPr>
        <w:t>COG [</w:t>
      </w:r>
      <w:r w:rsidR="006F21BB">
        <w:rPr>
          <w:lang w:val="en-GB" w:eastAsia="ja-JP"/>
        </w:rPr>
        <w:t>USD</w:t>
      </w:r>
      <w:r w:rsidR="00F2146D">
        <w:rPr>
          <w:lang w:val="en-GB" w:eastAsia="ja-JP"/>
        </w:rPr>
        <w:t xml:space="preserve"> g-mAb</w:t>
      </w:r>
      <w:r w:rsidR="00F2146D" w:rsidRPr="00460E50">
        <w:rPr>
          <w:vertAlign w:val="superscript"/>
          <w:lang w:val="en-GB" w:eastAsia="ja-JP"/>
        </w:rPr>
        <w:t>–1</w:t>
      </w:r>
      <w:r w:rsidR="00F2146D">
        <w:rPr>
          <w:lang w:val="en-GB" w:eastAsia="ja-JP"/>
        </w:rPr>
        <w:t xml:space="preserve">] was </w:t>
      </w:r>
      <w:r w:rsidR="00F2146D" w:rsidRPr="00E4061E">
        <w:rPr>
          <w:lang w:val="en-GB" w:eastAsia="ja-JP"/>
        </w:rPr>
        <w:t>evaluated</w:t>
      </w:r>
      <w:r w:rsidR="00E51BF6">
        <w:rPr>
          <w:lang w:val="en-GB" w:eastAsia="ja-JP"/>
        </w:rPr>
        <w:t xml:space="preserve"> </w:t>
      </w:r>
      <w:r w:rsidR="00F31F90">
        <w:rPr>
          <w:lang w:val="en-GB" w:eastAsia="ja-JP"/>
        </w:rPr>
        <w:t xml:space="preserve">for operating conditions maximizing </w:t>
      </w:r>
      <m:oMath>
        <m:r>
          <w:rPr>
            <w:rFonts w:ascii="Cambria Math" w:hAnsi="Cambria Math"/>
          </w:rPr>
          <m:t>I</m:t>
        </m:r>
      </m:oMath>
      <w:r w:rsidR="0040230A">
        <w:rPr>
          <w:lang w:val="en-GB" w:eastAsia="ja-JP"/>
        </w:rPr>
        <w:t xml:space="preserve"> </w:t>
      </w:r>
      <w:r w:rsidR="00F31F90">
        <w:rPr>
          <w:lang w:val="en-GB" w:eastAsia="ja-JP"/>
        </w:rPr>
        <w:t xml:space="preserve">according to </w:t>
      </w:r>
      <w:r w:rsidR="0040230A">
        <w:rPr>
          <w:lang w:eastAsia="ja-JP"/>
        </w:rPr>
        <w:t>Eq. (10)</w:t>
      </w:r>
      <w:r w:rsidR="00F2146D" w:rsidRPr="00E4061E">
        <w:rPr>
          <w:lang w:val="en-GB" w:eastAsia="ja-JP"/>
        </w:rPr>
        <w:t xml:space="preserve">. The formulation of COG was based on previous research works </w:t>
      </w:r>
      <w:sdt>
        <w:sdtPr>
          <w:rPr>
            <w:color w:val="000000"/>
            <w:lang w:val="en-GB" w:eastAsia="ja-JP"/>
          </w:rPr>
          <w:tag w:val="MENDELEY_CITATION_v3_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"/>
          <w:id w:val="348458199"/>
          <w:placeholder>
            <w:docPart w:val="DefaultPlaceholder_-1854013440"/>
          </w:placeholder>
        </w:sdtPr>
        <w:sdtEndPr/>
        <w:sdtContent>
          <w:r w:rsidR="003D3043" w:rsidRPr="003D3043">
            <w:rPr>
              <w:color w:val="000000"/>
              <w:lang w:val="en-GB" w:eastAsia="ja-JP"/>
            </w:rPr>
            <w:t>(Klutz et al., 2016; Yang et al., 2019)</w:t>
          </w:r>
        </w:sdtContent>
      </w:sdt>
      <w:r w:rsidR="001B6099" w:rsidRPr="00E4061E">
        <w:rPr>
          <w:lang w:val="en-GB" w:eastAsia="ja-JP"/>
        </w:rPr>
        <w:t>.</w:t>
      </w:r>
      <w:r w:rsidR="001B6099" w:rsidRPr="00E4061E">
        <w:rPr>
          <w:color w:val="000000"/>
          <w:lang w:val="en-GB" w:eastAsia="ja-JP"/>
        </w:rPr>
        <w:t xml:space="preserve"> </w:t>
      </w:r>
      <w:r w:rsidR="00F2146D" w:rsidRPr="00E4061E">
        <w:rPr>
          <w:lang w:val="en-GB" w:eastAsia="ja-JP"/>
        </w:rPr>
        <w:t>The</w:t>
      </w:r>
      <w:r w:rsidR="00F2146D">
        <w:rPr>
          <w:lang w:val="en-GB" w:eastAsia="ja-JP"/>
        </w:rPr>
        <w:t xml:space="preserve"> operating cost of cell cultivation </w:t>
      </w:r>
      <m:oMath>
        <m:sSub>
          <m:sSubPr>
            <m:ctrlPr>
              <w:rPr>
                <w:rFonts w:ascii="Cambria Math" w:hAnsi="Cambria Math"/>
                <w:i/>
              </w:rPr>
            </m:ctrlPr>
          </m:sSubPr>
          <m:e>
            <m:r>
              <w:rPr>
                <w:rFonts w:ascii="Cambria Math" w:hAnsi="Cambria Math"/>
              </w:rPr>
              <m:t>C</m:t>
            </m:r>
          </m:e>
          <m:sub>
            <m:r>
              <m:rPr>
                <m:sty m:val="p"/>
              </m:rPr>
              <w:rPr>
                <w:rFonts w:ascii="Cambria Math" w:hAnsi="Cambria Math"/>
              </w:rPr>
              <m:t>culture_op</m:t>
            </m:r>
          </m:sub>
        </m:sSub>
      </m:oMath>
      <w:r w:rsidR="00F2146D">
        <w:rPr>
          <w:rFonts w:hint="eastAsia"/>
          <w:lang w:eastAsia="ja-JP"/>
        </w:rPr>
        <w:t xml:space="preserve"> </w:t>
      </w:r>
      <w:r w:rsidR="0060442A">
        <w:rPr>
          <w:lang w:val="en-GB" w:eastAsia="ja-JP"/>
        </w:rPr>
        <w:t xml:space="preserve">[USD] </w:t>
      </w:r>
      <w:r w:rsidR="00F2146D">
        <w:rPr>
          <w:lang w:val="en-GB" w:eastAsia="ja-JP"/>
        </w:rPr>
        <w:t>was defined as</w:t>
      </w:r>
      <w:r w:rsidR="00DB4B69">
        <w:rPr>
          <w:lang w:val="en-GB" w:eastAsia="ja-JP"/>
        </w:rPr>
        <w:t xml:space="preserve"> the sum</w:t>
      </w:r>
      <w:r w:rsidR="00F2146D">
        <w:rPr>
          <w:lang w:val="en-GB" w:eastAsia="ja-JP"/>
        </w:rPr>
        <w:t xml:space="preserve"> of </w:t>
      </w:r>
      <w:r w:rsidR="0064190A">
        <w:rPr>
          <w:lang w:val="en-GB" w:eastAsia="ja-JP"/>
        </w:rPr>
        <w:t xml:space="preserve">the </w:t>
      </w:r>
      <w:r w:rsidR="008C3F7F">
        <w:rPr>
          <w:lang w:val="en-GB" w:eastAsia="ja-JP"/>
        </w:rPr>
        <w:t xml:space="preserve">annual </w:t>
      </w:r>
      <w:r w:rsidR="00F2146D">
        <w:rPr>
          <w:lang w:val="en-GB" w:eastAsia="ja-JP"/>
        </w:rPr>
        <w:t xml:space="preserve">costs of media </w:t>
      </w:r>
      <m:oMath>
        <m:sSub>
          <m:sSubPr>
            <m:ctrlPr>
              <w:rPr>
                <w:rFonts w:ascii="Cambria Math" w:hAnsi="Cambria Math"/>
                <w:i/>
              </w:rPr>
            </m:ctrlPr>
          </m:sSubPr>
          <m:e>
            <m:r>
              <w:rPr>
                <w:rFonts w:ascii="Cambria Math" w:hAnsi="Cambria Math"/>
              </w:rPr>
              <m:t>C</m:t>
            </m:r>
          </m:e>
          <m:sub>
            <m:r>
              <m:rPr>
                <m:sty m:val="p"/>
              </m:rPr>
              <w:rPr>
                <w:rFonts w:ascii="Cambria Math" w:hAnsi="Cambria Math"/>
              </w:rPr>
              <m:t>media</m:t>
            </m:r>
          </m:sub>
        </m:sSub>
      </m:oMath>
      <w:r w:rsidR="008C3F7F">
        <w:t xml:space="preserve"> </w:t>
      </w:r>
      <w:r w:rsidR="008C3F7F">
        <w:rPr>
          <w:lang w:val="en-GB" w:eastAsia="ja-JP"/>
        </w:rPr>
        <w:t>[USD]</w:t>
      </w:r>
      <w:r w:rsidR="00F2146D">
        <w:rPr>
          <w:rFonts w:hint="eastAsia"/>
          <w:lang w:eastAsia="ja-JP"/>
        </w:rPr>
        <w:t>,</w:t>
      </w:r>
      <w:r w:rsidR="00F2146D">
        <w:rPr>
          <w:lang w:eastAsia="ja-JP"/>
        </w:rPr>
        <w:t xml:space="preserve"> </w:t>
      </w:r>
      <w:r w:rsidR="00DB4B69">
        <w:rPr>
          <w:lang w:eastAsia="ja-JP"/>
        </w:rPr>
        <w:t xml:space="preserve">single use </w:t>
      </w:r>
      <w:r w:rsidR="00F2146D">
        <w:rPr>
          <w:lang w:eastAsia="ja-JP"/>
        </w:rPr>
        <w:t xml:space="preserve">reactor bag </w:t>
      </w:r>
      <m:oMath>
        <m:sSub>
          <m:sSubPr>
            <m:ctrlPr>
              <w:rPr>
                <w:rFonts w:ascii="Cambria Math" w:hAnsi="Cambria Math"/>
                <w:i/>
              </w:rPr>
            </m:ctrlPr>
          </m:sSubPr>
          <m:e>
            <m:r>
              <w:rPr>
                <w:rFonts w:ascii="Cambria Math" w:hAnsi="Cambria Math"/>
              </w:rPr>
              <m:t>C</m:t>
            </m:r>
          </m:e>
          <m:sub>
            <m:r>
              <m:rPr>
                <m:sty m:val="p"/>
              </m:rPr>
              <w:rPr>
                <w:rFonts w:ascii="Cambria Math" w:hAnsi="Cambria Math"/>
              </w:rPr>
              <m:t>bag</m:t>
            </m:r>
          </m:sub>
        </m:sSub>
      </m:oMath>
      <w:r w:rsidR="008C3F7F">
        <w:t xml:space="preserve"> </w:t>
      </w:r>
      <w:r w:rsidR="008C3F7F">
        <w:rPr>
          <w:lang w:val="en-GB" w:eastAsia="ja-JP"/>
        </w:rPr>
        <w:t>[USD]</w:t>
      </w:r>
      <w:r w:rsidR="00F2146D">
        <w:rPr>
          <w:rFonts w:hint="eastAsia"/>
          <w:lang w:eastAsia="ja-JP"/>
        </w:rPr>
        <w:t>,</w:t>
      </w:r>
      <w:r w:rsidR="00F2146D">
        <w:rPr>
          <w:lang w:eastAsia="ja-JP"/>
        </w:rPr>
        <w:t xml:space="preserve"> electricity </w:t>
      </w:r>
      <m:oMath>
        <m:sSub>
          <m:sSubPr>
            <m:ctrlPr>
              <w:rPr>
                <w:rFonts w:ascii="Cambria Math" w:hAnsi="Cambria Math"/>
                <w:i/>
              </w:rPr>
            </m:ctrlPr>
          </m:sSubPr>
          <m:e>
            <m:r>
              <w:rPr>
                <w:rFonts w:ascii="Cambria Math" w:hAnsi="Cambria Math"/>
              </w:rPr>
              <m:t>C</m:t>
            </m:r>
          </m:e>
          <m:sub>
            <m:r>
              <m:rPr>
                <m:sty m:val="p"/>
              </m:rPr>
              <w:rPr>
                <w:rFonts w:ascii="Cambria Math" w:hAnsi="Cambria Math"/>
              </w:rPr>
              <m:t>elec</m:t>
            </m:r>
          </m:sub>
        </m:sSub>
      </m:oMath>
      <w:r w:rsidR="008C3F7F">
        <w:t xml:space="preserve"> </w:t>
      </w:r>
      <w:r w:rsidR="008C3F7F">
        <w:rPr>
          <w:lang w:val="en-GB" w:eastAsia="ja-JP"/>
        </w:rPr>
        <w:t>[USD]</w:t>
      </w:r>
      <w:r w:rsidR="00F2146D">
        <w:rPr>
          <w:lang w:eastAsia="ja-JP"/>
        </w:rPr>
        <w:t xml:space="preserve">, labor </w:t>
      </w:r>
      <m:oMath>
        <m:sSub>
          <m:sSubPr>
            <m:ctrlPr>
              <w:rPr>
                <w:rFonts w:ascii="Cambria Math" w:hAnsi="Cambria Math"/>
                <w:i/>
              </w:rPr>
            </m:ctrlPr>
          </m:sSubPr>
          <m:e>
            <m:r>
              <w:rPr>
                <w:rFonts w:ascii="Cambria Math" w:hAnsi="Cambria Math"/>
              </w:rPr>
              <m:t>C</m:t>
            </m:r>
          </m:e>
          <m:sub>
            <m:r>
              <m:rPr>
                <m:sty m:val="p"/>
              </m:rPr>
              <w:rPr>
                <w:rFonts w:ascii="Cambria Math" w:hAnsi="Cambria Math"/>
              </w:rPr>
              <m:t>labor</m:t>
            </m:r>
          </m:sub>
        </m:sSub>
      </m:oMath>
      <w:r w:rsidR="00F2146D">
        <w:rPr>
          <w:lang w:eastAsia="ja-JP"/>
        </w:rPr>
        <w:t>,</w:t>
      </w:r>
      <w:r w:rsidR="008C3F7F">
        <w:rPr>
          <w:lang w:eastAsia="ja-JP"/>
        </w:rPr>
        <w:t xml:space="preserve"> </w:t>
      </w:r>
      <w:r w:rsidR="008C3F7F">
        <w:rPr>
          <w:lang w:val="en-GB" w:eastAsia="ja-JP"/>
        </w:rPr>
        <w:t>[USD]</w:t>
      </w:r>
      <w:r w:rsidR="00F2146D">
        <w:rPr>
          <w:lang w:eastAsia="ja-JP"/>
        </w:rPr>
        <w:t xml:space="preserve"> water for injection </w:t>
      </w:r>
      <m:oMath>
        <m:sSub>
          <m:sSubPr>
            <m:ctrlPr>
              <w:rPr>
                <w:rFonts w:ascii="Cambria Math" w:hAnsi="Cambria Math"/>
                <w:i/>
              </w:rPr>
            </m:ctrlPr>
          </m:sSubPr>
          <m:e>
            <m:r>
              <w:rPr>
                <w:rFonts w:ascii="Cambria Math" w:hAnsi="Cambria Math"/>
              </w:rPr>
              <m:t>C</m:t>
            </m:r>
          </m:e>
          <m:sub>
            <m:r>
              <m:rPr>
                <m:sty m:val="p"/>
              </m:rPr>
              <w:rPr>
                <w:rFonts w:ascii="Cambria Math" w:hAnsi="Cambria Math"/>
              </w:rPr>
              <m:t>wfi</m:t>
            </m:r>
          </m:sub>
        </m:sSub>
      </m:oMath>
      <w:r w:rsidR="008C3F7F">
        <w:t xml:space="preserve"> </w:t>
      </w:r>
      <w:r w:rsidR="008C3F7F">
        <w:rPr>
          <w:lang w:val="en-GB" w:eastAsia="ja-JP"/>
        </w:rPr>
        <w:t>[USD]</w:t>
      </w:r>
      <w:r w:rsidR="00F2146D">
        <w:rPr>
          <w:lang w:eastAsia="ja-JP"/>
        </w:rPr>
        <w:t xml:space="preserve">, waste water treatment </w:t>
      </w:r>
      <m:oMath>
        <m:sSub>
          <m:sSubPr>
            <m:ctrlPr>
              <w:rPr>
                <w:rFonts w:ascii="Cambria Math" w:hAnsi="Cambria Math"/>
                <w:i/>
              </w:rPr>
            </m:ctrlPr>
          </m:sSubPr>
          <m:e>
            <m:r>
              <w:rPr>
                <w:rFonts w:ascii="Cambria Math" w:hAnsi="Cambria Math"/>
              </w:rPr>
              <m:t>C</m:t>
            </m:r>
          </m:e>
          <m:sub>
            <m:r>
              <m:rPr>
                <m:sty m:val="p"/>
              </m:rPr>
              <w:rPr>
                <w:rFonts w:ascii="Cambria Math" w:hAnsi="Cambria Math"/>
              </w:rPr>
              <m:t>waste_water</m:t>
            </m:r>
          </m:sub>
        </m:sSub>
      </m:oMath>
      <w:r w:rsidR="008C3F7F">
        <w:t xml:space="preserve"> </w:t>
      </w:r>
      <w:r w:rsidR="008C3F7F">
        <w:rPr>
          <w:lang w:val="en-GB" w:eastAsia="ja-JP"/>
        </w:rPr>
        <w:t>[USD]</w:t>
      </w:r>
      <w:r w:rsidR="00F2146D">
        <w:rPr>
          <w:lang w:eastAsia="ja-JP"/>
        </w:rPr>
        <w:t xml:space="preserve">, and waste plastic treatment </w:t>
      </w:r>
      <m:oMath>
        <m:sSub>
          <m:sSubPr>
            <m:ctrlPr>
              <w:rPr>
                <w:rFonts w:ascii="Cambria Math" w:hAnsi="Cambria Math"/>
                <w:i/>
              </w:rPr>
            </m:ctrlPr>
          </m:sSubPr>
          <m:e>
            <m:r>
              <w:rPr>
                <w:rFonts w:ascii="Cambria Math" w:hAnsi="Cambria Math"/>
              </w:rPr>
              <m:t>C</m:t>
            </m:r>
          </m:e>
          <m:sub>
            <m:r>
              <m:rPr>
                <m:sty m:val="p"/>
              </m:rPr>
              <w:rPr>
                <w:rFonts w:ascii="Cambria Math" w:hAnsi="Cambria Math"/>
              </w:rPr>
              <m:t>waste_plastics</m:t>
            </m:r>
          </m:sub>
        </m:sSub>
      </m:oMath>
      <w:r w:rsidR="008C3F7F">
        <w:t xml:space="preserve"> </w:t>
      </w:r>
      <w:r w:rsidR="008C3F7F">
        <w:rPr>
          <w:lang w:val="en-GB" w:eastAsia="ja-JP"/>
        </w:rPr>
        <w:t>[USD]</w:t>
      </w:r>
      <w:r w:rsidR="00F2146D">
        <w:rPr>
          <w:lang w:eastAsia="ja-JP"/>
        </w:rPr>
        <w:t xml:space="preserve">. The operating cost of downstream and capital costs were estimated based on the ratio to cell cultivation operating costs </w:t>
      </w:r>
      <w:r w:rsidR="00F92A18">
        <w:rPr>
          <w:lang w:eastAsia="ja-JP"/>
        </w:rPr>
        <w:t xml:space="preserve">according to </w:t>
      </w:r>
      <w:r w:rsidR="00F2146D">
        <w:rPr>
          <w:lang w:eastAsia="ja-JP"/>
        </w:rPr>
        <w:t xml:space="preserve">previous research </w:t>
      </w:r>
      <w:r w:rsidR="00F2146D" w:rsidRPr="00E4061E">
        <w:rPr>
          <w:lang w:eastAsia="ja-JP"/>
        </w:rPr>
        <w:t>works</w:t>
      </w:r>
      <w:r w:rsidR="001B6099" w:rsidRPr="00E4061E">
        <w:rPr>
          <w:lang w:eastAsia="ja-JP"/>
        </w:rPr>
        <w:t xml:space="preserve"> </w:t>
      </w:r>
      <w:sdt>
        <w:sdtPr>
          <w:rPr>
            <w:color w:val="000000"/>
            <w:lang w:eastAsia="ja-JP"/>
          </w:rPr>
          <w:tag w:val="MENDELEY_CITATION_v3_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"/>
          <w:id w:val="-932978465"/>
          <w:placeholder>
            <w:docPart w:val="DefaultPlaceholder_-1854013440"/>
          </w:placeholder>
        </w:sdtPr>
        <w:sdtEndPr/>
        <w:sdtContent>
          <w:r w:rsidR="003D3043" w:rsidRPr="003D3043">
            <w:rPr>
              <w:color w:val="000000"/>
              <w:lang w:eastAsia="ja-JP"/>
            </w:rPr>
            <w:t>(Yang et al., 2019)</w:t>
          </w:r>
        </w:sdtContent>
      </w:sdt>
      <w:r w:rsidR="001B6099" w:rsidRPr="00E4061E">
        <w:rPr>
          <w:lang w:eastAsia="ja-JP"/>
        </w:rPr>
        <w:t>.</w:t>
      </w:r>
    </w:p>
    <w:tbl>
      <w:tblPr>
        <w:tblStyle w:val="Grigliatabella"/>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4"/>
        <w:gridCol w:w="703"/>
      </w:tblGrid>
      <w:tr w:rsidR="00F2146D" w:rsidRPr="00A6566F" w14:paraId="5450626E" w14:textId="77777777" w:rsidTr="001B6099">
        <w:trPr>
          <w:trHeight w:val="680"/>
        </w:trPr>
        <w:tc>
          <w:tcPr>
            <w:tcW w:w="6384" w:type="dxa"/>
            <w:vAlign w:val="center"/>
          </w:tcPr>
          <w:p w14:paraId="075188CD" w14:textId="77E14DD0" w:rsidR="00F2146D" w:rsidRPr="00A6566F" w:rsidRDefault="00F2146D" w:rsidP="00D475A9">
            <m:oMathPara>
              <m:oMathParaPr>
                <m:jc m:val="left"/>
              </m:oMathParaPr>
              <m:oMath>
                <m:r>
                  <w:rPr>
                    <w:rFonts w:ascii="Cambria Math" w:hAnsi="Cambria Math"/>
                  </w:rPr>
                  <m:t>COG</m:t>
                </m:r>
                <m:r>
                  <m:rPr>
                    <m:sty m:val="p"/>
                  </m:rPr>
                  <w:rPr>
                    <w:rFonts w:ascii="Cambria Math" w:hAnsi="Cambria Math"/>
                  </w:rPr>
                  <m:t>=</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cap</m:t>
                            </m:r>
                          </m:sub>
                        </m:sSub>
                      </m:num>
                      <m:den>
                        <m:r>
                          <w:rPr>
                            <w:rFonts w:ascii="Cambria Math" w:hAnsi="Cambria Math"/>
                          </w:rPr>
                          <m:t>Production</m:t>
                        </m:r>
                        <m:r>
                          <m:rPr>
                            <m:sty m:val="p"/>
                          </m:rPr>
                          <w:rPr>
                            <w:rFonts w:ascii="Cambria Math" w:hAnsi="Cambria Math"/>
                          </w:rPr>
                          <m:t xml:space="preserve"> </m:t>
                        </m:r>
                        <m:r>
                          <w:rPr>
                            <w:rFonts w:ascii="Cambria Math" w:hAnsi="Cambria Math"/>
                          </w:rPr>
                          <m:t>years</m:t>
                        </m:r>
                      </m:den>
                    </m:f>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op</m:t>
                        </m:r>
                      </m:sub>
                    </m:sSub>
                  </m:num>
                  <m:den>
                    <m:r>
                      <w:rPr>
                        <w:rFonts w:ascii="Cambria Math" w:hAnsi="Cambria Math"/>
                      </w:rPr>
                      <m:t>mAb</m:t>
                    </m:r>
                    <m:r>
                      <m:rPr>
                        <m:sty m:val="p"/>
                      </m:rPr>
                      <w:rPr>
                        <w:rFonts w:ascii="Cambria Math" w:hAnsi="Cambria Math"/>
                      </w:rPr>
                      <m:t xml:space="preserve"> </m:t>
                    </m:r>
                    <m:r>
                      <w:rPr>
                        <w:rFonts w:ascii="Cambria Math" w:hAnsi="Cambria Math"/>
                      </w:rPr>
                      <m:t>production demand</m:t>
                    </m:r>
                  </m:den>
                </m:f>
              </m:oMath>
            </m:oMathPara>
          </w:p>
        </w:tc>
        <w:tc>
          <w:tcPr>
            <w:tcW w:w="703" w:type="dxa"/>
            <w:vAlign w:val="center"/>
          </w:tcPr>
          <w:p w14:paraId="5DF9D43F" w14:textId="22C0E618" w:rsidR="00F2146D" w:rsidRPr="00A6566F" w:rsidRDefault="00F2146D" w:rsidP="00D475A9">
            <w:r w:rsidRPr="00A6566F">
              <w:t>(</w:t>
            </w:r>
            <w:r>
              <w:t>1</w:t>
            </w:r>
            <w:r w:rsidR="0040230A">
              <w:t>0</w:t>
            </w:r>
            <w:r w:rsidRPr="00A6566F">
              <w:t>)</w:t>
            </w:r>
          </w:p>
        </w:tc>
      </w:tr>
    </w:tbl>
    <w:p w14:paraId="390EACAC" w14:textId="5322F6B1" w:rsidR="00F2146D" w:rsidRPr="00D41F86" w:rsidRDefault="00F2146D" w:rsidP="00D523E5">
      <w:pPr>
        <w:pStyle w:val="Els-3rdorder-head"/>
        <w:numPr>
          <w:ilvl w:val="2"/>
          <w:numId w:val="17"/>
        </w:numPr>
      </w:pPr>
      <w:r w:rsidRPr="00D41F86">
        <w:rPr>
          <w:lang w:val="en-GB"/>
        </w:rPr>
        <w:t>Drug price analysis</w:t>
      </w:r>
    </w:p>
    <w:p w14:paraId="03030B78" w14:textId="1CE64AB0" w:rsidR="00F2146D" w:rsidRPr="009454D0" w:rsidRDefault="00F2146D" w:rsidP="00F2146D">
      <w:pPr>
        <w:pStyle w:val="Els-body-text"/>
        <w:rPr>
          <w:lang w:val="en-GB" w:eastAsia="ja-JP"/>
        </w:rPr>
      </w:pPr>
      <w:r>
        <w:rPr>
          <w:lang w:val="en-GB" w:eastAsia="ja-JP"/>
        </w:rPr>
        <w:t xml:space="preserve">Based on the calculated </w:t>
      </w:r>
      <w:r w:rsidR="000C65C2">
        <w:rPr>
          <w:lang w:val="en-GB" w:eastAsia="ja-JP"/>
        </w:rPr>
        <w:t>maximum and minimum</w:t>
      </w:r>
      <w:r>
        <w:rPr>
          <w:lang w:val="en-GB" w:eastAsia="ja-JP"/>
        </w:rPr>
        <w:t xml:space="preserve"> COG</w:t>
      </w:r>
      <w:r w:rsidR="00D71C9A">
        <w:rPr>
          <w:lang w:val="en-GB" w:eastAsia="ja-JP"/>
        </w:rPr>
        <w:t xml:space="preserve"> within the investigated scenarios</w:t>
      </w:r>
      <w:r w:rsidR="00CE1B63">
        <w:rPr>
          <w:lang w:val="en-GB" w:eastAsia="ja-JP"/>
        </w:rPr>
        <w:t xml:space="preserve"> in each group</w:t>
      </w:r>
      <w:r>
        <w:rPr>
          <w:lang w:val="en-GB" w:eastAsia="ja-JP"/>
        </w:rPr>
        <w:t>,</w:t>
      </w:r>
      <w:r w:rsidR="00E61532">
        <w:rPr>
          <w:lang w:val="en-GB" w:eastAsia="ja-JP"/>
        </w:rPr>
        <w:t xml:space="preserve"> the</w:t>
      </w:r>
      <w:r>
        <w:rPr>
          <w:lang w:val="en-GB" w:eastAsia="ja-JP"/>
        </w:rPr>
        <w:t xml:space="preserve"> potential drug price flexibility was analysed. </w:t>
      </w:r>
      <w:r>
        <w:rPr>
          <w:rFonts w:hint="eastAsia"/>
          <w:lang w:val="en-GB" w:eastAsia="ja-JP"/>
        </w:rPr>
        <w:t>I</w:t>
      </w:r>
      <w:r>
        <w:rPr>
          <w:lang w:val="en-GB" w:eastAsia="ja-JP"/>
        </w:rPr>
        <w:t xml:space="preserve">n this work, drug price </w:t>
      </w:r>
      <m:oMath>
        <m:sSub>
          <m:sSubPr>
            <m:ctrlPr>
              <w:rPr>
                <w:rFonts w:ascii="Cambria Math" w:hAnsi="Cambria Math"/>
              </w:rPr>
            </m:ctrlPr>
          </m:sSubPr>
          <m:e>
            <m:r>
              <w:rPr>
                <w:rFonts w:ascii="Cambria Math" w:hAnsi="Cambria Math"/>
              </w:rPr>
              <m:t>P</m:t>
            </m:r>
          </m:e>
          <m:sub>
            <m:r>
              <m:rPr>
                <m:sty m:val="p"/>
              </m:rPr>
              <w:rPr>
                <w:rFonts w:ascii="Cambria Math" w:hAnsi="Cambria Math"/>
              </w:rPr>
              <m:t>drug</m:t>
            </m:r>
          </m:sub>
        </m:sSub>
      </m:oMath>
      <w:r>
        <w:rPr>
          <w:rFonts w:hint="eastAsia"/>
          <w:lang w:eastAsia="ja-JP"/>
        </w:rPr>
        <w:t xml:space="preserve"> </w:t>
      </w:r>
      <w:r w:rsidR="003C1D06">
        <w:rPr>
          <w:lang w:eastAsia="ja-JP"/>
        </w:rPr>
        <w:t>[USD g-mAb</w:t>
      </w:r>
      <w:r w:rsidR="003C1D06" w:rsidRPr="003C1D06">
        <w:rPr>
          <w:vertAlign w:val="superscript"/>
          <w:lang w:eastAsia="ja-JP"/>
        </w:rPr>
        <w:t>–1</w:t>
      </w:r>
      <w:r w:rsidR="003C1D06">
        <w:rPr>
          <w:lang w:eastAsia="ja-JP"/>
        </w:rPr>
        <w:t xml:space="preserve">] </w:t>
      </w:r>
      <w:r>
        <w:rPr>
          <w:lang w:val="en-GB" w:eastAsia="ja-JP"/>
        </w:rPr>
        <w:t xml:space="preserve">was assumed to be a summation of COG and </w:t>
      </w:r>
      <w:r w:rsidR="00E15B08">
        <w:rPr>
          <w:lang w:val="en-GB" w:eastAsia="ja-JP"/>
        </w:rPr>
        <w:t xml:space="preserve">margin to cover </w:t>
      </w:r>
      <w:r>
        <w:rPr>
          <w:lang w:val="en-GB" w:eastAsia="ja-JP"/>
        </w:rPr>
        <w:t xml:space="preserve">other costs and profits </w:t>
      </w:r>
      <m:oMath>
        <m:sSub>
          <m:sSubPr>
            <m:ctrlPr>
              <w:rPr>
                <w:rFonts w:ascii="Cambria Math" w:hAnsi="Cambria Math"/>
              </w:rPr>
            </m:ctrlPr>
          </m:sSubPr>
          <m:e>
            <m:r>
              <w:rPr>
                <w:rFonts w:ascii="Cambria Math" w:hAnsi="Cambria Math"/>
              </w:rPr>
              <m:t>P</m:t>
            </m:r>
          </m:e>
          <m:sub>
            <m:r>
              <m:rPr>
                <m:sty m:val="p"/>
              </m:rPr>
              <w:rPr>
                <w:rFonts w:ascii="Cambria Math" w:hAnsi="Cambria Math"/>
              </w:rPr>
              <m:t>margin</m:t>
            </m:r>
          </m:sub>
        </m:sSub>
      </m:oMath>
      <w:r w:rsidR="003C1D06">
        <w:t xml:space="preserve"> </w:t>
      </w:r>
      <w:r w:rsidR="003C1D06">
        <w:rPr>
          <w:lang w:eastAsia="ja-JP"/>
        </w:rPr>
        <w:t>[USD g-mAb</w:t>
      </w:r>
      <w:r w:rsidR="003C1D06" w:rsidRPr="003C1D06">
        <w:rPr>
          <w:vertAlign w:val="superscript"/>
          <w:lang w:eastAsia="ja-JP"/>
        </w:rPr>
        <w:t>–1</w:t>
      </w:r>
      <w:r w:rsidR="003C1D06">
        <w:rPr>
          <w:lang w:eastAsia="ja-JP"/>
        </w:rPr>
        <w:t>]</w:t>
      </w:r>
      <w:r>
        <w:rPr>
          <w:rFonts w:hint="eastAsia"/>
          <w:lang w:eastAsia="ja-JP"/>
        </w:rPr>
        <w:t>.</w:t>
      </w:r>
      <w:r>
        <w:rPr>
          <w:lang w:eastAsia="ja-JP"/>
        </w:rPr>
        <w:t xml:space="preserve"> </w:t>
      </w:r>
      <w:r>
        <w:rPr>
          <w:lang w:val="en-GB" w:eastAsia="ja-JP"/>
        </w:rPr>
        <w:t xml:space="preserve">Potential drug price flexibility </w:t>
      </w:r>
      <m:oMath>
        <m:sSub>
          <m:sSubPr>
            <m:ctrlPr>
              <w:rPr>
                <w:rFonts w:ascii="Cambria Math" w:hAnsi="Cambria Math"/>
              </w:rPr>
            </m:ctrlPr>
          </m:sSubPr>
          <m:e>
            <m:r>
              <w:rPr>
                <w:rFonts w:ascii="Cambria Math" w:hAnsi="Cambria Math"/>
              </w:rPr>
              <m:t>r</m:t>
            </m:r>
          </m:e>
          <m:sub>
            <m:r>
              <m:rPr>
                <m:sty m:val="p"/>
              </m:rPr>
              <w:rPr>
                <w:rFonts w:ascii="Cambria Math" w:hAnsi="Cambria Math"/>
              </w:rPr>
              <m:t>flexibility</m:t>
            </m:r>
          </m:sub>
        </m:sSub>
      </m:oMath>
      <w:r w:rsidR="00DE5C5D">
        <w:t xml:space="preserve"> [%] </w:t>
      </w:r>
      <w:r w:rsidRPr="00D02771">
        <w:rPr>
          <w:lang w:val="en-GB" w:eastAsia="ja-JP"/>
        </w:rPr>
        <w:t>was defined as</w:t>
      </w:r>
      <w:r>
        <w:rPr>
          <w:lang w:val="en-GB" w:eastAsia="ja-JP"/>
        </w:rPr>
        <w:t xml:space="preserve"> a ratio of </w:t>
      </w:r>
      <w:r w:rsidRPr="00D02771">
        <w:rPr>
          <w:lang w:val="en-GB" w:eastAsia="ja-JP"/>
        </w:rPr>
        <w:t xml:space="preserve">the difference between the </w:t>
      </w:r>
      <w:r w:rsidR="00375775">
        <w:rPr>
          <w:lang w:val="en-GB" w:eastAsia="ja-JP"/>
        </w:rPr>
        <w:t xml:space="preserve">cases with </w:t>
      </w:r>
      <w:r w:rsidR="00BB60B2">
        <w:rPr>
          <w:lang w:val="en-GB" w:eastAsia="ja-JP"/>
        </w:rPr>
        <w:t xml:space="preserve">maximum and minimum </w:t>
      </w:r>
      <w:r w:rsidR="00DC2761">
        <w:rPr>
          <w:lang w:val="en-GB" w:eastAsia="ja-JP"/>
        </w:rPr>
        <w:t>COG</w:t>
      </w:r>
      <w:r>
        <w:rPr>
          <w:lang w:val="en-GB" w:eastAsia="ja-JP"/>
        </w:rPr>
        <w:t xml:space="preserve"> </w:t>
      </w:r>
      <w:r w:rsidR="00F91C38">
        <w:rPr>
          <w:lang w:val="en-GB" w:eastAsia="ja-JP"/>
        </w:rPr>
        <w:t xml:space="preserve">to the maximum COG </w:t>
      </w:r>
      <w:r w:rsidR="004D0796">
        <w:rPr>
          <w:lang w:val="en-GB" w:eastAsia="ja-JP"/>
        </w:rPr>
        <w:t>(</w:t>
      </w:r>
      <w:r>
        <w:rPr>
          <w:lang w:val="en-GB" w:eastAsia="ja-JP"/>
        </w:rPr>
        <w:t>Eq</w:t>
      </w:r>
      <w:r w:rsidR="00D523E5">
        <w:rPr>
          <w:lang w:val="en-GB" w:eastAsia="ja-JP"/>
        </w:rPr>
        <w:t>.</w:t>
      </w:r>
      <w:r>
        <w:rPr>
          <w:lang w:val="en-GB" w:eastAsia="ja-JP"/>
        </w:rPr>
        <w:t xml:space="preserve"> (1</w:t>
      </w:r>
      <w:r w:rsidR="00F91C38">
        <w:rPr>
          <w:lang w:val="en-GB" w:eastAsia="ja-JP"/>
        </w:rPr>
        <w:t>1</w:t>
      </w:r>
      <w:r>
        <w:rPr>
          <w:lang w:val="en-GB" w:eastAsia="ja-JP"/>
        </w:rPr>
        <w:t>)</w:t>
      </w:r>
      <w:r w:rsidR="00F91C38">
        <w:rPr>
          <w:lang w:val="en-GB" w:eastAsia="ja-JP"/>
        </w:rPr>
        <w:t>)</w:t>
      </w:r>
      <w:r w:rsidRPr="00D02771">
        <w:rPr>
          <w:lang w:val="en-GB" w:eastAsia="ja-JP"/>
        </w:rPr>
        <w:t>.</w:t>
      </w:r>
      <w:r w:rsidR="008709E4">
        <w:rPr>
          <w:lang w:val="en-GB" w:eastAsia="ja-JP"/>
        </w:rPr>
        <w:t xml:space="preserve"> Japanese Yen (JPY)</w:t>
      </w:r>
      <w:r w:rsidR="00CF2E8E">
        <w:rPr>
          <w:lang w:val="en-GB" w:eastAsia="ja-JP"/>
        </w:rPr>
        <w:t xml:space="preserve"> was used in the analysis</w:t>
      </w:r>
      <w:r w:rsidR="008709E4">
        <w:rPr>
          <w:lang w:val="en-GB" w:eastAsia="ja-JP"/>
        </w:rPr>
        <w:t>.</w:t>
      </w:r>
    </w:p>
    <w:tbl>
      <w:tblPr>
        <w:tblStyle w:val="Grigliatabella"/>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708"/>
      </w:tblGrid>
      <w:tr w:rsidR="00F2146D" w:rsidRPr="00A6566F" w14:paraId="208A87DA" w14:textId="77777777" w:rsidTr="005D2B72">
        <w:trPr>
          <w:trHeight w:val="680"/>
        </w:trPr>
        <w:tc>
          <w:tcPr>
            <w:tcW w:w="6379" w:type="dxa"/>
            <w:vAlign w:val="center"/>
          </w:tcPr>
          <w:p w14:paraId="023901BD" w14:textId="3B4BC831" w:rsidR="00F2146D" w:rsidRPr="00A6566F" w:rsidRDefault="006D1916" w:rsidP="00D475A9">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flexibility</m:t>
                    </m:r>
                  </m:sub>
                </m:sSub>
                <m:r>
                  <m:rPr>
                    <m:sty m:val="p"/>
                  </m:rPr>
                  <w:rPr>
                    <w:rFonts w:ascii="Cambria Math" w:hAnsi="Cambria Math"/>
                    <w:sz w:val="21"/>
                    <w:szCs w:val="21"/>
                  </w:rPr>
                  <m:t>=100</m:t>
                </m:r>
                <m:f>
                  <m:fPr>
                    <m:ctrlPr>
                      <w:rPr>
                        <w:rFonts w:ascii="Cambria Math" w:hAnsi="Cambria Math"/>
                      </w:rPr>
                    </m:ctrlPr>
                  </m:fPr>
                  <m:num>
                    <m:r>
                      <m:rPr>
                        <m:sty m:val="p"/>
                      </m:rPr>
                      <w:rPr>
                        <w:rFonts w:ascii="Cambria Math" w:hAnsi="Cambria Math"/>
                      </w:rPr>
                      <m:t>max⁡</m:t>
                    </m:r>
                    <m:r>
                      <w:rPr>
                        <w:rFonts w:ascii="Cambria Math" w:hAnsi="Cambria Math"/>
                      </w:rPr>
                      <m:t>(COG)</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margin</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min⁡</m:t>
                        </m:r>
                        <m:r>
                          <w:rPr>
                            <w:rFonts w:ascii="Cambria Math" w:hAnsi="Cambria Math"/>
                          </w:rPr>
                          <m:t>(COG)+</m:t>
                        </m:r>
                        <m:sSub>
                          <m:sSubPr>
                            <m:ctrlPr>
                              <w:rPr>
                                <w:rFonts w:ascii="Cambria Math" w:hAnsi="Cambria Math"/>
                              </w:rPr>
                            </m:ctrlPr>
                          </m:sSubPr>
                          <m:e>
                            <m:r>
                              <w:rPr>
                                <w:rFonts w:ascii="Cambria Math" w:hAnsi="Cambria Math"/>
                              </w:rPr>
                              <m:t>P</m:t>
                            </m:r>
                          </m:e>
                          <m:sub>
                            <m:r>
                              <m:rPr>
                                <m:sty m:val="p"/>
                              </m:rPr>
                              <w:rPr>
                                <w:rFonts w:ascii="Cambria Math" w:hAnsi="Cambria Math"/>
                              </w:rPr>
                              <m:t>margin</m:t>
                            </m:r>
                          </m:sub>
                        </m:sSub>
                      </m:e>
                    </m:d>
                  </m:num>
                  <m:den>
                    <m:r>
                      <m:rPr>
                        <m:sty m:val="p"/>
                      </m:rPr>
                      <w:rPr>
                        <w:rFonts w:ascii="Cambria Math" w:hAnsi="Cambria Math"/>
                      </w:rPr>
                      <m:t>max⁡</m:t>
                    </m:r>
                    <m:r>
                      <w:rPr>
                        <w:rFonts w:ascii="Cambria Math" w:hAnsi="Cambria Math"/>
                      </w:rPr>
                      <m:t>(COG)+</m:t>
                    </m:r>
                    <m:sSub>
                      <m:sSubPr>
                        <m:ctrlPr>
                          <w:rPr>
                            <w:rFonts w:ascii="Cambria Math" w:hAnsi="Cambria Math"/>
                          </w:rPr>
                        </m:ctrlPr>
                      </m:sSubPr>
                      <m:e>
                        <m:r>
                          <w:rPr>
                            <w:rFonts w:ascii="Cambria Math" w:hAnsi="Cambria Math"/>
                          </w:rPr>
                          <m:t>P</m:t>
                        </m:r>
                      </m:e>
                      <m:sub>
                        <m:r>
                          <m:rPr>
                            <m:sty m:val="p"/>
                          </m:rPr>
                          <w:rPr>
                            <w:rFonts w:ascii="Cambria Math" w:hAnsi="Cambria Math"/>
                          </w:rPr>
                          <m:t>margin</m:t>
                        </m:r>
                      </m:sub>
                    </m:sSub>
                  </m:den>
                </m:f>
              </m:oMath>
            </m:oMathPara>
          </w:p>
        </w:tc>
        <w:tc>
          <w:tcPr>
            <w:tcW w:w="708" w:type="dxa"/>
            <w:vAlign w:val="center"/>
          </w:tcPr>
          <w:p w14:paraId="60045054" w14:textId="08355157" w:rsidR="00F2146D" w:rsidRPr="00A6566F" w:rsidRDefault="00F2146D" w:rsidP="00D475A9">
            <w:r w:rsidRPr="00A6566F">
              <w:t>(</w:t>
            </w:r>
            <w:r>
              <w:t>1</w:t>
            </w:r>
            <w:r w:rsidR="00F91C38">
              <w:t>1</w:t>
            </w:r>
            <w:r w:rsidRPr="00A6566F">
              <w:t>)</w:t>
            </w:r>
          </w:p>
        </w:tc>
      </w:tr>
    </w:tbl>
    <w:p w14:paraId="144DE6B5" w14:textId="44B79B6C" w:rsidR="008D2649" w:rsidRDefault="008D2649" w:rsidP="001B6099">
      <w:pPr>
        <w:pStyle w:val="Els-1storder-head"/>
        <w:numPr>
          <w:ilvl w:val="0"/>
          <w:numId w:val="17"/>
        </w:numPr>
        <w:spacing w:after="120"/>
        <w:rPr>
          <w:lang w:val="en-GB"/>
        </w:rPr>
      </w:pPr>
      <w:r w:rsidRPr="00A94774">
        <w:rPr>
          <w:lang w:val="en-GB"/>
        </w:rPr>
        <w:t>Re</w:t>
      </w:r>
      <w:r w:rsidR="00EB7829">
        <w:rPr>
          <w:lang w:val="en-GB"/>
        </w:rPr>
        <w:t>sults and discussion</w:t>
      </w:r>
    </w:p>
    <w:p w14:paraId="105B9808" w14:textId="350780B2" w:rsidR="009161BF" w:rsidRPr="00387906" w:rsidRDefault="009161BF" w:rsidP="0048665C">
      <w:pPr>
        <w:pStyle w:val="Els-body-text"/>
        <w:spacing w:after="60"/>
        <w:rPr>
          <w:lang w:eastAsia="ja-JP"/>
        </w:rPr>
      </w:pPr>
      <w:r w:rsidRPr="00A61C1D">
        <w:t>Through</w:t>
      </w:r>
      <w:r w:rsidRPr="00A61C1D">
        <w:rPr>
          <w:b/>
          <w:bCs/>
        </w:rPr>
        <w:t xml:space="preserve"> </w:t>
      </w:r>
      <w:r w:rsidRPr="00A61C1D">
        <w:t xml:space="preserve">the PCA, it was identified that </w:t>
      </w:r>
      <w:r w:rsidR="00E3531B">
        <w:t xml:space="preserve">the </w:t>
      </w:r>
      <w:r w:rsidR="0001125D">
        <w:t xml:space="preserve">variances in </w:t>
      </w:r>
      <w:r w:rsidRPr="00A61C1D">
        <w:t xml:space="preserve">environmental factors such as DO, temperature, and pH were important to explain the </w:t>
      </w:r>
      <w:r w:rsidR="00AC52EF">
        <w:t xml:space="preserve">variances of </w:t>
      </w:r>
      <w:r w:rsidR="0001125D">
        <w:t xml:space="preserve">specific </w:t>
      </w:r>
      <w:r w:rsidR="00AC52EF">
        <w:t xml:space="preserve">cell growth and </w:t>
      </w:r>
      <w:r w:rsidR="0001125D">
        <w:t>death rates</w:t>
      </w:r>
      <w:r w:rsidRPr="00A61C1D">
        <w:t xml:space="preserve">. </w:t>
      </w:r>
      <w:r w:rsidR="0023697C">
        <w:t>In t</w:t>
      </w:r>
      <w:r w:rsidR="00D93E2B">
        <w:t xml:space="preserve">he </w:t>
      </w:r>
      <w:r w:rsidRPr="00A61C1D">
        <w:t>clustering</w:t>
      </w:r>
      <w:r w:rsidR="0098502C">
        <w:t xml:space="preserve"> analysis</w:t>
      </w:r>
      <w:r w:rsidR="0023697C">
        <w:t>,</w:t>
      </w:r>
      <w:r w:rsidRPr="00A61C1D">
        <w:t xml:space="preserve"> results </w:t>
      </w:r>
      <w:r w:rsidR="0023697C">
        <w:t xml:space="preserve">showed that </w:t>
      </w:r>
      <w:r w:rsidRPr="00A61C1D">
        <w:t>DO gave the strongest separation</w:t>
      </w:r>
      <w:r w:rsidR="0098502C">
        <w:t>, and</w:t>
      </w:r>
      <w:r w:rsidRPr="00A61C1D">
        <w:t xml:space="preserve"> </w:t>
      </w:r>
      <w:r w:rsidR="0079504B">
        <w:t>s</w:t>
      </w:r>
      <w:r w:rsidR="00E7260E">
        <w:t>imilar</w:t>
      </w:r>
      <w:r w:rsidRPr="00A61C1D">
        <w:t xml:space="preserve"> trends were observed in </w:t>
      </w:r>
      <w:r w:rsidR="00D4544F">
        <w:t xml:space="preserve">all </w:t>
      </w:r>
      <w:r w:rsidRPr="00A61C1D">
        <w:t xml:space="preserve">the </w:t>
      </w:r>
      <w:r w:rsidR="00D4544F">
        <w:t>three</w:t>
      </w:r>
      <w:r w:rsidRPr="00A61C1D">
        <w:t xml:space="preserve"> experiments.</w:t>
      </w:r>
      <w:r w:rsidR="004D5C85">
        <w:t xml:space="preserve"> T</w:t>
      </w:r>
      <w:r w:rsidR="00A1777A">
        <w:t xml:space="preserve">he more detailed description is available in the previous paper </w:t>
      </w:r>
      <w:sdt>
        <w:sdtPr>
          <w:rPr>
            <w:color w:val="000000"/>
          </w:rPr>
          <w:tag w:val="MENDELEY_CITATION_v3_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"/>
          <w:id w:val="931856323"/>
          <w:placeholder>
            <w:docPart w:val="DefaultPlaceholder_-1854013440"/>
          </w:placeholder>
        </w:sdtPr>
        <w:sdtEndPr/>
        <w:sdtContent>
          <w:r w:rsidR="00C7000E" w:rsidRPr="00C7000E">
            <w:rPr>
              <w:color w:val="000000"/>
            </w:rPr>
            <w:t>(Badr et al., 2023)</w:t>
          </w:r>
        </w:sdtContent>
      </w:sdt>
      <w:r w:rsidR="00AE2768">
        <w:t>.</w:t>
      </w:r>
      <w:r w:rsidRPr="00A61C1D">
        <w:t xml:space="preserve"> Based on the insights, </w:t>
      </w:r>
      <w:r w:rsidR="00860BEA">
        <w:t xml:space="preserve">regions of </w:t>
      </w:r>
      <w:r w:rsidR="00D93E2B">
        <w:t>varying</w:t>
      </w:r>
      <w:r w:rsidRPr="00A61C1D">
        <w:t xml:space="preserve"> DO</w:t>
      </w:r>
      <w:r w:rsidR="00493195">
        <w:t xml:space="preserve"> levels</w:t>
      </w:r>
      <w:r w:rsidRPr="00A61C1D">
        <w:t xml:space="preserve"> were </w:t>
      </w:r>
      <w:r w:rsidR="00860BEA">
        <w:t xml:space="preserve">analyzed separately in terms of cell </w:t>
      </w:r>
      <w:r w:rsidR="00860BEA">
        <w:lastRenderedPageBreak/>
        <w:t xml:space="preserve">metabolism behavior. </w:t>
      </w:r>
      <w:r w:rsidR="000158CC">
        <w:t xml:space="preserve">The impact of </w:t>
      </w:r>
      <w:r w:rsidR="000D399B">
        <w:t>changes in nutrient levels were also investigated in combination with changes in DO levels.</w:t>
      </w:r>
      <w:r w:rsidR="00DA3829">
        <w:t xml:space="preserve"> </w:t>
      </w:r>
      <w:r w:rsidR="00184230">
        <w:t>The observation of</w:t>
      </w:r>
      <w:r w:rsidRPr="00A61C1D">
        <w:t xml:space="preserve"> glutamine concentration profiles and</w:t>
      </w:r>
      <w:r w:rsidR="00C067B0">
        <w:t xml:space="preserve"> the</w:t>
      </w:r>
      <w:r w:rsidRPr="00A61C1D">
        <w:t xml:space="preserve"> experimentally determined </w:t>
      </w:r>
      <m:oMath>
        <m:sSub>
          <m:sSubPr>
            <m:ctrlPr>
              <w:rPr>
                <w:rFonts w:ascii="Cambria Math" w:hAnsi="Cambria Math"/>
              </w:rPr>
            </m:ctrlPr>
          </m:sSubPr>
          <m:e>
            <m:r>
              <w:rPr>
                <w:rFonts w:ascii="Cambria Math" w:hAnsi="Cambria Math"/>
              </w:rPr>
              <m:t>Q</m:t>
            </m:r>
          </m:e>
          <m:sub>
            <m:r>
              <m:rPr>
                <m:sty m:val="p"/>
              </m:rPr>
              <w:rPr>
                <w:rFonts w:ascii="Cambria Math" w:hAnsi="Cambria Math"/>
              </w:rPr>
              <m:t>lac</m:t>
            </m:r>
          </m:sub>
        </m:sSub>
      </m:oMath>
      <w:r w:rsidRPr="00A61C1D">
        <w:t xml:space="preserve"> </w:t>
      </w:r>
      <w:r w:rsidR="00184230">
        <w:t>showed that c</w:t>
      </w:r>
      <w:r w:rsidR="00FE2503">
        <w:t xml:space="preserve">hanges in </w:t>
      </w:r>
      <m:oMath>
        <m:sSub>
          <m:sSubPr>
            <m:ctrlPr>
              <w:rPr>
                <w:rFonts w:ascii="Cambria Math" w:hAnsi="Cambria Math"/>
              </w:rPr>
            </m:ctrlPr>
          </m:sSubPr>
          <m:e>
            <m:r>
              <w:rPr>
                <w:rFonts w:ascii="Cambria Math" w:hAnsi="Cambria Math"/>
              </w:rPr>
              <m:t>Q</m:t>
            </m:r>
          </m:e>
          <m:sub>
            <m:r>
              <m:rPr>
                <m:sty m:val="p"/>
              </m:rPr>
              <w:rPr>
                <w:rFonts w:ascii="Cambria Math" w:hAnsi="Cambria Math"/>
              </w:rPr>
              <m:t>lac</m:t>
            </m:r>
          </m:sub>
        </m:sSub>
      </m:oMath>
      <w:r w:rsidRPr="00A61C1D">
        <w:rPr>
          <w:rFonts w:hint="eastAsia"/>
          <w:lang w:eastAsia="ja-JP"/>
        </w:rPr>
        <w:t xml:space="preserve"> </w:t>
      </w:r>
      <w:r w:rsidR="00C067B0">
        <w:rPr>
          <w:lang w:eastAsia="ja-JP"/>
        </w:rPr>
        <w:t>corresponded well to changes in</w:t>
      </w:r>
      <w:r w:rsidR="00FE2503">
        <w:rPr>
          <w:lang w:eastAsia="ja-JP"/>
        </w:rPr>
        <w:t xml:space="preserve"> </w:t>
      </w:r>
      <w:r w:rsidRPr="00A61C1D">
        <w:rPr>
          <w:lang w:eastAsia="ja-JP"/>
        </w:rPr>
        <w:t>glutamine concentration</w:t>
      </w:r>
      <w:r w:rsidR="002B77DB">
        <w:rPr>
          <w:lang w:eastAsia="ja-JP"/>
        </w:rPr>
        <w:t>, but only under</w:t>
      </w:r>
      <w:r w:rsidR="002B77DB" w:rsidRPr="00A61C1D">
        <w:t xml:space="preserve"> high DO</w:t>
      </w:r>
      <w:r w:rsidR="002B77DB">
        <w:t xml:space="preserve"> conditions</w:t>
      </w:r>
      <w:r w:rsidRPr="00A61C1D">
        <w:rPr>
          <w:lang w:eastAsia="ja-JP"/>
        </w:rPr>
        <w:t>.</w:t>
      </w:r>
      <w:r w:rsidR="00C31977">
        <w:rPr>
          <w:lang w:eastAsia="ja-JP"/>
        </w:rPr>
        <w:t xml:space="preserve"> </w:t>
      </w:r>
      <w:r w:rsidR="00C31977">
        <w:t xml:space="preserve">The hypothesis was that at high DO levels, deficiencies in glutamine could promote </w:t>
      </w:r>
      <w:r w:rsidR="00C31977" w:rsidRPr="00A61C1D">
        <w:t>the consumption of lactate to keep the TCA cycle running</w:t>
      </w:r>
      <w:r w:rsidR="00C31977">
        <w:t>.</w:t>
      </w:r>
      <w:r w:rsidR="0048665C">
        <w:t xml:space="preserve"> Accordingly, </w:t>
      </w:r>
      <m:oMath>
        <m:sSub>
          <m:sSubPr>
            <m:ctrlPr>
              <w:rPr>
                <w:rFonts w:ascii="Cambria Math" w:hAnsi="Cambria Math"/>
                <w:i/>
                <w:iCs/>
              </w:rPr>
            </m:ctrlPr>
          </m:sSubPr>
          <m:e>
            <m:r>
              <w:rPr>
                <w:rFonts w:ascii="Cambria Math" w:hAnsi="Cambria Math"/>
              </w:rPr>
              <m:t>Q</m:t>
            </m:r>
          </m:e>
          <m:sub>
            <m:r>
              <m:rPr>
                <m:sty m:val="p"/>
              </m:rPr>
              <w:rPr>
                <w:rFonts w:ascii="Cambria Math" w:hAnsi="Cambria Math"/>
              </w:rPr>
              <m:t>lac</m:t>
            </m:r>
          </m:sub>
        </m:sSub>
      </m:oMath>
      <w:r w:rsidRPr="00A61C1D">
        <w:rPr>
          <w:rFonts w:hint="eastAsia"/>
          <w:iCs/>
          <w:lang w:eastAsia="ja-JP"/>
        </w:rPr>
        <w:t xml:space="preserve"> </w:t>
      </w:r>
      <w:r w:rsidRPr="00A61C1D">
        <w:rPr>
          <w:iCs/>
          <w:lang w:eastAsia="ja-JP"/>
        </w:rPr>
        <w:t xml:space="preserve">was described as a function of glutamine concentration </w:t>
      </w:r>
      <m:oMath>
        <m:d>
          <m:dPr>
            <m:begChr m:val="["/>
            <m:endChr m:val="]"/>
            <m:ctrlPr>
              <w:rPr>
                <w:rFonts w:ascii="Cambria Math" w:hAnsi="Cambria Math"/>
                <w:iCs/>
              </w:rPr>
            </m:ctrlPr>
          </m:dPr>
          <m:e>
            <m:r>
              <m:rPr>
                <m:sty m:val="p"/>
              </m:rPr>
              <w:rPr>
                <w:rFonts w:ascii="Cambria Math" w:hAnsi="Cambria Math"/>
              </w:rPr>
              <m:t>GLN</m:t>
            </m:r>
          </m:e>
        </m:d>
      </m:oMath>
      <w:r w:rsidRPr="00A61C1D">
        <w:rPr>
          <w:iCs/>
          <w:lang w:eastAsia="ja-JP"/>
        </w:rPr>
        <w:t xml:space="preserve"> </w:t>
      </w:r>
      <w:r w:rsidR="0048665C">
        <w:rPr>
          <w:iCs/>
          <w:lang w:eastAsia="ja-JP"/>
        </w:rPr>
        <w:t>at</w:t>
      </w:r>
      <w:r w:rsidR="0048665C" w:rsidRPr="00A61C1D">
        <w:rPr>
          <w:iCs/>
          <w:lang w:eastAsia="ja-JP"/>
        </w:rPr>
        <w:t xml:space="preserve"> </w:t>
      </w:r>
      <w:r w:rsidRPr="00A61C1D">
        <w:rPr>
          <w:iCs/>
          <w:lang w:eastAsia="ja-JP"/>
        </w:rPr>
        <w:t>high DO</w:t>
      </w:r>
      <w:r w:rsidR="00DC2F1A">
        <w:rPr>
          <w:iCs/>
          <w:lang w:eastAsia="ja-JP"/>
        </w:rPr>
        <w:t xml:space="preserve">, </w:t>
      </w:r>
      <m:oMath>
        <m:sSub>
          <m:sSubPr>
            <m:ctrlPr>
              <w:rPr>
                <w:rFonts w:ascii="Cambria Math" w:hAnsi="Cambria Math"/>
              </w:rPr>
            </m:ctrlPr>
          </m:sSubPr>
          <m:e>
            <m:r>
              <w:rPr>
                <w:rFonts w:ascii="Cambria Math" w:hAnsi="Cambria Math"/>
              </w:rPr>
              <m:t>DO</m:t>
            </m:r>
          </m:e>
          <m:sub>
            <m:r>
              <m:rPr>
                <m:sty m:val="p"/>
              </m:rPr>
              <w:rPr>
                <w:rFonts w:ascii="Cambria Math" w:hAnsi="Cambria Math"/>
              </w:rPr>
              <m:t>high</m:t>
            </m:r>
          </m:sub>
        </m:sSub>
      </m:oMath>
      <w:r w:rsidR="00DC2F1A">
        <w:t xml:space="preserve"> [%]</w:t>
      </w:r>
      <w:r w:rsidRPr="00A61C1D">
        <w:rPr>
          <w:iCs/>
          <w:lang w:eastAsia="ja-JP"/>
        </w:rPr>
        <w:t xml:space="preserve">, </w:t>
      </w:r>
      <w:r w:rsidR="005F0BBE">
        <w:rPr>
          <w:iCs/>
          <w:lang w:eastAsia="ja-JP"/>
        </w:rPr>
        <w:t>and</w:t>
      </w:r>
      <w:r w:rsidR="004D0796">
        <w:rPr>
          <w:iCs/>
          <w:lang w:eastAsia="ja-JP"/>
        </w:rPr>
        <w:t xml:space="preserve"> </w:t>
      </w:r>
      <w:r w:rsidRPr="00A61C1D">
        <w:rPr>
          <w:iCs/>
          <w:lang w:eastAsia="ja-JP"/>
        </w:rPr>
        <w:t xml:space="preserve">as a constant </w:t>
      </w:r>
      <w:r w:rsidR="0048665C">
        <w:rPr>
          <w:iCs/>
          <w:lang w:eastAsia="ja-JP"/>
        </w:rPr>
        <w:t>at</w:t>
      </w:r>
      <w:r w:rsidR="0048665C" w:rsidRPr="00A61C1D">
        <w:rPr>
          <w:iCs/>
          <w:lang w:eastAsia="ja-JP"/>
        </w:rPr>
        <w:t xml:space="preserve"> </w:t>
      </w:r>
      <w:r w:rsidRPr="00A61C1D">
        <w:rPr>
          <w:iCs/>
          <w:lang w:eastAsia="ja-JP"/>
        </w:rPr>
        <w:t>low DO</w:t>
      </w:r>
      <w:r w:rsidR="00DC2F1A">
        <w:rPr>
          <w:iCs/>
          <w:lang w:eastAsia="ja-JP"/>
        </w:rPr>
        <w:t xml:space="preserve">, </w:t>
      </w:r>
      <m:oMath>
        <m:sSub>
          <m:sSubPr>
            <m:ctrlPr>
              <w:rPr>
                <w:rFonts w:ascii="Cambria Math" w:hAnsi="Cambria Math"/>
              </w:rPr>
            </m:ctrlPr>
          </m:sSubPr>
          <m:e>
            <m:r>
              <w:rPr>
                <w:rFonts w:ascii="Cambria Math" w:hAnsi="Cambria Math"/>
              </w:rPr>
              <m:t>DO</m:t>
            </m:r>
          </m:e>
          <m:sub>
            <m:r>
              <m:rPr>
                <m:sty m:val="p"/>
              </m:rPr>
              <w:rPr>
                <w:rFonts w:ascii="Cambria Math" w:hAnsi="Cambria Math"/>
              </w:rPr>
              <m:t>low</m:t>
            </m:r>
          </m:sub>
        </m:sSub>
      </m:oMath>
      <w:r w:rsidR="00DC2F1A">
        <w:t xml:space="preserve"> [%]</w:t>
      </w:r>
      <w:r w:rsidRPr="00A61C1D">
        <w:rPr>
          <w:iCs/>
          <w:lang w:eastAsia="ja-JP"/>
        </w:rPr>
        <w:t xml:space="preserve"> (Eq</w:t>
      </w:r>
      <w:r w:rsidR="00255559" w:rsidRPr="00A61C1D">
        <w:rPr>
          <w:iCs/>
          <w:lang w:eastAsia="ja-JP"/>
        </w:rPr>
        <w:t>.</w:t>
      </w:r>
      <w:r w:rsidRPr="00A61C1D">
        <w:rPr>
          <w:iCs/>
          <w:lang w:eastAsia="ja-JP"/>
        </w:rPr>
        <w:t xml:space="preserve"> (1</w:t>
      </w:r>
      <w:r w:rsidR="00354DDB">
        <w:rPr>
          <w:iCs/>
          <w:lang w:eastAsia="ja-JP"/>
        </w:rPr>
        <w:t>2</w:t>
      </w:r>
      <w:r w:rsidRPr="00A61C1D">
        <w:rPr>
          <w:iCs/>
          <w:lang w:eastAsia="ja-JP"/>
        </w:rPr>
        <w:t>)). Specific cell growth and death rates were updated</w:t>
      </w:r>
      <w:r w:rsidR="00B84D7D">
        <w:rPr>
          <w:iCs/>
          <w:lang w:eastAsia="ja-JP"/>
        </w:rPr>
        <w:t xml:space="preserve"> to reflect the impact of lactate consumption</w:t>
      </w:r>
      <w:r w:rsidRPr="00A61C1D">
        <w:rPr>
          <w:iCs/>
          <w:lang w:eastAsia="ja-JP"/>
        </w:rPr>
        <w:t xml:space="preserve">. </w:t>
      </w:r>
      <w:r w:rsidR="004B0B1D">
        <w:rPr>
          <w:iCs/>
          <w:lang w:eastAsia="ja-JP"/>
        </w:rPr>
        <w:t xml:space="preserve">The modified model was able to </w:t>
      </w:r>
      <w:r w:rsidR="004B0B1D">
        <w:rPr>
          <w:lang w:eastAsia="ja-JP"/>
        </w:rPr>
        <w:t>p</w:t>
      </w:r>
      <w:r w:rsidRPr="00A61C1D">
        <w:rPr>
          <w:lang w:eastAsia="ja-JP"/>
        </w:rPr>
        <w:t>redict</w:t>
      </w:r>
      <w:r>
        <w:rPr>
          <w:lang w:eastAsia="ja-JP"/>
        </w:rPr>
        <w:t xml:space="preserve"> </w:t>
      </w:r>
      <w:r w:rsidR="004950CD">
        <w:rPr>
          <w:lang w:eastAsia="ja-JP"/>
        </w:rPr>
        <w:t>lactate</w:t>
      </w:r>
      <w:r w:rsidR="004153A4">
        <w:rPr>
          <w:lang w:eastAsia="ja-JP"/>
        </w:rPr>
        <w:t>, mAb,</w:t>
      </w:r>
      <w:r w:rsidR="004950CD">
        <w:rPr>
          <w:lang w:eastAsia="ja-JP"/>
        </w:rPr>
        <w:t xml:space="preserve"> and HCP concentration</w:t>
      </w:r>
      <w:r w:rsidR="004153A4">
        <w:rPr>
          <w:lang w:eastAsia="ja-JP"/>
        </w:rPr>
        <w:t>s</w:t>
      </w:r>
      <w:r w:rsidR="004950CD">
        <w:rPr>
          <w:lang w:eastAsia="ja-JP"/>
        </w:rPr>
        <w:t xml:space="preserve"> </w:t>
      </w:r>
      <w:r w:rsidR="004B0B1D">
        <w:rPr>
          <w:lang w:eastAsia="ja-JP"/>
        </w:rPr>
        <w:t>in</w:t>
      </w:r>
      <w:r w:rsidR="004950CD">
        <w:rPr>
          <w:lang w:eastAsia="ja-JP"/>
        </w:rPr>
        <w:t xml:space="preserve"> </w:t>
      </w:r>
      <w:r>
        <w:rPr>
          <w:lang w:eastAsia="ja-JP"/>
        </w:rPr>
        <w:t>Experiment (</w:t>
      </w:r>
      <w:r w:rsidR="00CF2E8E">
        <w:rPr>
          <w:lang w:eastAsia="ja-JP"/>
        </w:rPr>
        <w:t>B</w:t>
      </w:r>
      <w:r>
        <w:rPr>
          <w:lang w:eastAsia="ja-JP"/>
        </w:rPr>
        <w:t>) with</w:t>
      </w:r>
      <w:r w:rsidR="004B0B1D">
        <w:rPr>
          <w:lang w:eastAsia="ja-JP"/>
        </w:rPr>
        <w:t xml:space="preserve"> high accuracy</w:t>
      </w:r>
      <w:r>
        <w:rPr>
          <w:lang w:eastAsia="ja-JP"/>
        </w:rPr>
        <w:t xml:space="preserve"> </w:t>
      </w:r>
      <w:r w:rsidR="004B0B1D">
        <w:rPr>
          <w:lang w:eastAsia="ja-JP"/>
        </w:rPr>
        <w:t xml:space="preserve">as </w:t>
      </w:r>
      <w:r>
        <w:rPr>
          <w:lang w:eastAsia="ja-JP"/>
        </w:rPr>
        <w:t>shown in</w:t>
      </w:r>
      <w:r w:rsidRPr="00A16510">
        <w:t xml:space="preserve"> </w:t>
      </w:r>
      <w:r w:rsidRPr="00A16510">
        <w:rPr>
          <w:b/>
          <w:bCs/>
        </w:rPr>
        <w:t xml:space="preserve">Figure </w:t>
      </w:r>
      <w:r w:rsidR="00184230">
        <w:rPr>
          <w:b/>
          <w:bCs/>
        </w:rPr>
        <w:t>1</w:t>
      </w:r>
      <w:r w:rsidRPr="00A16510">
        <w:t>.</w:t>
      </w:r>
      <w:r>
        <w:t xml:space="preserve"> The average </w:t>
      </w:r>
      <w:r w:rsidR="004D0796" w:rsidRPr="004D0796">
        <w:rPr>
          <w:i/>
          <w:iCs/>
        </w:rPr>
        <w:t>R</w:t>
      </w:r>
      <w:r w:rsidR="004D0796" w:rsidRPr="004D0796">
        <w:rPr>
          <w:i/>
          <w:iCs/>
          <w:vertAlign w:val="superscript"/>
        </w:rPr>
        <w:t>2</w:t>
      </w:r>
      <w:r>
        <w:t xml:space="preserve"> </w:t>
      </w:r>
      <w:r w:rsidR="006F014F">
        <w:t xml:space="preserve">for all the system components in the model </w:t>
      </w:r>
      <w:r>
        <w:t>was 0.802.</w:t>
      </w:r>
    </w:p>
    <w:tbl>
      <w:tblPr>
        <w:tblStyle w:val="Grigliatabella"/>
        <w:tblpPr w:leftFromText="180" w:rightFromText="180" w:vertAnchor="text" w:horzAnchor="margin" w:tblpY="49"/>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4"/>
        <w:gridCol w:w="703"/>
      </w:tblGrid>
      <w:tr w:rsidR="008B3C99" w:rsidRPr="00A6566F" w14:paraId="4D78F683" w14:textId="77777777" w:rsidTr="008B3C99">
        <w:trPr>
          <w:trHeight w:val="567"/>
        </w:trPr>
        <w:tc>
          <w:tcPr>
            <w:tcW w:w="6384" w:type="dxa"/>
            <w:vAlign w:val="center"/>
          </w:tcPr>
          <w:p w14:paraId="26345A34" w14:textId="51AC3579" w:rsidR="008B3C99" w:rsidRPr="00A6566F" w:rsidRDefault="006D1916" w:rsidP="008B3C99">
            <m:oMath>
              <m:sSub>
                <m:sSubPr>
                  <m:ctrlPr>
                    <w:rPr>
                      <w:rFonts w:ascii="Cambria Math" w:hAnsi="Cambria Math"/>
                      <w:iCs/>
                    </w:rPr>
                  </m:ctrlPr>
                </m:sSubPr>
                <m:e>
                  <m:r>
                    <w:rPr>
                      <w:rFonts w:ascii="Cambria Math" w:hAnsi="Cambria Math"/>
                    </w:rPr>
                    <m:t>Q</m:t>
                  </m:r>
                </m:e>
                <m:sub>
                  <m:r>
                    <m:rPr>
                      <m:sty m:val="p"/>
                    </m:rPr>
                    <w:rPr>
                      <w:rFonts w:ascii="Cambria Math" w:hAnsi="Cambria Math"/>
                    </w:rPr>
                    <m:t>lac</m:t>
                  </m:r>
                </m:sub>
              </m:sSub>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sSub>
                        <m:sSubPr>
                          <m:ctrlPr>
                            <w:rPr>
                              <w:rFonts w:ascii="Cambria Math" w:hAnsi="Cambria Math"/>
                              <w:iCs/>
                            </w:rPr>
                          </m:ctrlPr>
                        </m:sSubPr>
                        <m:e>
                          <m:d>
                            <m:dPr>
                              <m:begChr m:val=""/>
                              <m:endChr m:val="|"/>
                              <m:ctrlPr>
                                <w:rPr>
                                  <w:rFonts w:ascii="Cambria Math" w:hAnsi="Cambria Math"/>
                                  <w:iCs/>
                                </w:rPr>
                              </m:ctrlPr>
                            </m:dPr>
                            <m:e>
                              <m:f>
                                <m:fPr>
                                  <m:ctrlPr>
                                    <w:rPr>
                                      <w:rFonts w:ascii="Cambria Math" w:hAnsi="Cambria Math"/>
                                      <w:iCs/>
                                    </w:rPr>
                                  </m:ctrlPr>
                                </m:fPr>
                                <m:num>
                                  <m:sSub>
                                    <m:sSubPr>
                                      <m:ctrlPr>
                                        <w:rPr>
                                          <w:rFonts w:ascii="Cambria Math" w:hAnsi="Cambria Math"/>
                                          <w:iCs/>
                                        </w:rPr>
                                      </m:ctrlPr>
                                    </m:sSubPr>
                                    <m:e>
                                      <m:r>
                                        <w:rPr>
                                          <w:rFonts w:ascii="Cambria Math" w:hAnsi="Cambria Math"/>
                                        </w:rPr>
                                        <m:t>k</m:t>
                                      </m:r>
                                    </m:e>
                                    <m:sub>
                                      <m:r>
                                        <m:rPr>
                                          <m:sty m:val="p"/>
                                        </m:rPr>
                                        <w:rPr>
                                          <w:rFonts w:ascii="Cambria Math" w:hAnsi="Cambria Math"/>
                                        </w:rPr>
                                        <m:t>lac11</m:t>
                                      </m:r>
                                    </m:sub>
                                  </m:sSub>
                                </m:num>
                                <m:den>
                                  <m:sSub>
                                    <m:sSubPr>
                                      <m:ctrlPr>
                                        <w:rPr>
                                          <w:rFonts w:ascii="Cambria Math" w:hAnsi="Cambria Math"/>
                                          <w:iCs/>
                                        </w:rPr>
                                      </m:ctrlPr>
                                    </m:sSubPr>
                                    <m:e>
                                      <m:r>
                                        <w:rPr>
                                          <w:rFonts w:ascii="Cambria Math" w:hAnsi="Cambria Math"/>
                                        </w:rPr>
                                        <m:t>k</m:t>
                                      </m:r>
                                    </m:e>
                                    <m:sub>
                                      <m:r>
                                        <m:rPr>
                                          <m:sty m:val="p"/>
                                        </m:rPr>
                                        <w:rPr>
                                          <w:rFonts w:ascii="Cambria Math" w:hAnsi="Cambria Math"/>
                                        </w:rPr>
                                        <m:t>lac12</m:t>
                                      </m:r>
                                    </m:sub>
                                  </m:sSub>
                                  <m:r>
                                    <m:rPr>
                                      <m:sty m:val="p"/>
                                    </m:rPr>
                                    <w:rPr>
                                      <w:rFonts w:ascii="Cambria Math" w:hAnsi="Cambria Math"/>
                                    </w:rPr>
                                    <m:t>+exp</m:t>
                                  </m:r>
                                  <m:d>
                                    <m:dPr>
                                      <m:begChr m:val="{"/>
                                      <m:endChr m:val="}"/>
                                      <m:ctrlPr>
                                        <w:rPr>
                                          <w:rFonts w:ascii="Cambria Math" w:hAnsi="Cambria Math"/>
                                          <w:iCs/>
                                        </w:rPr>
                                      </m:ctrlPr>
                                    </m:dPr>
                                    <m:e>
                                      <m:r>
                                        <m:rPr>
                                          <m:sty m:val="p"/>
                                        </m:rPr>
                                        <w:rPr>
                                          <w:rFonts w:ascii="Cambria Math" w:hAnsi="Cambria Math"/>
                                        </w:rPr>
                                        <m:t>-</m:t>
                                      </m:r>
                                      <m:sSub>
                                        <m:sSubPr>
                                          <m:ctrlPr>
                                            <w:rPr>
                                              <w:rFonts w:ascii="Cambria Math" w:hAnsi="Cambria Math"/>
                                              <w:iCs/>
                                            </w:rPr>
                                          </m:ctrlPr>
                                        </m:sSubPr>
                                        <m:e>
                                          <m:r>
                                            <w:rPr>
                                              <w:rFonts w:ascii="Cambria Math" w:hAnsi="Cambria Math"/>
                                            </w:rPr>
                                            <m:t>k</m:t>
                                          </m:r>
                                        </m:e>
                                        <m:sub>
                                          <m:r>
                                            <m:rPr>
                                              <m:sty m:val="p"/>
                                            </m:rPr>
                                            <w:rPr>
                                              <w:rFonts w:ascii="Cambria Math" w:hAnsi="Cambria Math"/>
                                            </w:rPr>
                                            <m:t>lac13</m:t>
                                          </m:r>
                                        </m:sub>
                                      </m:sSub>
                                      <m:d>
                                        <m:dPr>
                                          <m:begChr m:val="["/>
                                          <m:endChr m:val="]"/>
                                          <m:ctrlPr>
                                            <w:rPr>
                                              <w:rFonts w:ascii="Cambria Math" w:hAnsi="Cambria Math"/>
                                              <w:iCs/>
                                            </w:rPr>
                                          </m:ctrlPr>
                                        </m:dPr>
                                        <m:e>
                                          <m:r>
                                            <m:rPr>
                                              <m:sty m:val="p"/>
                                            </m:rPr>
                                            <w:rPr>
                                              <w:rFonts w:ascii="Cambria Math" w:hAnsi="Cambria Math"/>
                                            </w:rPr>
                                            <m:t>GLN</m:t>
                                          </m:r>
                                        </m:e>
                                      </m:d>
                                    </m:e>
                                  </m:d>
                                </m:den>
                              </m:f>
                              <m:r>
                                <m:rPr>
                                  <m:sty m:val="p"/>
                                </m:rPr>
                                <w:rPr>
                                  <w:rFonts w:ascii="Cambria Math" w:hAnsi="Cambria Math"/>
                                </w:rPr>
                                <m:t>+</m:t>
                              </m:r>
                              <m:sSub>
                                <m:sSubPr>
                                  <m:ctrlPr>
                                    <w:rPr>
                                      <w:rFonts w:ascii="Cambria Math" w:hAnsi="Cambria Math"/>
                                      <w:iCs/>
                                    </w:rPr>
                                  </m:ctrlPr>
                                </m:sSubPr>
                                <m:e>
                                  <m:r>
                                    <w:rPr>
                                      <w:rFonts w:ascii="Cambria Math" w:hAnsi="Cambria Math"/>
                                    </w:rPr>
                                    <m:t>k</m:t>
                                  </m:r>
                                </m:e>
                                <m:sub>
                                  <m:r>
                                    <m:rPr>
                                      <m:sty m:val="p"/>
                                    </m:rPr>
                                    <w:rPr>
                                      <w:rFonts w:ascii="Cambria Math" w:hAnsi="Cambria Math"/>
                                    </w:rPr>
                                    <m:t>lac14</m:t>
                                  </m:r>
                                </m:sub>
                              </m:sSub>
                            </m:e>
                          </m:d>
                        </m:e>
                        <m:sub>
                          <m:r>
                            <w:rPr>
                              <w:rFonts w:ascii="Cambria Math" w:hAnsi="Cambria Math"/>
                            </w:rPr>
                            <m:t>DO</m:t>
                          </m:r>
                          <m:r>
                            <m:rPr>
                              <m:sty m:val="p"/>
                            </m:rPr>
                            <w:rPr>
                              <w:rFonts w:ascii="Cambria Math" w:hAnsi="Cambria Math"/>
                            </w:rPr>
                            <m:t>=</m:t>
                          </m:r>
                          <m:sSub>
                            <m:sSubPr>
                              <m:ctrlPr>
                                <w:rPr>
                                  <w:rFonts w:ascii="Cambria Math" w:hAnsi="Cambria Math"/>
                                </w:rPr>
                              </m:ctrlPr>
                            </m:sSubPr>
                            <m:e>
                              <m:r>
                                <w:rPr>
                                  <w:rFonts w:ascii="Cambria Math" w:hAnsi="Cambria Math"/>
                                </w:rPr>
                                <m:t>DO</m:t>
                              </m:r>
                            </m:e>
                            <m:sub>
                              <m:r>
                                <m:rPr>
                                  <m:sty m:val="p"/>
                                </m:rPr>
                                <w:rPr>
                                  <w:rFonts w:ascii="Cambria Math" w:hAnsi="Cambria Math"/>
                                </w:rPr>
                                <m:t>high</m:t>
                              </m:r>
                            </m:sub>
                          </m:sSub>
                        </m:sub>
                      </m:sSub>
                    </m:e>
                    <m:e>
                      <m:r>
                        <m:rPr>
                          <m:sty m:val="p"/>
                        </m:rPr>
                        <w:rPr>
                          <w:rFonts w:ascii="Cambria Math" w:hAnsi="Cambria Math"/>
                        </w:rPr>
                        <m:t>&amp;</m:t>
                      </m:r>
                    </m:e>
                    <m:e>
                      <m:sSub>
                        <m:sSubPr>
                          <m:ctrlPr>
                            <w:rPr>
                              <w:rFonts w:ascii="Cambria Math" w:hAnsi="Cambria Math"/>
                              <w:iCs/>
                            </w:rPr>
                          </m:ctrlPr>
                        </m:sSubPr>
                        <m:e>
                          <m:d>
                            <m:dPr>
                              <m:begChr m:val=""/>
                              <m:endChr m:val="|"/>
                              <m:ctrlPr>
                                <w:rPr>
                                  <w:rFonts w:ascii="Cambria Math" w:hAnsi="Cambria Math"/>
                                  <w:iCs/>
                                </w:rPr>
                              </m:ctrlPr>
                            </m:dPr>
                            <m:e>
                              <m:sSub>
                                <m:sSubPr>
                                  <m:ctrlPr>
                                    <w:rPr>
                                      <w:rFonts w:ascii="Cambria Math" w:hAnsi="Cambria Math"/>
                                      <w:iCs/>
                                    </w:rPr>
                                  </m:ctrlPr>
                                </m:sSubPr>
                                <m:e>
                                  <m:r>
                                    <w:rPr>
                                      <w:rFonts w:ascii="Cambria Math" w:hAnsi="Cambria Math"/>
                                    </w:rPr>
                                    <m:t>k</m:t>
                                  </m:r>
                                </m:e>
                                <m:sub>
                                  <m:r>
                                    <m:rPr>
                                      <m:sty m:val="p"/>
                                    </m:rPr>
                                    <w:rPr>
                                      <w:rFonts w:ascii="Cambria Math" w:hAnsi="Cambria Math"/>
                                    </w:rPr>
                                    <m:t>lac21</m:t>
                                  </m:r>
                                </m:sub>
                              </m:sSub>
                            </m:e>
                          </m:d>
                        </m:e>
                        <m:sub>
                          <m:r>
                            <w:rPr>
                              <w:rFonts w:ascii="Cambria Math" w:hAnsi="Cambria Math"/>
                            </w:rPr>
                            <m:t>DO</m:t>
                          </m:r>
                          <m:r>
                            <m:rPr>
                              <m:sty m:val="p"/>
                            </m:rPr>
                            <w:rPr>
                              <w:rFonts w:ascii="Cambria Math" w:hAnsi="Cambria Math"/>
                            </w:rPr>
                            <m:t>=</m:t>
                          </m:r>
                          <m:sSub>
                            <m:sSubPr>
                              <m:ctrlPr>
                                <w:rPr>
                                  <w:rFonts w:ascii="Cambria Math" w:hAnsi="Cambria Math"/>
                                </w:rPr>
                              </m:ctrlPr>
                            </m:sSubPr>
                            <m:e>
                              <m:r>
                                <w:rPr>
                                  <w:rFonts w:ascii="Cambria Math" w:hAnsi="Cambria Math"/>
                                </w:rPr>
                                <m:t>DO</m:t>
                              </m:r>
                            </m:e>
                            <m:sub>
                              <m:r>
                                <m:rPr>
                                  <m:sty m:val="p"/>
                                </m:rPr>
                                <w:rPr>
                                  <w:rFonts w:ascii="Cambria Math" w:hAnsi="Cambria Math"/>
                                </w:rPr>
                                <m:t>low</m:t>
                              </m:r>
                            </m:sub>
                          </m:sSub>
                        </m:sub>
                      </m:sSub>
                    </m:e>
                  </m:eqArr>
                </m:e>
              </m:d>
            </m:oMath>
            <w:r w:rsidR="008B3C99">
              <w:rPr>
                <w:iCs/>
              </w:rPr>
              <w:t xml:space="preserve"> </w:t>
            </w:r>
          </w:p>
        </w:tc>
        <w:tc>
          <w:tcPr>
            <w:tcW w:w="703" w:type="dxa"/>
            <w:vAlign w:val="center"/>
          </w:tcPr>
          <w:p w14:paraId="41755635" w14:textId="77777777" w:rsidR="008B3C99" w:rsidRPr="00A6566F" w:rsidRDefault="008B3C99" w:rsidP="008B3C99">
            <w:r w:rsidRPr="00A6566F">
              <w:t>(</w:t>
            </w:r>
            <w:r>
              <w:t>12</w:t>
            </w:r>
            <w:r w:rsidRPr="00A6566F">
              <w:t>)</w:t>
            </w:r>
          </w:p>
        </w:tc>
      </w:tr>
    </w:tbl>
    <w:p w14:paraId="6709BC61" w14:textId="3C0C7AE9" w:rsidR="00747E1F" w:rsidRPr="00747E1F" w:rsidRDefault="00EA2B54" w:rsidP="00EA2B54">
      <w:pPr>
        <w:jc w:val="center"/>
        <w:rPr>
          <w:lang w:eastAsia="ja-JP"/>
        </w:rPr>
      </w:pPr>
      <w:r w:rsidRPr="00EA2B54">
        <w:rPr>
          <w:noProof/>
          <w:lang w:eastAsia="ja-JP"/>
        </w:rPr>
        <w:drawing>
          <wp:inline distT="0" distB="0" distL="0" distR="0" wp14:anchorId="45D41E5A" wp14:editId="14C5C7BF">
            <wp:extent cx="3924300" cy="949161"/>
            <wp:effectExtent l="0" t="0" r="0" b="3810"/>
            <wp:docPr id="22" name="図 21">
              <a:extLst xmlns:a="http://schemas.openxmlformats.org/drawingml/2006/main">
                <a:ext uri="{FF2B5EF4-FFF2-40B4-BE49-F238E27FC236}">
                  <a16:creationId xmlns:a16="http://schemas.microsoft.com/office/drawing/2014/main" id="{3B3307A2-8FB1-599A-396C-8C90B8D9B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3B3307A2-8FB1-599A-396C-8C90B8D9B130}"/>
                        </a:ext>
                      </a:extLst>
                    </pic:cNvPr>
                    <pic:cNvPicPr>
                      <a:picLocks noChangeAspect="1"/>
                    </pic:cNvPicPr>
                  </pic:nvPicPr>
                  <pic:blipFill rotWithShape="1">
                    <a:blip r:embed="rId8">
                      <a:grayscl/>
                    </a:blip>
                    <a:srcRect l="2223" r="1037"/>
                    <a:stretch/>
                  </pic:blipFill>
                  <pic:spPr bwMode="auto">
                    <a:xfrm>
                      <a:off x="0" y="0"/>
                      <a:ext cx="3932561" cy="951159"/>
                    </a:xfrm>
                    <a:prstGeom prst="rect">
                      <a:avLst/>
                    </a:prstGeom>
                    <a:ln>
                      <a:noFill/>
                    </a:ln>
                    <a:extLst>
                      <a:ext uri="{53640926-AAD7-44D8-BBD7-CCE9431645EC}">
                        <a14:shadowObscured xmlns:a14="http://schemas.microsoft.com/office/drawing/2010/main"/>
                      </a:ext>
                    </a:extLst>
                  </pic:spPr>
                </pic:pic>
              </a:graphicData>
            </a:graphic>
          </wp:inline>
        </w:drawing>
      </w:r>
    </w:p>
    <w:p w14:paraId="1FE83ED1" w14:textId="7966B39D" w:rsidR="008C7666" w:rsidRDefault="009161BF" w:rsidP="008C7666">
      <w:pPr>
        <w:pStyle w:val="Didascalia"/>
      </w:pPr>
      <w:r w:rsidRPr="008A0334">
        <w:rPr>
          <w:b/>
          <w:bCs/>
        </w:rPr>
        <w:t xml:space="preserve">Figure </w:t>
      </w:r>
      <w:r w:rsidR="00B35F34" w:rsidRPr="008A0334">
        <w:rPr>
          <w:b/>
          <w:bCs/>
        </w:rPr>
        <w:t>1</w:t>
      </w:r>
      <w:r w:rsidRPr="008A0334">
        <w:t>. A part of prediction</w:t>
      </w:r>
      <w:r>
        <w:t xml:space="preserve"> results of Experiment (C).</w:t>
      </w:r>
      <w:r w:rsidR="001F77AF">
        <w:t xml:space="preserve"> </w:t>
      </w:r>
      <w:r w:rsidR="00DC2F1A">
        <w:t>Shaded areas represent high DO levels.</w:t>
      </w:r>
    </w:p>
    <w:p w14:paraId="14A81095" w14:textId="23857F03" w:rsidR="009161BF" w:rsidRDefault="009161BF" w:rsidP="00782400">
      <w:r w:rsidRPr="009161BF">
        <w:rPr>
          <w:b/>
          <w:bCs/>
        </w:rPr>
        <w:t xml:space="preserve">Figure </w:t>
      </w:r>
      <w:r w:rsidR="00B35F34">
        <w:rPr>
          <w:b/>
          <w:bCs/>
        </w:rPr>
        <w:t>2</w:t>
      </w:r>
      <w:r w:rsidRPr="009161BF">
        <w:rPr>
          <w:b/>
          <w:bCs/>
        </w:rPr>
        <w:t xml:space="preserve"> (a)</w:t>
      </w:r>
      <w:r>
        <w:t xml:space="preserve"> shows a part of COG evaluation results for </w:t>
      </w:r>
      <w:r w:rsidR="00A47B18">
        <w:t xml:space="preserve">optimal </w:t>
      </w:r>
      <w:r>
        <w:t xml:space="preserve">solutions identified </w:t>
      </w:r>
      <w:r w:rsidR="00A032E1">
        <w:t xml:space="preserve">within the investigated scenarios </w:t>
      </w:r>
      <w:r w:rsidR="008B3C99">
        <w:t xml:space="preserve">of each group </w:t>
      </w:r>
      <w:r w:rsidR="00274AD3">
        <w:t xml:space="preserve">assuming </w:t>
      </w:r>
      <w:r w:rsidR="00E46455">
        <w:t>the use of</w:t>
      </w:r>
      <w:r w:rsidR="00A032E1">
        <w:t xml:space="preserve"> a</w:t>
      </w:r>
      <w:r w:rsidR="00E46455">
        <w:t xml:space="preserve"> </w:t>
      </w:r>
      <w:r w:rsidR="00274AD3">
        <w:t xml:space="preserve">2000 L reactor </w:t>
      </w:r>
      <w:r w:rsidR="00883615">
        <w:t>with an overall annual</w:t>
      </w:r>
      <w:r w:rsidR="004538DB">
        <w:t xml:space="preserve"> production demand of 50 kg and </w:t>
      </w:r>
      <w:r w:rsidR="00883615">
        <w:t xml:space="preserve">a </w:t>
      </w:r>
      <w:r w:rsidR="008C513C">
        <w:t>downstream yield of 75 %</w:t>
      </w:r>
      <w:r>
        <w:t>. It was shown that media cost was one of the domi</w:t>
      </w:r>
      <w:r w:rsidRPr="004F37DE">
        <w:t>nant factors in COG, which was consistent with the previous works</w:t>
      </w:r>
      <w:r w:rsidRPr="004F37DE">
        <w:rPr>
          <w:color w:val="000000"/>
        </w:rPr>
        <w:t xml:space="preserve"> </w:t>
      </w:r>
      <w:sdt>
        <w:sdtPr>
          <w:rPr>
            <w:color w:val="000000"/>
          </w:rPr>
          <w:tag w:val="MENDELEY_CITATION_v3_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"/>
          <w:id w:val="483747022"/>
          <w:placeholder>
            <w:docPart w:val="DefaultPlaceholder_-1854013440"/>
          </w:placeholder>
        </w:sdtPr>
        <w:sdtEndPr/>
        <w:sdtContent>
          <w:r w:rsidR="003D3043" w:rsidRPr="003D3043">
            <w:rPr>
              <w:color w:val="000000"/>
            </w:rPr>
            <w:t>(Badr et al., 2021)</w:t>
          </w:r>
        </w:sdtContent>
      </w:sdt>
      <w:r>
        <w:t xml:space="preserve">. </w:t>
      </w:r>
      <w:r w:rsidR="000C1B3D">
        <w:t>A</w:t>
      </w:r>
      <w:r w:rsidR="004F143A">
        <w:t xml:space="preserve">s </w:t>
      </w:r>
      <w:r w:rsidR="004F143A">
        <w:rPr>
          <w:rFonts w:hint="eastAsia"/>
          <w:lang w:eastAsia="ja-JP"/>
        </w:rPr>
        <w:t>a</w:t>
      </w:r>
      <w:r w:rsidR="000C1B3D">
        <w:t>n expa</w:t>
      </w:r>
      <w:r w:rsidR="00782400">
        <w:t xml:space="preserve">nded investigation of </w:t>
      </w:r>
      <w:r w:rsidR="00A86410">
        <w:t xml:space="preserve">Group 4 </w:t>
      </w:r>
      <w:r w:rsidR="00782400">
        <w:t xml:space="preserve">in </w:t>
      </w:r>
      <w:r w:rsidR="00782400" w:rsidRPr="009161BF">
        <w:rPr>
          <w:b/>
          <w:bCs/>
        </w:rPr>
        <w:t xml:space="preserve">Figure </w:t>
      </w:r>
      <w:r w:rsidR="00B35F34">
        <w:rPr>
          <w:b/>
          <w:bCs/>
        </w:rPr>
        <w:t>2</w:t>
      </w:r>
      <w:r w:rsidR="00782400" w:rsidRPr="009161BF">
        <w:rPr>
          <w:b/>
          <w:bCs/>
        </w:rPr>
        <w:t xml:space="preserve"> (</w:t>
      </w:r>
      <w:r w:rsidR="00782400">
        <w:rPr>
          <w:b/>
          <w:bCs/>
        </w:rPr>
        <w:t>a</w:t>
      </w:r>
      <w:r w:rsidR="00782400" w:rsidRPr="009161BF">
        <w:rPr>
          <w:b/>
          <w:bCs/>
        </w:rPr>
        <w:t>)</w:t>
      </w:r>
      <w:r w:rsidR="00782400">
        <w:t xml:space="preserve">, the </w:t>
      </w:r>
      <w:r w:rsidR="00E834ED">
        <w:t>potential drug price flexibility</w:t>
      </w:r>
      <w:r w:rsidR="006D6FF6">
        <w:t xml:space="preserve"> was explored</w:t>
      </w:r>
      <w:r w:rsidR="00E834ED">
        <w:t xml:space="preserve"> as </w:t>
      </w:r>
      <w:r w:rsidR="00782400">
        <w:t xml:space="preserve">shown in </w:t>
      </w:r>
      <w:r w:rsidR="00782400" w:rsidRPr="009161BF">
        <w:rPr>
          <w:b/>
          <w:bCs/>
        </w:rPr>
        <w:t xml:space="preserve">Figure </w:t>
      </w:r>
      <w:r w:rsidR="00B35F34">
        <w:rPr>
          <w:b/>
          <w:bCs/>
        </w:rPr>
        <w:t>2</w:t>
      </w:r>
      <w:r w:rsidR="00782400" w:rsidRPr="009161BF">
        <w:rPr>
          <w:b/>
          <w:bCs/>
        </w:rPr>
        <w:t xml:space="preserve"> (b)</w:t>
      </w:r>
      <w:r w:rsidR="00E834ED">
        <w:t>.</w:t>
      </w:r>
      <w:r w:rsidR="00056D08">
        <w:t xml:space="preserve"> The map can help to quantitatively evaluate the flexibility for the given required margin and mAb production demand.</w:t>
      </w:r>
      <w:r w:rsidR="00E834ED">
        <w:t xml:space="preserve"> </w:t>
      </w:r>
      <w:r>
        <w:t>In the explored range</w:t>
      </w:r>
      <w:r w:rsidR="00E46455">
        <w:t xml:space="preserve"> with different operating strategies and reactor volumes</w:t>
      </w:r>
      <w:r>
        <w:t xml:space="preserve">, </w:t>
      </w:r>
      <w:r w:rsidR="00E46455">
        <w:t xml:space="preserve">the </w:t>
      </w:r>
      <w:r>
        <w:t xml:space="preserve">maximum potential price flexibility was </w:t>
      </w:r>
      <w:r w:rsidR="004F5FD1">
        <w:t>90</w:t>
      </w:r>
      <w:r w:rsidR="0074741C">
        <w:t>.6</w:t>
      </w:r>
      <w:r>
        <w:t xml:space="preserve"> % while the minimum was </w:t>
      </w:r>
      <w:r w:rsidR="0074741C">
        <w:t>0.</w:t>
      </w:r>
      <w:r w:rsidR="00605C82">
        <w:t xml:space="preserve">0926 </w:t>
      </w:r>
      <w:r>
        <w:t xml:space="preserve">%. </w:t>
      </w:r>
      <w:r w:rsidR="00B35F34" w:rsidRPr="00B35F34">
        <w:t>The figure shows a marked reduction in potential drug price flexibility as annual production demand approaches production capacity limits.</w:t>
      </w:r>
    </w:p>
    <w:p w14:paraId="33A49113" w14:textId="49BFDEE5" w:rsidR="008C7666" w:rsidRPr="00A6566F" w:rsidRDefault="00127548" w:rsidP="00DC2F1A">
      <w:pPr>
        <w:jc w:val="center"/>
      </w:pPr>
      <w:r w:rsidRPr="00127548">
        <w:rPr>
          <w:noProof/>
        </w:rPr>
        <w:drawing>
          <wp:inline distT="0" distB="0" distL="0" distR="0" wp14:anchorId="3BD3724B" wp14:editId="4EDD76B8">
            <wp:extent cx="4358640" cy="1554480"/>
            <wp:effectExtent l="0" t="0" r="3810" b="0"/>
            <wp:docPr id="482608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82"/>
                    <a:stretch/>
                  </pic:blipFill>
                  <pic:spPr bwMode="auto">
                    <a:xfrm>
                      <a:off x="0" y="0"/>
                      <a:ext cx="4399266" cy="156896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5686265F" w14:textId="0080A70B" w:rsidR="009161BF" w:rsidRPr="008C7666" w:rsidRDefault="009161BF" w:rsidP="008C7666">
      <w:pPr>
        <w:pStyle w:val="Didascalia"/>
      </w:pPr>
      <w:r w:rsidRPr="009161BF">
        <w:rPr>
          <w:b/>
          <w:bCs/>
        </w:rPr>
        <w:t xml:space="preserve">Figure </w:t>
      </w:r>
      <w:r w:rsidR="00B35F34">
        <w:rPr>
          <w:b/>
          <w:bCs/>
        </w:rPr>
        <w:t>2</w:t>
      </w:r>
      <w:r w:rsidRPr="008C7666">
        <w:t xml:space="preserve">. Results of </w:t>
      </w:r>
      <w:r w:rsidRPr="008C7666">
        <w:rPr>
          <w:b/>
          <w:bCs/>
        </w:rPr>
        <w:t>(a)</w:t>
      </w:r>
      <w:r w:rsidRPr="008C7666">
        <w:t xml:space="preserve"> COG evaluation and </w:t>
      </w:r>
      <w:r w:rsidRPr="008C7666">
        <w:rPr>
          <w:b/>
          <w:bCs/>
        </w:rPr>
        <w:t xml:space="preserve">(b) </w:t>
      </w:r>
      <w:r w:rsidRPr="008C7666">
        <w:t>potential drug price flexibility for given drug price and annual mAb production.</w:t>
      </w:r>
    </w:p>
    <w:p w14:paraId="144DE6BA" w14:textId="77777777" w:rsidR="008D2649" w:rsidRPr="00A94774" w:rsidRDefault="008D2649" w:rsidP="001B6099">
      <w:pPr>
        <w:pStyle w:val="Els-1storder-head"/>
        <w:numPr>
          <w:ilvl w:val="0"/>
          <w:numId w:val="17"/>
        </w:numPr>
        <w:spacing w:after="120"/>
        <w:rPr>
          <w:lang w:val="en-GB"/>
        </w:rPr>
      </w:pPr>
      <w:r w:rsidRPr="00A94774">
        <w:rPr>
          <w:lang w:val="en-GB"/>
        </w:rPr>
        <w:lastRenderedPageBreak/>
        <w:t>Conclusions</w:t>
      </w:r>
    </w:p>
    <w:p w14:paraId="095FE72C" w14:textId="7FBAD4FF" w:rsidR="00036253" w:rsidRPr="009953BA" w:rsidRDefault="003C2CBA" w:rsidP="009953BA">
      <w:r w:rsidRPr="003C2CBA">
        <w:t>This work demonstrated how data-driven insights were used to update mechanistic cell cultivation models and quantitative assessment of the changes made to cell lines and operating parameters on the potential flexibility of drug pricing. The evaluation findings can help with effective process design using the currently available options and can also be extended to serve as a roadmap for future advancements toward the desired cost flexibility. By using the drug price as a mediating variable connecting different scales, the work would help quantify the effect of improvements in cell and process features on society-level goals like cost-effectiveness and drug accessibility.</w:t>
      </w:r>
    </w:p>
    <w:p w14:paraId="09E69C3E" w14:textId="5FF4172B" w:rsidR="00492595" w:rsidRPr="008A0334" w:rsidRDefault="00492595" w:rsidP="008D2649">
      <w:pPr>
        <w:pStyle w:val="Els-reference-head"/>
      </w:pPr>
      <w:r w:rsidRPr="008A0334">
        <w:t>A</w:t>
      </w:r>
      <w:r w:rsidR="000C6E9A" w:rsidRPr="008A0334">
        <w:t>cknowledgements</w:t>
      </w:r>
    </w:p>
    <w:p w14:paraId="40066DB0" w14:textId="7832F5C5" w:rsidR="00492595" w:rsidRPr="008A0334" w:rsidRDefault="00492595" w:rsidP="009953BA">
      <w:pPr>
        <w:rPr>
          <w:lang w:val="en-GB"/>
        </w:rPr>
      </w:pPr>
      <w:r w:rsidRPr="008A0334">
        <w:t>This work was supported by the Japan Agency for Medical Research and Development (AMED) [grant No. JP21ae0121015, JP21ae0121016].</w:t>
      </w:r>
    </w:p>
    <w:p w14:paraId="144DE6BF" w14:textId="7F3E08DA" w:rsidR="008D2649" w:rsidRDefault="008D2649" w:rsidP="008D2649">
      <w:pPr>
        <w:pStyle w:val="Els-reference-head"/>
      </w:pPr>
      <w:r w:rsidRPr="008A0334">
        <w:t>References</w:t>
      </w:r>
    </w:p>
    <w:sdt>
      <w:sdtPr>
        <w:rPr>
          <w:noProof/>
          <w:sz w:val="18"/>
          <w:lang w:val="en-GB"/>
        </w:rPr>
        <w:tag w:val="MENDELEY_BIBLIOGRAPHY"/>
        <w:id w:val="-408386190"/>
        <w:placeholder>
          <w:docPart w:val="DefaultPlaceholder_-1854013440"/>
        </w:placeholder>
      </w:sdtPr>
      <w:sdtEndPr/>
      <w:sdtContent>
        <w:p w14:paraId="0478C84E" w14:textId="77777777" w:rsidR="00C7000E" w:rsidRDefault="00C7000E">
          <w:pPr>
            <w:autoSpaceDE w:val="0"/>
            <w:autoSpaceDN w:val="0"/>
            <w:ind w:hanging="480"/>
            <w:divId w:val="1338729789"/>
            <w:rPr>
              <w:rFonts w:eastAsia="Times New Roman"/>
              <w:sz w:val="24"/>
              <w:szCs w:val="24"/>
            </w:rPr>
          </w:pPr>
          <w:r>
            <w:rPr>
              <w:rFonts w:eastAsia="Times New Roman"/>
            </w:rPr>
            <w:t xml:space="preserve">Badr, S., Oishi, K., Okamura, K., Murakami, S., &amp; Sugiyama, H. (2023). Hybrid modelling and data-driven parameterization of monoclonal antibody cultivation processes: Shifts in cell metabolic behavior. </w:t>
          </w:r>
          <w:r>
            <w:rPr>
              <w:rFonts w:eastAsia="Times New Roman"/>
              <w:i/>
              <w:iCs/>
            </w:rPr>
            <w:t>Computer Aided Chemical Engineering</w:t>
          </w:r>
          <w:r>
            <w:rPr>
              <w:rFonts w:eastAsia="Times New Roman"/>
            </w:rPr>
            <w:t xml:space="preserve">, </w:t>
          </w:r>
          <w:r>
            <w:rPr>
              <w:rFonts w:eastAsia="Times New Roman"/>
              <w:i/>
              <w:iCs/>
            </w:rPr>
            <w:t>52</w:t>
          </w:r>
          <w:r>
            <w:rPr>
              <w:rFonts w:eastAsia="Times New Roman"/>
            </w:rPr>
            <w:t>, 985–990.</w:t>
          </w:r>
        </w:p>
        <w:p w14:paraId="28A908BE" w14:textId="77777777" w:rsidR="00C7000E" w:rsidRDefault="00C7000E">
          <w:pPr>
            <w:autoSpaceDE w:val="0"/>
            <w:autoSpaceDN w:val="0"/>
            <w:ind w:hanging="480"/>
            <w:divId w:val="1782721207"/>
            <w:rPr>
              <w:rFonts w:eastAsia="Times New Roman"/>
            </w:rPr>
          </w:pPr>
          <w:r>
            <w:rPr>
              <w:rFonts w:eastAsia="Times New Roman"/>
            </w:rPr>
            <w:t xml:space="preserve">Badr, S., Okamura, K., Takahashi, N., </w:t>
          </w:r>
          <w:proofErr w:type="spellStart"/>
          <w:r>
            <w:rPr>
              <w:rFonts w:eastAsia="Times New Roman"/>
            </w:rPr>
            <w:t>Ubbenjans</w:t>
          </w:r>
          <w:proofErr w:type="spellEnd"/>
          <w:r>
            <w:rPr>
              <w:rFonts w:eastAsia="Times New Roman"/>
            </w:rPr>
            <w:t xml:space="preserve">, V., </w:t>
          </w:r>
          <w:proofErr w:type="spellStart"/>
          <w:r>
            <w:rPr>
              <w:rFonts w:eastAsia="Times New Roman"/>
            </w:rPr>
            <w:t>Shirahata</w:t>
          </w:r>
          <w:proofErr w:type="spellEnd"/>
          <w:r>
            <w:rPr>
              <w:rFonts w:eastAsia="Times New Roman"/>
            </w:rPr>
            <w:t xml:space="preserve">, H., &amp; Sugiyama, H. (2021). Integrated design of biopharmaceutical manufacturing processes: Operation modes and process configurations for monoclonal antibody production. </w:t>
          </w:r>
          <w:r>
            <w:rPr>
              <w:rFonts w:eastAsia="Times New Roman"/>
              <w:i/>
              <w:iCs/>
            </w:rPr>
            <w:t>Computers and Chemical Engineering</w:t>
          </w:r>
          <w:r>
            <w:rPr>
              <w:rFonts w:eastAsia="Times New Roman"/>
            </w:rPr>
            <w:t xml:space="preserve">, </w:t>
          </w:r>
          <w:r>
            <w:rPr>
              <w:rFonts w:eastAsia="Times New Roman"/>
              <w:i/>
              <w:iCs/>
            </w:rPr>
            <w:t>153</w:t>
          </w:r>
          <w:r>
            <w:rPr>
              <w:rFonts w:eastAsia="Times New Roman"/>
            </w:rPr>
            <w:t>, 107422. https://doi.org/10.1016/j.compchemeng.2021.107422</w:t>
          </w:r>
        </w:p>
        <w:p w14:paraId="77C12189" w14:textId="77777777" w:rsidR="00C7000E" w:rsidRDefault="00C7000E">
          <w:pPr>
            <w:autoSpaceDE w:val="0"/>
            <w:autoSpaceDN w:val="0"/>
            <w:ind w:hanging="480"/>
            <w:divId w:val="1091508958"/>
            <w:rPr>
              <w:rFonts w:eastAsia="Times New Roman"/>
            </w:rPr>
          </w:pPr>
          <w:proofErr w:type="spellStart"/>
          <w:r>
            <w:rPr>
              <w:rFonts w:eastAsia="Times New Roman"/>
            </w:rPr>
            <w:t>Campello</w:t>
          </w:r>
          <w:proofErr w:type="spellEnd"/>
          <w:r>
            <w:rPr>
              <w:rFonts w:eastAsia="Times New Roman"/>
            </w:rPr>
            <w:t xml:space="preserve">, R. J. G. B., Moulavi, D., &amp; Sander, J. (2013). Density-based clustering based on hierarchical density estimates. </w:t>
          </w:r>
          <w:r>
            <w:rPr>
              <w:rFonts w:eastAsia="Times New Roman"/>
              <w:i/>
              <w:iCs/>
            </w:rPr>
            <w:t>Advances in Knowledge Discovery and Data Mining</w:t>
          </w:r>
          <w:r>
            <w:rPr>
              <w:rFonts w:eastAsia="Times New Roman"/>
            </w:rPr>
            <w:t>, 160–172. https://doi.org/https://doi.org/10.1007/978-3-642-37456-2_14</w:t>
          </w:r>
        </w:p>
        <w:p w14:paraId="47306DAB" w14:textId="77777777" w:rsidR="00C7000E" w:rsidRDefault="00C7000E">
          <w:pPr>
            <w:autoSpaceDE w:val="0"/>
            <w:autoSpaceDN w:val="0"/>
            <w:ind w:hanging="480"/>
            <w:divId w:val="1422482748"/>
            <w:rPr>
              <w:rFonts w:eastAsia="Times New Roman"/>
            </w:rPr>
          </w:pPr>
          <w:r w:rsidRPr="006D1916">
            <w:rPr>
              <w:rFonts w:eastAsia="Times New Roman"/>
              <w:lang w:val="it-IT"/>
            </w:rPr>
            <w:t xml:space="preserve">Farzan, P., &amp; Ierapetritou, M. G. (2018). </w:t>
          </w:r>
          <w:r>
            <w:rPr>
              <w:rFonts w:eastAsia="Times New Roman"/>
            </w:rPr>
            <w:t xml:space="preserve">A framework for the development of integrated and computationally feasible models of large-scale mammalian cell bioreactors. </w:t>
          </w:r>
          <w:r>
            <w:rPr>
              <w:rFonts w:eastAsia="Times New Roman"/>
              <w:i/>
              <w:iCs/>
            </w:rPr>
            <w:t>Processes</w:t>
          </w:r>
          <w:r>
            <w:rPr>
              <w:rFonts w:eastAsia="Times New Roman"/>
            </w:rPr>
            <w:t xml:space="preserve">, </w:t>
          </w:r>
          <w:r>
            <w:rPr>
              <w:rFonts w:eastAsia="Times New Roman"/>
              <w:i/>
              <w:iCs/>
            </w:rPr>
            <w:t>6</w:t>
          </w:r>
          <w:r>
            <w:rPr>
              <w:rFonts w:eastAsia="Times New Roman"/>
            </w:rPr>
            <w:t>(82). https://doi.org/10.3390/pr6070082</w:t>
          </w:r>
        </w:p>
        <w:p w14:paraId="27EC1E5A" w14:textId="77777777" w:rsidR="00C7000E" w:rsidRDefault="00C7000E">
          <w:pPr>
            <w:autoSpaceDE w:val="0"/>
            <w:autoSpaceDN w:val="0"/>
            <w:ind w:hanging="480"/>
            <w:divId w:val="1512526836"/>
            <w:rPr>
              <w:rFonts w:eastAsia="Times New Roman"/>
            </w:rPr>
          </w:pPr>
          <w:r>
            <w:rPr>
              <w:rFonts w:eastAsia="Times New Roman"/>
            </w:rPr>
            <w:t xml:space="preserve">Horiuchi, T. (2019). Establishment of a novel CHO cell line and its application to the production of protein-based pharmaceuticals (In Japanese). </w:t>
          </w:r>
          <w:proofErr w:type="spellStart"/>
          <w:r>
            <w:rPr>
              <w:rFonts w:eastAsia="Times New Roman"/>
              <w:i/>
              <w:iCs/>
            </w:rPr>
            <w:t>Seibutsu-Kougaku-Kaishi</w:t>
          </w:r>
          <w:proofErr w:type="spellEnd"/>
          <w:r>
            <w:rPr>
              <w:rFonts w:eastAsia="Times New Roman"/>
            </w:rPr>
            <w:t xml:space="preserve">, </w:t>
          </w:r>
          <w:r>
            <w:rPr>
              <w:rFonts w:eastAsia="Times New Roman"/>
              <w:i/>
              <w:iCs/>
            </w:rPr>
            <w:t>97</w:t>
          </w:r>
          <w:r>
            <w:rPr>
              <w:rFonts w:eastAsia="Times New Roman"/>
            </w:rPr>
            <w:t>(6), 328–330.</w:t>
          </w:r>
        </w:p>
        <w:p w14:paraId="28552562" w14:textId="77777777" w:rsidR="00C7000E" w:rsidRDefault="00C7000E">
          <w:pPr>
            <w:autoSpaceDE w:val="0"/>
            <w:autoSpaceDN w:val="0"/>
            <w:ind w:hanging="480"/>
            <w:divId w:val="1770815246"/>
            <w:rPr>
              <w:rFonts w:eastAsia="Times New Roman"/>
            </w:rPr>
          </w:pPr>
          <w:r>
            <w:rPr>
              <w:rFonts w:eastAsia="Times New Roman"/>
            </w:rPr>
            <w:t xml:space="preserve">Klutz, S., Holtmann, L., </w:t>
          </w:r>
          <w:proofErr w:type="spellStart"/>
          <w:r>
            <w:rPr>
              <w:rFonts w:eastAsia="Times New Roman"/>
            </w:rPr>
            <w:t>Lobedann</w:t>
          </w:r>
          <w:proofErr w:type="spellEnd"/>
          <w:r>
            <w:rPr>
              <w:rFonts w:eastAsia="Times New Roman"/>
            </w:rPr>
            <w:t xml:space="preserve">, M., &amp; </w:t>
          </w:r>
          <w:proofErr w:type="spellStart"/>
          <w:r>
            <w:rPr>
              <w:rFonts w:eastAsia="Times New Roman"/>
            </w:rPr>
            <w:t>Schembecker</w:t>
          </w:r>
          <w:proofErr w:type="spellEnd"/>
          <w:r>
            <w:rPr>
              <w:rFonts w:eastAsia="Times New Roman"/>
            </w:rPr>
            <w:t xml:space="preserve">, G. (2016). Cost evaluation of antibody production processes in different operation modes. </w:t>
          </w:r>
          <w:r>
            <w:rPr>
              <w:rFonts w:eastAsia="Times New Roman"/>
              <w:i/>
              <w:iCs/>
            </w:rPr>
            <w:t>Chemical Engineering Science</w:t>
          </w:r>
          <w:r>
            <w:rPr>
              <w:rFonts w:eastAsia="Times New Roman"/>
            </w:rPr>
            <w:t xml:space="preserve">, </w:t>
          </w:r>
          <w:r>
            <w:rPr>
              <w:rFonts w:eastAsia="Times New Roman"/>
              <w:i/>
              <w:iCs/>
            </w:rPr>
            <w:t>141</w:t>
          </w:r>
          <w:r>
            <w:rPr>
              <w:rFonts w:eastAsia="Times New Roman"/>
            </w:rPr>
            <w:t>, 63–74. https://doi.org/10.1016/j.ces.2015.10.029</w:t>
          </w:r>
        </w:p>
        <w:p w14:paraId="6587ED67" w14:textId="77777777" w:rsidR="00C7000E" w:rsidRDefault="00C7000E">
          <w:pPr>
            <w:autoSpaceDE w:val="0"/>
            <w:autoSpaceDN w:val="0"/>
            <w:ind w:hanging="480"/>
            <w:divId w:val="1702129809"/>
            <w:rPr>
              <w:rFonts w:eastAsia="Times New Roman"/>
            </w:rPr>
          </w:pPr>
          <w:r>
            <w:rPr>
              <w:rFonts w:eastAsia="Times New Roman"/>
            </w:rPr>
            <w:t xml:space="preserve">Okamura, K., Badr, S., Murakami, S., &amp; Sugiyama, H. (2022). Hybrid modeling of CHO cell cultivation in monoclonal antibody production with an impurity generation module. </w:t>
          </w:r>
          <w:r>
            <w:rPr>
              <w:rFonts w:eastAsia="Times New Roman"/>
              <w:i/>
              <w:iCs/>
            </w:rPr>
            <w:t>Industrial and Engineering Chemistry Research</w:t>
          </w:r>
          <w:r>
            <w:rPr>
              <w:rFonts w:eastAsia="Times New Roman"/>
            </w:rPr>
            <w:t xml:space="preserve">, </w:t>
          </w:r>
          <w:r>
            <w:rPr>
              <w:rFonts w:eastAsia="Times New Roman"/>
              <w:i/>
              <w:iCs/>
            </w:rPr>
            <w:t>61</w:t>
          </w:r>
          <w:r>
            <w:rPr>
              <w:rFonts w:eastAsia="Times New Roman"/>
            </w:rPr>
            <w:t>(40), 14898–14909. https://doi.org/10.1021/acs.iecr.2c00736</w:t>
          </w:r>
        </w:p>
        <w:p w14:paraId="2AAB693A" w14:textId="77777777" w:rsidR="00C7000E" w:rsidRDefault="00C7000E">
          <w:pPr>
            <w:autoSpaceDE w:val="0"/>
            <w:autoSpaceDN w:val="0"/>
            <w:ind w:hanging="480"/>
            <w:divId w:val="243300041"/>
            <w:rPr>
              <w:rFonts w:eastAsia="Times New Roman"/>
            </w:rPr>
          </w:pPr>
          <w:r>
            <w:rPr>
              <w:rFonts w:eastAsia="Times New Roman"/>
            </w:rPr>
            <w:t xml:space="preserve">Reddy, J. V., Raudenbush, K., Papoutsakis, E. T., &amp; Ierapetritou, M. (2023). Cell-culture process optimization via model-based predictions of metabolism and protein glycosylation. </w:t>
          </w:r>
          <w:r>
            <w:rPr>
              <w:rFonts w:eastAsia="Times New Roman"/>
              <w:i/>
              <w:iCs/>
            </w:rPr>
            <w:t>Biotechnology Advances</w:t>
          </w:r>
          <w:r>
            <w:rPr>
              <w:rFonts w:eastAsia="Times New Roman"/>
            </w:rPr>
            <w:t xml:space="preserve">, </w:t>
          </w:r>
          <w:r>
            <w:rPr>
              <w:rFonts w:eastAsia="Times New Roman"/>
              <w:i/>
              <w:iCs/>
            </w:rPr>
            <w:t>67</w:t>
          </w:r>
          <w:r>
            <w:rPr>
              <w:rFonts w:eastAsia="Times New Roman"/>
            </w:rPr>
            <w:t>. https://doi.org/10.1016/j.biotechadv.2023.108179</w:t>
          </w:r>
        </w:p>
        <w:p w14:paraId="0CF0A3A0" w14:textId="77777777" w:rsidR="00C7000E" w:rsidRDefault="00C7000E">
          <w:pPr>
            <w:autoSpaceDE w:val="0"/>
            <w:autoSpaceDN w:val="0"/>
            <w:ind w:hanging="480"/>
            <w:divId w:val="473068420"/>
            <w:rPr>
              <w:rFonts w:eastAsia="Times New Roman"/>
            </w:rPr>
          </w:pPr>
          <w:r>
            <w:rPr>
              <w:rFonts w:eastAsia="Times New Roman"/>
            </w:rPr>
            <w:t xml:space="preserve">Yang, O., Prabhu, S., &amp; Ierapetritou, M. (2019). Comparison between batch and continuous monoclonal antibody production and economic analysis. </w:t>
          </w:r>
          <w:r>
            <w:rPr>
              <w:rFonts w:eastAsia="Times New Roman"/>
              <w:i/>
              <w:iCs/>
            </w:rPr>
            <w:t>Industrial and Engineering Chemistry Research</w:t>
          </w:r>
          <w:r>
            <w:rPr>
              <w:rFonts w:eastAsia="Times New Roman"/>
            </w:rPr>
            <w:t xml:space="preserve">, </w:t>
          </w:r>
          <w:r>
            <w:rPr>
              <w:rFonts w:eastAsia="Times New Roman"/>
              <w:i/>
              <w:iCs/>
            </w:rPr>
            <w:t>58</w:t>
          </w:r>
          <w:r>
            <w:rPr>
              <w:rFonts w:eastAsia="Times New Roman"/>
            </w:rPr>
            <w:t>(15), 5851–5863. https://doi.org/10.1021/acs.iecr.8b04717</w:t>
          </w:r>
        </w:p>
        <w:p w14:paraId="6207460D" w14:textId="3678500F" w:rsidR="00C018ED" w:rsidRDefault="00C7000E" w:rsidP="003C1D06">
          <w:pPr>
            <w:pStyle w:val="Els-referenceno-number"/>
            <w:rPr>
              <w:lang w:val="en-US"/>
            </w:rPr>
          </w:pPr>
          <w:r>
            <w:rPr>
              <w:rFonts w:eastAsia="Times New Roman"/>
            </w:rPr>
            <w:t> </w:t>
          </w:r>
        </w:p>
      </w:sdtContent>
    </w:sdt>
    <w:sectPr w:rsidR="00C018ED" w:rsidSect="008B0184">
      <w:headerReference w:type="even" r:id="rId10"/>
      <w:headerReference w:type="default" r:id="rId11"/>
      <w:headerReference w:type="first" r:id="rId12"/>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3AE38" w14:textId="77777777" w:rsidR="00AE20CF" w:rsidRDefault="00AE20CF" w:rsidP="009953BA">
      <w:r>
        <w:separator/>
      </w:r>
    </w:p>
  </w:endnote>
  <w:endnote w:type="continuationSeparator" w:id="0">
    <w:p w14:paraId="48F7AAD1" w14:textId="77777777" w:rsidR="00AE20CF" w:rsidRDefault="00AE20CF" w:rsidP="00995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A43EB" w14:textId="77777777" w:rsidR="00AE20CF" w:rsidRDefault="00AE20CF" w:rsidP="009953BA">
      <w:r>
        <w:separator/>
      </w:r>
    </w:p>
  </w:footnote>
  <w:footnote w:type="continuationSeparator" w:id="0">
    <w:p w14:paraId="0853F6C8" w14:textId="77777777" w:rsidR="00AE20CF" w:rsidRDefault="00AE20CF" w:rsidP="00995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1D471DF4" w:rsidR="00DD3D9E" w:rsidRDefault="00DD3D9E">
    <w:pPr>
      <w:pStyle w:val="Intestazione"/>
      <w:tabs>
        <w:tab w:val="clear" w:pos="7200"/>
        <w:tab w:val="right" w:pos="7088"/>
      </w:tabs>
    </w:pPr>
    <w:r>
      <w:rPr>
        <w:rStyle w:val="Numeropagina"/>
      </w:rPr>
      <w:tab/>
    </w:r>
    <w:r>
      <w:rPr>
        <w:rStyle w:val="Numeropagina"/>
        <w:i/>
      </w:rPr>
      <w:tab/>
    </w:r>
    <w:r w:rsidR="00254BF8">
      <w:rPr>
        <w:rStyle w:val="Numeropagina"/>
        <w:i/>
      </w:rPr>
      <w:t>K. Okamura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23914B29" w:rsidR="00DD3D9E" w:rsidRDefault="00254BF8" w:rsidP="001F2CCD">
    <w:pPr>
      <w:pStyle w:val="Intestazione"/>
      <w:tabs>
        <w:tab w:val="clear" w:pos="7200"/>
        <w:tab w:val="right" w:pos="7088"/>
      </w:tabs>
      <w:ind w:right="400"/>
      <w:rPr>
        <w:sz w:val="24"/>
      </w:rPr>
    </w:pPr>
    <w:r w:rsidRPr="00254BF8">
      <w:rPr>
        <w:i/>
      </w:rPr>
      <w:t>Bridging Weak Links in Mechanistic Modeling: Approach and Application in CHO Cell Cultivation for mAb Production</w:t>
    </w:r>
    <w:r w:rsidR="00DD3D9E">
      <w:rPr>
        <w:rStyle w:val="Numeropagina"/>
        <w:i/>
        <w:sz w:val="24"/>
      </w:rPr>
      <w:tab/>
    </w:r>
    <w:r w:rsidR="00DD3D9E">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DC31F" w14:textId="77777777" w:rsidR="00AE3CD9" w:rsidRPr="003B50B5" w:rsidRDefault="00AE3CD9" w:rsidP="00AE3CD9">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4BF34AB6" w:rsidR="00DD3D9E" w:rsidRPr="00AE3CD9" w:rsidRDefault="00AE3CD9" w:rsidP="00AE3CD9">
    <w:pPr>
      <w:pStyle w:val="Intestazione"/>
    </w:pPr>
    <w:r w:rsidRPr="001E6A29">
      <w:rPr>
        <w:sz w:val="18"/>
        <w:szCs w:val="18"/>
      </w:rPr>
      <w:t>© 202</w:t>
    </w:r>
    <w:r>
      <w:rPr>
        <w:sz w:val="18"/>
        <w:szCs w:val="18"/>
      </w:rPr>
      <w:t>4</w:t>
    </w:r>
    <w:r w:rsidRPr="001E6A29">
      <w:rPr>
        <w:sz w:val="18"/>
        <w:szCs w:val="18"/>
      </w:rPr>
      <w:t xml:space="preserve"> Elsevier B.V. All rights reserved.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D24A6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color w:val="FF0000"/>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A800457"/>
    <w:multiLevelType w:val="multilevel"/>
    <w:tmpl w:val="BD24A6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CA07803"/>
    <w:multiLevelType w:val="multilevel"/>
    <w:tmpl w:val="BD24A6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D8461F7"/>
    <w:multiLevelType w:val="multilevel"/>
    <w:tmpl w:val="B3242232"/>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15:restartNumberingAfterBreak="0">
    <w:nsid w:val="72D3511D"/>
    <w:multiLevelType w:val="hybridMultilevel"/>
    <w:tmpl w:val="03B44A0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B5B264D"/>
    <w:multiLevelType w:val="multilevel"/>
    <w:tmpl w:val="FD5EC1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3"/>
  </w:num>
  <w:num w:numId="2">
    <w:abstractNumId w:val="13"/>
  </w:num>
  <w:num w:numId="3">
    <w:abstractNumId w:val="13"/>
  </w:num>
  <w:num w:numId="4">
    <w:abstractNumId w:val="13"/>
  </w:num>
  <w:num w:numId="5">
    <w:abstractNumId w:val="0"/>
  </w:num>
  <w:num w:numId="6">
    <w:abstractNumId w:val="6"/>
  </w:num>
  <w:num w:numId="7">
    <w:abstractNumId w:val="15"/>
  </w:num>
  <w:num w:numId="8">
    <w:abstractNumId w:val="1"/>
  </w:num>
  <w:num w:numId="9">
    <w:abstractNumId w:val="12"/>
  </w:num>
  <w:num w:numId="10">
    <w:abstractNumId w:val="18"/>
  </w:num>
  <w:num w:numId="11">
    <w:abstractNumId w:val="16"/>
  </w:num>
  <w:num w:numId="12">
    <w:abstractNumId w:val="5"/>
  </w:num>
  <w:num w:numId="13">
    <w:abstractNumId w:val="10"/>
  </w:num>
  <w:num w:numId="14">
    <w:abstractNumId w:val="2"/>
  </w:num>
  <w:num w:numId="15">
    <w:abstractNumId w:val="7"/>
  </w:num>
  <w:num w:numId="16">
    <w:abstractNumId w:val="3"/>
  </w:num>
  <w:num w:numId="17">
    <w:abstractNumId w:val="4"/>
  </w:num>
  <w:num w:numId="18">
    <w:abstractNumId w:val="11"/>
  </w:num>
  <w:num w:numId="19">
    <w:abstractNumId w:val="9"/>
  </w:num>
  <w:num w:numId="20">
    <w:abstractNumId w:val="14"/>
  </w:num>
  <w:num w:numId="21">
    <w:abstractNumId w:val="8"/>
  </w:num>
  <w:num w:numId="22">
    <w:abstractNumId w:val="1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0FD3"/>
    <w:rsid w:val="000028A2"/>
    <w:rsid w:val="00002A78"/>
    <w:rsid w:val="0000507C"/>
    <w:rsid w:val="00005131"/>
    <w:rsid w:val="0001094B"/>
    <w:rsid w:val="0001119F"/>
    <w:rsid w:val="0001125D"/>
    <w:rsid w:val="00011396"/>
    <w:rsid w:val="0001173F"/>
    <w:rsid w:val="000148AC"/>
    <w:rsid w:val="00014C96"/>
    <w:rsid w:val="000158CC"/>
    <w:rsid w:val="00015A9A"/>
    <w:rsid w:val="00016300"/>
    <w:rsid w:val="00017B67"/>
    <w:rsid w:val="0002155F"/>
    <w:rsid w:val="0002445D"/>
    <w:rsid w:val="00025388"/>
    <w:rsid w:val="00026874"/>
    <w:rsid w:val="00030073"/>
    <w:rsid w:val="00030B2B"/>
    <w:rsid w:val="0003176A"/>
    <w:rsid w:val="00032E10"/>
    <w:rsid w:val="000331B6"/>
    <w:rsid w:val="0003397F"/>
    <w:rsid w:val="00033B9A"/>
    <w:rsid w:val="00036253"/>
    <w:rsid w:val="00037077"/>
    <w:rsid w:val="00037C8F"/>
    <w:rsid w:val="00040219"/>
    <w:rsid w:val="00040F7B"/>
    <w:rsid w:val="000413C3"/>
    <w:rsid w:val="00041907"/>
    <w:rsid w:val="00041C80"/>
    <w:rsid w:val="000461BB"/>
    <w:rsid w:val="00046902"/>
    <w:rsid w:val="00046B22"/>
    <w:rsid w:val="00047284"/>
    <w:rsid w:val="000534FE"/>
    <w:rsid w:val="0005495F"/>
    <w:rsid w:val="00056A66"/>
    <w:rsid w:val="00056D08"/>
    <w:rsid w:val="00057227"/>
    <w:rsid w:val="000574AE"/>
    <w:rsid w:val="000608B5"/>
    <w:rsid w:val="00062309"/>
    <w:rsid w:val="0006299A"/>
    <w:rsid w:val="00062C3F"/>
    <w:rsid w:val="00064BF8"/>
    <w:rsid w:val="00064D8F"/>
    <w:rsid w:val="00065402"/>
    <w:rsid w:val="00065433"/>
    <w:rsid w:val="00066483"/>
    <w:rsid w:val="000669A9"/>
    <w:rsid w:val="00067150"/>
    <w:rsid w:val="000674A9"/>
    <w:rsid w:val="000675C4"/>
    <w:rsid w:val="000700AF"/>
    <w:rsid w:val="00070604"/>
    <w:rsid w:val="00071DB6"/>
    <w:rsid w:val="00072339"/>
    <w:rsid w:val="00072819"/>
    <w:rsid w:val="0007350A"/>
    <w:rsid w:val="00074601"/>
    <w:rsid w:val="00074E6D"/>
    <w:rsid w:val="00075584"/>
    <w:rsid w:val="00075695"/>
    <w:rsid w:val="00075FCC"/>
    <w:rsid w:val="0007732C"/>
    <w:rsid w:val="000777DC"/>
    <w:rsid w:val="00081726"/>
    <w:rsid w:val="000817E2"/>
    <w:rsid w:val="00081A9A"/>
    <w:rsid w:val="00081AE5"/>
    <w:rsid w:val="00081B26"/>
    <w:rsid w:val="000822A0"/>
    <w:rsid w:val="00082F51"/>
    <w:rsid w:val="000857C3"/>
    <w:rsid w:val="000867D4"/>
    <w:rsid w:val="000871BE"/>
    <w:rsid w:val="00087603"/>
    <w:rsid w:val="00087896"/>
    <w:rsid w:val="00087AFD"/>
    <w:rsid w:val="00087D88"/>
    <w:rsid w:val="00092FC5"/>
    <w:rsid w:val="0009315A"/>
    <w:rsid w:val="000943CD"/>
    <w:rsid w:val="0009465C"/>
    <w:rsid w:val="00094B40"/>
    <w:rsid w:val="0009585C"/>
    <w:rsid w:val="00096DB6"/>
    <w:rsid w:val="00097364"/>
    <w:rsid w:val="000978F8"/>
    <w:rsid w:val="000A07B8"/>
    <w:rsid w:val="000A07CF"/>
    <w:rsid w:val="000A2D22"/>
    <w:rsid w:val="000A34ED"/>
    <w:rsid w:val="000A40A6"/>
    <w:rsid w:val="000A4A37"/>
    <w:rsid w:val="000A5434"/>
    <w:rsid w:val="000A5F2E"/>
    <w:rsid w:val="000A74A6"/>
    <w:rsid w:val="000B01B3"/>
    <w:rsid w:val="000B0EE6"/>
    <w:rsid w:val="000B24BB"/>
    <w:rsid w:val="000B3B82"/>
    <w:rsid w:val="000B46B0"/>
    <w:rsid w:val="000B4DDD"/>
    <w:rsid w:val="000B5606"/>
    <w:rsid w:val="000B7D83"/>
    <w:rsid w:val="000C0D99"/>
    <w:rsid w:val="000C1B3D"/>
    <w:rsid w:val="000C3CAD"/>
    <w:rsid w:val="000C43D6"/>
    <w:rsid w:val="000C46B1"/>
    <w:rsid w:val="000C4CFD"/>
    <w:rsid w:val="000C5E36"/>
    <w:rsid w:val="000C65C2"/>
    <w:rsid w:val="000C6E9A"/>
    <w:rsid w:val="000D0320"/>
    <w:rsid w:val="000D080F"/>
    <w:rsid w:val="000D19B5"/>
    <w:rsid w:val="000D3633"/>
    <w:rsid w:val="000D367A"/>
    <w:rsid w:val="000D399B"/>
    <w:rsid w:val="000D3D9B"/>
    <w:rsid w:val="000D3E00"/>
    <w:rsid w:val="000D3E02"/>
    <w:rsid w:val="000D5277"/>
    <w:rsid w:val="000D753C"/>
    <w:rsid w:val="000E0A09"/>
    <w:rsid w:val="000E0CD4"/>
    <w:rsid w:val="000E0ED6"/>
    <w:rsid w:val="000E1F77"/>
    <w:rsid w:val="000E44FF"/>
    <w:rsid w:val="000E485B"/>
    <w:rsid w:val="000E54AA"/>
    <w:rsid w:val="000F2196"/>
    <w:rsid w:val="000F2676"/>
    <w:rsid w:val="000F3091"/>
    <w:rsid w:val="000F336B"/>
    <w:rsid w:val="000F33E3"/>
    <w:rsid w:val="000F371E"/>
    <w:rsid w:val="000F3854"/>
    <w:rsid w:val="000F43A4"/>
    <w:rsid w:val="000F4801"/>
    <w:rsid w:val="000F4A81"/>
    <w:rsid w:val="000F59C1"/>
    <w:rsid w:val="000F5E7E"/>
    <w:rsid w:val="000F7E9F"/>
    <w:rsid w:val="001001F0"/>
    <w:rsid w:val="0010072D"/>
    <w:rsid w:val="0010239B"/>
    <w:rsid w:val="001024C0"/>
    <w:rsid w:val="00102A1F"/>
    <w:rsid w:val="00103397"/>
    <w:rsid w:val="00103DF5"/>
    <w:rsid w:val="0010531B"/>
    <w:rsid w:val="0010603E"/>
    <w:rsid w:val="001107D8"/>
    <w:rsid w:val="00110859"/>
    <w:rsid w:val="00110ECB"/>
    <w:rsid w:val="00111A13"/>
    <w:rsid w:val="00111BBD"/>
    <w:rsid w:val="001121F9"/>
    <w:rsid w:val="001125B0"/>
    <w:rsid w:val="00113494"/>
    <w:rsid w:val="00113BFC"/>
    <w:rsid w:val="00114143"/>
    <w:rsid w:val="00116310"/>
    <w:rsid w:val="00116978"/>
    <w:rsid w:val="00117668"/>
    <w:rsid w:val="001177F5"/>
    <w:rsid w:val="00122053"/>
    <w:rsid w:val="00122899"/>
    <w:rsid w:val="00123395"/>
    <w:rsid w:val="001234EA"/>
    <w:rsid w:val="00124B49"/>
    <w:rsid w:val="00124BAA"/>
    <w:rsid w:val="00125D2C"/>
    <w:rsid w:val="001265BA"/>
    <w:rsid w:val="00126B9F"/>
    <w:rsid w:val="00127548"/>
    <w:rsid w:val="00127AB1"/>
    <w:rsid w:val="00127E87"/>
    <w:rsid w:val="001301BC"/>
    <w:rsid w:val="001310D0"/>
    <w:rsid w:val="00131B19"/>
    <w:rsid w:val="00131BD2"/>
    <w:rsid w:val="001327E3"/>
    <w:rsid w:val="001328D6"/>
    <w:rsid w:val="00132EDB"/>
    <w:rsid w:val="00133006"/>
    <w:rsid w:val="00133874"/>
    <w:rsid w:val="00133E49"/>
    <w:rsid w:val="001342BE"/>
    <w:rsid w:val="001348C8"/>
    <w:rsid w:val="00135993"/>
    <w:rsid w:val="0013606C"/>
    <w:rsid w:val="001367F5"/>
    <w:rsid w:val="001378FF"/>
    <w:rsid w:val="001416BC"/>
    <w:rsid w:val="00141722"/>
    <w:rsid w:val="00141D38"/>
    <w:rsid w:val="00142EF4"/>
    <w:rsid w:val="00144F9E"/>
    <w:rsid w:val="00145AE8"/>
    <w:rsid w:val="00146E0D"/>
    <w:rsid w:val="001477B2"/>
    <w:rsid w:val="00147E97"/>
    <w:rsid w:val="001514C8"/>
    <w:rsid w:val="001527CC"/>
    <w:rsid w:val="00154B61"/>
    <w:rsid w:val="0015535A"/>
    <w:rsid w:val="00156C76"/>
    <w:rsid w:val="00157D3D"/>
    <w:rsid w:val="0016032F"/>
    <w:rsid w:val="0016040C"/>
    <w:rsid w:val="001605FE"/>
    <w:rsid w:val="0016080D"/>
    <w:rsid w:val="00160C81"/>
    <w:rsid w:val="00161408"/>
    <w:rsid w:val="00163252"/>
    <w:rsid w:val="0016369E"/>
    <w:rsid w:val="00165602"/>
    <w:rsid w:val="00166E04"/>
    <w:rsid w:val="001670AC"/>
    <w:rsid w:val="0016714F"/>
    <w:rsid w:val="0016721C"/>
    <w:rsid w:val="001675AC"/>
    <w:rsid w:val="001677A6"/>
    <w:rsid w:val="00170399"/>
    <w:rsid w:val="001717BC"/>
    <w:rsid w:val="00173512"/>
    <w:rsid w:val="00177288"/>
    <w:rsid w:val="0017755C"/>
    <w:rsid w:val="00182CC4"/>
    <w:rsid w:val="00183AD8"/>
    <w:rsid w:val="00184230"/>
    <w:rsid w:val="00185E11"/>
    <w:rsid w:val="001879F6"/>
    <w:rsid w:val="00190412"/>
    <w:rsid w:val="00192310"/>
    <w:rsid w:val="0019252E"/>
    <w:rsid w:val="0019270E"/>
    <w:rsid w:val="0019411B"/>
    <w:rsid w:val="00194568"/>
    <w:rsid w:val="00195879"/>
    <w:rsid w:val="00196415"/>
    <w:rsid w:val="001A1EBF"/>
    <w:rsid w:val="001A3CA3"/>
    <w:rsid w:val="001A5B17"/>
    <w:rsid w:val="001A70D5"/>
    <w:rsid w:val="001A7203"/>
    <w:rsid w:val="001A7CBE"/>
    <w:rsid w:val="001B08D5"/>
    <w:rsid w:val="001B08E9"/>
    <w:rsid w:val="001B0A1C"/>
    <w:rsid w:val="001B0A96"/>
    <w:rsid w:val="001B0C05"/>
    <w:rsid w:val="001B3652"/>
    <w:rsid w:val="001B6099"/>
    <w:rsid w:val="001B684D"/>
    <w:rsid w:val="001B6F88"/>
    <w:rsid w:val="001B761E"/>
    <w:rsid w:val="001C0148"/>
    <w:rsid w:val="001C0EDF"/>
    <w:rsid w:val="001C2646"/>
    <w:rsid w:val="001C41E9"/>
    <w:rsid w:val="001C442A"/>
    <w:rsid w:val="001C4851"/>
    <w:rsid w:val="001C4B1E"/>
    <w:rsid w:val="001C566A"/>
    <w:rsid w:val="001C6037"/>
    <w:rsid w:val="001C6044"/>
    <w:rsid w:val="001C757E"/>
    <w:rsid w:val="001D1153"/>
    <w:rsid w:val="001D1E97"/>
    <w:rsid w:val="001D29D0"/>
    <w:rsid w:val="001D3D99"/>
    <w:rsid w:val="001D50BF"/>
    <w:rsid w:val="001D5809"/>
    <w:rsid w:val="001D5AEB"/>
    <w:rsid w:val="001D67A3"/>
    <w:rsid w:val="001E08A5"/>
    <w:rsid w:val="001E316B"/>
    <w:rsid w:val="001E4038"/>
    <w:rsid w:val="001E484C"/>
    <w:rsid w:val="001E7367"/>
    <w:rsid w:val="001E7B50"/>
    <w:rsid w:val="001F0399"/>
    <w:rsid w:val="001F0CD2"/>
    <w:rsid w:val="001F0D75"/>
    <w:rsid w:val="001F1FFF"/>
    <w:rsid w:val="001F2A2D"/>
    <w:rsid w:val="001F2B5A"/>
    <w:rsid w:val="001F2CCD"/>
    <w:rsid w:val="001F2EDC"/>
    <w:rsid w:val="001F312F"/>
    <w:rsid w:val="001F3F9B"/>
    <w:rsid w:val="001F4470"/>
    <w:rsid w:val="001F5627"/>
    <w:rsid w:val="001F642C"/>
    <w:rsid w:val="001F6584"/>
    <w:rsid w:val="001F69D3"/>
    <w:rsid w:val="001F7510"/>
    <w:rsid w:val="001F77AF"/>
    <w:rsid w:val="002013CC"/>
    <w:rsid w:val="00201503"/>
    <w:rsid w:val="0020250D"/>
    <w:rsid w:val="002030C9"/>
    <w:rsid w:val="002038A9"/>
    <w:rsid w:val="0020390F"/>
    <w:rsid w:val="00207D95"/>
    <w:rsid w:val="00211561"/>
    <w:rsid w:val="00212787"/>
    <w:rsid w:val="00212A36"/>
    <w:rsid w:val="00213361"/>
    <w:rsid w:val="00213D6A"/>
    <w:rsid w:val="00214356"/>
    <w:rsid w:val="002160E7"/>
    <w:rsid w:val="00217167"/>
    <w:rsid w:val="00220386"/>
    <w:rsid w:val="00221E24"/>
    <w:rsid w:val="00222135"/>
    <w:rsid w:val="00222F62"/>
    <w:rsid w:val="002235A9"/>
    <w:rsid w:val="00223AEC"/>
    <w:rsid w:val="00223FEE"/>
    <w:rsid w:val="002270AD"/>
    <w:rsid w:val="00227890"/>
    <w:rsid w:val="00227CFA"/>
    <w:rsid w:val="00230BB5"/>
    <w:rsid w:val="002316FC"/>
    <w:rsid w:val="002317C9"/>
    <w:rsid w:val="00232F01"/>
    <w:rsid w:val="002343DA"/>
    <w:rsid w:val="0023586A"/>
    <w:rsid w:val="0023697C"/>
    <w:rsid w:val="00237737"/>
    <w:rsid w:val="002407EF"/>
    <w:rsid w:val="00242839"/>
    <w:rsid w:val="00243066"/>
    <w:rsid w:val="00243A46"/>
    <w:rsid w:val="0024484D"/>
    <w:rsid w:val="00244B0A"/>
    <w:rsid w:val="00246D4C"/>
    <w:rsid w:val="00246FC1"/>
    <w:rsid w:val="002477D9"/>
    <w:rsid w:val="002478DB"/>
    <w:rsid w:val="002508A7"/>
    <w:rsid w:val="0025179D"/>
    <w:rsid w:val="00252AA6"/>
    <w:rsid w:val="00253298"/>
    <w:rsid w:val="00253B30"/>
    <w:rsid w:val="00254BF8"/>
    <w:rsid w:val="00254FC9"/>
    <w:rsid w:val="00255346"/>
    <w:rsid w:val="00255559"/>
    <w:rsid w:val="00257370"/>
    <w:rsid w:val="002578E5"/>
    <w:rsid w:val="0026288F"/>
    <w:rsid w:val="002635F5"/>
    <w:rsid w:val="002636D0"/>
    <w:rsid w:val="00263FC7"/>
    <w:rsid w:val="002640F3"/>
    <w:rsid w:val="0026490D"/>
    <w:rsid w:val="00264926"/>
    <w:rsid w:val="00264ED1"/>
    <w:rsid w:val="00265957"/>
    <w:rsid w:val="00265EB1"/>
    <w:rsid w:val="00270D04"/>
    <w:rsid w:val="00271248"/>
    <w:rsid w:val="00271578"/>
    <w:rsid w:val="00273A60"/>
    <w:rsid w:val="002740B1"/>
    <w:rsid w:val="00274251"/>
    <w:rsid w:val="00274449"/>
    <w:rsid w:val="00274AD3"/>
    <w:rsid w:val="00275CC7"/>
    <w:rsid w:val="00275E57"/>
    <w:rsid w:val="00277184"/>
    <w:rsid w:val="002773F5"/>
    <w:rsid w:val="00277A1F"/>
    <w:rsid w:val="0028183A"/>
    <w:rsid w:val="00281B67"/>
    <w:rsid w:val="00281E71"/>
    <w:rsid w:val="00282332"/>
    <w:rsid w:val="0028306D"/>
    <w:rsid w:val="0028454A"/>
    <w:rsid w:val="002845EB"/>
    <w:rsid w:val="00284AA2"/>
    <w:rsid w:val="00284EAC"/>
    <w:rsid w:val="002856C2"/>
    <w:rsid w:val="00286685"/>
    <w:rsid w:val="00286E67"/>
    <w:rsid w:val="00287A82"/>
    <w:rsid w:val="00287D2C"/>
    <w:rsid w:val="00290317"/>
    <w:rsid w:val="00290C79"/>
    <w:rsid w:val="00291009"/>
    <w:rsid w:val="0029459A"/>
    <w:rsid w:val="00294AA0"/>
    <w:rsid w:val="00294DE7"/>
    <w:rsid w:val="00294F9F"/>
    <w:rsid w:val="002958CA"/>
    <w:rsid w:val="00295EAE"/>
    <w:rsid w:val="0029663E"/>
    <w:rsid w:val="00296642"/>
    <w:rsid w:val="002969F7"/>
    <w:rsid w:val="00296BDD"/>
    <w:rsid w:val="00297B44"/>
    <w:rsid w:val="002A1BE1"/>
    <w:rsid w:val="002A2999"/>
    <w:rsid w:val="002A3322"/>
    <w:rsid w:val="002A3578"/>
    <w:rsid w:val="002A3B4C"/>
    <w:rsid w:val="002A54E1"/>
    <w:rsid w:val="002A5B4C"/>
    <w:rsid w:val="002A5FC7"/>
    <w:rsid w:val="002A781F"/>
    <w:rsid w:val="002B1F89"/>
    <w:rsid w:val="002B42C0"/>
    <w:rsid w:val="002B6781"/>
    <w:rsid w:val="002B77DB"/>
    <w:rsid w:val="002B7A8F"/>
    <w:rsid w:val="002C1CA1"/>
    <w:rsid w:val="002C2E5E"/>
    <w:rsid w:val="002C36FD"/>
    <w:rsid w:val="002C6D45"/>
    <w:rsid w:val="002D10A5"/>
    <w:rsid w:val="002D132D"/>
    <w:rsid w:val="002D186D"/>
    <w:rsid w:val="002D1A19"/>
    <w:rsid w:val="002D21BC"/>
    <w:rsid w:val="002D23B4"/>
    <w:rsid w:val="002D2F3C"/>
    <w:rsid w:val="002D37BF"/>
    <w:rsid w:val="002D4481"/>
    <w:rsid w:val="002D46ED"/>
    <w:rsid w:val="002D4809"/>
    <w:rsid w:val="002D4A6E"/>
    <w:rsid w:val="002D4BE9"/>
    <w:rsid w:val="002D4CFC"/>
    <w:rsid w:val="002D6490"/>
    <w:rsid w:val="002D6C01"/>
    <w:rsid w:val="002D7CD9"/>
    <w:rsid w:val="002E01AE"/>
    <w:rsid w:val="002E1225"/>
    <w:rsid w:val="002E1730"/>
    <w:rsid w:val="002E4D56"/>
    <w:rsid w:val="002E599A"/>
    <w:rsid w:val="002E6EA2"/>
    <w:rsid w:val="002E763E"/>
    <w:rsid w:val="002E7B8B"/>
    <w:rsid w:val="002F1ECE"/>
    <w:rsid w:val="002F22E3"/>
    <w:rsid w:val="002F2591"/>
    <w:rsid w:val="002F337B"/>
    <w:rsid w:val="002F409B"/>
    <w:rsid w:val="002F4337"/>
    <w:rsid w:val="002F55D1"/>
    <w:rsid w:val="002F5F42"/>
    <w:rsid w:val="002F5F98"/>
    <w:rsid w:val="002F7C52"/>
    <w:rsid w:val="00300560"/>
    <w:rsid w:val="003023A2"/>
    <w:rsid w:val="0030249A"/>
    <w:rsid w:val="00303B44"/>
    <w:rsid w:val="00303EAA"/>
    <w:rsid w:val="003041BF"/>
    <w:rsid w:val="00304342"/>
    <w:rsid w:val="00305153"/>
    <w:rsid w:val="0030531A"/>
    <w:rsid w:val="00305599"/>
    <w:rsid w:val="00305782"/>
    <w:rsid w:val="00305D7D"/>
    <w:rsid w:val="00306F00"/>
    <w:rsid w:val="003104FE"/>
    <w:rsid w:val="00311C55"/>
    <w:rsid w:val="00312563"/>
    <w:rsid w:val="00312D14"/>
    <w:rsid w:val="003132FE"/>
    <w:rsid w:val="00313484"/>
    <w:rsid w:val="0031373F"/>
    <w:rsid w:val="00313BA0"/>
    <w:rsid w:val="00316470"/>
    <w:rsid w:val="00316779"/>
    <w:rsid w:val="00316967"/>
    <w:rsid w:val="00316FA1"/>
    <w:rsid w:val="003171CC"/>
    <w:rsid w:val="00317B0A"/>
    <w:rsid w:val="00317BAF"/>
    <w:rsid w:val="00320B8A"/>
    <w:rsid w:val="00320F81"/>
    <w:rsid w:val="003214A6"/>
    <w:rsid w:val="00321BE8"/>
    <w:rsid w:val="003245DA"/>
    <w:rsid w:val="003252FC"/>
    <w:rsid w:val="003254EB"/>
    <w:rsid w:val="003256F1"/>
    <w:rsid w:val="00326D99"/>
    <w:rsid w:val="00327105"/>
    <w:rsid w:val="0032726B"/>
    <w:rsid w:val="00331B4C"/>
    <w:rsid w:val="00331DEF"/>
    <w:rsid w:val="003324AA"/>
    <w:rsid w:val="00332B28"/>
    <w:rsid w:val="00332CA8"/>
    <w:rsid w:val="0033534B"/>
    <w:rsid w:val="00335912"/>
    <w:rsid w:val="00335EA7"/>
    <w:rsid w:val="0033628C"/>
    <w:rsid w:val="00337DAE"/>
    <w:rsid w:val="00340658"/>
    <w:rsid w:val="00340DC3"/>
    <w:rsid w:val="00341D5F"/>
    <w:rsid w:val="0034274E"/>
    <w:rsid w:val="003438E6"/>
    <w:rsid w:val="003448C6"/>
    <w:rsid w:val="00344FAA"/>
    <w:rsid w:val="0034500A"/>
    <w:rsid w:val="003456F6"/>
    <w:rsid w:val="00345D02"/>
    <w:rsid w:val="00345DC5"/>
    <w:rsid w:val="0034791B"/>
    <w:rsid w:val="00347BA3"/>
    <w:rsid w:val="003513DE"/>
    <w:rsid w:val="00351E0A"/>
    <w:rsid w:val="00351ED9"/>
    <w:rsid w:val="00352B08"/>
    <w:rsid w:val="00352F9A"/>
    <w:rsid w:val="00353FAE"/>
    <w:rsid w:val="00354095"/>
    <w:rsid w:val="003545B2"/>
    <w:rsid w:val="00354D0F"/>
    <w:rsid w:val="00354DDB"/>
    <w:rsid w:val="003553FB"/>
    <w:rsid w:val="0035667B"/>
    <w:rsid w:val="00356FD7"/>
    <w:rsid w:val="003609EC"/>
    <w:rsid w:val="003619A4"/>
    <w:rsid w:val="00362A27"/>
    <w:rsid w:val="00363D33"/>
    <w:rsid w:val="003647F1"/>
    <w:rsid w:val="00364B9D"/>
    <w:rsid w:val="00364C85"/>
    <w:rsid w:val="00365918"/>
    <w:rsid w:val="00366357"/>
    <w:rsid w:val="00372941"/>
    <w:rsid w:val="003756DF"/>
    <w:rsid w:val="00375775"/>
    <w:rsid w:val="003763FE"/>
    <w:rsid w:val="00377868"/>
    <w:rsid w:val="00377D5A"/>
    <w:rsid w:val="003804BC"/>
    <w:rsid w:val="0038275C"/>
    <w:rsid w:val="00382B47"/>
    <w:rsid w:val="0038309D"/>
    <w:rsid w:val="0038391C"/>
    <w:rsid w:val="00383BA8"/>
    <w:rsid w:val="00383C17"/>
    <w:rsid w:val="00383C90"/>
    <w:rsid w:val="00383FAE"/>
    <w:rsid w:val="00385CCD"/>
    <w:rsid w:val="00386303"/>
    <w:rsid w:val="00387906"/>
    <w:rsid w:val="00391C07"/>
    <w:rsid w:val="00391EDF"/>
    <w:rsid w:val="00392048"/>
    <w:rsid w:val="00392B9D"/>
    <w:rsid w:val="003931DC"/>
    <w:rsid w:val="00393950"/>
    <w:rsid w:val="00395C10"/>
    <w:rsid w:val="00396B27"/>
    <w:rsid w:val="00396CFF"/>
    <w:rsid w:val="003970FB"/>
    <w:rsid w:val="00397225"/>
    <w:rsid w:val="00397765"/>
    <w:rsid w:val="003A1DE2"/>
    <w:rsid w:val="003A1E8F"/>
    <w:rsid w:val="003A3440"/>
    <w:rsid w:val="003A3DA9"/>
    <w:rsid w:val="003A3FD4"/>
    <w:rsid w:val="003A6BE7"/>
    <w:rsid w:val="003A6DE2"/>
    <w:rsid w:val="003B06E8"/>
    <w:rsid w:val="003B07B8"/>
    <w:rsid w:val="003B139D"/>
    <w:rsid w:val="003B1582"/>
    <w:rsid w:val="003B1ACB"/>
    <w:rsid w:val="003B310B"/>
    <w:rsid w:val="003B4457"/>
    <w:rsid w:val="003B523C"/>
    <w:rsid w:val="003B57C0"/>
    <w:rsid w:val="003B6F00"/>
    <w:rsid w:val="003C02ED"/>
    <w:rsid w:val="003C18CE"/>
    <w:rsid w:val="003C1D06"/>
    <w:rsid w:val="003C2489"/>
    <w:rsid w:val="003C2CBA"/>
    <w:rsid w:val="003C4026"/>
    <w:rsid w:val="003C5ED8"/>
    <w:rsid w:val="003D1582"/>
    <w:rsid w:val="003D28AA"/>
    <w:rsid w:val="003D3043"/>
    <w:rsid w:val="003D377A"/>
    <w:rsid w:val="003D4670"/>
    <w:rsid w:val="003D6B69"/>
    <w:rsid w:val="003D6DE3"/>
    <w:rsid w:val="003D7E4C"/>
    <w:rsid w:val="003E1048"/>
    <w:rsid w:val="003E15C3"/>
    <w:rsid w:val="003E1698"/>
    <w:rsid w:val="003E2579"/>
    <w:rsid w:val="003E2741"/>
    <w:rsid w:val="003E3788"/>
    <w:rsid w:val="003E41C2"/>
    <w:rsid w:val="003E4412"/>
    <w:rsid w:val="003E56F6"/>
    <w:rsid w:val="003E5B8F"/>
    <w:rsid w:val="003E7435"/>
    <w:rsid w:val="003F0550"/>
    <w:rsid w:val="003F09D4"/>
    <w:rsid w:val="003F15AA"/>
    <w:rsid w:val="003F1635"/>
    <w:rsid w:val="003F2712"/>
    <w:rsid w:val="003F3070"/>
    <w:rsid w:val="003F3D6D"/>
    <w:rsid w:val="003F4159"/>
    <w:rsid w:val="003F422F"/>
    <w:rsid w:val="003F4428"/>
    <w:rsid w:val="003F494F"/>
    <w:rsid w:val="003F67BD"/>
    <w:rsid w:val="003F757E"/>
    <w:rsid w:val="0040084C"/>
    <w:rsid w:val="004010AE"/>
    <w:rsid w:val="00401177"/>
    <w:rsid w:val="00401CF5"/>
    <w:rsid w:val="0040230A"/>
    <w:rsid w:val="00402312"/>
    <w:rsid w:val="00402497"/>
    <w:rsid w:val="00402D8A"/>
    <w:rsid w:val="00406BDC"/>
    <w:rsid w:val="00407F32"/>
    <w:rsid w:val="004117DD"/>
    <w:rsid w:val="0041289D"/>
    <w:rsid w:val="00412A80"/>
    <w:rsid w:val="00413E7A"/>
    <w:rsid w:val="004153A4"/>
    <w:rsid w:val="00415D6C"/>
    <w:rsid w:val="00415E14"/>
    <w:rsid w:val="00416323"/>
    <w:rsid w:val="00417A79"/>
    <w:rsid w:val="00421394"/>
    <w:rsid w:val="00421D99"/>
    <w:rsid w:val="004228C1"/>
    <w:rsid w:val="00422C67"/>
    <w:rsid w:val="004239FA"/>
    <w:rsid w:val="00426B1E"/>
    <w:rsid w:val="0043092B"/>
    <w:rsid w:val="00430F43"/>
    <w:rsid w:val="00431EFD"/>
    <w:rsid w:val="00432B20"/>
    <w:rsid w:val="0043318F"/>
    <w:rsid w:val="004334FE"/>
    <w:rsid w:val="0043472B"/>
    <w:rsid w:val="00434B16"/>
    <w:rsid w:val="00435EC0"/>
    <w:rsid w:val="004373E2"/>
    <w:rsid w:val="004376FB"/>
    <w:rsid w:val="0044011F"/>
    <w:rsid w:val="004403DB"/>
    <w:rsid w:val="00440838"/>
    <w:rsid w:val="00441D30"/>
    <w:rsid w:val="004426E4"/>
    <w:rsid w:val="00442C52"/>
    <w:rsid w:val="00444219"/>
    <w:rsid w:val="00445B23"/>
    <w:rsid w:val="004469BF"/>
    <w:rsid w:val="004510F3"/>
    <w:rsid w:val="00451A2F"/>
    <w:rsid w:val="00451A57"/>
    <w:rsid w:val="00451B35"/>
    <w:rsid w:val="00451F13"/>
    <w:rsid w:val="00452428"/>
    <w:rsid w:val="004530BF"/>
    <w:rsid w:val="004538DB"/>
    <w:rsid w:val="00453EAB"/>
    <w:rsid w:val="00456103"/>
    <w:rsid w:val="00456522"/>
    <w:rsid w:val="004570D2"/>
    <w:rsid w:val="0046149D"/>
    <w:rsid w:val="004614A8"/>
    <w:rsid w:val="00461C35"/>
    <w:rsid w:val="00464E9D"/>
    <w:rsid w:val="00465191"/>
    <w:rsid w:val="00465819"/>
    <w:rsid w:val="004660E8"/>
    <w:rsid w:val="0047136E"/>
    <w:rsid w:val="00471743"/>
    <w:rsid w:val="004717C3"/>
    <w:rsid w:val="0047208A"/>
    <w:rsid w:val="00473C2A"/>
    <w:rsid w:val="00473F74"/>
    <w:rsid w:val="00474084"/>
    <w:rsid w:val="0047517A"/>
    <w:rsid w:val="00475F91"/>
    <w:rsid w:val="00476389"/>
    <w:rsid w:val="00476D39"/>
    <w:rsid w:val="00477315"/>
    <w:rsid w:val="00480001"/>
    <w:rsid w:val="00481373"/>
    <w:rsid w:val="004821C8"/>
    <w:rsid w:val="00482F94"/>
    <w:rsid w:val="00483502"/>
    <w:rsid w:val="00484B6D"/>
    <w:rsid w:val="004856F2"/>
    <w:rsid w:val="00486302"/>
    <w:rsid w:val="0048665C"/>
    <w:rsid w:val="00486DF0"/>
    <w:rsid w:val="00487AC9"/>
    <w:rsid w:val="004912B1"/>
    <w:rsid w:val="0049159F"/>
    <w:rsid w:val="00492595"/>
    <w:rsid w:val="00493195"/>
    <w:rsid w:val="0049347B"/>
    <w:rsid w:val="00493E98"/>
    <w:rsid w:val="004949DF"/>
    <w:rsid w:val="004950CD"/>
    <w:rsid w:val="004956AA"/>
    <w:rsid w:val="004958AC"/>
    <w:rsid w:val="00495F7F"/>
    <w:rsid w:val="00497462"/>
    <w:rsid w:val="0049772C"/>
    <w:rsid w:val="004979E5"/>
    <w:rsid w:val="004A0BE7"/>
    <w:rsid w:val="004A21F6"/>
    <w:rsid w:val="004A3977"/>
    <w:rsid w:val="004A39CB"/>
    <w:rsid w:val="004A486B"/>
    <w:rsid w:val="004A4B6D"/>
    <w:rsid w:val="004A4BD6"/>
    <w:rsid w:val="004A4C06"/>
    <w:rsid w:val="004A5989"/>
    <w:rsid w:val="004A7369"/>
    <w:rsid w:val="004A75F7"/>
    <w:rsid w:val="004A7770"/>
    <w:rsid w:val="004B0707"/>
    <w:rsid w:val="004B0AF9"/>
    <w:rsid w:val="004B0B1D"/>
    <w:rsid w:val="004B1B64"/>
    <w:rsid w:val="004B39AE"/>
    <w:rsid w:val="004B6849"/>
    <w:rsid w:val="004B7222"/>
    <w:rsid w:val="004B7933"/>
    <w:rsid w:val="004B7E16"/>
    <w:rsid w:val="004C09AA"/>
    <w:rsid w:val="004C11E5"/>
    <w:rsid w:val="004C20AE"/>
    <w:rsid w:val="004C3AA2"/>
    <w:rsid w:val="004C523F"/>
    <w:rsid w:val="004C5880"/>
    <w:rsid w:val="004C5D3A"/>
    <w:rsid w:val="004C5E87"/>
    <w:rsid w:val="004C6EC5"/>
    <w:rsid w:val="004D0796"/>
    <w:rsid w:val="004D0A55"/>
    <w:rsid w:val="004D2FF7"/>
    <w:rsid w:val="004D510D"/>
    <w:rsid w:val="004D554A"/>
    <w:rsid w:val="004D5C85"/>
    <w:rsid w:val="004D60E2"/>
    <w:rsid w:val="004D7C95"/>
    <w:rsid w:val="004E0378"/>
    <w:rsid w:val="004E14C8"/>
    <w:rsid w:val="004E26C7"/>
    <w:rsid w:val="004E2D1C"/>
    <w:rsid w:val="004E3253"/>
    <w:rsid w:val="004E3941"/>
    <w:rsid w:val="004E4000"/>
    <w:rsid w:val="004E407A"/>
    <w:rsid w:val="004E52D6"/>
    <w:rsid w:val="004E600F"/>
    <w:rsid w:val="004E688A"/>
    <w:rsid w:val="004E6C82"/>
    <w:rsid w:val="004E7AEC"/>
    <w:rsid w:val="004F0AE2"/>
    <w:rsid w:val="004F0CAE"/>
    <w:rsid w:val="004F116B"/>
    <w:rsid w:val="004F143A"/>
    <w:rsid w:val="004F1B81"/>
    <w:rsid w:val="004F1F2A"/>
    <w:rsid w:val="004F3383"/>
    <w:rsid w:val="004F37DE"/>
    <w:rsid w:val="004F456B"/>
    <w:rsid w:val="004F5FD1"/>
    <w:rsid w:val="004F7975"/>
    <w:rsid w:val="00501A36"/>
    <w:rsid w:val="00501D86"/>
    <w:rsid w:val="00502CE5"/>
    <w:rsid w:val="005036E9"/>
    <w:rsid w:val="00504833"/>
    <w:rsid w:val="00504BED"/>
    <w:rsid w:val="00505873"/>
    <w:rsid w:val="00505A62"/>
    <w:rsid w:val="00505AE2"/>
    <w:rsid w:val="00506157"/>
    <w:rsid w:val="00506A8D"/>
    <w:rsid w:val="005070BF"/>
    <w:rsid w:val="00507E2D"/>
    <w:rsid w:val="0051149B"/>
    <w:rsid w:val="00512BD1"/>
    <w:rsid w:val="00513780"/>
    <w:rsid w:val="005140CF"/>
    <w:rsid w:val="0051698A"/>
    <w:rsid w:val="00516A9F"/>
    <w:rsid w:val="00517A51"/>
    <w:rsid w:val="00521297"/>
    <w:rsid w:val="0052206E"/>
    <w:rsid w:val="00522640"/>
    <w:rsid w:val="00522A2F"/>
    <w:rsid w:val="0052496C"/>
    <w:rsid w:val="00524B0E"/>
    <w:rsid w:val="00524E86"/>
    <w:rsid w:val="0052664D"/>
    <w:rsid w:val="005304AF"/>
    <w:rsid w:val="00530E5C"/>
    <w:rsid w:val="00532D66"/>
    <w:rsid w:val="005335DB"/>
    <w:rsid w:val="005350BB"/>
    <w:rsid w:val="00536487"/>
    <w:rsid w:val="00536571"/>
    <w:rsid w:val="005365C9"/>
    <w:rsid w:val="005367ED"/>
    <w:rsid w:val="00536B65"/>
    <w:rsid w:val="00537C2B"/>
    <w:rsid w:val="00541993"/>
    <w:rsid w:val="0054302B"/>
    <w:rsid w:val="00543236"/>
    <w:rsid w:val="005443A8"/>
    <w:rsid w:val="00544650"/>
    <w:rsid w:val="00544776"/>
    <w:rsid w:val="00544B54"/>
    <w:rsid w:val="00545AB5"/>
    <w:rsid w:val="0054666E"/>
    <w:rsid w:val="00547D59"/>
    <w:rsid w:val="00550A78"/>
    <w:rsid w:val="00551F25"/>
    <w:rsid w:val="00552E3F"/>
    <w:rsid w:val="00552EEB"/>
    <w:rsid w:val="005538FD"/>
    <w:rsid w:val="00553F2C"/>
    <w:rsid w:val="0055431D"/>
    <w:rsid w:val="00554426"/>
    <w:rsid w:val="00554A00"/>
    <w:rsid w:val="0055565D"/>
    <w:rsid w:val="0055691A"/>
    <w:rsid w:val="00556DE1"/>
    <w:rsid w:val="005577AD"/>
    <w:rsid w:val="00560083"/>
    <w:rsid w:val="00560C93"/>
    <w:rsid w:val="00560D2C"/>
    <w:rsid w:val="00561190"/>
    <w:rsid w:val="00561D0C"/>
    <w:rsid w:val="005620EB"/>
    <w:rsid w:val="00562626"/>
    <w:rsid w:val="0056398C"/>
    <w:rsid w:val="005653F7"/>
    <w:rsid w:val="00565732"/>
    <w:rsid w:val="00565B6A"/>
    <w:rsid w:val="00566C3E"/>
    <w:rsid w:val="00566FDB"/>
    <w:rsid w:val="0056785A"/>
    <w:rsid w:val="00571349"/>
    <w:rsid w:val="00572649"/>
    <w:rsid w:val="00573B56"/>
    <w:rsid w:val="00573C89"/>
    <w:rsid w:val="00573E2D"/>
    <w:rsid w:val="00574B06"/>
    <w:rsid w:val="00575407"/>
    <w:rsid w:val="00575AE7"/>
    <w:rsid w:val="005761A6"/>
    <w:rsid w:val="005771EB"/>
    <w:rsid w:val="00581590"/>
    <w:rsid w:val="00581DD6"/>
    <w:rsid w:val="00582522"/>
    <w:rsid w:val="00582883"/>
    <w:rsid w:val="00583785"/>
    <w:rsid w:val="005840B9"/>
    <w:rsid w:val="005844D3"/>
    <w:rsid w:val="00585635"/>
    <w:rsid w:val="00585E63"/>
    <w:rsid w:val="00585EBC"/>
    <w:rsid w:val="0058628E"/>
    <w:rsid w:val="0058649F"/>
    <w:rsid w:val="00587D6A"/>
    <w:rsid w:val="00587D96"/>
    <w:rsid w:val="0059016F"/>
    <w:rsid w:val="00590E4A"/>
    <w:rsid w:val="00591AD9"/>
    <w:rsid w:val="00591EE9"/>
    <w:rsid w:val="00595179"/>
    <w:rsid w:val="005951CE"/>
    <w:rsid w:val="00597269"/>
    <w:rsid w:val="00597E66"/>
    <w:rsid w:val="005A01E6"/>
    <w:rsid w:val="005A1A12"/>
    <w:rsid w:val="005A1F86"/>
    <w:rsid w:val="005A1FE6"/>
    <w:rsid w:val="005A249D"/>
    <w:rsid w:val="005A2C23"/>
    <w:rsid w:val="005A592E"/>
    <w:rsid w:val="005A68D2"/>
    <w:rsid w:val="005A7737"/>
    <w:rsid w:val="005B00A6"/>
    <w:rsid w:val="005B0EDA"/>
    <w:rsid w:val="005B165D"/>
    <w:rsid w:val="005B2A42"/>
    <w:rsid w:val="005B372F"/>
    <w:rsid w:val="005B6038"/>
    <w:rsid w:val="005B6FAA"/>
    <w:rsid w:val="005B7760"/>
    <w:rsid w:val="005B7E13"/>
    <w:rsid w:val="005B7FA5"/>
    <w:rsid w:val="005C0E5E"/>
    <w:rsid w:val="005C1FD2"/>
    <w:rsid w:val="005C26F4"/>
    <w:rsid w:val="005C2D65"/>
    <w:rsid w:val="005C3132"/>
    <w:rsid w:val="005C32AE"/>
    <w:rsid w:val="005C4B3F"/>
    <w:rsid w:val="005C58D4"/>
    <w:rsid w:val="005C7FC8"/>
    <w:rsid w:val="005D0954"/>
    <w:rsid w:val="005D125A"/>
    <w:rsid w:val="005D2580"/>
    <w:rsid w:val="005D25C7"/>
    <w:rsid w:val="005D2B72"/>
    <w:rsid w:val="005D46DF"/>
    <w:rsid w:val="005D4D1B"/>
    <w:rsid w:val="005D6F9F"/>
    <w:rsid w:val="005D78A2"/>
    <w:rsid w:val="005D7AF6"/>
    <w:rsid w:val="005E034A"/>
    <w:rsid w:val="005E0D4B"/>
    <w:rsid w:val="005E0FB7"/>
    <w:rsid w:val="005E0FBE"/>
    <w:rsid w:val="005E37EF"/>
    <w:rsid w:val="005E3E88"/>
    <w:rsid w:val="005E5211"/>
    <w:rsid w:val="005E5676"/>
    <w:rsid w:val="005E735A"/>
    <w:rsid w:val="005E7850"/>
    <w:rsid w:val="005E7C7C"/>
    <w:rsid w:val="005F01CE"/>
    <w:rsid w:val="005F078A"/>
    <w:rsid w:val="005F0BBE"/>
    <w:rsid w:val="005F0D89"/>
    <w:rsid w:val="005F1793"/>
    <w:rsid w:val="005F1A04"/>
    <w:rsid w:val="005F1B5B"/>
    <w:rsid w:val="005F3693"/>
    <w:rsid w:val="005F77CB"/>
    <w:rsid w:val="00600C87"/>
    <w:rsid w:val="0060142D"/>
    <w:rsid w:val="006014C2"/>
    <w:rsid w:val="0060250A"/>
    <w:rsid w:val="0060270A"/>
    <w:rsid w:val="006027A7"/>
    <w:rsid w:val="0060442A"/>
    <w:rsid w:val="00604A77"/>
    <w:rsid w:val="006055BA"/>
    <w:rsid w:val="00605AEF"/>
    <w:rsid w:val="00605C82"/>
    <w:rsid w:val="00607310"/>
    <w:rsid w:val="00610283"/>
    <w:rsid w:val="006105BB"/>
    <w:rsid w:val="00610A75"/>
    <w:rsid w:val="00610EF7"/>
    <w:rsid w:val="00611E9E"/>
    <w:rsid w:val="00612134"/>
    <w:rsid w:val="00612158"/>
    <w:rsid w:val="00613275"/>
    <w:rsid w:val="00613FDF"/>
    <w:rsid w:val="0061521A"/>
    <w:rsid w:val="00615E63"/>
    <w:rsid w:val="00615F52"/>
    <w:rsid w:val="00617282"/>
    <w:rsid w:val="00617E08"/>
    <w:rsid w:val="006208CD"/>
    <w:rsid w:val="00621B28"/>
    <w:rsid w:val="006223AD"/>
    <w:rsid w:val="0062397C"/>
    <w:rsid w:val="00623B4B"/>
    <w:rsid w:val="00624DBC"/>
    <w:rsid w:val="006265B4"/>
    <w:rsid w:val="00626C0A"/>
    <w:rsid w:val="00626DF5"/>
    <w:rsid w:val="00627B03"/>
    <w:rsid w:val="00630BDA"/>
    <w:rsid w:val="00630C56"/>
    <w:rsid w:val="00631587"/>
    <w:rsid w:val="0063202F"/>
    <w:rsid w:val="0063209E"/>
    <w:rsid w:val="00633134"/>
    <w:rsid w:val="00633E16"/>
    <w:rsid w:val="00634FA3"/>
    <w:rsid w:val="0063683E"/>
    <w:rsid w:val="00636A45"/>
    <w:rsid w:val="00637024"/>
    <w:rsid w:val="006374EB"/>
    <w:rsid w:val="006377FE"/>
    <w:rsid w:val="00640087"/>
    <w:rsid w:val="006402BD"/>
    <w:rsid w:val="00640B3D"/>
    <w:rsid w:val="0064190A"/>
    <w:rsid w:val="00642162"/>
    <w:rsid w:val="00643DAA"/>
    <w:rsid w:val="00644834"/>
    <w:rsid w:val="006456FA"/>
    <w:rsid w:val="006457CA"/>
    <w:rsid w:val="00645972"/>
    <w:rsid w:val="00646105"/>
    <w:rsid w:val="00646514"/>
    <w:rsid w:val="00646526"/>
    <w:rsid w:val="00646AFF"/>
    <w:rsid w:val="006471E1"/>
    <w:rsid w:val="00650498"/>
    <w:rsid w:val="00651292"/>
    <w:rsid w:val="00651C7A"/>
    <w:rsid w:val="00651D85"/>
    <w:rsid w:val="00651E27"/>
    <w:rsid w:val="006537DE"/>
    <w:rsid w:val="006559AC"/>
    <w:rsid w:val="00656EF0"/>
    <w:rsid w:val="0065706E"/>
    <w:rsid w:val="0065733C"/>
    <w:rsid w:val="006606BE"/>
    <w:rsid w:val="006606E8"/>
    <w:rsid w:val="0066090B"/>
    <w:rsid w:val="00660B1C"/>
    <w:rsid w:val="00661155"/>
    <w:rsid w:val="006636BD"/>
    <w:rsid w:val="00663912"/>
    <w:rsid w:val="00663B4E"/>
    <w:rsid w:val="00664258"/>
    <w:rsid w:val="0066426C"/>
    <w:rsid w:val="00664522"/>
    <w:rsid w:val="00665613"/>
    <w:rsid w:val="00666F14"/>
    <w:rsid w:val="00666F29"/>
    <w:rsid w:val="00667F11"/>
    <w:rsid w:val="00671615"/>
    <w:rsid w:val="006721AD"/>
    <w:rsid w:val="00673144"/>
    <w:rsid w:val="006735B9"/>
    <w:rsid w:val="0067562E"/>
    <w:rsid w:val="00676080"/>
    <w:rsid w:val="006801F2"/>
    <w:rsid w:val="00680244"/>
    <w:rsid w:val="0068218D"/>
    <w:rsid w:val="00683943"/>
    <w:rsid w:val="00684953"/>
    <w:rsid w:val="006849EE"/>
    <w:rsid w:val="00684CA9"/>
    <w:rsid w:val="00684EC2"/>
    <w:rsid w:val="00685AC7"/>
    <w:rsid w:val="00686845"/>
    <w:rsid w:val="006874D6"/>
    <w:rsid w:val="00687EAC"/>
    <w:rsid w:val="00691C8F"/>
    <w:rsid w:val="0069225F"/>
    <w:rsid w:val="0069266E"/>
    <w:rsid w:val="006928FA"/>
    <w:rsid w:val="00692DB5"/>
    <w:rsid w:val="00693605"/>
    <w:rsid w:val="00693D52"/>
    <w:rsid w:val="00694624"/>
    <w:rsid w:val="0069686C"/>
    <w:rsid w:val="00697F99"/>
    <w:rsid w:val="006A1152"/>
    <w:rsid w:val="006A17EA"/>
    <w:rsid w:val="006A243F"/>
    <w:rsid w:val="006A25C0"/>
    <w:rsid w:val="006A297D"/>
    <w:rsid w:val="006A2A8B"/>
    <w:rsid w:val="006A2F6E"/>
    <w:rsid w:val="006A2F75"/>
    <w:rsid w:val="006A4694"/>
    <w:rsid w:val="006A534B"/>
    <w:rsid w:val="006A5DB2"/>
    <w:rsid w:val="006A6888"/>
    <w:rsid w:val="006A69BF"/>
    <w:rsid w:val="006A6F05"/>
    <w:rsid w:val="006A7B21"/>
    <w:rsid w:val="006B194C"/>
    <w:rsid w:val="006B1C15"/>
    <w:rsid w:val="006B1EDF"/>
    <w:rsid w:val="006B26EC"/>
    <w:rsid w:val="006B30B3"/>
    <w:rsid w:val="006B4F85"/>
    <w:rsid w:val="006B6749"/>
    <w:rsid w:val="006B789F"/>
    <w:rsid w:val="006B7CFC"/>
    <w:rsid w:val="006C148D"/>
    <w:rsid w:val="006C2290"/>
    <w:rsid w:val="006C315C"/>
    <w:rsid w:val="006C61D3"/>
    <w:rsid w:val="006C6570"/>
    <w:rsid w:val="006C6F86"/>
    <w:rsid w:val="006D1916"/>
    <w:rsid w:val="006D1A82"/>
    <w:rsid w:val="006D2E01"/>
    <w:rsid w:val="006D418D"/>
    <w:rsid w:val="006D44DB"/>
    <w:rsid w:val="006D50BC"/>
    <w:rsid w:val="006D6FF6"/>
    <w:rsid w:val="006D75E4"/>
    <w:rsid w:val="006D79DB"/>
    <w:rsid w:val="006D7DE3"/>
    <w:rsid w:val="006E025C"/>
    <w:rsid w:val="006E1ED3"/>
    <w:rsid w:val="006E213B"/>
    <w:rsid w:val="006E26D4"/>
    <w:rsid w:val="006E3B7C"/>
    <w:rsid w:val="006E3D51"/>
    <w:rsid w:val="006E4B72"/>
    <w:rsid w:val="006E4FE1"/>
    <w:rsid w:val="006E61B1"/>
    <w:rsid w:val="006E65B5"/>
    <w:rsid w:val="006E686E"/>
    <w:rsid w:val="006E72F6"/>
    <w:rsid w:val="006E73E6"/>
    <w:rsid w:val="006E7A68"/>
    <w:rsid w:val="006F014F"/>
    <w:rsid w:val="006F156D"/>
    <w:rsid w:val="006F1611"/>
    <w:rsid w:val="006F1A6E"/>
    <w:rsid w:val="006F21BB"/>
    <w:rsid w:val="006F24D6"/>
    <w:rsid w:val="006F3129"/>
    <w:rsid w:val="006F45D8"/>
    <w:rsid w:val="006F57E7"/>
    <w:rsid w:val="006F7A6F"/>
    <w:rsid w:val="007006E4"/>
    <w:rsid w:val="0070071F"/>
    <w:rsid w:val="00701DE2"/>
    <w:rsid w:val="00702759"/>
    <w:rsid w:val="00702886"/>
    <w:rsid w:val="007028E2"/>
    <w:rsid w:val="007029B8"/>
    <w:rsid w:val="007036B3"/>
    <w:rsid w:val="00703F12"/>
    <w:rsid w:val="00704978"/>
    <w:rsid w:val="00706487"/>
    <w:rsid w:val="00706DE7"/>
    <w:rsid w:val="0070715E"/>
    <w:rsid w:val="007074D3"/>
    <w:rsid w:val="007075CA"/>
    <w:rsid w:val="00710B90"/>
    <w:rsid w:val="00711A0F"/>
    <w:rsid w:val="00711DF4"/>
    <w:rsid w:val="00712990"/>
    <w:rsid w:val="00712EC2"/>
    <w:rsid w:val="0071302A"/>
    <w:rsid w:val="007133AA"/>
    <w:rsid w:val="007138E4"/>
    <w:rsid w:val="00713A2D"/>
    <w:rsid w:val="007140CF"/>
    <w:rsid w:val="0071668D"/>
    <w:rsid w:val="00716CDD"/>
    <w:rsid w:val="0071714A"/>
    <w:rsid w:val="0072141E"/>
    <w:rsid w:val="00722246"/>
    <w:rsid w:val="00722E0E"/>
    <w:rsid w:val="00723377"/>
    <w:rsid w:val="0072457D"/>
    <w:rsid w:val="00724B33"/>
    <w:rsid w:val="0072535C"/>
    <w:rsid w:val="00725684"/>
    <w:rsid w:val="00726486"/>
    <w:rsid w:val="007265DD"/>
    <w:rsid w:val="0072685E"/>
    <w:rsid w:val="007272B2"/>
    <w:rsid w:val="007274AC"/>
    <w:rsid w:val="0072797D"/>
    <w:rsid w:val="00730340"/>
    <w:rsid w:val="007306AF"/>
    <w:rsid w:val="007311C7"/>
    <w:rsid w:val="007317B4"/>
    <w:rsid w:val="00731FF5"/>
    <w:rsid w:val="00732C5C"/>
    <w:rsid w:val="007343D7"/>
    <w:rsid w:val="00734961"/>
    <w:rsid w:val="00734F70"/>
    <w:rsid w:val="007401CA"/>
    <w:rsid w:val="00740BC4"/>
    <w:rsid w:val="007410CD"/>
    <w:rsid w:val="00741E7B"/>
    <w:rsid w:val="00742880"/>
    <w:rsid w:val="00743220"/>
    <w:rsid w:val="007433B3"/>
    <w:rsid w:val="00743796"/>
    <w:rsid w:val="007439A4"/>
    <w:rsid w:val="00743C3E"/>
    <w:rsid w:val="00744169"/>
    <w:rsid w:val="007449DA"/>
    <w:rsid w:val="00744F9A"/>
    <w:rsid w:val="007453C0"/>
    <w:rsid w:val="00745A67"/>
    <w:rsid w:val="0074741C"/>
    <w:rsid w:val="00747E1F"/>
    <w:rsid w:val="007504A8"/>
    <w:rsid w:val="007505EE"/>
    <w:rsid w:val="007512AE"/>
    <w:rsid w:val="0075230F"/>
    <w:rsid w:val="00753D89"/>
    <w:rsid w:val="00754BB2"/>
    <w:rsid w:val="00754D63"/>
    <w:rsid w:val="00754F3E"/>
    <w:rsid w:val="0075530B"/>
    <w:rsid w:val="00756640"/>
    <w:rsid w:val="00756BD1"/>
    <w:rsid w:val="00756D5A"/>
    <w:rsid w:val="007575AE"/>
    <w:rsid w:val="007604B5"/>
    <w:rsid w:val="00761207"/>
    <w:rsid w:val="007619C5"/>
    <w:rsid w:val="0076355C"/>
    <w:rsid w:val="00763796"/>
    <w:rsid w:val="007641A4"/>
    <w:rsid w:val="00764E34"/>
    <w:rsid w:val="0076697E"/>
    <w:rsid w:val="00773611"/>
    <w:rsid w:val="0077620F"/>
    <w:rsid w:val="007772B7"/>
    <w:rsid w:val="00777F7F"/>
    <w:rsid w:val="00780771"/>
    <w:rsid w:val="00780FCC"/>
    <w:rsid w:val="00781783"/>
    <w:rsid w:val="00782400"/>
    <w:rsid w:val="0078245F"/>
    <w:rsid w:val="0078472D"/>
    <w:rsid w:val="00786057"/>
    <w:rsid w:val="007920AA"/>
    <w:rsid w:val="00792270"/>
    <w:rsid w:val="007934A8"/>
    <w:rsid w:val="007935B2"/>
    <w:rsid w:val="00793B35"/>
    <w:rsid w:val="00794285"/>
    <w:rsid w:val="0079477B"/>
    <w:rsid w:val="00794FD5"/>
    <w:rsid w:val="0079504B"/>
    <w:rsid w:val="0079566C"/>
    <w:rsid w:val="00795D37"/>
    <w:rsid w:val="00796ED0"/>
    <w:rsid w:val="00797AD2"/>
    <w:rsid w:val="007A0739"/>
    <w:rsid w:val="007A0DAC"/>
    <w:rsid w:val="007A2B60"/>
    <w:rsid w:val="007A35AA"/>
    <w:rsid w:val="007A4E61"/>
    <w:rsid w:val="007A5081"/>
    <w:rsid w:val="007A5406"/>
    <w:rsid w:val="007A6E99"/>
    <w:rsid w:val="007B0A29"/>
    <w:rsid w:val="007B0A70"/>
    <w:rsid w:val="007B0EDB"/>
    <w:rsid w:val="007B144A"/>
    <w:rsid w:val="007B14AF"/>
    <w:rsid w:val="007B1AB9"/>
    <w:rsid w:val="007B1B10"/>
    <w:rsid w:val="007B28D4"/>
    <w:rsid w:val="007B5B5B"/>
    <w:rsid w:val="007B66BF"/>
    <w:rsid w:val="007B76AA"/>
    <w:rsid w:val="007C04C8"/>
    <w:rsid w:val="007C169B"/>
    <w:rsid w:val="007C2169"/>
    <w:rsid w:val="007C2411"/>
    <w:rsid w:val="007C329B"/>
    <w:rsid w:val="007C399C"/>
    <w:rsid w:val="007C4042"/>
    <w:rsid w:val="007C438F"/>
    <w:rsid w:val="007D1084"/>
    <w:rsid w:val="007D161D"/>
    <w:rsid w:val="007D2B29"/>
    <w:rsid w:val="007D2D6F"/>
    <w:rsid w:val="007D2FB2"/>
    <w:rsid w:val="007D4337"/>
    <w:rsid w:val="007D5A27"/>
    <w:rsid w:val="007D651A"/>
    <w:rsid w:val="007D653C"/>
    <w:rsid w:val="007D6E12"/>
    <w:rsid w:val="007D70A1"/>
    <w:rsid w:val="007D74CA"/>
    <w:rsid w:val="007E050D"/>
    <w:rsid w:val="007E0E92"/>
    <w:rsid w:val="007E1AF6"/>
    <w:rsid w:val="007E1CF8"/>
    <w:rsid w:val="007E2EF6"/>
    <w:rsid w:val="007E38EA"/>
    <w:rsid w:val="007E3BCB"/>
    <w:rsid w:val="007E48BA"/>
    <w:rsid w:val="007E6237"/>
    <w:rsid w:val="007E6D29"/>
    <w:rsid w:val="007F06DC"/>
    <w:rsid w:val="007F112A"/>
    <w:rsid w:val="007F1676"/>
    <w:rsid w:val="007F1CC3"/>
    <w:rsid w:val="007F2AC9"/>
    <w:rsid w:val="007F3952"/>
    <w:rsid w:val="007F481E"/>
    <w:rsid w:val="007F4B35"/>
    <w:rsid w:val="007F4E95"/>
    <w:rsid w:val="007F516D"/>
    <w:rsid w:val="007F55BE"/>
    <w:rsid w:val="007F6807"/>
    <w:rsid w:val="007F6A35"/>
    <w:rsid w:val="007F6BDB"/>
    <w:rsid w:val="007F7CA5"/>
    <w:rsid w:val="0080000D"/>
    <w:rsid w:val="00800AA2"/>
    <w:rsid w:val="00801856"/>
    <w:rsid w:val="00801B48"/>
    <w:rsid w:val="008024C1"/>
    <w:rsid w:val="008028E9"/>
    <w:rsid w:val="00802FB6"/>
    <w:rsid w:val="008045FA"/>
    <w:rsid w:val="0080544F"/>
    <w:rsid w:val="008056A1"/>
    <w:rsid w:val="00805E2A"/>
    <w:rsid w:val="00805F65"/>
    <w:rsid w:val="00806746"/>
    <w:rsid w:val="008100A0"/>
    <w:rsid w:val="0081150A"/>
    <w:rsid w:val="00812238"/>
    <w:rsid w:val="008122CE"/>
    <w:rsid w:val="00812DA1"/>
    <w:rsid w:val="008132E8"/>
    <w:rsid w:val="00813662"/>
    <w:rsid w:val="00813772"/>
    <w:rsid w:val="008138E5"/>
    <w:rsid w:val="008162AF"/>
    <w:rsid w:val="0081760A"/>
    <w:rsid w:val="008177E8"/>
    <w:rsid w:val="00817B62"/>
    <w:rsid w:val="008203E2"/>
    <w:rsid w:val="00820BD0"/>
    <w:rsid w:val="00821043"/>
    <w:rsid w:val="00821952"/>
    <w:rsid w:val="00821A31"/>
    <w:rsid w:val="00822472"/>
    <w:rsid w:val="00822764"/>
    <w:rsid w:val="008229A1"/>
    <w:rsid w:val="00823145"/>
    <w:rsid w:val="00823407"/>
    <w:rsid w:val="008241F9"/>
    <w:rsid w:val="0082445E"/>
    <w:rsid w:val="00825333"/>
    <w:rsid w:val="0082607E"/>
    <w:rsid w:val="00827147"/>
    <w:rsid w:val="00827AB7"/>
    <w:rsid w:val="008306CA"/>
    <w:rsid w:val="00830AA4"/>
    <w:rsid w:val="00830ED8"/>
    <w:rsid w:val="00832AF1"/>
    <w:rsid w:val="008336D1"/>
    <w:rsid w:val="008351CF"/>
    <w:rsid w:val="0083554E"/>
    <w:rsid w:val="00835639"/>
    <w:rsid w:val="008364AD"/>
    <w:rsid w:val="00837386"/>
    <w:rsid w:val="0084394D"/>
    <w:rsid w:val="00843A61"/>
    <w:rsid w:val="00843C16"/>
    <w:rsid w:val="008442A8"/>
    <w:rsid w:val="00845144"/>
    <w:rsid w:val="00845278"/>
    <w:rsid w:val="00846F81"/>
    <w:rsid w:val="0085106F"/>
    <w:rsid w:val="008513B0"/>
    <w:rsid w:val="00852B56"/>
    <w:rsid w:val="00853256"/>
    <w:rsid w:val="008548C8"/>
    <w:rsid w:val="00854F9E"/>
    <w:rsid w:val="00854FD5"/>
    <w:rsid w:val="00855C21"/>
    <w:rsid w:val="00855F7D"/>
    <w:rsid w:val="008569E7"/>
    <w:rsid w:val="00856DC8"/>
    <w:rsid w:val="00857A46"/>
    <w:rsid w:val="00860531"/>
    <w:rsid w:val="0086055E"/>
    <w:rsid w:val="00860BEA"/>
    <w:rsid w:val="00861422"/>
    <w:rsid w:val="00864DA8"/>
    <w:rsid w:val="00865365"/>
    <w:rsid w:val="00865990"/>
    <w:rsid w:val="0086611C"/>
    <w:rsid w:val="008672DE"/>
    <w:rsid w:val="008709E4"/>
    <w:rsid w:val="008720B3"/>
    <w:rsid w:val="00873C7E"/>
    <w:rsid w:val="00875475"/>
    <w:rsid w:val="008758AC"/>
    <w:rsid w:val="008764D5"/>
    <w:rsid w:val="0087671D"/>
    <w:rsid w:val="00876A1C"/>
    <w:rsid w:val="00876B7C"/>
    <w:rsid w:val="00876F51"/>
    <w:rsid w:val="00880AFC"/>
    <w:rsid w:val="00880BD0"/>
    <w:rsid w:val="00882214"/>
    <w:rsid w:val="00882FBA"/>
    <w:rsid w:val="00883615"/>
    <w:rsid w:val="00883F37"/>
    <w:rsid w:val="0088446F"/>
    <w:rsid w:val="00884AEB"/>
    <w:rsid w:val="00885C03"/>
    <w:rsid w:val="00885C76"/>
    <w:rsid w:val="0088624F"/>
    <w:rsid w:val="008864A4"/>
    <w:rsid w:val="00886C84"/>
    <w:rsid w:val="00886E56"/>
    <w:rsid w:val="00887E17"/>
    <w:rsid w:val="00890ED2"/>
    <w:rsid w:val="00891094"/>
    <w:rsid w:val="008912B1"/>
    <w:rsid w:val="00892848"/>
    <w:rsid w:val="00892B5D"/>
    <w:rsid w:val="0089667D"/>
    <w:rsid w:val="00897D2A"/>
    <w:rsid w:val="008A0334"/>
    <w:rsid w:val="008A0723"/>
    <w:rsid w:val="008A0B63"/>
    <w:rsid w:val="008A0FEF"/>
    <w:rsid w:val="008A198B"/>
    <w:rsid w:val="008A1FF2"/>
    <w:rsid w:val="008A22DC"/>
    <w:rsid w:val="008A2F9B"/>
    <w:rsid w:val="008A425E"/>
    <w:rsid w:val="008A5585"/>
    <w:rsid w:val="008A5DDC"/>
    <w:rsid w:val="008A6448"/>
    <w:rsid w:val="008A6887"/>
    <w:rsid w:val="008A71A1"/>
    <w:rsid w:val="008A7304"/>
    <w:rsid w:val="008A7F89"/>
    <w:rsid w:val="008B0184"/>
    <w:rsid w:val="008B13B8"/>
    <w:rsid w:val="008B2FF9"/>
    <w:rsid w:val="008B31A7"/>
    <w:rsid w:val="008B3431"/>
    <w:rsid w:val="008B3C99"/>
    <w:rsid w:val="008B40AD"/>
    <w:rsid w:val="008B4322"/>
    <w:rsid w:val="008B45B6"/>
    <w:rsid w:val="008B6565"/>
    <w:rsid w:val="008B713C"/>
    <w:rsid w:val="008C3988"/>
    <w:rsid w:val="008C3F7F"/>
    <w:rsid w:val="008C513C"/>
    <w:rsid w:val="008C5D02"/>
    <w:rsid w:val="008C63D3"/>
    <w:rsid w:val="008C6C94"/>
    <w:rsid w:val="008C6EDC"/>
    <w:rsid w:val="008C7666"/>
    <w:rsid w:val="008C7FEB"/>
    <w:rsid w:val="008D0E6C"/>
    <w:rsid w:val="008D2021"/>
    <w:rsid w:val="008D2649"/>
    <w:rsid w:val="008D2B37"/>
    <w:rsid w:val="008D4636"/>
    <w:rsid w:val="008D47C3"/>
    <w:rsid w:val="008D4E6B"/>
    <w:rsid w:val="008D59C6"/>
    <w:rsid w:val="008D5B89"/>
    <w:rsid w:val="008D6618"/>
    <w:rsid w:val="008D6AFB"/>
    <w:rsid w:val="008E0076"/>
    <w:rsid w:val="008E162C"/>
    <w:rsid w:val="008E3295"/>
    <w:rsid w:val="008E335A"/>
    <w:rsid w:val="008E3516"/>
    <w:rsid w:val="008E4582"/>
    <w:rsid w:val="008E4F53"/>
    <w:rsid w:val="008E515C"/>
    <w:rsid w:val="008E5187"/>
    <w:rsid w:val="008E5469"/>
    <w:rsid w:val="008E5C9A"/>
    <w:rsid w:val="008E6BD3"/>
    <w:rsid w:val="008E6EBD"/>
    <w:rsid w:val="008E72C5"/>
    <w:rsid w:val="008F01B7"/>
    <w:rsid w:val="008F05AB"/>
    <w:rsid w:val="008F17BB"/>
    <w:rsid w:val="008F31AD"/>
    <w:rsid w:val="008F3E62"/>
    <w:rsid w:val="008F4FAE"/>
    <w:rsid w:val="008F7A14"/>
    <w:rsid w:val="0090123C"/>
    <w:rsid w:val="009014E3"/>
    <w:rsid w:val="0090176A"/>
    <w:rsid w:val="00901CE4"/>
    <w:rsid w:val="009028EE"/>
    <w:rsid w:val="00903496"/>
    <w:rsid w:val="0090351F"/>
    <w:rsid w:val="009038B8"/>
    <w:rsid w:val="009049E7"/>
    <w:rsid w:val="0090568D"/>
    <w:rsid w:val="00905FBE"/>
    <w:rsid w:val="0091175A"/>
    <w:rsid w:val="00911CCF"/>
    <w:rsid w:val="00911D28"/>
    <w:rsid w:val="009125C9"/>
    <w:rsid w:val="00913879"/>
    <w:rsid w:val="00913E28"/>
    <w:rsid w:val="0091404E"/>
    <w:rsid w:val="0091444D"/>
    <w:rsid w:val="009155C4"/>
    <w:rsid w:val="00915E06"/>
    <w:rsid w:val="009161BF"/>
    <w:rsid w:val="0091679F"/>
    <w:rsid w:val="00916BDE"/>
    <w:rsid w:val="00917661"/>
    <w:rsid w:val="009178E6"/>
    <w:rsid w:val="00917EB0"/>
    <w:rsid w:val="00920EB7"/>
    <w:rsid w:val="00920FD4"/>
    <w:rsid w:val="009214F7"/>
    <w:rsid w:val="00922183"/>
    <w:rsid w:val="00922607"/>
    <w:rsid w:val="009228F9"/>
    <w:rsid w:val="00922C2E"/>
    <w:rsid w:val="009243F9"/>
    <w:rsid w:val="009258BD"/>
    <w:rsid w:val="00925BD6"/>
    <w:rsid w:val="00926294"/>
    <w:rsid w:val="009308B7"/>
    <w:rsid w:val="00930A33"/>
    <w:rsid w:val="00930B5C"/>
    <w:rsid w:val="00932134"/>
    <w:rsid w:val="00932423"/>
    <w:rsid w:val="00932EC4"/>
    <w:rsid w:val="00934316"/>
    <w:rsid w:val="00934BF1"/>
    <w:rsid w:val="00935B8D"/>
    <w:rsid w:val="00935E93"/>
    <w:rsid w:val="00935F1D"/>
    <w:rsid w:val="009370BB"/>
    <w:rsid w:val="009376F5"/>
    <w:rsid w:val="00937BC7"/>
    <w:rsid w:val="009415CD"/>
    <w:rsid w:val="00944BF2"/>
    <w:rsid w:val="009452CB"/>
    <w:rsid w:val="009456DF"/>
    <w:rsid w:val="009466A1"/>
    <w:rsid w:val="00946F62"/>
    <w:rsid w:val="00947AD5"/>
    <w:rsid w:val="0095213D"/>
    <w:rsid w:val="0095227D"/>
    <w:rsid w:val="00952606"/>
    <w:rsid w:val="00952864"/>
    <w:rsid w:val="00952D8D"/>
    <w:rsid w:val="00953BAC"/>
    <w:rsid w:val="009560BD"/>
    <w:rsid w:val="009575F9"/>
    <w:rsid w:val="00957A42"/>
    <w:rsid w:val="00960331"/>
    <w:rsid w:val="009605AA"/>
    <w:rsid w:val="00961622"/>
    <w:rsid w:val="00963C26"/>
    <w:rsid w:val="0096558A"/>
    <w:rsid w:val="0096566D"/>
    <w:rsid w:val="00965DAC"/>
    <w:rsid w:val="009677DE"/>
    <w:rsid w:val="00970E5D"/>
    <w:rsid w:val="00971746"/>
    <w:rsid w:val="00971887"/>
    <w:rsid w:val="009719E2"/>
    <w:rsid w:val="00971F09"/>
    <w:rsid w:val="00971F5F"/>
    <w:rsid w:val="009724EB"/>
    <w:rsid w:val="00972B28"/>
    <w:rsid w:val="00972F02"/>
    <w:rsid w:val="0097330A"/>
    <w:rsid w:val="00973413"/>
    <w:rsid w:val="0097352F"/>
    <w:rsid w:val="00974DDF"/>
    <w:rsid w:val="00975A7F"/>
    <w:rsid w:val="0097701C"/>
    <w:rsid w:val="00980655"/>
    <w:rsid w:val="00980A65"/>
    <w:rsid w:val="00980E55"/>
    <w:rsid w:val="00980F0F"/>
    <w:rsid w:val="009823E7"/>
    <w:rsid w:val="009830BA"/>
    <w:rsid w:val="009830FA"/>
    <w:rsid w:val="00984173"/>
    <w:rsid w:val="0098502C"/>
    <w:rsid w:val="0098556D"/>
    <w:rsid w:val="009856FF"/>
    <w:rsid w:val="00985AB0"/>
    <w:rsid w:val="009861AA"/>
    <w:rsid w:val="009868B4"/>
    <w:rsid w:val="00986A3A"/>
    <w:rsid w:val="00986F4D"/>
    <w:rsid w:val="00987CDA"/>
    <w:rsid w:val="00990C3B"/>
    <w:rsid w:val="0099104E"/>
    <w:rsid w:val="009914DA"/>
    <w:rsid w:val="00991FF5"/>
    <w:rsid w:val="0099201F"/>
    <w:rsid w:val="00992A94"/>
    <w:rsid w:val="0099352F"/>
    <w:rsid w:val="00993A5E"/>
    <w:rsid w:val="009943DC"/>
    <w:rsid w:val="00994C0A"/>
    <w:rsid w:val="009953BA"/>
    <w:rsid w:val="00995B12"/>
    <w:rsid w:val="00996770"/>
    <w:rsid w:val="00996E32"/>
    <w:rsid w:val="00997244"/>
    <w:rsid w:val="009A085E"/>
    <w:rsid w:val="009A0D10"/>
    <w:rsid w:val="009A10AC"/>
    <w:rsid w:val="009A154A"/>
    <w:rsid w:val="009A2227"/>
    <w:rsid w:val="009A28C4"/>
    <w:rsid w:val="009A2C57"/>
    <w:rsid w:val="009A307B"/>
    <w:rsid w:val="009A50EA"/>
    <w:rsid w:val="009A6184"/>
    <w:rsid w:val="009A6795"/>
    <w:rsid w:val="009A6919"/>
    <w:rsid w:val="009A69DC"/>
    <w:rsid w:val="009A7E4B"/>
    <w:rsid w:val="009B0138"/>
    <w:rsid w:val="009B0344"/>
    <w:rsid w:val="009B1EBD"/>
    <w:rsid w:val="009B21BA"/>
    <w:rsid w:val="009B34A9"/>
    <w:rsid w:val="009B3824"/>
    <w:rsid w:val="009B4384"/>
    <w:rsid w:val="009B4D38"/>
    <w:rsid w:val="009B5294"/>
    <w:rsid w:val="009B5F9E"/>
    <w:rsid w:val="009C1626"/>
    <w:rsid w:val="009C190A"/>
    <w:rsid w:val="009C2E93"/>
    <w:rsid w:val="009C44BE"/>
    <w:rsid w:val="009C5833"/>
    <w:rsid w:val="009C5DD4"/>
    <w:rsid w:val="009C699C"/>
    <w:rsid w:val="009C70CF"/>
    <w:rsid w:val="009C7918"/>
    <w:rsid w:val="009C7FB5"/>
    <w:rsid w:val="009D028A"/>
    <w:rsid w:val="009D0553"/>
    <w:rsid w:val="009D071F"/>
    <w:rsid w:val="009D357F"/>
    <w:rsid w:val="009D409E"/>
    <w:rsid w:val="009D545A"/>
    <w:rsid w:val="009D5C42"/>
    <w:rsid w:val="009D63C2"/>
    <w:rsid w:val="009D675F"/>
    <w:rsid w:val="009D68CB"/>
    <w:rsid w:val="009D7A69"/>
    <w:rsid w:val="009E08DB"/>
    <w:rsid w:val="009E164E"/>
    <w:rsid w:val="009E1892"/>
    <w:rsid w:val="009E23AB"/>
    <w:rsid w:val="009E2871"/>
    <w:rsid w:val="009E2E70"/>
    <w:rsid w:val="009E31A4"/>
    <w:rsid w:val="009E3D5C"/>
    <w:rsid w:val="009E472D"/>
    <w:rsid w:val="009E4929"/>
    <w:rsid w:val="009E4D79"/>
    <w:rsid w:val="009E6FED"/>
    <w:rsid w:val="009E703B"/>
    <w:rsid w:val="009E77AA"/>
    <w:rsid w:val="009E77FA"/>
    <w:rsid w:val="009F07B2"/>
    <w:rsid w:val="009F0C08"/>
    <w:rsid w:val="009F1E24"/>
    <w:rsid w:val="009F2A94"/>
    <w:rsid w:val="009F45A4"/>
    <w:rsid w:val="009F50EB"/>
    <w:rsid w:val="009F5A4F"/>
    <w:rsid w:val="009F6246"/>
    <w:rsid w:val="009F7316"/>
    <w:rsid w:val="009F7ADE"/>
    <w:rsid w:val="009F7E65"/>
    <w:rsid w:val="00A0091C"/>
    <w:rsid w:val="00A00AC3"/>
    <w:rsid w:val="00A00FC4"/>
    <w:rsid w:val="00A01140"/>
    <w:rsid w:val="00A01439"/>
    <w:rsid w:val="00A02394"/>
    <w:rsid w:val="00A032E1"/>
    <w:rsid w:val="00A033DE"/>
    <w:rsid w:val="00A03AF4"/>
    <w:rsid w:val="00A04749"/>
    <w:rsid w:val="00A0476C"/>
    <w:rsid w:val="00A050F9"/>
    <w:rsid w:val="00A05E53"/>
    <w:rsid w:val="00A06C08"/>
    <w:rsid w:val="00A07109"/>
    <w:rsid w:val="00A07283"/>
    <w:rsid w:val="00A072CC"/>
    <w:rsid w:val="00A10CD1"/>
    <w:rsid w:val="00A1129B"/>
    <w:rsid w:val="00A124D1"/>
    <w:rsid w:val="00A12A00"/>
    <w:rsid w:val="00A13261"/>
    <w:rsid w:val="00A14A70"/>
    <w:rsid w:val="00A153CA"/>
    <w:rsid w:val="00A1569C"/>
    <w:rsid w:val="00A16600"/>
    <w:rsid w:val="00A16725"/>
    <w:rsid w:val="00A1777A"/>
    <w:rsid w:val="00A17D1C"/>
    <w:rsid w:val="00A20D75"/>
    <w:rsid w:val="00A2186A"/>
    <w:rsid w:val="00A2265A"/>
    <w:rsid w:val="00A227D3"/>
    <w:rsid w:val="00A22886"/>
    <w:rsid w:val="00A23049"/>
    <w:rsid w:val="00A239A2"/>
    <w:rsid w:val="00A25E70"/>
    <w:rsid w:val="00A31229"/>
    <w:rsid w:val="00A3212B"/>
    <w:rsid w:val="00A325BC"/>
    <w:rsid w:val="00A32D29"/>
    <w:rsid w:val="00A32E13"/>
    <w:rsid w:val="00A33765"/>
    <w:rsid w:val="00A33FD1"/>
    <w:rsid w:val="00A343B7"/>
    <w:rsid w:val="00A34AC2"/>
    <w:rsid w:val="00A34BE7"/>
    <w:rsid w:val="00A3594D"/>
    <w:rsid w:val="00A408C7"/>
    <w:rsid w:val="00A41965"/>
    <w:rsid w:val="00A43015"/>
    <w:rsid w:val="00A44620"/>
    <w:rsid w:val="00A44EBD"/>
    <w:rsid w:val="00A47B09"/>
    <w:rsid w:val="00A47B18"/>
    <w:rsid w:val="00A50169"/>
    <w:rsid w:val="00A50C2F"/>
    <w:rsid w:val="00A5106A"/>
    <w:rsid w:val="00A52974"/>
    <w:rsid w:val="00A52DDD"/>
    <w:rsid w:val="00A52EA3"/>
    <w:rsid w:val="00A53606"/>
    <w:rsid w:val="00A53BA4"/>
    <w:rsid w:val="00A5426B"/>
    <w:rsid w:val="00A5486F"/>
    <w:rsid w:val="00A54E45"/>
    <w:rsid w:val="00A54F06"/>
    <w:rsid w:val="00A55DFC"/>
    <w:rsid w:val="00A56563"/>
    <w:rsid w:val="00A567E0"/>
    <w:rsid w:val="00A56A85"/>
    <w:rsid w:val="00A617BC"/>
    <w:rsid w:val="00A61850"/>
    <w:rsid w:val="00A61C1D"/>
    <w:rsid w:val="00A61C4D"/>
    <w:rsid w:val="00A629BA"/>
    <w:rsid w:val="00A630AE"/>
    <w:rsid w:val="00A63269"/>
    <w:rsid w:val="00A6468E"/>
    <w:rsid w:val="00A648D0"/>
    <w:rsid w:val="00A653F7"/>
    <w:rsid w:val="00A66CCE"/>
    <w:rsid w:val="00A66EB9"/>
    <w:rsid w:val="00A6735E"/>
    <w:rsid w:val="00A67DE6"/>
    <w:rsid w:val="00A703EA"/>
    <w:rsid w:val="00A719A8"/>
    <w:rsid w:val="00A7206B"/>
    <w:rsid w:val="00A73E09"/>
    <w:rsid w:val="00A73E46"/>
    <w:rsid w:val="00A74510"/>
    <w:rsid w:val="00A74A24"/>
    <w:rsid w:val="00A750BE"/>
    <w:rsid w:val="00A75E89"/>
    <w:rsid w:val="00A76035"/>
    <w:rsid w:val="00A76F9E"/>
    <w:rsid w:val="00A802AD"/>
    <w:rsid w:val="00A80859"/>
    <w:rsid w:val="00A82B5F"/>
    <w:rsid w:val="00A82D07"/>
    <w:rsid w:val="00A8336F"/>
    <w:rsid w:val="00A83738"/>
    <w:rsid w:val="00A84656"/>
    <w:rsid w:val="00A84C80"/>
    <w:rsid w:val="00A86410"/>
    <w:rsid w:val="00A86E7E"/>
    <w:rsid w:val="00A87DBF"/>
    <w:rsid w:val="00A904D3"/>
    <w:rsid w:val="00A90B95"/>
    <w:rsid w:val="00A919D2"/>
    <w:rsid w:val="00A92377"/>
    <w:rsid w:val="00A92962"/>
    <w:rsid w:val="00A934B3"/>
    <w:rsid w:val="00A93A6C"/>
    <w:rsid w:val="00A948B0"/>
    <w:rsid w:val="00A95EAD"/>
    <w:rsid w:val="00A960FB"/>
    <w:rsid w:val="00A96344"/>
    <w:rsid w:val="00A9791C"/>
    <w:rsid w:val="00AA1660"/>
    <w:rsid w:val="00AA1A8A"/>
    <w:rsid w:val="00AA25CD"/>
    <w:rsid w:val="00AA28D3"/>
    <w:rsid w:val="00AA36C7"/>
    <w:rsid w:val="00AA3FAF"/>
    <w:rsid w:val="00AA43A0"/>
    <w:rsid w:val="00AA5141"/>
    <w:rsid w:val="00AA5A6E"/>
    <w:rsid w:val="00AA6396"/>
    <w:rsid w:val="00AA677D"/>
    <w:rsid w:val="00AA6AE3"/>
    <w:rsid w:val="00AA6E4D"/>
    <w:rsid w:val="00AA76DE"/>
    <w:rsid w:val="00AA7BC0"/>
    <w:rsid w:val="00AB109C"/>
    <w:rsid w:val="00AB10AD"/>
    <w:rsid w:val="00AB2224"/>
    <w:rsid w:val="00AB29ED"/>
    <w:rsid w:val="00AB42E2"/>
    <w:rsid w:val="00AB4E77"/>
    <w:rsid w:val="00AB56FB"/>
    <w:rsid w:val="00AB62A1"/>
    <w:rsid w:val="00AB7E9D"/>
    <w:rsid w:val="00AC0A54"/>
    <w:rsid w:val="00AC0D2B"/>
    <w:rsid w:val="00AC1669"/>
    <w:rsid w:val="00AC1D68"/>
    <w:rsid w:val="00AC29CC"/>
    <w:rsid w:val="00AC2AB0"/>
    <w:rsid w:val="00AC456A"/>
    <w:rsid w:val="00AC52EF"/>
    <w:rsid w:val="00AC5CB2"/>
    <w:rsid w:val="00AC5F98"/>
    <w:rsid w:val="00AC5FFD"/>
    <w:rsid w:val="00AC68A2"/>
    <w:rsid w:val="00AD094D"/>
    <w:rsid w:val="00AD12D5"/>
    <w:rsid w:val="00AD3E6B"/>
    <w:rsid w:val="00AD50FF"/>
    <w:rsid w:val="00AD538C"/>
    <w:rsid w:val="00AD5734"/>
    <w:rsid w:val="00AD57AC"/>
    <w:rsid w:val="00AD62AD"/>
    <w:rsid w:val="00AD683C"/>
    <w:rsid w:val="00AD702A"/>
    <w:rsid w:val="00AE0C12"/>
    <w:rsid w:val="00AE0E7C"/>
    <w:rsid w:val="00AE1F39"/>
    <w:rsid w:val="00AE20CF"/>
    <w:rsid w:val="00AE2768"/>
    <w:rsid w:val="00AE3CD9"/>
    <w:rsid w:val="00AE40EA"/>
    <w:rsid w:val="00AE42EE"/>
    <w:rsid w:val="00AE469E"/>
    <w:rsid w:val="00AE4BD8"/>
    <w:rsid w:val="00AE67A8"/>
    <w:rsid w:val="00AF09C8"/>
    <w:rsid w:val="00AF24C8"/>
    <w:rsid w:val="00AF2ADE"/>
    <w:rsid w:val="00AF2F44"/>
    <w:rsid w:val="00AF3FFC"/>
    <w:rsid w:val="00AF423D"/>
    <w:rsid w:val="00AF42AE"/>
    <w:rsid w:val="00AF5596"/>
    <w:rsid w:val="00AF5977"/>
    <w:rsid w:val="00AF6E8B"/>
    <w:rsid w:val="00AF7D84"/>
    <w:rsid w:val="00B024FB"/>
    <w:rsid w:val="00B02F46"/>
    <w:rsid w:val="00B03095"/>
    <w:rsid w:val="00B0494E"/>
    <w:rsid w:val="00B04F95"/>
    <w:rsid w:val="00B05F86"/>
    <w:rsid w:val="00B06CD3"/>
    <w:rsid w:val="00B06E0B"/>
    <w:rsid w:val="00B078E4"/>
    <w:rsid w:val="00B07B84"/>
    <w:rsid w:val="00B102ED"/>
    <w:rsid w:val="00B10D17"/>
    <w:rsid w:val="00B11C1F"/>
    <w:rsid w:val="00B11D14"/>
    <w:rsid w:val="00B12736"/>
    <w:rsid w:val="00B12B50"/>
    <w:rsid w:val="00B13D74"/>
    <w:rsid w:val="00B14151"/>
    <w:rsid w:val="00B16A83"/>
    <w:rsid w:val="00B17711"/>
    <w:rsid w:val="00B21387"/>
    <w:rsid w:val="00B21623"/>
    <w:rsid w:val="00B2173B"/>
    <w:rsid w:val="00B2177E"/>
    <w:rsid w:val="00B22A93"/>
    <w:rsid w:val="00B22EAB"/>
    <w:rsid w:val="00B230AA"/>
    <w:rsid w:val="00B23DD0"/>
    <w:rsid w:val="00B2533D"/>
    <w:rsid w:val="00B2660B"/>
    <w:rsid w:val="00B272DD"/>
    <w:rsid w:val="00B30C79"/>
    <w:rsid w:val="00B3496C"/>
    <w:rsid w:val="00B35F34"/>
    <w:rsid w:val="00B3629F"/>
    <w:rsid w:val="00B367D5"/>
    <w:rsid w:val="00B372C4"/>
    <w:rsid w:val="00B379EB"/>
    <w:rsid w:val="00B37B30"/>
    <w:rsid w:val="00B37D96"/>
    <w:rsid w:val="00B407D4"/>
    <w:rsid w:val="00B40874"/>
    <w:rsid w:val="00B40BC9"/>
    <w:rsid w:val="00B40EC4"/>
    <w:rsid w:val="00B40F39"/>
    <w:rsid w:val="00B41895"/>
    <w:rsid w:val="00B4388F"/>
    <w:rsid w:val="00B43A91"/>
    <w:rsid w:val="00B43C03"/>
    <w:rsid w:val="00B43D1B"/>
    <w:rsid w:val="00B440C2"/>
    <w:rsid w:val="00B44F76"/>
    <w:rsid w:val="00B45812"/>
    <w:rsid w:val="00B45D30"/>
    <w:rsid w:val="00B46290"/>
    <w:rsid w:val="00B46645"/>
    <w:rsid w:val="00B46CD3"/>
    <w:rsid w:val="00B47AAC"/>
    <w:rsid w:val="00B5408C"/>
    <w:rsid w:val="00B56A28"/>
    <w:rsid w:val="00B56AC7"/>
    <w:rsid w:val="00B5770F"/>
    <w:rsid w:val="00B57A14"/>
    <w:rsid w:val="00B60C02"/>
    <w:rsid w:val="00B6155C"/>
    <w:rsid w:val="00B61F89"/>
    <w:rsid w:val="00B62003"/>
    <w:rsid w:val="00B63237"/>
    <w:rsid w:val="00B64AF4"/>
    <w:rsid w:val="00B64D14"/>
    <w:rsid w:val="00B66367"/>
    <w:rsid w:val="00B6719B"/>
    <w:rsid w:val="00B702FF"/>
    <w:rsid w:val="00B70FEF"/>
    <w:rsid w:val="00B7195C"/>
    <w:rsid w:val="00B725C1"/>
    <w:rsid w:val="00B741E1"/>
    <w:rsid w:val="00B80549"/>
    <w:rsid w:val="00B80B65"/>
    <w:rsid w:val="00B812AC"/>
    <w:rsid w:val="00B828CD"/>
    <w:rsid w:val="00B83441"/>
    <w:rsid w:val="00B838BA"/>
    <w:rsid w:val="00B84475"/>
    <w:rsid w:val="00B84D7D"/>
    <w:rsid w:val="00B8609E"/>
    <w:rsid w:val="00B8672A"/>
    <w:rsid w:val="00B91291"/>
    <w:rsid w:val="00B92C76"/>
    <w:rsid w:val="00B92D1D"/>
    <w:rsid w:val="00B93DC6"/>
    <w:rsid w:val="00B9415E"/>
    <w:rsid w:val="00B944D0"/>
    <w:rsid w:val="00B95B03"/>
    <w:rsid w:val="00BA0032"/>
    <w:rsid w:val="00BA07F1"/>
    <w:rsid w:val="00BA2BB3"/>
    <w:rsid w:val="00BA2D0E"/>
    <w:rsid w:val="00BA3E07"/>
    <w:rsid w:val="00BA6A8F"/>
    <w:rsid w:val="00BA6B16"/>
    <w:rsid w:val="00BA6BE9"/>
    <w:rsid w:val="00BA77A2"/>
    <w:rsid w:val="00BA7F6E"/>
    <w:rsid w:val="00BB010C"/>
    <w:rsid w:val="00BB18DE"/>
    <w:rsid w:val="00BB233E"/>
    <w:rsid w:val="00BB24B2"/>
    <w:rsid w:val="00BB28EC"/>
    <w:rsid w:val="00BB2F14"/>
    <w:rsid w:val="00BB53BE"/>
    <w:rsid w:val="00BB58E8"/>
    <w:rsid w:val="00BB5AEE"/>
    <w:rsid w:val="00BB60B2"/>
    <w:rsid w:val="00BB64CB"/>
    <w:rsid w:val="00BB64D2"/>
    <w:rsid w:val="00BB6AF6"/>
    <w:rsid w:val="00BB7379"/>
    <w:rsid w:val="00BC10F1"/>
    <w:rsid w:val="00BC1997"/>
    <w:rsid w:val="00BC2AA0"/>
    <w:rsid w:val="00BC3C44"/>
    <w:rsid w:val="00BC4E5B"/>
    <w:rsid w:val="00BC6946"/>
    <w:rsid w:val="00BC6D60"/>
    <w:rsid w:val="00BC6F07"/>
    <w:rsid w:val="00BD215F"/>
    <w:rsid w:val="00BD2964"/>
    <w:rsid w:val="00BD3024"/>
    <w:rsid w:val="00BD4FA1"/>
    <w:rsid w:val="00BD5120"/>
    <w:rsid w:val="00BD69D6"/>
    <w:rsid w:val="00BD69E5"/>
    <w:rsid w:val="00BE2829"/>
    <w:rsid w:val="00BE2BB9"/>
    <w:rsid w:val="00BE2DFA"/>
    <w:rsid w:val="00BE3104"/>
    <w:rsid w:val="00BE48D8"/>
    <w:rsid w:val="00BE5ADA"/>
    <w:rsid w:val="00BE6045"/>
    <w:rsid w:val="00BE7034"/>
    <w:rsid w:val="00BE7AC0"/>
    <w:rsid w:val="00BE7C46"/>
    <w:rsid w:val="00BF18B4"/>
    <w:rsid w:val="00BF41CD"/>
    <w:rsid w:val="00BF4B3D"/>
    <w:rsid w:val="00BF6544"/>
    <w:rsid w:val="00BF6A5A"/>
    <w:rsid w:val="00BF7384"/>
    <w:rsid w:val="00BF7F7A"/>
    <w:rsid w:val="00C009F6"/>
    <w:rsid w:val="00C018ED"/>
    <w:rsid w:val="00C01EE5"/>
    <w:rsid w:val="00C021A6"/>
    <w:rsid w:val="00C026E3"/>
    <w:rsid w:val="00C02F34"/>
    <w:rsid w:val="00C03C1D"/>
    <w:rsid w:val="00C05A27"/>
    <w:rsid w:val="00C067B0"/>
    <w:rsid w:val="00C072D6"/>
    <w:rsid w:val="00C07ED0"/>
    <w:rsid w:val="00C110F1"/>
    <w:rsid w:val="00C12106"/>
    <w:rsid w:val="00C12C4E"/>
    <w:rsid w:val="00C14D55"/>
    <w:rsid w:val="00C165CF"/>
    <w:rsid w:val="00C16A43"/>
    <w:rsid w:val="00C16FA9"/>
    <w:rsid w:val="00C17252"/>
    <w:rsid w:val="00C2008C"/>
    <w:rsid w:val="00C20737"/>
    <w:rsid w:val="00C216F1"/>
    <w:rsid w:val="00C21FFB"/>
    <w:rsid w:val="00C226C0"/>
    <w:rsid w:val="00C2326D"/>
    <w:rsid w:val="00C238B7"/>
    <w:rsid w:val="00C23FB6"/>
    <w:rsid w:val="00C24796"/>
    <w:rsid w:val="00C24E3D"/>
    <w:rsid w:val="00C25821"/>
    <w:rsid w:val="00C2616C"/>
    <w:rsid w:val="00C26AEB"/>
    <w:rsid w:val="00C26F0A"/>
    <w:rsid w:val="00C301D7"/>
    <w:rsid w:val="00C30DD2"/>
    <w:rsid w:val="00C30E30"/>
    <w:rsid w:val="00C30E64"/>
    <w:rsid w:val="00C31977"/>
    <w:rsid w:val="00C31A27"/>
    <w:rsid w:val="00C32C19"/>
    <w:rsid w:val="00C33ABD"/>
    <w:rsid w:val="00C34D29"/>
    <w:rsid w:val="00C34ECB"/>
    <w:rsid w:val="00C35F09"/>
    <w:rsid w:val="00C366D0"/>
    <w:rsid w:val="00C4098F"/>
    <w:rsid w:val="00C417F5"/>
    <w:rsid w:val="00C41AD0"/>
    <w:rsid w:val="00C43186"/>
    <w:rsid w:val="00C43516"/>
    <w:rsid w:val="00C43E4F"/>
    <w:rsid w:val="00C43F1D"/>
    <w:rsid w:val="00C44D2F"/>
    <w:rsid w:val="00C450A8"/>
    <w:rsid w:val="00C4542A"/>
    <w:rsid w:val="00C455B4"/>
    <w:rsid w:val="00C46429"/>
    <w:rsid w:val="00C46C13"/>
    <w:rsid w:val="00C46EE5"/>
    <w:rsid w:val="00C47137"/>
    <w:rsid w:val="00C47C9F"/>
    <w:rsid w:val="00C50A4B"/>
    <w:rsid w:val="00C512F9"/>
    <w:rsid w:val="00C51D1A"/>
    <w:rsid w:val="00C53397"/>
    <w:rsid w:val="00C53CDC"/>
    <w:rsid w:val="00C54B96"/>
    <w:rsid w:val="00C54C9D"/>
    <w:rsid w:val="00C5520D"/>
    <w:rsid w:val="00C55BA9"/>
    <w:rsid w:val="00C57BA7"/>
    <w:rsid w:val="00C60C2F"/>
    <w:rsid w:val="00C60C44"/>
    <w:rsid w:val="00C62130"/>
    <w:rsid w:val="00C63FD2"/>
    <w:rsid w:val="00C660FA"/>
    <w:rsid w:val="00C666EB"/>
    <w:rsid w:val="00C67311"/>
    <w:rsid w:val="00C7000E"/>
    <w:rsid w:val="00C700CC"/>
    <w:rsid w:val="00C7087B"/>
    <w:rsid w:val="00C72292"/>
    <w:rsid w:val="00C72AE5"/>
    <w:rsid w:val="00C73176"/>
    <w:rsid w:val="00C73B98"/>
    <w:rsid w:val="00C744BB"/>
    <w:rsid w:val="00C74640"/>
    <w:rsid w:val="00C75357"/>
    <w:rsid w:val="00C75439"/>
    <w:rsid w:val="00C7568F"/>
    <w:rsid w:val="00C75857"/>
    <w:rsid w:val="00C77195"/>
    <w:rsid w:val="00C771FC"/>
    <w:rsid w:val="00C77290"/>
    <w:rsid w:val="00C77448"/>
    <w:rsid w:val="00C802E7"/>
    <w:rsid w:val="00C8175A"/>
    <w:rsid w:val="00C817DA"/>
    <w:rsid w:val="00C82960"/>
    <w:rsid w:val="00C83030"/>
    <w:rsid w:val="00C83635"/>
    <w:rsid w:val="00C8485F"/>
    <w:rsid w:val="00C857CB"/>
    <w:rsid w:val="00C86332"/>
    <w:rsid w:val="00C87909"/>
    <w:rsid w:val="00C925C9"/>
    <w:rsid w:val="00C92905"/>
    <w:rsid w:val="00C92D2C"/>
    <w:rsid w:val="00C9305A"/>
    <w:rsid w:val="00C941FA"/>
    <w:rsid w:val="00C94326"/>
    <w:rsid w:val="00C94804"/>
    <w:rsid w:val="00C95C39"/>
    <w:rsid w:val="00C960DC"/>
    <w:rsid w:val="00CA033E"/>
    <w:rsid w:val="00CA0A0A"/>
    <w:rsid w:val="00CA118F"/>
    <w:rsid w:val="00CA1BEB"/>
    <w:rsid w:val="00CA2EC0"/>
    <w:rsid w:val="00CA37E8"/>
    <w:rsid w:val="00CA3DCC"/>
    <w:rsid w:val="00CA5A27"/>
    <w:rsid w:val="00CA6910"/>
    <w:rsid w:val="00CA6961"/>
    <w:rsid w:val="00CA79AF"/>
    <w:rsid w:val="00CB1121"/>
    <w:rsid w:val="00CB17C8"/>
    <w:rsid w:val="00CB19E0"/>
    <w:rsid w:val="00CB291D"/>
    <w:rsid w:val="00CB427C"/>
    <w:rsid w:val="00CB5420"/>
    <w:rsid w:val="00CB652F"/>
    <w:rsid w:val="00CB69BA"/>
    <w:rsid w:val="00CB6BC7"/>
    <w:rsid w:val="00CB7649"/>
    <w:rsid w:val="00CC00EC"/>
    <w:rsid w:val="00CC086F"/>
    <w:rsid w:val="00CC08DE"/>
    <w:rsid w:val="00CC0AFE"/>
    <w:rsid w:val="00CC11B8"/>
    <w:rsid w:val="00CC3904"/>
    <w:rsid w:val="00CC6EFC"/>
    <w:rsid w:val="00CC6FFC"/>
    <w:rsid w:val="00CD0233"/>
    <w:rsid w:val="00CD05E3"/>
    <w:rsid w:val="00CD0A1B"/>
    <w:rsid w:val="00CD0A68"/>
    <w:rsid w:val="00CD32FB"/>
    <w:rsid w:val="00CD4766"/>
    <w:rsid w:val="00CD5382"/>
    <w:rsid w:val="00CD5580"/>
    <w:rsid w:val="00CD5900"/>
    <w:rsid w:val="00CD5F0E"/>
    <w:rsid w:val="00CE0058"/>
    <w:rsid w:val="00CE076E"/>
    <w:rsid w:val="00CE0AF4"/>
    <w:rsid w:val="00CE0BF1"/>
    <w:rsid w:val="00CE0D58"/>
    <w:rsid w:val="00CE1B63"/>
    <w:rsid w:val="00CE280E"/>
    <w:rsid w:val="00CE2E88"/>
    <w:rsid w:val="00CE37CA"/>
    <w:rsid w:val="00CE3F64"/>
    <w:rsid w:val="00CE43F5"/>
    <w:rsid w:val="00CE4914"/>
    <w:rsid w:val="00CE4AFF"/>
    <w:rsid w:val="00CE4B43"/>
    <w:rsid w:val="00CE6AC7"/>
    <w:rsid w:val="00CE77E4"/>
    <w:rsid w:val="00CF0F04"/>
    <w:rsid w:val="00CF23CC"/>
    <w:rsid w:val="00CF2E8E"/>
    <w:rsid w:val="00CF597E"/>
    <w:rsid w:val="00CF5F91"/>
    <w:rsid w:val="00CF67E6"/>
    <w:rsid w:val="00CF6A31"/>
    <w:rsid w:val="00CF781B"/>
    <w:rsid w:val="00CF7AFA"/>
    <w:rsid w:val="00D00825"/>
    <w:rsid w:val="00D0106C"/>
    <w:rsid w:val="00D01719"/>
    <w:rsid w:val="00D02462"/>
    <w:rsid w:val="00D02C75"/>
    <w:rsid w:val="00D04C9F"/>
    <w:rsid w:val="00D077AB"/>
    <w:rsid w:val="00D07ABD"/>
    <w:rsid w:val="00D07F6A"/>
    <w:rsid w:val="00D102D8"/>
    <w:rsid w:val="00D107E2"/>
    <w:rsid w:val="00D108C9"/>
    <w:rsid w:val="00D10CE5"/>
    <w:rsid w:val="00D10E22"/>
    <w:rsid w:val="00D11419"/>
    <w:rsid w:val="00D11510"/>
    <w:rsid w:val="00D11B23"/>
    <w:rsid w:val="00D128A9"/>
    <w:rsid w:val="00D13D2C"/>
    <w:rsid w:val="00D14083"/>
    <w:rsid w:val="00D1436E"/>
    <w:rsid w:val="00D154C1"/>
    <w:rsid w:val="00D16213"/>
    <w:rsid w:val="00D175A7"/>
    <w:rsid w:val="00D21467"/>
    <w:rsid w:val="00D22156"/>
    <w:rsid w:val="00D22C5D"/>
    <w:rsid w:val="00D22FCA"/>
    <w:rsid w:val="00D236B5"/>
    <w:rsid w:val="00D2502A"/>
    <w:rsid w:val="00D250B0"/>
    <w:rsid w:val="00D252B8"/>
    <w:rsid w:val="00D25EE5"/>
    <w:rsid w:val="00D260C2"/>
    <w:rsid w:val="00D2650E"/>
    <w:rsid w:val="00D26EB8"/>
    <w:rsid w:val="00D270A8"/>
    <w:rsid w:val="00D27A00"/>
    <w:rsid w:val="00D301F5"/>
    <w:rsid w:val="00D30EF4"/>
    <w:rsid w:val="00D30F4B"/>
    <w:rsid w:val="00D33349"/>
    <w:rsid w:val="00D3409C"/>
    <w:rsid w:val="00D35607"/>
    <w:rsid w:val="00D35A1F"/>
    <w:rsid w:val="00D35E4C"/>
    <w:rsid w:val="00D37B85"/>
    <w:rsid w:val="00D40979"/>
    <w:rsid w:val="00D40D57"/>
    <w:rsid w:val="00D41082"/>
    <w:rsid w:val="00D41562"/>
    <w:rsid w:val="00D41C58"/>
    <w:rsid w:val="00D41F86"/>
    <w:rsid w:val="00D42029"/>
    <w:rsid w:val="00D42625"/>
    <w:rsid w:val="00D42872"/>
    <w:rsid w:val="00D43066"/>
    <w:rsid w:val="00D4347D"/>
    <w:rsid w:val="00D44F5B"/>
    <w:rsid w:val="00D4544F"/>
    <w:rsid w:val="00D45DFB"/>
    <w:rsid w:val="00D4609D"/>
    <w:rsid w:val="00D464BE"/>
    <w:rsid w:val="00D46F6F"/>
    <w:rsid w:val="00D475A9"/>
    <w:rsid w:val="00D47988"/>
    <w:rsid w:val="00D47C85"/>
    <w:rsid w:val="00D47D94"/>
    <w:rsid w:val="00D509E2"/>
    <w:rsid w:val="00D511CC"/>
    <w:rsid w:val="00D513D6"/>
    <w:rsid w:val="00D523E5"/>
    <w:rsid w:val="00D5463D"/>
    <w:rsid w:val="00D54BA1"/>
    <w:rsid w:val="00D55B08"/>
    <w:rsid w:val="00D562E3"/>
    <w:rsid w:val="00D56C63"/>
    <w:rsid w:val="00D56C98"/>
    <w:rsid w:val="00D57555"/>
    <w:rsid w:val="00D60AB4"/>
    <w:rsid w:val="00D60DC4"/>
    <w:rsid w:val="00D61032"/>
    <w:rsid w:val="00D61EA2"/>
    <w:rsid w:val="00D62029"/>
    <w:rsid w:val="00D62C85"/>
    <w:rsid w:val="00D6355E"/>
    <w:rsid w:val="00D63701"/>
    <w:rsid w:val="00D65865"/>
    <w:rsid w:val="00D703C2"/>
    <w:rsid w:val="00D70992"/>
    <w:rsid w:val="00D71C9A"/>
    <w:rsid w:val="00D73334"/>
    <w:rsid w:val="00D73823"/>
    <w:rsid w:val="00D7474E"/>
    <w:rsid w:val="00D74D74"/>
    <w:rsid w:val="00D755F3"/>
    <w:rsid w:val="00D76906"/>
    <w:rsid w:val="00D76D0F"/>
    <w:rsid w:val="00D80E1D"/>
    <w:rsid w:val="00D819DC"/>
    <w:rsid w:val="00D81AE0"/>
    <w:rsid w:val="00D824BA"/>
    <w:rsid w:val="00D830BF"/>
    <w:rsid w:val="00D83963"/>
    <w:rsid w:val="00D83AD1"/>
    <w:rsid w:val="00D84051"/>
    <w:rsid w:val="00D84FFC"/>
    <w:rsid w:val="00D85010"/>
    <w:rsid w:val="00D8573E"/>
    <w:rsid w:val="00D876C7"/>
    <w:rsid w:val="00D877A2"/>
    <w:rsid w:val="00D91BAC"/>
    <w:rsid w:val="00D91C41"/>
    <w:rsid w:val="00D926AD"/>
    <w:rsid w:val="00D93AFD"/>
    <w:rsid w:val="00D93CF4"/>
    <w:rsid w:val="00D93D0D"/>
    <w:rsid w:val="00D93E2B"/>
    <w:rsid w:val="00D94EDE"/>
    <w:rsid w:val="00D95189"/>
    <w:rsid w:val="00D95293"/>
    <w:rsid w:val="00D95EF8"/>
    <w:rsid w:val="00D96A5E"/>
    <w:rsid w:val="00D96B42"/>
    <w:rsid w:val="00D96E2B"/>
    <w:rsid w:val="00D96F05"/>
    <w:rsid w:val="00DA084C"/>
    <w:rsid w:val="00DA0E08"/>
    <w:rsid w:val="00DA1E62"/>
    <w:rsid w:val="00DA29AD"/>
    <w:rsid w:val="00DA33D6"/>
    <w:rsid w:val="00DA347B"/>
    <w:rsid w:val="00DA354E"/>
    <w:rsid w:val="00DA3829"/>
    <w:rsid w:val="00DA424C"/>
    <w:rsid w:val="00DA5014"/>
    <w:rsid w:val="00DA525A"/>
    <w:rsid w:val="00DA587C"/>
    <w:rsid w:val="00DA636D"/>
    <w:rsid w:val="00DA664C"/>
    <w:rsid w:val="00DA6A99"/>
    <w:rsid w:val="00DA742D"/>
    <w:rsid w:val="00DA76DC"/>
    <w:rsid w:val="00DB05F7"/>
    <w:rsid w:val="00DB07D6"/>
    <w:rsid w:val="00DB0EC7"/>
    <w:rsid w:val="00DB3291"/>
    <w:rsid w:val="00DB3A06"/>
    <w:rsid w:val="00DB494E"/>
    <w:rsid w:val="00DB4B69"/>
    <w:rsid w:val="00DB5518"/>
    <w:rsid w:val="00DB76C8"/>
    <w:rsid w:val="00DB7C1A"/>
    <w:rsid w:val="00DC0A7A"/>
    <w:rsid w:val="00DC2465"/>
    <w:rsid w:val="00DC2761"/>
    <w:rsid w:val="00DC282D"/>
    <w:rsid w:val="00DC2E55"/>
    <w:rsid w:val="00DC2F1A"/>
    <w:rsid w:val="00DC2F94"/>
    <w:rsid w:val="00DC4132"/>
    <w:rsid w:val="00DC5205"/>
    <w:rsid w:val="00DC6E40"/>
    <w:rsid w:val="00DC73F2"/>
    <w:rsid w:val="00DC7DE5"/>
    <w:rsid w:val="00DD009C"/>
    <w:rsid w:val="00DD0387"/>
    <w:rsid w:val="00DD05A7"/>
    <w:rsid w:val="00DD0E3E"/>
    <w:rsid w:val="00DD10CE"/>
    <w:rsid w:val="00DD1703"/>
    <w:rsid w:val="00DD1FFE"/>
    <w:rsid w:val="00DD2879"/>
    <w:rsid w:val="00DD2B27"/>
    <w:rsid w:val="00DD31EC"/>
    <w:rsid w:val="00DD3C83"/>
    <w:rsid w:val="00DD3D9E"/>
    <w:rsid w:val="00DD5D06"/>
    <w:rsid w:val="00DD63A2"/>
    <w:rsid w:val="00DD6A5D"/>
    <w:rsid w:val="00DD7908"/>
    <w:rsid w:val="00DD7C75"/>
    <w:rsid w:val="00DE2F72"/>
    <w:rsid w:val="00DE352E"/>
    <w:rsid w:val="00DE5021"/>
    <w:rsid w:val="00DE5666"/>
    <w:rsid w:val="00DE5837"/>
    <w:rsid w:val="00DE5C5D"/>
    <w:rsid w:val="00DE6682"/>
    <w:rsid w:val="00DE7A66"/>
    <w:rsid w:val="00DF06C9"/>
    <w:rsid w:val="00DF0C1F"/>
    <w:rsid w:val="00DF108B"/>
    <w:rsid w:val="00DF14DB"/>
    <w:rsid w:val="00DF2411"/>
    <w:rsid w:val="00DF24C4"/>
    <w:rsid w:val="00DF31E6"/>
    <w:rsid w:val="00DF33C3"/>
    <w:rsid w:val="00DF34E8"/>
    <w:rsid w:val="00DF3D85"/>
    <w:rsid w:val="00DF3FCA"/>
    <w:rsid w:val="00DF6323"/>
    <w:rsid w:val="00DF7927"/>
    <w:rsid w:val="00DF7E49"/>
    <w:rsid w:val="00E00EF0"/>
    <w:rsid w:val="00E01595"/>
    <w:rsid w:val="00E01C79"/>
    <w:rsid w:val="00E01F19"/>
    <w:rsid w:val="00E02058"/>
    <w:rsid w:val="00E02674"/>
    <w:rsid w:val="00E027E6"/>
    <w:rsid w:val="00E0337A"/>
    <w:rsid w:val="00E038ED"/>
    <w:rsid w:val="00E03B1F"/>
    <w:rsid w:val="00E03E38"/>
    <w:rsid w:val="00E03FF5"/>
    <w:rsid w:val="00E043E2"/>
    <w:rsid w:val="00E04735"/>
    <w:rsid w:val="00E06274"/>
    <w:rsid w:val="00E0752F"/>
    <w:rsid w:val="00E1043A"/>
    <w:rsid w:val="00E1242C"/>
    <w:rsid w:val="00E13B84"/>
    <w:rsid w:val="00E15176"/>
    <w:rsid w:val="00E15B08"/>
    <w:rsid w:val="00E15CDE"/>
    <w:rsid w:val="00E16C94"/>
    <w:rsid w:val="00E16DD5"/>
    <w:rsid w:val="00E17400"/>
    <w:rsid w:val="00E176E9"/>
    <w:rsid w:val="00E17C38"/>
    <w:rsid w:val="00E17D1C"/>
    <w:rsid w:val="00E20272"/>
    <w:rsid w:val="00E214C8"/>
    <w:rsid w:val="00E2245F"/>
    <w:rsid w:val="00E227CA"/>
    <w:rsid w:val="00E24FD1"/>
    <w:rsid w:val="00E25E56"/>
    <w:rsid w:val="00E26AAC"/>
    <w:rsid w:val="00E26C8E"/>
    <w:rsid w:val="00E26CCC"/>
    <w:rsid w:val="00E30366"/>
    <w:rsid w:val="00E30703"/>
    <w:rsid w:val="00E31032"/>
    <w:rsid w:val="00E31845"/>
    <w:rsid w:val="00E31A1C"/>
    <w:rsid w:val="00E33160"/>
    <w:rsid w:val="00E33C43"/>
    <w:rsid w:val="00E34C3B"/>
    <w:rsid w:val="00E3517A"/>
    <w:rsid w:val="00E3531B"/>
    <w:rsid w:val="00E3631F"/>
    <w:rsid w:val="00E36422"/>
    <w:rsid w:val="00E36C54"/>
    <w:rsid w:val="00E37549"/>
    <w:rsid w:val="00E4061E"/>
    <w:rsid w:val="00E4075F"/>
    <w:rsid w:val="00E4084C"/>
    <w:rsid w:val="00E428F6"/>
    <w:rsid w:val="00E4345B"/>
    <w:rsid w:val="00E44375"/>
    <w:rsid w:val="00E45207"/>
    <w:rsid w:val="00E4559E"/>
    <w:rsid w:val="00E46455"/>
    <w:rsid w:val="00E46F3C"/>
    <w:rsid w:val="00E51269"/>
    <w:rsid w:val="00E51A25"/>
    <w:rsid w:val="00E51BF6"/>
    <w:rsid w:val="00E52030"/>
    <w:rsid w:val="00E523FE"/>
    <w:rsid w:val="00E53368"/>
    <w:rsid w:val="00E53D16"/>
    <w:rsid w:val="00E53F76"/>
    <w:rsid w:val="00E555D5"/>
    <w:rsid w:val="00E55CDC"/>
    <w:rsid w:val="00E56050"/>
    <w:rsid w:val="00E5680E"/>
    <w:rsid w:val="00E56CAD"/>
    <w:rsid w:val="00E56E66"/>
    <w:rsid w:val="00E5776B"/>
    <w:rsid w:val="00E57838"/>
    <w:rsid w:val="00E60A18"/>
    <w:rsid w:val="00E61532"/>
    <w:rsid w:val="00E62C82"/>
    <w:rsid w:val="00E656EF"/>
    <w:rsid w:val="00E66C3A"/>
    <w:rsid w:val="00E670B9"/>
    <w:rsid w:val="00E703EB"/>
    <w:rsid w:val="00E7049C"/>
    <w:rsid w:val="00E71313"/>
    <w:rsid w:val="00E7260E"/>
    <w:rsid w:val="00E72833"/>
    <w:rsid w:val="00E744BF"/>
    <w:rsid w:val="00E74DBE"/>
    <w:rsid w:val="00E75178"/>
    <w:rsid w:val="00E765CA"/>
    <w:rsid w:val="00E76E3F"/>
    <w:rsid w:val="00E7701D"/>
    <w:rsid w:val="00E77303"/>
    <w:rsid w:val="00E77D6B"/>
    <w:rsid w:val="00E802A2"/>
    <w:rsid w:val="00E81BE3"/>
    <w:rsid w:val="00E82297"/>
    <w:rsid w:val="00E834ED"/>
    <w:rsid w:val="00E85557"/>
    <w:rsid w:val="00E8556E"/>
    <w:rsid w:val="00E85753"/>
    <w:rsid w:val="00E86484"/>
    <w:rsid w:val="00E87352"/>
    <w:rsid w:val="00E87FE3"/>
    <w:rsid w:val="00E90274"/>
    <w:rsid w:val="00E9172B"/>
    <w:rsid w:val="00E91B42"/>
    <w:rsid w:val="00E9244B"/>
    <w:rsid w:val="00E927F2"/>
    <w:rsid w:val="00E9312C"/>
    <w:rsid w:val="00E940B9"/>
    <w:rsid w:val="00E9453C"/>
    <w:rsid w:val="00E94919"/>
    <w:rsid w:val="00E96B4D"/>
    <w:rsid w:val="00E97693"/>
    <w:rsid w:val="00EA0BD8"/>
    <w:rsid w:val="00EA0C2A"/>
    <w:rsid w:val="00EA20BE"/>
    <w:rsid w:val="00EA2B54"/>
    <w:rsid w:val="00EA42A7"/>
    <w:rsid w:val="00EA5A55"/>
    <w:rsid w:val="00EA68DF"/>
    <w:rsid w:val="00EA74BB"/>
    <w:rsid w:val="00EB0000"/>
    <w:rsid w:val="00EB17E7"/>
    <w:rsid w:val="00EB1C5B"/>
    <w:rsid w:val="00EB353A"/>
    <w:rsid w:val="00EB36DD"/>
    <w:rsid w:val="00EB4A48"/>
    <w:rsid w:val="00EB576E"/>
    <w:rsid w:val="00EB70E0"/>
    <w:rsid w:val="00EB7829"/>
    <w:rsid w:val="00EB7D36"/>
    <w:rsid w:val="00EB7DF0"/>
    <w:rsid w:val="00EC0141"/>
    <w:rsid w:val="00EC083F"/>
    <w:rsid w:val="00EC1596"/>
    <w:rsid w:val="00EC15BA"/>
    <w:rsid w:val="00EC7556"/>
    <w:rsid w:val="00EC788E"/>
    <w:rsid w:val="00ED037F"/>
    <w:rsid w:val="00ED0D3D"/>
    <w:rsid w:val="00ED284A"/>
    <w:rsid w:val="00ED2910"/>
    <w:rsid w:val="00ED2CDD"/>
    <w:rsid w:val="00ED38A8"/>
    <w:rsid w:val="00ED5A00"/>
    <w:rsid w:val="00ED5A10"/>
    <w:rsid w:val="00ED6AAA"/>
    <w:rsid w:val="00ED738E"/>
    <w:rsid w:val="00ED73AE"/>
    <w:rsid w:val="00ED7617"/>
    <w:rsid w:val="00ED7FCE"/>
    <w:rsid w:val="00EE0985"/>
    <w:rsid w:val="00EE1337"/>
    <w:rsid w:val="00EE1A3D"/>
    <w:rsid w:val="00EE39AA"/>
    <w:rsid w:val="00EE4347"/>
    <w:rsid w:val="00EE4C0A"/>
    <w:rsid w:val="00EF1D3C"/>
    <w:rsid w:val="00EF28F4"/>
    <w:rsid w:val="00EF39FD"/>
    <w:rsid w:val="00EF3D17"/>
    <w:rsid w:val="00EF48B6"/>
    <w:rsid w:val="00EF5504"/>
    <w:rsid w:val="00EF5811"/>
    <w:rsid w:val="00EF5DE1"/>
    <w:rsid w:val="00EF6146"/>
    <w:rsid w:val="00EF6526"/>
    <w:rsid w:val="00EF66EE"/>
    <w:rsid w:val="00EF6FC0"/>
    <w:rsid w:val="00EF75D9"/>
    <w:rsid w:val="00F005F0"/>
    <w:rsid w:val="00F00BA4"/>
    <w:rsid w:val="00F00D0E"/>
    <w:rsid w:val="00F00DCB"/>
    <w:rsid w:val="00F00EE6"/>
    <w:rsid w:val="00F015F4"/>
    <w:rsid w:val="00F0348B"/>
    <w:rsid w:val="00F044BD"/>
    <w:rsid w:val="00F05C06"/>
    <w:rsid w:val="00F05E82"/>
    <w:rsid w:val="00F064E4"/>
    <w:rsid w:val="00F0657D"/>
    <w:rsid w:val="00F067B6"/>
    <w:rsid w:val="00F06842"/>
    <w:rsid w:val="00F0785D"/>
    <w:rsid w:val="00F07B7A"/>
    <w:rsid w:val="00F07ED2"/>
    <w:rsid w:val="00F107FD"/>
    <w:rsid w:val="00F11107"/>
    <w:rsid w:val="00F11B0E"/>
    <w:rsid w:val="00F11EA9"/>
    <w:rsid w:val="00F13427"/>
    <w:rsid w:val="00F15D51"/>
    <w:rsid w:val="00F15FC7"/>
    <w:rsid w:val="00F1750B"/>
    <w:rsid w:val="00F211B7"/>
    <w:rsid w:val="00F2146D"/>
    <w:rsid w:val="00F222A5"/>
    <w:rsid w:val="00F2367D"/>
    <w:rsid w:val="00F23706"/>
    <w:rsid w:val="00F2384D"/>
    <w:rsid w:val="00F2407D"/>
    <w:rsid w:val="00F30DED"/>
    <w:rsid w:val="00F3122F"/>
    <w:rsid w:val="00F31F90"/>
    <w:rsid w:val="00F3252F"/>
    <w:rsid w:val="00F3296B"/>
    <w:rsid w:val="00F32D92"/>
    <w:rsid w:val="00F32F00"/>
    <w:rsid w:val="00F32F59"/>
    <w:rsid w:val="00F33A35"/>
    <w:rsid w:val="00F35A31"/>
    <w:rsid w:val="00F36310"/>
    <w:rsid w:val="00F3645D"/>
    <w:rsid w:val="00F36606"/>
    <w:rsid w:val="00F401A6"/>
    <w:rsid w:val="00F4141F"/>
    <w:rsid w:val="00F4315A"/>
    <w:rsid w:val="00F43273"/>
    <w:rsid w:val="00F4617A"/>
    <w:rsid w:val="00F46CA0"/>
    <w:rsid w:val="00F47AB2"/>
    <w:rsid w:val="00F51F1A"/>
    <w:rsid w:val="00F52F3E"/>
    <w:rsid w:val="00F537FF"/>
    <w:rsid w:val="00F53E96"/>
    <w:rsid w:val="00F55D35"/>
    <w:rsid w:val="00F56519"/>
    <w:rsid w:val="00F5651D"/>
    <w:rsid w:val="00F56BAD"/>
    <w:rsid w:val="00F577B5"/>
    <w:rsid w:val="00F60F76"/>
    <w:rsid w:val="00F626B0"/>
    <w:rsid w:val="00F62F2A"/>
    <w:rsid w:val="00F640B1"/>
    <w:rsid w:val="00F64B8E"/>
    <w:rsid w:val="00F655A2"/>
    <w:rsid w:val="00F65723"/>
    <w:rsid w:val="00F657C8"/>
    <w:rsid w:val="00F65FB3"/>
    <w:rsid w:val="00F67D96"/>
    <w:rsid w:val="00F70829"/>
    <w:rsid w:val="00F709F7"/>
    <w:rsid w:val="00F70F0E"/>
    <w:rsid w:val="00F71CD4"/>
    <w:rsid w:val="00F7238E"/>
    <w:rsid w:val="00F724E9"/>
    <w:rsid w:val="00F72BF9"/>
    <w:rsid w:val="00F731C2"/>
    <w:rsid w:val="00F74134"/>
    <w:rsid w:val="00F7465A"/>
    <w:rsid w:val="00F7642A"/>
    <w:rsid w:val="00F82096"/>
    <w:rsid w:val="00F831BA"/>
    <w:rsid w:val="00F84549"/>
    <w:rsid w:val="00F8505F"/>
    <w:rsid w:val="00F85DC3"/>
    <w:rsid w:val="00F870B1"/>
    <w:rsid w:val="00F87E7D"/>
    <w:rsid w:val="00F919BF"/>
    <w:rsid w:val="00F91C38"/>
    <w:rsid w:val="00F92A18"/>
    <w:rsid w:val="00F95267"/>
    <w:rsid w:val="00F974F4"/>
    <w:rsid w:val="00FA00FE"/>
    <w:rsid w:val="00FA0388"/>
    <w:rsid w:val="00FA0821"/>
    <w:rsid w:val="00FA2E56"/>
    <w:rsid w:val="00FA4D43"/>
    <w:rsid w:val="00FA53B4"/>
    <w:rsid w:val="00FA6269"/>
    <w:rsid w:val="00FA6742"/>
    <w:rsid w:val="00FB215E"/>
    <w:rsid w:val="00FB3E57"/>
    <w:rsid w:val="00FB64A8"/>
    <w:rsid w:val="00FB75FB"/>
    <w:rsid w:val="00FB7611"/>
    <w:rsid w:val="00FC0D95"/>
    <w:rsid w:val="00FC18F7"/>
    <w:rsid w:val="00FC2246"/>
    <w:rsid w:val="00FC2D43"/>
    <w:rsid w:val="00FC47CF"/>
    <w:rsid w:val="00FC4B13"/>
    <w:rsid w:val="00FC501C"/>
    <w:rsid w:val="00FC50B5"/>
    <w:rsid w:val="00FC525D"/>
    <w:rsid w:val="00FC6E97"/>
    <w:rsid w:val="00FC71D2"/>
    <w:rsid w:val="00FC73F5"/>
    <w:rsid w:val="00FC749D"/>
    <w:rsid w:val="00FC7560"/>
    <w:rsid w:val="00FC7FF9"/>
    <w:rsid w:val="00FD0C2E"/>
    <w:rsid w:val="00FD129C"/>
    <w:rsid w:val="00FD1CFB"/>
    <w:rsid w:val="00FD217E"/>
    <w:rsid w:val="00FD33B4"/>
    <w:rsid w:val="00FD4297"/>
    <w:rsid w:val="00FD44E8"/>
    <w:rsid w:val="00FD4D42"/>
    <w:rsid w:val="00FD5792"/>
    <w:rsid w:val="00FD5E14"/>
    <w:rsid w:val="00FD6022"/>
    <w:rsid w:val="00FD60EF"/>
    <w:rsid w:val="00FD693D"/>
    <w:rsid w:val="00FD6957"/>
    <w:rsid w:val="00FE0CB7"/>
    <w:rsid w:val="00FE244B"/>
    <w:rsid w:val="00FE2503"/>
    <w:rsid w:val="00FE290F"/>
    <w:rsid w:val="00FE3F56"/>
    <w:rsid w:val="00FE40C2"/>
    <w:rsid w:val="00FE4426"/>
    <w:rsid w:val="00FE4DD9"/>
    <w:rsid w:val="00FE57AE"/>
    <w:rsid w:val="00FE5C25"/>
    <w:rsid w:val="00FE6F92"/>
    <w:rsid w:val="00FE77E8"/>
    <w:rsid w:val="00FE7893"/>
    <w:rsid w:val="00FF0DE9"/>
    <w:rsid w:val="00FF1B7D"/>
    <w:rsid w:val="00FF20AE"/>
    <w:rsid w:val="00FF2CF4"/>
    <w:rsid w:val="00FF3C36"/>
    <w:rsid w:val="00FF3D9D"/>
    <w:rsid w:val="00FF66A9"/>
    <w:rsid w:val="00FF68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4DE67F"/>
  <w15:docId w15:val="{EB6D8898-5379-4827-AEE6-0885C55E1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9953BA"/>
    <w:pPr>
      <w:jc w:val="both"/>
    </w:pPr>
    <w:rPr>
      <w:lang w:val="en-US"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suppressAutoHyphens/>
      <w:spacing w:before="80"/>
    </w:pPr>
    <w:rPr>
      <w:i/>
    </w:rPr>
  </w:style>
  <w:style w:type="paragraph" w:customStyle="1" w:styleId="Els-3rdorder-head">
    <w:name w:val="Els-3rdorder-head"/>
    <w:basedOn w:val="Els-body-text"/>
    <w:next w:val="Els-body-text"/>
    <w:rsid w:val="008B0184"/>
    <w:pPr>
      <w:keepNext/>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link w:val="PidipaginaCarattere"/>
    <w:uiPriority w:val="99"/>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rPr>
  </w:style>
  <w:style w:type="paragraph" w:styleId="Paragrafoelenco">
    <w:name w:val="List Paragraph"/>
    <w:basedOn w:val="Normale"/>
    <w:uiPriority w:val="34"/>
    <w:qFormat/>
    <w:rsid w:val="002D4BE9"/>
    <w:pPr>
      <w:ind w:left="720"/>
      <w:contextualSpacing/>
    </w:pPr>
  </w:style>
  <w:style w:type="table" w:styleId="Grigliatabella">
    <w:name w:val="Table Grid"/>
    <w:basedOn w:val="Tabellanormale"/>
    <w:rsid w:val="00CA1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141D38"/>
    <w:rPr>
      <w:color w:val="808080"/>
    </w:rPr>
  </w:style>
  <w:style w:type="paragraph" w:styleId="Revisione">
    <w:name w:val="Revision"/>
    <w:hidden/>
    <w:uiPriority w:val="99"/>
    <w:semiHidden/>
    <w:rsid w:val="006537DE"/>
    <w:rPr>
      <w:lang w:val="en-US" w:eastAsia="en-US"/>
    </w:rPr>
  </w:style>
  <w:style w:type="character" w:customStyle="1" w:styleId="PidipaginaCarattere">
    <w:name w:val="Piè di pagina Carattere"/>
    <w:basedOn w:val="Carpredefinitoparagrafo"/>
    <w:link w:val="Pidipagina"/>
    <w:uiPriority w:val="99"/>
    <w:rsid w:val="00A20D75"/>
    <w:rPr>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4802">
      <w:bodyDiv w:val="1"/>
      <w:marLeft w:val="0"/>
      <w:marRight w:val="0"/>
      <w:marTop w:val="0"/>
      <w:marBottom w:val="0"/>
      <w:divBdr>
        <w:top w:val="none" w:sz="0" w:space="0" w:color="auto"/>
        <w:left w:val="none" w:sz="0" w:space="0" w:color="auto"/>
        <w:bottom w:val="none" w:sz="0" w:space="0" w:color="auto"/>
        <w:right w:val="none" w:sz="0" w:space="0" w:color="auto"/>
      </w:divBdr>
      <w:divsChild>
        <w:div w:id="124323183">
          <w:marLeft w:val="480"/>
          <w:marRight w:val="0"/>
          <w:marTop w:val="0"/>
          <w:marBottom w:val="0"/>
          <w:divBdr>
            <w:top w:val="none" w:sz="0" w:space="0" w:color="auto"/>
            <w:left w:val="none" w:sz="0" w:space="0" w:color="auto"/>
            <w:bottom w:val="none" w:sz="0" w:space="0" w:color="auto"/>
            <w:right w:val="none" w:sz="0" w:space="0" w:color="auto"/>
          </w:divBdr>
        </w:div>
        <w:div w:id="498035186">
          <w:marLeft w:val="480"/>
          <w:marRight w:val="0"/>
          <w:marTop w:val="0"/>
          <w:marBottom w:val="0"/>
          <w:divBdr>
            <w:top w:val="none" w:sz="0" w:space="0" w:color="auto"/>
            <w:left w:val="none" w:sz="0" w:space="0" w:color="auto"/>
            <w:bottom w:val="none" w:sz="0" w:space="0" w:color="auto"/>
            <w:right w:val="none" w:sz="0" w:space="0" w:color="auto"/>
          </w:divBdr>
        </w:div>
        <w:div w:id="777601961">
          <w:marLeft w:val="480"/>
          <w:marRight w:val="0"/>
          <w:marTop w:val="0"/>
          <w:marBottom w:val="0"/>
          <w:divBdr>
            <w:top w:val="none" w:sz="0" w:space="0" w:color="auto"/>
            <w:left w:val="none" w:sz="0" w:space="0" w:color="auto"/>
            <w:bottom w:val="none" w:sz="0" w:space="0" w:color="auto"/>
            <w:right w:val="none" w:sz="0" w:space="0" w:color="auto"/>
          </w:divBdr>
        </w:div>
        <w:div w:id="779686295">
          <w:marLeft w:val="480"/>
          <w:marRight w:val="0"/>
          <w:marTop w:val="0"/>
          <w:marBottom w:val="0"/>
          <w:divBdr>
            <w:top w:val="none" w:sz="0" w:space="0" w:color="auto"/>
            <w:left w:val="none" w:sz="0" w:space="0" w:color="auto"/>
            <w:bottom w:val="none" w:sz="0" w:space="0" w:color="auto"/>
            <w:right w:val="none" w:sz="0" w:space="0" w:color="auto"/>
          </w:divBdr>
        </w:div>
        <w:div w:id="948581110">
          <w:marLeft w:val="480"/>
          <w:marRight w:val="0"/>
          <w:marTop w:val="0"/>
          <w:marBottom w:val="0"/>
          <w:divBdr>
            <w:top w:val="none" w:sz="0" w:space="0" w:color="auto"/>
            <w:left w:val="none" w:sz="0" w:space="0" w:color="auto"/>
            <w:bottom w:val="none" w:sz="0" w:space="0" w:color="auto"/>
            <w:right w:val="none" w:sz="0" w:space="0" w:color="auto"/>
          </w:divBdr>
        </w:div>
        <w:div w:id="1426922931">
          <w:marLeft w:val="480"/>
          <w:marRight w:val="0"/>
          <w:marTop w:val="0"/>
          <w:marBottom w:val="0"/>
          <w:divBdr>
            <w:top w:val="none" w:sz="0" w:space="0" w:color="auto"/>
            <w:left w:val="none" w:sz="0" w:space="0" w:color="auto"/>
            <w:bottom w:val="none" w:sz="0" w:space="0" w:color="auto"/>
            <w:right w:val="none" w:sz="0" w:space="0" w:color="auto"/>
          </w:divBdr>
        </w:div>
        <w:div w:id="1446390439">
          <w:marLeft w:val="480"/>
          <w:marRight w:val="0"/>
          <w:marTop w:val="0"/>
          <w:marBottom w:val="0"/>
          <w:divBdr>
            <w:top w:val="none" w:sz="0" w:space="0" w:color="auto"/>
            <w:left w:val="none" w:sz="0" w:space="0" w:color="auto"/>
            <w:bottom w:val="none" w:sz="0" w:space="0" w:color="auto"/>
            <w:right w:val="none" w:sz="0" w:space="0" w:color="auto"/>
          </w:divBdr>
        </w:div>
        <w:div w:id="1507672567">
          <w:marLeft w:val="480"/>
          <w:marRight w:val="0"/>
          <w:marTop w:val="0"/>
          <w:marBottom w:val="0"/>
          <w:divBdr>
            <w:top w:val="none" w:sz="0" w:space="0" w:color="auto"/>
            <w:left w:val="none" w:sz="0" w:space="0" w:color="auto"/>
            <w:bottom w:val="none" w:sz="0" w:space="0" w:color="auto"/>
            <w:right w:val="none" w:sz="0" w:space="0" w:color="auto"/>
          </w:divBdr>
        </w:div>
        <w:div w:id="1588467102">
          <w:marLeft w:val="480"/>
          <w:marRight w:val="0"/>
          <w:marTop w:val="0"/>
          <w:marBottom w:val="0"/>
          <w:divBdr>
            <w:top w:val="none" w:sz="0" w:space="0" w:color="auto"/>
            <w:left w:val="none" w:sz="0" w:space="0" w:color="auto"/>
            <w:bottom w:val="none" w:sz="0" w:space="0" w:color="auto"/>
            <w:right w:val="none" w:sz="0" w:space="0" w:color="auto"/>
          </w:divBdr>
        </w:div>
        <w:div w:id="1601259765">
          <w:marLeft w:val="480"/>
          <w:marRight w:val="0"/>
          <w:marTop w:val="0"/>
          <w:marBottom w:val="0"/>
          <w:divBdr>
            <w:top w:val="none" w:sz="0" w:space="0" w:color="auto"/>
            <w:left w:val="none" w:sz="0" w:space="0" w:color="auto"/>
            <w:bottom w:val="none" w:sz="0" w:space="0" w:color="auto"/>
            <w:right w:val="none" w:sz="0" w:space="0" w:color="auto"/>
          </w:divBdr>
        </w:div>
        <w:div w:id="2114856447">
          <w:marLeft w:val="480"/>
          <w:marRight w:val="0"/>
          <w:marTop w:val="0"/>
          <w:marBottom w:val="0"/>
          <w:divBdr>
            <w:top w:val="none" w:sz="0" w:space="0" w:color="auto"/>
            <w:left w:val="none" w:sz="0" w:space="0" w:color="auto"/>
            <w:bottom w:val="none" w:sz="0" w:space="0" w:color="auto"/>
            <w:right w:val="none" w:sz="0" w:space="0" w:color="auto"/>
          </w:divBdr>
        </w:div>
      </w:divsChild>
    </w:div>
    <w:div w:id="46103169">
      <w:bodyDiv w:val="1"/>
      <w:marLeft w:val="0"/>
      <w:marRight w:val="0"/>
      <w:marTop w:val="0"/>
      <w:marBottom w:val="0"/>
      <w:divBdr>
        <w:top w:val="none" w:sz="0" w:space="0" w:color="auto"/>
        <w:left w:val="none" w:sz="0" w:space="0" w:color="auto"/>
        <w:bottom w:val="none" w:sz="0" w:space="0" w:color="auto"/>
        <w:right w:val="none" w:sz="0" w:space="0" w:color="auto"/>
      </w:divBdr>
      <w:divsChild>
        <w:div w:id="131795323">
          <w:marLeft w:val="480"/>
          <w:marRight w:val="0"/>
          <w:marTop w:val="0"/>
          <w:marBottom w:val="0"/>
          <w:divBdr>
            <w:top w:val="none" w:sz="0" w:space="0" w:color="auto"/>
            <w:left w:val="none" w:sz="0" w:space="0" w:color="auto"/>
            <w:bottom w:val="none" w:sz="0" w:space="0" w:color="auto"/>
            <w:right w:val="none" w:sz="0" w:space="0" w:color="auto"/>
          </w:divBdr>
        </w:div>
        <w:div w:id="139468208">
          <w:marLeft w:val="480"/>
          <w:marRight w:val="0"/>
          <w:marTop w:val="0"/>
          <w:marBottom w:val="0"/>
          <w:divBdr>
            <w:top w:val="none" w:sz="0" w:space="0" w:color="auto"/>
            <w:left w:val="none" w:sz="0" w:space="0" w:color="auto"/>
            <w:bottom w:val="none" w:sz="0" w:space="0" w:color="auto"/>
            <w:right w:val="none" w:sz="0" w:space="0" w:color="auto"/>
          </w:divBdr>
        </w:div>
        <w:div w:id="529606197">
          <w:marLeft w:val="480"/>
          <w:marRight w:val="0"/>
          <w:marTop w:val="0"/>
          <w:marBottom w:val="0"/>
          <w:divBdr>
            <w:top w:val="none" w:sz="0" w:space="0" w:color="auto"/>
            <w:left w:val="none" w:sz="0" w:space="0" w:color="auto"/>
            <w:bottom w:val="none" w:sz="0" w:space="0" w:color="auto"/>
            <w:right w:val="none" w:sz="0" w:space="0" w:color="auto"/>
          </w:divBdr>
        </w:div>
        <w:div w:id="1030032317">
          <w:marLeft w:val="480"/>
          <w:marRight w:val="0"/>
          <w:marTop w:val="0"/>
          <w:marBottom w:val="0"/>
          <w:divBdr>
            <w:top w:val="none" w:sz="0" w:space="0" w:color="auto"/>
            <w:left w:val="none" w:sz="0" w:space="0" w:color="auto"/>
            <w:bottom w:val="none" w:sz="0" w:space="0" w:color="auto"/>
            <w:right w:val="none" w:sz="0" w:space="0" w:color="auto"/>
          </w:divBdr>
        </w:div>
        <w:div w:id="1226641785">
          <w:marLeft w:val="480"/>
          <w:marRight w:val="0"/>
          <w:marTop w:val="0"/>
          <w:marBottom w:val="0"/>
          <w:divBdr>
            <w:top w:val="none" w:sz="0" w:space="0" w:color="auto"/>
            <w:left w:val="none" w:sz="0" w:space="0" w:color="auto"/>
            <w:bottom w:val="none" w:sz="0" w:space="0" w:color="auto"/>
            <w:right w:val="none" w:sz="0" w:space="0" w:color="auto"/>
          </w:divBdr>
        </w:div>
        <w:div w:id="1265651634">
          <w:marLeft w:val="480"/>
          <w:marRight w:val="0"/>
          <w:marTop w:val="0"/>
          <w:marBottom w:val="0"/>
          <w:divBdr>
            <w:top w:val="none" w:sz="0" w:space="0" w:color="auto"/>
            <w:left w:val="none" w:sz="0" w:space="0" w:color="auto"/>
            <w:bottom w:val="none" w:sz="0" w:space="0" w:color="auto"/>
            <w:right w:val="none" w:sz="0" w:space="0" w:color="auto"/>
          </w:divBdr>
        </w:div>
        <w:div w:id="1351906483">
          <w:marLeft w:val="480"/>
          <w:marRight w:val="0"/>
          <w:marTop w:val="0"/>
          <w:marBottom w:val="0"/>
          <w:divBdr>
            <w:top w:val="none" w:sz="0" w:space="0" w:color="auto"/>
            <w:left w:val="none" w:sz="0" w:space="0" w:color="auto"/>
            <w:bottom w:val="none" w:sz="0" w:space="0" w:color="auto"/>
            <w:right w:val="none" w:sz="0" w:space="0" w:color="auto"/>
          </w:divBdr>
        </w:div>
        <w:div w:id="1383604046">
          <w:marLeft w:val="480"/>
          <w:marRight w:val="0"/>
          <w:marTop w:val="0"/>
          <w:marBottom w:val="0"/>
          <w:divBdr>
            <w:top w:val="none" w:sz="0" w:space="0" w:color="auto"/>
            <w:left w:val="none" w:sz="0" w:space="0" w:color="auto"/>
            <w:bottom w:val="none" w:sz="0" w:space="0" w:color="auto"/>
            <w:right w:val="none" w:sz="0" w:space="0" w:color="auto"/>
          </w:divBdr>
        </w:div>
        <w:div w:id="1560047660">
          <w:marLeft w:val="480"/>
          <w:marRight w:val="0"/>
          <w:marTop w:val="0"/>
          <w:marBottom w:val="0"/>
          <w:divBdr>
            <w:top w:val="none" w:sz="0" w:space="0" w:color="auto"/>
            <w:left w:val="none" w:sz="0" w:space="0" w:color="auto"/>
            <w:bottom w:val="none" w:sz="0" w:space="0" w:color="auto"/>
            <w:right w:val="none" w:sz="0" w:space="0" w:color="auto"/>
          </w:divBdr>
        </w:div>
        <w:div w:id="1644919311">
          <w:marLeft w:val="480"/>
          <w:marRight w:val="0"/>
          <w:marTop w:val="0"/>
          <w:marBottom w:val="0"/>
          <w:divBdr>
            <w:top w:val="none" w:sz="0" w:space="0" w:color="auto"/>
            <w:left w:val="none" w:sz="0" w:space="0" w:color="auto"/>
            <w:bottom w:val="none" w:sz="0" w:space="0" w:color="auto"/>
            <w:right w:val="none" w:sz="0" w:space="0" w:color="auto"/>
          </w:divBdr>
        </w:div>
        <w:div w:id="1688798484">
          <w:marLeft w:val="480"/>
          <w:marRight w:val="0"/>
          <w:marTop w:val="0"/>
          <w:marBottom w:val="0"/>
          <w:divBdr>
            <w:top w:val="none" w:sz="0" w:space="0" w:color="auto"/>
            <w:left w:val="none" w:sz="0" w:space="0" w:color="auto"/>
            <w:bottom w:val="none" w:sz="0" w:space="0" w:color="auto"/>
            <w:right w:val="none" w:sz="0" w:space="0" w:color="auto"/>
          </w:divBdr>
        </w:div>
      </w:divsChild>
    </w:div>
    <w:div w:id="168713032">
      <w:bodyDiv w:val="1"/>
      <w:marLeft w:val="0"/>
      <w:marRight w:val="0"/>
      <w:marTop w:val="0"/>
      <w:marBottom w:val="0"/>
      <w:divBdr>
        <w:top w:val="none" w:sz="0" w:space="0" w:color="auto"/>
        <w:left w:val="none" w:sz="0" w:space="0" w:color="auto"/>
        <w:bottom w:val="none" w:sz="0" w:space="0" w:color="auto"/>
        <w:right w:val="none" w:sz="0" w:space="0" w:color="auto"/>
      </w:divBdr>
    </w:div>
    <w:div w:id="222837670">
      <w:bodyDiv w:val="1"/>
      <w:marLeft w:val="0"/>
      <w:marRight w:val="0"/>
      <w:marTop w:val="0"/>
      <w:marBottom w:val="0"/>
      <w:divBdr>
        <w:top w:val="none" w:sz="0" w:space="0" w:color="auto"/>
        <w:left w:val="none" w:sz="0" w:space="0" w:color="auto"/>
        <w:bottom w:val="none" w:sz="0" w:space="0" w:color="auto"/>
        <w:right w:val="none" w:sz="0" w:space="0" w:color="auto"/>
      </w:divBdr>
    </w:div>
    <w:div w:id="503861525">
      <w:bodyDiv w:val="1"/>
      <w:marLeft w:val="0"/>
      <w:marRight w:val="0"/>
      <w:marTop w:val="0"/>
      <w:marBottom w:val="0"/>
      <w:divBdr>
        <w:top w:val="none" w:sz="0" w:space="0" w:color="auto"/>
        <w:left w:val="none" w:sz="0" w:space="0" w:color="auto"/>
        <w:bottom w:val="none" w:sz="0" w:space="0" w:color="auto"/>
        <w:right w:val="none" w:sz="0" w:space="0" w:color="auto"/>
      </w:divBdr>
    </w:div>
    <w:div w:id="539514340">
      <w:bodyDiv w:val="1"/>
      <w:marLeft w:val="0"/>
      <w:marRight w:val="0"/>
      <w:marTop w:val="0"/>
      <w:marBottom w:val="0"/>
      <w:divBdr>
        <w:top w:val="none" w:sz="0" w:space="0" w:color="auto"/>
        <w:left w:val="none" w:sz="0" w:space="0" w:color="auto"/>
        <w:bottom w:val="none" w:sz="0" w:space="0" w:color="auto"/>
        <w:right w:val="none" w:sz="0" w:space="0" w:color="auto"/>
      </w:divBdr>
    </w:div>
    <w:div w:id="548108557">
      <w:bodyDiv w:val="1"/>
      <w:marLeft w:val="0"/>
      <w:marRight w:val="0"/>
      <w:marTop w:val="0"/>
      <w:marBottom w:val="0"/>
      <w:divBdr>
        <w:top w:val="none" w:sz="0" w:space="0" w:color="auto"/>
        <w:left w:val="none" w:sz="0" w:space="0" w:color="auto"/>
        <w:bottom w:val="none" w:sz="0" w:space="0" w:color="auto"/>
        <w:right w:val="none" w:sz="0" w:space="0" w:color="auto"/>
      </w:divBdr>
    </w:div>
    <w:div w:id="566232180">
      <w:bodyDiv w:val="1"/>
      <w:marLeft w:val="0"/>
      <w:marRight w:val="0"/>
      <w:marTop w:val="0"/>
      <w:marBottom w:val="0"/>
      <w:divBdr>
        <w:top w:val="none" w:sz="0" w:space="0" w:color="auto"/>
        <w:left w:val="none" w:sz="0" w:space="0" w:color="auto"/>
        <w:bottom w:val="none" w:sz="0" w:space="0" w:color="auto"/>
        <w:right w:val="none" w:sz="0" w:space="0" w:color="auto"/>
      </w:divBdr>
      <w:divsChild>
        <w:div w:id="410584591">
          <w:marLeft w:val="480"/>
          <w:marRight w:val="0"/>
          <w:marTop w:val="0"/>
          <w:marBottom w:val="0"/>
          <w:divBdr>
            <w:top w:val="none" w:sz="0" w:space="0" w:color="auto"/>
            <w:left w:val="none" w:sz="0" w:space="0" w:color="auto"/>
            <w:bottom w:val="none" w:sz="0" w:space="0" w:color="auto"/>
            <w:right w:val="none" w:sz="0" w:space="0" w:color="auto"/>
          </w:divBdr>
        </w:div>
        <w:div w:id="832527138">
          <w:marLeft w:val="480"/>
          <w:marRight w:val="0"/>
          <w:marTop w:val="0"/>
          <w:marBottom w:val="0"/>
          <w:divBdr>
            <w:top w:val="none" w:sz="0" w:space="0" w:color="auto"/>
            <w:left w:val="none" w:sz="0" w:space="0" w:color="auto"/>
            <w:bottom w:val="none" w:sz="0" w:space="0" w:color="auto"/>
            <w:right w:val="none" w:sz="0" w:space="0" w:color="auto"/>
          </w:divBdr>
        </w:div>
        <w:div w:id="894659309">
          <w:marLeft w:val="480"/>
          <w:marRight w:val="0"/>
          <w:marTop w:val="0"/>
          <w:marBottom w:val="0"/>
          <w:divBdr>
            <w:top w:val="none" w:sz="0" w:space="0" w:color="auto"/>
            <w:left w:val="none" w:sz="0" w:space="0" w:color="auto"/>
            <w:bottom w:val="none" w:sz="0" w:space="0" w:color="auto"/>
            <w:right w:val="none" w:sz="0" w:space="0" w:color="auto"/>
          </w:divBdr>
        </w:div>
        <w:div w:id="964625307">
          <w:marLeft w:val="480"/>
          <w:marRight w:val="0"/>
          <w:marTop w:val="0"/>
          <w:marBottom w:val="0"/>
          <w:divBdr>
            <w:top w:val="none" w:sz="0" w:space="0" w:color="auto"/>
            <w:left w:val="none" w:sz="0" w:space="0" w:color="auto"/>
            <w:bottom w:val="none" w:sz="0" w:space="0" w:color="auto"/>
            <w:right w:val="none" w:sz="0" w:space="0" w:color="auto"/>
          </w:divBdr>
        </w:div>
        <w:div w:id="1308432456">
          <w:marLeft w:val="480"/>
          <w:marRight w:val="0"/>
          <w:marTop w:val="0"/>
          <w:marBottom w:val="0"/>
          <w:divBdr>
            <w:top w:val="none" w:sz="0" w:space="0" w:color="auto"/>
            <w:left w:val="none" w:sz="0" w:space="0" w:color="auto"/>
            <w:bottom w:val="none" w:sz="0" w:space="0" w:color="auto"/>
            <w:right w:val="none" w:sz="0" w:space="0" w:color="auto"/>
          </w:divBdr>
        </w:div>
        <w:div w:id="1466894334">
          <w:marLeft w:val="480"/>
          <w:marRight w:val="0"/>
          <w:marTop w:val="0"/>
          <w:marBottom w:val="0"/>
          <w:divBdr>
            <w:top w:val="none" w:sz="0" w:space="0" w:color="auto"/>
            <w:left w:val="none" w:sz="0" w:space="0" w:color="auto"/>
            <w:bottom w:val="none" w:sz="0" w:space="0" w:color="auto"/>
            <w:right w:val="none" w:sz="0" w:space="0" w:color="auto"/>
          </w:divBdr>
        </w:div>
        <w:div w:id="1769618221">
          <w:marLeft w:val="480"/>
          <w:marRight w:val="0"/>
          <w:marTop w:val="0"/>
          <w:marBottom w:val="0"/>
          <w:divBdr>
            <w:top w:val="none" w:sz="0" w:space="0" w:color="auto"/>
            <w:left w:val="none" w:sz="0" w:space="0" w:color="auto"/>
            <w:bottom w:val="none" w:sz="0" w:space="0" w:color="auto"/>
            <w:right w:val="none" w:sz="0" w:space="0" w:color="auto"/>
          </w:divBdr>
        </w:div>
        <w:div w:id="1808738273">
          <w:marLeft w:val="480"/>
          <w:marRight w:val="0"/>
          <w:marTop w:val="0"/>
          <w:marBottom w:val="0"/>
          <w:divBdr>
            <w:top w:val="none" w:sz="0" w:space="0" w:color="auto"/>
            <w:left w:val="none" w:sz="0" w:space="0" w:color="auto"/>
            <w:bottom w:val="none" w:sz="0" w:space="0" w:color="auto"/>
            <w:right w:val="none" w:sz="0" w:space="0" w:color="auto"/>
          </w:divBdr>
        </w:div>
      </w:divsChild>
    </w:div>
    <w:div w:id="790517362">
      <w:bodyDiv w:val="1"/>
      <w:marLeft w:val="0"/>
      <w:marRight w:val="0"/>
      <w:marTop w:val="0"/>
      <w:marBottom w:val="0"/>
      <w:divBdr>
        <w:top w:val="none" w:sz="0" w:space="0" w:color="auto"/>
        <w:left w:val="none" w:sz="0" w:space="0" w:color="auto"/>
        <w:bottom w:val="none" w:sz="0" w:space="0" w:color="auto"/>
        <w:right w:val="none" w:sz="0" w:space="0" w:color="auto"/>
      </w:divBdr>
    </w:div>
    <w:div w:id="845940268">
      <w:bodyDiv w:val="1"/>
      <w:marLeft w:val="0"/>
      <w:marRight w:val="0"/>
      <w:marTop w:val="0"/>
      <w:marBottom w:val="0"/>
      <w:divBdr>
        <w:top w:val="none" w:sz="0" w:space="0" w:color="auto"/>
        <w:left w:val="none" w:sz="0" w:space="0" w:color="auto"/>
        <w:bottom w:val="none" w:sz="0" w:space="0" w:color="auto"/>
        <w:right w:val="none" w:sz="0" w:space="0" w:color="auto"/>
      </w:divBdr>
      <w:divsChild>
        <w:div w:id="249698858">
          <w:marLeft w:val="480"/>
          <w:marRight w:val="0"/>
          <w:marTop w:val="0"/>
          <w:marBottom w:val="0"/>
          <w:divBdr>
            <w:top w:val="none" w:sz="0" w:space="0" w:color="auto"/>
            <w:left w:val="none" w:sz="0" w:space="0" w:color="auto"/>
            <w:bottom w:val="none" w:sz="0" w:space="0" w:color="auto"/>
            <w:right w:val="none" w:sz="0" w:space="0" w:color="auto"/>
          </w:divBdr>
        </w:div>
        <w:div w:id="1108042586">
          <w:marLeft w:val="480"/>
          <w:marRight w:val="0"/>
          <w:marTop w:val="0"/>
          <w:marBottom w:val="0"/>
          <w:divBdr>
            <w:top w:val="none" w:sz="0" w:space="0" w:color="auto"/>
            <w:left w:val="none" w:sz="0" w:space="0" w:color="auto"/>
            <w:bottom w:val="none" w:sz="0" w:space="0" w:color="auto"/>
            <w:right w:val="none" w:sz="0" w:space="0" w:color="auto"/>
          </w:divBdr>
        </w:div>
        <w:div w:id="1109742177">
          <w:marLeft w:val="480"/>
          <w:marRight w:val="0"/>
          <w:marTop w:val="0"/>
          <w:marBottom w:val="0"/>
          <w:divBdr>
            <w:top w:val="none" w:sz="0" w:space="0" w:color="auto"/>
            <w:left w:val="none" w:sz="0" w:space="0" w:color="auto"/>
            <w:bottom w:val="none" w:sz="0" w:space="0" w:color="auto"/>
            <w:right w:val="none" w:sz="0" w:space="0" w:color="auto"/>
          </w:divBdr>
        </w:div>
        <w:div w:id="1373774443">
          <w:marLeft w:val="480"/>
          <w:marRight w:val="0"/>
          <w:marTop w:val="0"/>
          <w:marBottom w:val="0"/>
          <w:divBdr>
            <w:top w:val="none" w:sz="0" w:space="0" w:color="auto"/>
            <w:left w:val="none" w:sz="0" w:space="0" w:color="auto"/>
            <w:bottom w:val="none" w:sz="0" w:space="0" w:color="auto"/>
            <w:right w:val="none" w:sz="0" w:space="0" w:color="auto"/>
          </w:divBdr>
        </w:div>
        <w:div w:id="1489979850">
          <w:marLeft w:val="480"/>
          <w:marRight w:val="0"/>
          <w:marTop w:val="0"/>
          <w:marBottom w:val="0"/>
          <w:divBdr>
            <w:top w:val="none" w:sz="0" w:space="0" w:color="auto"/>
            <w:left w:val="none" w:sz="0" w:space="0" w:color="auto"/>
            <w:bottom w:val="none" w:sz="0" w:space="0" w:color="auto"/>
            <w:right w:val="none" w:sz="0" w:space="0" w:color="auto"/>
          </w:divBdr>
        </w:div>
        <w:div w:id="1766917359">
          <w:marLeft w:val="480"/>
          <w:marRight w:val="0"/>
          <w:marTop w:val="0"/>
          <w:marBottom w:val="0"/>
          <w:divBdr>
            <w:top w:val="none" w:sz="0" w:space="0" w:color="auto"/>
            <w:left w:val="none" w:sz="0" w:space="0" w:color="auto"/>
            <w:bottom w:val="none" w:sz="0" w:space="0" w:color="auto"/>
            <w:right w:val="none" w:sz="0" w:space="0" w:color="auto"/>
          </w:divBdr>
        </w:div>
        <w:div w:id="1878465542">
          <w:marLeft w:val="480"/>
          <w:marRight w:val="0"/>
          <w:marTop w:val="0"/>
          <w:marBottom w:val="0"/>
          <w:divBdr>
            <w:top w:val="none" w:sz="0" w:space="0" w:color="auto"/>
            <w:left w:val="none" w:sz="0" w:space="0" w:color="auto"/>
            <w:bottom w:val="none" w:sz="0" w:space="0" w:color="auto"/>
            <w:right w:val="none" w:sz="0" w:space="0" w:color="auto"/>
          </w:divBdr>
        </w:div>
        <w:div w:id="1968274410">
          <w:marLeft w:val="480"/>
          <w:marRight w:val="0"/>
          <w:marTop w:val="0"/>
          <w:marBottom w:val="0"/>
          <w:divBdr>
            <w:top w:val="none" w:sz="0" w:space="0" w:color="auto"/>
            <w:left w:val="none" w:sz="0" w:space="0" w:color="auto"/>
            <w:bottom w:val="none" w:sz="0" w:space="0" w:color="auto"/>
            <w:right w:val="none" w:sz="0" w:space="0" w:color="auto"/>
          </w:divBdr>
        </w:div>
        <w:div w:id="2137486843">
          <w:marLeft w:val="480"/>
          <w:marRight w:val="0"/>
          <w:marTop w:val="0"/>
          <w:marBottom w:val="0"/>
          <w:divBdr>
            <w:top w:val="none" w:sz="0" w:space="0" w:color="auto"/>
            <w:left w:val="none" w:sz="0" w:space="0" w:color="auto"/>
            <w:bottom w:val="none" w:sz="0" w:space="0" w:color="auto"/>
            <w:right w:val="none" w:sz="0" w:space="0" w:color="auto"/>
          </w:divBdr>
        </w:div>
      </w:divsChild>
    </w:div>
    <w:div w:id="847795155">
      <w:bodyDiv w:val="1"/>
      <w:marLeft w:val="0"/>
      <w:marRight w:val="0"/>
      <w:marTop w:val="0"/>
      <w:marBottom w:val="0"/>
      <w:divBdr>
        <w:top w:val="none" w:sz="0" w:space="0" w:color="auto"/>
        <w:left w:val="none" w:sz="0" w:space="0" w:color="auto"/>
        <w:bottom w:val="none" w:sz="0" w:space="0" w:color="auto"/>
        <w:right w:val="none" w:sz="0" w:space="0" w:color="auto"/>
      </w:divBdr>
      <w:divsChild>
        <w:div w:id="396057352">
          <w:marLeft w:val="480"/>
          <w:marRight w:val="0"/>
          <w:marTop w:val="0"/>
          <w:marBottom w:val="0"/>
          <w:divBdr>
            <w:top w:val="none" w:sz="0" w:space="0" w:color="auto"/>
            <w:left w:val="none" w:sz="0" w:space="0" w:color="auto"/>
            <w:bottom w:val="none" w:sz="0" w:space="0" w:color="auto"/>
            <w:right w:val="none" w:sz="0" w:space="0" w:color="auto"/>
          </w:divBdr>
        </w:div>
        <w:div w:id="480653935">
          <w:marLeft w:val="480"/>
          <w:marRight w:val="0"/>
          <w:marTop w:val="0"/>
          <w:marBottom w:val="0"/>
          <w:divBdr>
            <w:top w:val="none" w:sz="0" w:space="0" w:color="auto"/>
            <w:left w:val="none" w:sz="0" w:space="0" w:color="auto"/>
            <w:bottom w:val="none" w:sz="0" w:space="0" w:color="auto"/>
            <w:right w:val="none" w:sz="0" w:space="0" w:color="auto"/>
          </w:divBdr>
        </w:div>
        <w:div w:id="636839614">
          <w:marLeft w:val="480"/>
          <w:marRight w:val="0"/>
          <w:marTop w:val="0"/>
          <w:marBottom w:val="0"/>
          <w:divBdr>
            <w:top w:val="none" w:sz="0" w:space="0" w:color="auto"/>
            <w:left w:val="none" w:sz="0" w:space="0" w:color="auto"/>
            <w:bottom w:val="none" w:sz="0" w:space="0" w:color="auto"/>
            <w:right w:val="none" w:sz="0" w:space="0" w:color="auto"/>
          </w:divBdr>
        </w:div>
        <w:div w:id="715423371">
          <w:marLeft w:val="480"/>
          <w:marRight w:val="0"/>
          <w:marTop w:val="0"/>
          <w:marBottom w:val="0"/>
          <w:divBdr>
            <w:top w:val="none" w:sz="0" w:space="0" w:color="auto"/>
            <w:left w:val="none" w:sz="0" w:space="0" w:color="auto"/>
            <w:bottom w:val="none" w:sz="0" w:space="0" w:color="auto"/>
            <w:right w:val="none" w:sz="0" w:space="0" w:color="auto"/>
          </w:divBdr>
        </w:div>
        <w:div w:id="904142977">
          <w:marLeft w:val="480"/>
          <w:marRight w:val="0"/>
          <w:marTop w:val="0"/>
          <w:marBottom w:val="0"/>
          <w:divBdr>
            <w:top w:val="none" w:sz="0" w:space="0" w:color="auto"/>
            <w:left w:val="none" w:sz="0" w:space="0" w:color="auto"/>
            <w:bottom w:val="none" w:sz="0" w:space="0" w:color="auto"/>
            <w:right w:val="none" w:sz="0" w:space="0" w:color="auto"/>
          </w:divBdr>
        </w:div>
        <w:div w:id="992947373">
          <w:marLeft w:val="480"/>
          <w:marRight w:val="0"/>
          <w:marTop w:val="0"/>
          <w:marBottom w:val="0"/>
          <w:divBdr>
            <w:top w:val="none" w:sz="0" w:space="0" w:color="auto"/>
            <w:left w:val="none" w:sz="0" w:space="0" w:color="auto"/>
            <w:bottom w:val="none" w:sz="0" w:space="0" w:color="auto"/>
            <w:right w:val="none" w:sz="0" w:space="0" w:color="auto"/>
          </w:divBdr>
        </w:div>
        <w:div w:id="1151024283">
          <w:marLeft w:val="480"/>
          <w:marRight w:val="0"/>
          <w:marTop w:val="0"/>
          <w:marBottom w:val="0"/>
          <w:divBdr>
            <w:top w:val="none" w:sz="0" w:space="0" w:color="auto"/>
            <w:left w:val="none" w:sz="0" w:space="0" w:color="auto"/>
            <w:bottom w:val="none" w:sz="0" w:space="0" w:color="auto"/>
            <w:right w:val="none" w:sz="0" w:space="0" w:color="auto"/>
          </w:divBdr>
        </w:div>
        <w:div w:id="1587568628">
          <w:marLeft w:val="480"/>
          <w:marRight w:val="0"/>
          <w:marTop w:val="0"/>
          <w:marBottom w:val="0"/>
          <w:divBdr>
            <w:top w:val="none" w:sz="0" w:space="0" w:color="auto"/>
            <w:left w:val="none" w:sz="0" w:space="0" w:color="auto"/>
            <w:bottom w:val="none" w:sz="0" w:space="0" w:color="auto"/>
            <w:right w:val="none" w:sz="0" w:space="0" w:color="auto"/>
          </w:divBdr>
        </w:div>
        <w:div w:id="1831287079">
          <w:marLeft w:val="480"/>
          <w:marRight w:val="0"/>
          <w:marTop w:val="0"/>
          <w:marBottom w:val="0"/>
          <w:divBdr>
            <w:top w:val="none" w:sz="0" w:space="0" w:color="auto"/>
            <w:left w:val="none" w:sz="0" w:space="0" w:color="auto"/>
            <w:bottom w:val="none" w:sz="0" w:space="0" w:color="auto"/>
            <w:right w:val="none" w:sz="0" w:space="0" w:color="auto"/>
          </w:divBdr>
        </w:div>
        <w:div w:id="2015261903">
          <w:marLeft w:val="480"/>
          <w:marRight w:val="0"/>
          <w:marTop w:val="0"/>
          <w:marBottom w:val="0"/>
          <w:divBdr>
            <w:top w:val="none" w:sz="0" w:space="0" w:color="auto"/>
            <w:left w:val="none" w:sz="0" w:space="0" w:color="auto"/>
            <w:bottom w:val="none" w:sz="0" w:space="0" w:color="auto"/>
            <w:right w:val="none" w:sz="0" w:space="0" w:color="auto"/>
          </w:divBdr>
        </w:div>
        <w:div w:id="2095055213">
          <w:marLeft w:val="480"/>
          <w:marRight w:val="0"/>
          <w:marTop w:val="0"/>
          <w:marBottom w:val="0"/>
          <w:divBdr>
            <w:top w:val="none" w:sz="0" w:space="0" w:color="auto"/>
            <w:left w:val="none" w:sz="0" w:space="0" w:color="auto"/>
            <w:bottom w:val="none" w:sz="0" w:space="0" w:color="auto"/>
            <w:right w:val="none" w:sz="0" w:space="0" w:color="auto"/>
          </w:divBdr>
        </w:div>
      </w:divsChild>
    </w:div>
    <w:div w:id="889001616">
      <w:bodyDiv w:val="1"/>
      <w:marLeft w:val="0"/>
      <w:marRight w:val="0"/>
      <w:marTop w:val="0"/>
      <w:marBottom w:val="0"/>
      <w:divBdr>
        <w:top w:val="none" w:sz="0" w:space="0" w:color="auto"/>
        <w:left w:val="none" w:sz="0" w:space="0" w:color="auto"/>
        <w:bottom w:val="none" w:sz="0" w:space="0" w:color="auto"/>
        <w:right w:val="none" w:sz="0" w:space="0" w:color="auto"/>
      </w:divBdr>
    </w:div>
    <w:div w:id="928008676">
      <w:bodyDiv w:val="1"/>
      <w:marLeft w:val="0"/>
      <w:marRight w:val="0"/>
      <w:marTop w:val="0"/>
      <w:marBottom w:val="0"/>
      <w:divBdr>
        <w:top w:val="none" w:sz="0" w:space="0" w:color="auto"/>
        <w:left w:val="none" w:sz="0" w:space="0" w:color="auto"/>
        <w:bottom w:val="none" w:sz="0" w:space="0" w:color="auto"/>
        <w:right w:val="none" w:sz="0" w:space="0" w:color="auto"/>
      </w:divBdr>
    </w:div>
    <w:div w:id="993872829">
      <w:bodyDiv w:val="1"/>
      <w:marLeft w:val="0"/>
      <w:marRight w:val="0"/>
      <w:marTop w:val="0"/>
      <w:marBottom w:val="0"/>
      <w:divBdr>
        <w:top w:val="none" w:sz="0" w:space="0" w:color="auto"/>
        <w:left w:val="none" w:sz="0" w:space="0" w:color="auto"/>
        <w:bottom w:val="none" w:sz="0" w:space="0" w:color="auto"/>
        <w:right w:val="none" w:sz="0" w:space="0" w:color="auto"/>
      </w:divBdr>
      <w:divsChild>
        <w:div w:id="782725974">
          <w:marLeft w:val="480"/>
          <w:marRight w:val="0"/>
          <w:marTop w:val="0"/>
          <w:marBottom w:val="0"/>
          <w:divBdr>
            <w:top w:val="none" w:sz="0" w:space="0" w:color="auto"/>
            <w:left w:val="none" w:sz="0" w:space="0" w:color="auto"/>
            <w:bottom w:val="none" w:sz="0" w:space="0" w:color="auto"/>
            <w:right w:val="none" w:sz="0" w:space="0" w:color="auto"/>
          </w:divBdr>
        </w:div>
        <w:div w:id="1336542603">
          <w:marLeft w:val="480"/>
          <w:marRight w:val="0"/>
          <w:marTop w:val="0"/>
          <w:marBottom w:val="0"/>
          <w:divBdr>
            <w:top w:val="none" w:sz="0" w:space="0" w:color="auto"/>
            <w:left w:val="none" w:sz="0" w:space="0" w:color="auto"/>
            <w:bottom w:val="none" w:sz="0" w:space="0" w:color="auto"/>
            <w:right w:val="none" w:sz="0" w:space="0" w:color="auto"/>
          </w:divBdr>
        </w:div>
        <w:div w:id="563486966">
          <w:marLeft w:val="480"/>
          <w:marRight w:val="0"/>
          <w:marTop w:val="0"/>
          <w:marBottom w:val="0"/>
          <w:divBdr>
            <w:top w:val="none" w:sz="0" w:space="0" w:color="auto"/>
            <w:left w:val="none" w:sz="0" w:space="0" w:color="auto"/>
            <w:bottom w:val="none" w:sz="0" w:space="0" w:color="auto"/>
            <w:right w:val="none" w:sz="0" w:space="0" w:color="auto"/>
          </w:divBdr>
        </w:div>
        <w:div w:id="299001630">
          <w:marLeft w:val="480"/>
          <w:marRight w:val="0"/>
          <w:marTop w:val="0"/>
          <w:marBottom w:val="0"/>
          <w:divBdr>
            <w:top w:val="none" w:sz="0" w:space="0" w:color="auto"/>
            <w:left w:val="none" w:sz="0" w:space="0" w:color="auto"/>
            <w:bottom w:val="none" w:sz="0" w:space="0" w:color="auto"/>
            <w:right w:val="none" w:sz="0" w:space="0" w:color="auto"/>
          </w:divBdr>
        </w:div>
        <w:div w:id="372191943">
          <w:marLeft w:val="480"/>
          <w:marRight w:val="0"/>
          <w:marTop w:val="0"/>
          <w:marBottom w:val="0"/>
          <w:divBdr>
            <w:top w:val="none" w:sz="0" w:space="0" w:color="auto"/>
            <w:left w:val="none" w:sz="0" w:space="0" w:color="auto"/>
            <w:bottom w:val="none" w:sz="0" w:space="0" w:color="auto"/>
            <w:right w:val="none" w:sz="0" w:space="0" w:color="auto"/>
          </w:divBdr>
        </w:div>
        <w:div w:id="383452303">
          <w:marLeft w:val="480"/>
          <w:marRight w:val="0"/>
          <w:marTop w:val="0"/>
          <w:marBottom w:val="0"/>
          <w:divBdr>
            <w:top w:val="none" w:sz="0" w:space="0" w:color="auto"/>
            <w:left w:val="none" w:sz="0" w:space="0" w:color="auto"/>
            <w:bottom w:val="none" w:sz="0" w:space="0" w:color="auto"/>
            <w:right w:val="none" w:sz="0" w:space="0" w:color="auto"/>
          </w:divBdr>
        </w:div>
        <w:div w:id="1498499682">
          <w:marLeft w:val="480"/>
          <w:marRight w:val="0"/>
          <w:marTop w:val="0"/>
          <w:marBottom w:val="0"/>
          <w:divBdr>
            <w:top w:val="none" w:sz="0" w:space="0" w:color="auto"/>
            <w:left w:val="none" w:sz="0" w:space="0" w:color="auto"/>
            <w:bottom w:val="none" w:sz="0" w:space="0" w:color="auto"/>
            <w:right w:val="none" w:sz="0" w:space="0" w:color="auto"/>
          </w:divBdr>
        </w:div>
        <w:div w:id="578448530">
          <w:marLeft w:val="480"/>
          <w:marRight w:val="0"/>
          <w:marTop w:val="0"/>
          <w:marBottom w:val="0"/>
          <w:divBdr>
            <w:top w:val="none" w:sz="0" w:space="0" w:color="auto"/>
            <w:left w:val="none" w:sz="0" w:space="0" w:color="auto"/>
            <w:bottom w:val="none" w:sz="0" w:space="0" w:color="auto"/>
            <w:right w:val="none" w:sz="0" w:space="0" w:color="auto"/>
          </w:divBdr>
        </w:div>
      </w:divsChild>
    </w:div>
    <w:div w:id="1029184296">
      <w:bodyDiv w:val="1"/>
      <w:marLeft w:val="0"/>
      <w:marRight w:val="0"/>
      <w:marTop w:val="0"/>
      <w:marBottom w:val="0"/>
      <w:divBdr>
        <w:top w:val="none" w:sz="0" w:space="0" w:color="auto"/>
        <w:left w:val="none" w:sz="0" w:space="0" w:color="auto"/>
        <w:bottom w:val="none" w:sz="0" w:space="0" w:color="auto"/>
        <w:right w:val="none" w:sz="0" w:space="0" w:color="auto"/>
      </w:divBdr>
      <w:divsChild>
        <w:div w:id="1338729789">
          <w:marLeft w:val="480"/>
          <w:marRight w:val="0"/>
          <w:marTop w:val="0"/>
          <w:marBottom w:val="0"/>
          <w:divBdr>
            <w:top w:val="none" w:sz="0" w:space="0" w:color="auto"/>
            <w:left w:val="none" w:sz="0" w:space="0" w:color="auto"/>
            <w:bottom w:val="none" w:sz="0" w:space="0" w:color="auto"/>
            <w:right w:val="none" w:sz="0" w:space="0" w:color="auto"/>
          </w:divBdr>
        </w:div>
        <w:div w:id="1782721207">
          <w:marLeft w:val="480"/>
          <w:marRight w:val="0"/>
          <w:marTop w:val="0"/>
          <w:marBottom w:val="0"/>
          <w:divBdr>
            <w:top w:val="none" w:sz="0" w:space="0" w:color="auto"/>
            <w:left w:val="none" w:sz="0" w:space="0" w:color="auto"/>
            <w:bottom w:val="none" w:sz="0" w:space="0" w:color="auto"/>
            <w:right w:val="none" w:sz="0" w:space="0" w:color="auto"/>
          </w:divBdr>
        </w:div>
        <w:div w:id="1091508958">
          <w:marLeft w:val="480"/>
          <w:marRight w:val="0"/>
          <w:marTop w:val="0"/>
          <w:marBottom w:val="0"/>
          <w:divBdr>
            <w:top w:val="none" w:sz="0" w:space="0" w:color="auto"/>
            <w:left w:val="none" w:sz="0" w:space="0" w:color="auto"/>
            <w:bottom w:val="none" w:sz="0" w:space="0" w:color="auto"/>
            <w:right w:val="none" w:sz="0" w:space="0" w:color="auto"/>
          </w:divBdr>
        </w:div>
        <w:div w:id="1422482748">
          <w:marLeft w:val="480"/>
          <w:marRight w:val="0"/>
          <w:marTop w:val="0"/>
          <w:marBottom w:val="0"/>
          <w:divBdr>
            <w:top w:val="none" w:sz="0" w:space="0" w:color="auto"/>
            <w:left w:val="none" w:sz="0" w:space="0" w:color="auto"/>
            <w:bottom w:val="none" w:sz="0" w:space="0" w:color="auto"/>
            <w:right w:val="none" w:sz="0" w:space="0" w:color="auto"/>
          </w:divBdr>
        </w:div>
        <w:div w:id="1512526836">
          <w:marLeft w:val="480"/>
          <w:marRight w:val="0"/>
          <w:marTop w:val="0"/>
          <w:marBottom w:val="0"/>
          <w:divBdr>
            <w:top w:val="none" w:sz="0" w:space="0" w:color="auto"/>
            <w:left w:val="none" w:sz="0" w:space="0" w:color="auto"/>
            <w:bottom w:val="none" w:sz="0" w:space="0" w:color="auto"/>
            <w:right w:val="none" w:sz="0" w:space="0" w:color="auto"/>
          </w:divBdr>
        </w:div>
        <w:div w:id="1770815246">
          <w:marLeft w:val="480"/>
          <w:marRight w:val="0"/>
          <w:marTop w:val="0"/>
          <w:marBottom w:val="0"/>
          <w:divBdr>
            <w:top w:val="none" w:sz="0" w:space="0" w:color="auto"/>
            <w:left w:val="none" w:sz="0" w:space="0" w:color="auto"/>
            <w:bottom w:val="none" w:sz="0" w:space="0" w:color="auto"/>
            <w:right w:val="none" w:sz="0" w:space="0" w:color="auto"/>
          </w:divBdr>
        </w:div>
        <w:div w:id="1702129809">
          <w:marLeft w:val="480"/>
          <w:marRight w:val="0"/>
          <w:marTop w:val="0"/>
          <w:marBottom w:val="0"/>
          <w:divBdr>
            <w:top w:val="none" w:sz="0" w:space="0" w:color="auto"/>
            <w:left w:val="none" w:sz="0" w:space="0" w:color="auto"/>
            <w:bottom w:val="none" w:sz="0" w:space="0" w:color="auto"/>
            <w:right w:val="none" w:sz="0" w:space="0" w:color="auto"/>
          </w:divBdr>
        </w:div>
        <w:div w:id="243300041">
          <w:marLeft w:val="480"/>
          <w:marRight w:val="0"/>
          <w:marTop w:val="0"/>
          <w:marBottom w:val="0"/>
          <w:divBdr>
            <w:top w:val="none" w:sz="0" w:space="0" w:color="auto"/>
            <w:left w:val="none" w:sz="0" w:space="0" w:color="auto"/>
            <w:bottom w:val="none" w:sz="0" w:space="0" w:color="auto"/>
            <w:right w:val="none" w:sz="0" w:space="0" w:color="auto"/>
          </w:divBdr>
        </w:div>
        <w:div w:id="473068420">
          <w:marLeft w:val="480"/>
          <w:marRight w:val="0"/>
          <w:marTop w:val="0"/>
          <w:marBottom w:val="0"/>
          <w:divBdr>
            <w:top w:val="none" w:sz="0" w:space="0" w:color="auto"/>
            <w:left w:val="none" w:sz="0" w:space="0" w:color="auto"/>
            <w:bottom w:val="none" w:sz="0" w:space="0" w:color="auto"/>
            <w:right w:val="none" w:sz="0" w:space="0" w:color="auto"/>
          </w:divBdr>
        </w:div>
      </w:divsChild>
    </w:div>
    <w:div w:id="1085804601">
      <w:bodyDiv w:val="1"/>
      <w:marLeft w:val="0"/>
      <w:marRight w:val="0"/>
      <w:marTop w:val="0"/>
      <w:marBottom w:val="0"/>
      <w:divBdr>
        <w:top w:val="none" w:sz="0" w:space="0" w:color="auto"/>
        <w:left w:val="none" w:sz="0" w:space="0" w:color="auto"/>
        <w:bottom w:val="none" w:sz="0" w:space="0" w:color="auto"/>
        <w:right w:val="none" w:sz="0" w:space="0" w:color="auto"/>
      </w:divBdr>
    </w:div>
    <w:div w:id="1183393627">
      <w:bodyDiv w:val="1"/>
      <w:marLeft w:val="0"/>
      <w:marRight w:val="0"/>
      <w:marTop w:val="0"/>
      <w:marBottom w:val="0"/>
      <w:divBdr>
        <w:top w:val="none" w:sz="0" w:space="0" w:color="auto"/>
        <w:left w:val="none" w:sz="0" w:space="0" w:color="auto"/>
        <w:bottom w:val="none" w:sz="0" w:space="0" w:color="auto"/>
        <w:right w:val="none" w:sz="0" w:space="0" w:color="auto"/>
      </w:divBdr>
    </w:div>
    <w:div w:id="1242448457">
      <w:bodyDiv w:val="1"/>
      <w:marLeft w:val="0"/>
      <w:marRight w:val="0"/>
      <w:marTop w:val="0"/>
      <w:marBottom w:val="0"/>
      <w:divBdr>
        <w:top w:val="none" w:sz="0" w:space="0" w:color="auto"/>
        <w:left w:val="none" w:sz="0" w:space="0" w:color="auto"/>
        <w:bottom w:val="none" w:sz="0" w:space="0" w:color="auto"/>
        <w:right w:val="none" w:sz="0" w:space="0" w:color="auto"/>
      </w:divBdr>
      <w:divsChild>
        <w:div w:id="1116219012">
          <w:marLeft w:val="480"/>
          <w:marRight w:val="0"/>
          <w:marTop w:val="0"/>
          <w:marBottom w:val="0"/>
          <w:divBdr>
            <w:top w:val="none" w:sz="0" w:space="0" w:color="auto"/>
            <w:left w:val="none" w:sz="0" w:space="0" w:color="auto"/>
            <w:bottom w:val="none" w:sz="0" w:space="0" w:color="auto"/>
            <w:right w:val="none" w:sz="0" w:space="0" w:color="auto"/>
          </w:divBdr>
        </w:div>
        <w:div w:id="387071990">
          <w:marLeft w:val="480"/>
          <w:marRight w:val="0"/>
          <w:marTop w:val="0"/>
          <w:marBottom w:val="0"/>
          <w:divBdr>
            <w:top w:val="none" w:sz="0" w:space="0" w:color="auto"/>
            <w:left w:val="none" w:sz="0" w:space="0" w:color="auto"/>
            <w:bottom w:val="none" w:sz="0" w:space="0" w:color="auto"/>
            <w:right w:val="none" w:sz="0" w:space="0" w:color="auto"/>
          </w:divBdr>
        </w:div>
        <w:div w:id="1417433750">
          <w:marLeft w:val="480"/>
          <w:marRight w:val="0"/>
          <w:marTop w:val="0"/>
          <w:marBottom w:val="0"/>
          <w:divBdr>
            <w:top w:val="none" w:sz="0" w:space="0" w:color="auto"/>
            <w:left w:val="none" w:sz="0" w:space="0" w:color="auto"/>
            <w:bottom w:val="none" w:sz="0" w:space="0" w:color="auto"/>
            <w:right w:val="none" w:sz="0" w:space="0" w:color="auto"/>
          </w:divBdr>
        </w:div>
        <w:div w:id="1607929346">
          <w:marLeft w:val="480"/>
          <w:marRight w:val="0"/>
          <w:marTop w:val="0"/>
          <w:marBottom w:val="0"/>
          <w:divBdr>
            <w:top w:val="none" w:sz="0" w:space="0" w:color="auto"/>
            <w:left w:val="none" w:sz="0" w:space="0" w:color="auto"/>
            <w:bottom w:val="none" w:sz="0" w:space="0" w:color="auto"/>
            <w:right w:val="none" w:sz="0" w:space="0" w:color="auto"/>
          </w:divBdr>
        </w:div>
        <w:div w:id="1981036720">
          <w:marLeft w:val="480"/>
          <w:marRight w:val="0"/>
          <w:marTop w:val="0"/>
          <w:marBottom w:val="0"/>
          <w:divBdr>
            <w:top w:val="none" w:sz="0" w:space="0" w:color="auto"/>
            <w:left w:val="none" w:sz="0" w:space="0" w:color="auto"/>
            <w:bottom w:val="none" w:sz="0" w:space="0" w:color="auto"/>
            <w:right w:val="none" w:sz="0" w:space="0" w:color="auto"/>
          </w:divBdr>
        </w:div>
        <w:div w:id="1571500653">
          <w:marLeft w:val="480"/>
          <w:marRight w:val="0"/>
          <w:marTop w:val="0"/>
          <w:marBottom w:val="0"/>
          <w:divBdr>
            <w:top w:val="none" w:sz="0" w:space="0" w:color="auto"/>
            <w:left w:val="none" w:sz="0" w:space="0" w:color="auto"/>
            <w:bottom w:val="none" w:sz="0" w:space="0" w:color="auto"/>
            <w:right w:val="none" w:sz="0" w:space="0" w:color="auto"/>
          </w:divBdr>
        </w:div>
        <w:div w:id="389547470">
          <w:marLeft w:val="480"/>
          <w:marRight w:val="0"/>
          <w:marTop w:val="0"/>
          <w:marBottom w:val="0"/>
          <w:divBdr>
            <w:top w:val="none" w:sz="0" w:space="0" w:color="auto"/>
            <w:left w:val="none" w:sz="0" w:space="0" w:color="auto"/>
            <w:bottom w:val="none" w:sz="0" w:space="0" w:color="auto"/>
            <w:right w:val="none" w:sz="0" w:space="0" w:color="auto"/>
          </w:divBdr>
        </w:div>
        <w:div w:id="666712236">
          <w:marLeft w:val="480"/>
          <w:marRight w:val="0"/>
          <w:marTop w:val="0"/>
          <w:marBottom w:val="0"/>
          <w:divBdr>
            <w:top w:val="none" w:sz="0" w:space="0" w:color="auto"/>
            <w:left w:val="none" w:sz="0" w:space="0" w:color="auto"/>
            <w:bottom w:val="none" w:sz="0" w:space="0" w:color="auto"/>
            <w:right w:val="none" w:sz="0" w:space="0" w:color="auto"/>
          </w:divBdr>
        </w:div>
      </w:divsChild>
    </w:div>
    <w:div w:id="1327392351">
      <w:bodyDiv w:val="1"/>
      <w:marLeft w:val="0"/>
      <w:marRight w:val="0"/>
      <w:marTop w:val="0"/>
      <w:marBottom w:val="0"/>
      <w:divBdr>
        <w:top w:val="none" w:sz="0" w:space="0" w:color="auto"/>
        <w:left w:val="none" w:sz="0" w:space="0" w:color="auto"/>
        <w:bottom w:val="none" w:sz="0" w:space="0" w:color="auto"/>
        <w:right w:val="none" w:sz="0" w:space="0" w:color="auto"/>
      </w:divBdr>
    </w:div>
    <w:div w:id="1381397455">
      <w:bodyDiv w:val="1"/>
      <w:marLeft w:val="0"/>
      <w:marRight w:val="0"/>
      <w:marTop w:val="0"/>
      <w:marBottom w:val="0"/>
      <w:divBdr>
        <w:top w:val="none" w:sz="0" w:space="0" w:color="auto"/>
        <w:left w:val="none" w:sz="0" w:space="0" w:color="auto"/>
        <w:bottom w:val="none" w:sz="0" w:space="0" w:color="auto"/>
        <w:right w:val="none" w:sz="0" w:space="0" w:color="auto"/>
      </w:divBdr>
    </w:div>
    <w:div w:id="1396198712">
      <w:bodyDiv w:val="1"/>
      <w:marLeft w:val="0"/>
      <w:marRight w:val="0"/>
      <w:marTop w:val="0"/>
      <w:marBottom w:val="0"/>
      <w:divBdr>
        <w:top w:val="none" w:sz="0" w:space="0" w:color="auto"/>
        <w:left w:val="none" w:sz="0" w:space="0" w:color="auto"/>
        <w:bottom w:val="none" w:sz="0" w:space="0" w:color="auto"/>
        <w:right w:val="none" w:sz="0" w:space="0" w:color="auto"/>
      </w:divBdr>
    </w:div>
    <w:div w:id="1542546491">
      <w:bodyDiv w:val="1"/>
      <w:marLeft w:val="0"/>
      <w:marRight w:val="0"/>
      <w:marTop w:val="0"/>
      <w:marBottom w:val="0"/>
      <w:divBdr>
        <w:top w:val="none" w:sz="0" w:space="0" w:color="auto"/>
        <w:left w:val="none" w:sz="0" w:space="0" w:color="auto"/>
        <w:bottom w:val="none" w:sz="0" w:space="0" w:color="auto"/>
        <w:right w:val="none" w:sz="0" w:space="0" w:color="auto"/>
      </w:divBdr>
    </w:div>
    <w:div w:id="1583179953">
      <w:bodyDiv w:val="1"/>
      <w:marLeft w:val="0"/>
      <w:marRight w:val="0"/>
      <w:marTop w:val="0"/>
      <w:marBottom w:val="0"/>
      <w:divBdr>
        <w:top w:val="none" w:sz="0" w:space="0" w:color="auto"/>
        <w:left w:val="none" w:sz="0" w:space="0" w:color="auto"/>
        <w:bottom w:val="none" w:sz="0" w:space="0" w:color="auto"/>
        <w:right w:val="none" w:sz="0" w:space="0" w:color="auto"/>
      </w:divBdr>
      <w:divsChild>
        <w:div w:id="152066141">
          <w:marLeft w:val="480"/>
          <w:marRight w:val="0"/>
          <w:marTop w:val="0"/>
          <w:marBottom w:val="0"/>
          <w:divBdr>
            <w:top w:val="none" w:sz="0" w:space="0" w:color="auto"/>
            <w:left w:val="none" w:sz="0" w:space="0" w:color="auto"/>
            <w:bottom w:val="none" w:sz="0" w:space="0" w:color="auto"/>
            <w:right w:val="none" w:sz="0" w:space="0" w:color="auto"/>
          </w:divBdr>
        </w:div>
        <w:div w:id="310594887">
          <w:marLeft w:val="480"/>
          <w:marRight w:val="0"/>
          <w:marTop w:val="0"/>
          <w:marBottom w:val="0"/>
          <w:divBdr>
            <w:top w:val="none" w:sz="0" w:space="0" w:color="auto"/>
            <w:left w:val="none" w:sz="0" w:space="0" w:color="auto"/>
            <w:bottom w:val="none" w:sz="0" w:space="0" w:color="auto"/>
            <w:right w:val="none" w:sz="0" w:space="0" w:color="auto"/>
          </w:divBdr>
        </w:div>
        <w:div w:id="463549221">
          <w:marLeft w:val="480"/>
          <w:marRight w:val="0"/>
          <w:marTop w:val="0"/>
          <w:marBottom w:val="0"/>
          <w:divBdr>
            <w:top w:val="none" w:sz="0" w:space="0" w:color="auto"/>
            <w:left w:val="none" w:sz="0" w:space="0" w:color="auto"/>
            <w:bottom w:val="none" w:sz="0" w:space="0" w:color="auto"/>
            <w:right w:val="none" w:sz="0" w:space="0" w:color="auto"/>
          </w:divBdr>
        </w:div>
        <w:div w:id="578566558">
          <w:marLeft w:val="480"/>
          <w:marRight w:val="0"/>
          <w:marTop w:val="0"/>
          <w:marBottom w:val="0"/>
          <w:divBdr>
            <w:top w:val="none" w:sz="0" w:space="0" w:color="auto"/>
            <w:left w:val="none" w:sz="0" w:space="0" w:color="auto"/>
            <w:bottom w:val="none" w:sz="0" w:space="0" w:color="auto"/>
            <w:right w:val="none" w:sz="0" w:space="0" w:color="auto"/>
          </w:divBdr>
        </w:div>
        <w:div w:id="694844777">
          <w:marLeft w:val="480"/>
          <w:marRight w:val="0"/>
          <w:marTop w:val="0"/>
          <w:marBottom w:val="0"/>
          <w:divBdr>
            <w:top w:val="none" w:sz="0" w:space="0" w:color="auto"/>
            <w:left w:val="none" w:sz="0" w:space="0" w:color="auto"/>
            <w:bottom w:val="none" w:sz="0" w:space="0" w:color="auto"/>
            <w:right w:val="none" w:sz="0" w:space="0" w:color="auto"/>
          </w:divBdr>
        </w:div>
        <w:div w:id="867837525">
          <w:marLeft w:val="480"/>
          <w:marRight w:val="0"/>
          <w:marTop w:val="0"/>
          <w:marBottom w:val="0"/>
          <w:divBdr>
            <w:top w:val="none" w:sz="0" w:space="0" w:color="auto"/>
            <w:left w:val="none" w:sz="0" w:space="0" w:color="auto"/>
            <w:bottom w:val="none" w:sz="0" w:space="0" w:color="auto"/>
            <w:right w:val="none" w:sz="0" w:space="0" w:color="auto"/>
          </w:divBdr>
        </w:div>
        <w:div w:id="1107118718">
          <w:marLeft w:val="480"/>
          <w:marRight w:val="0"/>
          <w:marTop w:val="0"/>
          <w:marBottom w:val="0"/>
          <w:divBdr>
            <w:top w:val="none" w:sz="0" w:space="0" w:color="auto"/>
            <w:left w:val="none" w:sz="0" w:space="0" w:color="auto"/>
            <w:bottom w:val="none" w:sz="0" w:space="0" w:color="auto"/>
            <w:right w:val="none" w:sz="0" w:space="0" w:color="auto"/>
          </w:divBdr>
        </w:div>
        <w:div w:id="1137381626">
          <w:marLeft w:val="480"/>
          <w:marRight w:val="0"/>
          <w:marTop w:val="0"/>
          <w:marBottom w:val="0"/>
          <w:divBdr>
            <w:top w:val="none" w:sz="0" w:space="0" w:color="auto"/>
            <w:left w:val="none" w:sz="0" w:space="0" w:color="auto"/>
            <w:bottom w:val="none" w:sz="0" w:space="0" w:color="auto"/>
            <w:right w:val="none" w:sz="0" w:space="0" w:color="auto"/>
          </w:divBdr>
        </w:div>
        <w:div w:id="1410809189">
          <w:marLeft w:val="480"/>
          <w:marRight w:val="0"/>
          <w:marTop w:val="0"/>
          <w:marBottom w:val="0"/>
          <w:divBdr>
            <w:top w:val="none" w:sz="0" w:space="0" w:color="auto"/>
            <w:left w:val="none" w:sz="0" w:space="0" w:color="auto"/>
            <w:bottom w:val="none" w:sz="0" w:space="0" w:color="auto"/>
            <w:right w:val="none" w:sz="0" w:space="0" w:color="auto"/>
          </w:divBdr>
        </w:div>
        <w:div w:id="1716156301">
          <w:marLeft w:val="480"/>
          <w:marRight w:val="0"/>
          <w:marTop w:val="0"/>
          <w:marBottom w:val="0"/>
          <w:divBdr>
            <w:top w:val="none" w:sz="0" w:space="0" w:color="auto"/>
            <w:left w:val="none" w:sz="0" w:space="0" w:color="auto"/>
            <w:bottom w:val="none" w:sz="0" w:space="0" w:color="auto"/>
            <w:right w:val="none" w:sz="0" w:space="0" w:color="auto"/>
          </w:divBdr>
        </w:div>
        <w:div w:id="2130393469">
          <w:marLeft w:val="480"/>
          <w:marRight w:val="0"/>
          <w:marTop w:val="0"/>
          <w:marBottom w:val="0"/>
          <w:divBdr>
            <w:top w:val="none" w:sz="0" w:space="0" w:color="auto"/>
            <w:left w:val="none" w:sz="0" w:space="0" w:color="auto"/>
            <w:bottom w:val="none" w:sz="0" w:space="0" w:color="auto"/>
            <w:right w:val="none" w:sz="0" w:space="0" w:color="auto"/>
          </w:divBdr>
        </w:div>
      </w:divsChild>
    </w:div>
    <w:div w:id="1593658943">
      <w:bodyDiv w:val="1"/>
      <w:marLeft w:val="0"/>
      <w:marRight w:val="0"/>
      <w:marTop w:val="0"/>
      <w:marBottom w:val="0"/>
      <w:divBdr>
        <w:top w:val="none" w:sz="0" w:space="0" w:color="auto"/>
        <w:left w:val="none" w:sz="0" w:space="0" w:color="auto"/>
        <w:bottom w:val="none" w:sz="0" w:space="0" w:color="auto"/>
        <w:right w:val="none" w:sz="0" w:space="0" w:color="auto"/>
      </w:divBdr>
      <w:divsChild>
        <w:div w:id="670063305">
          <w:marLeft w:val="480"/>
          <w:marRight w:val="0"/>
          <w:marTop w:val="0"/>
          <w:marBottom w:val="0"/>
          <w:divBdr>
            <w:top w:val="none" w:sz="0" w:space="0" w:color="auto"/>
            <w:left w:val="none" w:sz="0" w:space="0" w:color="auto"/>
            <w:bottom w:val="none" w:sz="0" w:space="0" w:color="auto"/>
            <w:right w:val="none" w:sz="0" w:space="0" w:color="auto"/>
          </w:divBdr>
        </w:div>
        <w:div w:id="780221022">
          <w:marLeft w:val="480"/>
          <w:marRight w:val="0"/>
          <w:marTop w:val="0"/>
          <w:marBottom w:val="0"/>
          <w:divBdr>
            <w:top w:val="none" w:sz="0" w:space="0" w:color="auto"/>
            <w:left w:val="none" w:sz="0" w:space="0" w:color="auto"/>
            <w:bottom w:val="none" w:sz="0" w:space="0" w:color="auto"/>
            <w:right w:val="none" w:sz="0" w:space="0" w:color="auto"/>
          </w:divBdr>
        </w:div>
        <w:div w:id="1050542772">
          <w:marLeft w:val="480"/>
          <w:marRight w:val="0"/>
          <w:marTop w:val="0"/>
          <w:marBottom w:val="0"/>
          <w:divBdr>
            <w:top w:val="none" w:sz="0" w:space="0" w:color="auto"/>
            <w:left w:val="none" w:sz="0" w:space="0" w:color="auto"/>
            <w:bottom w:val="none" w:sz="0" w:space="0" w:color="auto"/>
            <w:right w:val="none" w:sz="0" w:space="0" w:color="auto"/>
          </w:divBdr>
        </w:div>
        <w:div w:id="1050570829">
          <w:marLeft w:val="480"/>
          <w:marRight w:val="0"/>
          <w:marTop w:val="0"/>
          <w:marBottom w:val="0"/>
          <w:divBdr>
            <w:top w:val="none" w:sz="0" w:space="0" w:color="auto"/>
            <w:left w:val="none" w:sz="0" w:space="0" w:color="auto"/>
            <w:bottom w:val="none" w:sz="0" w:space="0" w:color="auto"/>
            <w:right w:val="none" w:sz="0" w:space="0" w:color="auto"/>
          </w:divBdr>
        </w:div>
        <w:div w:id="1080062996">
          <w:marLeft w:val="480"/>
          <w:marRight w:val="0"/>
          <w:marTop w:val="0"/>
          <w:marBottom w:val="0"/>
          <w:divBdr>
            <w:top w:val="none" w:sz="0" w:space="0" w:color="auto"/>
            <w:left w:val="none" w:sz="0" w:space="0" w:color="auto"/>
            <w:bottom w:val="none" w:sz="0" w:space="0" w:color="auto"/>
            <w:right w:val="none" w:sz="0" w:space="0" w:color="auto"/>
          </w:divBdr>
        </w:div>
        <w:div w:id="1176185810">
          <w:marLeft w:val="480"/>
          <w:marRight w:val="0"/>
          <w:marTop w:val="0"/>
          <w:marBottom w:val="0"/>
          <w:divBdr>
            <w:top w:val="none" w:sz="0" w:space="0" w:color="auto"/>
            <w:left w:val="none" w:sz="0" w:space="0" w:color="auto"/>
            <w:bottom w:val="none" w:sz="0" w:space="0" w:color="auto"/>
            <w:right w:val="none" w:sz="0" w:space="0" w:color="auto"/>
          </w:divBdr>
        </w:div>
        <w:div w:id="1543783645">
          <w:marLeft w:val="480"/>
          <w:marRight w:val="0"/>
          <w:marTop w:val="0"/>
          <w:marBottom w:val="0"/>
          <w:divBdr>
            <w:top w:val="none" w:sz="0" w:space="0" w:color="auto"/>
            <w:left w:val="none" w:sz="0" w:space="0" w:color="auto"/>
            <w:bottom w:val="none" w:sz="0" w:space="0" w:color="auto"/>
            <w:right w:val="none" w:sz="0" w:space="0" w:color="auto"/>
          </w:divBdr>
        </w:div>
        <w:div w:id="1638489656">
          <w:marLeft w:val="480"/>
          <w:marRight w:val="0"/>
          <w:marTop w:val="0"/>
          <w:marBottom w:val="0"/>
          <w:divBdr>
            <w:top w:val="none" w:sz="0" w:space="0" w:color="auto"/>
            <w:left w:val="none" w:sz="0" w:space="0" w:color="auto"/>
            <w:bottom w:val="none" w:sz="0" w:space="0" w:color="auto"/>
            <w:right w:val="none" w:sz="0" w:space="0" w:color="auto"/>
          </w:divBdr>
        </w:div>
        <w:div w:id="1722363498">
          <w:marLeft w:val="480"/>
          <w:marRight w:val="0"/>
          <w:marTop w:val="0"/>
          <w:marBottom w:val="0"/>
          <w:divBdr>
            <w:top w:val="none" w:sz="0" w:space="0" w:color="auto"/>
            <w:left w:val="none" w:sz="0" w:space="0" w:color="auto"/>
            <w:bottom w:val="none" w:sz="0" w:space="0" w:color="auto"/>
            <w:right w:val="none" w:sz="0" w:space="0" w:color="auto"/>
          </w:divBdr>
        </w:div>
      </w:divsChild>
    </w:div>
    <w:div w:id="1602370018">
      <w:bodyDiv w:val="1"/>
      <w:marLeft w:val="0"/>
      <w:marRight w:val="0"/>
      <w:marTop w:val="0"/>
      <w:marBottom w:val="0"/>
      <w:divBdr>
        <w:top w:val="none" w:sz="0" w:space="0" w:color="auto"/>
        <w:left w:val="none" w:sz="0" w:space="0" w:color="auto"/>
        <w:bottom w:val="none" w:sz="0" w:space="0" w:color="auto"/>
        <w:right w:val="none" w:sz="0" w:space="0" w:color="auto"/>
      </w:divBdr>
    </w:div>
    <w:div w:id="1750233150">
      <w:bodyDiv w:val="1"/>
      <w:marLeft w:val="0"/>
      <w:marRight w:val="0"/>
      <w:marTop w:val="0"/>
      <w:marBottom w:val="0"/>
      <w:divBdr>
        <w:top w:val="none" w:sz="0" w:space="0" w:color="auto"/>
        <w:left w:val="none" w:sz="0" w:space="0" w:color="auto"/>
        <w:bottom w:val="none" w:sz="0" w:space="0" w:color="auto"/>
        <w:right w:val="none" w:sz="0" w:space="0" w:color="auto"/>
      </w:divBdr>
    </w:div>
    <w:div w:id="1766417656">
      <w:bodyDiv w:val="1"/>
      <w:marLeft w:val="0"/>
      <w:marRight w:val="0"/>
      <w:marTop w:val="0"/>
      <w:marBottom w:val="0"/>
      <w:divBdr>
        <w:top w:val="none" w:sz="0" w:space="0" w:color="auto"/>
        <w:left w:val="none" w:sz="0" w:space="0" w:color="auto"/>
        <w:bottom w:val="none" w:sz="0" w:space="0" w:color="auto"/>
        <w:right w:val="none" w:sz="0" w:space="0" w:color="auto"/>
      </w:divBdr>
      <w:divsChild>
        <w:div w:id="80682115">
          <w:marLeft w:val="480"/>
          <w:marRight w:val="0"/>
          <w:marTop w:val="0"/>
          <w:marBottom w:val="0"/>
          <w:divBdr>
            <w:top w:val="none" w:sz="0" w:space="0" w:color="auto"/>
            <w:left w:val="none" w:sz="0" w:space="0" w:color="auto"/>
            <w:bottom w:val="none" w:sz="0" w:space="0" w:color="auto"/>
            <w:right w:val="none" w:sz="0" w:space="0" w:color="auto"/>
          </w:divBdr>
        </w:div>
        <w:div w:id="241527253">
          <w:marLeft w:val="480"/>
          <w:marRight w:val="0"/>
          <w:marTop w:val="0"/>
          <w:marBottom w:val="0"/>
          <w:divBdr>
            <w:top w:val="none" w:sz="0" w:space="0" w:color="auto"/>
            <w:left w:val="none" w:sz="0" w:space="0" w:color="auto"/>
            <w:bottom w:val="none" w:sz="0" w:space="0" w:color="auto"/>
            <w:right w:val="none" w:sz="0" w:space="0" w:color="auto"/>
          </w:divBdr>
        </w:div>
        <w:div w:id="513150703">
          <w:marLeft w:val="480"/>
          <w:marRight w:val="0"/>
          <w:marTop w:val="0"/>
          <w:marBottom w:val="0"/>
          <w:divBdr>
            <w:top w:val="none" w:sz="0" w:space="0" w:color="auto"/>
            <w:left w:val="none" w:sz="0" w:space="0" w:color="auto"/>
            <w:bottom w:val="none" w:sz="0" w:space="0" w:color="auto"/>
            <w:right w:val="none" w:sz="0" w:space="0" w:color="auto"/>
          </w:divBdr>
        </w:div>
        <w:div w:id="655887810">
          <w:marLeft w:val="480"/>
          <w:marRight w:val="0"/>
          <w:marTop w:val="0"/>
          <w:marBottom w:val="0"/>
          <w:divBdr>
            <w:top w:val="none" w:sz="0" w:space="0" w:color="auto"/>
            <w:left w:val="none" w:sz="0" w:space="0" w:color="auto"/>
            <w:bottom w:val="none" w:sz="0" w:space="0" w:color="auto"/>
            <w:right w:val="none" w:sz="0" w:space="0" w:color="auto"/>
          </w:divBdr>
        </w:div>
        <w:div w:id="889001523">
          <w:marLeft w:val="480"/>
          <w:marRight w:val="0"/>
          <w:marTop w:val="0"/>
          <w:marBottom w:val="0"/>
          <w:divBdr>
            <w:top w:val="none" w:sz="0" w:space="0" w:color="auto"/>
            <w:left w:val="none" w:sz="0" w:space="0" w:color="auto"/>
            <w:bottom w:val="none" w:sz="0" w:space="0" w:color="auto"/>
            <w:right w:val="none" w:sz="0" w:space="0" w:color="auto"/>
          </w:divBdr>
        </w:div>
        <w:div w:id="1024328999">
          <w:marLeft w:val="480"/>
          <w:marRight w:val="0"/>
          <w:marTop w:val="0"/>
          <w:marBottom w:val="0"/>
          <w:divBdr>
            <w:top w:val="none" w:sz="0" w:space="0" w:color="auto"/>
            <w:left w:val="none" w:sz="0" w:space="0" w:color="auto"/>
            <w:bottom w:val="none" w:sz="0" w:space="0" w:color="auto"/>
            <w:right w:val="none" w:sz="0" w:space="0" w:color="auto"/>
          </w:divBdr>
        </w:div>
        <w:div w:id="1078096297">
          <w:marLeft w:val="480"/>
          <w:marRight w:val="0"/>
          <w:marTop w:val="0"/>
          <w:marBottom w:val="0"/>
          <w:divBdr>
            <w:top w:val="none" w:sz="0" w:space="0" w:color="auto"/>
            <w:left w:val="none" w:sz="0" w:space="0" w:color="auto"/>
            <w:bottom w:val="none" w:sz="0" w:space="0" w:color="auto"/>
            <w:right w:val="none" w:sz="0" w:space="0" w:color="auto"/>
          </w:divBdr>
        </w:div>
        <w:div w:id="1286541562">
          <w:marLeft w:val="480"/>
          <w:marRight w:val="0"/>
          <w:marTop w:val="0"/>
          <w:marBottom w:val="0"/>
          <w:divBdr>
            <w:top w:val="none" w:sz="0" w:space="0" w:color="auto"/>
            <w:left w:val="none" w:sz="0" w:space="0" w:color="auto"/>
            <w:bottom w:val="none" w:sz="0" w:space="0" w:color="auto"/>
            <w:right w:val="none" w:sz="0" w:space="0" w:color="auto"/>
          </w:divBdr>
        </w:div>
        <w:div w:id="1453550189">
          <w:marLeft w:val="480"/>
          <w:marRight w:val="0"/>
          <w:marTop w:val="0"/>
          <w:marBottom w:val="0"/>
          <w:divBdr>
            <w:top w:val="none" w:sz="0" w:space="0" w:color="auto"/>
            <w:left w:val="none" w:sz="0" w:space="0" w:color="auto"/>
            <w:bottom w:val="none" w:sz="0" w:space="0" w:color="auto"/>
            <w:right w:val="none" w:sz="0" w:space="0" w:color="auto"/>
          </w:divBdr>
        </w:div>
        <w:div w:id="1700273689">
          <w:marLeft w:val="480"/>
          <w:marRight w:val="0"/>
          <w:marTop w:val="0"/>
          <w:marBottom w:val="0"/>
          <w:divBdr>
            <w:top w:val="none" w:sz="0" w:space="0" w:color="auto"/>
            <w:left w:val="none" w:sz="0" w:space="0" w:color="auto"/>
            <w:bottom w:val="none" w:sz="0" w:space="0" w:color="auto"/>
            <w:right w:val="none" w:sz="0" w:space="0" w:color="auto"/>
          </w:divBdr>
        </w:div>
        <w:div w:id="1961568870">
          <w:marLeft w:val="480"/>
          <w:marRight w:val="0"/>
          <w:marTop w:val="0"/>
          <w:marBottom w:val="0"/>
          <w:divBdr>
            <w:top w:val="none" w:sz="0" w:space="0" w:color="auto"/>
            <w:left w:val="none" w:sz="0" w:space="0" w:color="auto"/>
            <w:bottom w:val="none" w:sz="0" w:space="0" w:color="auto"/>
            <w:right w:val="none" w:sz="0" w:space="0" w:color="auto"/>
          </w:divBdr>
        </w:div>
      </w:divsChild>
    </w:div>
    <w:div w:id="1828159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全般"/>
          <w:gallery w:val="placeholder"/>
        </w:category>
        <w:types>
          <w:type w:val="bbPlcHdr"/>
        </w:types>
        <w:behaviors>
          <w:behavior w:val="content"/>
        </w:behaviors>
        <w:guid w:val="{23348432-3A00-4284-9D96-914965EA6127}"/>
      </w:docPartPr>
      <w:docPartBody>
        <w:p w:rsidR="00E076D6" w:rsidRDefault="00EA5DAF">
          <w:r w:rsidRPr="00D82AD8">
            <w:rPr>
              <w:rStyle w:val="Testosegnaposto"/>
              <w:rFonts w:hint="eastAsia"/>
            </w:rPr>
            <w:t>ここをクリックまたはタップしてテキストを入力してください。</w:t>
          </w:r>
        </w:p>
      </w:docPartBody>
    </w:docPart>
    <w:docPart>
      <w:docPartPr>
        <w:name w:val="EEDCAF1682494EC58219BAAAF27CE56F"/>
        <w:category>
          <w:name w:val="全般"/>
          <w:gallery w:val="placeholder"/>
        </w:category>
        <w:types>
          <w:type w:val="bbPlcHdr"/>
        </w:types>
        <w:behaviors>
          <w:behavior w:val="content"/>
        </w:behaviors>
        <w:guid w:val="{676328D1-BE2E-4CD9-BA65-DF5D33119C0C}"/>
      </w:docPartPr>
      <w:docPartBody>
        <w:p w:rsidR="00A72294" w:rsidRDefault="00A72294" w:rsidP="00A72294">
          <w:pPr>
            <w:pStyle w:val="EEDCAF1682494EC58219BAAAF27CE56F"/>
          </w:pPr>
          <w:r w:rsidRPr="00D82AD8">
            <w:rPr>
              <w:rStyle w:val="Testosegnaposto"/>
              <w:rFonts w:hint="eastAsia"/>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DAF"/>
    <w:rsid w:val="00054B04"/>
    <w:rsid w:val="001D7523"/>
    <w:rsid w:val="00214E03"/>
    <w:rsid w:val="00374C4C"/>
    <w:rsid w:val="005839A1"/>
    <w:rsid w:val="005940C5"/>
    <w:rsid w:val="00655B34"/>
    <w:rsid w:val="00694245"/>
    <w:rsid w:val="00911E79"/>
    <w:rsid w:val="00A72294"/>
    <w:rsid w:val="00AD5E35"/>
    <w:rsid w:val="00B277D9"/>
    <w:rsid w:val="00E076D6"/>
    <w:rsid w:val="00EA5D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694245"/>
    <w:rPr>
      <w:color w:val="808080"/>
    </w:rPr>
  </w:style>
  <w:style w:type="paragraph" w:customStyle="1" w:styleId="EEDCAF1682494EC58219BAAAF27CE56F">
    <w:name w:val="EEDCAF1682494EC58219BAAAF27CE56F"/>
    <w:rsid w:val="00A722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4B8D34-33A7-4F44-929E-FADB41506F1D}">
  <we:reference id="wa104382081" version="1.55.1.0" store="en-001" storeType="OMEX"/>
  <we:alternateReferences>
    <we:reference id="WA104382081" version="1.55.1.0" store="" storeType="OMEX"/>
  </we:alternateReferences>
  <we:properties>
    <we:property name="MENDELEY_CITATIONS" value="[{&quot;citationID&quot;:&quot;MENDELEY_CITATION_0f0e7eb3-e166-4d89-9901-8ecfa5817af0&quot;,&quot;properties&quot;:{&quot;noteIndex&quot;:0},&quot;isEdited&quot;:false,&quot;manualOverride&quot;:{&quot;isManuallyOverridden&quot;:false,&quot;citeprocText&quot;:&quot;(Reddy et al., 2023)&quot;,&quot;manualOverrideText&quot;:&quot;&quot;},&quot;citationTag&quot;:&quot;MENDELEY_CITATION_v3_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&quot;,&quot;citationItems&quot;:[{&quot;id&quot;:&quot;1f206a07-7c7f-3dee-8f1f-4c23b5a6572d&quot;,&quot;itemData&quot;:{&quot;type&quot;:&quot;article-journal&quot;,&quot;id&quot;:&quot;1f206a07-7c7f-3dee-8f1f-4c23b5a6572d&quot;,&quot;title&quot;:&quot;Cell-culture process optimization via model-based predictions of metabolism and protein glycosylation&quot;,&quot;author&quot;:[{&quot;family&quot;:&quot;Reddy&quot;,&quot;given&quot;:&quot;Jayanth Venkatarama&quot;,&quot;parse-names&quot;:false,&quot;dropping-particle&quot;:&quot;&quot;,&quot;non-dropping-particle&quot;:&quot;&quot;},{&quot;family&quot;:&quot;Raudenbush&quot;,&quot;given&quot;:&quot;Katherine&quot;,&quot;parse-names&quot;:false,&quot;dropping-particle&quot;:&quot;&quot;,&quot;non-dropping-particle&quot;:&quot;&quot;},{&quot;family&quot;:&quot;Papoutsakis&quot;,&quot;given&quot;:&quot;Eleftherios Terry&quot;,&quot;parse-names&quot;:false,&quot;dropping-particle&quot;:&quot;&quot;,&quot;non-dropping-particle&quot;:&quot;&quot;},{&quot;family&quot;:&quot;Ierapetritou&quot;,&quot;given&quot;:&quot;Marianthi&quot;,&quot;parse-names&quot;:false,&quot;dropping-particle&quot;:&quot;&quot;,&quot;non-dropping-particle&quot;:&quot;&quot;}],&quot;container-title&quot;:&quot;Biotechnology Advances&quot;,&quot;DOI&quot;:&quot;10.1016/j.biotechadv.2023.108179&quot;,&quot;ISSN&quot;:&quot;07349750&quot;,&quot;issued&quot;:{&quot;date-parts&quot;:[[2023,10,1]]},&quot;abstract&quot;:&quot;In order to meet the rising demand for biologics and become competitive on the developing biosimilar market, there is a need for process intensification of biomanufacturing processes. Process development of biologics has historically relied on extensive experimentation to develop and optimize biopharmaceutical manufacturing. Experimentation to optimize media formulations, feeding schedules, bioreactor operations and bioreactor scale up is expensive, labor intensive and time consuming. Mathematical modeling frameworks have the potential to enable process intensification while reducing the experimental burden. This review focuses on mathematical modeling of cellular metabolism and N-linked glycosylation as applied to upstream manufacturing of biologics. We review developments in the field of modeling cellular metabolism of mammalian cells using kinetic and stoichiometric modeling frameworks along with their applications to simulate, optimize and improve mechanistic understanding of the process. Interest in modeling N-linked glycosylation has led to the creation of various types of parametric and non-parametric models. Most published studies on mammalian cell metabolism have performed experiments in shake flasks where the pH and dissolved oxygen cannot be controlled. Efforts to understand and model the effect of bioreactor-specific parameters such as pH, dissolved oxygen, temperature, and bioreactor heterogeneity are critically reviewed. Most modeling efforts have focused on the Chinese Hamster Ovary (CHO) cells, which are most commonly used to produce monoclonal antibodies (mAbs). However, these modeling approaches can be generalized and applied to any mammalian cell-based manufacturing platform. Current and potential future applications of these models for Vero cell-based vaccine manufacturing, CAR-T cell therapies, and viral vector manufacturing are also discussed. We offer specific recommendations for improving the applicability of these models to industrially relevant processes.&quot;,&quot;publisher&quot;:&quot;Elsevier Inc.&quot;,&quot;volume&quot;:&quot;67&quot;,&quot;container-title-short&quot;:&quot;Biotechnol Adv&quot;},&quot;isTemporary&quot;:false}]},{&quot;citationID&quot;:&quot;MENDELEY_CITATION_7e5b9243-0b53-46b9-a7af-5c3d8286cede&quot;,&quot;properties&quot;:{&quot;noteIndex&quot;:0},&quot;isEdited&quot;:false,&quot;manualOverride&quot;:{&quot;isManuallyOverridden&quot;:false,&quot;citeprocText&quot;:&quot;(Badr et al., 2021)&quot;,&quot;manualOverrideText&quot;:&quot;&quot;},&quot;citationTag&quot;:&quot;MENDELEY_CITATION_v3_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&quot;,&quot;citationItems&quot;:[{&quot;id&quot;:&quot;7841dfc5-d5a4-3332-b95b-5f7088b04429&quot;,&quot;itemData&quot;:{&quot;type&quot;:&quot;article-journal&quot;,&quot;id&quot;:&quot;7841dfc5-d5a4-3332-b95b-5f7088b04429&quot;,&quot;title&quot;:&quot;Integrated design of biopharmaceutical manufacturing processes: Operation modes and process configurations for monoclonal antibody production&quot;,&quot;author&quot;:[{&quot;family&quot;:&quot;Badr&quot;,&quot;given&quot;:&quot;Sara&quot;,&quot;parse-names&quot;:false,&quot;dropping-particle&quot;:&quot;&quot;,&quot;non-dropping-particle&quot;:&quot;&quot;},{&quot;family&quot;:&quot;Okamura&quot;,&quot;given&quot;:&quot;Kozue&quot;,&quot;parse-names&quot;:false,&quot;dropping-particle&quot;:&quot;&quot;,&quot;non-dropping-particle&quot;:&quot;&quot;},{&quot;family&quot;:&quot;Takahashi&quot;,&quot;given&quot;:&quot;Nozomi&quot;,&quot;parse-names&quot;:false,&quot;dropping-particle&quot;:&quot;&quot;,&quot;non-dropping-particle&quot;:&quot;&quot;},{&quot;family&quot;:&quot;Ubbenjans&quot;,&quot;given&quot;:&quot;Vera&quot;,&quot;parse-names&quot;:false,&quot;dropping-particle&quot;:&quot;&quot;,&quot;non-dropping-particle&quot;:&quot;&quot;},{&quot;family&quot;:&quot;Shirahata&quot;,&quot;given&quot;:&quot;Haruku&quot;,&quot;parse-names&quot;:false,&quot;dropping-particle&quot;:&quot;&quot;,&quot;non-dropping-particle&quot;:&quot;&quot;},{&quot;family&quot;:&quot;Sugiyama&quot;,&quot;given&quot;:&quot;Hirokazu&quot;,&quot;parse-names&quot;:false,&quot;dropping-particle&quot;:&quot;&quot;,&quot;non-dropping-particle&quot;:&quot;&quot;}],&quot;container-title&quot;:&quot;Computers and Chemical Engineering&quot;,&quot;DOI&quot;:&quot;10.1016/j.compchemeng.2021.107422&quot;,&quot;ISSN&quot;:&quot;00981354&quot;,&quot;URL&quot;:&quot;https://doi.org/10.1016/j.compchemeng.2021.107422&quot;,&quot;issued&quot;:{&quot;date-parts&quot;:[[2021]]},&quot;page&quot;:&quot;107422&quot;,&quot;abstract&quot;:&quot;Monoclonal antibodies are leading the growing biopharmaceutical markets. To sustain the increasing demand, manufacturing processes should be optimized to increase efficiency and flexibility. This work investigates the impacts of the application of single-use equipment in batch, continuous, and hybrid scenarios. Operating costs and time are compared at different production scales from clinical to commercial manufacturing for individual unit operations and for the final integrated scenarios. A modified kinetic model is presented for the main cultivation unit. The model is validated using experimental data from literature and from a pilot facility using Chinese hamster ovary cells. Integrated scenarios with fed-batch cultivation and continuous capture have the lowest operating costs. The selection of operating modes across production scales is discussed along with further considerations for the design of integrated processes. The presented models could be used for the development of process design, control, and scheduling efforts for achieving sustainable biopharmaceutical manufacturing.&quot;,&quot;publisher&quot;:&quot;Elsevier Ltd&quot;,&quot;volume&quot;:&quot;153&quot;,&quot;container-title-short&quot;:&quot;Comput Chem Eng&quot;},&quot;isTemporary&quot;:false}]},{&quot;citationID&quot;:&quot;MENDELEY_CITATION_cede5910-b209-4a45-84b2-09174cc5d26b&quot;,&quot;properties&quot;:{&quot;noteIndex&quot;:0},&quot;isEdited&quot;:false,&quot;manualOverride&quot;:{&quot;isManuallyOverridden&quot;:false,&quot;citeprocText&quot;:&quot;(Farzan &amp;#38; Ierapetritou, 2018)&quot;,&quot;manualOverrideText&quot;:&quot;&quot;},&quot;citationTag&quot;:&quot;MENDELEY_CITATION_v3_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&quot;,&quot;citationItems&quot;:[{&quot;id&quot;:&quot;70d02fe0-b7d0-3b3d-ba62-1c25b31ab51e&quot;,&quot;itemData&quot;:{&quot;type&quot;:&quot;article-journal&quot;,&quot;id&quot;:&quot;70d02fe0-b7d0-3b3d-ba62-1c25b31ab51e&quot;,&quot;title&quot;:&quot;A framework for the development of integrated and computationally feasible models of large-scale mammalian cell bioreactors&quot;,&quot;author&quot;:[{&quot;family&quot;:&quot;Farzan&quot;,&quot;given&quot;:&quot;Parham&quot;,&quot;parse-names&quot;:false,&quot;dropping-particle&quot;:&quot;&quot;,&quot;non-dropping-particle&quot;:&quot;&quot;},{&quot;family&quot;:&quot;Ierapetritou&quot;,&quot;given&quot;:&quot;Marianthi G.&quot;,&quot;parse-names&quot;:false,&quot;dropping-particle&quot;:&quot;&quot;,&quot;non-dropping-particle&quot;:&quot;&quot;}],&quot;container-title&quot;:&quot;Processes&quot;,&quot;DOI&quot;:&quot;10.3390/pr6070082&quot;,&quot;ISSN&quot;:&quot;22279717&quot;,&quot;issued&quot;:{&quot;date-parts&quot;:[[2018]]},&quot;abstract&quot;:&quot;Industrialization of bioreactors has been achieved by applying several core concepts of science and engineering. Modeling has deepened the understanding of biological and physical phenomena. In this paper, the state of existing cell culture models is summarized. A framework for development of dynamic and computationally feasible models that capture the interactions of hydrodynamics and cellular activities is proposed. Operating conditions are described by impeller rotation speed, gas sparging flowrate, and liquid fill level. A set of admissible operating states is defined over discretized process parameters. The burden on a dynamic solver is reduced by assuming hydrodynamics at its fully developed state and implementation of compartmental modeling. A change in the conditions of operation is followed by hydrodynamics switching instantaneously to the steady state that would be reached under new conditions. Finally, coupling the model with optimization solvers leads to improvements in operation.&quot;,&quot;issue&quot;:&quot;82&quot;,&quot;volume&quot;:&quot;6&quot;,&quot;container-title-short&quot;:&quot;&quot;},&quot;isTemporary&quot;:false}]},{&quot;citationID&quot;:&quot;MENDELEY_CITATION_5ba7a25e-6821-41bf-8a89-7e88bf740a97&quot;,&quot;properties&quot;:{&quot;noteIndex&quot;:0},&quot;isEdited&quot;:false,&quot;manualOverride&quot;:{&quot;isManuallyOverridden&quot;:false,&quot;citeprocText&quot;:&quot;(Okamura et al., 2022)&quot;,&quot;manualOverrideText&quot;:&quot;&quot;},&quot;citationTag&quot;:&quot;MENDELEY_CITATION_v3_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&quot;,&quot;citationItems&quot;:[{&quot;id&quot;:&quot;4824076e-bea1-32b1-bf3c-ec7e8832e20e&quot;,&quot;itemData&quot;:{&quot;type&quot;:&quot;article-journal&quot;,&quot;id&quot;:&quot;4824076e-bea1-32b1-bf3c-ec7e8832e20e&quot;,&quot;title&quot;:&quot;Hybrid modeling of CHO cell cultivation in monoclonal antibody production with an impurity generation module&quot;,&quot;author&quot;:[{&quot;family&quot;:&quot;Okamura&quot;,&quot;given&quot;:&quot;Kozue&quot;,&quot;parse-names&quot;:false,&quot;dropping-particle&quot;:&quot;&quot;,&quot;non-dropping-particle&quot;:&quot;&quot;},{&quot;family&quot;:&quot;Badr&quot;,&quot;given&quot;:&quot;Sara&quot;,&quot;parse-names&quot;:false,&quot;dropping-particle&quot;:&quot;&quot;,&quot;non-dropping-particle&quot;:&quot;&quot;},{&quot;family&quot;:&quot;Murakami&quot;,&quot;given&quot;:&quot;Sei&quot;,&quot;parse-names&quot;:false,&quot;dropping-particle&quot;:&quot;&quot;,&quot;non-dropping-particle&quot;:&quot;&quot;},{&quot;family&quot;:&quot;Sugiyama&quot;,&quot;given&quot;:&quot;Hirokazu&quot;,&quot;parse-names&quot;:false,&quot;dropping-particle&quot;:&quot;&quot;,&quot;non-dropping-particle&quot;:&quot;&quot;}],&quot;container-title&quot;:&quot;Industrial and Engineering Chemistry Research&quot;,&quot;DOI&quot;:&quot;10.1021/acs.iecr.2c00736&quot;,&quot;ISSN&quot;:&quot;15205045&quot;,&quot;issued&quot;:{&quot;date-parts&quot;:[[2022,10,12]]},&quot;page&quot;:&quot;14898-14909&quot;,&quot;abstract&quot;:&quot;Representative cultivation models are needed for designing efficient monoclonal antibody (mAb) production processes. Simple Monod-type kinetic models could fail to capture changes at different phases and conditions. Current models rarely account for process-related impurities, which hinders optimizing integrated processes. A three-module hybrid approach is thus introduced here. Module 1 is a kinetic metabolism model until cell death based on Monod-type equations. Module 2 is a data-driven module for updating parameters based on system dynamics and changes in cultivation conditions. Module 3 proposes a kinetic model for the generation of host cell proteins and DNA. The model is applied to newly established high-performance CHO cell lines and is validated with experiments at different operating conditions. The adopted modular approach helps identify weak model links, which can be corrected via the data-driven module. The proposed model combines accuracy and simplicity for design and control applications of cultivation processes considering quality aspects.&quot;,&quot;publisher&quot;:&quot;American Chemical Society&quot;,&quot;issue&quot;:&quot;40&quot;,&quot;volume&quot;:&quot;61&quot;,&quot;container-title-short&quot;:&quot;Ind Eng Chem Res&quot;},&quot;isTemporary&quot;:false}]},{&quot;citationID&quot;:&quot;MENDELEY_CITATION_947ef667-8364-446d-8a25-b5353b4000e9&quot;,&quot;properties&quot;:{&quot;noteIndex&quot;:0},&quot;isEdited&quot;:false,&quot;manualOverride&quot;:{&quot;isManuallyOverridden&quot;:false,&quot;citeprocText&quot;:&quot;(Horiuchi, 2019)&quot;,&quot;manualOverrideText&quot;:&quot;&quot;},&quot;citationTag&quot;:&quot;MENDELEY_CITATION_v3_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&quot;,&quot;citationItems&quot;:[{&quot;id&quot;:&quot;0edc5bfc-b22e-3030-9646-1b7bb063b9c5&quot;,&quot;itemData&quot;:{&quot;type&quot;:&quot;article-journal&quot;,&quot;id&quot;:&quot;0edc5bfc-b22e-3030-9646-1b7bb063b9c5&quot;,&quot;title&quot;:&quot;Establishment of a novel CHO cell line and its application to the production of protein-based pharmaceuticals (In Japanese)&quot;,&quot;author&quot;:[{&quot;family&quot;:&quot;Horiuchi&quot;,&quot;given&quot;:&quot;Takayuki&quot;,&quot;parse-names&quot;:false,&quot;dropping-particle&quot;:&quot;&quot;,&quot;non-dropping-particle&quot;:&quot;&quot;}],&quot;container-title&quot;:&quot;Seibutsu-Kougaku-Kaishi&quot;,&quot;ISBN&quot;:&quot;9788578110796&quot;,&quot;ISSN&quot;:&quot;1098-6596&quot;,&quot;issued&quot;:{&quot;date-parts&quot;:[[2019]]},&quot;page&quot;:&quot;328-330&quot;,&quot;issue&quot;:&quot;6&quot;,&quot;volume&quot;:&quot;97&quot;,&quot;container-title-short&quot;:&quot;&quot;},&quot;isTemporary&quot;:false}]},{&quot;citationID&quot;:&quot;MENDELEY_CITATION_d0e5010f-8d57-4901-b10e-8720e1db87d0&quot;,&quot;properties&quot;:{&quot;noteIndex&quot;:0},&quot;isEdited&quot;:false,&quot;manualOverride&quot;:{&quot;isManuallyOverridden&quot;:true,&quot;citeprocText&quot;:&quot;(Badr et al., 2021)&quot;,&quot;manualOverrideText&quot;:&quot;Badr et al. (2021)&quot;},&quot;citationTag&quot;:&quot;MENDELEY_CITATION_v3_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&quot;,&quot;citationItems&quot;:[{&quot;id&quot;:&quot;7841dfc5-d5a4-3332-b95b-5f7088b04429&quot;,&quot;itemData&quot;:{&quot;type&quot;:&quot;article-journal&quot;,&quot;id&quot;:&quot;7841dfc5-d5a4-3332-b95b-5f7088b04429&quot;,&quot;title&quot;:&quot;Integrated design of biopharmaceutical manufacturing processes: Operation modes and process configurations for monoclonal antibody production&quot;,&quot;author&quot;:[{&quot;family&quot;:&quot;Badr&quot;,&quot;given&quot;:&quot;Sara&quot;,&quot;parse-names&quot;:false,&quot;dropping-particle&quot;:&quot;&quot;,&quot;non-dropping-particle&quot;:&quot;&quot;},{&quot;family&quot;:&quot;Okamura&quot;,&quot;given&quot;:&quot;Kozue&quot;,&quot;parse-names&quot;:false,&quot;dropping-particle&quot;:&quot;&quot;,&quot;non-dropping-particle&quot;:&quot;&quot;},{&quot;family&quot;:&quot;Takahashi&quot;,&quot;given&quot;:&quot;Nozomi&quot;,&quot;parse-names&quot;:false,&quot;dropping-particle&quot;:&quot;&quot;,&quot;non-dropping-particle&quot;:&quot;&quot;},{&quot;family&quot;:&quot;Ubbenjans&quot;,&quot;given&quot;:&quot;Vera&quot;,&quot;parse-names&quot;:false,&quot;dropping-particle&quot;:&quot;&quot;,&quot;non-dropping-particle&quot;:&quot;&quot;},{&quot;family&quot;:&quot;Shirahata&quot;,&quot;given&quot;:&quot;Haruku&quot;,&quot;parse-names&quot;:false,&quot;dropping-particle&quot;:&quot;&quot;,&quot;non-dropping-particle&quot;:&quot;&quot;},{&quot;family&quot;:&quot;Sugiyama&quot;,&quot;given&quot;:&quot;Hirokazu&quot;,&quot;parse-names&quot;:false,&quot;dropping-particle&quot;:&quot;&quot;,&quot;non-dropping-particle&quot;:&quot;&quot;}],&quot;container-title&quot;:&quot;Computers and Chemical Engineering&quot;,&quot;DOI&quot;:&quot;10.1016/j.compchemeng.2021.107422&quot;,&quot;ISSN&quot;:&quot;00981354&quot;,&quot;URL&quot;:&quot;https://doi.org/10.1016/j.compchemeng.2021.107422&quot;,&quot;issued&quot;:{&quot;date-parts&quot;:[[2021]]},&quot;page&quot;:&quot;107422&quot;,&quot;abstract&quot;:&quot;Monoclonal antibodies are leading the growing biopharmaceutical markets. To sustain the increasing demand, manufacturing processes should be optimized to increase efficiency and flexibility. This work investigates the impacts of the application of single-use equipment in batch, continuous, and hybrid scenarios. Operating costs and time are compared at different production scales from clinical to commercial manufacturing for individual unit operations and for the final integrated scenarios. A modified kinetic model is presented for the main cultivation unit. The model is validated using experimental data from literature and from a pilot facility using Chinese hamster ovary cells. Integrated scenarios with fed-batch cultivation and continuous capture have the lowest operating costs. The selection of operating modes across production scales is discussed along with further considerations for the design of integrated processes. The presented models could be used for the development of process design, control, and scheduling efforts for achieving sustainable biopharmaceutical manufacturing.&quot;,&quot;publisher&quot;:&quot;Elsevier Ltd&quot;,&quot;volume&quot;:&quot;153&quot;,&quot;container-title-short&quot;:&quot;Comput Chem Eng&quot;},&quot;isTemporary&quot;:false}]},{&quot;citationID&quot;:&quot;MENDELEY_CITATION_b9b7a447-04ed-46c2-84c5-2703f79db44d&quot;,&quot;properties&quot;:{&quot;noteIndex&quot;:0},&quot;isEdited&quot;:false,&quot;manualOverride&quot;:{&quot;isManuallyOverridden&quot;:true,&quot;citeprocText&quot;:&quot;(Okamura et al., 2022)&quot;,&quot;manualOverrideText&quot;:&quot;Okamura et al. (2022)&quot;},&quot;citationTag&quot;:&quot;MENDELEY_CITATION_v3_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&quot;,&quot;citationItems&quot;:[{&quot;id&quot;:&quot;4824076e-bea1-32b1-bf3c-ec7e8832e20e&quot;,&quot;itemData&quot;:{&quot;type&quot;:&quot;article-journal&quot;,&quot;id&quot;:&quot;4824076e-bea1-32b1-bf3c-ec7e8832e20e&quot;,&quot;title&quot;:&quot;Hybrid modeling of CHO cell cultivation in monoclonal antibody production with an impurity generation module&quot;,&quot;author&quot;:[{&quot;family&quot;:&quot;Okamura&quot;,&quot;given&quot;:&quot;Kozue&quot;,&quot;parse-names&quot;:false,&quot;dropping-particle&quot;:&quot;&quot;,&quot;non-dropping-particle&quot;:&quot;&quot;},{&quot;family&quot;:&quot;Badr&quot;,&quot;given&quot;:&quot;Sara&quot;,&quot;parse-names&quot;:false,&quot;dropping-particle&quot;:&quot;&quot;,&quot;non-dropping-particle&quot;:&quot;&quot;},{&quot;family&quot;:&quot;Murakami&quot;,&quot;given&quot;:&quot;Sei&quot;,&quot;parse-names&quot;:false,&quot;dropping-particle&quot;:&quot;&quot;,&quot;non-dropping-particle&quot;:&quot;&quot;},{&quot;family&quot;:&quot;Sugiyama&quot;,&quot;given&quot;:&quot;Hirokazu&quot;,&quot;parse-names&quot;:false,&quot;dropping-particle&quot;:&quot;&quot;,&quot;non-dropping-particle&quot;:&quot;&quot;}],&quot;container-title&quot;:&quot;Industrial and Engineering Chemistry Research&quot;,&quot;DOI&quot;:&quot;10.1021/acs.iecr.2c00736&quot;,&quot;ISSN&quot;:&quot;15205045&quot;,&quot;issued&quot;:{&quot;date-parts&quot;:[[2022,10,12]]},&quot;page&quot;:&quot;14898-14909&quot;,&quot;abstract&quot;:&quot;Representative cultivation models are needed for designing efficient monoclonal antibody (mAb) production processes. Simple Monod-type kinetic models could fail to capture changes at different phases and conditions. Current models rarely account for process-related impurities, which hinders optimizing integrated processes. A three-module hybrid approach is thus introduced here. Module 1 is a kinetic metabolism model until cell death based on Monod-type equations. Module 2 is a data-driven module for updating parameters based on system dynamics and changes in cultivation conditions. Module 3 proposes a kinetic model for the generation of host cell proteins and DNA. The model is applied to newly established high-performance CHO cell lines and is validated with experiments at different operating conditions. The adopted modular approach helps identify weak model links, which can be corrected via the data-driven module. The proposed model combines accuracy and simplicity for design and control applications of cultivation processes considering quality aspects.&quot;,&quot;publisher&quot;:&quot;American Chemical Society&quot;,&quot;issue&quot;:&quot;40&quot;,&quot;volume&quot;:&quot;61&quot;,&quot;container-title-short&quot;:&quot;Ind Eng Chem Res&quot;},&quot;isTemporary&quot;:false}]},{&quot;citationID&quot;:&quot;MENDELEY_CITATION_96aab7d9-a4e7-493f-9206-cf7fbeb51888&quot;,&quot;properties&quot;:{&quot;noteIndex&quot;:0},&quot;isEdited&quot;:false,&quot;manualOverride&quot;:{&quot;isManuallyOverridden&quot;:false,&quot;citeprocText&quot;:&quot;(Campello et al., 2013)&quot;,&quot;manualOverrideText&quot;:&quot;&quot;},&quot;citationTag&quot;:&quot;MENDELEY_CITATION_v3_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&quot;,&quot;citationItems&quot;:[{&quot;id&quot;:&quot;830ad96c-8a2a-3ac3-aa38-730c3cfd7c19&quot;,&quot;itemData&quot;:{&quot;type&quot;:&quot;paper-conference&quot;,&quot;id&quot;:&quot;830ad96c-8a2a-3ac3-aa38-730c3cfd7c19&quot;,&quot;title&quot;:&quot;Density-based clustering\nbased on hierarchical density estimates&quot;,&quot;author&quot;:[{&quot;family&quot;:&quot;Campello&quot;,&quot;given&quot;:&quot;Ricardo J.G.B.&quot;,&quot;parse-names&quot;:false,&quot;dropping-particle&quot;:&quot;&quot;,&quot;non-dropping-particle&quot;:&quot;&quot;},{&quot;family&quot;:&quot;Moulavi&quot;,&quot;given&quot;:&quot;Davoud&quot;,&quot;parse-names&quot;:false,&quot;dropping-particle&quot;:&quot;&quot;,&quot;non-dropping-particle&quot;:&quot;&quot;},{&quot;family&quot;:&quot;Sander&quot;,&quot;given&quot;:&quot;Joerg&quot;,&quot;parse-names&quot;:false,&quot;dropping-particle&quot;:&quot;&quot;,&quot;non-dropping-particle&quot;:&quot;&quot;}],&quot;container-title&quot;:&quot;Advances in Knowledge Discovery and Data Mining&quot;,&quot;DOI&quot;:&quot;https://doi.org/10.1007/978-3-642-37456-2_14&quot;,&quot;ISBN&quot;:&quot;978-3-642-37456-2&quot;,&quot;issued&quot;:{&quot;date-parts&quot;:[[2013]]},&quot;page&quot;:&quot;160-172&quot;,&quot;publisher&quot;:&quot;Springer, Berlin, Heidelberg&quot;,&quot;container-title-short&quot;:&quot;&quot;},&quot;isTemporary&quot;:false}]},{&quot;citationID&quot;:&quot;MENDELEY_CITATION_25bbd4ea-2ee2-44c3-9658-4e79ba99f9f6&quot;,&quot;properties&quot;:{&quot;noteIndex&quot;:0},&quot;isEdited&quot;:false,&quot;manualOverride&quot;:{&quot;isManuallyOverridden&quot;:false,&quot;citeprocText&quot;:&quot;(Klutz et al., 2016; Yang et al., 2019)&quot;,&quot;manualOverrideText&quot;:&quot;&quot;},&quot;citationTag&quot;:&quot;MENDELEY_CITATION_v3_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&quot;,&quot;citationItems&quot;:[{&quot;id&quot;:&quot;ff50be18-9fcd-3e66-8bf8-6dd80884470b&quot;,&quot;itemData&quot;:{&quot;type&quot;:&quot;article-journal&quot;,&quot;id&quot;:&quot;ff50be18-9fcd-3e66-8bf8-6dd80884470b&quot;,&quot;title&quot;:&quot;Cost evaluation of antibody production processes in different operation modes&quot;,&quot;author&quot;:[{&quot;family&quot;:&quot;Klutz&quot;,&quot;given&quot;:&quot;S.&quot;,&quot;parse-names&quot;:false,&quot;dropping-particle&quot;:&quot;&quot;,&quot;non-dropping-particle&quot;:&quot;&quot;},{&quot;family&quot;:&quot;Holtmann&quot;,&quot;given&quot;:&quot;L.&quot;,&quot;parse-names&quot;:false,&quot;dropping-particle&quot;:&quot;&quot;,&quot;non-dropping-particle&quot;:&quot;&quot;},{&quot;family&quot;:&quot;Lobedann&quot;,&quot;given&quot;:&quot;M.&quot;,&quot;parse-names&quot;:false,&quot;dropping-particle&quot;:&quot;&quot;,&quot;non-dropping-particle&quot;:&quot;&quot;},{&quot;family&quot;:&quot;Schembecker&quot;,&quot;given&quot;:&quot;G.&quot;,&quot;parse-names&quot;:false,&quot;dropping-particle&quot;:&quot;&quot;,&quot;non-dropping-particle&quot;:&quot;&quot;}],&quot;container-title&quot;:&quot;Chemical Engineering Science&quot;,&quot;DOI&quot;:&quot;10.1016/j.ces.2015.10.029&quot;,&quot;ISSN&quot;:&quot;00092509&quot;,&quot;issued&quot;:{&quot;date-parts&quot;:[[2016]]},&quot;page&quot;:&quot;63-74&quot;,&quot;abstract&quot;:&quot;© 2015 Elsevier Ltd. An increasing market pressure through biosimilars and other factors lead to the necessity of economic process mode evaluations of antibody production processes. This work compares a fed-batch and a continuously operated platform process based on a cost of goods (CoG) calculation. For a production capacity of 200 kgAPI/a the comparison reveals great differences between the upstream and downstream CoG of both process modes. Whereas the fed-batch process has total specific CoG of 59 €/gmAb, the continuously operated process results in 84 €/gmAb, which is mainly caused by the expensive upstream part. Due to a high consumption of perfusion fermentation medium, the continuously operated upstream is about 33 €/gmAb more expensive compared to the fed-batch upstream. Contrary to the upstream part, the continuously operated downstream is about 8 €/gmAb cheaper than the downstream of the batch process. This difference is mainly caused by a better utilization of chromatography resins in the continuously operated downstream. As a result of this comparison, a third process mode is evaluated: the hybrid process. The hybrid process combines the beneficial parts of both process modes, i.e. a fed-batch upstream is combined with a continuously operated downstream. Compared to the fed-batch process, the hybrid process results in total specific CoG of 50 €/gmAb for a production capacity of 200 kgAPI/a, which corresponds with a reduction in CoG by 15%. Variation of the production capacity from 50 to 1000 kgAPI/a confirms the superiority of the hybrid process compared to the two alternative process modes.&quot;,&quot;volume&quot;:&quot;141&quot;,&quot;container-title-short&quot;:&quot;Chem Eng Sci&quot;},&quot;isTemporary&quot;:false},{&quot;id&quot;:&quot;b5cdadbc-6109-3ce3-ad4c-61ffbc0ef3d9&quot;,&quot;itemData&quot;:{&quot;type&quot;:&quot;article-journal&quot;,&quot;id&quot;:&quot;b5cdadbc-6109-3ce3-ad4c-61ffbc0ef3d9&quot;,&quot;title&quot;:&quot;Comparison between batch and continuous monoclonal antibody production and economic analysis&quot;,&quot;author&quot;:[{&quot;family&quot;:&quot;Yang&quot;,&quot;given&quot;:&quot;Ou&quot;,&quot;parse-names&quot;:false,&quot;dropping-particle&quot;:&quot;&quot;,&quot;non-dropping-particle&quot;:&quot;&quot;},{&quot;family&quot;:&quot;Prabhu&quot;,&quot;given&quot;:&quot;Siddharth&quot;,&quot;parse-names&quot;:false,&quot;dropping-particle&quot;:&quot;&quot;,&quot;non-dropping-particle&quot;:&quot;&quot;},{&quot;family&quot;:&quot;Ierapetritou&quot;,&quot;given&quot;:&quot;Marianthi&quot;,&quot;parse-names&quot;:false,&quot;dropping-particle&quot;:&quot;&quot;,&quot;non-dropping-particle&quot;:&quot;&quot;}],&quot;container-title&quot;:&quot;Industrial and Engineering Chemistry Research&quot;,&quot;DOI&quot;:&quot;10.1021/acs.iecr.8b04717&quot;,&quot;ISSN&quot;:&quot;15205045&quot;,&quot;issued&quot;:{&quot;date-parts&quot;:[[2019]]},&quot;page&quot;:&quot;5851-5863&quot;,&quot;abstract&quot;:&quot;This work aims to evaluate the benefits of the continuous process in biopharmaceutical manufacturing of monoclonal antibodies (mAbs). An integrated continuous process is designed and built using a process simulator and compared with a fed-batch process production line. The comparisons are based on cost of goods (COG/g) calculation and sensitivity analysis. The fed-batch process results in operating COG/g of $99/g in mAbs production, whereas the continuous process accounts for $51/g. Because of the smaller footprint and fewer storage tanks required in the continuous process, the facility cost reduced by 66%, compared to the fed-batch process. In continuous production, there is a better utilization of the primary capture resin, which leads to a reduction in consumables cost by 68%. Sensitivity analysis is used to evaluate the process in different manufacturing scales (50-1200 kg/yr), upstream titers (1.5-5.5 g/L), and downstream yield (70%-80%). Cost savings can be observed through the entire range.&quot;,&quot;issue&quot;:&quot;15&quot;,&quot;volume&quot;:&quot;58&quot;,&quot;container-title-short&quot;:&quot;Ind Eng Chem Res&quot;},&quot;isTemporary&quot;:false}]},{&quot;citationID&quot;:&quot;MENDELEY_CITATION_90e7af55-ab91-498e-8700-5640c2f5bdab&quot;,&quot;properties&quot;:{&quot;noteIndex&quot;:0},&quot;isEdited&quot;:false,&quot;manualOverride&quot;:{&quot;isManuallyOverridden&quot;:false,&quot;citeprocText&quot;:&quot;(Yang et al., 2019)&quot;,&quot;manualOverrideText&quot;:&quot;&quot;},&quot;citationTag&quot;:&quot;MENDELEY_CITATION_v3_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&quot;,&quot;citationItems&quot;:[{&quot;id&quot;:&quot;b5cdadbc-6109-3ce3-ad4c-61ffbc0ef3d9&quot;,&quot;itemData&quot;:{&quot;type&quot;:&quot;article-journal&quot;,&quot;id&quot;:&quot;b5cdadbc-6109-3ce3-ad4c-61ffbc0ef3d9&quot;,&quot;title&quot;:&quot;Comparison between batch and continuous monoclonal antibody production and economic analysis&quot;,&quot;author&quot;:[{&quot;family&quot;:&quot;Yang&quot;,&quot;given&quot;:&quot;Ou&quot;,&quot;parse-names&quot;:false,&quot;dropping-particle&quot;:&quot;&quot;,&quot;non-dropping-particle&quot;:&quot;&quot;},{&quot;family&quot;:&quot;Prabhu&quot;,&quot;given&quot;:&quot;Siddharth&quot;,&quot;parse-names&quot;:false,&quot;dropping-particle&quot;:&quot;&quot;,&quot;non-dropping-particle&quot;:&quot;&quot;},{&quot;family&quot;:&quot;Ierapetritou&quot;,&quot;given&quot;:&quot;Marianthi&quot;,&quot;parse-names&quot;:false,&quot;dropping-particle&quot;:&quot;&quot;,&quot;non-dropping-particle&quot;:&quot;&quot;}],&quot;container-title&quot;:&quot;Industrial and Engineering Chemistry Research&quot;,&quot;DOI&quot;:&quot;10.1021/acs.iecr.8b04717&quot;,&quot;ISSN&quot;:&quot;15205045&quot;,&quot;issued&quot;:{&quot;date-parts&quot;:[[2019]]},&quot;page&quot;:&quot;5851-5863&quot;,&quot;abstract&quot;:&quot;This work aims to evaluate the benefits of the continuous process in biopharmaceutical manufacturing of monoclonal antibodies (mAbs). An integrated continuous process is designed and built using a process simulator and compared with a fed-batch process production line. The comparisons are based on cost of goods (COG/g) calculation and sensitivity analysis. The fed-batch process results in operating COG/g of $99/g in mAbs production, whereas the continuous process accounts for $51/g. Because of the smaller footprint and fewer storage tanks required in the continuous process, the facility cost reduced by 66%, compared to the fed-batch process. In continuous production, there is a better utilization of the primary capture resin, which leads to a reduction in consumables cost by 68%. Sensitivity analysis is used to evaluate the process in different manufacturing scales (50-1200 kg/yr), upstream titers (1.5-5.5 g/L), and downstream yield (70%-80%). Cost savings can be observed through the entire range.&quot;,&quot;issue&quot;:&quot;15&quot;,&quot;volume&quot;:&quot;58&quot;,&quot;container-title-short&quot;:&quot;Ind Eng Chem Res&quot;},&quot;isTemporary&quot;:false}]},{&quot;citationID&quot;:&quot;MENDELEY_CITATION_60ee3a94-a3d7-41b8-b7da-ac65b9fbe7b6&quot;,&quot;properties&quot;:{&quot;noteIndex&quot;:0},&quot;isEdited&quot;:false,&quot;manualOverride&quot;:{&quot;isManuallyOverridden&quot;:false,&quot;citeprocText&quot;:&quot;(Badr et al., 2023)&quot;,&quot;manualOverrideText&quot;:&quot;&quot;},&quot;citationTag&quot;:&quot;MENDELEY_CITATION_v3_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&quot;,&quot;citationItems&quot;:[{&quot;id&quot;:&quot;1905cd92-a8f3-361d-b4ac-0c2b47b7b27a&quot;,&quot;itemData&quot;:{&quot;type&quot;:&quot;article-journal&quot;,&quot;id&quot;:&quot;1905cd92-a8f3-361d-b4ac-0c2b47b7b27a&quot;,&quot;title&quot;:&quot;Hybrid modelling and data-driven parameterization of monoclonal antibody cultivation processes: Shifts in cell metabolic behavior&quot;,&quot;author&quot;:[{&quot;family&quot;:&quot;Badr&quot;,&quot;given&quot;:&quot;Sara&quot;,&quot;parse-names&quot;:false,&quot;dropping-particle&quot;:&quot;&quot;,&quot;non-dropping-particle&quot;:&quot;&quot;},{&quot;family&quot;:&quot;Oishi&quot;,&quot;given&quot;:&quot;Kota&quot;,&quot;parse-names&quot;:false,&quot;dropping-particle&quot;:&quot;&quot;,&quot;non-dropping-particle&quot;:&quot;&quot;},{&quot;family&quot;:&quot;Okamura&quot;,&quot;given&quot;:&quot;Kozue&quot;,&quot;parse-names&quot;:false,&quot;dropping-particle&quot;:&quot;&quot;,&quot;non-dropping-particle&quot;:&quot;&quot;},{&quot;family&quot;:&quot;Murakami&quot;,&quot;given&quot;:&quot;Sei&quot;,&quot;parse-names&quot;:false,&quot;dropping-particle&quot;:&quot;&quot;,&quot;non-dropping-particle&quot;:&quot;&quot;},{&quot;family&quot;:&quot;Sugiyama&quot;,&quot;given&quot;:&quot;Hirokazu&quot;,&quot;parse-names&quot;:false,&quot;dropping-particle&quot;:&quot;&quot;,&quot;non-dropping-particle&quot;:&quot;&quot;}],&quot;container-title&quot;:&quot;Computer Aided Chemical Engineering&quot;,&quot;issued&quot;:{&quot;date-parts&quot;:[[2023]]},&quot;page&quot;:&quot;985-990&quot;,&quot;volume&quot;:&quot;52&quot;,&quot;container-title-short&quot;:&quot;&quot;},&quot;isTemporary&quot;:false}]},{&quot;citationID&quot;:&quot;MENDELEY_CITATION_116913e8-b811-4ac6-a501-ce6e9451eeb6&quot;,&quot;properties&quot;:{&quot;noteIndex&quot;:0},&quot;isEdited&quot;:false,&quot;manualOverride&quot;:{&quot;isManuallyOverridden&quot;:false,&quot;citeprocText&quot;:&quot;(Badr et al., 2021)&quot;,&quot;manualOverrideText&quot;:&quot;&quot;},&quot;citationTag&quot;:&quot;MENDELEY_CITATION_v3_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&quot;,&quot;citationItems&quot;:[{&quot;id&quot;:&quot;7841dfc5-d5a4-3332-b95b-5f7088b04429&quot;,&quot;itemData&quot;:{&quot;type&quot;:&quot;article-journal&quot;,&quot;id&quot;:&quot;7841dfc5-d5a4-3332-b95b-5f7088b04429&quot;,&quot;title&quot;:&quot;Integrated design of biopharmaceutical manufacturing processes: Operation modes and process configurations for monoclonal antibody production&quot;,&quot;author&quot;:[{&quot;family&quot;:&quot;Badr&quot;,&quot;given&quot;:&quot;Sara&quot;,&quot;parse-names&quot;:false,&quot;dropping-particle&quot;:&quot;&quot;,&quot;non-dropping-particle&quot;:&quot;&quot;},{&quot;family&quot;:&quot;Okamura&quot;,&quot;given&quot;:&quot;Kozue&quot;,&quot;parse-names&quot;:false,&quot;dropping-particle&quot;:&quot;&quot;,&quot;non-dropping-particle&quot;:&quot;&quot;},{&quot;family&quot;:&quot;Takahashi&quot;,&quot;given&quot;:&quot;Nozomi&quot;,&quot;parse-names&quot;:false,&quot;dropping-particle&quot;:&quot;&quot;,&quot;non-dropping-particle&quot;:&quot;&quot;},{&quot;family&quot;:&quot;Ubbenjans&quot;,&quot;given&quot;:&quot;Vera&quot;,&quot;parse-names&quot;:false,&quot;dropping-particle&quot;:&quot;&quot;,&quot;non-dropping-particle&quot;:&quot;&quot;},{&quot;family&quot;:&quot;Shirahata&quot;,&quot;given&quot;:&quot;Haruku&quot;,&quot;parse-names&quot;:false,&quot;dropping-particle&quot;:&quot;&quot;,&quot;non-dropping-particle&quot;:&quot;&quot;},{&quot;family&quot;:&quot;Sugiyama&quot;,&quot;given&quot;:&quot;Hirokazu&quot;,&quot;parse-names&quot;:false,&quot;dropping-particle&quot;:&quot;&quot;,&quot;non-dropping-particle&quot;:&quot;&quot;}],&quot;container-title&quot;:&quot;Computers and Chemical Engineering&quot;,&quot;DOI&quot;:&quot;10.1016/j.compchemeng.2021.107422&quot;,&quot;ISSN&quot;:&quot;00981354&quot;,&quot;URL&quot;:&quot;https://doi.org/10.1016/j.compchemeng.2021.107422&quot;,&quot;issued&quot;:{&quot;date-parts&quot;:[[2021]]},&quot;page&quot;:&quot;107422&quot;,&quot;abstract&quot;:&quot;Monoclonal antibodies are leading the growing biopharmaceutical markets. To sustain the increasing demand, manufacturing processes should be optimized to increase efficiency and flexibility. This work investigates the impacts of the application of single-use equipment in batch, continuous, and hybrid scenarios. Operating costs and time are compared at different production scales from clinical to commercial manufacturing for individual unit operations and for the final integrated scenarios. A modified kinetic model is presented for the main cultivation unit. The model is validated using experimental data from literature and from a pilot facility using Chinese hamster ovary cells. Integrated scenarios with fed-batch cultivation and continuous capture have the lowest operating costs. The selection of operating modes across production scales is discussed along with further considerations for the design of integrated processes. The presented models could be used for the development of process design, control, and scheduling efforts for achieving sustainable biopharmaceutical manufacturing.&quot;,&quot;publisher&quot;:&quot;Elsevier Ltd&quot;,&quot;volume&quot;:&quot;153&quot;,&quot;container-title-short&quot;:&quot;Comput Chem Eng&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126D5-F717-4714-9727-36822E40A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12</TotalTime>
  <Pages>6</Pages>
  <Words>2620</Words>
  <Characters>14938</Characters>
  <Application>Microsoft Office Word</Application>
  <DocSecurity>0</DocSecurity>
  <Lines>124</Lines>
  <Paragraphs>35</Paragraphs>
  <ScaleCrop>false</ScaleCrop>
  <HeadingPairs>
    <vt:vector size="6" baseType="variant">
      <vt:variant>
        <vt:lpstr>タイトル</vt:lpstr>
      </vt:variant>
      <vt:variant>
        <vt:i4>1</vt:i4>
      </vt:variant>
      <vt:variant>
        <vt:lpstr>Title</vt:lpstr>
      </vt:variant>
      <vt:variant>
        <vt:i4>1</vt:i4>
      </vt:variant>
      <vt:variant>
        <vt:lpstr>Titolo</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dc:description/>
  <cp:lastModifiedBy>Sauro Pierucci</cp:lastModifiedBy>
  <cp:revision>6</cp:revision>
  <cp:lastPrinted>2023-12-08T03:33:00Z</cp:lastPrinted>
  <dcterms:created xsi:type="dcterms:W3CDTF">2023-12-08T03:25:00Z</dcterms:created>
  <dcterms:modified xsi:type="dcterms:W3CDTF">2023-12-18T11:38:00Z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