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31B01425" w:rsidR="00DD3D9E" w:rsidRPr="00290DDF" w:rsidRDefault="00C21ED1">
      <w:pPr>
        <w:pStyle w:val="Els-Title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</w:rPr>
        <w:t>Economic Nonlinear Model Predictive Control for Flexible Operation of a Reaction-Separation-Recycle Process</w:t>
      </w:r>
    </w:p>
    <w:p w14:paraId="36EECEA3" w14:textId="24269DB8" w:rsidR="00C21ED1" w:rsidRPr="00290DDF" w:rsidRDefault="00C21ED1" w:rsidP="00C21ED1">
      <w:pPr>
        <w:pStyle w:val="Els-Author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</w:rPr>
        <w:t>Mohammad El Wajeh,</w:t>
      </w:r>
      <w:r w:rsidRPr="00290DDF">
        <w:rPr>
          <w:rFonts w:asciiTheme="majorBidi" w:hAnsiTheme="majorBidi" w:cstheme="majorBidi"/>
          <w:vertAlign w:val="superscript"/>
        </w:rPr>
        <w:t>a</w:t>
      </w:r>
      <w:r w:rsidRPr="00290DDF">
        <w:rPr>
          <w:rFonts w:asciiTheme="majorBidi" w:hAnsiTheme="majorBidi" w:cstheme="majorBidi"/>
        </w:rPr>
        <w:t xml:space="preserve"> Adel Mhamdi,</w:t>
      </w:r>
      <w:r w:rsidRPr="00290DDF">
        <w:rPr>
          <w:rFonts w:asciiTheme="majorBidi" w:hAnsiTheme="majorBidi" w:cstheme="majorBidi"/>
          <w:vertAlign w:val="superscript"/>
        </w:rPr>
        <w:t xml:space="preserve"> a</w:t>
      </w:r>
      <w:r w:rsidRPr="00290DDF">
        <w:rPr>
          <w:rFonts w:asciiTheme="majorBidi" w:hAnsiTheme="majorBidi" w:cstheme="majorBidi"/>
        </w:rPr>
        <w:t xml:space="preserve"> Alexander Mitsos,</w:t>
      </w:r>
      <w:r w:rsidRPr="00290DDF">
        <w:rPr>
          <w:rFonts w:asciiTheme="majorBidi" w:hAnsiTheme="majorBidi" w:cstheme="majorBidi"/>
          <w:vertAlign w:val="superscript"/>
        </w:rPr>
        <w:t xml:space="preserve"> a,*</w:t>
      </w:r>
    </w:p>
    <w:p w14:paraId="6C87A0CE" w14:textId="77777777" w:rsidR="007026C2" w:rsidRDefault="00C21ED1" w:rsidP="007026C2">
      <w:pPr>
        <w:pStyle w:val="Els-Affiliation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  <w:vertAlign w:val="superscript"/>
        </w:rPr>
        <w:t>a</w:t>
      </w:r>
      <w:r w:rsidRPr="00290DDF">
        <w:rPr>
          <w:rFonts w:asciiTheme="majorBidi" w:hAnsiTheme="majorBidi" w:cstheme="majorBidi"/>
        </w:rPr>
        <w:t>RWTH Aachen University, Process Systems Engineering (AVT.SVT), Aachen, Germany</w:t>
      </w:r>
    </w:p>
    <w:p w14:paraId="144DE683" w14:textId="2408468F" w:rsidR="008D2649" w:rsidRPr="00290DDF" w:rsidRDefault="00C21ED1" w:rsidP="00C21ED1">
      <w:pPr>
        <w:pStyle w:val="Els-Affiliation"/>
        <w:spacing w:after="120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  <w:vertAlign w:val="superscript"/>
        </w:rPr>
        <w:t>*</w:t>
      </w:r>
      <w:r w:rsidRPr="00290DDF">
        <w:rPr>
          <w:rFonts w:asciiTheme="majorBidi" w:hAnsiTheme="majorBidi" w:cstheme="majorBidi"/>
        </w:rPr>
        <w:t>amitsos@alum.mit.edu</w:t>
      </w:r>
    </w:p>
    <w:p w14:paraId="144DE684" w14:textId="77777777" w:rsidR="008D2649" w:rsidRPr="00290DDF" w:rsidRDefault="008D2649" w:rsidP="00322128">
      <w:pPr>
        <w:pStyle w:val="Els-Abstract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</w:rPr>
        <w:t>Abstract</w:t>
      </w:r>
    </w:p>
    <w:p w14:paraId="144DE686" w14:textId="6080E002" w:rsidR="008D2649" w:rsidRPr="00290DDF" w:rsidRDefault="00C21ED1" w:rsidP="008D2649">
      <w:pPr>
        <w:pStyle w:val="Els-body-text"/>
        <w:spacing w:after="120"/>
        <w:rPr>
          <w:rFonts w:asciiTheme="majorBidi" w:hAnsiTheme="majorBidi" w:cstheme="majorBidi"/>
          <w:lang w:val="en-GB"/>
        </w:rPr>
      </w:pPr>
      <w:bookmarkStart w:id="0" w:name="_Hlk150002483"/>
      <w:r w:rsidRPr="00290DDF">
        <w:rPr>
          <w:rFonts w:asciiTheme="majorBidi" w:hAnsiTheme="majorBidi" w:cstheme="majorBidi"/>
        </w:rPr>
        <w:t xml:space="preserve">Economic nonlinear model predictive control (eNMPC) can enable flexible and economically optimal process operation. </w:t>
      </w:r>
      <w:r w:rsidR="00EC060C" w:rsidRPr="00EC060C">
        <w:rPr>
          <w:rFonts w:asciiTheme="majorBidi" w:hAnsiTheme="majorBidi" w:cstheme="majorBidi"/>
          <w:lang w:val="en-GB"/>
        </w:rPr>
        <w:t>We apply eNMPC within a virtual environment to an electrified reaction-separation-recycle process actively participating in real-time electricity markets, a subprocess of biodiesel production detailed in our recent work (https://arxiv.org/abs/2308.09537).</w:t>
      </w:r>
      <w:r w:rsidR="00EC060C">
        <w:rPr>
          <w:rFonts w:ascii="CMR10" w:hAnsi="CMR10" w:cs="CMR10"/>
          <w:lang w:eastAsia="en-GB"/>
        </w:rPr>
        <w:t xml:space="preserve"> </w:t>
      </w:r>
      <w:r w:rsidRPr="00290DDF">
        <w:rPr>
          <w:rFonts w:asciiTheme="majorBidi" w:hAnsiTheme="majorBidi" w:cstheme="majorBidi"/>
          <w:lang w:val="en-GB"/>
        </w:rPr>
        <w:t>Employing a mechanistic dynamic model that serves as both the controller model and plant surrogate, we perform a closed-loop case study spanning a 24-hour period with historical electricity prices. The eNMPC strategy results in energy cost savings exceeding 2</w:t>
      </w:r>
      <w:r w:rsidR="008229AF" w:rsidRPr="00290DDF">
        <w:rPr>
          <w:rFonts w:asciiTheme="majorBidi" w:hAnsiTheme="majorBidi" w:cstheme="majorBidi"/>
          <w:lang w:val="en-GB"/>
        </w:rPr>
        <w:t>8</w:t>
      </w:r>
      <w:r w:rsidRPr="00290DDF">
        <w:rPr>
          <w:rFonts w:asciiTheme="majorBidi" w:hAnsiTheme="majorBidi" w:cstheme="majorBidi"/>
          <w:lang w:val="en-GB"/>
        </w:rPr>
        <w:t xml:space="preserve">% compared to optimal stationary operation, yielding </w:t>
      </w:r>
      <w:r w:rsidR="00D12D97">
        <w:rPr>
          <w:rFonts w:asciiTheme="majorBidi" w:hAnsiTheme="majorBidi" w:cstheme="majorBidi"/>
          <w:lang w:val="en-GB"/>
        </w:rPr>
        <w:t xml:space="preserve">similar </w:t>
      </w:r>
      <w:r w:rsidRPr="00290DDF">
        <w:rPr>
          <w:rFonts w:asciiTheme="majorBidi" w:hAnsiTheme="majorBidi" w:cstheme="majorBidi"/>
          <w:lang w:val="en-GB"/>
        </w:rPr>
        <w:t>results</w:t>
      </w:r>
      <w:r w:rsidR="00D12D97">
        <w:rPr>
          <w:rFonts w:asciiTheme="majorBidi" w:hAnsiTheme="majorBidi" w:cstheme="majorBidi"/>
          <w:lang w:val="en-GB"/>
        </w:rPr>
        <w:t xml:space="preserve"> to</w:t>
      </w:r>
      <w:r w:rsidRPr="00290DDF">
        <w:rPr>
          <w:rFonts w:asciiTheme="majorBidi" w:hAnsiTheme="majorBidi" w:cstheme="majorBidi"/>
          <w:lang w:val="en-GB"/>
        </w:rPr>
        <w:t xml:space="preserve"> offline dynamic optimization, all while maintaining real-time feasibility</w:t>
      </w:r>
      <w:bookmarkEnd w:id="0"/>
      <w:r w:rsidRPr="00290DDF">
        <w:rPr>
          <w:rFonts w:asciiTheme="majorBidi" w:hAnsiTheme="majorBidi" w:cstheme="majorBidi"/>
          <w:lang w:val="en-GB"/>
        </w:rPr>
        <w:t>.</w:t>
      </w:r>
    </w:p>
    <w:p w14:paraId="144DE687" w14:textId="5E06B43B" w:rsidR="008D2649" w:rsidRPr="00290DDF" w:rsidRDefault="008D2649" w:rsidP="008D2649">
      <w:pPr>
        <w:pStyle w:val="Els-body-text"/>
        <w:spacing w:after="120"/>
        <w:rPr>
          <w:rFonts w:asciiTheme="majorBidi" w:hAnsiTheme="majorBidi" w:cstheme="majorBidi"/>
          <w:lang w:val="en-GB"/>
        </w:rPr>
      </w:pPr>
      <w:r w:rsidRPr="00290DDF">
        <w:rPr>
          <w:rFonts w:asciiTheme="majorBidi" w:hAnsiTheme="majorBidi" w:cstheme="majorBidi"/>
          <w:b/>
          <w:bCs/>
          <w:lang w:val="en-GB"/>
        </w:rPr>
        <w:t>Keywords</w:t>
      </w:r>
      <w:r w:rsidRPr="00290DDF">
        <w:rPr>
          <w:rFonts w:asciiTheme="majorBidi" w:hAnsiTheme="majorBidi" w:cstheme="majorBidi"/>
          <w:lang w:val="en-GB"/>
        </w:rPr>
        <w:t xml:space="preserve">: </w:t>
      </w:r>
      <w:r w:rsidR="00C21ED1" w:rsidRPr="00290DDF">
        <w:rPr>
          <w:rFonts w:asciiTheme="majorBidi" w:hAnsiTheme="majorBidi" w:cstheme="majorBidi"/>
          <w:lang w:val="en-GB"/>
        </w:rPr>
        <w:t>Model predictive control, Demand-side management, Optimal control</w:t>
      </w:r>
    </w:p>
    <w:p w14:paraId="144DE689" w14:textId="39E94574" w:rsidR="008D2649" w:rsidRPr="00290DDF" w:rsidRDefault="00C21ED1" w:rsidP="008D2649">
      <w:pPr>
        <w:pStyle w:val="Els-1storder-head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</w:rPr>
        <w:t>Introduction</w:t>
      </w:r>
    </w:p>
    <w:p w14:paraId="144DE698" w14:textId="44A94CD1" w:rsidR="008D2649" w:rsidRPr="00290DDF" w:rsidRDefault="00C21ED1" w:rsidP="008D2649">
      <w:pPr>
        <w:pStyle w:val="Els-body-text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  <w:lang w:val="en-GB"/>
        </w:rPr>
        <w:t>One effective approach for achieving flexible and economically optimal operation of chemical processes is economic nonlinear model predictive control (eNMPC) (Amrit et al., 2013). eNMPC involves solving a dynamic optimization (DO) problem</w:t>
      </w:r>
      <w:r w:rsidR="00C144FF">
        <w:rPr>
          <w:rFonts w:asciiTheme="majorBidi" w:hAnsiTheme="majorBidi" w:cstheme="majorBidi"/>
          <w:lang w:val="en-GB"/>
        </w:rPr>
        <w:t xml:space="preserve"> with </w:t>
      </w:r>
      <w:r w:rsidR="00691AD0">
        <w:rPr>
          <w:rFonts w:asciiTheme="majorBidi" w:hAnsiTheme="majorBidi" w:cstheme="majorBidi"/>
          <w:lang w:val="en-GB"/>
        </w:rPr>
        <w:t xml:space="preserve">an </w:t>
      </w:r>
      <w:r w:rsidR="00C144FF">
        <w:rPr>
          <w:rFonts w:asciiTheme="majorBidi" w:hAnsiTheme="majorBidi" w:cstheme="majorBidi"/>
          <w:lang w:val="en-GB"/>
        </w:rPr>
        <w:t>economic objective function</w:t>
      </w:r>
      <w:r w:rsidRPr="00290DDF">
        <w:rPr>
          <w:rFonts w:asciiTheme="majorBidi" w:hAnsiTheme="majorBidi" w:cstheme="majorBidi"/>
          <w:lang w:val="en-GB"/>
        </w:rPr>
        <w:t xml:space="preserve"> directly within the controller while considering process models and operational constraints. </w:t>
      </w:r>
      <w:r w:rsidR="005755A6" w:rsidRPr="005755A6">
        <w:rPr>
          <w:rFonts w:asciiTheme="majorBidi" w:hAnsiTheme="majorBidi" w:cstheme="majorBidi"/>
          <w:lang w:val="en-GB"/>
        </w:rPr>
        <w:t>While researchers have successfully applied eNMPC in various applications, its potential for realizing demand-side management in electrified chemical processes involving reaction, separation, and recycle (RSR) components remains underexplored in the literature.</w:t>
      </w:r>
      <w:r w:rsidRPr="00290DDF">
        <w:rPr>
          <w:rFonts w:asciiTheme="majorBidi" w:hAnsiTheme="majorBidi" w:cstheme="majorBidi"/>
          <w:lang w:val="en-GB"/>
        </w:rPr>
        <w:t xml:space="preserve"> We apply eNMPC in silico to an electrified RSR process, specifically </w:t>
      </w:r>
      <w:r w:rsidR="00AC73F3" w:rsidRPr="00290DDF">
        <w:rPr>
          <w:rFonts w:asciiTheme="majorBidi" w:hAnsiTheme="majorBidi" w:cstheme="majorBidi"/>
          <w:lang w:val="en-GB"/>
        </w:rPr>
        <w:t xml:space="preserve">focusing on </w:t>
      </w:r>
      <w:r w:rsidR="003D0F54">
        <w:rPr>
          <w:rFonts w:asciiTheme="majorBidi" w:hAnsiTheme="majorBidi" w:cstheme="majorBidi"/>
          <w:lang w:val="en-GB"/>
        </w:rPr>
        <w:t xml:space="preserve">a simplified version of </w:t>
      </w:r>
      <w:r w:rsidR="00176DC2" w:rsidRPr="00290DDF">
        <w:rPr>
          <w:rFonts w:asciiTheme="majorBidi" w:hAnsiTheme="majorBidi" w:cstheme="majorBidi"/>
          <w:lang w:val="en-GB"/>
        </w:rPr>
        <w:t xml:space="preserve">the </w:t>
      </w:r>
      <w:r w:rsidRPr="00290DDF">
        <w:rPr>
          <w:rFonts w:asciiTheme="majorBidi" w:hAnsiTheme="majorBidi" w:cstheme="majorBidi"/>
          <w:lang w:val="en-GB"/>
        </w:rPr>
        <w:t>biodiesel production subprocess in El Wajeh et al. (2023)</w:t>
      </w:r>
      <w:r w:rsidR="00AC73F3" w:rsidRPr="00290DDF">
        <w:rPr>
          <w:rFonts w:asciiTheme="majorBidi" w:hAnsiTheme="majorBidi" w:cstheme="majorBidi"/>
          <w:lang w:val="en-GB"/>
        </w:rPr>
        <w:t xml:space="preserve">. We examine a typical demand-response scenario and utilize the same model for both the eNMPC controller and the plant surrogate. </w:t>
      </w:r>
      <w:r w:rsidR="00E261F0" w:rsidRPr="00E261F0">
        <w:rPr>
          <w:rFonts w:asciiTheme="majorBidi" w:hAnsiTheme="majorBidi" w:cstheme="majorBidi"/>
          <w:lang w:val="en-GB"/>
        </w:rPr>
        <w:t xml:space="preserve">For a more comprehensive understanding of the process description and </w:t>
      </w:r>
      <w:proofErr w:type="spellStart"/>
      <w:r w:rsidR="00E261F0" w:rsidRPr="00E261F0">
        <w:rPr>
          <w:rFonts w:asciiTheme="majorBidi" w:hAnsiTheme="majorBidi" w:cstheme="majorBidi"/>
          <w:lang w:val="en-GB"/>
        </w:rPr>
        <w:t>modeling</w:t>
      </w:r>
      <w:proofErr w:type="spellEnd"/>
      <w:r w:rsidR="00E261F0" w:rsidRPr="00E261F0">
        <w:rPr>
          <w:rFonts w:asciiTheme="majorBidi" w:hAnsiTheme="majorBidi" w:cstheme="majorBidi"/>
          <w:lang w:val="en-GB"/>
        </w:rPr>
        <w:t>, see El Wajeh et al. (2023).</w:t>
      </w:r>
      <w:r w:rsidR="00E261F0">
        <w:rPr>
          <w:rFonts w:asciiTheme="majorBidi" w:hAnsiTheme="majorBidi" w:cstheme="majorBidi"/>
          <w:lang w:val="en-GB"/>
        </w:rPr>
        <w:t xml:space="preserve"> </w:t>
      </w:r>
      <w:r w:rsidRPr="00290DDF">
        <w:rPr>
          <w:rFonts w:asciiTheme="majorBidi" w:hAnsiTheme="majorBidi" w:cstheme="majorBidi"/>
          <w:lang w:val="en-GB"/>
        </w:rPr>
        <w:t>The RSR process flowsheet is illustrated in Fig</w:t>
      </w:r>
      <w:r w:rsidR="005F3D9E">
        <w:rPr>
          <w:rFonts w:asciiTheme="majorBidi" w:hAnsiTheme="majorBidi" w:cstheme="majorBidi"/>
          <w:lang w:val="en-GB"/>
        </w:rPr>
        <w:t>ure</w:t>
      </w:r>
      <w:r w:rsidRPr="00290DDF">
        <w:rPr>
          <w:rFonts w:asciiTheme="majorBidi" w:hAnsiTheme="majorBidi" w:cstheme="majorBidi"/>
          <w:lang w:val="en-GB"/>
        </w:rPr>
        <w:t xml:space="preserve"> 1</w:t>
      </w:r>
      <w:r w:rsidR="008D2649" w:rsidRPr="00290DDF">
        <w:rPr>
          <w:rFonts w:asciiTheme="majorBidi" w:hAnsiTheme="majorBidi" w:cstheme="majorBidi"/>
        </w:rPr>
        <w:t>.</w:t>
      </w:r>
    </w:p>
    <w:p w14:paraId="144DE69B" w14:textId="7B75CA50" w:rsidR="008D2649" w:rsidRPr="00290DDF" w:rsidRDefault="00C21ED1" w:rsidP="00C21ED1">
      <w:pPr>
        <w:pStyle w:val="Els-1storder-head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</w:rPr>
        <w:t>eNMPC Strategy</w:t>
      </w:r>
    </w:p>
    <w:p w14:paraId="144DE6A4" w14:textId="6E7B1B96" w:rsidR="008D2649" w:rsidRPr="00290DDF" w:rsidRDefault="00C21ED1" w:rsidP="00C21ED1">
      <w:pPr>
        <w:pStyle w:val="Els-body-text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  <w:lang w:val="en-GB"/>
        </w:rPr>
        <w:t>We implement the eNMPC strategy by solving online DO problems with a sampling time of 15 minutes over one day.</w:t>
      </w:r>
      <w:r w:rsidR="00DF3AC0" w:rsidRPr="00290DDF">
        <w:rPr>
          <w:rFonts w:asciiTheme="majorBidi" w:hAnsiTheme="majorBidi" w:cstheme="majorBidi"/>
          <w:lang w:val="en-GB"/>
        </w:rPr>
        <w:t xml:space="preserve"> We minimize the process operating cost while penalizing the </w:t>
      </w:r>
      <w:r w:rsidR="005F3D9E">
        <w:rPr>
          <w:rFonts w:asciiTheme="majorBidi" w:hAnsiTheme="majorBidi" w:cstheme="majorBidi"/>
        </w:rPr>
        <w:lastRenderedPageBreak/>
        <w:drawing>
          <wp:anchor distT="0" distB="0" distL="114300" distR="114300" simplePos="0" relativeHeight="251664384" behindDoc="0" locked="0" layoutInCell="1" allowOverlap="1" wp14:anchorId="079EB075" wp14:editId="4005D4F9">
            <wp:simplePos x="0" y="0"/>
            <wp:positionH relativeFrom="column">
              <wp:posOffset>2740660</wp:posOffset>
            </wp:positionH>
            <wp:positionV relativeFrom="paragraph">
              <wp:posOffset>22225</wp:posOffset>
            </wp:positionV>
            <wp:extent cx="1790065" cy="1606550"/>
            <wp:effectExtent l="0" t="0" r="635" b="0"/>
            <wp:wrapTopAndBottom/>
            <wp:docPr id="21139326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D9E" w:rsidRPr="00290DDF">
        <w:rPr>
          <w:rFonts w:asciiTheme="majorBidi" w:hAnsiTheme="majorBidi" w:cstheme="majorBidi"/>
          <w:noProof/>
        </w:rPr>
        <w:drawing>
          <wp:anchor distT="0" distB="0" distL="114300" distR="114300" simplePos="0" relativeHeight="251663360" behindDoc="0" locked="0" layoutInCell="1" allowOverlap="1" wp14:anchorId="2F7CD823" wp14:editId="49EAB252">
            <wp:simplePos x="0" y="0"/>
            <wp:positionH relativeFrom="margin">
              <wp:posOffset>-29210</wp:posOffset>
            </wp:positionH>
            <wp:positionV relativeFrom="paragraph">
              <wp:posOffset>3175</wp:posOffset>
            </wp:positionV>
            <wp:extent cx="2289810" cy="1625600"/>
            <wp:effectExtent l="0" t="0" r="0" b="0"/>
            <wp:wrapSquare wrapText="bothSides"/>
            <wp:docPr id="15100904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1F0" w:rsidRPr="00290DD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5C74A" wp14:editId="5521F99D">
                <wp:simplePos x="0" y="0"/>
                <wp:positionH relativeFrom="margin">
                  <wp:posOffset>2485390</wp:posOffset>
                </wp:positionH>
                <wp:positionV relativeFrom="page">
                  <wp:posOffset>3120552</wp:posOffset>
                </wp:positionV>
                <wp:extent cx="2067560" cy="402590"/>
                <wp:effectExtent l="0" t="0" r="8890" b="0"/>
                <wp:wrapTopAndBottom/>
                <wp:docPr id="2035471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402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07EF24" w14:textId="6821DEDB" w:rsidR="00DF3AC0" w:rsidRPr="00A43F56" w:rsidRDefault="00DF3AC0" w:rsidP="00537008">
                            <w:pPr>
                              <w:pStyle w:val="Caption"/>
                              <w:spacing w:after="140"/>
                              <w:rPr>
                                <w:noProof/>
                                <w:sz w:val="20"/>
                              </w:rPr>
                            </w:pPr>
                            <w:r w:rsidRPr="00A43F56"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z w:val="20"/>
                              </w:rPr>
                              <w:t xml:space="preserve"> 2</w:t>
                            </w:r>
                            <w:r w:rsidRPr="00A43F56">
                              <w:rPr>
                                <w:sz w:val="20"/>
                              </w:rPr>
                              <w:t xml:space="preserve">. </w:t>
                            </w:r>
                            <w:r w:rsidR="008229AF">
                              <w:rPr>
                                <w:sz w:val="20"/>
                              </w:rPr>
                              <w:t>Production rate</w:t>
                            </w:r>
                            <w:r w:rsidRPr="00A43F56">
                              <w:rPr>
                                <w:sz w:val="20"/>
                              </w:rPr>
                              <w:t xml:space="preserve"> and electricity price profiles.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5C7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5.7pt;margin-top:245.7pt;width:162.8pt;height:31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" stroked="f">
                <v:textbox style="mso-fit-shape-to-text:t" inset="0,0,0,0">
                  <w:txbxContent>
                    <w:p w14:paraId="5E07EF24" w14:textId="6821DEDB" w:rsidR="00DF3AC0" w:rsidRPr="00A43F56" w:rsidRDefault="00DF3AC0" w:rsidP="00537008">
                      <w:pPr>
                        <w:pStyle w:val="Caption"/>
                        <w:spacing w:after="140"/>
                        <w:rPr>
                          <w:noProof/>
                          <w:sz w:val="20"/>
                        </w:rPr>
                      </w:pPr>
                      <w:r w:rsidRPr="00A43F56">
                        <w:rPr>
                          <w:sz w:val="20"/>
                        </w:rPr>
                        <w:t>Figure</w:t>
                      </w:r>
                      <w:r>
                        <w:rPr>
                          <w:sz w:val="20"/>
                        </w:rPr>
                        <w:t xml:space="preserve"> 2</w:t>
                      </w:r>
                      <w:r w:rsidRPr="00A43F56">
                        <w:rPr>
                          <w:sz w:val="20"/>
                        </w:rPr>
                        <w:t xml:space="preserve">. </w:t>
                      </w:r>
                      <w:r w:rsidR="008229AF">
                        <w:rPr>
                          <w:sz w:val="20"/>
                        </w:rPr>
                        <w:t>Production rate</w:t>
                      </w:r>
                      <w:r w:rsidRPr="00A43F56">
                        <w:rPr>
                          <w:sz w:val="20"/>
                        </w:rPr>
                        <w:t xml:space="preserve"> and electricity price profiles.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261F0" w:rsidRPr="00290DD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82FDB" wp14:editId="536239E2">
                <wp:simplePos x="0" y="0"/>
                <wp:positionH relativeFrom="margin">
                  <wp:posOffset>4445</wp:posOffset>
                </wp:positionH>
                <wp:positionV relativeFrom="page">
                  <wp:posOffset>3118647</wp:posOffset>
                </wp:positionV>
                <wp:extent cx="2417445" cy="402590"/>
                <wp:effectExtent l="0" t="0" r="1905" b="0"/>
                <wp:wrapTopAndBottom/>
                <wp:docPr id="10062681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402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6E0DDE" w14:textId="5311FDED" w:rsidR="00DF3AC0" w:rsidRPr="00A43F56" w:rsidRDefault="00DF3AC0" w:rsidP="00537008">
                            <w:pPr>
                              <w:pStyle w:val="Caption"/>
                              <w:spacing w:after="140"/>
                              <w:rPr>
                                <w:sz w:val="20"/>
                                <w:lang w:val="en-GB"/>
                              </w:rPr>
                            </w:pPr>
                            <w:r w:rsidRPr="00A43F56"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  <w:r w:rsidRPr="00A43F56">
                              <w:rPr>
                                <w:sz w:val="20"/>
                              </w:rPr>
                              <w:t xml:space="preserve">. </w:t>
                            </w:r>
                            <w:r w:rsidR="00D97B76">
                              <w:rPr>
                                <w:sz w:val="20"/>
                              </w:rPr>
                              <w:t xml:space="preserve">Simplified </w:t>
                            </w:r>
                            <w:r w:rsidRPr="00A43F56">
                              <w:rPr>
                                <w:sz w:val="20"/>
                              </w:rPr>
                              <w:t xml:space="preserve">RSR </w:t>
                            </w:r>
                            <w:r w:rsidR="0017536B">
                              <w:rPr>
                                <w:sz w:val="20"/>
                              </w:rPr>
                              <w:t>biodiesel sub</w:t>
                            </w:r>
                            <w:r w:rsidRPr="00A43F56">
                              <w:rPr>
                                <w:sz w:val="20"/>
                              </w:rPr>
                              <w:t>process flowsheet. Controls are indicated by arrows.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82FDB" id="_x0000_s1027" type="#_x0000_t202" style="position:absolute;left:0;text-align:left;margin-left:.35pt;margin-top:245.55pt;width:190.35pt;height:31.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" stroked="f">
                <v:textbox style="mso-fit-shape-to-text:t" inset="0,0,0,0">
                  <w:txbxContent>
                    <w:p w14:paraId="716E0DDE" w14:textId="5311FDED" w:rsidR="00DF3AC0" w:rsidRPr="00A43F56" w:rsidRDefault="00DF3AC0" w:rsidP="00537008">
                      <w:pPr>
                        <w:pStyle w:val="Caption"/>
                        <w:spacing w:after="140"/>
                        <w:rPr>
                          <w:sz w:val="20"/>
                          <w:lang w:val="en-GB"/>
                        </w:rPr>
                      </w:pPr>
                      <w:r w:rsidRPr="00A43F56">
                        <w:rPr>
                          <w:sz w:val="20"/>
                        </w:rPr>
                        <w:t>Figure</w:t>
                      </w:r>
                      <w:r>
                        <w:rPr>
                          <w:sz w:val="20"/>
                        </w:rPr>
                        <w:t xml:space="preserve"> 1</w:t>
                      </w:r>
                      <w:r w:rsidRPr="00A43F56">
                        <w:rPr>
                          <w:sz w:val="20"/>
                        </w:rPr>
                        <w:t xml:space="preserve">. </w:t>
                      </w:r>
                      <w:r w:rsidR="00D97B76">
                        <w:rPr>
                          <w:sz w:val="20"/>
                        </w:rPr>
                        <w:t xml:space="preserve">Simplified </w:t>
                      </w:r>
                      <w:r w:rsidRPr="00A43F56">
                        <w:rPr>
                          <w:sz w:val="20"/>
                        </w:rPr>
                        <w:t xml:space="preserve">RSR </w:t>
                      </w:r>
                      <w:r w:rsidR="0017536B">
                        <w:rPr>
                          <w:sz w:val="20"/>
                        </w:rPr>
                        <w:t>biodiesel sub</w:t>
                      </w:r>
                      <w:r w:rsidRPr="00A43F56">
                        <w:rPr>
                          <w:sz w:val="20"/>
                        </w:rPr>
                        <w:t>process flowsheet. Controls are indicated by arrows.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F3AC0" w:rsidRPr="00290DDF">
        <w:rPr>
          <w:rFonts w:asciiTheme="majorBidi" w:hAnsiTheme="majorBidi" w:cstheme="majorBidi"/>
          <w:lang w:val="en-GB"/>
        </w:rPr>
        <w:t xml:space="preserve">control moves and enforcing operational constraints on product purities and level limits. </w:t>
      </w:r>
      <w:r w:rsidR="009D6C31" w:rsidRPr="009D6C31">
        <w:rPr>
          <w:rFonts w:asciiTheme="majorBidi" w:hAnsiTheme="majorBidi" w:cstheme="majorBidi"/>
          <w:lang w:val="en-GB"/>
        </w:rPr>
        <w:t>To maintain computationally tractable DO,</w:t>
      </w:r>
      <w:r w:rsidR="009D6C31">
        <w:rPr>
          <w:rFonts w:asciiTheme="majorBidi" w:hAnsiTheme="majorBidi" w:cstheme="majorBidi"/>
          <w:lang w:val="en-GB"/>
        </w:rPr>
        <w:t xml:space="preserve"> t</w:t>
      </w:r>
      <w:r w:rsidRPr="00290DDF">
        <w:rPr>
          <w:rFonts w:asciiTheme="majorBidi" w:hAnsiTheme="majorBidi" w:cstheme="majorBidi"/>
          <w:lang w:val="en-GB"/>
        </w:rPr>
        <w:t xml:space="preserve">he control and prediction horizons extend to 10 and 12 hours, respectively. For each optimization iteration, we discretize the controls and constraints at </w:t>
      </w:r>
      <w:r w:rsidR="008229AF" w:rsidRPr="00290DDF">
        <w:rPr>
          <w:rFonts w:asciiTheme="majorBidi" w:hAnsiTheme="majorBidi" w:cstheme="majorBidi"/>
          <w:lang w:val="en-GB"/>
        </w:rPr>
        <w:t>30</w:t>
      </w:r>
      <w:r w:rsidRPr="00290DDF">
        <w:rPr>
          <w:rFonts w:asciiTheme="majorBidi" w:hAnsiTheme="majorBidi" w:cstheme="majorBidi"/>
          <w:lang w:val="en-GB"/>
        </w:rPr>
        <w:t xml:space="preserve">-minute and </w:t>
      </w:r>
      <w:r w:rsidR="008229AF" w:rsidRPr="00290DDF">
        <w:rPr>
          <w:rFonts w:asciiTheme="majorBidi" w:hAnsiTheme="majorBidi" w:cstheme="majorBidi"/>
          <w:lang w:val="en-GB"/>
        </w:rPr>
        <w:t>15</w:t>
      </w:r>
      <w:r w:rsidRPr="00290DDF">
        <w:rPr>
          <w:rFonts w:asciiTheme="majorBidi" w:hAnsiTheme="majorBidi" w:cstheme="majorBidi"/>
          <w:lang w:val="en-GB"/>
        </w:rPr>
        <w:t xml:space="preserve">-minute intervals, respectively. </w:t>
      </w:r>
      <w:r w:rsidR="0036308D">
        <w:rPr>
          <w:rFonts w:asciiTheme="majorBidi" w:hAnsiTheme="majorBidi" w:cstheme="majorBidi"/>
          <w:lang w:val="en-GB"/>
        </w:rPr>
        <w:t>We implement the model i</w:t>
      </w:r>
      <w:r w:rsidRPr="00290DDF">
        <w:rPr>
          <w:rFonts w:asciiTheme="majorBidi" w:hAnsiTheme="majorBidi" w:cstheme="majorBidi"/>
          <w:lang w:val="en-GB"/>
        </w:rPr>
        <w:t>n Modelica</w:t>
      </w:r>
      <w:r w:rsidR="0036308D">
        <w:rPr>
          <w:rFonts w:asciiTheme="majorBidi" w:hAnsiTheme="majorBidi" w:cstheme="majorBidi"/>
          <w:lang w:val="en-GB"/>
        </w:rPr>
        <w:t xml:space="preserve"> and </w:t>
      </w:r>
      <w:r w:rsidR="00176DC2" w:rsidRPr="00290DDF">
        <w:rPr>
          <w:rFonts w:asciiTheme="majorBidi" w:hAnsiTheme="majorBidi" w:cstheme="majorBidi"/>
          <w:lang w:val="en-GB"/>
        </w:rPr>
        <w:t xml:space="preserve">use </w:t>
      </w:r>
      <w:proofErr w:type="spellStart"/>
      <w:r w:rsidRPr="00290DDF">
        <w:rPr>
          <w:rFonts w:asciiTheme="majorBidi" w:hAnsiTheme="majorBidi" w:cstheme="majorBidi"/>
          <w:lang w:val="en-GB"/>
        </w:rPr>
        <w:t>DyOS</w:t>
      </w:r>
      <w:proofErr w:type="spellEnd"/>
      <w:r w:rsidR="00176DC2" w:rsidRPr="00290DDF">
        <w:rPr>
          <w:rFonts w:asciiTheme="majorBidi" w:hAnsiTheme="majorBidi" w:cstheme="majorBidi"/>
          <w:lang w:val="en-GB"/>
        </w:rPr>
        <w:t xml:space="preserve"> </w:t>
      </w:r>
      <w:r w:rsidR="00F97891" w:rsidRPr="00290DDF">
        <w:rPr>
          <w:rFonts w:asciiTheme="majorBidi" w:hAnsiTheme="majorBidi" w:cstheme="majorBidi"/>
          <w:lang w:val="en-GB"/>
        </w:rPr>
        <w:t xml:space="preserve">(Caspari et al., 2019) </w:t>
      </w:r>
      <w:r w:rsidR="0036308D">
        <w:rPr>
          <w:rFonts w:asciiTheme="majorBidi" w:hAnsiTheme="majorBidi" w:cstheme="majorBidi"/>
          <w:lang w:val="en-GB"/>
        </w:rPr>
        <w:t>to solve</w:t>
      </w:r>
      <w:r w:rsidR="00DF3AC0" w:rsidRPr="00290DDF">
        <w:rPr>
          <w:rFonts w:asciiTheme="majorBidi" w:hAnsiTheme="majorBidi" w:cstheme="majorBidi"/>
          <w:lang w:val="en-GB"/>
        </w:rPr>
        <w:t xml:space="preserve"> </w:t>
      </w:r>
      <w:r w:rsidR="00176DC2" w:rsidRPr="00290DDF">
        <w:rPr>
          <w:rFonts w:asciiTheme="majorBidi" w:hAnsiTheme="majorBidi" w:cstheme="majorBidi"/>
          <w:lang w:val="en-GB"/>
        </w:rPr>
        <w:t>the DO</w:t>
      </w:r>
      <w:r w:rsidR="00DF3AC0" w:rsidRPr="00290DDF">
        <w:rPr>
          <w:rFonts w:asciiTheme="majorBidi" w:hAnsiTheme="majorBidi" w:cstheme="majorBidi"/>
          <w:lang w:val="en-GB"/>
        </w:rPr>
        <w:t xml:space="preserve"> problems</w:t>
      </w:r>
      <w:r w:rsidRPr="00290DDF">
        <w:rPr>
          <w:rFonts w:asciiTheme="majorBidi" w:hAnsiTheme="majorBidi" w:cstheme="majorBidi"/>
          <w:lang w:val="en-GB"/>
        </w:rPr>
        <w:t>.</w:t>
      </w:r>
    </w:p>
    <w:p w14:paraId="2C35EFD1" w14:textId="496CFB4E" w:rsidR="00C21ED1" w:rsidRPr="00290DDF" w:rsidRDefault="00C21ED1" w:rsidP="00C21ED1">
      <w:pPr>
        <w:pStyle w:val="Els-1storder-head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</w:rPr>
        <w:t>Results</w:t>
      </w:r>
      <w:r w:rsidR="00413A61" w:rsidRPr="00290DDF">
        <w:rPr>
          <w:rFonts w:asciiTheme="majorBidi" w:hAnsiTheme="majorBidi" w:cstheme="majorBidi"/>
        </w:rPr>
        <w:t xml:space="preserve"> </w:t>
      </w:r>
      <w:r w:rsidR="00DF3AC0" w:rsidRPr="00290DDF">
        <w:rPr>
          <w:rFonts w:asciiTheme="majorBidi" w:hAnsiTheme="majorBidi" w:cstheme="majorBidi"/>
        </w:rPr>
        <w:t>and</w:t>
      </w:r>
      <w:r w:rsidR="00413A61" w:rsidRPr="00290DDF">
        <w:rPr>
          <w:rFonts w:asciiTheme="majorBidi" w:hAnsiTheme="majorBidi" w:cstheme="majorBidi"/>
        </w:rPr>
        <w:t xml:space="preserve"> Discussion</w:t>
      </w:r>
    </w:p>
    <w:p w14:paraId="17C514D6" w14:textId="57D6FB21" w:rsidR="00C21ED1" w:rsidRPr="00290DDF" w:rsidRDefault="00C21ED1" w:rsidP="00C21ED1">
      <w:pPr>
        <w:pStyle w:val="Els-body-text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</w:rPr>
        <w:t>Fig</w:t>
      </w:r>
      <w:r w:rsidR="005F3D9E">
        <w:rPr>
          <w:rFonts w:asciiTheme="majorBidi" w:hAnsiTheme="majorBidi" w:cstheme="majorBidi"/>
        </w:rPr>
        <w:t>ure</w:t>
      </w:r>
      <w:r w:rsidRPr="00290DDF">
        <w:rPr>
          <w:rFonts w:asciiTheme="majorBidi" w:hAnsiTheme="majorBidi" w:cstheme="majorBidi"/>
        </w:rPr>
        <w:t xml:space="preserve"> 2 illustrates the </w:t>
      </w:r>
      <w:r w:rsidR="008229AF" w:rsidRPr="00290DDF">
        <w:rPr>
          <w:rFonts w:asciiTheme="majorBidi" w:hAnsiTheme="majorBidi" w:cstheme="majorBidi"/>
        </w:rPr>
        <w:t>production rates</w:t>
      </w:r>
      <w:r w:rsidRPr="00290DDF">
        <w:rPr>
          <w:rFonts w:asciiTheme="majorBidi" w:hAnsiTheme="majorBidi" w:cstheme="majorBidi"/>
        </w:rPr>
        <w:t xml:space="preserve"> when operating under the eNMPC strategy, as well as for optimal steady-state (SS) and offline DO operations. </w:t>
      </w:r>
      <w:r w:rsidR="00176DC2" w:rsidRPr="00290DDF">
        <w:rPr>
          <w:rFonts w:asciiTheme="majorBidi" w:hAnsiTheme="majorBidi" w:cstheme="majorBidi"/>
        </w:rPr>
        <w:t xml:space="preserve">As expected, </w:t>
      </w:r>
      <w:r w:rsidR="0025494E">
        <w:rPr>
          <w:rFonts w:asciiTheme="majorBidi" w:hAnsiTheme="majorBidi" w:cstheme="majorBidi"/>
        </w:rPr>
        <w:t xml:space="preserve">with the aid of the buffer tank, </w:t>
      </w:r>
      <w:r w:rsidR="00176DC2" w:rsidRPr="00290DDF">
        <w:rPr>
          <w:rFonts w:asciiTheme="majorBidi" w:hAnsiTheme="majorBidi" w:cstheme="majorBidi"/>
        </w:rPr>
        <w:t>t</w:t>
      </w:r>
      <w:r w:rsidRPr="00290DDF">
        <w:rPr>
          <w:rFonts w:asciiTheme="majorBidi" w:hAnsiTheme="majorBidi" w:cstheme="majorBidi"/>
        </w:rPr>
        <w:t xml:space="preserve">he </w:t>
      </w:r>
      <w:r w:rsidR="008229AF" w:rsidRPr="00290DDF">
        <w:rPr>
          <w:rFonts w:asciiTheme="majorBidi" w:hAnsiTheme="majorBidi" w:cstheme="majorBidi"/>
        </w:rPr>
        <w:t>production rate</w:t>
      </w:r>
      <w:r w:rsidRPr="00290DDF">
        <w:rPr>
          <w:rFonts w:asciiTheme="majorBidi" w:hAnsiTheme="majorBidi" w:cstheme="majorBidi"/>
        </w:rPr>
        <w:t xml:space="preserve"> exhibits an inverse relationship with the electricity price profile. Notably, the eNMPC results closely align with the outcomes of the offline DO approach, enabling a heightened degree of operational flexibility when contrasted with the benchmark SS operation. In terms of energy cost savings, both eNMPC and offline DO operations demonstrate substantial benefits, achieving </w:t>
      </w:r>
      <w:r w:rsidR="009A5194" w:rsidRPr="00290DDF">
        <w:rPr>
          <w:rFonts w:asciiTheme="majorBidi" w:hAnsiTheme="majorBidi" w:cstheme="majorBidi"/>
        </w:rPr>
        <w:t xml:space="preserve">a </w:t>
      </w:r>
      <w:r w:rsidRPr="00290DDF">
        <w:rPr>
          <w:rFonts w:asciiTheme="majorBidi" w:hAnsiTheme="majorBidi" w:cstheme="majorBidi"/>
        </w:rPr>
        <w:t>2</w:t>
      </w:r>
      <w:r w:rsidR="008229AF" w:rsidRPr="00290DDF">
        <w:rPr>
          <w:rFonts w:asciiTheme="majorBidi" w:hAnsiTheme="majorBidi" w:cstheme="majorBidi"/>
        </w:rPr>
        <w:t>8</w:t>
      </w:r>
      <w:r w:rsidRPr="00290DDF">
        <w:rPr>
          <w:rFonts w:asciiTheme="majorBidi" w:hAnsiTheme="majorBidi" w:cstheme="majorBidi"/>
        </w:rPr>
        <w:t>%</w:t>
      </w:r>
      <w:r w:rsidR="008229AF" w:rsidRPr="00290DDF">
        <w:rPr>
          <w:rFonts w:asciiTheme="majorBidi" w:hAnsiTheme="majorBidi" w:cstheme="majorBidi"/>
        </w:rPr>
        <w:t xml:space="preserve"> reduction in costs</w:t>
      </w:r>
      <w:r w:rsidRPr="00290DDF">
        <w:rPr>
          <w:rFonts w:asciiTheme="majorBidi" w:hAnsiTheme="majorBidi" w:cstheme="majorBidi"/>
        </w:rPr>
        <w:t xml:space="preserve">. Furthermore, the CPU times for solving the DO problems within the eNMPC framework consistently remain below its sampling time, with an average value of </w:t>
      </w:r>
      <w:r w:rsidR="008229AF" w:rsidRPr="00290DDF">
        <w:rPr>
          <w:rFonts w:asciiTheme="majorBidi" w:hAnsiTheme="majorBidi" w:cstheme="majorBidi"/>
        </w:rPr>
        <w:t>13</w:t>
      </w:r>
      <w:r w:rsidRPr="00290DDF">
        <w:rPr>
          <w:rFonts w:asciiTheme="majorBidi" w:hAnsiTheme="majorBidi" w:cstheme="majorBidi"/>
        </w:rPr>
        <w:t>0 seconds</w:t>
      </w:r>
      <w:r w:rsidR="00AC73F3" w:rsidRPr="00290DDF">
        <w:rPr>
          <w:rFonts w:asciiTheme="majorBidi" w:hAnsiTheme="majorBidi" w:cstheme="majorBidi"/>
        </w:rPr>
        <w:t>,</w:t>
      </w:r>
      <w:r w:rsidR="00F97891" w:rsidRPr="00290DDF">
        <w:rPr>
          <w:rFonts w:asciiTheme="majorBidi" w:hAnsiTheme="majorBidi" w:cstheme="majorBidi"/>
        </w:rPr>
        <w:t xml:space="preserve"> </w:t>
      </w:r>
      <w:r w:rsidR="00AC73F3" w:rsidRPr="00290DDF">
        <w:rPr>
          <w:rFonts w:asciiTheme="majorBidi" w:hAnsiTheme="majorBidi" w:cstheme="majorBidi"/>
        </w:rPr>
        <w:t>underscoring the real-time feasibility of the eNMPC approach.</w:t>
      </w:r>
    </w:p>
    <w:p w14:paraId="7EBD1B7F" w14:textId="2B98C563" w:rsidR="00C21ED1" w:rsidRPr="00290DDF" w:rsidRDefault="00C21ED1" w:rsidP="00C21ED1">
      <w:pPr>
        <w:pStyle w:val="Els-1storder-head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</w:rPr>
        <w:t>Conclusion</w:t>
      </w:r>
    </w:p>
    <w:p w14:paraId="5A81CA73" w14:textId="14E7DA48" w:rsidR="008E29BD" w:rsidRPr="00290DDF" w:rsidRDefault="00D00ACA" w:rsidP="008E29BD">
      <w:pPr>
        <w:pStyle w:val="Els-body-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demonstrate that eNMPC improves the flexible operation of an RSR process while being real-time </w:t>
      </w:r>
      <w:r w:rsidR="00C144FF">
        <w:rPr>
          <w:rFonts w:asciiTheme="majorBidi" w:hAnsiTheme="majorBidi" w:cstheme="majorBidi"/>
        </w:rPr>
        <w:t>tractable</w:t>
      </w:r>
      <w:r>
        <w:rPr>
          <w:rFonts w:asciiTheme="majorBidi" w:hAnsiTheme="majorBidi" w:cstheme="majorBidi"/>
        </w:rPr>
        <w:t>. Th</w:t>
      </w:r>
      <w:r w:rsidR="000B72D8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 </w:t>
      </w:r>
      <w:r w:rsidR="00F97891" w:rsidRPr="00290DDF">
        <w:rPr>
          <w:rFonts w:asciiTheme="majorBidi" w:hAnsiTheme="majorBidi" w:cstheme="majorBidi"/>
        </w:rPr>
        <w:t xml:space="preserve">considered RSR process is </w:t>
      </w:r>
      <w:r w:rsidR="0017536B">
        <w:rPr>
          <w:rFonts w:asciiTheme="majorBidi" w:hAnsiTheme="majorBidi" w:cstheme="majorBidi"/>
        </w:rPr>
        <w:t>a</w:t>
      </w:r>
      <w:r w:rsidR="00F97891" w:rsidRPr="00290DDF">
        <w:rPr>
          <w:rFonts w:asciiTheme="majorBidi" w:hAnsiTheme="majorBidi" w:cstheme="majorBidi"/>
        </w:rPr>
        <w:t xml:space="preserve"> biodiesel production </w:t>
      </w:r>
      <w:r w:rsidR="0017536B">
        <w:rPr>
          <w:rFonts w:asciiTheme="majorBidi" w:hAnsiTheme="majorBidi" w:cstheme="majorBidi"/>
        </w:rPr>
        <w:t>subprocess</w:t>
      </w:r>
      <w:r w:rsidR="000B72D8">
        <w:rPr>
          <w:rFonts w:asciiTheme="majorBidi" w:hAnsiTheme="majorBidi" w:cstheme="majorBidi"/>
        </w:rPr>
        <w:t>,</w:t>
      </w:r>
      <w:r w:rsidR="00F97891" w:rsidRPr="00290DDF">
        <w:rPr>
          <w:rFonts w:asciiTheme="majorBidi" w:hAnsiTheme="majorBidi" w:cstheme="majorBidi"/>
        </w:rPr>
        <w:t xml:space="preserve"> where</w:t>
      </w:r>
      <w:r w:rsidR="000B72D8">
        <w:rPr>
          <w:rFonts w:asciiTheme="majorBidi" w:hAnsiTheme="majorBidi" w:cstheme="majorBidi"/>
        </w:rPr>
        <w:t>in</w:t>
      </w:r>
      <w:r w:rsidR="00F97891" w:rsidRPr="00290DD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buffer tanks decouple different process parts</w:t>
      </w:r>
      <w:r w:rsidR="000B72D8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enabling </w:t>
      </w:r>
      <w:r w:rsidR="00F97891" w:rsidRPr="00290DDF">
        <w:rPr>
          <w:rFonts w:asciiTheme="majorBidi" w:hAnsiTheme="majorBidi" w:cstheme="majorBidi"/>
        </w:rPr>
        <w:t xml:space="preserve">distributed optimization. </w:t>
      </w:r>
      <w:r w:rsidR="000B72D8">
        <w:rPr>
          <w:rFonts w:asciiTheme="majorBidi" w:hAnsiTheme="majorBidi" w:cstheme="majorBidi"/>
        </w:rPr>
        <w:t>Consequently</w:t>
      </w:r>
      <w:r w:rsidR="00F97891" w:rsidRPr="00290DDF">
        <w:rPr>
          <w:rFonts w:asciiTheme="majorBidi" w:hAnsiTheme="majorBidi" w:cstheme="majorBidi"/>
        </w:rPr>
        <w:t>, distributed eNMPC emerges as a promising</w:t>
      </w:r>
      <w:r>
        <w:rPr>
          <w:rFonts w:asciiTheme="majorBidi" w:hAnsiTheme="majorBidi" w:cstheme="majorBidi"/>
        </w:rPr>
        <w:t xml:space="preserve"> </w:t>
      </w:r>
      <w:r w:rsidR="00F97891" w:rsidRPr="00290DDF">
        <w:rPr>
          <w:rFonts w:asciiTheme="majorBidi" w:hAnsiTheme="majorBidi" w:cstheme="majorBidi"/>
        </w:rPr>
        <w:t xml:space="preserve">approach for the optimal flexible operation of </w:t>
      </w:r>
      <w:r>
        <w:rPr>
          <w:rFonts w:asciiTheme="majorBidi" w:hAnsiTheme="majorBidi" w:cstheme="majorBidi"/>
        </w:rPr>
        <w:t xml:space="preserve">the </w:t>
      </w:r>
      <w:r w:rsidR="000B72D8">
        <w:rPr>
          <w:rFonts w:asciiTheme="majorBidi" w:hAnsiTheme="majorBidi" w:cstheme="majorBidi"/>
        </w:rPr>
        <w:t>entire</w:t>
      </w:r>
      <w:r>
        <w:rPr>
          <w:rFonts w:asciiTheme="majorBidi" w:hAnsiTheme="majorBidi" w:cstheme="majorBidi"/>
        </w:rPr>
        <w:t xml:space="preserve"> </w:t>
      </w:r>
      <w:r w:rsidR="00F97891" w:rsidRPr="00290DDF">
        <w:rPr>
          <w:rFonts w:asciiTheme="majorBidi" w:hAnsiTheme="majorBidi" w:cstheme="majorBidi"/>
        </w:rPr>
        <w:t>biodiesel productio</w:t>
      </w:r>
      <w:r w:rsidR="00C21ED1" w:rsidRPr="00290DDF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 xml:space="preserve"> process</w:t>
      </w:r>
      <w:r w:rsidR="00C21ED1" w:rsidRPr="00290DDF">
        <w:rPr>
          <w:rFonts w:asciiTheme="majorBidi" w:hAnsiTheme="majorBidi" w:cstheme="majorBidi"/>
        </w:rPr>
        <w:t>.</w:t>
      </w:r>
    </w:p>
    <w:p w14:paraId="7BF40F50" w14:textId="00788CC5" w:rsidR="00C21ED1" w:rsidRPr="00290DDF" w:rsidRDefault="00C21ED1" w:rsidP="00C21ED1">
      <w:pPr>
        <w:pStyle w:val="Els-reference-head"/>
        <w:rPr>
          <w:rFonts w:asciiTheme="majorBidi" w:hAnsiTheme="majorBidi" w:cstheme="majorBidi"/>
        </w:rPr>
      </w:pPr>
      <w:r w:rsidRPr="00290DDF">
        <w:rPr>
          <w:rFonts w:asciiTheme="majorBidi" w:hAnsiTheme="majorBidi" w:cstheme="majorBidi"/>
        </w:rPr>
        <w:t>References</w:t>
      </w:r>
    </w:p>
    <w:p w14:paraId="5CFC5AE9" w14:textId="3AF5E733" w:rsidR="00C21ED1" w:rsidRPr="00290DDF" w:rsidRDefault="00C21ED1" w:rsidP="00C21ED1">
      <w:pPr>
        <w:pStyle w:val="Els-referenceno-number"/>
        <w:rPr>
          <w:rFonts w:asciiTheme="majorBidi" w:hAnsiTheme="majorBidi" w:cstheme="majorBidi"/>
          <w:lang w:val="de-DE"/>
        </w:rPr>
      </w:pPr>
      <w:r w:rsidRPr="00E261F0">
        <w:rPr>
          <w:rFonts w:asciiTheme="majorBidi" w:hAnsiTheme="majorBidi" w:cstheme="majorBidi"/>
          <w:lang w:val="en-US"/>
        </w:rPr>
        <w:t xml:space="preserve">Amrit R., Rawlings J.B., Biegler L.T. (2013). </w:t>
      </w:r>
      <w:r w:rsidRPr="00290DDF">
        <w:rPr>
          <w:rFonts w:asciiTheme="majorBidi" w:hAnsiTheme="majorBidi" w:cstheme="majorBidi"/>
          <w:lang w:val="en-US"/>
        </w:rPr>
        <w:t xml:space="preserve">Optimizing process economics online using model predictive control. </w:t>
      </w:r>
      <w:r w:rsidRPr="00290DDF">
        <w:rPr>
          <w:rFonts w:asciiTheme="majorBidi" w:hAnsiTheme="majorBidi" w:cstheme="majorBidi"/>
          <w:lang w:val="de-DE"/>
        </w:rPr>
        <w:t>Comput. Chem. Eng., 58, 334-343.</w:t>
      </w:r>
    </w:p>
    <w:p w14:paraId="58387762" w14:textId="282674F7" w:rsidR="00C21ED1" w:rsidRPr="00290DDF" w:rsidRDefault="00C21ED1" w:rsidP="002064B5">
      <w:pPr>
        <w:pStyle w:val="Els-referenceno-number"/>
        <w:rPr>
          <w:rFonts w:asciiTheme="majorBidi" w:hAnsiTheme="majorBidi" w:cstheme="majorBidi"/>
          <w:lang w:val="en-US"/>
        </w:rPr>
      </w:pPr>
      <w:r w:rsidRPr="00290DDF">
        <w:rPr>
          <w:rFonts w:asciiTheme="majorBidi" w:hAnsiTheme="majorBidi" w:cstheme="majorBidi"/>
          <w:lang w:val="de-DE"/>
        </w:rPr>
        <w:t>Caspari A.</w:t>
      </w:r>
      <w:r w:rsidR="002064B5" w:rsidRPr="00290DDF">
        <w:rPr>
          <w:rFonts w:asciiTheme="majorBidi" w:hAnsiTheme="majorBidi" w:cstheme="majorBidi"/>
          <w:lang w:val="de-DE"/>
        </w:rPr>
        <w:t>,</w:t>
      </w:r>
      <w:r w:rsidRPr="00290DDF">
        <w:rPr>
          <w:rFonts w:asciiTheme="majorBidi" w:hAnsiTheme="majorBidi" w:cstheme="majorBidi"/>
          <w:lang w:val="de-DE"/>
        </w:rPr>
        <w:t xml:space="preserve"> Bremen A. M.</w:t>
      </w:r>
      <w:r w:rsidR="002064B5" w:rsidRPr="00290DDF">
        <w:rPr>
          <w:rFonts w:asciiTheme="majorBidi" w:hAnsiTheme="majorBidi" w:cstheme="majorBidi"/>
          <w:lang w:val="de-DE"/>
        </w:rPr>
        <w:t>,</w:t>
      </w:r>
      <w:r w:rsidRPr="00290DDF">
        <w:rPr>
          <w:rFonts w:asciiTheme="majorBidi" w:hAnsiTheme="majorBidi" w:cstheme="majorBidi"/>
          <w:lang w:val="de-DE"/>
        </w:rPr>
        <w:t xml:space="preserve"> Faust J.</w:t>
      </w:r>
      <w:r w:rsidR="002064B5" w:rsidRPr="00290DDF">
        <w:rPr>
          <w:rFonts w:asciiTheme="majorBidi" w:hAnsiTheme="majorBidi" w:cstheme="majorBidi"/>
          <w:lang w:val="de-DE"/>
        </w:rPr>
        <w:t>,</w:t>
      </w:r>
      <w:r w:rsidRPr="00290DDF">
        <w:rPr>
          <w:rFonts w:asciiTheme="majorBidi" w:hAnsiTheme="majorBidi" w:cstheme="majorBidi"/>
          <w:lang w:val="de-DE"/>
        </w:rPr>
        <w:t xml:space="preserve"> Jung F.</w:t>
      </w:r>
      <w:r w:rsidR="002064B5" w:rsidRPr="00290DDF">
        <w:rPr>
          <w:rFonts w:asciiTheme="majorBidi" w:hAnsiTheme="majorBidi" w:cstheme="majorBidi"/>
          <w:lang w:val="de-DE"/>
        </w:rPr>
        <w:t>,</w:t>
      </w:r>
      <w:r w:rsidRPr="00290DDF">
        <w:rPr>
          <w:rFonts w:asciiTheme="majorBidi" w:hAnsiTheme="majorBidi" w:cstheme="majorBidi"/>
          <w:lang w:val="de-DE"/>
        </w:rPr>
        <w:t xml:space="preserve"> Kappatou C. D.</w:t>
      </w:r>
      <w:r w:rsidR="002064B5" w:rsidRPr="00290DDF">
        <w:rPr>
          <w:rFonts w:asciiTheme="majorBidi" w:hAnsiTheme="majorBidi" w:cstheme="majorBidi"/>
          <w:lang w:val="de-DE"/>
        </w:rPr>
        <w:t>,</w:t>
      </w:r>
      <w:r w:rsidRPr="00290DDF">
        <w:rPr>
          <w:rFonts w:asciiTheme="majorBidi" w:hAnsiTheme="majorBidi" w:cstheme="majorBidi"/>
          <w:lang w:val="de-DE"/>
        </w:rPr>
        <w:t xml:space="preserve"> Sass S.</w:t>
      </w:r>
      <w:r w:rsidR="002064B5" w:rsidRPr="00290DDF">
        <w:rPr>
          <w:rFonts w:asciiTheme="majorBidi" w:hAnsiTheme="majorBidi" w:cstheme="majorBidi"/>
          <w:lang w:val="de-DE"/>
        </w:rPr>
        <w:t>,</w:t>
      </w:r>
      <w:r w:rsidRPr="00290DDF">
        <w:rPr>
          <w:rFonts w:asciiTheme="majorBidi" w:hAnsiTheme="majorBidi" w:cstheme="majorBidi"/>
          <w:lang w:val="de-DE"/>
        </w:rPr>
        <w:t xml:space="preserve"> Vaupel Y.</w:t>
      </w:r>
      <w:r w:rsidR="002064B5" w:rsidRPr="00290DDF">
        <w:rPr>
          <w:rFonts w:asciiTheme="majorBidi" w:hAnsiTheme="majorBidi" w:cstheme="majorBidi"/>
          <w:lang w:val="de-DE"/>
        </w:rPr>
        <w:t>,</w:t>
      </w:r>
      <w:r w:rsidRPr="00290DDF">
        <w:rPr>
          <w:rFonts w:asciiTheme="majorBidi" w:hAnsiTheme="majorBidi" w:cstheme="majorBidi"/>
          <w:lang w:val="de-DE"/>
        </w:rPr>
        <w:t xml:space="preserve"> Hannemann-Tamás R.</w:t>
      </w:r>
      <w:r w:rsidR="002064B5" w:rsidRPr="00290DDF">
        <w:rPr>
          <w:rFonts w:asciiTheme="majorBidi" w:hAnsiTheme="majorBidi" w:cstheme="majorBidi"/>
          <w:lang w:val="de-DE"/>
        </w:rPr>
        <w:t>,</w:t>
      </w:r>
      <w:r w:rsidRPr="00290DDF">
        <w:rPr>
          <w:rFonts w:asciiTheme="majorBidi" w:hAnsiTheme="majorBidi" w:cstheme="majorBidi"/>
          <w:lang w:val="de-DE"/>
        </w:rPr>
        <w:t xml:space="preserve"> Mhamdi A.</w:t>
      </w:r>
      <w:r w:rsidR="002064B5" w:rsidRPr="00290DDF">
        <w:rPr>
          <w:rFonts w:asciiTheme="majorBidi" w:hAnsiTheme="majorBidi" w:cstheme="majorBidi"/>
          <w:lang w:val="de-DE"/>
        </w:rPr>
        <w:t>,</w:t>
      </w:r>
      <w:r w:rsidRPr="00290DDF">
        <w:rPr>
          <w:rFonts w:asciiTheme="majorBidi" w:hAnsiTheme="majorBidi" w:cstheme="majorBidi"/>
          <w:lang w:val="de-DE"/>
        </w:rPr>
        <w:t xml:space="preserve"> Mitsos A. (2019). </w:t>
      </w:r>
      <w:r w:rsidRPr="00290DDF">
        <w:rPr>
          <w:rFonts w:asciiTheme="majorBidi" w:hAnsiTheme="majorBidi" w:cstheme="majorBidi"/>
          <w:lang w:val="en-US"/>
        </w:rPr>
        <w:t xml:space="preserve">DyOS - A Framework for Optimization of Large-Scale Differential Algebraic Equation Systems. Computer Aided Chemical Engineering: 29 </w:t>
      </w:r>
      <w:r w:rsidR="002064B5" w:rsidRPr="00290DDF">
        <w:rPr>
          <w:rFonts w:asciiTheme="majorBidi" w:hAnsiTheme="majorBidi" w:cstheme="majorBidi"/>
          <w:lang w:val="en-US"/>
        </w:rPr>
        <w:t>European Symposium on Computer Aided Process Engineering</w:t>
      </w:r>
      <w:r w:rsidRPr="00290DDF">
        <w:rPr>
          <w:rFonts w:asciiTheme="majorBidi" w:hAnsiTheme="majorBidi" w:cstheme="majorBidi"/>
          <w:lang w:val="en-US"/>
        </w:rPr>
        <w:t xml:space="preserve">, </w:t>
      </w:r>
      <w:r w:rsidR="002064B5" w:rsidRPr="00290DDF">
        <w:rPr>
          <w:rFonts w:asciiTheme="majorBidi" w:hAnsiTheme="majorBidi" w:cstheme="majorBidi"/>
          <w:lang w:val="en-US"/>
        </w:rPr>
        <w:t xml:space="preserve">Kiss A. A., Zondervan E., Lakerveld R., Özkan L., Eds., </w:t>
      </w:r>
      <w:r w:rsidRPr="00290DDF">
        <w:rPr>
          <w:rFonts w:asciiTheme="majorBidi" w:hAnsiTheme="majorBidi" w:cstheme="majorBidi"/>
          <w:lang w:val="en-US"/>
        </w:rPr>
        <w:t>46, 619–624.</w:t>
      </w:r>
    </w:p>
    <w:p w14:paraId="2A1EF4AB" w14:textId="38673DCB" w:rsidR="00375EF5" w:rsidRPr="00290DDF" w:rsidRDefault="00C21ED1" w:rsidP="00375EF5">
      <w:pPr>
        <w:pStyle w:val="Els-referenceno-number"/>
        <w:rPr>
          <w:rFonts w:asciiTheme="majorBidi" w:hAnsiTheme="majorBidi" w:cstheme="majorBidi"/>
          <w:lang w:val="en-US"/>
        </w:rPr>
      </w:pPr>
      <w:r w:rsidRPr="00290DDF">
        <w:rPr>
          <w:rFonts w:asciiTheme="majorBidi" w:hAnsiTheme="majorBidi" w:cstheme="majorBidi"/>
          <w:lang w:val="de-DE"/>
        </w:rPr>
        <w:t>El Wajeh M., Mhamdi A.,</w:t>
      </w:r>
      <w:r w:rsidR="002064B5" w:rsidRPr="00290DDF">
        <w:rPr>
          <w:rFonts w:asciiTheme="majorBidi" w:hAnsiTheme="majorBidi" w:cstheme="majorBidi"/>
          <w:lang w:val="de-DE"/>
        </w:rPr>
        <w:t xml:space="preserve"> </w:t>
      </w:r>
      <w:r w:rsidRPr="00290DDF">
        <w:rPr>
          <w:rFonts w:asciiTheme="majorBidi" w:hAnsiTheme="majorBidi" w:cstheme="majorBidi"/>
          <w:lang w:val="de-DE"/>
        </w:rPr>
        <w:t xml:space="preserve">Mitsos A. (2023). </w:t>
      </w:r>
      <w:r w:rsidRPr="00290DDF">
        <w:rPr>
          <w:rFonts w:asciiTheme="majorBidi" w:hAnsiTheme="majorBidi" w:cstheme="majorBidi"/>
          <w:lang w:val="en-US"/>
        </w:rPr>
        <w:t xml:space="preserve">Optimal design and flexible operation of a fully electrified biodiesel production process. </w:t>
      </w:r>
      <w:r w:rsidRPr="00375EF5">
        <w:rPr>
          <w:rFonts w:asciiTheme="majorBidi" w:hAnsiTheme="majorBidi" w:cstheme="majorBidi"/>
          <w:lang w:val="en-US"/>
        </w:rPr>
        <w:t xml:space="preserve">URL </w:t>
      </w:r>
      <w:hyperlink r:id="rId10" w:history="1">
        <w:r w:rsidR="00375EF5" w:rsidRPr="00375EF5">
          <w:rPr>
            <w:rStyle w:val="Hyperlink"/>
            <w:rFonts w:asciiTheme="majorBidi" w:hAnsiTheme="majorBidi" w:cstheme="majorBidi"/>
            <w:color w:val="auto"/>
            <w:u w:val="none"/>
            <w:lang w:val="en-US"/>
          </w:rPr>
          <w:t>https://arxiv.org/pdf/2308.09537</w:t>
        </w:r>
      </w:hyperlink>
      <w:r w:rsidR="00290DDF" w:rsidRPr="00375EF5">
        <w:rPr>
          <w:rFonts w:asciiTheme="majorBidi" w:hAnsiTheme="majorBidi" w:cstheme="majorBidi"/>
          <w:lang w:val="en-US"/>
        </w:rPr>
        <w:t>.</w:t>
      </w:r>
    </w:p>
    <w:sectPr w:rsidR="00375EF5" w:rsidRPr="00290DDF" w:rsidSect="008B01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74FD" w14:textId="77777777" w:rsidR="003A6D9F" w:rsidRDefault="003A6D9F">
      <w:r>
        <w:separator/>
      </w:r>
    </w:p>
  </w:endnote>
  <w:endnote w:type="continuationSeparator" w:id="0">
    <w:p w14:paraId="3F940A2F" w14:textId="77777777" w:rsidR="003A6D9F" w:rsidRDefault="003A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AA35" w14:textId="77777777" w:rsidR="00FF6043" w:rsidRDefault="00FF6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06D4" w14:textId="77777777" w:rsidR="00FF6043" w:rsidRDefault="00FF60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E584" w14:textId="77777777" w:rsidR="00FF6043" w:rsidRDefault="00FF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110E" w14:textId="77777777" w:rsidR="003A6D9F" w:rsidRDefault="003A6D9F">
      <w:r>
        <w:separator/>
      </w:r>
    </w:p>
  </w:footnote>
  <w:footnote w:type="continuationSeparator" w:id="0">
    <w:p w14:paraId="0D1F07B4" w14:textId="77777777" w:rsidR="003A6D9F" w:rsidRDefault="003A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EB2E158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F7BDF63" w:rsidR="00DD3D9E" w:rsidRDefault="00DD3D9E">
    <w:pPr>
      <w:pStyle w:val="Header"/>
      <w:tabs>
        <w:tab w:val="clear" w:pos="7200"/>
        <w:tab w:val="right" w:pos="7088"/>
      </w:tabs>
      <w:jc w:val="right"/>
      <w:rPr>
        <w:sz w:val="24"/>
      </w:rPr>
    </w:pPr>
    <w:r>
      <w:rPr>
        <w:rStyle w:val="PageNumber"/>
        <w:i/>
        <w:sz w:val="24"/>
      </w:rPr>
      <w:tab/>
    </w:r>
    <w:r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C" w14:textId="65EF433B" w:rsidR="00DD3D9E" w:rsidRPr="00FF6043" w:rsidRDefault="001B1DE3" w:rsidP="00FF6043">
    <w:pPr>
      <w:pStyle w:val="ElsevierBodyTextCentredNospace"/>
      <w:jc w:val="left"/>
      <w:rPr>
        <w:noProof/>
        <w:sz w:val="20"/>
        <w:szCs w:val="20"/>
      </w:rPr>
    </w:pPr>
    <w:r>
      <w:rPr>
        <w:noProof/>
        <w:color w:val="auto"/>
        <w:sz w:val="20"/>
        <w:szCs w:val="20"/>
      </w:rPr>
      <w:drawing>
        <wp:inline distT="0" distB="0" distL="0" distR="0" wp14:anchorId="26F3196F" wp14:editId="0458D368">
          <wp:extent cx="4499610" cy="916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96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842" w:rsidRPr="00FF6043">
      <w:rPr>
        <w:color w:val="auto"/>
        <w:sz w:val="20"/>
        <w:szCs w:val="20"/>
      </w:rPr>
      <w:t xml:space="preserve">Flavio Manenti, Gintaras V. </w:t>
    </w:r>
    <w:proofErr w:type="spellStart"/>
    <w:r w:rsidR="00F06842" w:rsidRPr="00FF6043">
      <w:rPr>
        <w:color w:val="auto"/>
        <w:sz w:val="20"/>
        <w:szCs w:val="20"/>
      </w:rPr>
      <w:t>Reklaitis</w:t>
    </w:r>
    <w:proofErr w:type="spellEnd"/>
    <w:r w:rsidR="00F06842" w:rsidRPr="00FF6043">
      <w:rPr>
        <w:color w:val="auto"/>
        <w:sz w:val="20"/>
        <w:szCs w:val="20"/>
      </w:rPr>
      <w:t xml:space="preserve"> (Eds.), </w:t>
    </w:r>
    <w:r w:rsidR="00FF6043" w:rsidRPr="00FF6043">
      <w:rPr>
        <w:color w:val="auto"/>
        <w:sz w:val="20"/>
        <w:szCs w:val="20"/>
      </w:rPr>
      <w:t>B</w:t>
    </w:r>
    <w:r w:rsidR="00FF6043" w:rsidRPr="00FF6043">
      <w:rPr>
        <w:noProof/>
        <w:sz w:val="20"/>
        <w:szCs w:val="20"/>
      </w:rPr>
      <w:t>ook of Abstract</w:t>
    </w:r>
    <w:r w:rsidR="00F06842" w:rsidRPr="00FF6043">
      <w:rPr>
        <w:noProof/>
        <w:sz w:val="20"/>
        <w:szCs w:val="20"/>
      </w:rPr>
      <w:t xml:space="preserve"> of the </w:t>
    </w:r>
    <w:r w:rsidR="00F06842" w:rsidRPr="00FF6043">
      <w:rPr>
        <w:rStyle w:val="underline1"/>
        <w:sz w:val="20"/>
        <w:szCs w:val="20"/>
        <w:u w:val="none"/>
      </w:rPr>
      <w:t>34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European Symposium on Computer Aided Process Engineering / 15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International Symposium on Process Systems Engineerin</w:t>
    </w:r>
    <w:r w:rsidR="00F06842" w:rsidRPr="00FF6043">
      <w:rPr>
        <w:rStyle w:val="underline1"/>
        <w:sz w:val="20"/>
        <w:szCs w:val="20"/>
      </w:rPr>
      <w:t>g</w:t>
    </w:r>
    <w:r w:rsidR="00F06842" w:rsidRPr="00FF6043">
      <w:rPr>
        <w:noProof/>
        <w:sz w:val="20"/>
        <w:szCs w:val="20"/>
      </w:rPr>
      <w:t xml:space="preserve"> (ESCAPE34/PSE24), June 2-6, 2024,</w:t>
    </w:r>
    <w:r w:rsidR="00F06842" w:rsidRPr="00FF6043">
      <w:rPr>
        <w:sz w:val="20"/>
        <w:szCs w:val="20"/>
      </w:rPr>
      <w:t xml:space="preserve"> Florence</w:t>
    </w:r>
    <w:r w:rsidR="00F06842" w:rsidRPr="00FF6043">
      <w:rPr>
        <w:noProof/>
        <w:sz w:val="20"/>
        <w:szCs w:val="20"/>
      </w:rPr>
      <w:t>, Italy</w:t>
    </w:r>
    <w:r w:rsidR="00FF6043">
      <w:rPr>
        <w:noProof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8790274">
    <w:abstractNumId w:val="11"/>
  </w:num>
  <w:num w:numId="2" w16cid:durableId="795829535">
    <w:abstractNumId w:val="11"/>
  </w:num>
  <w:num w:numId="3" w16cid:durableId="458190273">
    <w:abstractNumId w:val="11"/>
  </w:num>
  <w:num w:numId="4" w16cid:durableId="1258556751">
    <w:abstractNumId w:val="11"/>
  </w:num>
  <w:num w:numId="5" w16cid:durableId="419955455">
    <w:abstractNumId w:val="0"/>
  </w:num>
  <w:num w:numId="6" w16cid:durableId="2144225502">
    <w:abstractNumId w:val="6"/>
  </w:num>
  <w:num w:numId="7" w16cid:durableId="1848864855">
    <w:abstractNumId w:val="12"/>
  </w:num>
  <w:num w:numId="8" w16cid:durableId="2097554057">
    <w:abstractNumId w:val="1"/>
  </w:num>
  <w:num w:numId="9" w16cid:durableId="1198080489">
    <w:abstractNumId w:val="10"/>
  </w:num>
  <w:num w:numId="10" w16cid:durableId="1942685582">
    <w:abstractNumId w:val="14"/>
  </w:num>
  <w:num w:numId="11" w16cid:durableId="1886288245">
    <w:abstractNumId w:val="13"/>
  </w:num>
  <w:num w:numId="12" w16cid:durableId="1389913185">
    <w:abstractNumId w:val="5"/>
  </w:num>
  <w:num w:numId="13" w16cid:durableId="1349211283">
    <w:abstractNumId w:val="8"/>
  </w:num>
  <w:num w:numId="14" w16cid:durableId="1407993378">
    <w:abstractNumId w:val="2"/>
  </w:num>
  <w:num w:numId="15" w16cid:durableId="1339625596">
    <w:abstractNumId w:val="7"/>
  </w:num>
  <w:num w:numId="16" w16cid:durableId="1473908613">
    <w:abstractNumId w:val="3"/>
  </w:num>
  <w:num w:numId="17" w16cid:durableId="90899434">
    <w:abstractNumId w:val="4"/>
  </w:num>
  <w:num w:numId="18" w16cid:durableId="1304894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zNzAyNzY3MrQwNDNV0lEKTi0uzszPAymwrAUA5h8LlCwAAAA="/>
  </w:docVars>
  <w:rsids>
    <w:rsidRoot w:val="00B63237"/>
    <w:rsid w:val="000B72D8"/>
    <w:rsid w:val="000D3D9B"/>
    <w:rsid w:val="0016032F"/>
    <w:rsid w:val="0017536B"/>
    <w:rsid w:val="001758BB"/>
    <w:rsid w:val="00176DC2"/>
    <w:rsid w:val="001879F6"/>
    <w:rsid w:val="001B1DE3"/>
    <w:rsid w:val="001C0148"/>
    <w:rsid w:val="001C757E"/>
    <w:rsid w:val="001F624A"/>
    <w:rsid w:val="0020390F"/>
    <w:rsid w:val="002064B5"/>
    <w:rsid w:val="00244672"/>
    <w:rsid w:val="0025494E"/>
    <w:rsid w:val="00264926"/>
    <w:rsid w:val="00290DDF"/>
    <w:rsid w:val="002F4ABC"/>
    <w:rsid w:val="00322128"/>
    <w:rsid w:val="00344D01"/>
    <w:rsid w:val="00362FA4"/>
    <w:rsid w:val="0036308D"/>
    <w:rsid w:val="00375EF5"/>
    <w:rsid w:val="003A6D9F"/>
    <w:rsid w:val="003D0F54"/>
    <w:rsid w:val="003D1582"/>
    <w:rsid w:val="003D6A81"/>
    <w:rsid w:val="003D7E4C"/>
    <w:rsid w:val="003E41C2"/>
    <w:rsid w:val="00413A61"/>
    <w:rsid w:val="00422813"/>
    <w:rsid w:val="004628E9"/>
    <w:rsid w:val="00477599"/>
    <w:rsid w:val="004961EC"/>
    <w:rsid w:val="0049772C"/>
    <w:rsid w:val="00507CB7"/>
    <w:rsid w:val="005268BD"/>
    <w:rsid w:val="00537008"/>
    <w:rsid w:val="00552EEB"/>
    <w:rsid w:val="00567D93"/>
    <w:rsid w:val="005755A6"/>
    <w:rsid w:val="005F3D9E"/>
    <w:rsid w:val="00661844"/>
    <w:rsid w:val="00691AD0"/>
    <w:rsid w:val="006A69BF"/>
    <w:rsid w:val="006C11D1"/>
    <w:rsid w:val="007026C2"/>
    <w:rsid w:val="00711DF4"/>
    <w:rsid w:val="00764DB0"/>
    <w:rsid w:val="007C79B6"/>
    <w:rsid w:val="007D70A1"/>
    <w:rsid w:val="007E46D0"/>
    <w:rsid w:val="007F0038"/>
    <w:rsid w:val="007F484C"/>
    <w:rsid w:val="008132E8"/>
    <w:rsid w:val="008229AF"/>
    <w:rsid w:val="00823407"/>
    <w:rsid w:val="008B0184"/>
    <w:rsid w:val="008C5D02"/>
    <w:rsid w:val="008D2649"/>
    <w:rsid w:val="008E29BD"/>
    <w:rsid w:val="0090568D"/>
    <w:rsid w:val="009125C9"/>
    <w:rsid w:val="00913879"/>
    <w:rsid w:val="00917661"/>
    <w:rsid w:val="00970E5D"/>
    <w:rsid w:val="0097701C"/>
    <w:rsid w:val="00980A65"/>
    <w:rsid w:val="009A5194"/>
    <w:rsid w:val="009D6C31"/>
    <w:rsid w:val="00A00CAA"/>
    <w:rsid w:val="00A1478B"/>
    <w:rsid w:val="00A25E70"/>
    <w:rsid w:val="00A33765"/>
    <w:rsid w:val="00A63269"/>
    <w:rsid w:val="00A92377"/>
    <w:rsid w:val="00AB29ED"/>
    <w:rsid w:val="00AC73F3"/>
    <w:rsid w:val="00AE4BD8"/>
    <w:rsid w:val="00B4388F"/>
    <w:rsid w:val="00B63237"/>
    <w:rsid w:val="00C144FF"/>
    <w:rsid w:val="00C21ED1"/>
    <w:rsid w:val="00C62D21"/>
    <w:rsid w:val="00C960DC"/>
    <w:rsid w:val="00D00ACA"/>
    <w:rsid w:val="00D02C75"/>
    <w:rsid w:val="00D10E22"/>
    <w:rsid w:val="00D12D97"/>
    <w:rsid w:val="00D13D2C"/>
    <w:rsid w:val="00D97B76"/>
    <w:rsid w:val="00DC2F94"/>
    <w:rsid w:val="00DD3D9E"/>
    <w:rsid w:val="00DD7908"/>
    <w:rsid w:val="00DF3AC0"/>
    <w:rsid w:val="00E261F0"/>
    <w:rsid w:val="00E70F08"/>
    <w:rsid w:val="00E80988"/>
    <w:rsid w:val="00E82297"/>
    <w:rsid w:val="00EC060C"/>
    <w:rsid w:val="00EF39FD"/>
    <w:rsid w:val="00F06842"/>
    <w:rsid w:val="00F107FD"/>
    <w:rsid w:val="00F12ECA"/>
    <w:rsid w:val="00F41628"/>
    <w:rsid w:val="00F97891"/>
    <w:rsid w:val="00FB64A8"/>
    <w:rsid w:val="00FD0A8F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322128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paragraph" w:styleId="Revision">
    <w:name w:val="Revision"/>
    <w:hidden/>
    <w:uiPriority w:val="99"/>
    <w:semiHidden/>
    <w:rsid w:val="00176DC2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0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0D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rxiv.org/pdf/2308.095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ACC9-C097-4EA9-86CF-8B43E6C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ElWajeh_BOA</vt:lpstr>
      <vt:lpstr>Chapter</vt:lpstr>
    </vt:vector>
  </TitlesOfParts>
  <Company>Elsevier Science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ElWajeh_BOA</dc:title>
  <dc:creator>El Wajeh, Mohammad</dc:creator>
  <cp:lastModifiedBy>Mohammad El Wajeh</cp:lastModifiedBy>
  <cp:revision>27</cp:revision>
  <cp:lastPrinted>2023-10-13T12:02:00Z</cp:lastPrinted>
  <dcterms:created xsi:type="dcterms:W3CDTF">2023-10-13T14:22:00Z</dcterms:created>
  <dcterms:modified xsi:type="dcterms:W3CDTF">2023-12-08T16:15:00Z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