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45788E67" w:rsidR="00DD3D9E" w:rsidRPr="00B51477" w:rsidRDefault="00D65747">
      <w:pPr>
        <w:pStyle w:val="Els-Title"/>
        <w:rPr>
          <w:color w:val="000000" w:themeColor="text1"/>
        </w:rPr>
      </w:pPr>
      <w:r w:rsidRPr="00B51477">
        <w:rPr>
          <w:color w:val="000000" w:themeColor="text1"/>
        </w:rPr>
        <w:t xml:space="preserve">CFD-based Design of Laminated Microdevice with 3D Serpentine Channel for </w:t>
      </w:r>
      <w:proofErr w:type="spellStart"/>
      <w:r w:rsidRPr="00B51477">
        <w:rPr>
          <w:color w:val="000000" w:themeColor="text1"/>
        </w:rPr>
        <w:t>Submillisecond</w:t>
      </w:r>
      <w:proofErr w:type="spellEnd"/>
      <w:r w:rsidRPr="00B51477">
        <w:rPr>
          <w:color w:val="000000" w:themeColor="text1"/>
        </w:rPr>
        <w:t xml:space="preserve"> Mixing</w:t>
      </w:r>
    </w:p>
    <w:p w14:paraId="3838AC4E" w14:textId="5ED3361E" w:rsidR="00D65747" w:rsidRPr="00B51477" w:rsidRDefault="00D65747" w:rsidP="00D65747">
      <w:pPr>
        <w:pStyle w:val="Els-Author"/>
      </w:pPr>
      <w:r w:rsidRPr="00B51477">
        <w:rPr>
          <w:rFonts w:ascii="TimesNewRomanPSMT" w:hAnsi="TimesNewRomanPSMT" w:cs="TimesNewRomanPSMT"/>
          <w:szCs w:val="22"/>
          <w:lang w:val="en-US" w:eastAsia="en-GB"/>
        </w:rPr>
        <w:t>Kazuki Okamoto,</w:t>
      </w:r>
      <w:r w:rsidRPr="00B51477">
        <w:rPr>
          <w:rFonts w:ascii="TimesNewRomanPSMT" w:hAnsi="TimesNewRomanPSMT" w:cs="TimesNewRomanPSMT"/>
          <w:szCs w:val="22"/>
          <w:vertAlign w:val="superscript"/>
          <w:lang w:val="en-US" w:eastAsia="en-GB"/>
        </w:rPr>
        <w:t>a</w:t>
      </w:r>
      <w:r w:rsidRPr="00B51477">
        <w:rPr>
          <w:rFonts w:ascii="TimesNewRomanPSMT" w:hAnsi="TimesNewRomanPSMT" w:cs="TimesNewRomanPSMT"/>
          <w:szCs w:val="22"/>
          <w:lang w:val="en-US" w:eastAsia="en-GB"/>
        </w:rPr>
        <w:t xml:space="preserve"> Heejin Kim,</w:t>
      </w:r>
      <w:r w:rsidRPr="00B51477">
        <w:rPr>
          <w:rFonts w:ascii="TimesNewRomanPSMT" w:hAnsi="TimesNewRomanPSMT" w:cs="TimesNewRomanPSMT"/>
          <w:szCs w:val="22"/>
          <w:vertAlign w:val="superscript"/>
          <w:lang w:val="en-US" w:eastAsia="en-GB"/>
        </w:rPr>
        <w:t>b</w:t>
      </w:r>
      <w:r w:rsidRPr="00B51477">
        <w:rPr>
          <w:rFonts w:ascii="TimesNewRomanPSMT" w:hAnsi="TimesNewRomanPSMT" w:cs="TimesNewRomanPSMT"/>
          <w:szCs w:val="22"/>
          <w:lang w:val="en-US" w:eastAsia="en-GB"/>
        </w:rPr>
        <w:t xml:space="preserve"> Osamu Tonomura</w:t>
      </w:r>
      <w:r w:rsidRPr="00B51477">
        <w:rPr>
          <w:rFonts w:ascii="TimesNewRomanPSMT" w:hAnsi="TimesNewRomanPSMT" w:cs="TimesNewRomanPSMT"/>
          <w:szCs w:val="22"/>
          <w:vertAlign w:val="superscript"/>
          <w:lang w:val="en-US" w:eastAsia="en-GB"/>
        </w:rPr>
        <w:t>a</w:t>
      </w:r>
    </w:p>
    <w:p w14:paraId="7137056C" w14:textId="65F1E3D2" w:rsidR="00D65747" w:rsidRPr="00B51477" w:rsidRDefault="00D65747" w:rsidP="00D65747">
      <w:pPr>
        <w:pStyle w:val="Els-Affiliation"/>
      </w:pPr>
      <w:r w:rsidRPr="00B51477">
        <w:rPr>
          <w:vertAlign w:val="superscript"/>
        </w:rPr>
        <w:t>a</w:t>
      </w:r>
      <w:r w:rsidRPr="00B51477">
        <w:t>Dept. of Chem. Eng., Kyoto University, Nishikyo, Kyoto 615-8510, Japan</w:t>
      </w:r>
    </w:p>
    <w:p w14:paraId="66D7FF50" w14:textId="1607B8AB" w:rsidR="00D65747" w:rsidRPr="00B51477" w:rsidRDefault="00DF4E13" w:rsidP="00D65747">
      <w:pPr>
        <w:pStyle w:val="Els-Affiliation"/>
      </w:pPr>
      <w:r w:rsidRPr="00B51477">
        <w:rPr>
          <w:vertAlign w:val="superscript"/>
        </w:rPr>
        <w:t>b</w:t>
      </w:r>
      <w:r w:rsidR="00D65747" w:rsidRPr="00B51477">
        <w:t>Dept. of Chemistry, Korea University, Seoul 02841, Republic of Korea</w:t>
      </w:r>
    </w:p>
    <w:p w14:paraId="076A7C4E" w14:textId="7E609F0A" w:rsidR="00D65747" w:rsidRPr="00B51477" w:rsidRDefault="00D65747" w:rsidP="00D65747">
      <w:pPr>
        <w:pStyle w:val="Els-Affiliation"/>
        <w:spacing w:after="120"/>
      </w:pPr>
      <w:r w:rsidRPr="00B51477">
        <w:t>tonomura@cheme.kyoto-u.ac.jp (O. Tonomura)</w:t>
      </w:r>
    </w:p>
    <w:p w14:paraId="144DE684" w14:textId="77777777" w:rsidR="008D2649" w:rsidRPr="00B51477" w:rsidRDefault="008D2649" w:rsidP="008D2649">
      <w:pPr>
        <w:pStyle w:val="Els-Abstract"/>
      </w:pPr>
      <w:r w:rsidRPr="00B51477">
        <w:t>Abstract</w:t>
      </w:r>
    </w:p>
    <w:p w14:paraId="16BC8C32" w14:textId="23F68550" w:rsidR="00D65747" w:rsidRPr="00B51477" w:rsidRDefault="00D65747" w:rsidP="008D2649">
      <w:pPr>
        <w:pStyle w:val="Els-body-text"/>
        <w:spacing w:after="120"/>
        <w:rPr>
          <w:lang w:val="en-GB"/>
        </w:rPr>
      </w:pPr>
      <w:r w:rsidRPr="00B51477">
        <w:rPr>
          <w:lang w:val="en-GB"/>
        </w:rPr>
        <w:t xml:space="preserve">In chemical synthesis, competition often occurs between reactions of intermediates. The main operation that affects reaction results is mixing, and the control of the mixing time is important. The laminated micromixer with </w:t>
      </w:r>
      <w:r w:rsidR="00FA4A3B" w:rsidRPr="00B51477">
        <w:t>three-dimensional (3D)</w:t>
      </w:r>
      <w:r w:rsidRPr="00B51477">
        <w:rPr>
          <w:lang w:val="en-GB"/>
        </w:rPr>
        <w:t xml:space="preserve"> serpentine channel can achieve residence time in the </w:t>
      </w:r>
      <w:proofErr w:type="spellStart"/>
      <w:r w:rsidRPr="00B51477">
        <w:rPr>
          <w:lang w:val="en-GB"/>
        </w:rPr>
        <w:t>submillisecond</w:t>
      </w:r>
      <w:proofErr w:type="spellEnd"/>
      <w:r w:rsidRPr="00B51477">
        <w:rPr>
          <w:lang w:val="en-GB"/>
        </w:rPr>
        <w:t xml:space="preserve"> range, allowing control of intramolecular rearrangements not possible with conventional mixers. However, the channel design of this type of mixer is important because the pressure drop increases as the </w:t>
      </w:r>
      <w:proofErr w:type="gramStart"/>
      <w:r w:rsidRPr="00B51477">
        <w:rPr>
          <w:lang w:val="en-GB"/>
        </w:rPr>
        <w:t>number</w:t>
      </w:r>
      <w:proofErr w:type="gramEnd"/>
      <w:r w:rsidRPr="00B51477">
        <w:rPr>
          <w:lang w:val="en-GB"/>
        </w:rPr>
        <w:t xml:space="preserve"> of bends in the channel increases. In this study, various channel configurations, shapes and sizes were designed, and their mixing performance was evaluated using computational fluid dynamics (CFD) simulation. As a result, a microdevice consisting of a non-alignment confluence section and a mixing channel with two serpentine sections was designed as a laminated mixer. It was shown that the designed microdevice exhibited the mixing performance equivalent to the conventional microdevice for various inlet flowrate ratios and had lower pressure drop than the conventional microdevice. Additionally, the usefulness of the designed microdevice was confirmed through experiments on the anionic Fries rearrangement. </w:t>
      </w:r>
    </w:p>
    <w:p w14:paraId="144DE687" w14:textId="000BFC45" w:rsidR="008D2649" w:rsidRPr="00B51477" w:rsidRDefault="008D2649" w:rsidP="008D2649">
      <w:pPr>
        <w:pStyle w:val="Els-body-text"/>
        <w:spacing w:after="120"/>
        <w:rPr>
          <w:lang w:val="en-GB"/>
        </w:rPr>
      </w:pPr>
      <w:r w:rsidRPr="00B51477">
        <w:rPr>
          <w:b/>
          <w:bCs/>
          <w:lang w:val="en-GB"/>
        </w:rPr>
        <w:t>Keywords</w:t>
      </w:r>
      <w:r w:rsidRPr="00B51477">
        <w:rPr>
          <w:lang w:val="en-GB"/>
        </w:rPr>
        <w:t xml:space="preserve">: </w:t>
      </w:r>
      <w:r w:rsidR="00D65747" w:rsidRPr="00B51477">
        <w:rPr>
          <w:lang w:val="en-GB"/>
        </w:rPr>
        <w:t xml:space="preserve">CFD-based design, Laminated micromixer, </w:t>
      </w:r>
      <w:proofErr w:type="spellStart"/>
      <w:r w:rsidR="00D65747" w:rsidRPr="00B51477">
        <w:rPr>
          <w:lang w:val="en-GB"/>
        </w:rPr>
        <w:t>Submillisecond</w:t>
      </w:r>
      <w:proofErr w:type="spellEnd"/>
      <w:r w:rsidR="00D65747" w:rsidRPr="00B51477">
        <w:rPr>
          <w:lang w:val="en-GB"/>
        </w:rPr>
        <w:t xml:space="preserve"> mixing, Process intensification</w:t>
      </w:r>
      <w:r w:rsidRPr="00B51477">
        <w:rPr>
          <w:lang w:val="en-GB"/>
        </w:rPr>
        <w:t>.</w:t>
      </w:r>
    </w:p>
    <w:p w14:paraId="144DE689" w14:textId="736C138D" w:rsidR="008D2649" w:rsidRPr="00B51477" w:rsidRDefault="00D65747" w:rsidP="008D2649">
      <w:pPr>
        <w:pStyle w:val="Els-1storder-head"/>
      </w:pPr>
      <w:r w:rsidRPr="00B51477">
        <w:t>Introduction</w:t>
      </w:r>
    </w:p>
    <w:p w14:paraId="7D24F939" w14:textId="6A9543D4" w:rsidR="00D65747" w:rsidRPr="00B51477" w:rsidRDefault="00D65747" w:rsidP="00D65747">
      <w:pPr>
        <w:pStyle w:val="Els-body-text"/>
      </w:pPr>
      <w:r w:rsidRPr="00B51477">
        <w:t>Most functional chemicals are manufactured using batch methods, and a large amount of waste containing organic solvents is discharged, and energy is consumed to dispose of the waste. In recent years, it has been reported that functional chemicals are synthesized with high yield and selectivity using flow methods</w:t>
      </w:r>
      <w:r w:rsidR="00DC522A" w:rsidRPr="00B51477">
        <w:t xml:space="preserve"> (</w:t>
      </w:r>
      <w:proofErr w:type="spellStart"/>
      <w:r w:rsidR="00DC522A" w:rsidRPr="00B51477">
        <w:t>Tsubogo</w:t>
      </w:r>
      <w:proofErr w:type="spellEnd"/>
      <w:r w:rsidR="00DC522A" w:rsidRPr="00B51477">
        <w:t xml:space="preserve"> et al., 2015)</w:t>
      </w:r>
      <w:r w:rsidRPr="00B51477">
        <w:t>. It is expected that the use of such flow methods will increase in the future in place of the batch methods.</w:t>
      </w:r>
    </w:p>
    <w:p w14:paraId="0E79F1AD" w14:textId="77777777" w:rsidR="00D65747" w:rsidRPr="00B51477" w:rsidRDefault="00D65747" w:rsidP="00D65747">
      <w:pPr>
        <w:pStyle w:val="Els-body-text"/>
      </w:pPr>
    </w:p>
    <w:p w14:paraId="34C6A59C" w14:textId="78167532" w:rsidR="00D65747" w:rsidRPr="00B51477" w:rsidRDefault="00D65747" w:rsidP="00D65747">
      <w:pPr>
        <w:pStyle w:val="Els-body-text"/>
      </w:pPr>
      <w:r w:rsidRPr="00B51477">
        <w:t>Mixing is an important operation for synthesizing target substances using the flow methods, and various mixers have been developed with the aim of achieving rapid mixing</w:t>
      </w:r>
      <w:r w:rsidR="00DC522A" w:rsidRPr="00B51477">
        <w:t xml:space="preserve"> (Falk and </w:t>
      </w:r>
      <w:proofErr w:type="spellStart"/>
      <w:r w:rsidR="00DC522A" w:rsidRPr="00B51477">
        <w:t>Commenge</w:t>
      </w:r>
      <w:proofErr w:type="spellEnd"/>
      <w:r w:rsidR="00DC522A" w:rsidRPr="00B51477">
        <w:t>, 2010)</w:t>
      </w:r>
      <w:r w:rsidRPr="00B51477">
        <w:t>. A mixer can be divided into two sections: a fluid confluence section and a fluid mixing section. The main channel structure of the fluid confluence section is T-shaped or Y-shaped, and the fluid mixing section uses the channel structure in which, for example, the channel diameter is suddenly reduced or the channel is bent. Compared to planar machining, three-dimensional (3D) machining has a possibility of producing a mixer with better mixing performance, but it involves higher machining costs</w:t>
      </w:r>
      <w:r w:rsidR="00DC522A" w:rsidRPr="00B51477">
        <w:t xml:space="preserve"> (Chung et al., 2014; Asano et al., 2015)</w:t>
      </w:r>
      <w:r w:rsidRPr="00B51477">
        <w:t>. In recent years, a laminated mixer has been reported, which achieves a 3D channel structure by stacking two-dimensionally machined plates</w:t>
      </w:r>
      <w:r w:rsidR="00DC522A" w:rsidRPr="00B51477">
        <w:t xml:space="preserve"> (Kim et al., 2016)</w:t>
      </w:r>
      <w:r w:rsidRPr="00B51477">
        <w:t xml:space="preserve">. This type of mixer is attracting attention because it is expected </w:t>
      </w:r>
      <w:r w:rsidRPr="00B51477">
        <w:lastRenderedPageBreak/>
        <w:t xml:space="preserve">to improve mixing performance while reducing machining costs. The laminated mixer developed in the previous study features 3D serpentine channels and can achieve residence time in the </w:t>
      </w:r>
      <w:proofErr w:type="spellStart"/>
      <w:r w:rsidRPr="00B51477">
        <w:t>submillisecond</w:t>
      </w:r>
      <w:proofErr w:type="spellEnd"/>
      <w:r w:rsidRPr="00B51477">
        <w:t xml:space="preserve"> range, allowing control of intramolecular rearrangements not possible with conventional mixers. However, the previously developed mixer had the fluid mixing channel with four serpentine sections obtained by stacking six plates, and such complex channel caused high pressure drop. Therefore, in this study, various channel configurations, shapes and sizes were designed with reference to the conventional mixer, and their mixing performance was evaluated using computational fluid dynamics (CFD) simulation.</w:t>
      </w:r>
    </w:p>
    <w:p w14:paraId="0F5E5DE6" w14:textId="3655FD4C" w:rsidR="00DC522A" w:rsidRPr="00B51477" w:rsidRDefault="00DC522A" w:rsidP="00DC522A">
      <w:pPr>
        <w:pStyle w:val="Els-1storder-head"/>
      </w:pPr>
      <w:r w:rsidRPr="00B51477">
        <w:t>Laminated mixer with 3D serpentine channel</w:t>
      </w:r>
    </w:p>
    <w:p w14:paraId="144DE698" w14:textId="131A4851" w:rsidR="008D2649" w:rsidRPr="00B51477" w:rsidRDefault="00DC522A" w:rsidP="008D2649">
      <w:pPr>
        <w:pStyle w:val="Els-body-text"/>
      </w:pPr>
      <w:r w:rsidRPr="00B51477">
        <w:t xml:space="preserve">A schematic diagram of the laminated mixer with 3D serpentine channel (Kim et al., 2016) is shown in Fig. 1. At the confluence section, fluid A enters from above perpendicular to the flow of fluid B, which tends to generate vortices. After the two fluids come into contact, the channel at the mixing section is bent four times to promote mixing. Detailed analysis and design optimization of this mixer has not been sufficiently performed so far. In this study, CFD simulation is used to analyze the influence of the channel design of the confluence section and mixing section on mixing performance. The mixing performance is evaluated on the basis of the degree of mixing at the cross section indicated by the red frame in Fig. 1 (corresponding to a mixing time of 0.4 </w:t>
      </w:r>
      <w:proofErr w:type="spellStart"/>
      <w:r w:rsidRPr="00B51477">
        <w:t>ms</w:t>
      </w:r>
      <w:proofErr w:type="spellEnd"/>
      <w:r w:rsidRPr="00B51477">
        <w:t>). Based on the analysis results, the aim is to design a laminated microdevice with simpler channel structure and lower pressure drop, while having the same mixing performance as the previously reported mixer.</w:t>
      </w:r>
    </w:p>
    <w:p w14:paraId="4F5A1E0F" w14:textId="77777777" w:rsidR="00DC522A" w:rsidRPr="00B51477" w:rsidRDefault="00DC522A" w:rsidP="008D2649">
      <w:pPr>
        <w:pStyle w:val="Els-body-text"/>
      </w:pPr>
    </w:p>
    <w:p w14:paraId="5CBBEBF9" w14:textId="7AFF46BB" w:rsidR="00DC522A" w:rsidRPr="00B51477" w:rsidRDefault="00DC522A" w:rsidP="008D2649">
      <w:pPr>
        <w:pStyle w:val="Els-body-text"/>
      </w:pPr>
      <w:r w:rsidRPr="00B51477">
        <w:t>The following constraints were set when designing the microdevice. Excluding the upper and lower cover plates, the number of laminated plates in the previous study was four, but in this study, the maximum number is two. The minimum channel size is 0.2 mm in width and 0.125 mm in height, which were determined based on the previous study. As a design policy of this study, first, the channel shape of the confluence section is investigated so that the kinetic energy of the inflowing fluids is actively utilized for mixing. Next, if a target degree of mixing cannot be achieved by the channel design of the confluence section, the channel shape of the mixing section is further investigated.</w:t>
      </w:r>
    </w:p>
    <w:p w14:paraId="0FE64A44" w14:textId="77777777" w:rsidR="00DC522A" w:rsidRPr="00B51477" w:rsidRDefault="00DC522A" w:rsidP="008D2649">
      <w:pPr>
        <w:pStyle w:val="Els-body-text"/>
      </w:pPr>
    </w:p>
    <w:p w14:paraId="0DB1AFC4" w14:textId="78732F8D" w:rsidR="00DC522A" w:rsidRPr="00B51477" w:rsidRDefault="00DC522A" w:rsidP="005D3104">
      <w:pPr>
        <w:pStyle w:val="Els-body-text"/>
        <w:jc w:val="distribute"/>
      </w:pPr>
      <w:r w:rsidRPr="00B51477">
        <w:t xml:space="preserve">In this study, CFD simulations were employed to evaluate the mixing performance. Mathematical model of the microdevice and simulation settings are as follows: the equations used to describe the system are the continuity, Navier–Stokes (pressure and velocity) and the species convection-diffusion equations. In all cases studied, the flow is </w:t>
      </w:r>
      <w:r w:rsidR="005D3104" w:rsidRPr="00B51477">
        <w:t xml:space="preserve">laminar, while adiabatic conditions are applied at domain boundaries. Compressibility </w:t>
      </w:r>
    </w:p>
    <w:p w14:paraId="7CD5A47D" w14:textId="77777777" w:rsidR="00DF4E13" w:rsidRPr="00B51477" w:rsidRDefault="00DF4E13" w:rsidP="008D2649">
      <w:pPr>
        <w:pStyle w:val="Els-body-text"/>
      </w:pPr>
    </w:p>
    <w:p w14:paraId="6967F894" w14:textId="77777777" w:rsidR="00DF4E13" w:rsidRPr="00B51477" w:rsidRDefault="00DF4E13" w:rsidP="00DF4E13">
      <w:pPr>
        <w:jc w:val="center"/>
      </w:pPr>
      <w:r w:rsidRPr="00B51477">
        <w:rPr>
          <w:rFonts w:hint="eastAsia"/>
          <w:noProof/>
        </w:rPr>
        <w:drawing>
          <wp:inline distT="0" distB="0" distL="0" distR="0" wp14:anchorId="3816FE2B" wp14:editId="12806A78">
            <wp:extent cx="2565451" cy="1303240"/>
            <wp:effectExtent l="0" t="0" r="0" b="0"/>
            <wp:docPr id="818621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452" cy="1329148"/>
                    </a:xfrm>
                    <a:prstGeom prst="rect">
                      <a:avLst/>
                    </a:prstGeom>
                    <a:noFill/>
                    <a:ln>
                      <a:noFill/>
                    </a:ln>
                  </pic:spPr>
                </pic:pic>
              </a:graphicData>
            </a:graphic>
          </wp:inline>
        </w:drawing>
      </w:r>
      <w:r w:rsidRPr="00B51477">
        <w:rPr>
          <w:noProof/>
        </w:rPr>
        <w:t xml:space="preserve">    </w:t>
      </w:r>
      <w:r w:rsidRPr="00B51477">
        <w:rPr>
          <w:rFonts w:hint="eastAsia"/>
          <w:noProof/>
        </w:rPr>
        <w:drawing>
          <wp:inline distT="0" distB="0" distL="0" distR="0" wp14:anchorId="53F8ABFC" wp14:editId="206933AA">
            <wp:extent cx="1566004" cy="1101062"/>
            <wp:effectExtent l="0" t="0" r="0" b="4445"/>
            <wp:docPr id="11060306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0868" cy="1111513"/>
                    </a:xfrm>
                    <a:prstGeom prst="rect">
                      <a:avLst/>
                    </a:prstGeom>
                    <a:noFill/>
                    <a:ln>
                      <a:noFill/>
                    </a:ln>
                  </pic:spPr>
                </pic:pic>
              </a:graphicData>
            </a:graphic>
          </wp:inline>
        </w:drawing>
      </w:r>
      <w:r w:rsidRPr="00B51477">
        <w:rPr>
          <w:noProof/>
        </w:rPr>
        <w:t xml:space="preserve">  </w:t>
      </w:r>
    </w:p>
    <w:p w14:paraId="54B82958" w14:textId="77777777" w:rsidR="00DF4E13" w:rsidRDefault="00DF4E13" w:rsidP="00DF4E13">
      <w:pPr>
        <w:pStyle w:val="Els-body-text"/>
        <w:jc w:val="center"/>
        <w:rPr>
          <w:lang w:eastAsia="ja-JP"/>
        </w:rPr>
      </w:pPr>
      <w:r w:rsidRPr="00B51477">
        <w:rPr>
          <w:lang w:eastAsia="ja-JP"/>
        </w:rPr>
        <w:t>Fig. 1. Previously reported mixer. (Left) schematic diagram and (Right) CFD result.</w:t>
      </w:r>
    </w:p>
    <w:p w14:paraId="319F3D13" w14:textId="77777777" w:rsidR="005D3104" w:rsidRPr="00B51477" w:rsidRDefault="005D3104" w:rsidP="00DF4E13">
      <w:pPr>
        <w:pStyle w:val="Els-body-text"/>
        <w:jc w:val="center"/>
        <w:rPr>
          <w:lang w:eastAsia="ja-JP"/>
        </w:rPr>
      </w:pPr>
    </w:p>
    <w:p w14:paraId="460282FD" w14:textId="503F5F3F" w:rsidR="00DF4E13" w:rsidRPr="00B51477" w:rsidRDefault="005D3104" w:rsidP="008D2649">
      <w:pPr>
        <w:pStyle w:val="Els-body-text"/>
      </w:pPr>
      <w:r w:rsidRPr="00B51477">
        <w:lastRenderedPageBreak/>
        <w:t>and slip effects are negligible. Each fluid is supplied in a uniform flow from the inlet, and</w:t>
      </w:r>
      <w:r>
        <w:t xml:space="preserve"> </w:t>
      </w:r>
      <w:r w:rsidR="00DF4E13" w:rsidRPr="00B51477">
        <w:t xml:space="preserve">its physical properties are the same as water (293 K). Unless otherwise stated all simulations were performed in three dimensions. Simulations were performed using ANSYS Fluent. Structured grids were used and the cell size was 2.5μm in all cases. The SIMPLEC method was implemented for pressure-velocity coupling and the spatial discretization was performed using the second order upwind scheme. In addition, </w:t>
      </w:r>
      <w:proofErr w:type="spellStart"/>
      <w:r w:rsidR="00DF4E13" w:rsidRPr="00B51477">
        <w:rPr>
          <w:i/>
          <w:iCs/>
        </w:rPr>
        <w:t>M</w:t>
      </w:r>
      <w:r w:rsidR="00DF4E13" w:rsidRPr="00B51477">
        <w:rPr>
          <w:vertAlign w:val="subscript"/>
        </w:rPr>
        <w:t>flow</w:t>
      </w:r>
      <w:proofErr w:type="spellEnd"/>
      <w:r w:rsidR="00DF4E13" w:rsidRPr="00B51477">
        <w:t xml:space="preserve"> calculated by Eq. (1) was used as an evaluation index of the degree of mixing</w:t>
      </w:r>
      <w:r w:rsidR="00AE562A" w:rsidRPr="00B51477">
        <w:t xml:space="preserve"> (</w:t>
      </w:r>
      <w:r w:rsidR="002E64AE" w:rsidRPr="002E64AE">
        <w:t>Malecha and Malecha</w:t>
      </w:r>
      <w:r w:rsidR="00AE562A" w:rsidRPr="00B51477">
        <w:t>, 2014)</w:t>
      </w:r>
      <w:r w:rsidR="00DF4E13" w:rsidRPr="00B51477">
        <w:t>. The closer the value is to 1, the higher the mixing performance.</w:t>
      </w:r>
    </w:p>
    <w:p w14:paraId="055035F9" w14:textId="77777777" w:rsidR="00AE562A" w:rsidRPr="00B51477" w:rsidRDefault="00AE562A" w:rsidP="008D2649">
      <w:pPr>
        <w:pStyle w:val="Els-body-text"/>
      </w:pPr>
    </w:p>
    <w:tbl>
      <w:tblPr>
        <w:tblW w:w="7087" w:type="dxa"/>
        <w:tblLook w:val="04A0" w:firstRow="1" w:lastRow="0" w:firstColumn="1" w:lastColumn="0" w:noHBand="0" w:noVBand="1"/>
      </w:tblPr>
      <w:tblGrid>
        <w:gridCol w:w="6125"/>
        <w:gridCol w:w="962"/>
      </w:tblGrid>
      <w:tr w:rsidR="00DC522A" w:rsidRPr="00B51477" w14:paraId="3FFB628B" w14:textId="77777777" w:rsidTr="00DC522A">
        <w:tc>
          <w:tcPr>
            <w:tcW w:w="6125" w:type="dxa"/>
            <w:shd w:val="clear" w:color="auto" w:fill="auto"/>
            <w:vAlign w:val="center"/>
          </w:tcPr>
          <w:p w14:paraId="6A15C1CA" w14:textId="50A0CD69" w:rsidR="00DC522A" w:rsidRPr="00B51477" w:rsidRDefault="00000000" w:rsidP="006F2402">
            <w:pPr>
              <w:pStyle w:val="Els-body-text"/>
              <w:spacing w:before="120" w:after="120" w:line="264" w:lineRule="auto"/>
              <w:rPr>
                <w:lang w:val="en-GB"/>
              </w:rPr>
            </w:pPr>
            <m:oMathPara>
              <m:oMath>
                <m:sSub>
                  <m:sSubPr>
                    <m:ctrlPr>
                      <w:rPr>
                        <w:rFonts w:ascii="Cambria Math" w:hAnsi="Cambria Math"/>
                        <w:i/>
                        <w:sz w:val="18"/>
                        <w:szCs w:val="18"/>
                      </w:rPr>
                    </m:ctrlPr>
                  </m:sSubPr>
                  <m:e>
                    <m:r>
                      <w:rPr>
                        <w:rFonts w:ascii="Cambria Math" w:hAnsi="Cambria Math"/>
                        <w:sz w:val="18"/>
                        <w:szCs w:val="18"/>
                      </w:rPr>
                      <m:t>M</m:t>
                    </m:r>
                  </m:e>
                  <m:sub>
                    <m:r>
                      <m:rPr>
                        <m:sty m:val="p"/>
                      </m:rPr>
                      <w:rPr>
                        <w:rFonts w:ascii="Cambria Math" w:hAnsi="Cambria Math"/>
                        <w:sz w:val="18"/>
                        <w:szCs w:val="18"/>
                      </w:rPr>
                      <m:t>flow</m:t>
                    </m:r>
                  </m:sub>
                </m:sSub>
                <m:r>
                  <m:rPr>
                    <m:sty m:val="p"/>
                  </m:rPr>
                  <w:rPr>
                    <w:rFonts w:ascii="Cambria Math" w:hAnsi="Cambria Math"/>
                    <w:sz w:val="18"/>
                    <w:szCs w:val="18"/>
                  </w:rPr>
                  <m:t>=1-</m:t>
                </m:r>
                <m:f>
                  <m:fPr>
                    <m:ctrlPr>
                      <w:rPr>
                        <w:rFonts w:ascii="Cambria Math" w:hAnsi="Cambria Math"/>
                        <w:sz w:val="18"/>
                        <w:szCs w:val="18"/>
                      </w:rPr>
                    </m:ctrlPr>
                  </m:fPr>
                  <m:num>
                    <m:sSub>
                      <m:sSubPr>
                        <m:ctrlPr>
                          <w:rPr>
                            <w:rFonts w:ascii="Cambria Math" w:hAnsi="Cambria Math"/>
                            <w:i/>
                            <w:sz w:val="18"/>
                            <w:szCs w:val="18"/>
                          </w:rPr>
                        </m:ctrlPr>
                      </m:sSubPr>
                      <m:e>
                        <m:r>
                          <w:rPr>
                            <w:rFonts w:ascii="Cambria Math" w:hAnsi="Cambria Math"/>
                            <w:sz w:val="18"/>
                            <w:szCs w:val="18"/>
                          </w:rPr>
                          <m:t>σ</m:t>
                        </m:r>
                      </m:e>
                      <m:sub>
                        <m:r>
                          <m:rPr>
                            <m:sty m:val="p"/>
                          </m:rPr>
                          <w:rPr>
                            <w:rFonts w:ascii="Cambria Math" w:hAnsi="Cambria Math"/>
                            <w:sz w:val="18"/>
                            <w:szCs w:val="18"/>
                          </w:rPr>
                          <m:t>flow</m:t>
                        </m:r>
                      </m:sub>
                    </m:sSub>
                  </m:num>
                  <m:den>
                    <m:sSub>
                      <m:sSubPr>
                        <m:ctrlPr>
                          <w:rPr>
                            <w:rFonts w:ascii="Cambria Math" w:hAnsi="Cambria Math"/>
                            <w:i/>
                            <w:sz w:val="18"/>
                            <w:szCs w:val="18"/>
                          </w:rPr>
                        </m:ctrlPr>
                      </m:sSubPr>
                      <m:e>
                        <m:r>
                          <w:rPr>
                            <w:rFonts w:ascii="Cambria Math" w:hAnsi="Cambria Math"/>
                            <w:sz w:val="18"/>
                            <w:szCs w:val="18"/>
                          </w:rPr>
                          <m:t>σ</m:t>
                        </m:r>
                      </m:e>
                      <m:sub>
                        <m:r>
                          <m:rPr>
                            <m:sty m:val="p"/>
                          </m:rPr>
                          <w:rPr>
                            <w:rFonts w:ascii="Cambria Math" w:hAnsi="Cambria Math"/>
                            <w:sz w:val="18"/>
                            <w:szCs w:val="18"/>
                          </w:rPr>
                          <m:t>unmixed</m:t>
                        </m:r>
                      </m:sub>
                    </m:sSub>
                  </m:den>
                </m:f>
              </m:oMath>
            </m:oMathPara>
          </w:p>
        </w:tc>
        <w:tc>
          <w:tcPr>
            <w:tcW w:w="962" w:type="dxa"/>
            <w:shd w:val="clear" w:color="auto" w:fill="auto"/>
            <w:vAlign w:val="center"/>
          </w:tcPr>
          <w:p w14:paraId="5FB864AE" w14:textId="77777777" w:rsidR="00DC522A" w:rsidRPr="00B51477" w:rsidRDefault="00DC522A" w:rsidP="006F2402">
            <w:pPr>
              <w:pStyle w:val="Els-body-text"/>
              <w:spacing w:before="120" w:after="120" w:line="264" w:lineRule="auto"/>
              <w:jc w:val="right"/>
              <w:rPr>
                <w:lang w:val="en-GB"/>
              </w:rPr>
            </w:pPr>
            <w:r w:rsidRPr="00B51477">
              <w:rPr>
                <w:lang w:val="en-GB"/>
              </w:rPr>
              <w:t>(1)</w:t>
            </w:r>
          </w:p>
        </w:tc>
      </w:tr>
      <w:tr w:rsidR="00DC522A" w:rsidRPr="00B51477" w14:paraId="19F7C2A7" w14:textId="77777777" w:rsidTr="00DC522A">
        <w:tc>
          <w:tcPr>
            <w:tcW w:w="6125" w:type="dxa"/>
            <w:shd w:val="clear" w:color="auto" w:fill="auto"/>
            <w:vAlign w:val="center"/>
          </w:tcPr>
          <w:p w14:paraId="7B7D92CF" w14:textId="56901BB2" w:rsidR="00DC522A" w:rsidRPr="00B51477" w:rsidRDefault="00000000" w:rsidP="006F2402">
            <w:pPr>
              <w:pStyle w:val="Els-body-text"/>
              <w:spacing w:before="120" w:after="120" w:line="264" w:lineRule="auto"/>
              <w:rPr>
                <w:rFonts w:eastAsia="ＭＳ 明朝"/>
              </w:rPr>
            </w:pPr>
            <m:oMathPara>
              <m:oMath>
                <m:sSub>
                  <m:sSubPr>
                    <m:ctrlPr>
                      <w:rPr>
                        <w:rFonts w:ascii="Cambria Math" w:hAnsi="Cambria Math"/>
                        <w:i/>
                        <w:sz w:val="18"/>
                        <w:szCs w:val="18"/>
                      </w:rPr>
                    </m:ctrlPr>
                  </m:sSubPr>
                  <m:e>
                    <m:r>
                      <w:rPr>
                        <w:rFonts w:ascii="Cambria Math" w:hAnsi="Cambria Math"/>
                        <w:sz w:val="18"/>
                        <w:szCs w:val="18"/>
                      </w:rPr>
                      <m:t>σ</m:t>
                    </m:r>
                  </m:e>
                  <m:sub>
                    <m:r>
                      <m:rPr>
                        <m:sty m:val="p"/>
                      </m:rPr>
                      <w:rPr>
                        <w:rFonts w:ascii="Cambria Math" w:hAnsi="Cambria Math"/>
                        <w:sz w:val="18"/>
                        <w:szCs w:val="18"/>
                      </w:rPr>
                      <m:t>flow</m:t>
                    </m:r>
                  </m:sub>
                </m:sSub>
                <m:r>
                  <w:rPr>
                    <w:rFonts w:ascii="Cambria Math" w:hAnsi="Cambria Math"/>
                    <w:sz w:val="18"/>
                    <w:szCs w:val="18"/>
                  </w:rPr>
                  <m:t>=</m:t>
                </m:r>
                <m:rad>
                  <m:radPr>
                    <m:degHide m:val="1"/>
                    <m:ctrlPr>
                      <w:rPr>
                        <w:rFonts w:ascii="Cambria Math" w:hAnsi="Cambria Math"/>
                        <w:i/>
                        <w:sz w:val="18"/>
                        <w:szCs w:val="18"/>
                      </w:rPr>
                    </m:ctrlPr>
                  </m:radPr>
                  <m:deg/>
                  <m:e>
                    <m:f>
                      <m:fPr>
                        <m:ctrlPr>
                          <w:rPr>
                            <w:rFonts w:ascii="Cambria Math" w:hAnsi="Cambria Math"/>
                            <w:i/>
                            <w:sz w:val="18"/>
                            <w:szCs w:val="18"/>
                          </w:rPr>
                        </m:ctrlPr>
                      </m:fPr>
                      <m:num>
                        <m:sSup>
                          <m:sSupPr>
                            <m:ctrlPr>
                              <w:rPr>
                                <w:rFonts w:ascii="Cambria Math" w:hAnsi="Cambria Math"/>
                                <w:i/>
                                <w:sz w:val="18"/>
                                <w:szCs w:val="18"/>
                              </w:rPr>
                            </m:ctrlPr>
                          </m:sSupPr>
                          <m:e>
                            <m:nary>
                              <m:naryPr>
                                <m:chr m:val="∑"/>
                                <m:limLoc m:val="undOvr"/>
                                <m:subHide m:val="1"/>
                                <m:supHide m:val="1"/>
                                <m:ctrlPr>
                                  <w:rPr>
                                    <w:rFonts w:ascii="Cambria Math" w:hAnsi="Cambria Math"/>
                                    <w:i/>
                                    <w:sz w:val="18"/>
                                    <w:szCs w:val="18"/>
                                  </w:rPr>
                                </m:ctrlPr>
                              </m:naryPr>
                              <m:sub/>
                              <m:sup/>
                              <m:e>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i</m:t>
                                    </m:r>
                                  </m:sub>
                                </m:sSub>
                              </m:e>
                            </m:nary>
                            <m:r>
                              <w:rPr>
                                <w:rFonts w:ascii="Cambria Math" w:hAnsi="Cambria Math"/>
                                <w:sz w:val="18"/>
                                <w:szCs w:val="18"/>
                              </w:rPr>
                              <m:t>-</m:t>
                            </m:r>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Φ</m:t>
                                    </m:r>
                                  </m:e>
                                </m:acc>
                              </m:e>
                              <m:sub>
                                <m:r>
                                  <m:rPr>
                                    <m:sty m:val="p"/>
                                  </m:rPr>
                                  <w:rPr>
                                    <w:rFonts w:ascii="Cambria Math" w:hAnsi="Cambria Math"/>
                                    <w:sz w:val="18"/>
                                    <w:szCs w:val="18"/>
                                  </w:rPr>
                                  <m:t>flow</m:t>
                                </m:r>
                              </m:sub>
                            </m:sSub>
                            <m:r>
                              <w:rPr>
                                <w:rFonts w:ascii="Cambria Math" w:hAnsi="Cambria Math"/>
                                <w:sz w:val="18"/>
                                <w:szCs w:val="18"/>
                              </w:rPr>
                              <m:t>)</m:t>
                            </m:r>
                          </m:e>
                          <m:sup>
                            <m:r>
                              <w:rPr>
                                <w:rFonts w:ascii="Cambria Math" w:hAnsi="Cambria Math"/>
                                <w:sz w:val="18"/>
                                <w:szCs w:val="18"/>
                              </w:rPr>
                              <m:t>2</m:t>
                            </m:r>
                          </m:sup>
                        </m:sSup>
                      </m:num>
                      <m:den>
                        <m:nary>
                          <m:naryPr>
                            <m:chr m:val="∑"/>
                            <m:limLoc m:val="undOvr"/>
                            <m:subHide m:val="1"/>
                            <m:supHide m:val="1"/>
                            <m:ctrlPr>
                              <w:rPr>
                                <w:rFonts w:ascii="Cambria Math" w:hAnsi="Cambria Math"/>
                                <w:i/>
                                <w:sz w:val="18"/>
                                <w:szCs w:val="18"/>
                              </w:rPr>
                            </m:ctrlPr>
                          </m:naryPr>
                          <m:sub/>
                          <m:sup/>
                          <m:e>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i</m:t>
                                </m:r>
                              </m:sub>
                            </m:sSub>
                          </m:e>
                        </m:nary>
                      </m:den>
                    </m:f>
                  </m:e>
                </m:rad>
              </m:oMath>
            </m:oMathPara>
          </w:p>
        </w:tc>
        <w:tc>
          <w:tcPr>
            <w:tcW w:w="962" w:type="dxa"/>
            <w:shd w:val="clear" w:color="auto" w:fill="auto"/>
            <w:vAlign w:val="center"/>
          </w:tcPr>
          <w:p w14:paraId="1B760703" w14:textId="380496B3" w:rsidR="00DC522A" w:rsidRPr="00B51477" w:rsidRDefault="00DC522A" w:rsidP="006F2402">
            <w:pPr>
              <w:pStyle w:val="Els-body-text"/>
              <w:spacing w:before="120" w:after="120" w:line="264" w:lineRule="auto"/>
              <w:jc w:val="right"/>
              <w:rPr>
                <w:lang w:val="en-GB" w:eastAsia="ja-JP"/>
              </w:rPr>
            </w:pPr>
            <w:r w:rsidRPr="00B51477">
              <w:rPr>
                <w:rFonts w:hint="eastAsia"/>
                <w:lang w:val="en-GB" w:eastAsia="ja-JP"/>
              </w:rPr>
              <w:t>(</w:t>
            </w:r>
            <w:r w:rsidRPr="00B51477">
              <w:rPr>
                <w:lang w:val="en-GB" w:eastAsia="ja-JP"/>
              </w:rPr>
              <w:t>2)</w:t>
            </w:r>
          </w:p>
        </w:tc>
      </w:tr>
      <w:tr w:rsidR="00DC522A" w:rsidRPr="00B51477" w14:paraId="3DBA25CD" w14:textId="77777777" w:rsidTr="00DC522A">
        <w:tc>
          <w:tcPr>
            <w:tcW w:w="6125" w:type="dxa"/>
            <w:shd w:val="clear" w:color="auto" w:fill="auto"/>
            <w:vAlign w:val="center"/>
          </w:tcPr>
          <w:p w14:paraId="390349BD" w14:textId="6FB55F80" w:rsidR="00DC522A" w:rsidRPr="00B51477" w:rsidRDefault="00000000" w:rsidP="006F2402">
            <w:pPr>
              <w:pStyle w:val="Els-body-text"/>
              <w:spacing w:before="120" w:after="120" w:line="264" w:lineRule="auto"/>
              <w:rPr>
                <w:rFonts w:eastAsia="ＭＳ 明朝"/>
              </w:rPr>
            </w:pPr>
            <m:oMathPara>
              <m:oMath>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Φ</m:t>
                        </m:r>
                      </m:e>
                    </m:acc>
                  </m:e>
                  <m:sub>
                    <m:r>
                      <m:rPr>
                        <m:sty m:val="p"/>
                      </m:rPr>
                      <w:rPr>
                        <w:rFonts w:ascii="Cambria Math" w:hAnsi="Cambria Math"/>
                        <w:sz w:val="18"/>
                        <w:szCs w:val="18"/>
                      </w:rPr>
                      <m:t>flow</m:t>
                    </m:r>
                  </m:sub>
                </m:sSub>
                <m:r>
                  <w:rPr>
                    <w:rFonts w:ascii="Cambria Math" w:hAnsi="Cambria Math"/>
                    <w:sz w:val="18"/>
                    <w:szCs w:val="18"/>
                  </w:rPr>
                  <m:t>=</m:t>
                </m:r>
                <m:f>
                  <m:fPr>
                    <m:ctrlPr>
                      <w:rPr>
                        <w:rFonts w:ascii="Cambria Math" w:hAnsi="Cambria Math"/>
                        <w:i/>
                        <w:sz w:val="18"/>
                        <w:szCs w:val="18"/>
                      </w:rPr>
                    </m:ctrlPr>
                  </m:fPr>
                  <m:num>
                    <m:nary>
                      <m:naryPr>
                        <m:chr m:val="∑"/>
                        <m:limLoc m:val="undOvr"/>
                        <m:subHide m:val="1"/>
                        <m:supHide m:val="1"/>
                        <m:ctrlPr>
                          <w:rPr>
                            <w:rFonts w:ascii="Cambria Math" w:hAnsi="Cambria Math"/>
                            <w:i/>
                            <w:sz w:val="18"/>
                            <w:szCs w:val="18"/>
                          </w:rPr>
                        </m:ctrlPr>
                      </m:naryPr>
                      <m:sub/>
                      <m:sup/>
                      <m:e>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i</m:t>
                            </m:r>
                          </m:sub>
                        </m:sSub>
                      </m:e>
                    </m:nary>
                  </m:num>
                  <m:den>
                    <m:nary>
                      <m:naryPr>
                        <m:chr m:val="∑"/>
                        <m:limLoc m:val="undOvr"/>
                        <m:subHide m:val="1"/>
                        <m:supHide m:val="1"/>
                        <m:ctrlPr>
                          <w:rPr>
                            <w:rFonts w:ascii="Cambria Math" w:hAnsi="Cambria Math"/>
                            <w:i/>
                            <w:sz w:val="18"/>
                            <w:szCs w:val="18"/>
                          </w:rPr>
                        </m:ctrlPr>
                      </m:naryPr>
                      <m:sub/>
                      <m:sup/>
                      <m:e>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i</m:t>
                            </m:r>
                          </m:sub>
                        </m:sSub>
                      </m:e>
                    </m:nary>
                  </m:den>
                </m:f>
              </m:oMath>
            </m:oMathPara>
          </w:p>
        </w:tc>
        <w:tc>
          <w:tcPr>
            <w:tcW w:w="962" w:type="dxa"/>
            <w:shd w:val="clear" w:color="auto" w:fill="auto"/>
            <w:vAlign w:val="center"/>
          </w:tcPr>
          <w:p w14:paraId="4E30B5C5" w14:textId="417F8D4B" w:rsidR="00DC522A" w:rsidRPr="00B51477" w:rsidRDefault="00DC522A" w:rsidP="006F2402">
            <w:pPr>
              <w:pStyle w:val="Els-body-text"/>
              <w:spacing w:before="120" w:after="120" w:line="264" w:lineRule="auto"/>
              <w:jc w:val="right"/>
              <w:rPr>
                <w:lang w:val="en-GB" w:eastAsia="ja-JP"/>
              </w:rPr>
            </w:pPr>
            <w:r w:rsidRPr="00B51477">
              <w:rPr>
                <w:rFonts w:hint="eastAsia"/>
                <w:lang w:val="en-GB" w:eastAsia="ja-JP"/>
              </w:rPr>
              <w:t>(</w:t>
            </w:r>
            <w:r w:rsidRPr="00B51477">
              <w:rPr>
                <w:lang w:val="en-GB" w:eastAsia="ja-JP"/>
              </w:rPr>
              <w:t>3)</w:t>
            </w:r>
          </w:p>
        </w:tc>
      </w:tr>
      <w:tr w:rsidR="00DC522A" w:rsidRPr="00B51477" w14:paraId="13FCECDE" w14:textId="77777777" w:rsidTr="00DC522A">
        <w:tc>
          <w:tcPr>
            <w:tcW w:w="6125" w:type="dxa"/>
            <w:shd w:val="clear" w:color="auto" w:fill="auto"/>
            <w:vAlign w:val="center"/>
          </w:tcPr>
          <w:p w14:paraId="24B5A520" w14:textId="1F21B61E" w:rsidR="00DC522A" w:rsidRPr="00B51477" w:rsidRDefault="00000000" w:rsidP="006F2402">
            <w:pPr>
              <w:pStyle w:val="Els-body-text"/>
              <w:spacing w:before="120" w:after="120" w:line="264" w:lineRule="auto"/>
              <w:rPr>
                <w:rFonts w:eastAsia="ＭＳ 明朝"/>
              </w:rPr>
            </w:pPr>
            <m:oMathPara>
              <m:oMath>
                <m:sSub>
                  <m:sSubPr>
                    <m:ctrlPr>
                      <w:rPr>
                        <w:rFonts w:ascii="Cambria Math" w:hAnsi="Cambria Math"/>
                        <w:i/>
                        <w:sz w:val="18"/>
                        <w:szCs w:val="18"/>
                      </w:rPr>
                    </m:ctrlPr>
                  </m:sSubPr>
                  <m:e>
                    <m:r>
                      <w:rPr>
                        <w:rFonts w:ascii="Cambria Math" w:hAnsi="Cambria Math"/>
                        <w:sz w:val="18"/>
                        <w:szCs w:val="18"/>
                      </w:rPr>
                      <m:t>σ</m:t>
                    </m:r>
                  </m:e>
                  <m:sub>
                    <m:r>
                      <m:rPr>
                        <m:sty m:val="p"/>
                      </m:rPr>
                      <w:rPr>
                        <w:rFonts w:ascii="Cambria Math" w:hAnsi="Cambria Math"/>
                        <w:sz w:val="18"/>
                        <w:szCs w:val="18"/>
                      </w:rPr>
                      <m:t>unmixed</m:t>
                    </m:r>
                  </m:sub>
                </m:sSub>
                <m:r>
                  <w:rPr>
                    <w:rFonts w:ascii="Cambria Math" w:hAnsi="Cambria Math"/>
                    <w:sz w:val="18"/>
                    <w:szCs w:val="18"/>
                  </w:rPr>
                  <m:t>=</m:t>
                </m:r>
                <m:rad>
                  <m:radPr>
                    <m:degHide m:val="1"/>
                    <m:ctrlPr>
                      <w:rPr>
                        <w:rFonts w:ascii="Cambria Math" w:hAnsi="Cambria Math"/>
                        <w:i/>
                        <w:sz w:val="18"/>
                        <w:szCs w:val="18"/>
                      </w:rPr>
                    </m:ctrlPr>
                  </m:radPr>
                  <m:deg/>
                  <m:e>
                    <m:f>
                      <m:fPr>
                        <m:ctrlPr>
                          <w:rPr>
                            <w:rFonts w:ascii="Cambria Math" w:hAnsi="Cambria Math"/>
                            <w:i/>
                            <w:sz w:val="18"/>
                            <w:szCs w:val="18"/>
                          </w:rPr>
                        </m:ctrlPr>
                      </m:fPr>
                      <m:num>
                        <m:r>
                          <w:rPr>
                            <w:rFonts w:ascii="Cambria Math" w:hAnsi="Cambria Math"/>
                            <w:sz w:val="18"/>
                            <w:szCs w:val="18"/>
                          </w:rPr>
                          <m:t>F1F2</m:t>
                        </m:r>
                      </m:num>
                      <m:den>
                        <m:sSup>
                          <m:sSupPr>
                            <m:ctrlPr>
                              <w:rPr>
                                <w:rFonts w:ascii="Cambria Math" w:hAnsi="Cambria Math"/>
                                <w:i/>
                                <w:sz w:val="18"/>
                                <w:szCs w:val="18"/>
                              </w:rPr>
                            </m:ctrlPr>
                          </m:sSupPr>
                          <m:e>
                            <m:r>
                              <w:rPr>
                                <w:rFonts w:ascii="Cambria Math" w:hAnsi="Cambria Math"/>
                                <w:sz w:val="18"/>
                                <w:szCs w:val="18"/>
                              </w:rPr>
                              <m:t>(F1+F2)</m:t>
                            </m:r>
                          </m:e>
                          <m:sup>
                            <m:r>
                              <w:rPr>
                                <w:rFonts w:ascii="Cambria Math" w:hAnsi="Cambria Math"/>
                                <w:sz w:val="18"/>
                                <w:szCs w:val="18"/>
                              </w:rPr>
                              <m:t>2</m:t>
                            </m:r>
                          </m:sup>
                        </m:sSup>
                      </m:den>
                    </m:f>
                  </m:e>
                </m:rad>
              </m:oMath>
            </m:oMathPara>
          </w:p>
        </w:tc>
        <w:tc>
          <w:tcPr>
            <w:tcW w:w="962" w:type="dxa"/>
            <w:shd w:val="clear" w:color="auto" w:fill="auto"/>
            <w:vAlign w:val="center"/>
          </w:tcPr>
          <w:p w14:paraId="678C7F4F" w14:textId="0CF31632" w:rsidR="00DC522A" w:rsidRPr="00B51477" w:rsidRDefault="00DC522A" w:rsidP="006F2402">
            <w:pPr>
              <w:pStyle w:val="Els-body-text"/>
              <w:spacing w:before="120" w:after="120" w:line="264" w:lineRule="auto"/>
              <w:jc w:val="right"/>
              <w:rPr>
                <w:lang w:val="en-GB" w:eastAsia="ja-JP"/>
              </w:rPr>
            </w:pPr>
            <w:r w:rsidRPr="00B51477">
              <w:rPr>
                <w:rFonts w:hint="eastAsia"/>
                <w:lang w:val="en-GB" w:eastAsia="ja-JP"/>
              </w:rPr>
              <w:t>(</w:t>
            </w:r>
            <w:r w:rsidRPr="00B51477">
              <w:rPr>
                <w:lang w:val="en-GB" w:eastAsia="ja-JP"/>
              </w:rPr>
              <w:t>4)</w:t>
            </w:r>
          </w:p>
        </w:tc>
      </w:tr>
    </w:tbl>
    <w:p w14:paraId="41F37566" w14:textId="77777777" w:rsidR="00B51477" w:rsidRDefault="00B51477" w:rsidP="008D2649">
      <w:pPr>
        <w:pStyle w:val="Els-body-text"/>
      </w:pPr>
    </w:p>
    <w:p w14:paraId="50F6AA81" w14:textId="184E31D0" w:rsidR="00DC522A" w:rsidRPr="00B51477" w:rsidRDefault="00DC522A" w:rsidP="008D2649">
      <w:pPr>
        <w:pStyle w:val="Els-body-text"/>
      </w:pPr>
      <w:r w:rsidRPr="00B51477">
        <w:t xml:space="preserve">Here, </w:t>
      </w:r>
      <m:oMath>
        <m:sSub>
          <m:sSubPr>
            <m:ctrlPr>
              <w:rPr>
                <w:rFonts w:ascii="Cambria Math" w:hAnsi="Cambria Math"/>
                <w:i/>
                <w:sz w:val="18"/>
                <w:szCs w:val="18"/>
              </w:rPr>
            </m:ctrlPr>
          </m:sSubPr>
          <m:e>
            <m:r>
              <w:rPr>
                <w:rFonts w:ascii="Cambria Math" w:hAnsi="Cambria Math"/>
                <w:sz w:val="18"/>
                <w:szCs w:val="18"/>
              </w:rPr>
              <m:t>σ</m:t>
            </m:r>
          </m:e>
          <m:sub>
            <m:r>
              <m:rPr>
                <m:sty m:val="p"/>
              </m:rPr>
              <w:rPr>
                <w:rFonts w:ascii="Cambria Math" w:hAnsi="Cambria Math"/>
                <w:sz w:val="18"/>
                <w:szCs w:val="18"/>
              </w:rPr>
              <m:t>flow</m:t>
            </m:r>
          </m:sub>
        </m:sSub>
      </m:oMath>
      <w:r w:rsidR="002E64AE">
        <w:rPr>
          <w:rFonts w:hint="eastAsia"/>
          <w:sz w:val="18"/>
          <w:szCs w:val="18"/>
          <w:lang w:eastAsia="ja-JP"/>
        </w:rPr>
        <w:t xml:space="preserve"> </w:t>
      </w:r>
      <w:r w:rsidR="002E64AE" w:rsidRPr="002E64AE">
        <w:rPr>
          <w:sz w:val="18"/>
          <w:szCs w:val="18"/>
          <w:lang w:eastAsia="ja-JP"/>
        </w:rPr>
        <w:t>is the standard deviation of the concentration weighted by the velocity distribution</w:t>
      </w:r>
      <w:r w:rsidR="002E64AE">
        <w:rPr>
          <w:sz w:val="18"/>
          <w:szCs w:val="18"/>
          <w:lang w:eastAsia="ja-JP"/>
        </w:rPr>
        <w:t xml:space="preserve">, </w:t>
      </w:r>
      <m:oMath>
        <m:sSub>
          <m:sSubPr>
            <m:ctrlPr>
              <w:rPr>
                <w:rFonts w:ascii="Cambria Math" w:hAnsi="Cambria Math"/>
                <w:i/>
                <w:sz w:val="18"/>
                <w:szCs w:val="18"/>
              </w:rPr>
            </m:ctrlPr>
          </m:sSubPr>
          <m:e>
            <m:r>
              <w:rPr>
                <w:rFonts w:ascii="Cambria Math" w:hAnsi="Cambria Math"/>
                <w:sz w:val="18"/>
                <w:szCs w:val="18"/>
              </w:rPr>
              <m:t>σ</m:t>
            </m:r>
          </m:e>
          <m:sub>
            <m:r>
              <m:rPr>
                <m:sty m:val="p"/>
              </m:rPr>
              <w:rPr>
                <w:rFonts w:ascii="Cambria Math" w:hAnsi="Cambria Math"/>
                <w:sz w:val="18"/>
                <w:szCs w:val="18"/>
              </w:rPr>
              <m:t>unmixed</m:t>
            </m:r>
          </m:sub>
        </m:sSub>
      </m:oMath>
      <w:r w:rsidR="002E64AE">
        <w:rPr>
          <w:rFonts w:hint="eastAsia"/>
          <w:sz w:val="18"/>
          <w:szCs w:val="18"/>
          <w:lang w:eastAsia="ja-JP"/>
        </w:rPr>
        <w:t xml:space="preserve"> </w:t>
      </w:r>
      <w:r w:rsidR="002E64AE">
        <w:rPr>
          <w:sz w:val="18"/>
          <w:szCs w:val="18"/>
          <w:lang w:eastAsia="ja-JP"/>
        </w:rPr>
        <w:t xml:space="preserve">is </w:t>
      </w:r>
      <w:r w:rsidR="002E64AE" w:rsidRPr="002E64AE">
        <w:rPr>
          <w:sz w:val="18"/>
          <w:szCs w:val="18"/>
          <w:lang w:eastAsia="ja-JP"/>
        </w:rPr>
        <w:t>the standard deviation of the mass fraction when the two fluids are not mixed</w:t>
      </w:r>
      <w:r w:rsidR="002E64AE">
        <w:rPr>
          <w:sz w:val="18"/>
          <w:szCs w:val="18"/>
          <w:lang w:eastAsia="ja-JP"/>
        </w:rPr>
        <w:t xml:space="preserve">, </w:t>
      </w:r>
      <w:r w:rsidRPr="00B51477">
        <w:rPr>
          <w:i/>
          <w:iCs/>
        </w:rPr>
        <w:t>F</w:t>
      </w:r>
      <w:r w:rsidRPr="002E64AE">
        <w:t>1</w:t>
      </w:r>
      <w:r w:rsidRPr="00B51477">
        <w:t xml:space="preserve"> and </w:t>
      </w:r>
      <w:r w:rsidRPr="00B51477">
        <w:rPr>
          <w:i/>
          <w:iCs/>
        </w:rPr>
        <w:t>F</w:t>
      </w:r>
      <w:r w:rsidRPr="002E64AE">
        <w:t>2</w:t>
      </w:r>
      <w:r w:rsidRPr="00B51477">
        <w:t xml:space="preserve"> are the inlet mass flow rates, </w:t>
      </w:r>
      <w:proofErr w:type="spellStart"/>
      <w:r w:rsidRPr="00B51477">
        <w:rPr>
          <w:i/>
          <w:iCs/>
        </w:rPr>
        <w:t>Φ</w:t>
      </w:r>
      <w:r w:rsidRPr="00B51477">
        <w:rPr>
          <w:i/>
          <w:iCs/>
          <w:vertAlign w:val="subscript"/>
        </w:rPr>
        <w:t>i</w:t>
      </w:r>
      <w:proofErr w:type="spellEnd"/>
      <w:r w:rsidRPr="00B51477">
        <w:t xml:space="preserve"> is the mass fraction of a certain component in each grid, and </w:t>
      </w:r>
      <w:r w:rsidRPr="00B51477">
        <w:rPr>
          <w:i/>
          <w:iCs/>
        </w:rPr>
        <w:t>F</w:t>
      </w:r>
      <w:r w:rsidRPr="00B51477">
        <w:rPr>
          <w:i/>
          <w:vertAlign w:val="subscript"/>
        </w:rPr>
        <w:t>i</w:t>
      </w:r>
      <w:r w:rsidRPr="00B51477">
        <w:t xml:space="preserve"> is the flow rate in each grid.</w:t>
      </w:r>
      <w:r w:rsidR="00DF4E13" w:rsidRPr="00B51477">
        <w:t xml:space="preserve"> </w:t>
      </w:r>
    </w:p>
    <w:p w14:paraId="144DE699" w14:textId="67067863" w:rsidR="008D2649" w:rsidRPr="00B51477" w:rsidRDefault="00DF4E13" w:rsidP="008D2649">
      <w:pPr>
        <w:pStyle w:val="Els-1storder-head"/>
      </w:pPr>
      <w:r w:rsidRPr="00B51477">
        <w:t>Results and discussion</w:t>
      </w:r>
    </w:p>
    <w:p w14:paraId="649D23F3" w14:textId="33EB97D5" w:rsidR="00DF4E13" w:rsidRPr="00B51477" w:rsidRDefault="00DF4E13" w:rsidP="008D2649">
      <w:pPr>
        <w:pStyle w:val="Els-body-text"/>
      </w:pPr>
      <w:r w:rsidRPr="00B51477">
        <w:t xml:space="preserve">When the previously studied mixer was evaluated using CFD simulation, the concentration distribution on the cross section where the mixing degree was evaluated was as shown in Fig. 1 (right), and the mixing degree, that is </w:t>
      </w:r>
      <w:proofErr w:type="spellStart"/>
      <w:r w:rsidRPr="00B51477">
        <w:rPr>
          <w:i/>
          <w:iCs/>
        </w:rPr>
        <w:t>M</w:t>
      </w:r>
      <w:r w:rsidRPr="00B51477">
        <w:rPr>
          <w:vertAlign w:val="subscript"/>
        </w:rPr>
        <w:t>flow</w:t>
      </w:r>
      <w:proofErr w:type="spellEnd"/>
      <w:r w:rsidRPr="00B51477">
        <w:t>, was 0.72. Therefore, the target mixing degree in this study was set to 0.72.</w:t>
      </w:r>
    </w:p>
    <w:p w14:paraId="6D74267B" w14:textId="77777777" w:rsidR="00DF4E13" w:rsidRPr="00B51477" w:rsidRDefault="00DF4E13" w:rsidP="008D2649">
      <w:pPr>
        <w:pStyle w:val="Els-body-text"/>
      </w:pPr>
    </w:p>
    <w:p w14:paraId="2F3719C3" w14:textId="32BD3C7D" w:rsidR="00DF4E13" w:rsidRDefault="00DF4E13" w:rsidP="008D2649">
      <w:pPr>
        <w:pStyle w:val="Els-body-text"/>
      </w:pPr>
      <w:r w:rsidRPr="00B51477">
        <w:t>In order to improve the laminated micromixer, first, three types of channel configuration at the confluence section were investigated. As shown in Fig. 2, convective mixing called engulfment flow occurs in all types. Among them, Type C showed the highest m</w:t>
      </w:r>
      <w:r w:rsidRPr="00B51477">
        <w:rPr>
          <w:rFonts w:hint="eastAsia"/>
        </w:rPr>
        <w:t>ixing performance when mixing at equal flow rates (A</w:t>
      </w:r>
      <w:r w:rsidRPr="00B51477">
        <w:rPr>
          <w:rFonts w:hint="eastAsia"/>
          <w:lang w:eastAsia="ja-JP"/>
        </w:rPr>
        <w:t>:</w:t>
      </w:r>
      <w:r w:rsidRPr="00B51477">
        <w:rPr>
          <w:lang w:eastAsia="ja-JP"/>
        </w:rPr>
        <w:t xml:space="preserve"> </w:t>
      </w:r>
      <w:r w:rsidRPr="00B51477">
        <w:rPr>
          <w:rFonts w:hint="eastAsia"/>
        </w:rPr>
        <w:t>2.25 mL/min</w:t>
      </w:r>
      <w:r w:rsidRPr="00B51477">
        <w:rPr>
          <w:rFonts w:hint="eastAsia"/>
          <w:lang w:eastAsia="ja-JP"/>
        </w:rPr>
        <w:t>,</w:t>
      </w:r>
      <w:r w:rsidRPr="00B51477">
        <w:rPr>
          <w:lang w:eastAsia="ja-JP"/>
        </w:rPr>
        <w:t xml:space="preserve"> </w:t>
      </w:r>
      <w:r w:rsidRPr="00B51477">
        <w:rPr>
          <w:rFonts w:hint="eastAsia"/>
        </w:rPr>
        <w:t>B</w:t>
      </w:r>
      <w:r w:rsidRPr="00B51477">
        <w:rPr>
          <w:rFonts w:hint="eastAsia"/>
          <w:lang w:eastAsia="ja-JP"/>
        </w:rPr>
        <w:t>:</w:t>
      </w:r>
      <w:r w:rsidRPr="00B51477">
        <w:rPr>
          <w:lang w:eastAsia="ja-JP"/>
        </w:rPr>
        <w:t xml:space="preserve"> </w:t>
      </w:r>
      <w:r w:rsidRPr="00B51477">
        <w:rPr>
          <w:rFonts w:hint="eastAsia"/>
        </w:rPr>
        <w:t>2.25 mL/min) as well as when mixing at different flow rates (A</w:t>
      </w:r>
      <w:r w:rsidRPr="00B51477">
        <w:rPr>
          <w:rFonts w:hint="eastAsia"/>
          <w:lang w:eastAsia="ja-JP"/>
        </w:rPr>
        <w:t>:</w:t>
      </w:r>
      <w:r w:rsidRPr="00B51477">
        <w:rPr>
          <w:lang w:eastAsia="ja-JP"/>
        </w:rPr>
        <w:t xml:space="preserve"> </w:t>
      </w:r>
      <w:r w:rsidRPr="00B51477">
        <w:rPr>
          <w:rFonts w:hint="eastAsia"/>
        </w:rPr>
        <w:t>3.5 mL/min</w:t>
      </w:r>
      <w:r w:rsidRPr="00B51477">
        <w:rPr>
          <w:rFonts w:hint="eastAsia"/>
          <w:lang w:eastAsia="ja-JP"/>
        </w:rPr>
        <w:t>,</w:t>
      </w:r>
      <w:r w:rsidRPr="00B51477">
        <w:rPr>
          <w:lang w:eastAsia="ja-JP"/>
        </w:rPr>
        <w:t xml:space="preserve"> </w:t>
      </w:r>
      <w:r w:rsidRPr="00B51477">
        <w:rPr>
          <w:rFonts w:hint="eastAsia"/>
        </w:rPr>
        <w:t>B</w:t>
      </w:r>
      <w:r w:rsidRPr="00B51477">
        <w:rPr>
          <w:rFonts w:hint="eastAsia"/>
          <w:lang w:eastAsia="ja-JP"/>
        </w:rPr>
        <w:t>:</w:t>
      </w:r>
      <w:r w:rsidRPr="00B51477">
        <w:rPr>
          <w:lang w:eastAsia="ja-JP"/>
        </w:rPr>
        <w:t xml:space="preserve"> </w:t>
      </w:r>
      <w:r w:rsidRPr="00B51477">
        <w:rPr>
          <w:rFonts w:hint="eastAsia"/>
        </w:rPr>
        <w:t>1.0 mL/min). Therefore, Type C was next focused on, and the channel size of the confluence section was investigat</w:t>
      </w:r>
      <w:r w:rsidRPr="00B51477">
        <w:t>ed with the aim of further improving mixing performance. As a result, the concentration distribution and mixing degree on the cross section indicated by the black frame were as shown in Fig. 3. It was shown that the device Type C with a channel width (</w:t>
      </w:r>
      <w:r w:rsidRPr="00B51477">
        <w:rPr>
          <w:i/>
          <w:iCs/>
        </w:rPr>
        <w:t>W</w:t>
      </w:r>
      <w:r w:rsidRPr="00B51477">
        <w:rPr>
          <w:vertAlign w:val="subscript"/>
        </w:rPr>
        <w:t>1</w:t>
      </w:r>
      <w:r w:rsidRPr="00B51477">
        <w:t xml:space="preserve">) of 0.25 mm at the confluence section had the highest mixing degree when mixing at equal flow rates as well as when mixing at different flow rates. Visualization of the velocity vector in addition to the concentration distribution revealed that when the channel width at the confluence section is small, the formation of vortices is suppressed due to the influence of the wall, and when the channel width is large, stagnation occurs. For these reasons, </w:t>
      </w:r>
      <w:r w:rsidRPr="00B51477">
        <w:rPr>
          <w:i/>
          <w:iCs/>
        </w:rPr>
        <w:t>W</w:t>
      </w:r>
      <w:r w:rsidRPr="00B51477">
        <w:rPr>
          <w:vertAlign w:val="subscript"/>
        </w:rPr>
        <w:t>1</w:t>
      </w:r>
      <w:r w:rsidRPr="00B51477">
        <w:t xml:space="preserve"> = 0.25 seems to have shown the best result. However, the mixing degree has not reached </w:t>
      </w:r>
    </w:p>
    <w:p w14:paraId="47841B22" w14:textId="77777777" w:rsidR="000B6EC1" w:rsidRPr="00B51477" w:rsidRDefault="000B6EC1" w:rsidP="008D2649">
      <w:pPr>
        <w:pStyle w:val="Els-body-text"/>
      </w:pPr>
    </w:p>
    <w:p w14:paraId="06009593" w14:textId="77777777" w:rsidR="00DF4E13" w:rsidRPr="00B51477" w:rsidRDefault="00DF4E13" w:rsidP="00DF4E13">
      <w:pPr>
        <w:jc w:val="center"/>
      </w:pPr>
      <w:r w:rsidRPr="00B51477">
        <w:rPr>
          <w:noProof/>
        </w:rPr>
        <w:drawing>
          <wp:inline distT="0" distB="0" distL="0" distR="0" wp14:anchorId="216F32DB" wp14:editId="377B83B7">
            <wp:extent cx="3443768" cy="2082297"/>
            <wp:effectExtent l="0" t="0" r="0" b="0"/>
            <wp:docPr id="15707175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1235" cy="2098905"/>
                    </a:xfrm>
                    <a:prstGeom prst="rect">
                      <a:avLst/>
                    </a:prstGeom>
                    <a:noFill/>
                    <a:ln>
                      <a:noFill/>
                    </a:ln>
                  </pic:spPr>
                </pic:pic>
              </a:graphicData>
            </a:graphic>
          </wp:inline>
        </w:drawing>
      </w:r>
    </w:p>
    <w:p w14:paraId="6C0AFD6C" w14:textId="38641A2E" w:rsidR="00DF4E13" w:rsidRPr="00B51477" w:rsidRDefault="00DF4E13" w:rsidP="00DF4E13">
      <w:pPr>
        <w:jc w:val="center"/>
      </w:pPr>
      <w:r w:rsidRPr="00B51477">
        <w:t>Fig. 2. Effect of channel configuration at the confluence section on the mixing.</w:t>
      </w:r>
    </w:p>
    <w:p w14:paraId="41CCD3A2" w14:textId="77777777" w:rsidR="00DF4E13" w:rsidRPr="00B51477" w:rsidRDefault="00DF4E13" w:rsidP="00DF4E13">
      <w:pPr>
        <w:jc w:val="center"/>
      </w:pPr>
    </w:p>
    <w:p w14:paraId="5974D923" w14:textId="77777777" w:rsidR="00AE562A" w:rsidRPr="00B51477" w:rsidRDefault="00AE562A" w:rsidP="00DF4E13">
      <w:pPr>
        <w:jc w:val="center"/>
      </w:pPr>
    </w:p>
    <w:p w14:paraId="659BB4AD" w14:textId="7B3F2DCC" w:rsidR="00DF4E13" w:rsidRPr="00B51477" w:rsidRDefault="00DF4E13" w:rsidP="00DF4E13">
      <w:pPr>
        <w:jc w:val="center"/>
      </w:pPr>
      <w:r w:rsidRPr="00B51477">
        <w:rPr>
          <w:noProof/>
        </w:rPr>
        <w:drawing>
          <wp:inline distT="0" distB="0" distL="0" distR="0" wp14:anchorId="65EC1724" wp14:editId="4A9B96DE">
            <wp:extent cx="3530851" cy="2214256"/>
            <wp:effectExtent l="0" t="0" r="0" b="0"/>
            <wp:docPr id="7608739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109" cy="2230096"/>
                    </a:xfrm>
                    <a:prstGeom prst="rect">
                      <a:avLst/>
                    </a:prstGeom>
                    <a:noFill/>
                    <a:ln>
                      <a:noFill/>
                    </a:ln>
                  </pic:spPr>
                </pic:pic>
              </a:graphicData>
            </a:graphic>
          </wp:inline>
        </w:drawing>
      </w:r>
    </w:p>
    <w:p w14:paraId="3BFC523A" w14:textId="1A0C91A1" w:rsidR="00DF4E13" w:rsidRPr="00B51477" w:rsidRDefault="00DF4E13" w:rsidP="00DF4E13">
      <w:pPr>
        <w:jc w:val="center"/>
      </w:pPr>
      <w:r w:rsidRPr="00B51477">
        <w:t xml:space="preserve">Fig. 3. Effect of channel size </w:t>
      </w:r>
      <w:r w:rsidR="00FE26F4" w:rsidRPr="00B51477">
        <w:t xml:space="preserve">at the confluence section </w:t>
      </w:r>
      <w:r w:rsidRPr="00B51477">
        <w:t>on the mixing (Type C).</w:t>
      </w:r>
    </w:p>
    <w:p w14:paraId="6A69ACBC" w14:textId="77777777" w:rsidR="00DF4E13" w:rsidRPr="00B51477" w:rsidRDefault="00DF4E13" w:rsidP="00DF4E13"/>
    <w:p w14:paraId="0BB34A2C" w14:textId="77777777" w:rsidR="00AE562A" w:rsidRPr="00B51477" w:rsidRDefault="00AE562A" w:rsidP="00DF4E13"/>
    <w:p w14:paraId="54B0E58F" w14:textId="4DF79DFC" w:rsidR="00DF4E13" w:rsidRPr="00B51477" w:rsidRDefault="00DF4E13" w:rsidP="00DF4E13">
      <w:pPr>
        <w:jc w:val="center"/>
      </w:pPr>
      <w:r w:rsidRPr="00B51477">
        <w:rPr>
          <w:noProof/>
        </w:rPr>
        <w:drawing>
          <wp:inline distT="0" distB="0" distL="0" distR="0" wp14:anchorId="039E86B6" wp14:editId="33B752E7">
            <wp:extent cx="2906087" cy="955140"/>
            <wp:effectExtent l="0" t="0" r="0" b="0"/>
            <wp:docPr id="2050762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42" cy="961074"/>
                    </a:xfrm>
                    <a:prstGeom prst="rect">
                      <a:avLst/>
                    </a:prstGeom>
                    <a:noFill/>
                    <a:ln>
                      <a:noFill/>
                    </a:ln>
                  </pic:spPr>
                </pic:pic>
              </a:graphicData>
            </a:graphic>
          </wp:inline>
        </w:drawing>
      </w:r>
    </w:p>
    <w:p w14:paraId="2163902B" w14:textId="77777777" w:rsidR="00DF4E13" w:rsidRPr="00B51477" w:rsidRDefault="00DF4E13" w:rsidP="00DF4E13">
      <w:pPr>
        <w:pStyle w:val="Els-body-text"/>
        <w:jc w:val="center"/>
      </w:pPr>
      <w:r w:rsidRPr="00B51477">
        <w:t>Fig. 4. Type C mixer with 3D bending and 2D bending.</w:t>
      </w:r>
    </w:p>
    <w:p w14:paraId="50EB3004" w14:textId="77777777" w:rsidR="00DF4E13" w:rsidRDefault="00DF4E13" w:rsidP="008D2649">
      <w:pPr>
        <w:pStyle w:val="Els-body-text"/>
      </w:pPr>
    </w:p>
    <w:p w14:paraId="4B450312" w14:textId="77777777" w:rsidR="00FE26F4" w:rsidRPr="00B51477" w:rsidRDefault="00FE26F4" w:rsidP="008D2649">
      <w:pPr>
        <w:pStyle w:val="Els-body-text"/>
      </w:pPr>
    </w:p>
    <w:p w14:paraId="4BEA7E42" w14:textId="77777777" w:rsidR="000B6EC1" w:rsidRDefault="000B6EC1" w:rsidP="00AE562A">
      <w:pPr>
        <w:pStyle w:val="Els-body-text"/>
        <w:jc w:val="distribute"/>
      </w:pPr>
      <w:r w:rsidRPr="00B51477">
        <w:t>the target value. The main reason for this seems to be that the velocity of the secondary flow at the outlet of the confluence section, which contributed to the promotion of mixing, decreased to about 2/5 times at the cross section where the mixing degree was evaluated.</w:t>
      </w:r>
    </w:p>
    <w:p w14:paraId="437D5B4A" w14:textId="77777777" w:rsidR="000B6EC1" w:rsidRDefault="000B6EC1" w:rsidP="00AE562A">
      <w:pPr>
        <w:pStyle w:val="Els-body-text"/>
        <w:jc w:val="distribute"/>
      </w:pPr>
    </w:p>
    <w:p w14:paraId="70581F64" w14:textId="77777777" w:rsidR="000B6EC1" w:rsidRDefault="000B6EC1" w:rsidP="00AE562A">
      <w:pPr>
        <w:pStyle w:val="Els-body-text"/>
        <w:jc w:val="distribute"/>
      </w:pPr>
    </w:p>
    <w:p w14:paraId="07C11525" w14:textId="77777777" w:rsidR="00A76B1A" w:rsidRPr="00B51477" w:rsidRDefault="00A76B1A" w:rsidP="00A76B1A">
      <w:pPr>
        <w:pStyle w:val="Els-body-text"/>
        <w:jc w:val="center"/>
      </w:pPr>
      <w:r w:rsidRPr="00B51477">
        <w:t>Table 1. Comparison between proposed and existing mixers.</w:t>
      </w:r>
    </w:p>
    <w:p w14:paraId="5327550B" w14:textId="0BB4B38A" w:rsidR="00FE26F4" w:rsidRPr="00B51477" w:rsidRDefault="00FE26F4" w:rsidP="00A76B1A">
      <w:pPr>
        <w:pStyle w:val="Els-body-text"/>
        <w:jc w:val="center"/>
      </w:pPr>
      <w:r w:rsidRPr="00FE26F4">
        <w:rPr>
          <w:noProof/>
        </w:rPr>
        <w:drawing>
          <wp:inline distT="0" distB="0" distL="0" distR="0" wp14:anchorId="13545930" wp14:editId="1D56A83F">
            <wp:extent cx="3453296" cy="986403"/>
            <wp:effectExtent l="0" t="0" r="0" b="0"/>
            <wp:docPr id="33989418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530"/>
                    <a:stretch/>
                  </pic:blipFill>
                  <pic:spPr bwMode="auto">
                    <a:xfrm>
                      <a:off x="0" y="0"/>
                      <a:ext cx="3476586" cy="993056"/>
                    </a:xfrm>
                    <a:prstGeom prst="rect">
                      <a:avLst/>
                    </a:prstGeom>
                    <a:noFill/>
                    <a:ln>
                      <a:noFill/>
                    </a:ln>
                    <a:extLst>
                      <a:ext uri="{53640926-AAD7-44D8-BBD7-CCE9431645EC}">
                        <a14:shadowObscured xmlns:a14="http://schemas.microsoft.com/office/drawing/2010/main"/>
                      </a:ext>
                    </a:extLst>
                  </pic:spPr>
                </pic:pic>
              </a:graphicData>
            </a:graphic>
          </wp:inline>
        </w:drawing>
      </w:r>
    </w:p>
    <w:p w14:paraId="71842A0B" w14:textId="77777777" w:rsidR="00A76B1A" w:rsidRDefault="00A76B1A" w:rsidP="00A76B1A">
      <w:pPr>
        <w:pStyle w:val="Els-body-text"/>
      </w:pPr>
    </w:p>
    <w:p w14:paraId="71401E8E" w14:textId="77777777" w:rsidR="000B6EC1" w:rsidRPr="00B51477" w:rsidRDefault="000B6EC1" w:rsidP="00A76B1A">
      <w:pPr>
        <w:pStyle w:val="Els-body-text"/>
      </w:pPr>
    </w:p>
    <w:p w14:paraId="1A2E5A03" w14:textId="3EB0A79F" w:rsidR="00CE66CA" w:rsidRPr="00B51477" w:rsidRDefault="00CE66CA" w:rsidP="00A76B1A">
      <w:pPr>
        <w:pStyle w:val="Els-body-text"/>
        <w:jc w:val="center"/>
      </w:pPr>
      <w:r w:rsidRPr="00CE66CA">
        <w:rPr>
          <w:noProof/>
        </w:rPr>
        <w:drawing>
          <wp:inline distT="0" distB="0" distL="0" distR="0" wp14:anchorId="57F94B8A" wp14:editId="09BEE9C9">
            <wp:extent cx="3643538" cy="1044000"/>
            <wp:effectExtent l="0" t="0" r="0" b="0"/>
            <wp:docPr id="181219029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9989"/>
                    <a:stretch/>
                  </pic:blipFill>
                  <pic:spPr bwMode="auto">
                    <a:xfrm>
                      <a:off x="0" y="0"/>
                      <a:ext cx="3643538" cy="1044000"/>
                    </a:xfrm>
                    <a:prstGeom prst="rect">
                      <a:avLst/>
                    </a:prstGeom>
                    <a:noFill/>
                    <a:ln>
                      <a:noFill/>
                    </a:ln>
                    <a:extLst>
                      <a:ext uri="{53640926-AAD7-44D8-BBD7-CCE9431645EC}">
                        <a14:shadowObscured xmlns:a14="http://schemas.microsoft.com/office/drawing/2010/main"/>
                      </a:ext>
                    </a:extLst>
                  </pic:spPr>
                </pic:pic>
              </a:graphicData>
            </a:graphic>
          </wp:inline>
        </w:drawing>
      </w:r>
    </w:p>
    <w:p w14:paraId="2165D26F" w14:textId="77777777" w:rsidR="00A76B1A" w:rsidRPr="00B51477" w:rsidRDefault="00A76B1A" w:rsidP="00A76B1A">
      <w:pPr>
        <w:pStyle w:val="Els-body-text"/>
        <w:jc w:val="center"/>
      </w:pPr>
      <w:r w:rsidRPr="00B51477">
        <w:t>Fig. 5. Experimental verification using anionic Fries rearrangement (Kim et al., 2016).</w:t>
      </w:r>
    </w:p>
    <w:p w14:paraId="2425E731" w14:textId="77777777" w:rsidR="00A76B1A" w:rsidRPr="00B51477" w:rsidRDefault="00A76B1A" w:rsidP="00A76B1A">
      <w:pPr>
        <w:pStyle w:val="Els-body-text"/>
      </w:pPr>
    </w:p>
    <w:p w14:paraId="53744083" w14:textId="0087D901" w:rsidR="00DF4E13" w:rsidRPr="00B51477" w:rsidRDefault="000B6EC1" w:rsidP="000B6EC1">
      <w:pPr>
        <w:pStyle w:val="Els-body-text"/>
      </w:pPr>
      <w:r w:rsidRPr="00B51477">
        <w:t xml:space="preserve">Therefore, in order to accelerate the secondary flow once again, the channel was bent just before the cross-section for evaluating the degree of mixing. As shown in Fig. 4, two types of </w:t>
      </w:r>
      <w:proofErr w:type="gramStart"/>
      <w:r w:rsidRPr="00B51477">
        <w:t>channel</w:t>
      </w:r>
      <w:proofErr w:type="gramEnd"/>
      <w:r w:rsidRPr="00B51477">
        <w:t xml:space="preserve"> bending methods were proposed: 3D bending and 2D bending. According to the streamlines obtained from CFD simulations, it was confirmed that 3D bending reduces stagnation and accelerates the secondary flow due to the generation of vortices. As a result, the target mixing degree was achieved. Table 1 summarizes the </w:t>
      </w:r>
      <w:r w:rsidR="00AE562A" w:rsidRPr="00B51477">
        <w:t xml:space="preserve">results of comparing the performance of the mixer with 3D bending proposed in this study and the existing mixer. It was shown that the proposed mixer exhibited the mixing </w:t>
      </w:r>
      <w:r w:rsidR="00DF4E13" w:rsidRPr="00B51477">
        <w:t>performance equivalent to the existing mixer for various inlet flowrate ratios and had lower pressure drop than the existing mixer.</w:t>
      </w:r>
    </w:p>
    <w:p w14:paraId="26A66B37" w14:textId="77777777" w:rsidR="00DF4E13" w:rsidRPr="00B51477" w:rsidRDefault="00DF4E13" w:rsidP="008D2649">
      <w:pPr>
        <w:pStyle w:val="Els-body-text"/>
      </w:pPr>
    </w:p>
    <w:p w14:paraId="70F8AECD" w14:textId="6DA7201C" w:rsidR="00A76B1A" w:rsidRPr="00B51477" w:rsidRDefault="00DF4E13" w:rsidP="008D2649">
      <w:pPr>
        <w:pStyle w:val="Els-body-text"/>
      </w:pPr>
      <w:r w:rsidRPr="00B51477">
        <w:t>Additionally, the usefulness of the proposed mixer was confirmed through experiments on the anionic Fries rearrangement, shown in Fig. 5. The proposed mixer was fabricated in one step by stacking and thermally bonding four laser-cut polyimide plates, including two covers for sealing from top and bottom, and was used as R1 and R2 in Fig. 5. As a result of the experiment, the production of by-product was suppressed and the target product was successfully produced selectively, and the result of this study were equivalent to that of the previous study. Furthermore, when the throughput was doubled, leakage was observed with the conventional mixer due to an increase in internal pressure, but with the proposed mixer, the desired product could be selectively obtained without leakage, leading to an increase in production.</w:t>
      </w:r>
      <w:r w:rsidR="00A76B1A" w:rsidRPr="00B51477">
        <w:t xml:space="preserve"> </w:t>
      </w:r>
    </w:p>
    <w:p w14:paraId="0F739DD4" w14:textId="729E959C" w:rsidR="00DF4E13" w:rsidRPr="00B51477" w:rsidRDefault="00DF4E13" w:rsidP="008D2649">
      <w:pPr>
        <w:pStyle w:val="Els-1storder-head"/>
        <w:spacing w:after="120"/>
        <w:rPr>
          <w:lang w:val="en-GB"/>
        </w:rPr>
      </w:pPr>
      <w:r w:rsidRPr="00B51477">
        <w:rPr>
          <w:lang w:val="en-GB"/>
        </w:rPr>
        <w:t>Conclusions</w:t>
      </w:r>
    </w:p>
    <w:p w14:paraId="00E4912F" w14:textId="48DCC573" w:rsidR="00DF4E13" w:rsidRPr="00B51477" w:rsidRDefault="00DF4E13" w:rsidP="00DF4E13">
      <w:pPr>
        <w:pStyle w:val="Els-body-text"/>
      </w:pPr>
      <w:r w:rsidRPr="00B51477">
        <w:t xml:space="preserve">Micromixers have demonstrated their capabilities in a variety of application fields with the aim of replacing batch synthesis of chemicals with flow synthesis. T-shaped micromixer is one of the typical mixers and can achieve a residence time of a few milliseconds, but in order to further reduce the residence time below milliseconds, it is necessary to devise a micromixer with a smaller internal volume, which requires very sophisticated channel processing techniques. In this study, a laminated microdevice with </w:t>
      </w:r>
      <w:r w:rsidRPr="00B51477">
        <w:lastRenderedPageBreak/>
        <w:t>3D serpentine channels that can achieve residence times in the sub-millisecond range was featured as an alternative to T-shaped micromixers. Computational fluid dynamics (CFD) simulations are employed to evaluate the mixing performance for various design and operating variables. Based on the evaluation results, a microdevice consisting of a non-alignment confluence section and a mixing channel with two serpentine sections was designed. It was shown that the designed mixer exhibited the mixing performance equivalent to the conventional mixer for various inlet flowrate ratios and had lower pressure drop than the conventional mixer. Additionally, the usefulness of the designed mixer was confirmed through experiments on the anionic Fries rearrangement, a well-known reaction that is often applied to total synthesis of natural products in organic synthesis.</w:t>
      </w:r>
      <w:r w:rsidR="00857B3C">
        <w:t xml:space="preserve"> Finally, t</w:t>
      </w:r>
      <w:r w:rsidR="00857B3C" w:rsidRPr="00857B3C">
        <w:t>he design of the device in this study involved extensive use of CFD simulations, which have high calculation accuracy but have a heavy computational load. Therefore, improving design efficiency will be a future challenge.</w:t>
      </w:r>
    </w:p>
    <w:p w14:paraId="152A55A8" w14:textId="77777777" w:rsidR="00DF4E13" w:rsidRPr="00B51477" w:rsidRDefault="00DF4E13" w:rsidP="00DF4E13">
      <w:pPr>
        <w:pStyle w:val="Els-reference-head"/>
      </w:pPr>
      <w:r w:rsidRPr="00B51477">
        <w:t>Acknowledgement</w:t>
      </w:r>
    </w:p>
    <w:p w14:paraId="4429A030" w14:textId="51CCDFF8" w:rsidR="00AF5D43" w:rsidRPr="005F1379" w:rsidRDefault="00AF5D43" w:rsidP="00AF5D43">
      <w:pPr>
        <w:pStyle w:val="Els-body-text"/>
      </w:pPr>
      <w:r w:rsidRPr="005F1379">
        <w:t>This work was partially supported by the Grant-in-Aid for Scientific Research (B) (No. 23H01754) and a project, Development of Continuous Production and Process Technologies of Fine Chemicals, commissioned by the New Energy and Industrial Technology Development Organization (NEDO).</w:t>
      </w:r>
    </w:p>
    <w:p w14:paraId="144DE6BF" w14:textId="49E27371" w:rsidR="008D2649" w:rsidRPr="00B51477" w:rsidRDefault="008D2649" w:rsidP="008D2649">
      <w:pPr>
        <w:pStyle w:val="Els-reference-head"/>
      </w:pPr>
      <w:r w:rsidRPr="00B51477">
        <w:t>References</w:t>
      </w:r>
    </w:p>
    <w:p w14:paraId="00A3B549" w14:textId="76625890" w:rsidR="00ED7A36" w:rsidRPr="00B51477" w:rsidRDefault="00ED7A36" w:rsidP="00DF4E13">
      <w:pPr>
        <w:pStyle w:val="Els-referenceno-number"/>
        <w:jc w:val="both"/>
        <w:rPr>
          <w:lang w:val="en-US"/>
        </w:rPr>
      </w:pPr>
      <w:r w:rsidRPr="00B51477">
        <w:rPr>
          <w:lang w:val="en-US"/>
        </w:rPr>
        <w:t xml:space="preserve">S. Asano, </w:t>
      </w:r>
      <w:r w:rsidR="007341F1">
        <w:rPr>
          <w:lang w:val="en-US"/>
        </w:rPr>
        <w:t>T. Maki and K. Mae</w:t>
      </w:r>
      <w:r w:rsidRPr="00B51477">
        <w:rPr>
          <w:lang w:val="en-US"/>
        </w:rPr>
        <w:t xml:space="preserve">, 2016, Evaluation of mixing profiles for a new micromixer design strategy, AIChE Journal, 62(4), 1154-1161. </w:t>
      </w:r>
    </w:p>
    <w:p w14:paraId="3A759FB7" w14:textId="18B64131" w:rsidR="00ED7A36" w:rsidRPr="00B51477" w:rsidRDefault="00ED7A36" w:rsidP="00DF4E13">
      <w:pPr>
        <w:pStyle w:val="Els-referenceno-number"/>
        <w:jc w:val="both"/>
        <w:rPr>
          <w:lang w:val="en-US"/>
        </w:rPr>
      </w:pPr>
      <w:r w:rsidRPr="00B51477">
        <w:rPr>
          <w:lang w:val="en-US"/>
        </w:rPr>
        <w:t xml:space="preserve">C.K. Chung, </w:t>
      </w:r>
      <w:r w:rsidR="007341F1">
        <w:rPr>
          <w:lang w:val="en-US"/>
        </w:rPr>
        <w:t>C.K. Chang and C.C. Lai</w:t>
      </w:r>
      <w:r w:rsidRPr="00B51477">
        <w:rPr>
          <w:lang w:val="en-US"/>
        </w:rPr>
        <w:t>, 2014, Simulation and fabrication of a branch-channel rhombic micromixer for low pressure drop and short mixing length, Microsystem technologies, 20(10-11), 1981-1986.</w:t>
      </w:r>
    </w:p>
    <w:p w14:paraId="3D655834" w14:textId="77777777" w:rsidR="00ED7A36" w:rsidRPr="00B51477" w:rsidRDefault="00ED7A36" w:rsidP="00ED7A36">
      <w:pPr>
        <w:pStyle w:val="Els-referenceno-number"/>
        <w:jc w:val="both"/>
        <w:rPr>
          <w:lang w:val="en-US"/>
        </w:rPr>
      </w:pPr>
      <w:r w:rsidRPr="00B51477">
        <w:rPr>
          <w:lang w:val="en-US"/>
        </w:rPr>
        <w:t>L. Falk and J-M. Commenge, 2010, Performance comparison of micromixers, Chemical Engineering Science, 65, 405-411.</w:t>
      </w:r>
    </w:p>
    <w:p w14:paraId="3AA45517" w14:textId="0DCCF2C8" w:rsidR="00ED7A36" w:rsidRPr="00B51477" w:rsidRDefault="00ED7A36" w:rsidP="00ED7A36">
      <w:pPr>
        <w:pStyle w:val="Els-referenceno-number"/>
        <w:jc w:val="both"/>
        <w:rPr>
          <w:lang w:val="en-US"/>
        </w:rPr>
      </w:pPr>
      <w:r w:rsidRPr="00B51477">
        <w:rPr>
          <w:lang w:val="en-US"/>
        </w:rPr>
        <w:t xml:space="preserve">H. Kim, </w:t>
      </w:r>
      <w:r w:rsidR="007341F1">
        <w:rPr>
          <w:lang w:val="en-US"/>
        </w:rPr>
        <w:t>K. Min, K. Inoue, D.J. Im, D.P. Kim and J. Yoshida</w:t>
      </w:r>
      <w:r w:rsidRPr="00B51477">
        <w:rPr>
          <w:lang w:val="en-US"/>
        </w:rPr>
        <w:t>, 2016, Submillisecond organic synthesis: outpacing Fries rearrangement through microfluidic rapid mixing, Science, 352.6286, 691-694.</w:t>
      </w:r>
    </w:p>
    <w:p w14:paraId="420780D8" w14:textId="77777777" w:rsidR="007341F1" w:rsidRPr="00B51477" w:rsidRDefault="007341F1" w:rsidP="007341F1">
      <w:pPr>
        <w:pStyle w:val="Els-referenceno-number"/>
        <w:jc w:val="both"/>
        <w:rPr>
          <w:lang w:val="en-US"/>
        </w:rPr>
      </w:pPr>
      <w:r>
        <w:rPr>
          <w:lang w:val="en-US"/>
        </w:rPr>
        <w:t>Z.</w:t>
      </w:r>
      <w:r w:rsidRPr="00B51477">
        <w:rPr>
          <w:lang w:val="en-US"/>
        </w:rPr>
        <w:t xml:space="preserve">M. </w:t>
      </w:r>
      <w:r>
        <w:rPr>
          <w:lang w:val="en-US"/>
        </w:rPr>
        <w:t>Malecha and K. Malecha</w:t>
      </w:r>
      <w:r w:rsidRPr="00B51477">
        <w:rPr>
          <w:lang w:val="en-US"/>
        </w:rPr>
        <w:t>, 2014, Numerical analysis of mixing under low and high frequency pulsations at serpentine micromixers, Chemical and Process Engineering, 35(3), 369-385.</w:t>
      </w:r>
    </w:p>
    <w:p w14:paraId="2D1DCB0D" w14:textId="5177D4C5" w:rsidR="00ED7A36" w:rsidRPr="00B51477" w:rsidRDefault="00ED7A36" w:rsidP="00ED7A36">
      <w:pPr>
        <w:pStyle w:val="Els-referenceno-number"/>
        <w:jc w:val="both"/>
        <w:rPr>
          <w:lang w:val="en-US"/>
        </w:rPr>
      </w:pPr>
      <w:r w:rsidRPr="00B51477">
        <w:rPr>
          <w:lang w:val="en-US"/>
        </w:rPr>
        <w:t xml:space="preserve">T. Tsubogo, </w:t>
      </w:r>
      <w:r w:rsidR="007341F1">
        <w:rPr>
          <w:lang w:val="en-US"/>
        </w:rPr>
        <w:t>H. Oyamada and S. Kobayashi</w:t>
      </w:r>
      <w:r w:rsidRPr="00B51477">
        <w:rPr>
          <w:lang w:val="en-US"/>
        </w:rPr>
        <w:t xml:space="preserve">, 2015, Multistep </w:t>
      </w:r>
      <w:r w:rsidRPr="00B51477">
        <w:rPr>
          <w:rFonts w:hint="eastAsia"/>
          <w:lang w:val="en-US" w:eastAsia="ja-JP"/>
        </w:rPr>
        <w:t>C</w:t>
      </w:r>
      <w:r w:rsidRPr="00B51477">
        <w:rPr>
          <w:lang w:val="en-US"/>
        </w:rPr>
        <w:t>ontinuous-flow Synthesis of (R)- and (S)-rolipram Using Heterogeneous Catalysts, Nature, 520, 7547, 329-332.</w:t>
      </w:r>
    </w:p>
    <w:p w14:paraId="24A7BB93" w14:textId="4D61E914" w:rsidR="00ED7A36" w:rsidRPr="00B51477" w:rsidRDefault="00ED7A36" w:rsidP="00ED7A36">
      <w:pPr>
        <w:pStyle w:val="Els-referenceno-number"/>
        <w:ind w:left="283" w:hangingChars="157" w:hanging="283"/>
        <w:jc w:val="both"/>
        <w:rPr>
          <w:lang w:val="en-US"/>
        </w:rPr>
      </w:pPr>
    </w:p>
    <w:p w14:paraId="144DE6C3" w14:textId="77777777" w:rsidR="008D2649" w:rsidRPr="00B51477" w:rsidRDefault="008D2649" w:rsidP="00ED7A36">
      <w:pPr>
        <w:pStyle w:val="Els-referenceno-number"/>
        <w:ind w:left="0" w:firstLine="0"/>
        <w:rPr>
          <w:lang w:val="en-US"/>
        </w:rPr>
      </w:pPr>
    </w:p>
    <w:sectPr w:rsidR="008D2649" w:rsidRPr="00B51477" w:rsidSect="00D51845">
      <w:headerReference w:type="even" r:id="rId15"/>
      <w:headerReference w:type="default" r:id="rId16"/>
      <w:head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0BA5D" w14:textId="77777777" w:rsidR="00D51845" w:rsidRDefault="00D51845">
      <w:r>
        <w:separator/>
      </w:r>
    </w:p>
  </w:endnote>
  <w:endnote w:type="continuationSeparator" w:id="0">
    <w:p w14:paraId="070E913B" w14:textId="77777777" w:rsidR="00D51845" w:rsidRDefault="00D51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2931C" w14:textId="77777777" w:rsidR="00D51845" w:rsidRDefault="00D51845">
      <w:r>
        <w:separator/>
      </w:r>
    </w:p>
  </w:footnote>
  <w:footnote w:type="continuationSeparator" w:id="0">
    <w:p w14:paraId="4A3046D9" w14:textId="77777777" w:rsidR="00D51845" w:rsidRDefault="00D51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1DD82A6B" w:rsidR="00DD3D9E" w:rsidRDefault="00DD3D9E">
    <w:pPr>
      <w:pStyle w:val="a5"/>
      <w:tabs>
        <w:tab w:val="clear" w:pos="7200"/>
        <w:tab w:val="right" w:pos="7088"/>
      </w:tabs>
    </w:pPr>
    <w:r>
      <w:rPr>
        <w:rStyle w:val="aa"/>
      </w:rPr>
      <w:tab/>
    </w:r>
    <w:r>
      <w:rPr>
        <w:rStyle w:val="aa"/>
        <w:i/>
      </w:rPr>
      <w:tab/>
    </w:r>
    <w:r w:rsidR="00DF4E13">
      <w:rPr>
        <w:rStyle w:val="aa"/>
        <w:i/>
      </w:rPr>
      <w:t>K. Okamoto at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62A4610F" w:rsidR="00DD3D9E" w:rsidRDefault="00E75F7C" w:rsidP="00E75F7C">
    <w:pPr>
      <w:pStyle w:val="a5"/>
      <w:tabs>
        <w:tab w:val="clear" w:pos="7200"/>
        <w:tab w:val="right" w:pos="7088"/>
      </w:tabs>
      <w:rPr>
        <w:sz w:val="24"/>
      </w:rPr>
    </w:pPr>
    <w:r w:rsidRPr="00E75F7C">
      <w:rPr>
        <w:i/>
      </w:rPr>
      <w:t>CFD-based Design of Laminated Microdevice with 3D Serpentine Channel for Submillisecond Mixing</w:t>
    </w:r>
    <w:r w:rsidR="00DD3D9E">
      <w:rPr>
        <w:rStyle w:val="aa"/>
        <w:i/>
        <w:sz w:val="24"/>
      </w:rPr>
      <w:tab/>
    </w:r>
    <w:r w:rsidR="00DD3D9E">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3960"/>
    <w:rsid w:val="00086A1D"/>
    <w:rsid w:val="000B6EC1"/>
    <w:rsid w:val="000D3D9B"/>
    <w:rsid w:val="0016032F"/>
    <w:rsid w:val="001879F6"/>
    <w:rsid w:val="001C0148"/>
    <w:rsid w:val="001C757E"/>
    <w:rsid w:val="001E2B07"/>
    <w:rsid w:val="0020390F"/>
    <w:rsid w:val="00211D00"/>
    <w:rsid w:val="00264926"/>
    <w:rsid w:val="002E64AE"/>
    <w:rsid w:val="003D1582"/>
    <w:rsid w:val="003D7E4C"/>
    <w:rsid w:val="003E41C2"/>
    <w:rsid w:val="0049772C"/>
    <w:rsid w:val="00552EEB"/>
    <w:rsid w:val="005D3104"/>
    <w:rsid w:val="006A69BF"/>
    <w:rsid w:val="006E60CD"/>
    <w:rsid w:val="00711DF4"/>
    <w:rsid w:val="007341F1"/>
    <w:rsid w:val="00750AB7"/>
    <w:rsid w:val="007D70A1"/>
    <w:rsid w:val="008132E8"/>
    <w:rsid w:val="00823407"/>
    <w:rsid w:val="00857B3C"/>
    <w:rsid w:val="008B0184"/>
    <w:rsid w:val="008C5D02"/>
    <w:rsid w:val="008C7852"/>
    <w:rsid w:val="008D2649"/>
    <w:rsid w:val="0090568D"/>
    <w:rsid w:val="009125C9"/>
    <w:rsid w:val="00913879"/>
    <w:rsid w:val="00917661"/>
    <w:rsid w:val="00970E5D"/>
    <w:rsid w:val="0097701C"/>
    <w:rsid w:val="00980A65"/>
    <w:rsid w:val="00A25E70"/>
    <w:rsid w:val="00A33765"/>
    <w:rsid w:val="00A63269"/>
    <w:rsid w:val="00A76B1A"/>
    <w:rsid w:val="00A92377"/>
    <w:rsid w:val="00AB29ED"/>
    <w:rsid w:val="00AE4BD8"/>
    <w:rsid w:val="00AE562A"/>
    <w:rsid w:val="00AF4918"/>
    <w:rsid w:val="00AF5D43"/>
    <w:rsid w:val="00B4388F"/>
    <w:rsid w:val="00B51477"/>
    <w:rsid w:val="00B63237"/>
    <w:rsid w:val="00C960DC"/>
    <w:rsid w:val="00CE66CA"/>
    <w:rsid w:val="00D02C75"/>
    <w:rsid w:val="00D10E22"/>
    <w:rsid w:val="00D13D2C"/>
    <w:rsid w:val="00D51845"/>
    <w:rsid w:val="00D65747"/>
    <w:rsid w:val="00DC2F94"/>
    <w:rsid w:val="00DC522A"/>
    <w:rsid w:val="00DD3D9E"/>
    <w:rsid w:val="00DD7908"/>
    <w:rsid w:val="00DF4E13"/>
    <w:rsid w:val="00E75F7C"/>
    <w:rsid w:val="00E82297"/>
    <w:rsid w:val="00ED7A36"/>
    <w:rsid w:val="00EF39FD"/>
    <w:rsid w:val="00F06842"/>
    <w:rsid w:val="00F107FD"/>
    <w:rsid w:val="00FA4A3B"/>
    <w:rsid w:val="00FB64A8"/>
    <w:rsid w:val="00FE26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0184"/>
    <w:rPr>
      <w:lang w:eastAsia="en-US"/>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305</TotalTime>
  <Pages>6</Pages>
  <Words>2110</Words>
  <Characters>12029</Characters>
  <Application>Microsoft Office Word</Application>
  <DocSecurity>0</DocSecurity>
  <Lines>100</Lines>
  <Paragraphs>28</Paragraphs>
  <ScaleCrop>false</ScaleCrop>
  <HeadingPairs>
    <vt:vector size="6" baseType="variant">
      <vt:variant>
        <vt:lpstr>タイトル</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Psetono Kyototono</cp:lastModifiedBy>
  <cp:revision>24</cp:revision>
  <cp:lastPrinted>2024-01-10T01:35:00Z</cp:lastPrinted>
  <dcterms:created xsi:type="dcterms:W3CDTF">2023-10-02T07:50:00Z</dcterms:created>
  <dcterms:modified xsi:type="dcterms:W3CDTF">2024-01-11T04:31:00Z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