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743AC4BB" w:rsidR="00DD3D9E" w:rsidRPr="00B4388F" w:rsidRDefault="00D3426B" w:rsidP="00877993">
      <w:pPr>
        <w:pStyle w:val="Els-Title"/>
        <w:ind w:firstLineChars="100" w:firstLine="320"/>
        <w:rPr>
          <w:color w:val="000000" w:themeColor="text1"/>
        </w:rPr>
      </w:pPr>
      <w:bookmarkStart w:id="0" w:name="_GoBack"/>
      <w:bookmarkEnd w:id="0"/>
      <w:r>
        <w:rPr>
          <w:rFonts w:hint="eastAsia"/>
          <w:color w:val="000000" w:themeColor="text1"/>
          <w:lang w:eastAsia="zh-TW"/>
        </w:rPr>
        <w:t>D</w:t>
      </w:r>
      <w:r>
        <w:rPr>
          <w:color w:val="000000" w:themeColor="text1"/>
          <w:lang w:eastAsia="zh-TW"/>
        </w:rPr>
        <w:t>ata Depth-based Non-</w:t>
      </w:r>
      <w:r w:rsidR="00793C84">
        <w:rPr>
          <w:color w:val="000000" w:themeColor="text1"/>
          <w:lang w:eastAsia="zh-TW"/>
        </w:rPr>
        <w:t>p</w:t>
      </w:r>
      <w:r>
        <w:rPr>
          <w:color w:val="000000" w:themeColor="text1"/>
          <w:lang w:eastAsia="zh-TW"/>
        </w:rPr>
        <w:t xml:space="preserve">arametric Control Chart </w:t>
      </w:r>
      <w:r w:rsidR="00452C71">
        <w:rPr>
          <w:color w:val="000000" w:themeColor="text1"/>
          <w:lang w:eastAsia="zh-TW"/>
        </w:rPr>
        <w:t>for Condition Monitoring of Rolling Element Bearings</w:t>
      </w:r>
    </w:p>
    <w:p w14:paraId="7ACAFD1D" w14:textId="0CE7EE3A" w:rsidR="00452C71" w:rsidRPr="008041B9" w:rsidRDefault="00452C71" w:rsidP="00452C71">
      <w:pPr>
        <w:pStyle w:val="Els-Title"/>
        <w:spacing w:line="320" w:lineRule="atLeast"/>
        <w:rPr>
          <w:b w:val="0"/>
          <w:bCs/>
          <w:color w:val="000000" w:themeColor="text1"/>
          <w:sz w:val="22"/>
          <w:szCs w:val="22"/>
          <w:vertAlign w:val="superscript"/>
          <w:lang w:eastAsia="zh-TW"/>
        </w:rPr>
      </w:pPr>
      <w:r>
        <w:rPr>
          <w:b w:val="0"/>
          <w:bCs/>
          <w:sz w:val="22"/>
          <w:szCs w:val="22"/>
        </w:rPr>
        <w:t xml:space="preserve">I-Yen </w:t>
      </w:r>
      <w:proofErr w:type="spellStart"/>
      <w:r>
        <w:rPr>
          <w:b w:val="0"/>
          <w:bCs/>
          <w:sz w:val="22"/>
          <w:szCs w:val="22"/>
        </w:rPr>
        <w:t>Wu</w:t>
      </w:r>
      <w:r w:rsidRPr="008041B9">
        <w:rPr>
          <w:b w:val="0"/>
          <w:bCs/>
          <w:sz w:val="22"/>
          <w:szCs w:val="22"/>
          <w:vertAlign w:val="superscript"/>
        </w:rPr>
        <w:t>a</w:t>
      </w:r>
      <w:proofErr w:type="spellEnd"/>
      <w:r w:rsidRPr="00AE6021">
        <w:rPr>
          <w:b w:val="0"/>
          <w:bCs/>
          <w:sz w:val="22"/>
          <w:szCs w:val="22"/>
        </w:rPr>
        <w:t xml:space="preserve">, </w:t>
      </w:r>
      <w:r w:rsidR="009852AE" w:rsidRPr="009852AE">
        <w:rPr>
          <w:b w:val="0"/>
          <w:bCs/>
          <w:sz w:val="22"/>
          <w:szCs w:val="22"/>
        </w:rPr>
        <w:t>David Shan-Hill Wong</w:t>
      </w:r>
      <w:r w:rsidR="00F922E9" w:rsidRPr="00F922E9">
        <w:rPr>
          <w:b w:val="0"/>
          <w:bCs/>
          <w:sz w:val="22"/>
          <w:szCs w:val="22"/>
          <w:vertAlign w:val="superscript"/>
        </w:rPr>
        <w:t>a</w:t>
      </w:r>
      <w:r w:rsidR="009852AE">
        <w:rPr>
          <w:b w:val="0"/>
          <w:bCs/>
          <w:sz w:val="22"/>
          <w:szCs w:val="22"/>
        </w:rPr>
        <w:t>,</w:t>
      </w:r>
      <w:r w:rsidR="00254D74">
        <w:rPr>
          <w:b w:val="0"/>
          <w:bCs/>
          <w:sz w:val="22"/>
          <w:szCs w:val="22"/>
        </w:rPr>
        <w:t xml:space="preserve"> </w:t>
      </w:r>
      <w:r w:rsidR="00661A42" w:rsidRPr="00661A42">
        <w:rPr>
          <w:b w:val="0"/>
          <w:bCs/>
          <w:sz w:val="22"/>
          <w:szCs w:val="22"/>
        </w:rPr>
        <w:t>Yu-</w:t>
      </w:r>
      <w:proofErr w:type="spellStart"/>
      <w:r w:rsidR="00661A42" w:rsidRPr="00661A42">
        <w:rPr>
          <w:b w:val="0"/>
          <w:bCs/>
          <w:sz w:val="22"/>
          <w:szCs w:val="22"/>
        </w:rPr>
        <w:t>Jeng</w:t>
      </w:r>
      <w:proofErr w:type="spellEnd"/>
      <w:r w:rsidR="00661A42" w:rsidRPr="00661A42">
        <w:rPr>
          <w:b w:val="0"/>
          <w:bCs/>
          <w:sz w:val="22"/>
          <w:szCs w:val="22"/>
        </w:rPr>
        <w:t xml:space="preserve"> Lin</w:t>
      </w:r>
      <w:r w:rsidR="00661A42">
        <w:rPr>
          <w:b w:val="0"/>
          <w:bCs/>
          <w:sz w:val="22"/>
          <w:szCs w:val="22"/>
          <w:vertAlign w:val="superscript"/>
        </w:rPr>
        <w:t>a</w:t>
      </w:r>
      <w:r w:rsidR="00661A42">
        <w:rPr>
          <w:b w:val="0"/>
          <w:bCs/>
          <w:sz w:val="22"/>
          <w:szCs w:val="22"/>
        </w:rPr>
        <w:t>,</w:t>
      </w:r>
      <w:r w:rsidR="009852AE">
        <w:rPr>
          <w:b w:val="0"/>
          <w:bCs/>
          <w:sz w:val="22"/>
          <w:szCs w:val="22"/>
        </w:rPr>
        <w:t xml:space="preserve"> </w:t>
      </w:r>
      <w:r w:rsidRPr="00C756F5">
        <w:rPr>
          <w:b w:val="0"/>
          <w:bCs/>
          <w:sz w:val="22"/>
          <w:szCs w:val="22"/>
        </w:rPr>
        <w:t xml:space="preserve">Jia-Lin </w:t>
      </w:r>
      <w:proofErr w:type="spellStart"/>
      <w:r w:rsidRPr="00C756F5">
        <w:rPr>
          <w:b w:val="0"/>
          <w:bCs/>
          <w:sz w:val="22"/>
          <w:szCs w:val="22"/>
        </w:rPr>
        <w:t>Kang</w:t>
      </w:r>
      <w:r>
        <w:rPr>
          <w:b w:val="0"/>
          <w:bCs/>
          <w:sz w:val="22"/>
          <w:szCs w:val="22"/>
          <w:vertAlign w:val="superscript"/>
        </w:rPr>
        <w:t>b</w:t>
      </w:r>
      <w:proofErr w:type="spellEnd"/>
      <w:r w:rsidRPr="00AE6021">
        <w:rPr>
          <w:b w:val="0"/>
          <w:bCs/>
          <w:sz w:val="22"/>
          <w:szCs w:val="22"/>
        </w:rPr>
        <w:t>*</w:t>
      </w:r>
      <w:r w:rsidRPr="008041B9">
        <w:rPr>
          <w:b w:val="0"/>
          <w:bCs/>
          <w:sz w:val="22"/>
          <w:szCs w:val="22"/>
        </w:rPr>
        <w:t>,</w:t>
      </w:r>
      <w:r>
        <w:rPr>
          <w:b w:val="0"/>
          <w:bCs/>
          <w:sz w:val="22"/>
          <w:szCs w:val="22"/>
        </w:rPr>
        <w:t xml:space="preserve"> </w:t>
      </w:r>
      <w:r w:rsidRPr="00AE6021">
        <w:rPr>
          <w:b w:val="0"/>
          <w:bCs/>
          <w:sz w:val="22"/>
          <w:szCs w:val="22"/>
        </w:rPr>
        <w:t xml:space="preserve">Yuan </w:t>
      </w:r>
      <w:proofErr w:type="spellStart"/>
      <w:r w:rsidRPr="00AE6021">
        <w:rPr>
          <w:b w:val="0"/>
          <w:bCs/>
          <w:sz w:val="22"/>
          <w:szCs w:val="22"/>
        </w:rPr>
        <w:t>Yao</w:t>
      </w:r>
      <w:r w:rsidRPr="008041B9">
        <w:rPr>
          <w:b w:val="0"/>
          <w:bCs/>
          <w:sz w:val="22"/>
          <w:szCs w:val="22"/>
          <w:vertAlign w:val="superscript"/>
        </w:rPr>
        <w:t>a</w:t>
      </w:r>
      <w:proofErr w:type="spellEnd"/>
      <w:r w:rsidRPr="00AE6021">
        <w:rPr>
          <w:b w:val="0"/>
          <w:bCs/>
          <w:sz w:val="22"/>
          <w:szCs w:val="22"/>
        </w:rPr>
        <w:t>*</w:t>
      </w:r>
      <w:r>
        <w:rPr>
          <w:b w:val="0"/>
          <w:bCs/>
          <w:sz w:val="22"/>
          <w:szCs w:val="22"/>
        </w:rPr>
        <w:t xml:space="preserve"> </w:t>
      </w:r>
    </w:p>
    <w:p w14:paraId="585D40B0" w14:textId="77777777" w:rsidR="00452C71" w:rsidRDefault="00452C71" w:rsidP="00452C71">
      <w:pPr>
        <w:pStyle w:val="Els-Affiliation"/>
        <w:spacing w:line="320" w:lineRule="atLeast"/>
        <w:rPr>
          <w:sz w:val="22"/>
          <w:szCs w:val="22"/>
          <w:lang w:eastAsia="zh-TW"/>
        </w:rPr>
      </w:pPr>
      <w:r w:rsidRPr="008041B9">
        <w:rPr>
          <w:sz w:val="22"/>
          <w:szCs w:val="22"/>
          <w:vertAlign w:val="superscript"/>
        </w:rPr>
        <w:t>a</w:t>
      </w:r>
      <w:r>
        <w:rPr>
          <w:sz w:val="22"/>
          <w:szCs w:val="22"/>
          <w:vertAlign w:val="superscript"/>
        </w:rPr>
        <w:t xml:space="preserve"> </w:t>
      </w:r>
      <w:r w:rsidRPr="00AE6021">
        <w:rPr>
          <w:sz w:val="22"/>
          <w:szCs w:val="22"/>
        </w:rPr>
        <w:t>Department of Chemical Engineering, National Tsing Hua University, Hsinchu, 30013,</w:t>
      </w:r>
      <w:r w:rsidRPr="00AE6021">
        <w:rPr>
          <w:rFonts w:hint="eastAsia"/>
          <w:sz w:val="22"/>
          <w:szCs w:val="22"/>
          <w:lang w:eastAsia="zh-TW"/>
        </w:rPr>
        <w:t xml:space="preserve"> Ta</w:t>
      </w:r>
      <w:r w:rsidRPr="00AE6021">
        <w:rPr>
          <w:sz w:val="22"/>
          <w:szCs w:val="22"/>
          <w:lang w:eastAsia="zh-TW"/>
        </w:rPr>
        <w:t>iwan, ROC</w:t>
      </w:r>
    </w:p>
    <w:p w14:paraId="0C878339" w14:textId="77777777" w:rsidR="00452C71" w:rsidRDefault="00452C71" w:rsidP="00452C71">
      <w:pPr>
        <w:pStyle w:val="Els-Affiliation"/>
        <w:spacing w:line="320" w:lineRule="atLeast"/>
      </w:pPr>
      <w:r w:rsidRPr="008041B9">
        <w:rPr>
          <w:rFonts w:hint="eastAsia"/>
          <w:sz w:val="22"/>
          <w:szCs w:val="22"/>
          <w:vertAlign w:val="superscript"/>
          <w:lang w:eastAsia="zh-TW"/>
        </w:rPr>
        <w:t>b</w:t>
      </w:r>
      <w:r>
        <w:rPr>
          <w:sz w:val="22"/>
          <w:szCs w:val="22"/>
          <w:vertAlign w:val="superscript"/>
          <w:lang w:eastAsia="zh-TW"/>
        </w:rPr>
        <w:t xml:space="preserve"> </w:t>
      </w:r>
      <w:r w:rsidRPr="00C756F5">
        <w:t xml:space="preserve">Department of Chemical and Materials Engineering, National Yunlin University of Science and Technology, Yunlin, 64002, Taiwan, ROC </w:t>
      </w:r>
    </w:p>
    <w:p w14:paraId="45C1C8AB" w14:textId="77777777" w:rsidR="00452C71" w:rsidRDefault="00452C71" w:rsidP="00452C71">
      <w:pPr>
        <w:pStyle w:val="Els-Affiliation"/>
        <w:spacing w:line="320" w:lineRule="atLeast"/>
        <w:rPr>
          <w:sz w:val="22"/>
          <w:szCs w:val="22"/>
        </w:rPr>
      </w:pPr>
      <w:r w:rsidRPr="00AE6021">
        <w:rPr>
          <w:sz w:val="22"/>
          <w:szCs w:val="22"/>
        </w:rPr>
        <w:t>*Corresponding Authors:</w:t>
      </w:r>
      <w:r w:rsidRPr="00991BA2">
        <w:t xml:space="preserve"> </w:t>
      </w:r>
      <w:r w:rsidRPr="00991BA2">
        <w:rPr>
          <w:rStyle w:val="a9"/>
          <w:sz w:val="22"/>
          <w:szCs w:val="22"/>
        </w:rPr>
        <w:t xml:space="preserve">jlkang@yuntech.edu.tw </w:t>
      </w:r>
      <w:r w:rsidRPr="00991BA2">
        <w:rPr>
          <w:rStyle w:val="a9"/>
          <w:sz w:val="22"/>
          <w:szCs w:val="22"/>
          <w:u w:val="none"/>
        </w:rPr>
        <w:t xml:space="preserve"> </w:t>
      </w:r>
      <w:r>
        <w:rPr>
          <w:rStyle w:val="a9"/>
          <w:color w:val="auto"/>
          <w:sz w:val="22"/>
          <w:szCs w:val="22"/>
          <w:u w:val="none"/>
        </w:rPr>
        <w:t xml:space="preserve">(Kang); </w:t>
      </w:r>
      <w:r w:rsidRPr="00AE6021">
        <w:rPr>
          <w:sz w:val="22"/>
          <w:szCs w:val="22"/>
        </w:rPr>
        <w:t xml:space="preserve"> </w:t>
      </w:r>
      <w:hyperlink r:id="rId8" w:history="1">
        <w:r w:rsidRPr="00AE6021">
          <w:rPr>
            <w:rStyle w:val="a9"/>
            <w:sz w:val="22"/>
            <w:szCs w:val="22"/>
          </w:rPr>
          <w:t>yyao@mx.nthu.edu.tw</w:t>
        </w:r>
      </w:hyperlink>
      <w:r w:rsidRPr="00991BA2">
        <w:rPr>
          <w:rStyle w:val="a9"/>
          <w:sz w:val="22"/>
          <w:szCs w:val="22"/>
          <w:u w:val="none"/>
        </w:rPr>
        <w:t xml:space="preserve"> </w:t>
      </w:r>
      <w:r>
        <w:rPr>
          <w:rStyle w:val="a9"/>
          <w:color w:val="auto"/>
          <w:sz w:val="22"/>
          <w:szCs w:val="22"/>
          <w:u w:val="none"/>
        </w:rPr>
        <w:t>(Yao)</w:t>
      </w:r>
    </w:p>
    <w:p w14:paraId="144DE684" w14:textId="77777777" w:rsidR="008D2649" w:rsidRDefault="008D2649" w:rsidP="008D2649">
      <w:pPr>
        <w:pStyle w:val="Els-Abstract"/>
      </w:pPr>
      <w:r>
        <w:t>Abstract</w:t>
      </w:r>
    </w:p>
    <w:p w14:paraId="12C7BBCE" w14:textId="68CFBC78" w:rsidR="00392756" w:rsidRDefault="00F922E9" w:rsidP="002B62D5">
      <w:pPr>
        <w:pStyle w:val="Els-body-text"/>
        <w:spacing w:after="120"/>
        <w:rPr>
          <w:lang w:val="en-GB"/>
        </w:rPr>
      </w:pPr>
      <w:r w:rsidRPr="00F922E9">
        <w:rPr>
          <w:lang w:val="en-GB"/>
        </w:rPr>
        <w:t>Rolling element bearings play a pivotal role in numerous industrial systems. Therefore, monitoring their condition is essential for ensuring safety and averting equipment failures. In this study, a non-parametric control chart rooted in data depth for the conditional monitoring of bearings was proposed, which transforms the multivariate bearing information into a univariate index by leveraging data sorting and the central tendency of the data cloud. We designate the well-behaved data as located at the centre of this data cloud. Subsequently, a statistic referred to as “rank” is computed for the operational data of the investigated bearing. Based on this rank calculation, we establish a health indicator for the rolling bearings. We have demonstrated the application and feasibility of this method through a case study, successfully using the indicators we created to assess the current condition of the bearings.</w:t>
      </w:r>
    </w:p>
    <w:p w14:paraId="144DE687" w14:textId="6F5A71B8" w:rsidR="008D2649" w:rsidRDefault="008D2649" w:rsidP="008D2649">
      <w:pPr>
        <w:pStyle w:val="Els-body-text"/>
        <w:spacing w:after="120"/>
        <w:rPr>
          <w:lang w:val="en-GB"/>
        </w:rPr>
      </w:pPr>
      <w:r>
        <w:rPr>
          <w:b/>
          <w:bCs/>
          <w:lang w:val="en-GB"/>
        </w:rPr>
        <w:t>Keywords</w:t>
      </w:r>
      <w:r>
        <w:rPr>
          <w:lang w:val="en-GB"/>
        </w:rPr>
        <w:t xml:space="preserve">: </w:t>
      </w:r>
      <w:r w:rsidR="0028665A">
        <w:rPr>
          <w:lang w:val="en-GB"/>
        </w:rPr>
        <w:t xml:space="preserve">data depth, </w:t>
      </w:r>
      <w:r w:rsidR="004C22F9">
        <w:rPr>
          <w:lang w:val="en-GB"/>
        </w:rPr>
        <w:t xml:space="preserve">condition monitoring, rolling </w:t>
      </w:r>
      <w:r w:rsidR="00F922E9">
        <w:rPr>
          <w:lang w:val="en-GB"/>
        </w:rPr>
        <w:t xml:space="preserve">element </w:t>
      </w:r>
      <w:r w:rsidR="004C22F9">
        <w:rPr>
          <w:lang w:val="en-GB"/>
        </w:rPr>
        <w:t>bearing</w:t>
      </w:r>
      <w:r w:rsidR="00F922E9">
        <w:rPr>
          <w:lang w:val="en-GB"/>
        </w:rPr>
        <w:t>, control chart</w:t>
      </w:r>
    </w:p>
    <w:p w14:paraId="144DE689" w14:textId="3D565CE5" w:rsidR="008D2649" w:rsidRDefault="00A34542" w:rsidP="008D2649">
      <w:pPr>
        <w:pStyle w:val="Els-1storder-head"/>
      </w:pPr>
      <w:r>
        <w:t xml:space="preserve">Introduction </w:t>
      </w:r>
    </w:p>
    <w:p w14:paraId="62D9FCBE" w14:textId="4614C217" w:rsidR="00906528" w:rsidRPr="00F748D8" w:rsidRDefault="00F922E9" w:rsidP="00906528">
      <w:pPr>
        <w:pStyle w:val="Els-body-text"/>
        <w:spacing w:after="120"/>
        <w:rPr>
          <w:rFonts w:eastAsia="PMingLiU"/>
          <w:szCs w:val="24"/>
          <w:shd w:val="clear" w:color="auto" w:fill="FFFFFF"/>
        </w:rPr>
      </w:pPr>
      <w:r w:rsidRPr="00AD3ECB">
        <w:t>Given their critical role in various industrial systems, it is essential to monitor the condition of rolling element bearings to ensure safety and prevent equipment breakdowns</w:t>
      </w:r>
      <w:r w:rsidR="00F2620A">
        <w:fldChar w:fldCharType="begin"/>
      </w:r>
      <w:r w:rsidR="00F2620A">
        <w:instrText xml:space="preserve"> ADDIN EN.CITE &lt;EndNote&gt;&lt;Cite&gt;&lt;Author&gt;Lei&lt;/Author&gt;&lt;Year&gt;2018&lt;/Year&gt;&lt;RecNum&gt;19&lt;/RecNum&gt;&lt;DisplayText&gt;(Lei, Li et al. 2018)&lt;/DisplayText&gt;&lt;record&gt;&lt;rec-number&gt;19&lt;/rec-number&gt;&lt;foreign-keys&gt;&lt;key app="EN" db-id="5xz2tx2rgd2w2peewaxpdptva200zpzttexr" timestamp="1701291231"&gt;19&lt;/key&gt;&lt;/foreign-keys&gt;&lt;ref-type name="Journal Article"&gt;17&lt;/ref-type&gt;&lt;contributors&gt;&lt;authors&gt;&lt;author&gt;Lei, Yaguo&lt;/author&gt;&lt;author&gt;Li, Naipeng&lt;/author&gt;&lt;author&gt;Guo, Liang&lt;/author&gt;&lt;author&gt;Li, Ningbo&lt;/author&gt;&lt;author&gt;Yan, Tao&lt;/author&gt;&lt;author&gt;Lin, Jing&lt;/author&gt;&lt;/authors&gt;&lt;/contributors&gt;&lt;titles&gt;&lt;title&gt;Machinery health prognostics: A systematic review from data acquisition to RUL prediction&lt;/title&gt;&lt;secondary-title&gt;Mechanical systems and signal processing&lt;/secondary-title&gt;&lt;/titles&gt;&lt;periodical&gt;&lt;full-title&gt;Mechanical systems and signal processing&lt;/full-title&gt;&lt;/periodical&gt;&lt;pages&gt;799-834&lt;/pages&gt;&lt;volume&gt;104&lt;/volume&gt;&lt;dates&gt;&lt;year&gt;2018&lt;/year&gt;&lt;/dates&gt;&lt;isbn&gt;0888-3270&lt;/isbn&gt;&lt;urls&gt;&lt;/urls&gt;&lt;/record&gt;&lt;/Cite&gt;&lt;/EndNote&gt;</w:instrText>
      </w:r>
      <w:r w:rsidR="00F2620A">
        <w:fldChar w:fldCharType="separate"/>
      </w:r>
      <w:r w:rsidR="00F2620A">
        <w:rPr>
          <w:noProof/>
        </w:rPr>
        <w:t>(Lei, Li et al. 2018)</w:t>
      </w:r>
      <w:r w:rsidR="00F2620A">
        <w:fldChar w:fldCharType="end"/>
      </w:r>
      <w:r w:rsidRPr="00AD3ECB">
        <w:t>.</w:t>
      </w:r>
      <w:r>
        <w:t xml:space="preserve"> The Shock Pulse Method (SPM)</w:t>
      </w:r>
      <w:r w:rsidR="00F2620A" w:rsidRPr="00661A42">
        <w:fldChar w:fldCharType="begin"/>
      </w:r>
      <w:r w:rsidR="00F2620A" w:rsidRPr="00661A42">
        <w:instrText xml:space="preserve"> ADDIN EN.CITE &lt;EndNote&gt;&lt;Cite&gt;&lt;Author&gt;Zhang&lt;/Author&gt;&lt;Year&gt;2014&lt;/Year&gt;&lt;RecNum&gt;3&lt;/RecNum&gt;&lt;DisplayText&gt;(Zhang, Zhao et al. 2014)&lt;/DisplayText&gt;&lt;record&gt;&lt;rec-number&gt;3&lt;/rec-number&gt;&lt;foreign-keys&gt;&lt;key app="EN" db-id="5xz2tx2rgd2w2peewaxpdptva200zpzttexr" timestamp="1697420549"&gt;3&lt;/key&gt;&lt;/foreign-keys&gt;&lt;ref-type name="Journal Article"&gt;17&lt;/ref-type&gt;&lt;contributors&gt;&lt;authors&gt;&lt;author&gt;Zhang, Xinghui&lt;/author&gt;&lt;author&gt;Zhao, Jianmin&lt;/author&gt;&lt;author&gt;Kang, Jianshe&lt;/author&gt;&lt;author&gt;Li, Haiping&lt;/author&gt;&lt;author&gt;Teng, Hongzhi&lt;/author&gt;&lt;/authors&gt;&lt;/contributors&gt;&lt;titles&gt;&lt;title&gt;Bearing prognostics with non-trendable behavior based on shock pulse method and frequency analysis&lt;/title&gt;&lt;secondary-title&gt;Journal of Vibroengineering&lt;/secondary-title&gt;&lt;/titles&gt;&lt;periodical&gt;&lt;full-title&gt;Journal of Vibroengineering&lt;/full-title&gt;&lt;/periodical&gt;&lt;pages&gt;3963-3976&lt;/pages&gt;&lt;volume&gt;16&lt;/volume&gt;&lt;number&gt;8&lt;/number&gt;&lt;dates&gt;&lt;year&gt;2014&lt;/year&gt;&lt;/dates&gt;&lt;isbn&gt;1392-8716&lt;/isbn&gt;&lt;urls&gt;&lt;/urls&gt;&lt;/record&gt;&lt;/Cite&gt;&lt;/EndNote&gt;</w:instrText>
      </w:r>
      <w:r w:rsidR="00F2620A" w:rsidRPr="00661A42">
        <w:fldChar w:fldCharType="separate"/>
      </w:r>
      <w:r w:rsidR="00F2620A" w:rsidRPr="00661A42">
        <w:rPr>
          <w:noProof/>
        </w:rPr>
        <w:t>(Zhang, Zhao et al. 2014)</w:t>
      </w:r>
      <w:r w:rsidR="00F2620A" w:rsidRPr="00661A42">
        <w:fldChar w:fldCharType="end"/>
      </w:r>
      <w:r w:rsidR="00F2620A">
        <w:t xml:space="preserve"> </w:t>
      </w:r>
      <w:r>
        <w:t xml:space="preserve">serves as a valuable diagnostic tool for rapidly assessing the operational state of these bearings. SPM extracts data from high-frequency vibrations to obtain two primary vibration features, namely LR (Low-Frequency Resonance) and HR (High-Frequency Resonance) which served as the basis for assessing equipment health. However, this health assessment lacks quantitative scaling and requires manual definition to confirm the current health status. In the analysis of bearings conditional monitoring (CM), various </w:t>
      </w:r>
      <w:r>
        <w:lastRenderedPageBreak/>
        <w:t>vibration characteristics are typically examined. However, it can be challenging to observe equipment health status with multiple variable indicators. Therefore, a reasonable and an intuitive metric should be provided as an indicator of equipment condition.</w:t>
      </w:r>
      <w:r w:rsidR="00906528" w:rsidRPr="00906528">
        <w:rPr>
          <w:rFonts w:eastAsia="PMingLiU"/>
          <w:szCs w:val="24"/>
          <w:shd w:val="clear" w:color="auto" w:fill="FFFFFF"/>
        </w:rPr>
        <w:t xml:space="preserve"> </w:t>
      </w:r>
    </w:p>
    <w:p w14:paraId="35368C2B" w14:textId="79EB2AD3" w:rsidR="005A0DE5" w:rsidRPr="005A0DE5" w:rsidRDefault="00F922E9" w:rsidP="00F922E9">
      <w:pPr>
        <w:pStyle w:val="Els-body-text"/>
      </w:pPr>
      <w:r w:rsidRPr="00F922E9">
        <w:rPr>
          <w:lang w:val="en-GB"/>
        </w:rPr>
        <w:t xml:space="preserve">Principal Component Analysis (PCA) is a widely used tool for multivariate monitoring, including the condition monitoring of rolling element bearings </w:t>
      </w:r>
      <w:r w:rsidR="00F2620A">
        <w:rPr>
          <w:lang w:val="en-GB"/>
        </w:rPr>
        <w:fldChar w:fldCharType="begin"/>
      </w:r>
      <w:r w:rsidR="00F2620A">
        <w:rPr>
          <w:lang w:val="en-GB"/>
        </w:rPr>
        <w:instrText xml:space="preserve"> ADDIN EN.CITE &lt;EndNote&gt;&lt;Cite&gt;&lt;Author&gt;Ahsan&lt;/Author&gt;&lt;Year&gt;2018&lt;/Year&gt;&lt;RecNum&gt;4&lt;/RecNum&gt;&lt;DisplayText&gt;(Ahsan, Mashuri et al. 2018)&lt;/DisplayText&gt;&lt;record&gt;&lt;rec-number&gt;4&lt;/rec-number&gt;&lt;foreign-keys&gt;&lt;key app="EN" db-id="5xz2tx2rgd2w2peewaxpdptva200zpzttexr" timestamp="1697423781"&gt;4&lt;/key&gt;&lt;/foreign-keys&gt;&lt;ref-type name="Journal Article"&gt;17&lt;/ref-type&gt;&lt;contributors&gt;&lt;authors&gt;&lt;author&gt;Ahsan, Muhammad&lt;/author&gt;&lt;author&gt;Mashuri, Muhammad&lt;/author&gt;&lt;author&gt;Kuswanto, Heri&lt;/author&gt;&lt;author&gt;Prastyo, Dedy Dwi&lt;/author&gt;&lt;/authors&gt;&lt;/contributors&gt;&lt;titles&gt;&lt;title&gt;Intrusion detection system using multivariate control chart Hotelling’s T2 based on PCA&lt;/title&gt;&lt;secondary-title&gt;Int. J. Adv. Sci. Eng. Inf. Technol&lt;/secondary-title&gt;&lt;/titles&gt;&lt;periodical&gt;&lt;full-title&gt;Int. J. Adv. Sci. Eng. Inf. Technol&lt;/full-title&gt;&lt;/periodical&gt;&lt;pages&gt;1905-1911&lt;/pages&gt;&lt;volume&gt;8&lt;/volume&gt;&lt;number&gt;5&lt;/number&gt;&lt;dates&gt;&lt;year&gt;2018&lt;/year&gt;&lt;/dates&gt;&lt;urls&gt;&lt;/urls&gt;&lt;/record&gt;&lt;/Cite&gt;&lt;/EndNote&gt;</w:instrText>
      </w:r>
      <w:r w:rsidR="00F2620A">
        <w:rPr>
          <w:lang w:val="en-GB"/>
        </w:rPr>
        <w:fldChar w:fldCharType="separate"/>
      </w:r>
      <w:r w:rsidR="00F2620A">
        <w:rPr>
          <w:noProof/>
          <w:lang w:val="en-GB"/>
        </w:rPr>
        <w:t>(Ahsan, Mashuri et al. 2018)</w:t>
      </w:r>
      <w:r w:rsidR="00F2620A">
        <w:rPr>
          <w:lang w:val="en-GB"/>
        </w:rPr>
        <w:fldChar w:fldCharType="end"/>
      </w:r>
      <w:r w:rsidRPr="00F2620A">
        <w:rPr>
          <w:lang w:val="en-GB"/>
        </w:rPr>
        <w:t>.</w:t>
      </w:r>
      <w:r w:rsidRPr="00F922E9">
        <w:rPr>
          <w:lang w:val="en-GB"/>
        </w:rPr>
        <w:t xml:space="preserve"> </w:t>
      </w:r>
      <w:r w:rsidR="006E6969" w:rsidRPr="006E6969">
        <w:rPr>
          <w:lang w:val="en-GB"/>
        </w:rPr>
        <w:t>However, its reliance on the Gaussian distribution assumption often poses a significant challenge in practical scenarios, particularly when the data deviates from this assumed distribution, which is a common occurrence in the condition monitoring (CM) of rolling element bearings.</w:t>
      </w:r>
      <w:r w:rsidRPr="00F922E9">
        <w:rPr>
          <w:lang w:val="en-GB"/>
        </w:rPr>
        <w:t xml:space="preserve"> This can lead to misleading results from control charts. To address this, we have developed a nonparametric control chart based on data depth, specifically Tukey depth, which does not require any assumptions about data distributions. This method allows for the creation of a health indicator that accurately quantifies the condition of rolling bearings over time. The effectiveness of this approach is demonstrated through a case study.</w:t>
      </w:r>
    </w:p>
    <w:p w14:paraId="144DE69A" w14:textId="6F474DCF" w:rsidR="008D2649" w:rsidRDefault="00B503EE" w:rsidP="000147C3">
      <w:pPr>
        <w:pStyle w:val="Els-1storder-head"/>
      </w:pPr>
      <w:r>
        <w:rPr>
          <w:rFonts w:hint="eastAsia"/>
          <w:lang w:eastAsia="zh-TW"/>
        </w:rPr>
        <w:t>Me</w:t>
      </w:r>
      <w:r>
        <w:rPr>
          <w:lang w:eastAsia="zh-TW"/>
        </w:rPr>
        <w:t>thodology</w:t>
      </w:r>
    </w:p>
    <w:p w14:paraId="144DE69D" w14:textId="04EBB853" w:rsidR="008D2649" w:rsidRDefault="009971CF" w:rsidP="008D2649">
      <w:pPr>
        <w:pStyle w:val="Els-2ndorder-head"/>
      </w:pPr>
      <w:r>
        <w:t>Data depth</w:t>
      </w:r>
    </w:p>
    <w:p w14:paraId="2E35F770" w14:textId="6E0497D4" w:rsidR="00906528" w:rsidRPr="00F748D8" w:rsidRDefault="00966CA4" w:rsidP="00906528">
      <w:pPr>
        <w:pStyle w:val="Els-body-text"/>
        <w:spacing w:after="120"/>
        <w:rPr>
          <w:rFonts w:eastAsia="PMingLiU"/>
          <w:szCs w:val="24"/>
          <w:shd w:val="clear" w:color="auto" w:fill="FFFFFF"/>
        </w:rPr>
      </w:pPr>
      <w:r>
        <w:t xml:space="preserve">The </w:t>
      </w:r>
      <w:r w:rsidR="009971CF">
        <w:t>concept of</w:t>
      </w:r>
      <w:r>
        <w:t xml:space="preserve"> </w:t>
      </w:r>
      <w:r w:rsidR="009971CF">
        <w:t xml:space="preserve">data </w:t>
      </w:r>
      <w:r>
        <w:t xml:space="preserve">depth was first </w:t>
      </w:r>
      <w:r w:rsidR="009971CF">
        <w:t xml:space="preserve">introduced </w:t>
      </w:r>
      <w:r>
        <w:t>by Tukey</w:t>
      </w:r>
      <w:r w:rsidR="009971CF">
        <w:t xml:space="preserve"> et al. </w:t>
      </w:r>
      <w:r w:rsidR="00CD60A0" w:rsidRPr="00CD60A0">
        <w:fldChar w:fldCharType="begin"/>
      </w:r>
      <w:r w:rsidR="00CD60A0" w:rsidRPr="00CD60A0">
        <w:instrText xml:space="preserve"> ADDIN EN.CITE &lt;EndNote&gt;&lt;Cite&gt;&lt;Author&gt;Tukey&lt;/Author&gt;&lt;Year&gt;1975&lt;/Year&gt;&lt;RecNum&gt;16&lt;/RecNum&gt;&lt;DisplayText&gt;(Tukey 1975)&lt;/DisplayText&gt;&lt;record&gt;&lt;rec-number&gt;16&lt;/rec-number&gt;&lt;foreign-keys&gt;&lt;key app="EN" db-id="5xz2tx2rgd2w2peewaxpdptva200zpzttexr" timestamp="1697535298"&gt;16&lt;/key&gt;&lt;/foreign-keys&gt;&lt;ref-type name="Conference Proceedings"&gt;10&lt;/ref-type&gt;&lt;contributors&gt;&lt;authors&gt;&lt;author&gt;Tukey, John W&lt;/author&gt;&lt;/authors&gt;&lt;/contributors&gt;&lt;titles&gt;&lt;title&gt;Mathematics and the picturing of data&lt;/title&gt;&lt;secondary-title&gt;Proceedings of the International Congress of Mathematicians, Vancouver, 1975&lt;/secondary-title&gt;&lt;/titles&gt;&lt;pages&gt;523-531&lt;/pages&gt;&lt;volume&gt;2&lt;/volume&gt;&lt;dates&gt;&lt;year&gt;1975&lt;/year&gt;&lt;/dates&gt;&lt;urls&gt;&lt;/urls&gt;&lt;/record&gt;&lt;/Cite&gt;&lt;/EndNote&gt;</w:instrText>
      </w:r>
      <w:r w:rsidR="00CD60A0" w:rsidRPr="00CD60A0">
        <w:fldChar w:fldCharType="separate"/>
      </w:r>
      <w:r w:rsidR="00CD60A0" w:rsidRPr="00CD60A0">
        <w:rPr>
          <w:noProof/>
        </w:rPr>
        <w:t>(Tukey 1975)</w:t>
      </w:r>
      <w:r w:rsidR="00CD60A0" w:rsidRPr="00CD60A0">
        <w:fldChar w:fldCharType="end"/>
      </w:r>
      <w:r>
        <w:t xml:space="preserve">, </w:t>
      </w:r>
      <w:r w:rsidR="009971CF" w:rsidRPr="009971CF">
        <w:t xml:space="preserve">highlighting its significance in sorting and analyzing multivariate data. Data depth measures the centrality of multivariate data points in relation to the overall multivariate sample. It adheres to four key properties: 1. </w:t>
      </w:r>
      <w:r w:rsidR="00906528">
        <w:t>a</w:t>
      </w:r>
      <w:r w:rsidR="009971CF" w:rsidRPr="009971CF">
        <w:t xml:space="preserve">ffine invariance, 2. </w:t>
      </w:r>
      <w:r w:rsidR="00906528">
        <w:t>m</w:t>
      </w:r>
      <w:r w:rsidR="009971CF" w:rsidRPr="009971CF">
        <w:t xml:space="preserve">aximum value at the center, 3. </w:t>
      </w:r>
      <w:r w:rsidR="00906528">
        <w:t>m</w:t>
      </w:r>
      <w:r w:rsidR="009971CF" w:rsidRPr="009971CF">
        <w:t xml:space="preserve">onotonicity around the deepest point, and 4. </w:t>
      </w:r>
      <w:r w:rsidR="00906528">
        <w:t>v</w:t>
      </w:r>
      <w:r w:rsidR="009971CF" w:rsidRPr="009971CF">
        <w:t>anishing at infinity. Generally, data depth assumes that the data</w:t>
      </w:r>
      <w:r w:rsidR="00906528">
        <w:t xml:space="preserve"> in statistical control</w:t>
      </w:r>
      <w:r w:rsidR="009971CF" w:rsidRPr="009971CF">
        <w:t xml:space="preserve"> follows a </w:t>
      </w:r>
      <w:r w:rsidR="009971CF" w:rsidRPr="00906528">
        <w:rPr>
          <w:i/>
        </w:rPr>
        <w:t>p</w:t>
      </w:r>
      <w:r w:rsidR="009971CF" w:rsidRPr="009971CF">
        <w:t xml:space="preserve">-dimensional distribution function </w:t>
      </w:r>
      <w:r w:rsidR="009971CF" w:rsidRPr="00906528">
        <w:rPr>
          <w:i/>
        </w:rPr>
        <w:t>G</w:t>
      </w:r>
      <w:r w:rsidR="009971CF" w:rsidRPr="009971CF">
        <w:t xml:space="preserve"> (referred to as the reference distribution). When </w:t>
      </w:r>
      <w:r w:rsidR="009971CF" w:rsidRPr="00906528">
        <w:rPr>
          <w:i/>
        </w:rPr>
        <w:t>G</w:t>
      </w:r>
      <w:r w:rsidR="009971CF" w:rsidRPr="009971CF">
        <w:t xml:space="preserve"> is unknown, an empirical distribution is used, based on the reference sample set</w:t>
      </w:r>
      <w:r w:rsidR="009971CF">
        <w:t xml:space="preserve"> </w:t>
      </w:r>
      <w:r w:rsidR="004B1C28">
        <w:rPr>
          <w:rFonts w:hint="eastAsia"/>
        </w:rPr>
        <w:t>{</w:t>
      </w:r>
      <m:oMath>
        <m:sSub>
          <m:sSubPr>
            <m:ctrlPr>
              <w:rPr>
                <w:rFonts w:ascii="Cambria Math" w:hAnsi="Cambria Math"/>
              </w:rPr>
            </m:ctrlPr>
          </m:sSubPr>
          <m:e>
            <m:r>
              <w:rPr>
                <w:rFonts w:ascii="Cambria Math" w:hAnsi="Cambria Math"/>
              </w:rPr>
              <m:t>x</m:t>
            </m:r>
          </m:e>
          <m:sub>
            <m:r>
              <w:rPr>
                <w:rFonts w:ascii="Cambria Math" w:hAnsi="Cambria Math"/>
              </w:rPr>
              <m:t>1</m:t>
            </m:r>
          </m:sub>
        </m:sSub>
      </m:oMath>
      <w:r w:rsidR="004B1C28">
        <w:rPr>
          <w:rFonts w:hint="eastAsia"/>
        </w:rPr>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2</m:t>
            </m:r>
          </m:sub>
        </m:sSub>
      </m:oMath>
      <w:r w:rsidR="004B1C28">
        <w:rPr>
          <w:rFonts w:hint="eastAsia"/>
        </w:rPr>
        <w:t>,</w:t>
      </w:r>
      <w:r w:rsidR="004B1C28">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m</m:t>
            </m:r>
          </m:sub>
        </m:sSub>
      </m:oMath>
      <w:r w:rsidR="004B1C28">
        <w:rPr>
          <w:rFonts w:hint="eastAsia"/>
        </w:rPr>
        <w:t>}</w:t>
      </w:r>
      <w:r w:rsidR="00906528" w:rsidRPr="00906528">
        <w:t xml:space="preserve"> . </w:t>
      </w:r>
      <w:r w:rsidR="00906528">
        <w:t>The</w:t>
      </w:r>
      <w:r w:rsidR="00906528" w:rsidRPr="00906528">
        <w:t xml:space="preserve"> reference distribution and sample represent the process </w:t>
      </w:r>
      <w:r w:rsidR="00906528">
        <w:t>in</w:t>
      </w:r>
      <w:r w:rsidR="00906528" w:rsidRPr="00906528">
        <w:t xml:space="preserve"> control</w:t>
      </w:r>
      <w:r w:rsidR="00906528">
        <w:t>, i.e. under normal operating conditions.</w:t>
      </w:r>
      <w:r w:rsidR="00906528" w:rsidRPr="00906528">
        <w:rPr>
          <w:rFonts w:eastAsia="PMingLiU"/>
          <w:szCs w:val="24"/>
          <w:shd w:val="clear" w:color="auto" w:fill="FFFFFF"/>
        </w:rPr>
        <w:t xml:space="preserve"> </w:t>
      </w:r>
    </w:p>
    <w:p w14:paraId="15F09D89" w14:textId="2F54A291" w:rsidR="00E34CCA" w:rsidRDefault="00906528" w:rsidP="00906528">
      <w:pPr>
        <w:pStyle w:val="Els-body-text"/>
      </w:pPr>
      <w:r w:rsidRPr="00906528">
        <w:t xml:space="preserve">Various methods exist for calculating data depth, including </w:t>
      </w:r>
      <w:proofErr w:type="spellStart"/>
      <w:r w:rsidRPr="00906528">
        <w:t>Mahalanobis</w:t>
      </w:r>
      <w:proofErr w:type="spellEnd"/>
      <w:r w:rsidRPr="00906528">
        <w:t xml:space="preserve"> depth, Simplicial depth, and Tukey depth. </w:t>
      </w:r>
      <w:r w:rsidR="006253CF" w:rsidRPr="006253CF">
        <w:rPr>
          <w:lang w:val="en-GB"/>
        </w:rPr>
        <w:t xml:space="preserve">Tukey depth, chosen for its higher breakdown point, measures data points in relation to the centre of the data distribution and considers the distribution across each dimension. </w:t>
      </w:r>
      <w:r w:rsidR="00BA11AC">
        <w:rPr>
          <w:lang w:val="en-GB"/>
        </w:rPr>
        <w:t xml:space="preserve">The Tukey depth of a data point </w:t>
      </w:r>
      <w:r w:rsidR="00BA11AC" w:rsidRPr="00BA11AC">
        <w:rPr>
          <w:i/>
          <w:lang w:val="en-GB"/>
        </w:rPr>
        <w:t>x</w:t>
      </w:r>
      <w:r w:rsidR="00BA11AC">
        <w:rPr>
          <w:lang w:val="en-GB"/>
        </w:rPr>
        <w:t xml:space="preserve"> under distribution </w:t>
      </w:r>
      <w:r w:rsidR="00BA11AC" w:rsidRPr="00030B4E">
        <w:rPr>
          <w:i/>
          <w:lang w:val="en-GB"/>
        </w:rPr>
        <w:t>F</w:t>
      </w:r>
      <w:r w:rsidR="00BA11AC">
        <w:rPr>
          <w:lang w:val="en-GB"/>
        </w:rPr>
        <w:t>(</w:t>
      </w:r>
      <w:r w:rsidR="00BA11AC">
        <w:rPr>
          <w:rFonts w:ascii="Calibri" w:hAnsi="Calibri" w:cs="Calibri"/>
          <w:lang w:val="en-GB"/>
        </w:rPr>
        <w:t>·</w:t>
      </w:r>
      <w:r w:rsidR="00BA11AC">
        <w:rPr>
          <w:lang w:val="en-GB"/>
        </w:rPr>
        <w:t>) is</w:t>
      </w:r>
      <w:r w:rsidR="006253CF" w:rsidRPr="006253CF">
        <w:rPr>
          <w:lang w:val="en-GB"/>
        </w:rPr>
        <w:t xml:space="preserve"> defined as follows</w:t>
      </w:r>
      <w:r>
        <w:t xml:space="preserve"> </w:t>
      </w:r>
      <w:r w:rsidR="00E80066" w:rsidRPr="00CD60A0">
        <w:fldChar w:fldCharType="begin"/>
      </w:r>
      <w:r w:rsidR="00CD60A0" w:rsidRPr="00CD60A0">
        <w:instrText xml:space="preserve"> ADDIN EN.CITE &lt;EndNote&gt;&lt;Cite&gt;&lt;Author&gt;She&lt;/Author&gt;&lt;Year&gt;2021&lt;/Year&gt;&lt;RecNum&gt;14&lt;/RecNum&gt;&lt;DisplayText&gt;(Yeh and Singh 1997, She, Tang et al. 2021)&lt;/DisplayText&gt;&lt;record&gt;&lt;rec-number&gt;14&lt;/rec-number&gt;&lt;foreign-keys&gt;&lt;key app="EN" db-id="5xz2tx2rgd2w2peewaxpdptva200zpzttexr" timestamp="1697525184"&gt;14&lt;/key&gt;&lt;/foreign-keys&gt;&lt;ref-type name="Journal Article"&gt;17&lt;/ref-type&gt;&lt;contributors&gt;&lt;authors&gt;&lt;author&gt;She, Yiyuan&lt;/author&gt;&lt;author&gt;Tang, Shao&lt;/author&gt;&lt;author&gt;Liu, Jingze&lt;/author&gt;&lt;/authors&gt;&lt;/contributors&gt;&lt;titles&gt;&lt;title&gt;On Generalization and Computation of Tukey&amp;apos;s Depth: Part I&lt;/title&gt;&lt;secondary-title&gt;arXiv preprint arXiv:2112.08475&lt;/secondary-title&gt;&lt;/titles&gt;&lt;periodical&gt;&lt;full-title&gt;arXiv preprint arXiv:2112.08475&lt;/full-title&gt;&lt;/periodical&gt;&lt;dates&gt;&lt;year&gt;2021&lt;/year&gt;&lt;/dates&gt;&lt;urls&gt;&lt;/urls&gt;&lt;/record&gt;&lt;/Cite&gt;&lt;Cite&gt;&lt;Author&gt;Yeh&lt;/Author&gt;&lt;Year&gt;1997&lt;/Year&gt;&lt;RecNum&gt;13&lt;/RecNum&gt;&lt;record&gt;&lt;rec-number&gt;13&lt;/rec-number&gt;&lt;foreign-keys&gt;&lt;key app="EN" db-id="5xz2tx2rgd2w2peewaxpdptva200zpzttexr" timestamp="1697450445"&gt;13&lt;/key&gt;&lt;/foreign-keys&gt;&lt;ref-type name="Journal Article"&gt;17&lt;/ref-type&gt;&lt;contributors&gt;&lt;authors&gt;&lt;author&gt;Yeh, Arthur B&lt;/author&gt;&lt;author&gt;Singh, Kesar&lt;/author&gt;&lt;/authors&gt;&lt;/contributors&gt;&lt;titles&gt;&lt;title&gt;Balanced confidence regions based on Tukey’s depth and the bootstrap&lt;/title&gt;&lt;secondary-title&gt;Journal of the Royal Statistical Society Series B: Statistical Methodology&lt;/secondary-title&gt;&lt;/titles&gt;&lt;periodical&gt;&lt;full-title&gt;Journal of the Royal Statistical Society Series B: Statistical Methodology&lt;/full-title&gt;&lt;/periodical&gt;&lt;pages&gt;639-652&lt;/pages&gt;&lt;volume&gt;59&lt;/volume&gt;&lt;number&gt;3&lt;/number&gt;&lt;dates&gt;&lt;year&gt;1997&lt;/year&gt;&lt;/dates&gt;&lt;isbn&gt;1369-7412&lt;/isbn&gt;&lt;urls&gt;&lt;/urls&gt;&lt;/record&gt;&lt;/Cite&gt;&lt;/EndNote&gt;</w:instrText>
      </w:r>
      <w:r w:rsidR="00E80066" w:rsidRPr="00CD60A0">
        <w:fldChar w:fldCharType="separate"/>
      </w:r>
      <w:r w:rsidR="00CD60A0" w:rsidRPr="00CD60A0">
        <w:rPr>
          <w:noProof/>
        </w:rPr>
        <w:t>(Yeh and Singh 1997, She, Tang et al. 2021)</w:t>
      </w:r>
      <w:r w:rsidR="00E80066" w:rsidRPr="00CD60A0">
        <w:fldChar w:fldCharType="end"/>
      </w:r>
      <w:r>
        <w:t>:</w:t>
      </w:r>
    </w:p>
    <w:tbl>
      <w:tblPr>
        <w:tblW w:w="7087" w:type="dxa"/>
        <w:tblLook w:val="04A0" w:firstRow="1" w:lastRow="0" w:firstColumn="1" w:lastColumn="0" w:noHBand="0" w:noVBand="1"/>
      </w:tblPr>
      <w:tblGrid>
        <w:gridCol w:w="6121"/>
        <w:gridCol w:w="966"/>
      </w:tblGrid>
      <w:tr w:rsidR="00E34CCA" w:rsidRPr="00A94774" w14:paraId="7B1D7EBC" w14:textId="77777777" w:rsidTr="009B29FF">
        <w:tc>
          <w:tcPr>
            <w:tcW w:w="6121" w:type="dxa"/>
            <w:shd w:val="clear" w:color="auto" w:fill="auto"/>
            <w:vAlign w:val="center"/>
          </w:tcPr>
          <w:p w14:paraId="51C7CAD2" w14:textId="0DB6C681" w:rsidR="00E34CCA" w:rsidRPr="007F41E7" w:rsidRDefault="00E34CCA" w:rsidP="00580FD9">
            <w:pPr>
              <w:pStyle w:val="Els-body-text"/>
              <w:spacing w:before="120" w:after="120" w:line="264" w:lineRule="auto"/>
              <w:jc w:val="center"/>
              <w:rPr>
                <w:lang w:val="en-GB"/>
              </w:rPr>
            </w:pPr>
            <w:r w:rsidRPr="006253CF">
              <w:rPr>
                <w:rFonts w:hint="eastAsia"/>
                <w:i/>
              </w:rPr>
              <w:t>T</w:t>
            </w:r>
            <w:r w:rsidRPr="00735052">
              <w:rPr>
                <w:i/>
              </w:rPr>
              <w:t>D</w:t>
            </w:r>
            <w:r w:rsidRPr="00735052">
              <w:t>(</w:t>
            </w:r>
            <w:proofErr w:type="spellStart"/>
            <w:r w:rsidRPr="00735052">
              <w:rPr>
                <w:i/>
              </w:rPr>
              <w:t>F</w:t>
            </w:r>
            <w:r w:rsidRPr="00735052">
              <w:t>,</w:t>
            </w:r>
            <w:r w:rsidRPr="00735052">
              <w:rPr>
                <w:i/>
              </w:rPr>
              <w:t>x</w:t>
            </w:r>
            <w:proofErr w:type="spellEnd"/>
            <w:r w:rsidRPr="00735052">
              <w:t xml:space="preserve">) =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inf</m:t>
                      </m:r>
                    </m:e>
                    <m:lim>
                      <m:r>
                        <w:rPr>
                          <w:rFonts w:ascii="Cambria Math" w:hAnsi="Cambria Math"/>
                        </w:rPr>
                        <m:t>H</m:t>
                      </m:r>
                    </m:lim>
                  </m:limLow>
                </m:fName>
                <m:e>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H</m:t>
                  </m:r>
                  <m:r>
                    <m:rPr>
                      <m:sty m:val="p"/>
                    </m:rPr>
                    <w:rPr>
                      <w:rFonts w:ascii="Cambria Math" w:hAnsi="Cambria Math"/>
                    </w:rPr>
                    <m:t xml:space="preserve">): </m:t>
                  </m:r>
                  <m:r>
                    <w:rPr>
                      <w:rFonts w:ascii="Cambria Math" w:hAnsi="Cambria Math"/>
                    </w:rPr>
                    <m:t>H</m:t>
                  </m:r>
                  <m:r>
                    <m:rPr>
                      <m:sty m:val="p"/>
                    </m:rPr>
                    <w:rPr>
                      <w:rFonts w:ascii="Cambria Math" w:hAnsi="Cambria Math"/>
                    </w:rPr>
                    <m:t xml:space="preserve"> is a closed halfspace containing </m:t>
                  </m:r>
                  <m:r>
                    <w:rPr>
                      <w:rFonts w:ascii="Cambria Math" w:hAnsi="Cambria Math"/>
                    </w:rPr>
                    <m:t>x</m:t>
                  </m:r>
                  <m:r>
                    <m:rPr>
                      <m:sty m:val="p"/>
                    </m:rPr>
                    <w:rPr>
                      <w:rFonts w:ascii="Cambria Math" w:hAnsi="Cambria Math"/>
                    </w:rPr>
                    <m:t>}</m:t>
                  </m:r>
                </m:e>
              </m:func>
            </m:oMath>
          </w:p>
        </w:tc>
        <w:tc>
          <w:tcPr>
            <w:tcW w:w="966" w:type="dxa"/>
            <w:shd w:val="clear" w:color="auto" w:fill="auto"/>
            <w:vAlign w:val="center"/>
          </w:tcPr>
          <w:p w14:paraId="78BCB94C" w14:textId="3E639117" w:rsidR="00E34CCA" w:rsidRPr="00A94774" w:rsidRDefault="00E34CCA" w:rsidP="009B29FF">
            <w:pPr>
              <w:pStyle w:val="Els-body-text"/>
              <w:spacing w:before="120" w:after="120" w:line="264" w:lineRule="auto"/>
              <w:jc w:val="right"/>
              <w:rPr>
                <w:lang w:val="en-GB"/>
              </w:rPr>
            </w:pPr>
            <w:r w:rsidRPr="00A94774">
              <w:rPr>
                <w:lang w:val="en-GB"/>
              </w:rPr>
              <w:t>(</w:t>
            </w:r>
            <w:r w:rsidR="001B614D">
              <w:rPr>
                <w:lang w:val="en-GB"/>
              </w:rPr>
              <w:t>1</w:t>
            </w:r>
            <w:r w:rsidRPr="00A94774">
              <w:rPr>
                <w:lang w:val="en-GB"/>
              </w:rPr>
              <w:t>)</w:t>
            </w:r>
          </w:p>
        </w:tc>
      </w:tr>
    </w:tbl>
    <w:p w14:paraId="39311503" w14:textId="5F48D5F8" w:rsidR="00E34CCA" w:rsidRPr="00A51D69" w:rsidRDefault="00093EF0" w:rsidP="000E000C">
      <w:pPr>
        <w:pStyle w:val="Els-body-text"/>
        <w:rPr>
          <w:lang w:val="en-GB"/>
        </w:rPr>
      </w:pPr>
      <w:r>
        <w:t>which</w:t>
      </w:r>
      <w:r w:rsidR="007B67AE" w:rsidRPr="007B67AE">
        <w:t xml:space="preserve"> represents</w:t>
      </w:r>
      <w:r w:rsidR="00030B4E" w:rsidRPr="00030B4E">
        <w:t xml:space="preserve"> the minimum probability mass carried by any closed </w:t>
      </w:r>
      <w:proofErr w:type="spellStart"/>
      <w:r w:rsidR="00030B4E">
        <w:t>halfspace</w:t>
      </w:r>
      <w:proofErr w:type="spellEnd"/>
      <w:r w:rsidR="00030B4E">
        <w:t xml:space="preserve"> containing the point.</w:t>
      </w:r>
      <w:r w:rsidR="007B67AE">
        <w:t xml:space="preserve"> </w:t>
      </w:r>
      <w:r w:rsidR="00A51D69" w:rsidRPr="00A51D69">
        <w:t xml:space="preserve">The sample version of </w:t>
      </w:r>
      <w:r w:rsidR="00A51D69" w:rsidRPr="000E000C">
        <w:rPr>
          <w:i/>
        </w:rPr>
        <w:t>TD</w:t>
      </w:r>
      <w:r w:rsidR="00A51D69" w:rsidRPr="00A51D69">
        <w:t>(</w:t>
      </w:r>
      <w:proofErr w:type="spellStart"/>
      <w:r w:rsidR="00A51D69" w:rsidRPr="000E000C">
        <w:rPr>
          <w:i/>
        </w:rPr>
        <w:t>F</w:t>
      </w:r>
      <w:r w:rsidR="00A51D69" w:rsidRPr="00A51D69">
        <w:t>,</w:t>
      </w:r>
      <w:r w:rsidR="00A51D69" w:rsidRPr="000E000C">
        <w:rPr>
          <w:i/>
        </w:rPr>
        <w:t>x</w:t>
      </w:r>
      <w:proofErr w:type="spellEnd"/>
      <w:r w:rsidR="00A51D69" w:rsidRPr="00A51D69">
        <w:t xml:space="preserve">) is defined by replacing F with </w:t>
      </w:r>
      <m:oMath>
        <m:sSub>
          <m:sSubPr>
            <m:ctrlPr>
              <w:rPr>
                <w:rFonts w:ascii="Cambria Math" w:hAnsi="Cambria Math"/>
              </w:rPr>
            </m:ctrlPr>
          </m:sSubPr>
          <m:e>
            <m:r>
              <w:rPr>
                <w:rFonts w:ascii="Cambria Math" w:hAnsi="Cambria Math"/>
              </w:rPr>
              <m:t>F</m:t>
            </m:r>
          </m:e>
          <m:sub>
            <m:r>
              <w:rPr>
                <w:rFonts w:ascii="Cambria Math" w:hAnsi="Cambria Math"/>
              </w:rPr>
              <m:t>n</m:t>
            </m:r>
          </m:sub>
        </m:sSub>
      </m:oMath>
      <w:r w:rsidR="00A51D69" w:rsidRPr="00A51D69">
        <w:rPr>
          <w:rFonts w:hint="eastAsia"/>
        </w:rPr>
        <w:t>,</w:t>
      </w:r>
      <w:r w:rsidR="00A51D69" w:rsidRPr="00A51D69">
        <w:t xml:space="preserve"> the empirical cumulative distribution function. In the univariate case, </w:t>
      </w:r>
      <w:r w:rsidR="000E000C">
        <w:t xml:space="preserve">the formula simplifies to </w:t>
      </w:r>
      <w:r w:rsidR="00A51D69" w:rsidRPr="000E000C">
        <w:rPr>
          <w:i/>
        </w:rPr>
        <w:t>TD</w:t>
      </w:r>
      <w:r w:rsidR="00A51D69" w:rsidRPr="00A51D69">
        <w:t>(</w:t>
      </w:r>
      <w:proofErr w:type="spellStart"/>
      <w:proofErr w:type="gramStart"/>
      <w:r w:rsidR="00A51D69" w:rsidRPr="000E000C">
        <w:rPr>
          <w:i/>
        </w:rPr>
        <w:t>F</w:t>
      </w:r>
      <w:r w:rsidR="00A51D69" w:rsidRPr="00A51D69">
        <w:t>,</w:t>
      </w:r>
      <w:r w:rsidR="00A51D69" w:rsidRPr="000E000C">
        <w:rPr>
          <w:i/>
        </w:rPr>
        <w:t>x</w:t>
      </w:r>
      <w:proofErr w:type="spellEnd"/>
      <w:proofErr w:type="gramEnd"/>
      <w:r w:rsidR="00A51D69" w:rsidRPr="00A51D69">
        <w:t>) = min{</w:t>
      </w:r>
      <w:r w:rsidR="00A51D69" w:rsidRPr="000E000C">
        <w:rPr>
          <w:i/>
        </w:rPr>
        <w:t>F</w:t>
      </w:r>
      <w:r w:rsidR="00A51D69" w:rsidRPr="00A51D69">
        <w:t>(</w:t>
      </w:r>
      <w:r w:rsidR="00A51D69" w:rsidRPr="000E000C">
        <w:rPr>
          <w:i/>
        </w:rPr>
        <w:t>x</w:t>
      </w:r>
      <w:r w:rsidR="00A51D69" w:rsidRPr="00A51D69">
        <w:t>), 1-</w:t>
      </w:r>
      <w:r w:rsidR="00A51D69" w:rsidRPr="000E000C">
        <w:rPr>
          <w:i/>
        </w:rPr>
        <w:t>F</w:t>
      </w:r>
      <w:r w:rsidR="00A51D69" w:rsidRPr="00A51D69">
        <w:t>(</w:t>
      </w:r>
      <w:r w:rsidR="00A51D69" w:rsidRPr="000E000C">
        <w:rPr>
          <w:i/>
        </w:rPr>
        <w:t>x</w:t>
      </w:r>
      <w:r w:rsidR="00A51D69" w:rsidRPr="00A51D69">
        <w:t>)}</w:t>
      </w:r>
      <w:r w:rsidR="000E000C">
        <w:t>.</w:t>
      </w:r>
      <w:r w:rsidR="00A51D69" w:rsidRPr="00A51D69">
        <w:t xml:space="preserve"> </w:t>
      </w:r>
      <w:r w:rsidR="000E000C">
        <w:t xml:space="preserve">In this study, the </w:t>
      </w:r>
      <w:proofErr w:type="spellStart"/>
      <w:r w:rsidR="000E000C" w:rsidRPr="000E000C">
        <w:t>qcr</w:t>
      </w:r>
      <w:proofErr w:type="spellEnd"/>
      <w:r w:rsidR="000E000C" w:rsidRPr="000E000C">
        <w:t xml:space="preserve"> package</w:t>
      </w:r>
      <w:r w:rsidR="000E000C">
        <w:t xml:space="preserve"> </w:t>
      </w:r>
      <w:r w:rsidR="000E000C" w:rsidRPr="00CD60A0">
        <w:fldChar w:fldCharType="begin"/>
      </w:r>
      <w:r w:rsidR="00CD60A0" w:rsidRPr="00CD60A0">
        <w:instrText xml:space="preserve"> ADDIN EN.CITE &lt;EndNote&gt;&lt;Cite&gt;&lt;Author&gt;Flores&lt;/Author&gt;&lt;Year&gt;2021&lt;/Year&gt;&lt;RecNum&gt;15&lt;/RecNum&gt;&lt;DisplayText&gt;(Flores, Fernández-Casal et al. 2021)&lt;/DisplayText&gt;&lt;record&gt;&lt;rec-number&gt;15&lt;/rec-number&gt;&lt;foreign-keys&gt;&lt;key app="EN" db-id="5xz2tx2rgd2w2peewaxpdptva200zpzttexr" timestamp="1697525302"&gt;15&lt;/key&gt;&lt;/foreign-keys&gt;&lt;ref-type name="Journal Article"&gt;17&lt;/ref-type&gt;&lt;contributors&gt;&lt;authors&gt;&lt;author&gt;Flores, Miguel&lt;/author&gt;&lt;author&gt;Fernández-Casal, Rubén&lt;/author&gt;&lt;author&gt;Naya, Salvador&lt;/author&gt;&lt;author&gt;Tarrío-Saavedra, Javier&lt;/author&gt;&lt;/authors&gt;&lt;/contributors&gt;&lt;titles&gt;&lt;title&gt;Statistical quality control with the qcr package&lt;/title&gt;&lt;secondary-title&gt;R Journal&lt;/secondary-title&gt;&lt;/titles&gt;&lt;periodical&gt;&lt;full-title&gt;R Journal&lt;/full-title&gt;&lt;/periodical&gt;&lt;pages&gt;194-217&lt;/pages&gt;&lt;volume&gt;13&lt;/volume&gt;&lt;number&gt;1&lt;/number&gt;&lt;dates&gt;&lt;year&gt;2021&lt;/year&gt;&lt;/dates&gt;&lt;urls&gt;&lt;/urls&gt;&lt;/record&gt;&lt;/Cite&gt;&lt;/EndNote&gt;</w:instrText>
      </w:r>
      <w:r w:rsidR="000E000C" w:rsidRPr="00CD60A0">
        <w:fldChar w:fldCharType="separate"/>
      </w:r>
      <w:r w:rsidR="00CD60A0" w:rsidRPr="00CD60A0">
        <w:rPr>
          <w:noProof/>
        </w:rPr>
        <w:t>(Flores, Fernández-Casal et al. 2021)</w:t>
      </w:r>
      <w:r w:rsidR="000E000C" w:rsidRPr="00CD60A0">
        <w:fldChar w:fldCharType="end"/>
      </w:r>
      <w:r w:rsidR="000E000C">
        <w:t xml:space="preserve"> is used to calculate the multivariate </w:t>
      </w:r>
      <w:r w:rsidR="000E000C" w:rsidRPr="00906528">
        <w:t>Tukey depth</w:t>
      </w:r>
      <w:r w:rsidR="000E000C">
        <w:t xml:space="preserve">. </w:t>
      </w:r>
      <w:r w:rsidR="000E000C" w:rsidRPr="000E000C">
        <w:rPr>
          <w:lang w:val="en-GB"/>
        </w:rPr>
        <w:t xml:space="preserve">A high Tukey depth value implies that the data point is closer to the </w:t>
      </w:r>
      <w:r w:rsidR="003F288B" w:rsidRPr="000E000C">
        <w:rPr>
          <w:lang w:val="en-GB"/>
        </w:rPr>
        <w:t>centre</w:t>
      </w:r>
      <w:r w:rsidR="000E000C" w:rsidRPr="000E000C">
        <w:rPr>
          <w:lang w:val="en-GB"/>
        </w:rPr>
        <w:t xml:space="preserve"> of the data cloud. Conversely, a lower value indicates that the point is more peripheral or potentially an outlier in the dataset.</w:t>
      </w:r>
    </w:p>
    <w:p w14:paraId="22C8AC97" w14:textId="527A5D8B" w:rsidR="00190055" w:rsidRDefault="00190055" w:rsidP="00190055">
      <w:pPr>
        <w:pStyle w:val="Els-2ndorder-head"/>
      </w:pPr>
      <w:r>
        <w:t>r-chart</w:t>
      </w:r>
    </w:p>
    <w:p w14:paraId="22418D51" w14:textId="1829C9E8" w:rsidR="00E34CCA" w:rsidRDefault="0035503F" w:rsidP="00190055">
      <w:pPr>
        <w:pStyle w:val="Els-body-text"/>
      </w:pPr>
      <w:r w:rsidRPr="0035503F">
        <w:rPr>
          <w:rFonts w:eastAsia="SimSun"/>
          <w:lang w:eastAsia="zh-CN"/>
        </w:rPr>
        <w:t xml:space="preserve">A distribution-free control chart, as described by Bae et al. (2016), </w:t>
      </w:r>
      <w:r>
        <w:rPr>
          <w:rFonts w:eastAsia="SimSun"/>
          <w:lang w:eastAsia="zh-CN"/>
        </w:rPr>
        <w:t>is used to monitor</w:t>
      </w:r>
      <w:r w:rsidRPr="0035503F">
        <w:rPr>
          <w:rFonts w:eastAsia="SimSun"/>
          <w:lang w:eastAsia="zh-CN"/>
        </w:rPr>
        <w:t xml:space="preserve"> the Tukey depth of each data point. </w:t>
      </w:r>
      <w:r>
        <w:rPr>
          <w:rFonts w:eastAsia="SimSun"/>
          <w:lang w:eastAsia="zh-CN"/>
        </w:rPr>
        <w:t xml:space="preserve">In this study, </w:t>
      </w:r>
      <w:r w:rsidRPr="0035503F">
        <w:rPr>
          <w:rFonts w:eastAsia="SimSun"/>
          <w:lang w:eastAsia="zh-CN"/>
        </w:rPr>
        <w:t>the r-chart, introduced by Liu in 1995</w:t>
      </w:r>
      <w:r>
        <w:rPr>
          <w:rFonts w:eastAsia="SimSun"/>
          <w:lang w:eastAsia="zh-CN"/>
        </w:rPr>
        <w:t xml:space="preserve"> </w:t>
      </w:r>
      <w:r w:rsidR="00F2620A">
        <w:rPr>
          <w:rFonts w:eastAsia="SimSun"/>
          <w:lang w:eastAsia="zh-CN"/>
        </w:rPr>
        <w:fldChar w:fldCharType="begin"/>
      </w:r>
      <w:r w:rsidR="00F2620A">
        <w:rPr>
          <w:rFonts w:eastAsia="SimSun"/>
          <w:lang w:eastAsia="zh-CN"/>
        </w:rPr>
        <w:instrText xml:space="preserve"> ADDIN EN.CITE &lt;EndNote&gt;&lt;Cite&gt;&lt;Author&gt;Liu&lt;/Author&gt;&lt;Year&gt;1995&lt;/Year&gt;&lt;RecNum&gt;11&lt;/RecNum&gt;&lt;DisplayText&gt;(Liu 1995)&lt;/DisplayText&gt;&lt;record&gt;&lt;rec-number&gt;11&lt;/rec-number&gt;&lt;foreign-keys&gt;&lt;key app="EN" db-id="5xz2tx2rgd2w2peewaxpdptva200zpzttexr" timestamp="1697446913"&gt;11&lt;/key&gt;&lt;/foreign-keys&gt;&lt;ref-type name="Journal Article"&gt;17&lt;/ref-type&gt;&lt;contributors&gt;&lt;authors&gt;&lt;author&gt;Liu, Regina Y&lt;/author&gt;&lt;/authors&gt;&lt;/contributors&gt;&lt;titles&gt;&lt;title&gt;Control charts for multivariate processes&lt;/title&gt;&lt;secondary-title&gt;Journal of the American Statistical Association&lt;/secondary-title&gt;&lt;/titles&gt;&lt;periodical&gt;&lt;full-title&gt;Journal of the American Statistical Association&lt;/full-title&gt;&lt;/periodical&gt;&lt;pages&gt;1380-1387&lt;/pages&gt;&lt;volume&gt;90&lt;/volume&gt;&lt;number&gt;432&lt;/number&gt;&lt;dates&gt;&lt;year&gt;1995&lt;/year&gt;&lt;/dates&gt;&lt;isbn&gt;0162-1459&lt;/isbn&gt;&lt;urls&gt;&lt;/urls&gt;&lt;/record&gt;&lt;/Cite&gt;&lt;/EndNote&gt;</w:instrText>
      </w:r>
      <w:r w:rsidR="00F2620A">
        <w:rPr>
          <w:rFonts w:eastAsia="SimSun"/>
          <w:lang w:eastAsia="zh-CN"/>
        </w:rPr>
        <w:fldChar w:fldCharType="separate"/>
      </w:r>
      <w:r w:rsidR="00F2620A">
        <w:rPr>
          <w:rFonts w:eastAsia="SimSun"/>
          <w:noProof/>
          <w:lang w:eastAsia="zh-CN"/>
        </w:rPr>
        <w:t>(Liu 1995)</w:t>
      </w:r>
      <w:r w:rsidR="00F2620A">
        <w:rPr>
          <w:rFonts w:eastAsia="SimSun"/>
          <w:lang w:eastAsia="zh-CN"/>
        </w:rPr>
        <w:fldChar w:fldCharType="end"/>
      </w:r>
      <w:r>
        <w:rPr>
          <w:rFonts w:eastAsia="SimSun"/>
          <w:lang w:eastAsia="zh-CN"/>
        </w:rPr>
        <w:t>, is adopted, which</w:t>
      </w:r>
      <w:r w:rsidRPr="0035503F">
        <w:rPr>
          <w:rFonts w:eastAsia="SimSun"/>
          <w:lang w:eastAsia="zh-CN"/>
        </w:rPr>
        <w:t xml:space="preserve"> is defined mathematically as:</w:t>
      </w:r>
    </w:p>
    <w:tbl>
      <w:tblPr>
        <w:tblW w:w="7087" w:type="dxa"/>
        <w:tblLook w:val="04A0" w:firstRow="1" w:lastRow="0" w:firstColumn="1" w:lastColumn="0" w:noHBand="0" w:noVBand="1"/>
      </w:tblPr>
      <w:tblGrid>
        <w:gridCol w:w="6121"/>
        <w:gridCol w:w="966"/>
      </w:tblGrid>
      <w:tr w:rsidR="00E34CCA" w:rsidRPr="00A94774" w14:paraId="2086B1A7" w14:textId="77777777" w:rsidTr="009B29FF">
        <w:tc>
          <w:tcPr>
            <w:tcW w:w="6121" w:type="dxa"/>
            <w:shd w:val="clear" w:color="auto" w:fill="auto"/>
            <w:vAlign w:val="center"/>
          </w:tcPr>
          <w:p w14:paraId="11EDFA86" w14:textId="6695B7AE" w:rsidR="00E34CCA" w:rsidRPr="007053AF" w:rsidRDefault="00B231DF" w:rsidP="009B29FF">
            <w:pPr>
              <w:pStyle w:val="Els-body-text"/>
              <w:spacing w:before="120" w:after="120" w:line="264" w:lineRule="auto"/>
              <w:rPr>
                <w:lang w:val="en-GB"/>
              </w:rPr>
            </w:pPr>
            <m:oMathPara>
              <m:oMathParaPr>
                <m:jc m:val="center"/>
              </m:oMathParaPr>
              <m:oMath>
                <m:sSub>
                  <m:sSubPr>
                    <m:ctrlPr>
                      <w:rPr>
                        <w:rFonts w:ascii="Cambria Math" w:hAnsi="Cambria Math"/>
                      </w:rPr>
                    </m:ctrlPr>
                  </m:sSubPr>
                  <m:e>
                    <m:r>
                      <w:rPr>
                        <w:rFonts w:ascii="Cambria Math" w:eastAsia="PMingLiU" w:hAnsi="PMingLiU" w:cs="PMingLiU" w:hint="eastAsia"/>
                      </w:rPr>
                      <m:t>r</m:t>
                    </m:r>
                  </m:e>
                  <m:sub>
                    <m:r>
                      <w:rPr>
                        <w:rFonts w:ascii="Cambria Math" w:hAnsi="Cambria Math" w:hint="eastAsia"/>
                      </w:rPr>
                      <m:t>G</m:t>
                    </m:r>
                  </m:sub>
                </m:sSub>
                <m:d>
                  <m:dPr>
                    <m:ctrlPr>
                      <w:rPr>
                        <w:rFonts w:ascii="Cambria Math" w:hAnsi="Cambria Math"/>
                        <w:i/>
                      </w:rPr>
                    </m:ctrlPr>
                  </m:dPr>
                  <m:e>
                    <m:r>
                      <w:rPr>
                        <w:rFonts w:ascii="Cambria Math" w:hAnsi="Cambria Math" w:hint="eastAsia"/>
                      </w:rPr>
                      <m:t>x</m:t>
                    </m:r>
                  </m:e>
                </m:d>
                <m:r>
                  <w:rPr>
                    <w:rFonts w:ascii="Cambria Math" w:hAnsi="Cambria Math" w:hint="eastAsia"/>
                  </w:rPr>
                  <m:t>=P{</m:t>
                </m:r>
                <m:sSub>
                  <m:sSubPr>
                    <m:ctrlPr>
                      <w:rPr>
                        <w:rFonts w:ascii="Cambria Math" w:hAnsi="Cambria Math"/>
                        <w:i/>
                      </w:rPr>
                    </m:ctrlPr>
                  </m:sSubPr>
                  <m:e>
                    <m:r>
                      <w:rPr>
                        <w:rFonts w:ascii="Cambria Math" w:hAnsi="Cambria Math" w:hint="eastAsia"/>
                      </w:rPr>
                      <m:t>D</m:t>
                    </m:r>
                  </m:e>
                  <m:sub>
                    <m:r>
                      <w:rPr>
                        <w:rFonts w:ascii="Cambria Math" w:hAnsi="Cambria Math" w:hint="eastAsia"/>
                      </w:rPr>
                      <m:t>G</m:t>
                    </m:r>
                  </m:sub>
                </m:sSub>
                <m:r>
                  <w:rPr>
                    <w:rFonts w:ascii="Cambria Math" w:hAnsi="Cambria Math" w:hint="eastAsia"/>
                  </w:rPr>
                  <m:t>(y)</m:t>
                </m:r>
                <m:r>
                  <w:rPr>
                    <w:rFonts w:ascii="Cambria Math" w:hAnsi="Cambria Math"/>
                  </w:rPr>
                  <m:t>≤</m:t>
                </m:r>
                <m:sSub>
                  <m:sSubPr>
                    <m:ctrlPr>
                      <w:rPr>
                        <w:rFonts w:ascii="Cambria Math" w:hAnsi="Cambria Math"/>
                        <w:i/>
                      </w:rPr>
                    </m:ctrlPr>
                  </m:sSubPr>
                  <m:e>
                    <m:r>
                      <w:rPr>
                        <w:rFonts w:ascii="Cambria Math" w:hAnsi="Cambria Math" w:hint="eastAsia"/>
                      </w:rPr>
                      <m:t>D</m:t>
                    </m:r>
                  </m:e>
                  <m:sub>
                    <m:r>
                      <w:rPr>
                        <w:rFonts w:ascii="Cambria Math" w:hAnsi="Cambria Math" w:hint="eastAsia"/>
                      </w:rPr>
                      <m:t>G</m:t>
                    </m:r>
                  </m:sub>
                </m:sSub>
                <m:r>
                  <w:rPr>
                    <w:rFonts w:ascii="Cambria Math" w:hAnsi="Cambria Math" w:hint="eastAsia"/>
                  </w:rPr>
                  <m:t>(x)|y~G}</m:t>
                </m:r>
              </m:oMath>
            </m:oMathPara>
          </w:p>
        </w:tc>
        <w:tc>
          <w:tcPr>
            <w:tcW w:w="966" w:type="dxa"/>
            <w:shd w:val="clear" w:color="auto" w:fill="auto"/>
            <w:vAlign w:val="center"/>
          </w:tcPr>
          <w:p w14:paraId="71B0A3BE" w14:textId="05CD0402" w:rsidR="00E34CCA" w:rsidRPr="00A94774" w:rsidRDefault="00E34CCA" w:rsidP="009B29FF">
            <w:pPr>
              <w:pStyle w:val="Els-body-text"/>
              <w:spacing w:before="120" w:after="120" w:line="264" w:lineRule="auto"/>
              <w:jc w:val="right"/>
              <w:rPr>
                <w:lang w:val="en-GB"/>
              </w:rPr>
            </w:pPr>
            <w:r w:rsidRPr="00A94774">
              <w:rPr>
                <w:lang w:val="en-GB"/>
              </w:rPr>
              <w:t>(</w:t>
            </w:r>
            <w:r w:rsidR="001B614D">
              <w:rPr>
                <w:lang w:val="en-GB"/>
              </w:rPr>
              <w:t>2</w:t>
            </w:r>
            <w:r w:rsidRPr="00A94774">
              <w:rPr>
                <w:lang w:val="en-GB"/>
              </w:rPr>
              <w:t>)</w:t>
            </w:r>
          </w:p>
        </w:tc>
      </w:tr>
    </w:tbl>
    <w:p w14:paraId="257AA9B0" w14:textId="56D59B2D" w:rsidR="00E34CCA" w:rsidRDefault="0035503F" w:rsidP="00E34CCA">
      <w:pPr>
        <w:pStyle w:val="Els-body-text"/>
      </w:pPr>
      <w:r w:rsidRPr="0035503F">
        <w:rPr>
          <w:lang w:val="en-GB"/>
        </w:rPr>
        <w:t xml:space="preserve">In this formula, </w:t>
      </w:r>
      <w:r w:rsidRPr="0035503F">
        <w:rPr>
          <w:i/>
          <w:iCs/>
          <w:lang w:val="en-GB"/>
        </w:rPr>
        <w:t>x</w:t>
      </w:r>
      <w:r w:rsidRPr="0035503F">
        <w:rPr>
          <w:lang w:val="en-GB"/>
        </w:rPr>
        <w:t xml:space="preserve"> denotes operational data, </w:t>
      </w:r>
      <w:r w:rsidRPr="0035503F">
        <w:rPr>
          <w:i/>
          <w:iCs/>
          <w:lang w:val="en-GB"/>
        </w:rPr>
        <w:t>y</w:t>
      </w:r>
      <w:r w:rsidRPr="0035503F">
        <w:rPr>
          <w:lang w:val="en-GB"/>
        </w:rPr>
        <w:t xml:space="preserve"> represents the reference or </w:t>
      </w:r>
      <w:r>
        <w:rPr>
          <w:lang w:val="en-GB"/>
        </w:rPr>
        <w:t>“</w:t>
      </w:r>
      <w:r w:rsidRPr="0035503F">
        <w:rPr>
          <w:lang w:val="en-GB"/>
        </w:rPr>
        <w:t>golden</w:t>
      </w:r>
      <w:r>
        <w:rPr>
          <w:lang w:val="en-GB"/>
        </w:rPr>
        <w:t>”</w:t>
      </w:r>
      <w:r w:rsidRPr="0035503F">
        <w:rPr>
          <w:lang w:val="en-GB"/>
        </w:rPr>
        <w:t xml:space="preserve"> data, and </w:t>
      </w:r>
      <w:proofErr w:type="spellStart"/>
      <w:r w:rsidRPr="0035503F">
        <w:rPr>
          <w:i/>
          <w:iCs/>
          <w:lang w:val="en-GB"/>
        </w:rPr>
        <w:t>y</w:t>
      </w:r>
      <w:r w:rsidRPr="0035503F">
        <w:rPr>
          <w:rFonts w:ascii="Cambria Math" w:hAnsi="Cambria Math" w:cs="Cambria Math"/>
          <w:lang w:val="en-GB"/>
        </w:rPr>
        <w:t>∼</w:t>
      </w:r>
      <w:r w:rsidRPr="0035503F">
        <w:rPr>
          <w:i/>
          <w:iCs/>
          <w:lang w:val="en-GB"/>
        </w:rPr>
        <w:t>G</w:t>
      </w:r>
      <w:proofErr w:type="spellEnd"/>
      <w:r w:rsidRPr="0035503F">
        <w:rPr>
          <w:lang w:val="en-GB"/>
        </w:rPr>
        <w:t xml:space="preserve"> indicates that </w:t>
      </w:r>
      <w:r w:rsidRPr="0035503F">
        <w:rPr>
          <w:i/>
          <w:iCs/>
          <w:lang w:val="en-GB"/>
        </w:rPr>
        <w:t>y</w:t>
      </w:r>
      <w:r w:rsidRPr="0035503F">
        <w:rPr>
          <w:lang w:val="en-GB"/>
        </w:rPr>
        <w:t xml:space="preserve"> follows the distribution </w:t>
      </w:r>
      <w:r w:rsidRPr="0035503F">
        <w:rPr>
          <w:i/>
          <w:iCs/>
          <w:lang w:val="en-GB"/>
        </w:rPr>
        <w:t>G</w:t>
      </w:r>
      <w:r w:rsidRPr="0035503F">
        <w:rPr>
          <w:lang w:val="en-GB"/>
        </w:rPr>
        <w:t xml:space="preserve">. </w:t>
      </w:r>
      <m:oMath>
        <m:sSub>
          <m:sSubPr>
            <m:ctrlPr>
              <w:rPr>
                <w:rFonts w:ascii="Cambria Math" w:hAnsi="Cambria Math"/>
                <w:i/>
              </w:rPr>
            </m:ctrlPr>
          </m:sSubPr>
          <m:e>
            <m:r>
              <w:rPr>
                <w:rFonts w:ascii="Cambria Math" w:hAnsi="Cambria Math" w:hint="eastAsia"/>
              </w:rPr>
              <m:t>D</m:t>
            </m:r>
          </m:e>
          <m:sub>
            <m:r>
              <w:rPr>
                <w:rFonts w:ascii="Cambria Math" w:hAnsi="Cambria Math" w:hint="eastAsia"/>
              </w:rPr>
              <m:t>G</m:t>
            </m:r>
          </m:sub>
        </m:sSub>
      </m:oMath>
      <w:r w:rsidR="00E45CFF">
        <w:rPr>
          <w:rFonts w:eastAsia="SimSun" w:hint="eastAsia"/>
          <w:lang w:eastAsia="zh-CN"/>
        </w:rPr>
        <w:t xml:space="preserve"> </w:t>
      </w:r>
      <w:r w:rsidRPr="0035503F">
        <w:rPr>
          <w:rFonts w:eastAsia="SimSun"/>
          <w:lang w:val="en-GB" w:eastAsia="zh-CN"/>
        </w:rPr>
        <w:t>is the data depth, calculated based on</w:t>
      </w:r>
      <w:r w:rsidR="00E45CFF">
        <w:rPr>
          <w:rFonts w:eastAsia="SimSun"/>
          <w:lang w:eastAsia="zh-CN"/>
        </w:rPr>
        <w:t xml:space="preserve"> (1)</w:t>
      </w:r>
      <w:r w:rsidR="00E34CCA">
        <w:t xml:space="preserve">. If </w:t>
      </w:r>
      <w:r w:rsidR="00E34CCA" w:rsidRPr="0035503F">
        <w:rPr>
          <w:i/>
        </w:rPr>
        <w:t>G</w:t>
      </w:r>
      <w:r w:rsidR="00E34CCA">
        <w:t xml:space="preserve"> is unknown, the reference sample </w:t>
      </w:r>
      <w:r w:rsidR="00E34CCA">
        <w:rPr>
          <w:rFonts w:hint="eastAsia"/>
        </w:rPr>
        <w:t>{</w:t>
      </w:r>
      <m:oMath>
        <m:sSub>
          <m:sSubPr>
            <m:ctrlPr>
              <w:rPr>
                <w:rFonts w:ascii="Cambria Math" w:hAnsi="Cambria Math"/>
              </w:rPr>
            </m:ctrlPr>
          </m:sSubPr>
          <m:e>
            <m:r>
              <w:rPr>
                <w:rFonts w:ascii="Cambria Math" w:eastAsia="PMingLiU" w:hAnsi="PMingLiU" w:cs="PMingLiU"/>
              </w:rPr>
              <m:t>y</m:t>
            </m:r>
          </m:e>
          <m:sub>
            <m:r>
              <w:rPr>
                <w:rFonts w:ascii="Cambria Math" w:hAnsi="Cambria Math"/>
              </w:rPr>
              <m:t>1</m:t>
            </m:r>
          </m:sub>
        </m:sSub>
      </m:oMath>
      <w:r w:rsidR="00E34CCA">
        <w:rPr>
          <w:rFonts w:hint="eastAsia"/>
        </w:rPr>
        <w:t>,...,</w:t>
      </w:r>
      <m:oMath>
        <m:sSub>
          <m:sSubPr>
            <m:ctrlPr>
              <w:rPr>
                <w:rFonts w:ascii="Cambria Math" w:hAnsi="Cambria Math"/>
              </w:rPr>
            </m:ctrlPr>
          </m:sSubPr>
          <m:e>
            <m:r>
              <w:rPr>
                <w:rFonts w:ascii="Cambria Math" w:eastAsia="PMingLiU" w:hAnsi="PMingLiU" w:cs="PMingLiU" w:hint="eastAsia"/>
              </w:rPr>
              <m:t>y</m:t>
            </m:r>
          </m:e>
          <m:sub>
            <m:r>
              <w:rPr>
                <w:rFonts w:ascii="Cambria Math" w:hAnsi="Cambria Math" w:hint="eastAsia"/>
              </w:rPr>
              <m:t>m</m:t>
            </m:r>
          </m:sub>
        </m:sSub>
      </m:oMath>
      <w:r w:rsidR="00E34CCA">
        <w:rPr>
          <w:rFonts w:hint="eastAsia"/>
        </w:rPr>
        <w:t>}</w:t>
      </w:r>
      <w:r w:rsidR="00E34CCA">
        <w:t xml:space="preserve"> </w:t>
      </w:r>
      <w:r>
        <w:t>is</w:t>
      </w:r>
      <w:r w:rsidR="00E34CCA">
        <w:t xml:space="preserve"> used</w:t>
      </w:r>
      <w:r>
        <w:t xml:space="preserve"> instead.</w:t>
      </w:r>
      <w:r w:rsidR="00E34CCA">
        <w:t xml:space="preserve"> </w:t>
      </w:r>
      <w:r w:rsidRPr="0035503F">
        <w:rPr>
          <w:lang w:val="en-GB"/>
        </w:rPr>
        <w:t xml:space="preserve">The monitoring statistic, or the </w:t>
      </w:r>
      <w:r w:rsidRPr="0035503F">
        <w:rPr>
          <w:i/>
          <w:lang w:val="en-GB"/>
        </w:rPr>
        <w:t>r</w:t>
      </w:r>
      <w:r w:rsidRPr="0035503F">
        <w:rPr>
          <w:lang w:val="en-GB"/>
        </w:rPr>
        <w:t xml:space="preserve"> value, is then calculated as:</w:t>
      </w:r>
    </w:p>
    <w:tbl>
      <w:tblPr>
        <w:tblW w:w="7087" w:type="dxa"/>
        <w:tblLook w:val="04A0" w:firstRow="1" w:lastRow="0" w:firstColumn="1" w:lastColumn="0" w:noHBand="0" w:noVBand="1"/>
      </w:tblPr>
      <w:tblGrid>
        <w:gridCol w:w="6121"/>
        <w:gridCol w:w="966"/>
      </w:tblGrid>
      <w:tr w:rsidR="00E34CCA" w:rsidRPr="00A94774" w14:paraId="4580C45E" w14:textId="77777777" w:rsidTr="009B29FF">
        <w:tc>
          <w:tcPr>
            <w:tcW w:w="6121" w:type="dxa"/>
            <w:shd w:val="clear" w:color="auto" w:fill="auto"/>
            <w:vAlign w:val="center"/>
          </w:tcPr>
          <w:p w14:paraId="6A5A106F" w14:textId="30261C7B" w:rsidR="00E34CCA" w:rsidRPr="007053AF" w:rsidRDefault="00B231DF" w:rsidP="009B29FF">
            <w:pPr>
              <w:pStyle w:val="Els-body-text"/>
              <w:spacing w:before="120" w:after="120" w:line="264" w:lineRule="auto"/>
              <w:rPr>
                <w:lang w:val="en-GB"/>
              </w:rPr>
            </w:pPr>
            <m:oMathPara>
              <m:oMathParaPr>
                <m:jc m:val="center"/>
              </m:oMathParaPr>
              <m:oMath>
                <m:sSub>
                  <m:sSubPr>
                    <m:ctrlPr>
                      <w:rPr>
                        <w:rFonts w:ascii="Cambria Math" w:hAnsi="Cambria Math"/>
                      </w:rPr>
                    </m:ctrlPr>
                  </m:sSubPr>
                  <m:e>
                    <m:r>
                      <w:rPr>
                        <w:rFonts w:ascii="Cambria Math" w:eastAsia="PMingLiU" w:hAnsi="PMingLiU" w:cs="PMingLiU" w:hint="eastAsia"/>
                      </w:rPr>
                      <m:t>r</m:t>
                    </m:r>
                  </m:e>
                  <m:sub>
                    <m:r>
                      <w:rPr>
                        <w:rFonts w:ascii="Cambria Math" w:hAnsi="Cambria Math" w:hint="eastAsia"/>
                      </w:rPr>
                      <m:t>Gm</m:t>
                    </m:r>
                  </m:sub>
                </m:sSub>
                <m:d>
                  <m:dPr>
                    <m:ctrlPr>
                      <w:rPr>
                        <w:rFonts w:ascii="Cambria Math" w:hAnsi="Cambria Math"/>
                        <w:i/>
                      </w:rPr>
                    </m:ctrlPr>
                  </m:dPr>
                  <m:e>
                    <m:r>
                      <w:rPr>
                        <w:rFonts w:ascii="Cambria Math" w:hAnsi="Cambria Math" w:hint="eastAsia"/>
                      </w:rPr>
                      <m:t>x</m:t>
                    </m:r>
                  </m:e>
                </m:d>
                <m:r>
                  <w:rPr>
                    <w:rFonts w:ascii="Cambria Math" w:hAnsi="Cambria Math" w:hint="eastAsia"/>
                  </w:rPr>
                  <m:t>=</m:t>
                </m:r>
                <m:f>
                  <m:fPr>
                    <m:ctrlPr>
                      <w:rPr>
                        <w:rFonts w:ascii="Cambria Math" w:hAnsi="Cambria Math"/>
                        <w:i/>
                      </w:rPr>
                    </m:ctrlPr>
                  </m:fPr>
                  <m:num>
                    <m:r>
                      <w:rPr>
                        <w:rFonts w:ascii="Cambria Math" w:hAnsi="Cambria Math" w:hint="eastAsia"/>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hint="eastAsia"/>
                              </w:rPr>
                              <m:t>y</m:t>
                            </m:r>
                          </m:e>
                          <m:sub>
                            <m:r>
                              <w:rPr>
                                <w:rFonts w:ascii="Cambria Math" w:hAnsi="Cambria Math" w:hint="eastAsia"/>
                              </w:rPr>
                              <m:t>j</m:t>
                            </m:r>
                          </m:sub>
                        </m:sSub>
                        <m:r>
                          <w:rPr>
                            <w:rFonts w:ascii="Cambria Math" w:hAnsi="Cambria Math" w:hint="eastAsia"/>
                          </w:rPr>
                          <m:t>|</m:t>
                        </m:r>
                        <m:sSub>
                          <m:sSubPr>
                            <m:ctrlPr>
                              <w:rPr>
                                <w:rFonts w:ascii="Cambria Math" w:hAnsi="Cambria Math"/>
                                <w:i/>
                              </w:rPr>
                            </m:ctrlPr>
                          </m:sSubPr>
                          <m:e>
                            <m:r>
                              <w:rPr>
                                <w:rFonts w:ascii="Cambria Math" w:hAnsi="Cambria Math" w:hint="eastAsia"/>
                              </w:rPr>
                              <m:t>D</m:t>
                            </m:r>
                          </m:e>
                          <m:sub>
                            <m:r>
                              <w:rPr>
                                <w:rFonts w:ascii="Cambria Math" w:hAnsi="Cambria Math" w:hint="eastAsia"/>
                              </w:rPr>
                              <m:t>Gm</m:t>
                            </m:r>
                          </m:sub>
                        </m:sSub>
                        <m:r>
                          <w:rPr>
                            <w:rFonts w:ascii="Cambria Math" w:hAnsi="Cambria Math" w:hint="eastAsia"/>
                          </w:rPr>
                          <m:t>(</m:t>
                        </m:r>
                        <m:sSub>
                          <m:sSubPr>
                            <m:ctrlPr>
                              <w:rPr>
                                <w:rFonts w:ascii="Cambria Math" w:hAnsi="Cambria Math"/>
                                <w:i/>
                              </w:rPr>
                            </m:ctrlPr>
                          </m:sSubPr>
                          <m:e>
                            <m:r>
                              <w:rPr>
                                <w:rFonts w:ascii="Cambria Math" w:hAnsi="Cambria Math" w:hint="eastAsia"/>
                              </w:rPr>
                              <m:t>y</m:t>
                            </m:r>
                          </m:e>
                          <m:sub>
                            <m:r>
                              <w:rPr>
                                <w:rFonts w:ascii="Cambria Math" w:hAnsi="Cambria Math" w:hint="eastAsia"/>
                              </w:rPr>
                              <m:t>j</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hint="eastAsia"/>
                              </w:rPr>
                              <m:t>D</m:t>
                            </m:r>
                          </m:e>
                          <m:sub>
                            <m:r>
                              <w:rPr>
                                <w:rFonts w:ascii="Cambria Math" w:hAnsi="Cambria Math" w:hint="eastAsia"/>
                              </w:rPr>
                              <m:t>Gm</m:t>
                            </m:r>
                          </m:sub>
                        </m:sSub>
                        <m:r>
                          <w:rPr>
                            <w:rFonts w:ascii="Cambria Math" w:hAnsi="Cambria Math" w:hint="eastAsia"/>
                          </w:rPr>
                          <m:t>(x)</m:t>
                        </m:r>
                      </m:e>
                    </m:d>
                  </m:num>
                  <m:den>
                    <m:r>
                      <w:rPr>
                        <w:rFonts w:ascii="Cambria Math" w:hAnsi="Cambria Math" w:hint="eastAsia"/>
                      </w:rPr>
                      <m:t>m</m:t>
                    </m:r>
                  </m:den>
                </m:f>
                <m:r>
                  <w:rPr>
                    <w:rFonts w:ascii="Cambria Math" w:hAnsi="Cambria Math" w:hint="eastAsia"/>
                  </w:rPr>
                  <m:t>.    j=1,</m:t>
                </m:r>
                <m:r>
                  <w:rPr>
                    <w:rFonts w:ascii="Cambria Math" w:hAnsi="Cambria Math"/>
                  </w:rPr>
                  <m:t>…</m:t>
                </m:r>
                <m:r>
                  <w:rPr>
                    <w:rFonts w:ascii="Cambria Math" w:hAnsi="Cambria Math" w:hint="eastAsia"/>
                  </w:rPr>
                  <m:t>,m</m:t>
                </m:r>
              </m:oMath>
            </m:oMathPara>
          </w:p>
        </w:tc>
        <w:tc>
          <w:tcPr>
            <w:tcW w:w="966" w:type="dxa"/>
            <w:shd w:val="clear" w:color="auto" w:fill="auto"/>
            <w:vAlign w:val="center"/>
          </w:tcPr>
          <w:p w14:paraId="1C355814" w14:textId="4204A8B6" w:rsidR="00E34CCA" w:rsidRPr="00A94774" w:rsidRDefault="00E34CCA" w:rsidP="009B29FF">
            <w:pPr>
              <w:pStyle w:val="Els-body-text"/>
              <w:spacing w:before="120" w:after="120" w:line="264" w:lineRule="auto"/>
              <w:jc w:val="right"/>
              <w:rPr>
                <w:lang w:val="en-GB"/>
              </w:rPr>
            </w:pPr>
            <w:r w:rsidRPr="00A94774">
              <w:rPr>
                <w:lang w:val="en-GB"/>
              </w:rPr>
              <w:t>(</w:t>
            </w:r>
            <w:r w:rsidR="001B614D">
              <w:rPr>
                <w:lang w:val="en-GB"/>
              </w:rPr>
              <w:t>3</w:t>
            </w:r>
            <w:r w:rsidRPr="00A94774">
              <w:rPr>
                <w:lang w:val="en-GB"/>
              </w:rPr>
              <w:t>)</w:t>
            </w:r>
          </w:p>
        </w:tc>
      </w:tr>
    </w:tbl>
    <w:p w14:paraId="144DE6A0" w14:textId="06F208F3" w:rsidR="008D2649" w:rsidRDefault="000D1271" w:rsidP="00E34CCA">
      <w:pPr>
        <w:pStyle w:val="Els-body-text"/>
        <w:rPr>
          <w:lang w:eastAsia="zh-TW"/>
        </w:rPr>
      </w:pPr>
      <w:r>
        <w:rPr>
          <w:lang w:val="en-GB"/>
        </w:rPr>
        <w:t xml:space="preserve">where </w:t>
      </w:r>
      <m:oMath>
        <m:r>
          <w:rPr>
            <w:rFonts w:ascii="Cambria Math" w:hAnsi="Cambria Math" w:hint="eastAsia"/>
          </w:rPr>
          <m:t>#</m:t>
        </m:r>
      </m:oMath>
      <w:r>
        <w:rPr>
          <w:rFonts w:eastAsia="SimSun" w:hint="eastAsia"/>
          <w:lang w:eastAsia="zh-CN"/>
        </w:rPr>
        <w:t xml:space="preserve"> </w:t>
      </w:r>
      <w:r>
        <w:rPr>
          <w:rFonts w:eastAsia="SimSun"/>
          <w:lang w:eastAsia="zh-CN"/>
        </w:rPr>
        <w:t xml:space="preserve">represents the count function. </w:t>
      </w:r>
      <w:r w:rsidR="0035503F" w:rsidRPr="0035503F">
        <w:rPr>
          <w:lang w:val="en-GB"/>
        </w:rPr>
        <w:t>The value</w:t>
      </w:r>
      <w:r w:rsidR="00E34CCA">
        <w:t xml:space="preserve"> </w:t>
      </w:r>
      <m:oMath>
        <m:sSub>
          <m:sSubPr>
            <m:ctrlPr>
              <w:rPr>
                <w:rFonts w:ascii="Cambria Math" w:hAnsi="Cambria Math"/>
              </w:rPr>
            </m:ctrlPr>
          </m:sSubPr>
          <m:e>
            <m:r>
              <w:rPr>
                <w:rFonts w:ascii="Cambria Math" w:eastAsia="PMingLiU" w:hAnsi="PMingLiU" w:cs="PMingLiU" w:hint="eastAsia"/>
              </w:rPr>
              <m:t>r</m:t>
            </m:r>
          </m:e>
          <m:sub>
            <m:r>
              <w:rPr>
                <w:rFonts w:ascii="Cambria Math" w:hAnsi="Cambria Math" w:hint="eastAsia"/>
              </w:rPr>
              <m:t>Gm</m:t>
            </m:r>
          </m:sub>
        </m:sSub>
        <m:d>
          <m:dPr>
            <m:ctrlPr>
              <w:rPr>
                <w:rFonts w:ascii="Cambria Math" w:hAnsi="Cambria Math"/>
                <w:i/>
              </w:rPr>
            </m:ctrlPr>
          </m:dPr>
          <m:e>
            <m:r>
              <w:rPr>
                <w:rFonts w:ascii="Cambria Math" w:hAnsi="Cambria Math" w:hint="eastAsia"/>
              </w:rPr>
              <m:t>x</m:t>
            </m:r>
          </m:e>
        </m:d>
      </m:oMath>
      <w:r w:rsidR="00E34CCA">
        <w:t xml:space="preserve"> </w:t>
      </w:r>
      <w:r w:rsidR="0035503F" w:rsidRPr="0035503F">
        <w:rPr>
          <w:lang w:val="en-GB"/>
        </w:rPr>
        <w:t xml:space="preserve">assesses how closely vector </w:t>
      </w:r>
      <w:r w:rsidR="0035503F" w:rsidRPr="0035503F">
        <w:rPr>
          <w:i/>
          <w:iCs/>
          <w:lang w:val="en-GB"/>
        </w:rPr>
        <w:t>x</w:t>
      </w:r>
      <w:r w:rsidR="0035503F" w:rsidRPr="0035503F">
        <w:rPr>
          <w:lang w:val="en-GB"/>
        </w:rPr>
        <w:t xml:space="preserve"> aligns with the centre of the data cloud formed by the reference sample, by com</w:t>
      </w:r>
      <w:r w:rsidR="0035503F" w:rsidRPr="004F117C">
        <w:rPr>
          <w:lang w:val="en-GB"/>
        </w:rPr>
        <w:t xml:space="preserve">paring the depth values of </w:t>
      </w:r>
      <w:r w:rsidR="0035503F" w:rsidRPr="004F117C">
        <w:rPr>
          <w:i/>
          <w:iCs/>
          <w:lang w:val="en-GB"/>
        </w:rPr>
        <w:t>x</w:t>
      </w:r>
      <w:r w:rsidR="0035503F" w:rsidRPr="004F117C">
        <w:rPr>
          <w:lang w:val="en-GB"/>
        </w:rPr>
        <w:t xml:space="preserve"> and each point in </w:t>
      </w:r>
      <w:r w:rsidR="0035503F" w:rsidRPr="004F117C">
        <w:rPr>
          <w:i/>
          <w:iCs/>
          <w:lang w:val="en-GB"/>
        </w:rPr>
        <w:t>y</w:t>
      </w:r>
      <w:r w:rsidR="0035503F" w:rsidRPr="004F117C">
        <w:rPr>
          <w:lang w:val="en-GB"/>
        </w:rPr>
        <w:t>.</w:t>
      </w:r>
      <w:r w:rsidR="00E34CCA" w:rsidRPr="004F117C">
        <w:rPr>
          <w:lang w:val="en-GB"/>
        </w:rPr>
        <w:t xml:space="preserve"> </w:t>
      </w:r>
      <w:r w:rsidR="0035503F" w:rsidRPr="004F117C">
        <w:rPr>
          <w:lang w:val="en-GB"/>
        </w:rPr>
        <w:t xml:space="preserve">A high probability of </w:t>
      </w:r>
      <w:r w:rsidR="0035503F" w:rsidRPr="004F117C">
        <w:rPr>
          <w:i/>
          <w:iCs/>
          <w:lang w:val="en-GB"/>
        </w:rPr>
        <w:t>x</w:t>
      </w:r>
      <w:r w:rsidR="0035503F" w:rsidRPr="004F117C">
        <w:rPr>
          <w:lang w:val="en-GB"/>
        </w:rPr>
        <w:t xml:space="preserve"> having a greater depth value than those in </w:t>
      </w:r>
      <w:r w:rsidR="0035503F" w:rsidRPr="004F117C">
        <w:rPr>
          <w:i/>
          <w:iCs/>
          <w:lang w:val="en-GB"/>
        </w:rPr>
        <w:t>y</w:t>
      </w:r>
      <w:r w:rsidR="0035503F" w:rsidRPr="004F117C">
        <w:rPr>
          <w:lang w:val="en-GB"/>
        </w:rPr>
        <w:t xml:space="preserve"> suggests that </w:t>
      </w:r>
      <w:r w:rsidR="0035503F" w:rsidRPr="004F117C">
        <w:rPr>
          <w:i/>
          <w:iCs/>
          <w:lang w:val="en-GB"/>
        </w:rPr>
        <w:t>x</w:t>
      </w:r>
      <w:r w:rsidR="0035503F" w:rsidRPr="004F117C">
        <w:rPr>
          <w:lang w:val="en-GB"/>
        </w:rPr>
        <w:t xml:space="preserve"> is likely near the data cloud’s centre, resulting in a higher </w:t>
      </w:r>
      <w:r w:rsidR="0035503F" w:rsidRPr="004F117C">
        <w:rPr>
          <w:i/>
          <w:lang w:val="en-GB"/>
        </w:rPr>
        <w:t>r</w:t>
      </w:r>
      <w:r w:rsidR="0035503F" w:rsidRPr="004F117C">
        <w:rPr>
          <w:lang w:val="en-GB"/>
        </w:rPr>
        <w:t xml:space="preserve"> value and indicating a normal operation. Conversely, a lower probability implies </w:t>
      </w:r>
      <w:r w:rsidR="0035503F" w:rsidRPr="004F117C">
        <w:rPr>
          <w:i/>
          <w:iCs/>
          <w:lang w:val="en-GB"/>
        </w:rPr>
        <w:t>x</w:t>
      </w:r>
      <w:r w:rsidR="0035503F" w:rsidRPr="004F117C">
        <w:rPr>
          <w:lang w:val="en-GB"/>
        </w:rPr>
        <w:t xml:space="preserve"> is likely on the data cloud’s edge, leading to a smaller </w:t>
      </w:r>
      <w:r w:rsidR="0035503F" w:rsidRPr="004F117C">
        <w:rPr>
          <w:i/>
          <w:lang w:val="en-GB"/>
        </w:rPr>
        <w:t>r</w:t>
      </w:r>
      <w:r w:rsidR="0035503F" w:rsidRPr="004F117C">
        <w:rPr>
          <w:lang w:val="en-GB"/>
        </w:rPr>
        <w:t xml:space="preserve"> value and signifying out-of-control data. </w:t>
      </w:r>
      <w:r w:rsidR="002810A2" w:rsidRPr="004F117C">
        <w:rPr>
          <w:lang w:val="en-GB"/>
        </w:rPr>
        <w:t xml:space="preserve"> </w:t>
      </w:r>
      <w:r w:rsidR="004F117C" w:rsidRPr="004F117C">
        <w:rPr>
          <w:lang w:val="en-GB"/>
        </w:rPr>
        <w:t>In the control chart, key thresholds include a centre line</w:t>
      </w:r>
      <w:r w:rsidR="00E34CCA" w:rsidRPr="004F117C">
        <w:rPr>
          <w:lang w:val="en-GB"/>
        </w:rPr>
        <w:t xml:space="preserve"> </w:t>
      </w:r>
      <w:r w:rsidR="004F117C">
        <w:rPr>
          <w:lang w:val="en-GB"/>
        </w:rPr>
        <w:t xml:space="preserve">of 0.5 </w:t>
      </w:r>
      <w:r w:rsidR="00E34CCA" w:rsidRPr="004F117C">
        <w:rPr>
          <w:lang w:val="en-GB"/>
        </w:rPr>
        <w:t xml:space="preserve">and </w:t>
      </w:r>
      <w:r w:rsidR="004F117C">
        <w:rPr>
          <w:lang w:val="en-GB"/>
        </w:rPr>
        <w:t>a lower control limit set</w:t>
      </w:r>
      <w:r w:rsidR="00E34CCA" w:rsidRPr="004F117C">
        <w:rPr>
          <w:lang w:val="en-GB"/>
        </w:rPr>
        <w:t xml:space="preserve"> </w:t>
      </w:r>
      <w:r w:rsidR="004F117C">
        <w:rPr>
          <w:lang w:val="en-GB"/>
        </w:rPr>
        <w:t>at</w:t>
      </w:r>
      <w:r w:rsidR="00E34CCA" w:rsidRPr="004F117C">
        <w:rPr>
          <w:lang w:val="en-GB"/>
        </w:rPr>
        <w:t xml:space="preserve"> </w:t>
      </w:r>
      <w:r w:rsidR="004F117C" w:rsidRPr="004F117C">
        <w:rPr>
          <w:i/>
          <w:lang w:val="en-GB"/>
        </w:rPr>
        <w:t>α</w:t>
      </w:r>
      <w:r w:rsidR="00E34CCA" w:rsidRPr="004F117C">
        <w:rPr>
          <w:lang w:val="en-GB"/>
        </w:rPr>
        <w:t xml:space="preserve">. </w:t>
      </w:r>
      <w:r w:rsidR="000F796E" w:rsidRPr="000F796E">
        <w:rPr>
          <w:lang w:val="en-GB"/>
        </w:rPr>
        <w:t>A statistic below alpha signals an out-of-control process.</w:t>
      </w:r>
    </w:p>
    <w:p w14:paraId="144DE6A1" w14:textId="76771BC2" w:rsidR="008D2649" w:rsidRDefault="00B503EE" w:rsidP="008D2649">
      <w:pPr>
        <w:pStyle w:val="Els-1storder-head"/>
        <w:spacing w:after="120"/>
      </w:pPr>
      <w:r>
        <w:t xml:space="preserve">Case study </w:t>
      </w:r>
    </w:p>
    <w:p w14:paraId="3065A59B" w14:textId="5BDFB843" w:rsidR="003F288B" w:rsidRPr="00F748D8" w:rsidRDefault="001F4A83" w:rsidP="003F288B">
      <w:pPr>
        <w:pStyle w:val="Els-body-text"/>
        <w:spacing w:after="120"/>
        <w:rPr>
          <w:rFonts w:eastAsia="PMingLiU"/>
          <w:szCs w:val="24"/>
          <w:shd w:val="clear" w:color="auto" w:fill="FFFFFF"/>
        </w:rPr>
      </w:pPr>
      <w:r w:rsidRPr="001F4A83">
        <w:t xml:space="preserve">This study utilized </w:t>
      </w:r>
      <w:r w:rsidR="007075E0" w:rsidRPr="00877993">
        <w:t>real-world</w:t>
      </w:r>
      <w:r w:rsidR="007075E0">
        <w:t xml:space="preserve"> </w:t>
      </w:r>
      <w:r w:rsidRPr="001F4A83">
        <w:t xml:space="preserve">data from a rolling bearing mounted on an industrial machine. The data was gathered after applying the SPM technique, resulting in multiple variables relevant for the subsequent </w:t>
      </w:r>
      <w:r>
        <w:t>CM</w:t>
      </w:r>
      <w:r w:rsidRPr="001F4A83">
        <w:t xml:space="preserve"> phase. In consultation with equipment experts, a period of </w:t>
      </w:r>
      <w:r>
        <w:t>“</w:t>
      </w:r>
      <w:r w:rsidRPr="001F4A83">
        <w:t>golden data</w:t>
      </w:r>
      <w:r>
        <w:t>”,</w:t>
      </w:r>
      <w:r w:rsidRPr="001F4A83">
        <w:t xml:space="preserve"> representing normal operating conditions, was selected to construct control charts. Data collected </w:t>
      </w:r>
      <w:r w:rsidR="00191CDD">
        <w:rPr>
          <w:rFonts w:hint="eastAsia"/>
          <w:lang w:eastAsia="zh-TW"/>
        </w:rPr>
        <w:t>a</w:t>
      </w:r>
      <w:r w:rsidR="00191CDD">
        <w:rPr>
          <w:lang w:eastAsia="zh-TW"/>
        </w:rPr>
        <w:t>fter</w:t>
      </w:r>
      <w:r w:rsidRPr="001F4A83">
        <w:t xml:space="preserve"> </w:t>
      </w:r>
      <w:r w:rsidR="007075E0" w:rsidRPr="00877993">
        <w:t>this</w:t>
      </w:r>
      <w:r w:rsidRPr="001F4A83">
        <w:t xml:space="preserve"> period served as the test set.</w:t>
      </w:r>
      <w:r w:rsidR="003F288B" w:rsidRPr="003F288B">
        <w:rPr>
          <w:lang w:val="en-GB"/>
        </w:rPr>
        <w:t xml:space="preserve"> </w:t>
      </w:r>
    </w:p>
    <w:p w14:paraId="49D1D59F" w14:textId="69B10537" w:rsidR="003F288B" w:rsidRDefault="00236049" w:rsidP="001F4A83">
      <w:pPr>
        <w:pStyle w:val="Els-body-text"/>
        <w:rPr>
          <w:rFonts w:eastAsia="SimSun"/>
          <w:lang w:val="en-GB" w:eastAsia="zh-CN"/>
        </w:rPr>
      </w:pPr>
      <w:r w:rsidRPr="00236049">
        <w:rPr>
          <w:rFonts w:eastAsia="SimSun"/>
          <w:lang w:val="en-GB" w:eastAsia="zh-CN"/>
        </w:rPr>
        <w:t>Prior to implementing the data depth-based control chart, PCA was used for an initial comparison. The outcomes are illustrated in Fig. 1: Fig. 1</w:t>
      </w:r>
      <w:r w:rsidR="00737B36">
        <w:rPr>
          <w:rFonts w:asciiTheme="minorEastAsia" w:hAnsiTheme="minorEastAsia" w:hint="eastAsia"/>
          <w:lang w:val="en-GB" w:eastAsia="zh-TW"/>
        </w:rPr>
        <w:t>(</w:t>
      </w:r>
      <w:r w:rsidRPr="00236049">
        <w:rPr>
          <w:rFonts w:eastAsia="SimSun"/>
          <w:lang w:val="en-GB" w:eastAsia="zh-CN"/>
        </w:rPr>
        <w:t>a</w:t>
      </w:r>
      <w:r w:rsidR="00737B36">
        <w:rPr>
          <w:rFonts w:asciiTheme="minorEastAsia" w:hAnsiTheme="minorEastAsia" w:hint="eastAsia"/>
          <w:lang w:val="en-GB" w:eastAsia="zh-TW"/>
        </w:rPr>
        <w:t>)</w:t>
      </w:r>
      <w:r w:rsidRPr="00236049">
        <w:rPr>
          <w:rFonts w:eastAsia="SimSun"/>
          <w:lang w:val="en-GB" w:eastAsia="zh-CN"/>
        </w:rPr>
        <w:t xml:space="preserve"> displays the </w:t>
      </w:r>
      <w:proofErr w:type="spellStart"/>
      <w:r w:rsidRPr="00236049">
        <w:rPr>
          <w:rFonts w:eastAsia="SimSun"/>
          <w:lang w:val="en-GB" w:eastAsia="zh-CN"/>
        </w:rPr>
        <w:t>Hotelling</w:t>
      </w:r>
      <w:r>
        <w:rPr>
          <w:rFonts w:eastAsia="SimSun"/>
          <w:lang w:val="en-GB" w:eastAsia="zh-CN"/>
        </w:rPr>
        <w:t>’</w:t>
      </w:r>
      <w:r w:rsidRPr="00236049">
        <w:rPr>
          <w:rFonts w:eastAsia="SimSun"/>
          <w:lang w:val="en-GB" w:eastAsia="zh-CN"/>
        </w:rPr>
        <w:t>s</w:t>
      </w:r>
      <w:proofErr w:type="spellEnd"/>
      <w:r w:rsidRPr="00236049">
        <w:rPr>
          <w:rFonts w:eastAsia="SimSun"/>
          <w:lang w:val="en-GB" w:eastAsia="zh-CN"/>
        </w:rPr>
        <w:t xml:space="preserve"> </w:t>
      </w:r>
      <w:r w:rsidRPr="00236049">
        <w:rPr>
          <w:rFonts w:eastAsia="SimSun"/>
          <w:i/>
          <w:lang w:val="en-GB" w:eastAsia="zh-CN"/>
        </w:rPr>
        <w:t>T</w:t>
      </w:r>
      <w:r w:rsidRPr="00236049">
        <w:rPr>
          <w:rFonts w:eastAsia="SimSun"/>
          <w:vertAlign w:val="superscript"/>
          <w:lang w:val="en-GB" w:eastAsia="zh-CN"/>
        </w:rPr>
        <w:t>2</w:t>
      </w:r>
      <w:r w:rsidRPr="00236049">
        <w:rPr>
          <w:rFonts w:eastAsia="SimSun"/>
          <w:lang w:val="en-GB" w:eastAsia="zh-CN"/>
        </w:rPr>
        <w:t xml:space="preserve"> control c</w:t>
      </w:r>
      <w:r>
        <w:rPr>
          <w:rFonts w:eastAsia="SimSun"/>
          <w:lang w:val="en-GB" w:eastAsia="zh-CN"/>
        </w:rPr>
        <w:t>hart, and Fig. 1</w:t>
      </w:r>
      <w:r w:rsidR="009C1C2F">
        <w:rPr>
          <w:rFonts w:asciiTheme="minorEastAsia" w:hAnsiTheme="minorEastAsia" w:hint="eastAsia"/>
          <w:lang w:val="en-GB" w:eastAsia="zh-TW"/>
        </w:rPr>
        <w:t>(</w:t>
      </w:r>
      <w:r>
        <w:rPr>
          <w:rFonts w:eastAsia="SimSun"/>
          <w:lang w:val="en-GB" w:eastAsia="zh-CN"/>
        </w:rPr>
        <w:t>b</w:t>
      </w:r>
      <w:r w:rsidR="009C1C2F">
        <w:rPr>
          <w:rFonts w:asciiTheme="minorEastAsia" w:hAnsiTheme="minorEastAsia" w:hint="eastAsia"/>
          <w:lang w:val="en-GB" w:eastAsia="zh-TW"/>
        </w:rPr>
        <w:t>)</w:t>
      </w:r>
      <w:r>
        <w:rPr>
          <w:rFonts w:eastAsia="SimSun"/>
          <w:lang w:val="en-GB" w:eastAsia="zh-CN"/>
        </w:rPr>
        <w:t xml:space="preserve"> shows the </w:t>
      </w:r>
      <w:r w:rsidRPr="00236049">
        <w:rPr>
          <w:rFonts w:eastAsia="SimSun"/>
          <w:i/>
          <w:lang w:val="en-GB" w:eastAsia="zh-CN"/>
        </w:rPr>
        <w:t>SPE</w:t>
      </w:r>
      <w:r w:rsidRPr="00236049">
        <w:rPr>
          <w:rFonts w:eastAsia="SimSun"/>
          <w:lang w:val="en-GB" w:eastAsia="zh-CN"/>
        </w:rPr>
        <w:t xml:space="preserve"> chart. In these charts, the "golden data" is represented in pink, while other data points are in blue. Notably, a significant number of false alarms are observable during the </w:t>
      </w:r>
      <w:r>
        <w:rPr>
          <w:rFonts w:eastAsia="SimSun"/>
          <w:lang w:val="en-GB" w:eastAsia="zh-CN"/>
        </w:rPr>
        <w:t>“</w:t>
      </w:r>
      <w:r w:rsidRPr="00236049">
        <w:rPr>
          <w:rFonts w:eastAsia="SimSun"/>
          <w:lang w:val="en-GB" w:eastAsia="zh-CN"/>
        </w:rPr>
        <w:t>golden data</w:t>
      </w:r>
      <w:r>
        <w:rPr>
          <w:rFonts w:eastAsia="SimSun"/>
          <w:lang w:val="en-GB" w:eastAsia="zh-CN"/>
        </w:rPr>
        <w:t>”</w:t>
      </w:r>
      <w:r w:rsidRPr="00236049">
        <w:rPr>
          <w:rFonts w:eastAsia="SimSun"/>
          <w:lang w:val="en-GB" w:eastAsia="zh-CN"/>
        </w:rPr>
        <w:t xml:space="preserve"> period, attributed to the non-Gaussian nature of the data distribution. Furthermore, a consistent pattern of alarms shortly after the golden data period is seen, contradicting the actual operating conditions of the rolling bearing. Neither </w:t>
      </w:r>
      <w:r>
        <w:rPr>
          <w:rFonts w:eastAsia="SimSun"/>
          <w:lang w:val="en-GB" w:eastAsia="zh-CN"/>
        </w:rPr>
        <w:t>the</w:t>
      </w:r>
      <w:r w:rsidRPr="00236049">
        <w:rPr>
          <w:rFonts w:eastAsia="SimSun"/>
          <w:lang w:val="en-GB" w:eastAsia="zh-CN"/>
        </w:rPr>
        <w:t xml:space="preserve"> </w:t>
      </w:r>
      <w:r w:rsidRPr="00236049">
        <w:rPr>
          <w:rFonts w:eastAsia="SimSun"/>
          <w:i/>
          <w:lang w:val="en-GB" w:eastAsia="zh-CN"/>
        </w:rPr>
        <w:t>T</w:t>
      </w:r>
      <w:r w:rsidRPr="00236049">
        <w:rPr>
          <w:rFonts w:eastAsia="SimSun"/>
          <w:vertAlign w:val="superscript"/>
          <w:lang w:val="en-GB" w:eastAsia="zh-CN"/>
        </w:rPr>
        <w:t>2</w:t>
      </w:r>
      <w:r w:rsidRPr="00236049">
        <w:rPr>
          <w:rFonts w:eastAsia="SimSun"/>
          <w:lang w:val="en-GB" w:eastAsia="zh-CN"/>
        </w:rPr>
        <w:t xml:space="preserve"> chart nor the </w:t>
      </w:r>
      <w:r w:rsidRPr="00236049">
        <w:rPr>
          <w:rFonts w:eastAsia="SimSun"/>
          <w:i/>
          <w:lang w:val="en-GB" w:eastAsia="zh-CN"/>
        </w:rPr>
        <w:t>SPE</w:t>
      </w:r>
      <w:r w:rsidRPr="00236049">
        <w:rPr>
          <w:rFonts w:eastAsia="SimSun"/>
          <w:lang w:val="en-GB" w:eastAsia="zh-CN"/>
        </w:rPr>
        <w:t xml:space="preserve"> chart effectively captures a progressive deterioration trend in the bearing</w:t>
      </w:r>
      <w:r>
        <w:rPr>
          <w:rFonts w:eastAsia="SimSun"/>
          <w:lang w:val="en-GB" w:eastAsia="zh-CN"/>
        </w:rPr>
        <w:t>’</w:t>
      </w:r>
      <w:r w:rsidRPr="00236049">
        <w:rPr>
          <w:rFonts w:eastAsia="SimSun"/>
          <w:lang w:val="en-GB" w:eastAsia="zh-CN"/>
        </w:rPr>
        <w:t>s data.</w:t>
      </w:r>
    </w:p>
    <w:p w14:paraId="0B8C134D" w14:textId="05130722" w:rsidR="001F4A83" w:rsidRDefault="00360606" w:rsidP="003F288B">
      <w:pPr>
        <w:pStyle w:val="Els-body-text"/>
        <w:rPr>
          <w:lang w:val="en-GB" w:eastAsia="zh-TW"/>
        </w:rPr>
      </w:pPr>
      <w:r>
        <w:rPr>
          <w:noProof/>
          <w:lang w:eastAsia="zh-TW"/>
        </w:rPr>
        <w:drawing>
          <wp:inline distT="0" distB="0" distL="0" distR="0" wp14:anchorId="1D83D970" wp14:editId="630BAB69">
            <wp:extent cx="2193177" cy="180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DC5804.tmp"/>
                    <pic:cNvPicPr/>
                  </pic:nvPicPr>
                  <pic:blipFill rotWithShape="1">
                    <a:blip r:embed="rId9" cstate="print">
                      <a:extLst>
                        <a:ext uri="{28A0092B-C50C-407E-A947-70E740481C1C}">
                          <a14:useLocalDpi xmlns:a14="http://schemas.microsoft.com/office/drawing/2010/main" val="0"/>
                        </a:ext>
                      </a:extLst>
                    </a:blip>
                    <a:srcRect l="813" t="166"/>
                    <a:stretch/>
                  </pic:blipFill>
                  <pic:spPr bwMode="auto">
                    <a:xfrm>
                      <a:off x="0" y="0"/>
                      <a:ext cx="2193177" cy="1800000"/>
                    </a:xfrm>
                    <a:prstGeom prst="rect">
                      <a:avLst/>
                    </a:prstGeom>
                    <a:ln>
                      <a:noFill/>
                    </a:ln>
                    <a:extLst>
                      <a:ext uri="{53640926-AAD7-44D8-BBD7-CCE9431645EC}">
                        <a14:shadowObscured xmlns:a14="http://schemas.microsoft.com/office/drawing/2010/main"/>
                      </a:ext>
                    </a:extLst>
                  </pic:spPr>
                </pic:pic>
              </a:graphicData>
            </a:graphic>
          </wp:inline>
        </w:drawing>
      </w:r>
      <w:r w:rsidR="004A504B">
        <w:rPr>
          <w:rFonts w:hint="eastAsia"/>
          <w:lang w:val="en-GB" w:eastAsia="zh-TW"/>
        </w:rPr>
        <w:t xml:space="preserve"> </w:t>
      </w:r>
      <w:r w:rsidR="004A504B">
        <w:rPr>
          <w:lang w:val="en-GB" w:eastAsia="zh-TW"/>
        </w:rPr>
        <w:t xml:space="preserve"> </w:t>
      </w:r>
      <w:r w:rsidR="004A504B">
        <w:rPr>
          <w:noProof/>
          <w:lang w:eastAsia="zh-TW"/>
        </w:rPr>
        <w:drawing>
          <wp:inline distT="0" distB="0" distL="0" distR="0" wp14:anchorId="46056178" wp14:editId="2A8B58E2">
            <wp:extent cx="2202521" cy="1800000"/>
            <wp:effectExtent l="0" t="0" r="762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DCCCE.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2521" cy="1800000"/>
                    </a:xfrm>
                    <a:prstGeom prst="rect">
                      <a:avLst/>
                    </a:prstGeom>
                  </pic:spPr>
                </pic:pic>
              </a:graphicData>
            </a:graphic>
          </wp:inline>
        </w:drawing>
      </w:r>
    </w:p>
    <w:p w14:paraId="3EC9D753" w14:textId="77777777" w:rsidR="00D60E59" w:rsidRPr="00D60E59" w:rsidRDefault="00D60E59" w:rsidP="003F288B">
      <w:pPr>
        <w:pStyle w:val="Els-body-text"/>
        <w:rPr>
          <w:lang w:val="en-GB" w:eastAsia="zh-TW"/>
        </w:rPr>
      </w:pPr>
    </w:p>
    <w:p w14:paraId="00A5BB87" w14:textId="5C78D04B" w:rsidR="001F4A83" w:rsidRDefault="001F4A83" w:rsidP="001F4A83">
      <w:pPr>
        <w:pStyle w:val="Els-body-text"/>
        <w:jc w:val="center"/>
        <w:rPr>
          <w:noProof/>
          <w:sz w:val="18"/>
          <w:szCs w:val="18"/>
          <w:lang w:eastAsia="zh-TW"/>
        </w:rPr>
      </w:pPr>
      <w:r w:rsidRPr="001F4A83">
        <w:rPr>
          <w:noProof/>
          <w:sz w:val="18"/>
          <w:szCs w:val="18"/>
          <w:lang w:eastAsia="zh-TW"/>
        </w:rPr>
        <w:t>(a)</w:t>
      </w:r>
      <w:r>
        <w:rPr>
          <w:noProof/>
          <w:sz w:val="18"/>
          <w:szCs w:val="18"/>
          <w:lang w:eastAsia="zh-TW"/>
        </w:rPr>
        <w:t xml:space="preserve">                                                                            </w:t>
      </w:r>
      <w:r w:rsidRPr="001F4A83">
        <w:rPr>
          <w:noProof/>
          <w:sz w:val="18"/>
          <w:szCs w:val="18"/>
          <w:lang w:eastAsia="zh-TW"/>
        </w:rPr>
        <w:t>(b)</w:t>
      </w:r>
    </w:p>
    <w:p w14:paraId="21DBC3A3" w14:textId="6809CDB7" w:rsidR="001F4A83" w:rsidRPr="001F4A83" w:rsidRDefault="001F4A83" w:rsidP="001F4A83">
      <w:pPr>
        <w:pStyle w:val="Els-body-text"/>
        <w:jc w:val="center"/>
        <w:rPr>
          <w:rFonts w:eastAsia="SimSun"/>
          <w:sz w:val="18"/>
          <w:szCs w:val="18"/>
          <w:lang w:val="en-GB" w:eastAsia="zh-CN"/>
        </w:rPr>
      </w:pPr>
      <w:r>
        <w:rPr>
          <w:noProof/>
          <w:sz w:val="18"/>
          <w:szCs w:val="18"/>
          <w:lang w:eastAsia="zh-TW"/>
        </w:rPr>
        <w:t>Figure 1. PCA monitoring results</w:t>
      </w:r>
    </w:p>
    <w:p w14:paraId="5DE61AB0" w14:textId="5F9AB5BE" w:rsidR="007F157E" w:rsidRDefault="00236049" w:rsidP="00B249B4">
      <w:pPr>
        <w:pStyle w:val="Els-body-text"/>
        <w:rPr>
          <w:rFonts w:eastAsia="SimSun"/>
          <w:lang w:eastAsia="zh-CN"/>
        </w:rPr>
      </w:pPr>
      <w:r>
        <w:rPr>
          <w:rFonts w:eastAsia="SimSun" w:hint="eastAsia"/>
          <w:lang w:eastAsia="zh-CN"/>
        </w:rPr>
        <w:lastRenderedPageBreak/>
        <w:t>S</w:t>
      </w:r>
      <w:r>
        <w:rPr>
          <w:rFonts w:eastAsia="SimSun"/>
          <w:lang w:eastAsia="zh-CN"/>
        </w:rPr>
        <w:t>ubsequently, the proposed method was implemented</w:t>
      </w:r>
      <w:r w:rsidR="007F157E">
        <w:rPr>
          <w:rFonts w:eastAsia="SimSun"/>
          <w:lang w:eastAsia="zh-CN"/>
        </w:rPr>
        <w:t xml:space="preserve"> in the following manner.</w:t>
      </w:r>
      <w:r w:rsidR="009C18D4">
        <w:rPr>
          <w:rFonts w:eastAsia="SimSun"/>
          <w:lang w:eastAsia="zh-CN"/>
        </w:rPr>
        <w:t xml:space="preserve"> </w:t>
      </w:r>
    </w:p>
    <w:p w14:paraId="5FDD81E8" w14:textId="1962E001" w:rsidR="007F157E" w:rsidRPr="007F157E" w:rsidRDefault="0090533C" w:rsidP="0090533C">
      <w:pPr>
        <w:pStyle w:val="Els-body-text"/>
        <w:rPr>
          <w:rFonts w:eastAsia="SimSun"/>
          <w:lang w:eastAsia="zh-CN"/>
        </w:rPr>
      </w:pPr>
      <w:r>
        <w:rPr>
          <w:rFonts w:eastAsia="SimSun"/>
          <w:bCs/>
          <w:lang w:eastAsia="zh-CN"/>
        </w:rPr>
        <w:t xml:space="preserve">1. </w:t>
      </w:r>
      <w:r w:rsidR="007F157E" w:rsidRPr="007F157E">
        <w:rPr>
          <w:rFonts w:eastAsia="SimSun"/>
          <w:bCs/>
          <w:lang w:eastAsia="zh-CN"/>
        </w:rPr>
        <w:t>Reference Sample Selection</w:t>
      </w:r>
      <w:r w:rsidR="007F157E" w:rsidRPr="007F157E">
        <w:rPr>
          <w:rFonts w:eastAsia="SimSun"/>
          <w:lang w:eastAsia="zh-CN"/>
        </w:rPr>
        <w:t xml:space="preserve">: </w:t>
      </w:r>
      <w:r w:rsidR="00CE5D12" w:rsidRPr="00877993">
        <w:rPr>
          <w:rFonts w:eastAsia="SimSun"/>
          <w:lang w:eastAsia="zh-CN"/>
        </w:rPr>
        <w:t xml:space="preserve">The data collected </w:t>
      </w:r>
      <w:r w:rsidR="00E14915" w:rsidRPr="00877993">
        <w:rPr>
          <w:rFonts w:eastAsia="SimSun"/>
          <w:lang w:eastAsia="zh-CN"/>
        </w:rPr>
        <w:t xml:space="preserve">when the bearings are functioning normally </w:t>
      </w:r>
      <w:r w:rsidR="00CE5D12" w:rsidRPr="00877993">
        <w:rPr>
          <w:rFonts w:eastAsia="SimSun"/>
          <w:lang w:eastAsia="zh-CN"/>
        </w:rPr>
        <w:t xml:space="preserve">and have not experienced failure is </w:t>
      </w:r>
      <w:r w:rsidR="00E14915" w:rsidRPr="00877993">
        <w:rPr>
          <w:rFonts w:eastAsia="SimSun"/>
          <w:lang w:eastAsia="zh-CN"/>
        </w:rPr>
        <w:t>identified</w:t>
      </w:r>
      <w:r w:rsidR="00CE5D12" w:rsidRPr="00877993">
        <w:rPr>
          <w:rFonts w:eastAsia="SimSun"/>
          <w:lang w:eastAsia="zh-CN"/>
        </w:rPr>
        <w:t xml:space="preserve"> as </w:t>
      </w:r>
      <w:r w:rsidR="00E14915" w:rsidRPr="00877993">
        <w:rPr>
          <w:rFonts w:eastAsia="SimSun"/>
          <w:lang w:eastAsia="zh-CN"/>
        </w:rPr>
        <w:t>“</w:t>
      </w:r>
      <w:r w:rsidR="00CE5D12" w:rsidRPr="00877993">
        <w:rPr>
          <w:rFonts w:eastAsia="SimSun"/>
          <w:lang w:eastAsia="zh-CN"/>
        </w:rPr>
        <w:t>golden data</w:t>
      </w:r>
      <w:r w:rsidR="00E14915" w:rsidRPr="00877993">
        <w:rPr>
          <w:rFonts w:eastAsia="SimSun"/>
          <w:lang w:eastAsia="zh-CN"/>
        </w:rPr>
        <w:t>”,</w:t>
      </w:r>
      <w:r w:rsidR="00CE5D12" w:rsidRPr="00877993">
        <w:rPr>
          <w:rFonts w:eastAsia="SimSun"/>
          <w:lang w:eastAsia="zh-CN"/>
        </w:rPr>
        <w:t xml:space="preserve"> serving as the reference sample.</w:t>
      </w:r>
    </w:p>
    <w:p w14:paraId="4FCD7833" w14:textId="41726B56" w:rsidR="007F157E" w:rsidRPr="007F157E" w:rsidRDefault="0090533C" w:rsidP="0090533C">
      <w:pPr>
        <w:pStyle w:val="Els-body-text"/>
        <w:rPr>
          <w:rFonts w:eastAsia="SimSun"/>
          <w:lang w:eastAsia="zh-CN"/>
        </w:rPr>
      </w:pPr>
      <w:r>
        <w:rPr>
          <w:rFonts w:eastAsia="SimSun"/>
          <w:bCs/>
          <w:lang w:eastAsia="zh-CN"/>
        </w:rPr>
        <w:t xml:space="preserve">2. </w:t>
      </w:r>
      <w:r w:rsidR="007F157E" w:rsidRPr="007F157E">
        <w:rPr>
          <w:rFonts w:eastAsia="SimSun"/>
          <w:bCs/>
          <w:lang w:eastAsia="zh-CN"/>
        </w:rPr>
        <w:t>Tukey Depth Calculation</w:t>
      </w:r>
      <w:r w:rsidR="007F157E" w:rsidRPr="007F157E">
        <w:rPr>
          <w:rFonts w:eastAsia="SimSun"/>
          <w:lang w:eastAsia="zh-CN"/>
        </w:rPr>
        <w:t>: The Tukey depth for each data point in the dataset was then calculated.</w:t>
      </w:r>
    </w:p>
    <w:p w14:paraId="18890AFB" w14:textId="0AA8F89A" w:rsidR="007F157E" w:rsidRPr="007F157E" w:rsidRDefault="0090533C" w:rsidP="0090533C">
      <w:pPr>
        <w:pStyle w:val="Els-body-text"/>
        <w:rPr>
          <w:rFonts w:eastAsia="SimSun"/>
          <w:lang w:eastAsia="zh-CN"/>
        </w:rPr>
      </w:pPr>
      <w:r>
        <w:rPr>
          <w:rFonts w:eastAsia="SimSun"/>
          <w:bCs/>
          <w:lang w:eastAsia="zh-CN"/>
        </w:rPr>
        <w:t xml:space="preserve">3. </w:t>
      </w:r>
      <w:r w:rsidR="007F157E" w:rsidRPr="007F157E">
        <w:rPr>
          <w:rFonts w:eastAsia="SimSun"/>
          <w:bCs/>
          <w:lang w:eastAsia="zh-CN"/>
        </w:rPr>
        <w:t>r-chart Construction for Condition Monitoring</w:t>
      </w:r>
      <w:r w:rsidR="007F157E" w:rsidRPr="007F157E">
        <w:rPr>
          <w:rFonts w:eastAsia="SimSun"/>
          <w:lang w:eastAsia="zh-CN"/>
        </w:rPr>
        <w:t xml:space="preserve">: An r-chart was subsequently constructed for CM. A process is deemed out of control if the </w:t>
      </w:r>
      <w:r w:rsidR="007F157E" w:rsidRPr="0090533C">
        <w:rPr>
          <w:rFonts w:eastAsia="SimSun"/>
          <w:i/>
          <w:lang w:eastAsia="zh-CN"/>
        </w:rPr>
        <w:t>r</w:t>
      </w:r>
      <w:r w:rsidR="007F157E" w:rsidRPr="007F157E">
        <w:rPr>
          <w:rFonts w:eastAsia="SimSun"/>
          <w:lang w:eastAsia="zh-CN"/>
        </w:rPr>
        <w:t xml:space="preserve"> value falls below the threshold of </w:t>
      </w:r>
      <w:r w:rsidR="007F157E" w:rsidRPr="0090533C">
        <w:rPr>
          <w:rFonts w:eastAsia="SimSun"/>
          <w:i/>
          <w:lang w:eastAsia="zh-CN"/>
        </w:rPr>
        <w:t>α</w:t>
      </w:r>
      <w:r w:rsidR="007F157E" w:rsidRPr="007F157E">
        <w:rPr>
          <w:rFonts w:eastAsia="SimSun"/>
          <w:lang w:eastAsia="zh-CN"/>
        </w:rPr>
        <w:t xml:space="preserve"> = 0.05.</w:t>
      </w:r>
    </w:p>
    <w:p w14:paraId="5C76F97A" w14:textId="6C22BE64" w:rsidR="007F157E" w:rsidRPr="007F157E" w:rsidRDefault="0090533C" w:rsidP="0090533C">
      <w:pPr>
        <w:pStyle w:val="Els-body-text"/>
        <w:rPr>
          <w:rFonts w:eastAsia="SimSun"/>
          <w:lang w:eastAsia="zh-CN"/>
        </w:rPr>
      </w:pPr>
      <w:r>
        <w:rPr>
          <w:rFonts w:eastAsia="SimSun"/>
          <w:bCs/>
          <w:lang w:eastAsia="zh-CN"/>
        </w:rPr>
        <w:t xml:space="preserve">4. </w:t>
      </w:r>
      <w:r w:rsidR="007F157E" w:rsidRPr="007F157E">
        <w:rPr>
          <w:rFonts w:eastAsia="SimSun"/>
          <w:bCs/>
          <w:lang w:eastAsia="zh-CN"/>
        </w:rPr>
        <w:t>Minimizing False Alarms with a Moving Window</w:t>
      </w:r>
      <w:r w:rsidR="007F157E" w:rsidRPr="007F157E">
        <w:rPr>
          <w:rFonts w:eastAsia="SimSun"/>
          <w:lang w:eastAsia="zh-CN"/>
        </w:rPr>
        <w:t xml:space="preserve">: To further reduce the incidence of false alarms, a moving window approach was adopted. This window consists of </w:t>
      </w:r>
      <w:r w:rsidRPr="0090533C">
        <w:rPr>
          <w:rFonts w:eastAsia="SimSun"/>
          <w:i/>
          <w:lang w:eastAsia="zh-CN"/>
        </w:rPr>
        <w:t>n</w:t>
      </w:r>
      <w:r w:rsidR="007F157E" w:rsidRPr="007F157E">
        <w:rPr>
          <w:rFonts w:eastAsia="SimSun"/>
          <w:lang w:eastAsia="zh-CN"/>
        </w:rPr>
        <w:t xml:space="preserve"> consecutive data points. Based on this window, a health indicator </w:t>
      </w:r>
      <w:r>
        <w:rPr>
          <w:rFonts w:eastAsia="SimSun"/>
          <w:lang w:eastAsia="zh-CN"/>
        </w:rPr>
        <w:t xml:space="preserve">(HI) </w:t>
      </w:r>
      <w:r w:rsidR="007F157E" w:rsidRPr="007F157E">
        <w:rPr>
          <w:rFonts w:eastAsia="SimSun"/>
          <w:lang w:eastAsia="zh-CN"/>
        </w:rPr>
        <w:t>was formulated using a binomial distribution as shown in equation (4):</w:t>
      </w:r>
    </w:p>
    <w:tbl>
      <w:tblPr>
        <w:tblW w:w="7087" w:type="dxa"/>
        <w:tblLook w:val="04A0" w:firstRow="1" w:lastRow="0" w:firstColumn="1" w:lastColumn="0" w:noHBand="0" w:noVBand="1"/>
      </w:tblPr>
      <w:tblGrid>
        <w:gridCol w:w="6121"/>
        <w:gridCol w:w="966"/>
      </w:tblGrid>
      <w:tr w:rsidR="00FD63F6" w:rsidRPr="00A94774" w14:paraId="097D00A5" w14:textId="77777777" w:rsidTr="009B29FF">
        <w:tc>
          <w:tcPr>
            <w:tcW w:w="6121" w:type="dxa"/>
            <w:shd w:val="clear" w:color="auto" w:fill="auto"/>
            <w:vAlign w:val="center"/>
          </w:tcPr>
          <w:p w14:paraId="285BEEB6" w14:textId="0BFF77B9" w:rsidR="00FD63F6" w:rsidRPr="007053AF" w:rsidRDefault="00B249B4" w:rsidP="007F157E">
            <w:pPr>
              <w:pStyle w:val="Els-body-text"/>
              <w:spacing w:before="120" w:after="120" w:line="264" w:lineRule="auto"/>
              <w:rPr>
                <w:lang w:val="en-GB"/>
              </w:rPr>
            </w:pPr>
            <m:oMathPara>
              <m:oMathParaPr>
                <m:jc m:val="center"/>
              </m:oMathParaPr>
              <m:oMath>
                <m:r>
                  <w:rPr>
                    <w:rFonts w:ascii="Cambria Math" w:hAnsi="Cambria Math"/>
                  </w:rPr>
                  <m:t>P</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p</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hint="eastAsia"/>
                      </w:rPr>
                      <m:t>(</m:t>
                    </m:r>
                    <m:r>
                      <w:rPr>
                        <w:rFonts w:ascii="Cambria Math" w:hAnsi="Cambria Math"/>
                      </w:rPr>
                      <m:t>1-p</m:t>
                    </m:r>
                    <m:r>
                      <w:rPr>
                        <w:rFonts w:ascii="Cambria Math" w:hAnsi="Cambria Math" w:hint="eastAsia"/>
                      </w:rPr>
                      <m:t>)</m:t>
                    </m:r>
                  </m:e>
                  <m:sup>
                    <m:r>
                      <w:rPr>
                        <w:rFonts w:ascii="Cambria Math" w:hAnsi="Cambria Math"/>
                      </w:rPr>
                      <m:t>n-k</m:t>
                    </m:r>
                  </m:sup>
                </m:sSup>
              </m:oMath>
            </m:oMathPara>
          </w:p>
        </w:tc>
        <w:tc>
          <w:tcPr>
            <w:tcW w:w="966" w:type="dxa"/>
            <w:shd w:val="clear" w:color="auto" w:fill="auto"/>
            <w:vAlign w:val="center"/>
          </w:tcPr>
          <w:p w14:paraId="69E1761C" w14:textId="09A763D8" w:rsidR="00FD63F6" w:rsidRPr="00A94774" w:rsidRDefault="00FD63F6" w:rsidP="009B29FF">
            <w:pPr>
              <w:pStyle w:val="Els-body-text"/>
              <w:spacing w:before="120" w:after="120" w:line="264" w:lineRule="auto"/>
              <w:jc w:val="right"/>
              <w:rPr>
                <w:lang w:val="en-GB"/>
              </w:rPr>
            </w:pPr>
            <w:r w:rsidRPr="00A94774">
              <w:rPr>
                <w:lang w:val="en-GB"/>
              </w:rPr>
              <w:t>(</w:t>
            </w:r>
            <w:r w:rsidR="001B614D">
              <w:rPr>
                <w:lang w:val="en-GB"/>
              </w:rPr>
              <w:t>4</w:t>
            </w:r>
            <w:r w:rsidRPr="00A94774">
              <w:rPr>
                <w:lang w:val="en-GB"/>
              </w:rPr>
              <w:t>)</w:t>
            </w:r>
          </w:p>
        </w:tc>
      </w:tr>
    </w:tbl>
    <w:p w14:paraId="7924A323" w14:textId="7684F232" w:rsidR="00934945" w:rsidRDefault="007F157E" w:rsidP="0090533C">
      <w:pPr>
        <w:pStyle w:val="Els-body-text"/>
        <w:rPr>
          <w:lang w:val="en-GB"/>
        </w:rPr>
      </w:pPr>
      <w:r>
        <w:t xml:space="preserve">Here, </w:t>
      </w:r>
      <w:r w:rsidR="0090533C" w:rsidRPr="0090533C">
        <w:rPr>
          <w:i/>
          <w:iCs/>
          <w:lang w:val="en-GB"/>
        </w:rPr>
        <w:t>k</w:t>
      </w:r>
      <w:r w:rsidR="0090533C" w:rsidRPr="0090533C">
        <w:rPr>
          <w:lang w:val="en-GB"/>
        </w:rPr>
        <w:t xml:space="preserve"> is the count of data points within the window indicating normal operation, and </w:t>
      </w:r>
      <w:r w:rsidR="0090533C" w:rsidRPr="0090533C">
        <w:rPr>
          <w:i/>
          <w:iCs/>
          <w:lang w:val="en-GB"/>
        </w:rPr>
        <w:t>p</w:t>
      </w:r>
      <w:r w:rsidR="0090533C" w:rsidRPr="0090533C">
        <w:rPr>
          <w:lang w:val="en-GB"/>
        </w:rPr>
        <w:t xml:space="preserve"> (set at </w:t>
      </w:r>
      <w:r w:rsidR="0090533C">
        <w:rPr>
          <w:lang w:val="en-GB"/>
        </w:rPr>
        <w:t xml:space="preserve">1 - </w:t>
      </w:r>
      <w:r w:rsidR="0090533C" w:rsidRPr="0090533C">
        <w:rPr>
          <w:rFonts w:eastAsia="SimSun"/>
          <w:i/>
          <w:lang w:eastAsia="zh-CN"/>
        </w:rPr>
        <w:t>α</w:t>
      </w:r>
      <w:r w:rsidR="0090533C" w:rsidRPr="007F157E">
        <w:rPr>
          <w:rFonts w:eastAsia="SimSun"/>
          <w:lang w:eastAsia="zh-CN"/>
        </w:rPr>
        <w:t xml:space="preserve"> =</w:t>
      </w:r>
      <w:r w:rsidR="0090533C">
        <w:rPr>
          <w:rFonts w:eastAsia="SimSun"/>
          <w:lang w:eastAsia="zh-CN"/>
        </w:rPr>
        <w:t xml:space="preserve"> </w:t>
      </w:r>
      <w:r w:rsidR="0090533C" w:rsidRPr="0090533C">
        <w:rPr>
          <w:lang w:val="en-GB"/>
        </w:rPr>
        <w:t xml:space="preserve">0.95) is the probability of successful operation. </w:t>
      </w:r>
      <w:r w:rsidR="0090533C" w:rsidRPr="0090533C">
        <w:rPr>
          <w:i/>
          <w:iCs/>
          <w:lang w:val="en-GB"/>
        </w:rPr>
        <w:t>P</w:t>
      </w:r>
      <w:r w:rsidR="0090533C" w:rsidRPr="0090533C">
        <w:rPr>
          <w:lang w:val="en-GB"/>
        </w:rPr>
        <w:t>(</w:t>
      </w:r>
      <w:r w:rsidR="0090533C" w:rsidRPr="0090533C">
        <w:rPr>
          <w:i/>
          <w:iCs/>
          <w:lang w:val="en-GB"/>
        </w:rPr>
        <w:t>k</w:t>
      </w:r>
      <w:r w:rsidR="0090533C" w:rsidRPr="0090533C">
        <w:rPr>
          <w:lang w:val="en-GB"/>
        </w:rPr>
        <w:t>) is u</w:t>
      </w:r>
      <w:r w:rsidR="0090533C">
        <w:rPr>
          <w:lang w:val="en-GB"/>
        </w:rPr>
        <w:t>tilized as the HI, which is interpreted as follows.</w:t>
      </w:r>
    </w:p>
    <w:p w14:paraId="2DA6BE74" w14:textId="1AEFDF30" w:rsidR="0090533C" w:rsidRPr="0090533C" w:rsidRDefault="0090533C" w:rsidP="0090533C">
      <w:pPr>
        <w:pStyle w:val="Els-body-text"/>
        <w:numPr>
          <w:ilvl w:val="0"/>
          <w:numId w:val="20"/>
        </w:numPr>
        <w:ind w:left="357" w:hanging="357"/>
      </w:pPr>
      <w:r w:rsidRPr="0090533C">
        <w:rPr>
          <w:bCs/>
        </w:rPr>
        <w:t>Green Light (Normal Operation)</w:t>
      </w:r>
      <w:r w:rsidRPr="0090533C">
        <w:t xml:space="preserve">: A </w:t>
      </w:r>
      <w:r w:rsidRPr="0090533C">
        <w:rPr>
          <w:i/>
          <w:iCs/>
        </w:rPr>
        <w:t>P</w:t>
      </w:r>
      <w:r w:rsidRPr="0090533C">
        <w:t>(</w:t>
      </w:r>
      <w:r w:rsidRPr="0090533C">
        <w:rPr>
          <w:i/>
          <w:iCs/>
        </w:rPr>
        <w:t>k</w:t>
      </w:r>
      <w:r w:rsidRPr="0090533C">
        <w:t>) value greater than 0.1 suggests normal operating conditions.</w:t>
      </w:r>
    </w:p>
    <w:p w14:paraId="70E525CE" w14:textId="7F51E297" w:rsidR="0090533C" w:rsidRPr="0090533C" w:rsidRDefault="0090533C" w:rsidP="0090533C">
      <w:pPr>
        <w:pStyle w:val="Els-body-text"/>
        <w:numPr>
          <w:ilvl w:val="0"/>
          <w:numId w:val="20"/>
        </w:numPr>
        <w:ind w:left="357" w:hanging="357"/>
      </w:pPr>
      <w:r w:rsidRPr="0090533C">
        <w:rPr>
          <w:bCs/>
        </w:rPr>
        <w:t>Yellow Light (Caution)</w:t>
      </w:r>
      <w:r w:rsidRPr="0090533C">
        <w:t xml:space="preserve">: A </w:t>
      </w:r>
      <w:r w:rsidRPr="0090533C">
        <w:rPr>
          <w:i/>
          <w:iCs/>
        </w:rPr>
        <w:t>P</w:t>
      </w:r>
      <w:r w:rsidRPr="0090533C">
        <w:t>(</w:t>
      </w:r>
      <w:r w:rsidRPr="0090533C">
        <w:rPr>
          <w:i/>
          <w:iCs/>
        </w:rPr>
        <w:t>k</w:t>
      </w:r>
      <w:r w:rsidRPr="0090533C">
        <w:t>) value between 0.05 and 0.1 acts as a cautionary signal.</w:t>
      </w:r>
    </w:p>
    <w:p w14:paraId="1D27A910" w14:textId="7D6B7F25" w:rsidR="0090533C" w:rsidRPr="0090533C" w:rsidRDefault="0090533C" w:rsidP="005065E6">
      <w:pPr>
        <w:pStyle w:val="Els-body-text"/>
        <w:numPr>
          <w:ilvl w:val="0"/>
          <w:numId w:val="20"/>
        </w:numPr>
        <w:spacing w:after="120"/>
        <w:ind w:left="357" w:hanging="357"/>
        <w:rPr>
          <w:rFonts w:eastAsia="PMingLiU"/>
          <w:szCs w:val="24"/>
          <w:shd w:val="clear" w:color="auto" w:fill="FFFFFF"/>
        </w:rPr>
      </w:pPr>
      <w:r w:rsidRPr="0090533C">
        <w:rPr>
          <w:bCs/>
        </w:rPr>
        <w:t>Red Light (Alarm)</w:t>
      </w:r>
      <w:r w:rsidRPr="0090533C">
        <w:t xml:space="preserve">: A </w:t>
      </w:r>
      <w:r w:rsidRPr="0090533C">
        <w:rPr>
          <w:i/>
          <w:iCs/>
        </w:rPr>
        <w:t>P</w:t>
      </w:r>
      <w:r w:rsidRPr="0090533C">
        <w:t>(</w:t>
      </w:r>
      <w:r w:rsidRPr="0090533C">
        <w:rPr>
          <w:i/>
          <w:iCs/>
        </w:rPr>
        <w:t>k</w:t>
      </w:r>
      <w:r w:rsidRPr="0090533C">
        <w:t>) value below 0.05 indicates an alarm, signaling potential issues in the operation.</w:t>
      </w:r>
    </w:p>
    <w:p w14:paraId="6A8A8773" w14:textId="45AA95A1" w:rsidR="0090533C" w:rsidRPr="00934945" w:rsidRDefault="00014A61" w:rsidP="0090533C">
      <w:pPr>
        <w:pStyle w:val="Els-body-text"/>
      </w:pPr>
      <w:r w:rsidRPr="00014A61">
        <w:rPr>
          <w:rFonts w:eastAsia="SimSun"/>
          <w:lang w:val="en-GB" w:eastAsia="zh-CN"/>
        </w:rPr>
        <w:t xml:space="preserve">The r-chart and </w:t>
      </w:r>
      <w:r>
        <w:rPr>
          <w:rFonts w:eastAsia="SimSun"/>
          <w:lang w:val="en-GB" w:eastAsia="zh-CN"/>
        </w:rPr>
        <w:t>HI</w:t>
      </w:r>
      <w:r w:rsidRPr="00014A61">
        <w:rPr>
          <w:rFonts w:eastAsia="SimSun"/>
          <w:lang w:val="en-GB" w:eastAsia="zh-CN"/>
        </w:rPr>
        <w:t xml:space="preserve"> are displayed in Fig. 2(a) and </w:t>
      </w:r>
      <w:r w:rsidR="00CE5D12" w:rsidRPr="00014A61">
        <w:rPr>
          <w:rFonts w:eastAsia="SimSun"/>
          <w:lang w:val="en-GB" w:eastAsia="zh-CN"/>
        </w:rPr>
        <w:t>Fig.</w:t>
      </w:r>
      <w:r w:rsidR="00CE5D12">
        <w:rPr>
          <w:rFonts w:eastAsia="SimSun"/>
          <w:lang w:val="en-GB" w:eastAsia="zh-CN"/>
        </w:rPr>
        <w:t xml:space="preserve"> </w:t>
      </w:r>
      <w:r w:rsidRPr="00014A61">
        <w:rPr>
          <w:rFonts w:eastAsia="SimSun"/>
          <w:lang w:val="en-GB" w:eastAsia="zh-CN"/>
        </w:rPr>
        <w:t xml:space="preserve">2(b), respectively. It is noticeable that the </w:t>
      </w:r>
      <w:r w:rsidRPr="00014A61">
        <w:rPr>
          <w:rFonts w:eastAsia="SimSun"/>
          <w:i/>
          <w:lang w:val="en-GB" w:eastAsia="zh-CN"/>
        </w:rPr>
        <w:t>r</w:t>
      </w:r>
      <w:r w:rsidRPr="00014A61">
        <w:rPr>
          <w:rFonts w:eastAsia="SimSun"/>
          <w:lang w:val="en-GB" w:eastAsia="zh-CN"/>
        </w:rPr>
        <w:t xml:space="preserve"> values of the golden data predominantly converge around an average of 0.5. As time advances and the bearings experience gradual wear, these </w:t>
      </w:r>
      <w:r w:rsidRPr="00014A61">
        <w:rPr>
          <w:rFonts w:eastAsia="SimSun"/>
          <w:i/>
          <w:lang w:val="en-GB" w:eastAsia="zh-CN"/>
        </w:rPr>
        <w:t>r</w:t>
      </w:r>
      <w:r w:rsidRPr="00014A61">
        <w:rPr>
          <w:rFonts w:eastAsia="SimSun"/>
          <w:lang w:val="en-GB" w:eastAsia="zh-CN"/>
        </w:rPr>
        <w:t xml:space="preserve"> values correspondingly decline. This contrasts with the PCA results, where data anomalies appear immediately after the golden data phase. The non-parametric approach, grounded in data depth, facilitates earlier detection of bearing health degradation while effectively minimizing false alarms. Employing this method to develop a health indicator empowers proactive measures </w:t>
      </w:r>
      <w:r>
        <w:rPr>
          <w:rFonts w:eastAsia="SimSun"/>
          <w:lang w:val="en-GB" w:eastAsia="zh-CN"/>
        </w:rPr>
        <w:t>against imminent bearing faults</w:t>
      </w:r>
      <w:r w:rsidR="0090533C" w:rsidRPr="0090533C">
        <w:rPr>
          <w:rFonts w:eastAsia="SimSun"/>
          <w:lang w:val="en-GB" w:eastAsia="zh-CN"/>
        </w:rPr>
        <w:t>.</w:t>
      </w:r>
    </w:p>
    <w:p w14:paraId="2D0E820C" w14:textId="06200482" w:rsidR="00A17664" w:rsidRDefault="0090533C" w:rsidP="00A17664">
      <w:pPr>
        <w:pStyle w:val="Els-body-text"/>
        <w:keepNext/>
        <w:jc w:val="center"/>
        <w:rPr>
          <w:noProof/>
          <w:lang w:eastAsia="zh-TW"/>
        </w:rPr>
      </w:pPr>
      <w:r>
        <w:rPr>
          <w:noProof/>
          <w:lang w:eastAsia="zh-TW"/>
        </w:rPr>
        <w:drawing>
          <wp:inline distT="0" distB="0" distL="0" distR="0" wp14:anchorId="29E69B98" wp14:editId="3A84C8A4">
            <wp:extent cx="2200621" cy="180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0621" cy="1800000"/>
                    </a:xfrm>
                    <a:prstGeom prst="rect">
                      <a:avLst/>
                    </a:prstGeom>
                  </pic:spPr>
                </pic:pic>
              </a:graphicData>
            </a:graphic>
          </wp:inline>
        </w:drawing>
      </w:r>
      <w:r w:rsidR="00605915" w:rsidRPr="00605915">
        <w:rPr>
          <w:noProof/>
          <w:lang w:eastAsia="zh-TW"/>
        </w:rPr>
        <w:t xml:space="preserve"> </w:t>
      </w:r>
      <w:r w:rsidR="00605915">
        <w:rPr>
          <w:noProof/>
          <w:lang w:eastAsia="zh-TW"/>
        </w:rPr>
        <w:drawing>
          <wp:inline distT="0" distB="0" distL="0" distR="0" wp14:anchorId="4D0528E4" wp14:editId="1CC1953B">
            <wp:extent cx="2200621" cy="180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0621" cy="1800000"/>
                    </a:xfrm>
                    <a:prstGeom prst="rect">
                      <a:avLst/>
                    </a:prstGeom>
                  </pic:spPr>
                </pic:pic>
              </a:graphicData>
            </a:graphic>
          </wp:inline>
        </w:drawing>
      </w:r>
    </w:p>
    <w:p w14:paraId="1559B463" w14:textId="5789CE66" w:rsidR="000366A6" w:rsidRPr="000366A6" w:rsidRDefault="000366A6" w:rsidP="000366A6">
      <w:pPr>
        <w:pStyle w:val="Els-body-text"/>
        <w:jc w:val="center"/>
        <w:rPr>
          <w:noProof/>
          <w:sz w:val="18"/>
          <w:szCs w:val="18"/>
          <w:lang w:eastAsia="zh-TW"/>
        </w:rPr>
      </w:pPr>
      <w:r w:rsidRPr="001F4A83">
        <w:rPr>
          <w:noProof/>
          <w:sz w:val="18"/>
          <w:szCs w:val="18"/>
          <w:lang w:eastAsia="zh-TW"/>
        </w:rPr>
        <w:t>(a)</w:t>
      </w:r>
      <w:r>
        <w:rPr>
          <w:noProof/>
          <w:sz w:val="18"/>
          <w:szCs w:val="18"/>
          <w:lang w:eastAsia="zh-TW"/>
        </w:rPr>
        <w:t xml:space="preserve">                                                                            </w:t>
      </w:r>
      <w:r w:rsidRPr="001F4A83">
        <w:rPr>
          <w:noProof/>
          <w:sz w:val="18"/>
          <w:szCs w:val="18"/>
          <w:lang w:eastAsia="zh-TW"/>
        </w:rPr>
        <w:t>(b)</w:t>
      </w:r>
    </w:p>
    <w:p w14:paraId="31F82A23" w14:textId="4BBF1ABC" w:rsidR="00A87D23" w:rsidRDefault="00A17664" w:rsidP="00A17664">
      <w:pPr>
        <w:pStyle w:val="a3"/>
        <w:jc w:val="center"/>
        <w:rPr>
          <w:lang w:val="en-GB"/>
        </w:rPr>
      </w:pPr>
      <w:r>
        <w:t xml:space="preserve">Figure </w:t>
      </w:r>
      <w:r w:rsidR="000366A6">
        <w:rPr>
          <w:rFonts w:hint="eastAsia"/>
          <w:lang w:eastAsia="zh-TW"/>
        </w:rPr>
        <w:t>2</w:t>
      </w:r>
      <w:r w:rsidR="0090533C">
        <w:t>. Data depth-based CM charts</w:t>
      </w:r>
    </w:p>
    <w:p w14:paraId="144DE6AE" w14:textId="44FD2E06" w:rsidR="008D2649" w:rsidRPr="00A94774" w:rsidRDefault="00B503EE" w:rsidP="008D2649">
      <w:pPr>
        <w:pStyle w:val="Els-1storder-head"/>
        <w:spacing w:after="120"/>
        <w:rPr>
          <w:lang w:val="en-GB"/>
        </w:rPr>
      </w:pPr>
      <w:r>
        <w:rPr>
          <w:lang w:val="en-GB"/>
        </w:rPr>
        <w:lastRenderedPageBreak/>
        <w:t xml:space="preserve">Conclusions </w:t>
      </w:r>
    </w:p>
    <w:p w14:paraId="144DE6BE" w14:textId="7607239E" w:rsidR="008D2649" w:rsidRDefault="000D6D36" w:rsidP="002F644F">
      <w:pPr>
        <w:pStyle w:val="Els-body-text"/>
        <w:spacing w:after="120"/>
        <w:rPr>
          <w:lang w:val="en-GB"/>
        </w:rPr>
      </w:pPr>
      <w:r w:rsidRPr="000D6D36">
        <w:rPr>
          <w:lang w:val="en-GB"/>
        </w:rPr>
        <w:t xml:space="preserve">In this study, we presented a methodology based on data depth analysis to develop a health indicator for rolling bearings. This method proves particularly effective when dealing with data that does not follow a normal distribution, where traditional </w:t>
      </w:r>
      <w:r w:rsidR="00A3530F">
        <w:rPr>
          <w:lang w:val="en-GB"/>
        </w:rPr>
        <w:t>PCA</w:t>
      </w:r>
      <w:r w:rsidRPr="000D6D36">
        <w:rPr>
          <w:lang w:val="en-GB"/>
        </w:rPr>
        <w:t xml:space="preserve"> for CM may result in inaccuracies. By employing data depth calculation in control charts through a non-parametric approach, this method is not limited by the data’s distribution, effectively avoiding the inaccuracies inherent in PCA. The non-parametrically derived health indicator enables earlier detection of bearing health deterioration and significantly reduces false alarms. This innovative approach offers manufacturing facilities a proactive means to foresee and address potential equipment malfunctions.</w:t>
      </w:r>
      <w:r w:rsidR="00B503EE" w:rsidRPr="00A94774">
        <w:rPr>
          <w:lang w:val="en-GB"/>
        </w:rPr>
        <w:t xml:space="preserve"> </w:t>
      </w:r>
    </w:p>
    <w:p w14:paraId="1E9830B5" w14:textId="77777777" w:rsidR="00A54A44" w:rsidRDefault="00A54A44" w:rsidP="00A54A44">
      <w:pPr>
        <w:pStyle w:val="Els-reference-head"/>
      </w:pPr>
      <w:r>
        <w:t>Acknowledgment</w:t>
      </w:r>
    </w:p>
    <w:p w14:paraId="4F9149BF" w14:textId="16738947" w:rsidR="00A54A44" w:rsidRPr="003A06C2" w:rsidRDefault="00A54A44" w:rsidP="00A54A44">
      <w:pPr>
        <w:pStyle w:val="Els-referenceno-number"/>
        <w:ind w:left="0" w:firstLine="0"/>
        <w:rPr>
          <w:lang w:eastAsia="zh-TW"/>
        </w:rPr>
      </w:pPr>
      <w:r w:rsidRPr="003A06C2">
        <w:rPr>
          <w:lang w:val="en-US"/>
        </w:rPr>
        <w:t>This work was supported in part by the National Science and Technology Council under</w:t>
      </w:r>
      <w:r>
        <w:rPr>
          <w:lang w:val="en-US"/>
        </w:rPr>
        <w:t xml:space="preserve"> </w:t>
      </w:r>
      <w:r w:rsidR="00B211BC">
        <w:rPr>
          <w:lang w:val="en-US"/>
        </w:rPr>
        <w:t>project number</w:t>
      </w:r>
      <w:r w:rsidRPr="003A06C2">
        <w:rPr>
          <w:lang w:val="en-US"/>
        </w:rPr>
        <w:t xml:space="preserve"> </w:t>
      </w:r>
      <w:r>
        <w:rPr>
          <w:lang w:val="en-US"/>
        </w:rPr>
        <w:t>NSTC 112-2221-E-007</w:t>
      </w:r>
      <w:r w:rsidRPr="00A54A44">
        <w:rPr>
          <w:lang w:val="en-US"/>
        </w:rPr>
        <w:t>-105</w:t>
      </w:r>
      <w:r>
        <w:rPr>
          <w:lang w:val="en-US"/>
        </w:rPr>
        <w:t>.</w:t>
      </w:r>
    </w:p>
    <w:p w14:paraId="68AD489E" w14:textId="7194BD76" w:rsidR="00D66434" w:rsidRDefault="008D2649" w:rsidP="00E80066">
      <w:pPr>
        <w:pStyle w:val="Els-reference-head"/>
      </w:pPr>
      <w:r>
        <w:t>References</w:t>
      </w:r>
    </w:p>
    <w:p w14:paraId="49B3E7EA" w14:textId="77777777" w:rsidR="00F2620A" w:rsidRPr="00F2620A" w:rsidRDefault="00D66434" w:rsidP="00F2620A">
      <w:pPr>
        <w:pStyle w:val="EndNoteBibliography"/>
      </w:pPr>
      <w:r>
        <w:fldChar w:fldCharType="begin"/>
      </w:r>
      <w:r>
        <w:instrText xml:space="preserve"> ADDIN EN.REFLIST </w:instrText>
      </w:r>
      <w:r>
        <w:fldChar w:fldCharType="separate"/>
      </w:r>
      <w:r w:rsidR="00F2620A" w:rsidRPr="00F2620A">
        <w:t xml:space="preserve">Ahsan, M., M. Mashuri, H. Kuswanto and D. D. Prastyo (2018). "Intrusion detection system using multivariate control chart Hotelling’s T2 based on PCA." </w:t>
      </w:r>
      <w:r w:rsidR="00F2620A" w:rsidRPr="00F2620A">
        <w:rPr>
          <w:u w:val="single"/>
        </w:rPr>
        <w:t>Int. J. Adv. Sci. Eng. Inf. Technol</w:t>
      </w:r>
      <w:r w:rsidR="00F2620A" w:rsidRPr="00F2620A">
        <w:t xml:space="preserve"> </w:t>
      </w:r>
      <w:r w:rsidR="00F2620A" w:rsidRPr="00F2620A">
        <w:rPr>
          <w:b/>
        </w:rPr>
        <w:t>8</w:t>
      </w:r>
      <w:r w:rsidR="00F2620A" w:rsidRPr="00F2620A">
        <w:t>(5): 1905-1911.</w:t>
      </w:r>
    </w:p>
    <w:p w14:paraId="5E1D18FF" w14:textId="77777777" w:rsidR="00F2620A" w:rsidRPr="00F2620A" w:rsidRDefault="00F2620A" w:rsidP="00F2620A">
      <w:pPr>
        <w:pStyle w:val="EndNoteBibliography"/>
      </w:pPr>
      <w:r w:rsidRPr="00F2620A">
        <w:t xml:space="preserve">Flores, M., R. Fernández-Casal, S. Naya and J. Tarrío-Saavedra (2021). "Statistical quality control with the qcr package." </w:t>
      </w:r>
      <w:r w:rsidRPr="00F2620A">
        <w:rPr>
          <w:u w:val="single"/>
        </w:rPr>
        <w:t>R Journal</w:t>
      </w:r>
      <w:r w:rsidRPr="00F2620A">
        <w:t xml:space="preserve"> </w:t>
      </w:r>
      <w:r w:rsidRPr="00F2620A">
        <w:rPr>
          <w:b/>
        </w:rPr>
        <w:t>13</w:t>
      </w:r>
      <w:r w:rsidRPr="00F2620A">
        <w:t>(1): 194-217.</w:t>
      </w:r>
    </w:p>
    <w:p w14:paraId="1969A860" w14:textId="77777777" w:rsidR="00F2620A" w:rsidRPr="00F2620A" w:rsidRDefault="00F2620A" w:rsidP="00F2620A">
      <w:pPr>
        <w:pStyle w:val="EndNoteBibliography"/>
      </w:pPr>
      <w:r w:rsidRPr="00F2620A">
        <w:t xml:space="preserve">Lei, Y., N. Li, L. Guo, N. Li, T. Yan and J. Lin (2018). "Machinery health prognostics: A systematic review from data acquisition to RUL prediction." </w:t>
      </w:r>
      <w:r w:rsidRPr="00F2620A">
        <w:rPr>
          <w:u w:val="single"/>
        </w:rPr>
        <w:t>Mechanical systems and signal processing</w:t>
      </w:r>
      <w:r w:rsidRPr="00F2620A">
        <w:t xml:space="preserve"> </w:t>
      </w:r>
      <w:r w:rsidRPr="00F2620A">
        <w:rPr>
          <w:b/>
        </w:rPr>
        <w:t>104</w:t>
      </w:r>
      <w:r w:rsidRPr="00F2620A">
        <w:t>: 799-834.</w:t>
      </w:r>
    </w:p>
    <w:p w14:paraId="47126A48" w14:textId="77777777" w:rsidR="00F2620A" w:rsidRPr="00F2620A" w:rsidRDefault="00F2620A" w:rsidP="00F2620A">
      <w:pPr>
        <w:pStyle w:val="EndNoteBibliography"/>
      </w:pPr>
      <w:r w:rsidRPr="00F2620A">
        <w:t xml:space="preserve">Liu, R. Y. (1995). "Control charts for multivariate processes." </w:t>
      </w:r>
      <w:r w:rsidRPr="00F2620A">
        <w:rPr>
          <w:u w:val="single"/>
        </w:rPr>
        <w:t>Journal of the American Statistical Association</w:t>
      </w:r>
      <w:r w:rsidRPr="00F2620A">
        <w:t xml:space="preserve"> </w:t>
      </w:r>
      <w:r w:rsidRPr="00F2620A">
        <w:rPr>
          <w:b/>
        </w:rPr>
        <w:t>90</w:t>
      </w:r>
      <w:r w:rsidRPr="00F2620A">
        <w:t>(432): 1380-1387.</w:t>
      </w:r>
    </w:p>
    <w:p w14:paraId="62E1EAF4" w14:textId="77777777" w:rsidR="00F2620A" w:rsidRPr="00F2620A" w:rsidRDefault="00F2620A" w:rsidP="00F2620A">
      <w:pPr>
        <w:pStyle w:val="EndNoteBibliography"/>
      </w:pPr>
      <w:r w:rsidRPr="00F2620A">
        <w:t xml:space="preserve">She, Y., S. Tang and J. Liu (2021). "On Generalization and Computation of Tukey's Depth: Part I." </w:t>
      </w:r>
      <w:r w:rsidRPr="00F2620A">
        <w:rPr>
          <w:u w:val="single"/>
        </w:rPr>
        <w:t>arXiv preprint arXiv:2112.08475</w:t>
      </w:r>
      <w:r w:rsidRPr="00F2620A">
        <w:t>.</w:t>
      </w:r>
    </w:p>
    <w:p w14:paraId="593B8AF4" w14:textId="77777777" w:rsidR="00F2620A" w:rsidRPr="00F2620A" w:rsidRDefault="00F2620A" w:rsidP="00F2620A">
      <w:pPr>
        <w:pStyle w:val="EndNoteBibliography"/>
      </w:pPr>
      <w:r w:rsidRPr="00F2620A">
        <w:t xml:space="preserve">Tukey, J. W. (1975). </w:t>
      </w:r>
      <w:r w:rsidRPr="00F2620A">
        <w:rPr>
          <w:u w:val="single"/>
        </w:rPr>
        <w:t>Mathematics and the picturing of data</w:t>
      </w:r>
      <w:r w:rsidRPr="00F2620A">
        <w:t>. Proceedings of the International Congress of Mathematicians, Vancouver, 1975.</w:t>
      </w:r>
    </w:p>
    <w:p w14:paraId="2D62BB13" w14:textId="77777777" w:rsidR="00F2620A" w:rsidRPr="00F2620A" w:rsidRDefault="00F2620A" w:rsidP="00F2620A">
      <w:pPr>
        <w:pStyle w:val="EndNoteBibliography"/>
      </w:pPr>
      <w:r w:rsidRPr="00F2620A">
        <w:t xml:space="preserve">Yeh, A. B. and K. Singh (1997). "Balanced confidence regions based on Tukey’s depth and the bootstrap." </w:t>
      </w:r>
      <w:r w:rsidRPr="00F2620A">
        <w:rPr>
          <w:u w:val="single"/>
        </w:rPr>
        <w:t>Journal of the Royal Statistical Society Series B: Statistical Methodology</w:t>
      </w:r>
      <w:r w:rsidRPr="00F2620A">
        <w:t xml:space="preserve"> </w:t>
      </w:r>
      <w:r w:rsidRPr="00F2620A">
        <w:rPr>
          <w:b/>
        </w:rPr>
        <w:t>59</w:t>
      </w:r>
      <w:r w:rsidRPr="00F2620A">
        <w:t>(3): 639-652.</w:t>
      </w:r>
    </w:p>
    <w:p w14:paraId="6E42111E" w14:textId="77777777" w:rsidR="00F2620A" w:rsidRPr="00F2620A" w:rsidRDefault="00F2620A" w:rsidP="00F2620A">
      <w:pPr>
        <w:pStyle w:val="EndNoteBibliography"/>
      </w:pPr>
      <w:r w:rsidRPr="00F2620A">
        <w:t xml:space="preserve">Zhang, X., J. Zhao, J. Kang, H. Li and H. Teng (2014). "Bearing prognostics with non-trendable behavior based on shock pulse method and frequency analysis." </w:t>
      </w:r>
      <w:r w:rsidRPr="00F2620A">
        <w:rPr>
          <w:u w:val="single"/>
        </w:rPr>
        <w:t>Journal of Vibroengineering</w:t>
      </w:r>
      <w:r w:rsidRPr="00F2620A">
        <w:t xml:space="preserve"> </w:t>
      </w:r>
      <w:r w:rsidRPr="00F2620A">
        <w:rPr>
          <w:b/>
        </w:rPr>
        <w:t>16</w:t>
      </w:r>
      <w:r w:rsidRPr="00F2620A">
        <w:t>(8): 3963-3976.</w:t>
      </w:r>
    </w:p>
    <w:p w14:paraId="783E031F" w14:textId="4CC64B42" w:rsidR="000262DB" w:rsidRDefault="00D66434" w:rsidP="006C51B4">
      <w:pPr>
        <w:pStyle w:val="Els-referenceno-number"/>
        <w:rPr>
          <w:lang w:val="en-US"/>
        </w:rPr>
      </w:pPr>
      <w:r>
        <w:rPr>
          <w:lang w:val="en-US"/>
        </w:rPr>
        <w:fldChar w:fldCharType="end"/>
      </w:r>
    </w:p>
    <w:sectPr w:rsidR="000262DB" w:rsidSect="008B0184">
      <w:headerReference w:type="even" r:id="rId13"/>
      <w:headerReference w:type="default" r:id="rId14"/>
      <w:headerReference w:type="first" r:id="rId15"/>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7E572" w14:textId="77777777" w:rsidR="00B231DF" w:rsidRDefault="00B231DF">
      <w:r>
        <w:separator/>
      </w:r>
    </w:p>
  </w:endnote>
  <w:endnote w:type="continuationSeparator" w:id="0">
    <w:p w14:paraId="7CF2F635" w14:textId="77777777" w:rsidR="00B231DF" w:rsidRDefault="00B23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A983A" w14:textId="77777777" w:rsidR="00B231DF" w:rsidRDefault="00B231DF">
      <w:r>
        <w:separator/>
      </w:r>
    </w:p>
  </w:footnote>
  <w:footnote w:type="continuationSeparator" w:id="0">
    <w:p w14:paraId="3E98C793" w14:textId="77777777" w:rsidR="00B231DF" w:rsidRDefault="00B23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5EB2E158" w:rsidR="00DD3D9E" w:rsidRDefault="00DD3D9E">
    <w:pPr>
      <w:pStyle w:val="a5"/>
      <w:tabs>
        <w:tab w:val="clear" w:pos="7200"/>
        <w:tab w:val="right" w:pos="7088"/>
      </w:tabs>
    </w:pPr>
    <w:r>
      <w:rPr>
        <w:rStyle w:val="aa"/>
      </w:rPr>
      <w:tab/>
    </w:r>
    <w:r>
      <w:rPr>
        <w:rStyle w:val="aa"/>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0F7BDF63" w:rsidR="00DD3D9E" w:rsidRDefault="00DD3D9E">
    <w:pPr>
      <w:pStyle w:val="a5"/>
      <w:tabs>
        <w:tab w:val="clear" w:pos="7200"/>
        <w:tab w:val="right" w:pos="7088"/>
      </w:tabs>
      <w:jc w:val="right"/>
      <w:rPr>
        <w:sz w:val="24"/>
      </w:rPr>
    </w:pPr>
    <w:r>
      <w:rPr>
        <w:rStyle w:val="aa"/>
        <w:i/>
        <w:sz w:val="24"/>
      </w:rPr>
      <w:tab/>
    </w:r>
    <w:r>
      <w:rPr>
        <w:rStyle w:val="a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C" w14:textId="65EF433B" w:rsidR="00DD3D9E" w:rsidRPr="00FF6043" w:rsidRDefault="001B1DE3" w:rsidP="00FF6043">
    <w:pPr>
      <w:pStyle w:val="ElsevierBodyTextCentredNospace"/>
      <w:jc w:val="left"/>
      <w:rPr>
        <w:noProof/>
        <w:sz w:val="20"/>
        <w:szCs w:val="20"/>
      </w:rPr>
    </w:pPr>
    <w:r>
      <w:rPr>
        <w:noProof/>
        <w:color w:val="auto"/>
        <w:sz w:val="20"/>
        <w:szCs w:val="20"/>
        <w:lang w:eastAsia="zh-TW"/>
      </w:rPr>
      <w:drawing>
        <wp:inline distT="0" distB="0" distL="0" distR="0" wp14:anchorId="26F3196F" wp14:editId="0458D368">
          <wp:extent cx="4499610" cy="91694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ngress.jpg"/>
                  <pic:cNvPicPr/>
                </pic:nvPicPr>
                <pic:blipFill>
                  <a:blip r:embed="rId1">
                    <a:extLst>
                      <a:ext uri="{28A0092B-C50C-407E-A947-70E740481C1C}">
                        <a14:useLocalDpi xmlns:a14="http://schemas.microsoft.com/office/drawing/2010/main" val="0"/>
                      </a:ext>
                    </a:extLst>
                  </a:blip>
                  <a:stretch>
                    <a:fillRect/>
                  </a:stretch>
                </pic:blipFill>
                <pic:spPr>
                  <a:xfrm>
                    <a:off x="0" y="0"/>
                    <a:ext cx="4499610" cy="916940"/>
                  </a:xfrm>
                  <a:prstGeom prst="rect">
                    <a:avLst/>
                  </a:prstGeom>
                </pic:spPr>
              </pic:pic>
            </a:graphicData>
          </a:graphic>
        </wp:inline>
      </w:drawing>
    </w:r>
    <w:r w:rsidR="00F06842" w:rsidRPr="00FF6043">
      <w:rPr>
        <w:color w:val="auto"/>
        <w:sz w:val="20"/>
        <w:szCs w:val="20"/>
      </w:rPr>
      <w:t xml:space="preserve">Flavio Manenti, Gintaras V. Reklaitis (Eds.), </w:t>
    </w:r>
    <w:r w:rsidR="00FF6043" w:rsidRPr="00FF6043">
      <w:rPr>
        <w:color w:val="auto"/>
        <w:sz w:val="20"/>
        <w:szCs w:val="20"/>
      </w:rPr>
      <w:t>B</w:t>
    </w:r>
    <w:r w:rsidR="00FF6043" w:rsidRPr="00FF6043">
      <w:rPr>
        <w:noProof/>
        <w:sz w:val="20"/>
        <w:szCs w:val="20"/>
      </w:rPr>
      <w:t>ook of Abstract</w:t>
    </w:r>
    <w:r w:rsidR="00F06842" w:rsidRPr="00FF6043">
      <w:rPr>
        <w:noProof/>
        <w:sz w:val="20"/>
        <w:szCs w:val="20"/>
      </w:rPr>
      <w:t xml:space="preserve"> of the </w:t>
    </w:r>
    <w:r w:rsidR="00F06842" w:rsidRPr="00FF6043">
      <w:rPr>
        <w:rStyle w:val="underline1"/>
        <w:sz w:val="20"/>
        <w:szCs w:val="20"/>
        <w:u w:val="none"/>
      </w:rPr>
      <w:t>34</w:t>
    </w:r>
    <w:r w:rsidR="00F06842" w:rsidRPr="00FF6043">
      <w:rPr>
        <w:rStyle w:val="underline1"/>
        <w:sz w:val="20"/>
        <w:szCs w:val="20"/>
        <w:u w:val="none"/>
        <w:vertAlign w:val="superscript"/>
      </w:rPr>
      <w:t>th</w:t>
    </w:r>
    <w:r w:rsidR="00F06842" w:rsidRPr="00FF6043">
      <w:rPr>
        <w:rStyle w:val="underline1"/>
        <w:sz w:val="20"/>
        <w:szCs w:val="20"/>
        <w:u w:val="none"/>
      </w:rPr>
      <w:t xml:space="preserve"> European Symposium on Computer Aided Process Engineering / 15</w:t>
    </w:r>
    <w:r w:rsidR="00F06842" w:rsidRPr="00FF6043">
      <w:rPr>
        <w:rStyle w:val="underline1"/>
        <w:sz w:val="20"/>
        <w:szCs w:val="20"/>
        <w:u w:val="none"/>
        <w:vertAlign w:val="superscript"/>
      </w:rPr>
      <w:t>th</w:t>
    </w:r>
    <w:r w:rsidR="00F06842" w:rsidRPr="00FF6043">
      <w:rPr>
        <w:rStyle w:val="underline1"/>
        <w:sz w:val="20"/>
        <w:szCs w:val="20"/>
        <w:u w:val="none"/>
      </w:rPr>
      <w:t xml:space="preserve"> International Symposium on Process Systems Engineerin</w:t>
    </w:r>
    <w:r w:rsidR="00F06842" w:rsidRPr="00FF6043">
      <w:rPr>
        <w:rStyle w:val="underline1"/>
        <w:sz w:val="20"/>
        <w:szCs w:val="20"/>
      </w:rPr>
      <w:t>g</w:t>
    </w:r>
    <w:r w:rsidR="00F06842" w:rsidRPr="00FF6043">
      <w:rPr>
        <w:noProof/>
        <w:sz w:val="20"/>
        <w:szCs w:val="20"/>
      </w:rPr>
      <w:t xml:space="preserve"> (ESCAPE34/PSE24), June 2-6, 2024,</w:t>
    </w:r>
    <w:r w:rsidR="00F06842" w:rsidRPr="00FF6043">
      <w:rPr>
        <w:sz w:val="20"/>
        <w:szCs w:val="20"/>
      </w:rPr>
      <w:t xml:space="preserve"> Florence</w:t>
    </w:r>
    <w:r w:rsidR="00F06842" w:rsidRPr="00FF6043">
      <w:rPr>
        <w:noProof/>
        <w:sz w:val="20"/>
        <w:szCs w:val="20"/>
      </w:rPr>
      <w:t>, Italy</w:t>
    </w:r>
    <w:r w:rsidR="00FF6043">
      <w:rPr>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6A90D66"/>
    <w:multiLevelType w:val="multilevel"/>
    <w:tmpl w:val="6A1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5EA65B18"/>
    <w:multiLevelType w:val="multilevel"/>
    <w:tmpl w:val="BFDE6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2"/>
  </w:num>
  <w:num w:numId="3">
    <w:abstractNumId w:val="12"/>
  </w:num>
  <w:num w:numId="4">
    <w:abstractNumId w:val="12"/>
  </w:num>
  <w:num w:numId="5">
    <w:abstractNumId w:val="0"/>
  </w:num>
  <w:num w:numId="6">
    <w:abstractNumId w:val="6"/>
  </w:num>
  <w:num w:numId="7">
    <w:abstractNumId w:val="13"/>
  </w:num>
  <w:num w:numId="8">
    <w:abstractNumId w:val="1"/>
  </w:num>
  <w:num w:numId="9">
    <w:abstractNumId w:val="11"/>
  </w:num>
  <w:num w:numId="10">
    <w:abstractNumId w:val="16"/>
  </w:num>
  <w:num w:numId="11">
    <w:abstractNumId w:val="15"/>
  </w:num>
  <w:num w:numId="12">
    <w:abstractNumId w:val="5"/>
  </w:num>
  <w:num w:numId="13">
    <w:abstractNumId w:val="9"/>
  </w:num>
  <w:num w:numId="14">
    <w:abstractNumId w:val="2"/>
  </w:num>
  <w:num w:numId="15">
    <w:abstractNumId w:val="7"/>
  </w:num>
  <w:num w:numId="16">
    <w:abstractNumId w:val="3"/>
  </w:num>
  <w:num w:numId="17">
    <w:abstractNumId w:val="4"/>
  </w:num>
  <w:num w:numId="18">
    <w:abstractNumId w:val="10"/>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z2tx2rgd2w2peewaxpdptva200zpzttexr&quot;&gt;ESCAPE Library&lt;record-ids&gt;&lt;item&gt;3&lt;/item&gt;&lt;item&gt;4&lt;/item&gt;&lt;item&gt;11&lt;/item&gt;&lt;item&gt;13&lt;/item&gt;&lt;item&gt;14&lt;/item&gt;&lt;item&gt;15&lt;/item&gt;&lt;item&gt;16&lt;/item&gt;&lt;item&gt;19&lt;/item&gt;&lt;/record-ids&gt;&lt;/item&gt;&lt;/Libraries&gt;"/>
  </w:docVars>
  <w:rsids>
    <w:rsidRoot w:val="00B63237"/>
    <w:rsid w:val="000147C3"/>
    <w:rsid w:val="00014A61"/>
    <w:rsid w:val="000262DB"/>
    <w:rsid w:val="00030B4E"/>
    <w:rsid w:val="0003512C"/>
    <w:rsid w:val="000366A6"/>
    <w:rsid w:val="00036AB8"/>
    <w:rsid w:val="00093EF0"/>
    <w:rsid w:val="000A7425"/>
    <w:rsid w:val="000C6CF6"/>
    <w:rsid w:val="000D1271"/>
    <w:rsid w:val="000D3D9B"/>
    <w:rsid w:val="000D6D36"/>
    <w:rsid w:val="000E000C"/>
    <w:rsid w:val="000F0A22"/>
    <w:rsid w:val="000F796E"/>
    <w:rsid w:val="00105A28"/>
    <w:rsid w:val="00113B4B"/>
    <w:rsid w:val="001201DD"/>
    <w:rsid w:val="00147655"/>
    <w:rsid w:val="0016032F"/>
    <w:rsid w:val="00166A5C"/>
    <w:rsid w:val="001707CF"/>
    <w:rsid w:val="001879F6"/>
    <w:rsid w:val="00190055"/>
    <w:rsid w:val="00191CDD"/>
    <w:rsid w:val="001B1DE3"/>
    <w:rsid w:val="001B614D"/>
    <w:rsid w:val="001C0148"/>
    <w:rsid w:val="001C757E"/>
    <w:rsid w:val="001D7B2F"/>
    <w:rsid w:val="001E05A9"/>
    <w:rsid w:val="001F4A83"/>
    <w:rsid w:val="001F624A"/>
    <w:rsid w:val="001F6CBE"/>
    <w:rsid w:val="0020390F"/>
    <w:rsid w:val="00236049"/>
    <w:rsid w:val="00242F38"/>
    <w:rsid w:val="00254D74"/>
    <w:rsid w:val="002614F7"/>
    <w:rsid w:val="00264926"/>
    <w:rsid w:val="002810A2"/>
    <w:rsid w:val="002847EC"/>
    <w:rsid w:val="0028665A"/>
    <w:rsid w:val="002B62D5"/>
    <w:rsid w:val="002C595F"/>
    <w:rsid w:val="002D04E7"/>
    <w:rsid w:val="002D595E"/>
    <w:rsid w:val="002E3067"/>
    <w:rsid w:val="002E3C1B"/>
    <w:rsid w:val="002E41E4"/>
    <w:rsid w:val="002F644F"/>
    <w:rsid w:val="003238F5"/>
    <w:rsid w:val="00327353"/>
    <w:rsid w:val="00336288"/>
    <w:rsid w:val="00344D01"/>
    <w:rsid w:val="0035503F"/>
    <w:rsid w:val="00360606"/>
    <w:rsid w:val="003666DE"/>
    <w:rsid w:val="00387CAB"/>
    <w:rsid w:val="00392756"/>
    <w:rsid w:val="003D1582"/>
    <w:rsid w:val="003D7E4C"/>
    <w:rsid w:val="003E41C2"/>
    <w:rsid w:val="003F288B"/>
    <w:rsid w:val="00406E66"/>
    <w:rsid w:val="004464CA"/>
    <w:rsid w:val="0045119E"/>
    <w:rsid w:val="00452C71"/>
    <w:rsid w:val="004628E9"/>
    <w:rsid w:val="00486B9E"/>
    <w:rsid w:val="0049772C"/>
    <w:rsid w:val="004A4149"/>
    <w:rsid w:val="004A504B"/>
    <w:rsid w:val="004B1C28"/>
    <w:rsid w:val="004B796C"/>
    <w:rsid w:val="004C22F9"/>
    <w:rsid w:val="004D42B5"/>
    <w:rsid w:val="004E2BB3"/>
    <w:rsid w:val="004F117C"/>
    <w:rsid w:val="00507CB7"/>
    <w:rsid w:val="00552EEB"/>
    <w:rsid w:val="00567D93"/>
    <w:rsid w:val="00567F9D"/>
    <w:rsid w:val="00580FD9"/>
    <w:rsid w:val="005A0DE5"/>
    <w:rsid w:val="005A658C"/>
    <w:rsid w:val="005E5064"/>
    <w:rsid w:val="00605915"/>
    <w:rsid w:val="006253CF"/>
    <w:rsid w:val="006602C3"/>
    <w:rsid w:val="00661A42"/>
    <w:rsid w:val="0068300A"/>
    <w:rsid w:val="006A69BF"/>
    <w:rsid w:val="006C11D1"/>
    <w:rsid w:val="006C51B4"/>
    <w:rsid w:val="006C6199"/>
    <w:rsid w:val="006D5EAB"/>
    <w:rsid w:val="006E6969"/>
    <w:rsid w:val="007053AF"/>
    <w:rsid w:val="007075E0"/>
    <w:rsid w:val="00711DF4"/>
    <w:rsid w:val="0072107E"/>
    <w:rsid w:val="00735052"/>
    <w:rsid w:val="00737B36"/>
    <w:rsid w:val="007442D4"/>
    <w:rsid w:val="00793C84"/>
    <w:rsid w:val="007A2F99"/>
    <w:rsid w:val="007A58F0"/>
    <w:rsid w:val="007B67AE"/>
    <w:rsid w:val="007C79B6"/>
    <w:rsid w:val="007D70A1"/>
    <w:rsid w:val="007F0038"/>
    <w:rsid w:val="007F157E"/>
    <w:rsid w:val="007F41E7"/>
    <w:rsid w:val="008132E8"/>
    <w:rsid w:val="00815E64"/>
    <w:rsid w:val="00823407"/>
    <w:rsid w:val="00837CD1"/>
    <w:rsid w:val="008419A0"/>
    <w:rsid w:val="00877993"/>
    <w:rsid w:val="008A1C4C"/>
    <w:rsid w:val="008A4509"/>
    <w:rsid w:val="008B0184"/>
    <w:rsid w:val="008C5D02"/>
    <w:rsid w:val="008D2649"/>
    <w:rsid w:val="008D4DEE"/>
    <w:rsid w:val="008E15CA"/>
    <w:rsid w:val="008F5809"/>
    <w:rsid w:val="0090533C"/>
    <w:rsid w:val="0090568D"/>
    <w:rsid w:val="00906528"/>
    <w:rsid w:val="009125C9"/>
    <w:rsid w:val="00913879"/>
    <w:rsid w:val="00917661"/>
    <w:rsid w:val="00921F47"/>
    <w:rsid w:val="00931C4D"/>
    <w:rsid w:val="00934945"/>
    <w:rsid w:val="00963A67"/>
    <w:rsid w:val="00964A6E"/>
    <w:rsid w:val="00966CA4"/>
    <w:rsid w:val="00970E5D"/>
    <w:rsid w:val="0097701C"/>
    <w:rsid w:val="00980A65"/>
    <w:rsid w:val="009852AE"/>
    <w:rsid w:val="009971CF"/>
    <w:rsid w:val="009C18D4"/>
    <w:rsid w:val="009C1C2F"/>
    <w:rsid w:val="009F0D67"/>
    <w:rsid w:val="00A00CAA"/>
    <w:rsid w:val="00A17664"/>
    <w:rsid w:val="00A25E70"/>
    <w:rsid w:val="00A33765"/>
    <w:rsid w:val="00A34542"/>
    <w:rsid w:val="00A3530F"/>
    <w:rsid w:val="00A44BFE"/>
    <w:rsid w:val="00A51D69"/>
    <w:rsid w:val="00A54A44"/>
    <w:rsid w:val="00A63269"/>
    <w:rsid w:val="00A84FC0"/>
    <w:rsid w:val="00A87D23"/>
    <w:rsid w:val="00A92377"/>
    <w:rsid w:val="00AA3DA6"/>
    <w:rsid w:val="00AB29ED"/>
    <w:rsid w:val="00AC3C1E"/>
    <w:rsid w:val="00AC5EB5"/>
    <w:rsid w:val="00AE4BD8"/>
    <w:rsid w:val="00B211BC"/>
    <w:rsid w:val="00B231DF"/>
    <w:rsid w:val="00B249B4"/>
    <w:rsid w:val="00B4388F"/>
    <w:rsid w:val="00B503EE"/>
    <w:rsid w:val="00B63237"/>
    <w:rsid w:val="00B94035"/>
    <w:rsid w:val="00BA11AC"/>
    <w:rsid w:val="00BA18F1"/>
    <w:rsid w:val="00BD472C"/>
    <w:rsid w:val="00C03C19"/>
    <w:rsid w:val="00C13C0A"/>
    <w:rsid w:val="00C175AD"/>
    <w:rsid w:val="00C56CCB"/>
    <w:rsid w:val="00C7761B"/>
    <w:rsid w:val="00C960DC"/>
    <w:rsid w:val="00CC200F"/>
    <w:rsid w:val="00CD60A0"/>
    <w:rsid w:val="00CE5D12"/>
    <w:rsid w:val="00CF2B58"/>
    <w:rsid w:val="00D02C75"/>
    <w:rsid w:val="00D10E22"/>
    <w:rsid w:val="00D13D2C"/>
    <w:rsid w:val="00D3426B"/>
    <w:rsid w:val="00D60E59"/>
    <w:rsid w:val="00D66434"/>
    <w:rsid w:val="00D66C8A"/>
    <w:rsid w:val="00DC2F94"/>
    <w:rsid w:val="00DD3D9E"/>
    <w:rsid w:val="00DD7908"/>
    <w:rsid w:val="00DF104C"/>
    <w:rsid w:val="00E00148"/>
    <w:rsid w:val="00E14915"/>
    <w:rsid w:val="00E218D6"/>
    <w:rsid w:val="00E34CCA"/>
    <w:rsid w:val="00E372FA"/>
    <w:rsid w:val="00E45CFF"/>
    <w:rsid w:val="00E50960"/>
    <w:rsid w:val="00E80066"/>
    <w:rsid w:val="00E82297"/>
    <w:rsid w:val="00EF2331"/>
    <w:rsid w:val="00EF39FD"/>
    <w:rsid w:val="00EF58DE"/>
    <w:rsid w:val="00F06842"/>
    <w:rsid w:val="00F107FD"/>
    <w:rsid w:val="00F2620A"/>
    <w:rsid w:val="00F922E9"/>
    <w:rsid w:val="00FB64A8"/>
    <w:rsid w:val="00FD63F6"/>
    <w:rsid w:val="00FF60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F41E7"/>
    <w:rPr>
      <w:lang w:eastAsia="en-US"/>
    </w:rPr>
  </w:style>
  <w:style w:type="paragraph" w:styleId="3">
    <w:name w:val="heading 3"/>
    <w:basedOn w:val="a"/>
    <w:next w:val="a"/>
    <w:qFormat/>
    <w:rsid w:val="008B018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link w:val="Els-body-text0"/>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link w:val="Els-Affiliation0"/>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lang w:val="en-US"/>
    </w:rPr>
  </w:style>
  <w:style w:type="character" w:customStyle="1" w:styleId="Els-Affiliation0">
    <w:name w:val="Els-Affiliation 字元"/>
    <w:basedOn w:val="a0"/>
    <w:link w:val="Els-Affiliation"/>
    <w:rsid w:val="00452C71"/>
    <w:rPr>
      <w:i/>
      <w:noProof/>
      <w:lang w:eastAsia="en-US"/>
    </w:rPr>
  </w:style>
  <w:style w:type="character" w:styleId="af">
    <w:name w:val="Emphasis"/>
    <w:basedOn w:val="a0"/>
    <w:qFormat/>
    <w:rsid w:val="00B503EE"/>
    <w:rPr>
      <w:i/>
      <w:iCs/>
    </w:rPr>
  </w:style>
  <w:style w:type="character" w:styleId="af0">
    <w:name w:val="Placeholder Text"/>
    <w:basedOn w:val="a0"/>
    <w:uiPriority w:val="99"/>
    <w:semiHidden/>
    <w:rsid w:val="00934945"/>
    <w:rPr>
      <w:color w:val="808080"/>
    </w:rPr>
  </w:style>
  <w:style w:type="paragraph" w:customStyle="1" w:styleId="EndNoteBibliographyTitle">
    <w:name w:val="EndNote Bibliography Title"/>
    <w:basedOn w:val="a"/>
    <w:link w:val="EndNoteBibliographyTitle0"/>
    <w:rsid w:val="00D66434"/>
    <w:pPr>
      <w:jc w:val="center"/>
    </w:pPr>
    <w:rPr>
      <w:noProof/>
      <w:sz w:val="18"/>
      <w:lang w:val="en-US"/>
    </w:rPr>
  </w:style>
  <w:style w:type="character" w:customStyle="1" w:styleId="Els-body-text0">
    <w:name w:val="Els-body-text 字元"/>
    <w:basedOn w:val="a0"/>
    <w:link w:val="Els-body-text"/>
    <w:rsid w:val="00D66434"/>
    <w:rPr>
      <w:lang w:val="en-US" w:eastAsia="en-US"/>
    </w:rPr>
  </w:style>
  <w:style w:type="character" w:customStyle="1" w:styleId="EndNoteBibliographyTitle0">
    <w:name w:val="EndNote Bibliography Title 字元"/>
    <w:basedOn w:val="Els-body-text0"/>
    <w:link w:val="EndNoteBibliographyTitle"/>
    <w:rsid w:val="00D66434"/>
    <w:rPr>
      <w:noProof/>
      <w:sz w:val="18"/>
      <w:lang w:val="en-US" w:eastAsia="en-US"/>
    </w:rPr>
  </w:style>
  <w:style w:type="paragraph" w:customStyle="1" w:styleId="EndNoteBibliography">
    <w:name w:val="EndNote Bibliography"/>
    <w:basedOn w:val="a"/>
    <w:link w:val="EndNoteBibliography0"/>
    <w:rsid w:val="00D66434"/>
    <w:rPr>
      <w:noProof/>
      <w:sz w:val="18"/>
      <w:lang w:val="en-US"/>
    </w:rPr>
  </w:style>
  <w:style w:type="character" w:customStyle="1" w:styleId="EndNoteBibliography0">
    <w:name w:val="EndNote Bibliography 字元"/>
    <w:basedOn w:val="Els-body-text0"/>
    <w:link w:val="EndNoteBibliography"/>
    <w:rsid w:val="00D66434"/>
    <w:rPr>
      <w:noProof/>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96427">
      <w:bodyDiv w:val="1"/>
      <w:marLeft w:val="0"/>
      <w:marRight w:val="0"/>
      <w:marTop w:val="0"/>
      <w:marBottom w:val="0"/>
      <w:divBdr>
        <w:top w:val="none" w:sz="0" w:space="0" w:color="auto"/>
        <w:left w:val="none" w:sz="0" w:space="0" w:color="auto"/>
        <w:bottom w:val="none" w:sz="0" w:space="0" w:color="auto"/>
        <w:right w:val="none" w:sz="0" w:space="0" w:color="auto"/>
      </w:divBdr>
    </w:div>
    <w:div w:id="2571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yao@mx.nthu.edu.tw"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5ECA0-2CBA-4D15-A202-CEE482C7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0</TotalTime>
  <Pages>5</Pages>
  <Words>2919</Words>
  <Characters>16643</Characters>
  <Application>Microsoft Office Word</Application>
  <DocSecurity>0</DocSecurity>
  <Lines>138</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yen yen</cp:lastModifiedBy>
  <cp:revision>2</cp:revision>
  <cp:lastPrinted>2023-12-28T04:29:00Z</cp:lastPrinted>
  <dcterms:created xsi:type="dcterms:W3CDTF">2023-12-28T04:37:00Z</dcterms:created>
  <dcterms:modified xsi:type="dcterms:W3CDTF">2023-12-28T04:37:00Z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