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48C522A7" w:rsidR="00DD3D9E" w:rsidRPr="00B4388F" w:rsidRDefault="005012EF">
      <w:pPr>
        <w:pStyle w:val="Els-Title"/>
        <w:rPr>
          <w:color w:val="000000" w:themeColor="text1"/>
        </w:rPr>
      </w:pPr>
      <w:r>
        <w:rPr>
          <w:color w:val="000000" w:themeColor="text1"/>
        </w:rPr>
        <w:t>Modeling the Continuous Production of Monoclonal Antibodies in Perfusion Bioreactors Through a Dynamic Metabolic Flux Analysis (DMFA) Framework</w:t>
      </w:r>
    </w:p>
    <w:p w14:paraId="144DE680" w14:textId="51FCEF0A" w:rsidR="00DD3D9E" w:rsidRPr="00035897" w:rsidRDefault="005012EF">
      <w:pPr>
        <w:pStyle w:val="Els-Author"/>
        <w:rPr>
          <w:vertAlign w:val="superscript"/>
        </w:rPr>
      </w:pPr>
      <w:r>
        <w:t xml:space="preserve">Nikola </w:t>
      </w:r>
      <w:r w:rsidR="00DE0DDA">
        <w:t xml:space="preserve">G. </w:t>
      </w:r>
      <w:r>
        <w:t>Malinov</w:t>
      </w:r>
      <w:r>
        <w:rPr>
          <w:vertAlign w:val="superscript"/>
        </w:rPr>
        <w:t>a</w:t>
      </w:r>
      <w:r>
        <w:t>, Eleftherios T. Papoutsakis</w:t>
      </w:r>
      <w:r>
        <w:rPr>
          <w:vertAlign w:val="superscript"/>
        </w:rPr>
        <w:t>a</w:t>
      </w:r>
      <w:r>
        <w:t>, Marianthi G. Ierapetritou</w:t>
      </w:r>
      <w:r w:rsidR="00035897">
        <w:rPr>
          <w:vertAlign w:val="superscript"/>
        </w:rPr>
        <w:t>a*</w:t>
      </w:r>
    </w:p>
    <w:p w14:paraId="144DE681" w14:textId="79547737" w:rsidR="00DD3D9E" w:rsidRPr="005012EF" w:rsidRDefault="005012EF">
      <w:pPr>
        <w:pStyle w:val="Els-Affiliation"/>
      </w:pPr>
      <w:r>
        <w:rPr>
          <w:vertAlign w:val="superscript"/>
        </w:rPr>
        <w:t>a</w:t>
      </w:r>
      <w:r>
        <w:t>Department of Chemical and Biomolecu</w:t>
      </w:r>
      <w:r w:rsidR="00191440">
        <w:t>lar</w:t>
      </w:r>
      <w:r>
        <w:t xml:space="preserve"> Engineering, Univer</w:t>
      </w:r>
      <w:r w:rsidR="00FC7D38">
        <w:t>sity</w:t>
      </w:r>
      <w:r>
        <w:t xml:space="preserve"> of Delaware, 150 Academy St, Newark, DE 19716</w:t>
      </w:r>
      <w:r w:rsidR="00622E70">
        <w:t>, USA</w:t>
      </w:r>
    </w:p>
    <w:p w14:paraId="144DE683" w14:textId="0DF04D23" w:rsidR="008D2649" w:rsidRPr="00A94774" w:rsidRDefault="005012EF" w:rsidP="008D2649">
      <w:pPr>
        <w:pStyle w:val="Els-Affiliation"/>
        <w:spacing w:after="120"/>
      </w:pPr>
      <w:r>
        <w:t>mgi@udel.edu</w:t>
      </w:r>
    </w:p>
    <w:p w14:paraId="3EA9493C" w14:textId="77777777" w:rsidR="00D868B4" w:rsidRDefault="00EA1C0E" w:rsidP="000579B6">
      <w:pPr>
        <w:pStyle w:val="Els-Abstract"/>
        <w:rPr>
          <w:sz w:val="12"/>
          <w:szCs w:val="12"/>
        </w:rPr>
      </w:pPr>
      <w:r w:rsidRPr="00032754">
        <w:t>Abstract</w:t>
      </w:r>
    </w:p>
    <w:p w14:paraId="1957B841" w14:textId="77777777" w:rsidR="00D868B4" w:rsidRPr="00D868B4" w:rsidRDefault="00D868B4" w:rsidP="00D868B4">
      <w:pPr>
        <w:pStyle w:val="Els-body-text"/>
        <w:rPr>
          <w:sz w:val="12"/>
          <w:szCs w:val="12"/>
        </w:rPr>
      </w:pPr>
    </w:p>
    <w:p w14:paraId="23B58B83" w14:textId="275A2F64" w:rsidR="00D868B4" w:rsidRPr="000579B6" w:rsidRDefault="000579B6" w:rsidP="000579B6">
      <w:pPr>
        <w:pStyle w:val="Els-Abstract"/>
      </w:pPr>
      <w:r w:rsidRPr="000579B6">
        <w:rPr>
          <w:b w:val="0"/>
          <w:bCs/>
          <w:sz w:val="20"/>
        </w:rPr>
        <w:t>In</w:t>
      </w:r>
      <w:r>
        <w:t xml:space="preserve"> </w:t>
      </w:r>
      <w:r w:rsidR="00032754" w:rsidRPr="000579B6">
        <w:rPr>
          <w:b w:val="0"/>
          <w:bCs/>
          <w:sz w:val="20"/>
        </w:rPr>
        <w:t xml:space="preserve">this work, a comprehensive Dynamic Metabolic Flux Analysis (DMFA) model is developed for </w:t>
      </w:r>
      <w:r w:rsidR="009433CC" w:rsidRPr="000579B6">
        <w:rPr>
          <w:b w:val="0"/>
          <w:bCs/>
          <w:sz w:val="20"/>
        </w:rPr>
        <w:t xml:space="preserve">monoclonal antibody (mAb) </w:t>
      </w:r>
      <w:r w:rsidR="00032754" w:rsidRPr="000579B6">
        <w:rPr>
          <w:b w:val="0"/>
          <w:bCs/>
          <w:sz w:val="20"/>
        </w:rPr>
        <w:t xml:space="preserve">production in Chinese Hamster Ovary (CHO) cell perfusion culture. The framework integrates a kinetic, stoichiometric, and mass balance component to simulate and </w:t>
      </w:r>
      <w:r w:rsidR="00C91881" w:rsidRPr="000579B6">
        <w:rPr>
          <w:b w:val="0"/>
          <w:bCs/>
          <w:sz w:val="20"/>
        </w:rPr>
        <w:t xml:space="preserve">mechanistically </w:t>
      </w:r>
      <w:r w:rsidR="00032754" w:rsidRPr="000579B6">
        <w:rPr>
          <w:b w:val="0"/>
          <w:bCs/>
          <w:sz w:val="20"/>
        </w:rPr>
        <w:t>link the temporal evolution of intracellular metabolism to the bioreactor conditions.</w:t>
      </w:r>
      <w:r w:rsidR="009433CC" w:rsidRPr="000579B6">
        <w:rPr>
          <w:b w:val="0"/>
          <w:bCs/>
          <w:sz w:val="20"/>
        </w:rPr>
        <w:t xml:space="preserve"> </w:t>
      </w:r>
      <w:r w:rsidR="00032754" w:rsidRPr="000579B6">
        <w:rPr>
          <w:b w:val="0"/>
          <w:bCs/>
          <w:sz w:val="20"/>
        </w:rPr>
        <w:t xml:space="preserve">The framework </w:t>
      </w:r>
      <w:proofErr w:type="gramStart"/>
      <w:r w:rsidR="002A2894" w:rsidRPr="000579B6">
        <w:rPr>
          <w:b w:val="0"/>
          <w:bCs/>
          <w:sz w:val="20"/>
        </w:rPr>
        <w:t>is</w:t>
      </w:r>
      <w:r w:rsidR="00032754" w:rsidRPr="000579B6">
        <w:rPr>
          <w:b w:val="0"/>
          <w:bCs/>
          <w:sz w:val="20"/>
        </w:rPr>
        <w:t xml:space="preserve"> calibrated </w:t>
      </w:r>
      <w:r w:rsidR="00516E70" w:rsidRPr="000579B6">
        <w:rPr>
          <w:b w:val="0"/>
          <w:bCs/>
          <w:sz w:val="20"/>
        </w:rPr>
        <w:t>to</w:t>
      </w:r>
      <w:proofErr w:type="gramEnd"/>
      <w:r w:rsidR="00032754" w:rsidRPr="000579B6">
        <w:rPr>
          <w:b w:val="0"/>
          <w:bCs/>
          <w:sz w:val="20"/>
        </w:rPr>
        <w:t xml:space="preserve"> time-series metabolite data from </w:t>
      </w:r>
      <w:r w:rsidR="00C91881" w:rsidRPr="000579B6">
        <w:rPr>
          <w:b w:val="0"/>
          <w:bCs/>
          <w:sz w:val="20"/>
        </w:rPr>
        <w:t xml:space="preserve">scale-down </w:t>
      </w:r>
      <w:r w:rsidR="00032754" w:rsidRPr="000579B6">
        <w:rPr>
          <w:b w:val="0"/>
          <w:bCs/>
          <w:sz w:val="20"/>
        </w:rPr>
        <w:t>semi-perfusion spin tube cultures grown under intensified conditions as a base case training dataset.</w:t>
      </w:r>
      <w:r w:rsidR="009433CC" w:rsidRPr="000579B6">
        <w:rPr>
          <w:b w:val="0"/>
          <w:bCs/>
          <w:sz w:val="20"/>
        </w:rPr>
        <w:t xml:space="preserve"> </w:t>
      </w:r>
      <w:r w:rsidR="00032754" w:rsidRPr="000579B6">
        <w:rPr>
          <w:b w:val="0"/>
          <w:bCs/>
          <w:sz w:val="20"/>
        </w:rPr>
        <w:t xml:space="preserve">Subsequent </w:t>
      </w:r>
      <w:r w:rsidR="00333C48">
        <w:rPr>
          <w:b w:val="0"/>
          <w:bCs/>
          <w:sz w:val="20"/>
        </w:rPr>
        <w:t>prediction</w:t>
      </w:r>
      <w:r w:rsidR="00032754" w:rsidRPr="000579B6">
        <w:rPr>
          <w:b w:val="0"/>
          <w:bCs/>
          <w:sz w:val="20"/>
        </w:rPr>
        <w:t xml:space="preserve"> of </w:t>
      </w:r>
      <w:r w:rsidR="00333C48">
        <w:rPr>
          <w:b w:val="0"/>
          <w:bCs/>
          <w:sz w:val="20"/>
        </w:rPr>
        <w:t xml:space="preserve">CHO cell performance in </w:t>
      </w:r>
      <w:r w:rsidR="00032754" w:rsidRPr="000579B6">
        <w:rPr>
          <w:b w:val="0"/>
          <w:bCs/>
          <w:sz w:val="20"/>
        </w:rPr>
        <w:t>a continuous perfusion bioreactor offer</w:t>
      </w:r>
      <w:r w:rsidR="00333C48">
        <w:rPr>
          <w:b w:val="0"/>
          <w:bCs/>
          <w:sz w:val="20"/>
        </w:rPr>
        <w:t xml:space="preserve">s </w:t>
      </w:r>
      <w:r w:rsidR="00032754" w:rsidRPr="000579B6">
        <w:rPr>
          <w:b w:val="0"/>
          <w:bCs/>
          <w:sz w:val="20"/>
        </w:rPr>
        <w:t>agreement to a subset of measured extracellular species</w:t>
      </w:r>
      <w:r w:rsidR="004126DE" w:rsidRPr="000579B6">
        <w:rPr>
          <w:b w:val="0"/>
          <w:bCs/>
          <w:sz w:val="20"/>
        </w:rPr>
        <w:t xml:space="preserve">, demonstrating the model’s robustness </w:t>
      </w:r>
      <w:r w:rsidR="000F3F81">
        <w:rPr>
          <w:b w:val="0"/>
          <w:bCs/>
          <w:sz w:val="20"/>
        </w:rPr>
        <w:t>arising from</w:t>
      </w:r>
      <w:r w:rsidR="004126DE" w:rsidRPr="000579B6">
        <w:rPr>
          <w:b w:val="0"/>
          <w:bCs/>
          <w:sz w:val="20"/>
        </w:rPr>
        <w:t xml:space="preserve"> its mechanistic foundation.</w:t>
      </w:r>
      <w:r w:rsidR="005F38BA">
        <w:rPr>
          <w:b w:val="0"/>
          <w:bCs/>
          <w:sz w:val="20"/>
        </w:rPr>
        <w:t xml:space="preserve"> Perfusion process development and optimization are target model applications</w:t>
      </w:r>
      <w:r w:rsidR="00366114">
        <w:rPr>
          <w:b w:val="0"/>
          <w:bCs/>
          <w:sz w:val="20"/>
        </w:rPr>
        <w:t>.</w:t>
      </w:r>
    </w:p>
    <w:p w14:paraId="78AD3C2F" w14:textId="77777777" w:rsidR="00D868B4" w:rsidRPr="00D868B4" w:rsidRDefault="00D868B4" w:rsidP="00D868B4">
      <w:pPr>
        <w:pStyle w:val="Els-body-text"/>
        <w:rPr>
          <w:sz w:val="12"/>
          <w:szCs w:val="12"/>
        </w:rPr>
      </w:pPr>
    </w:p>
    <w:p w14:paraId="51726626" w14:textId="5B9504A7" w:rsidR="00F95901" w:rsidRDefault="006E0CBD" w:rsidP="00D868B4">
      <w:pPr>
        <w:pStyle w:val="Els-body-text"/>
      </w:pPr>
      <w:r w:rsidRPr="009433CC">
        <w:rPr>
          <w:b/>
          <w:bCs/>
        </w:rPr>
        <w:t>Keywords:</w:t>
      </w:r>
      <w:r>
        <w:t xml:space="preserve"> </w:t>
      </w:r>
      <w:r w:rsidR="004012F7">
        <w:t xml:space="preserve">Continuous biomanufacturing, </w:t>
      </w:r>
      <w:r w:rsidR="009433CC">
        <w:t xml:space="preserve">perfusion, dynamic </w:t>
      </w:r>
      <w:r w:rsidR="004012F7">
        <w:t>metabolic modeling</w:t>
      </w:r>
    </w:p>
    <w:p w14:paraId="66601AA2" w14:textId="77777777" w:rsidR="00333C48" w:rsidRPr="00F95901" w:rsidRDefault="00333C48" w:rsidP="00D868B4">
      <w:pPr>
        <w:pStyle w:val="Els-body-text"/>
      </w:pPr>
    </w:p>
    <w:p w14:paraId="30FA927C" w14:textId="42B0951F" w:rsidR="00C05A45" w:rsidRDefault="00035897" w:rsidP="000579B6">
      <w:pPr>
        <w:pStyle w:val="Els-Abstract"/>
        <w:numPr>
          <w:ilvl w:val="0"/>
          <w:numId w:val="19"/>
        </w:numPr>
      </w:pPr>
      <w:r>
        <w:t>Introduction</w:t>
      </w:r>
    </w:p>
    <w:p w14:paraId="5D235848" w14:textId="77777777" w:rsidR="00CC767B" w:rsidRDefault="00CC767B" w:rsidP="007D6F86">
      <w:pPr>
        <w:ind w:firstLine="360"/>
        <w:jc w:val="both"/>
        <w:rPr>
          <w:sz w:val="12"/>
          <w:szCs w:val="12"/>
        </w:rPr>
      </w:pPr>
    </w:p>
    <w:p w14:paraId="61C16EE6" w14:textId="4D95DD64" w:rsidR="00F76AFB" w:rsidRDefault="00C91881" w:rsidP="00F76AFB">
      <w:pPr>
        <w:ind w:firstLine="360"/>
        <w:jc w:val="both"/>
      </w:pPr>
      <w:r>
        <w:t>Recombinant mAbs</w:t>
      </w:r>
      <w:r w:rsidR="00BD0B6B">
        <w:t xml:space="preserve"> have transformed medicine since the 1980’s providing life-saving therapeutics for </w:t>
      </w:r>
      <w:r w:rsidR="00010500">
        <w:t>numerous</w:t>
      </w:r>
      <w:r w:rsidR="00BD0B6B">
        <w:t xml:space="preserve"> diseases</w:t>
      </w:r>
      <w:r w:rsidR="00626F9F">
        <w:t xml:space="preserve"> (Ecker et al.</w:t>
      </w:r>
      <w:r w:rsidR="00E57EEB">
        <w:t>,</w:t>
      </w:r>
      <w:r w:rsidR="00626F9F">
        <w:t xml:space="preserve"> 2015).</w:t>
      </w:r>
      <w:r w:rsidR="00BD0B6B">
        <w:t xml:space="preserve"> </w:t>
      </w:r>
      <w:r w:rsidR="009433CC">
        <w:t>CHO</w:t>
      </w:r>
      <w:r w:rsidR="00BD0B6B">
        <w:t xml:space="preserve"> cells are the preferred mammalian cell platform for mAb production given their robust growth in defined mediums, efficient transfectability, and innate capacity to induce complex post-translational modifications such as N-linked glycosylation</w:t>
      </w:r>
      <w:r w:rsidR="00E57EEB">
        <w:t xml:space="preserve"> (Trill et al., 1995</w:t>
      </w:r>
      <w:r w:rsidR="00735ED1">
        <w:t xml:space="preserve">; </w:t>
      </w:r>
      <w:r w:rsidR="00E57EEB">
        <w:t>Wurm, 2004).</w:t>
      </w:r>
      <w:r w:rsidR="00BD0B6B">
        <w:t xml:space="preserve"> Fed batch bioreactors have dominated</w:t>
      </w:r>
      <w:r w:rsidR="00B64466">
        <w:t xml:space="preserve"> </w:t>
      </w:r>
      <w:r w:rsidR="00BD0B6B">
        <w:t>upstream production in bioprocess pipelines. However, increasing global product demand, coupled with the emergence of an ever-expanding biosimilars market, have prompted the industry to transition towards continuous</w:t>
      </w:r>
      <w:r w:rsidR="0067427A">
        <w:t xml:space="preserve"> upstream</w:t>
      </w:r>
      <w:r w:rsidR="00BD0B6B">
        <w:t xml:space="preserve"> manufacturing</w:t>
      </w:r>
      <w:r w:rsidR="0067427A">
        <w:t xml:space="preserve"> </w:t>
      </w:r>
      <w:r w:rsidR="00565FCF">
        <w:t>achieved through</w:t>
      </w:r>
      <w:r w:rsidR="0067427A">
        <w:t xml:space="preserve"> perfusion bioreactors</w:t>
      </w:r>
      <w:r w:rsidR="00E57EEB">
        <w:t xml:space="preserve"> (Walther et al., 2015).</w:t>
      </w:r>
      <w:r w:rsidR="00887A8D">
        <w:t xml:space="preserve"> T</w:t>
      </w:r>
      <w:r w:rsidR="00BD0B6B">
        <w:t xml:space="preserve">he </w:t>
      </w:r>
      <w:r w:rsidR="002A2894">
        <w:t xml:space="preserve">resulting </w:t>
      </w:r>
      <w:r w:rsidR="00BD0B6B">
        <w:t>expansive design space and increased operational intensity relative to fed batch</w:t>
      </w:r>
      <w:r w:rsidR="002F4FF8">
        <w:t xml:space="preserve"> </w:t>
      </w:r>
      <w:r w:rsidR="00BD0B6B">
        <w:t>pose substantial challenge</w:t>
      </w:r>
      <w:r w:rsidR="002A2894">
        <w:t>s</w:t>
      </w:r>
      <w:r w:rsidR="00BD0B6B">
        <w:t xml:space="preserve"> in the pursuit of</w:t>
      </w:r>
      <w:r w:rsidR="00AD6924">
        <w:t xml:space="preserve"> continuous upstream bioprocess development and</w:t>
      </w:r>
      <w:r w:rsidR="00BD0B6B">
        <w:t xml:space="preserve"> optimization.</w:t>
      </w:r>
      <w:r w:rsidR="00F677E0">
        <w:t xml:space="preserve"> </w:t>
      </w:r>
      <w:r w:rsidR="00BD0B6B">
        <w:t xml:space="preserve">With respect to mAb production, modeling </w:t>
      </w:r>
      <w:r w:rsidR="00BD0B6B">
        <w:lastRenderedPageBreak/>
        <w:t>cell metabolism is imperative to assess nutrient utilization and physiologic objectives under varying operating setpoints</w:t>
      </w:r>
      <w:r w:rsidR="00CC767B">
        <w:t xml:space="preserve"> (Reddy et al., 2023)</w:t>
      </w:r>
      <w:r w:rsidR="00BD0B6B">
        <w:t>.</w:t>
      </w:r>
      <w:r w:rsidR="00F76AFB">
        <w:t xml:space="preserve"> Here, a DMFA framework is established to mechanistically link key parameters of perfusion bioreactors, including media composition, perfusion rate, and bleed rate, to CHO cell metabolism and bioreactor conditions.</w:t>
      </w:r>
    </w:p>
    <w:p w14:paraId="61E484F2" w14:textId="77777777" w:rsidR="00BD0B6B" w:rsidRDefault="00BD0B6B" w:rsidP="00035897">
      <w:pPr>
        <w:jc w:val="both"/>
      </w:pPr>
    </w:p>
    <w:p w14:paraId="648132CD" w14:textId="4A76950F" w:rsidR="00035897" w:rsidRDefault="00035897" w:rsidP="00442646">
      <w:pPr>
        <w:pStyle w:val="ListParagraph"/>
        <w:numPr>
          <w:ilvl w:val="0"/>
          <w:numId w:val="19"/>
        </w:numPr>
        <w:jc w:val="both"/>
        <w:rPr>
          <w:b/>
          <w:bCs/>
          <w:sz w:val="22"/>
          <w:szCs w:val="22"/>
        </w:rPr>
      </w:pPr>
      <w:r w:rsidRPr="00442646">
        <w:rPr>
          <w:b/>
          <w:bCs/>
          <w:sz w:val="22"/>
          <w:szCs w:val="22"/>
        </w:rPr>
        <w:t>Materials and Methods</w:t>
      </w:r>
    </w:p>
    <w:p w14:paraId="626A9F4F" w14:textId="14E8A832" w:rsidR="00A9173B" w:rsidRPr="00442646" w:rsidRDefault="00A9173B" w:rsidP="00A9173B">
      <w:pPr>
        <w:pStyle w:val="Els-2ndorder-head"/>
        <w:numPr>
          <w:ilvl w:val="1"/>
          <w:numId w:val="19"/>
        </w:numPr>
      </w:pPr>
      <w:r>
        <w:t>Semi-</w:t>
      </w:r>
      <w:r w:rsidR="002A2894">
        <w:t>P</w:t>
      </w:r>
      <w:r>
        <w:t xml:space="preserve">erfusion CHO </w:t>
      </w:r>
      <w:r w:rsidR="002A2894">
        <w:t>C</w:t>
      </w:r>
      <w:r>
        <w:t xml:space="preserve">ell </w:t>
      </w:r>
      <w:r w:rsidR="002A2894">
        <w:t>C</w:t>
      </w:r>
      <w:r>
        <w:t>ultures</w:t>
      </w:r>
    </w:p>
    <w:p w14:paraId="7477DC57" w14:textId="0262DC10" w:rsidR="00A9173B" w:rsidRPr="009D74CD" w:rsidRDefault="00A9173B" w:rsidP="00EC5291">
      <w:pPr>
        <w:ind w:firstLine="360"/>
        <w:jc w:val="both"/>
        <w:rPr>
          <w:lang w:val="en-US"/>
        </w:rPr>
      </w:pPr>
      <w:r w:rsidRPr="009D74CD">
        <w:rPr>
          <w:lang w:val="en-US"/>
        </w:rPr>
        <w:t>Semi-perfusion cultures</w:t>
      </w:r>
      <w:r w:rsidR="00AD100E">
        <w:rPr>
          <w:lang w:val="en-US"/>
        </w:rPr>
        <w:t xml:space="preserve"> of the CHO</w:t>
      </w:r>
      <w:r w:rsidR="009635BF">
        <w:rPr>
          <w:lang w:val="en-US"/>
        </w:rPr>
        <w:t>-</w:t>
      </w:r>
      <w:r w:rsidR="00AD100E">
        <w:rPr>
          <w:lang w:val="en-US"/>
        </w:rPr>
        <w:t>K1 VRC01 cell line</w:t>
      </w:r>
      <w:r w:rsidRPr="00A9173B">
        <w:rPr>
          <w:lang w:val="en-US"/>
        </w:rPr>
        <w:t xml:space="preserve"> were seeded at 0.4×10</w:t>
      </w:r>
      <w:r w:rsidRPr="00A9173B">
        <w:rPr>
          <w:vertAlign w:val="superscript"/>
          <w:lang w:val="en-US"/>
        </w:rPr>
        <w:t>6</w:t>
      </w:r>
      <w:r w:rsidRPr="00A9173B">
        <w:rPr>
          <w:lang w:val="en-US"/>
        </w:rPr>
        <w:t xml:space="preserve"> cells mL</w:t>
      </w:r>
      <w:r w:rsidRPr="00A9173B">
        <w:rPr>
          <w:vertAlign w:val="superscript"/>
          <w:lang w:val="en-US"/>
        </w:rPr>
        <w:t>-1</w:t>
      </w:r>
      <w:r w:rsidRPr="00A9173B">
        <w:rPr>
          <w:lang w:val="en-US"/>
        </w:rPr>
        <w:t xml:space="preserve"> </w:t>
      </w:r>
      <w:r w:rsidR="00B3691D">
        <w:rPr>
          <w:lang w:val="en-US"/>
        </w:rPr>
        <w:t>with</w:t>
      </w:r>
      <w:r w:rsidRPr="00A9173B">
        <w:rPr>
          <w:lang w:val="en-US"/>
        </w:rPr>
        <w:t xml:space="preserve"> a starting volume of 9.4 mL in </w:t>
      </w:r>
      <w:r w:rsidR="006E0CBD" w:rsidRPr="009D74CD">
        <w:rPr>
          <w:lang w:val="en-US"/>
        </w:rPr>
        <w:t>commercial basal</w:t>
      </w:r>
      <w:r w:rsidRPr="00A9173B">
        <w:rPr>
          <w:lang w:val="en-US"/>
        </w:rPr>
        <w:t xml:space="preserve"> media a</w:t>
      </w:r>
      <w:r w:rsidR="00AD6924" w:rsidRPr="009D74CD">
        <w:rPr>
          <w:lang w:val="en-US"/>
        </w:rPr>
        <w:t xml:space="preserve">nd </w:t>
      </w:r>
      <w:r w:rsidRPr="00A9173B">
        <w:rPr>
          <w:lang w:val="en-US"/>
        </w:rPr>
        <w:t>supplemental L-glutamine in 50 mL vented spin tube</w:t>
      </w:r>
      <w:r w:rsidR="00EC5291" w:rsidRPr="009D74CD">
        <w:rPr>
          <w:lang w:val="en-US"/>
        </w:rPr>
        <w:t>s. Cultures were grown in a 5% CO</w:t>
      </w:r>
      <w:r w:rsidR="00EC5291" w:rsidRPr="009D74CD">
        <w:rPr>
          <w:vertAlign w:val="subscript"/>
          <w:lang w:val="en-US"/>
        </w:rPr>
        <w:t>2</w:t>
      </w:r>
      <w:r w:rsidR="00EC5291" w:rsidRPr="009D74CD">
        <w:rPr>
          <w:lang w:val="en-US"/>
        </w:rPr>
        <w:t xml:space="preserve"> humidified incubator at 37°C, 250 rpm shake speed, 19.05 mm orbital throw, and 90° rocking angle. </w:t>
      </w:r>
      <w:r w:rsidRPr="00A9173B">
        <w:rPr>
          <w:lang w:val="en-US"/>
        </w:rPr>
        <w:t xml:space="preserve">1.1 mL of culture broth was </w:t>
      </w:r>
      <w:r w:rsidR="002A2894">
        <w:rPr>
          <w:lang w:val="en-US"/>
        </w:rPr>
        <w:t>sampled</w:t>
      </w:r>
      <w:r w:rsidR="002A2894" w:rsidRPr="00A9173B">
        <w:rPr>
          <w:lang w:val="en-US"/>
        </w:rPr>
        <w:t xml:space="preserve"> </w:t>
      </w:r>
      <w:r w:rsidRPr="00A9173B">
        <w:rPr>
          <w:lang w:val="en-US"/>
        </w:rPr>
        <w:t>every day</w:t>
      </w:r>
      <w:r w:rsidR="002A2894">
        <w:rPr>
          <w:lang w:val="en-US"/>
        </w:rPr>
        <w:t xml:space="preserve"> </w:t>
      </w:r>
      <w:r w:rsidRPr="00A9173B">
        <w:rPr>
          <w:lang w:val="en-US"/>
        </w:rPr>
        <w:t xml:space="preserve">from </w:t>
      </w:r>
      <w:r w:rsidR="00B64466">
        <w:rPr>
          <w:lang w:val="en-US"/>
        </w:rPr>
        <w:t>d</w:t>
      </w:r>
      <w:r w:rsidRPr="00A9173B">
        <w:rPr>
          <w:lang w:val="en-US"/>
        </w:rPr>
        <w:t>ay 0 – 3</w:t>
      </w:r>
      <w:r w:rsidR="002A2894">
        <w:rPr>
          <w:lang w:val="en-US"/>
        </w:rPr>
        <w:t xml:space="preserve">, reducing the working volume to </w:t>
      </w:r>
      <w:r w:rsidRPr="00A9173B">
        <w:rPr>
          <w:lang w:val="en-US"/>
        </w:rPr>
        <w:t xml:space="preserve">5 mL by </w:t>
      </w:r>
      <w:r w:rsidR="00B64466">
        <w:rPr>
          <w:lang w:val="en-US"/>
        </w:rPr>
        <w:t>d</w:t>
      </w:r>
      <w:r w:rsidRPr="00A9173B">
        <w:rPr>
          <w:lang w:val="en-US"/>
        </w:rPr>
        <w:t xml:space="preserve">ay 3. 0.1 mL of culture </w:t>
      </w:r>
      <w:r w:rsidR="002A2894">
        <w:rPr>
          <w:lang w:val="en-US"/>
        </w:rPr>
        <w:t>was used to quantify cell density,</w:t>
      </w:r>
      <w:r w:rsidRPr="00A9173B">
        <w:rPr>
          <w:lang w:val="en-US"/>
        </w:rPr>
        <w:t xml:space="preserve"> while the remaining 1 mL was </w:t>
      </w:r>
      <w:r w:rsidR="002A2894">
        <w:rPr>
          <w:lang w:val="en-US"/>
        </w:rPr>
        <w:t xml:space="preserve">centrifuged at 180 g for 5 minutes, 0.22 </w:t>
      </w:r>
      <w:r w:rsidR="002A2894">
        <w:rPr>
          <w:rFonts w:ascii="Calibri" w:hAnsi="Calibri" w:cs="Calibri"/>
          <w:lang w:val="en-US"/>
        </w:rPr>
        <w:t>μ</w:t>
      </w:r>
      <w:r w:rsidR="002A2894">
        <w:rPr>
          <w:lang w:val="en-US"/>
        </w:rPr>
        <w:t xml:space="preserve">m sterile-filtered, </w:t>
      </w:r>
      <w:r w:rsidRPr="00A9173B">
        <w:rPr>
          <w:lang w:val="en-US"/>
        </w:rPr>
        <w:t>and saved for off-line metabolite analysis.</w:t>
      </w:r>
      <w:r w:rsidRPr="009D74CD">
        <w:rPr>
          <w:lang w:val="en-US"/>
        </w:rPr>
        <w:t xml:space="preserve"> </w:t>
      </w:r>
      <w:r w:rsidRPr="00A9173B">
        <w:rPr>
          <w:lang w:val="en-US"/>
        </w:rPr>
        <w:t xml:space="preserve">On </w:t>
      </w:r>
      <w:r w:rsidR="00500EAB">
        <w:rPr>
          <w:lang w:val="en-US"/>
        </w:rPr>
        <w:t>d</w:t>
      </w:r>
      <w:r w:rsidRPr="00A9173B">
        <w:rPr>
          <w:lang w:val="en-US"/>
        </w:rPr>
        <w:t>ay 3, semi-perfusion at an effective perfusion rate of 1 vvd</w:t>
      </w:r>
      <w:r w:rsidRPr="00A9173B">
        <w:rPr>
          <w:vertAlign w:val="superscript"/>
          <w:lang w:val="en-US"/>
        </w:rPr>
        <w:t>-1</w:t>
      </w:r>
      <w:r w:rsidRPr="00A9173B">
        <w:rPr>
          <w:lang w:val="en-US"/>
        </w:rPr>
        <w:t xml:space="preserve"> was initiated by centrifuging cultures at 180 g for 5 minutes, removing the supernatant, and resuspending the cell pellet in 5.1 mL of pre-warmed perfusion media</w:t>
      </w:r>
      <w:r w:rsidR="00EC5291" w:rsidRPr="009D74CD">
        <w:rPr>
          <w:lang w:val="en-US"/>
        </w:rPr>
        <w:t xml:space="preserve"> formulated </w:t>
      </w:r>
      <w:r w:rsidR="008C08A5">
        <w:rPr>
          <w:lang w:val="en-US"/>
        </w:rPr>
        <w:t>to</w:t>
      </w:r>
      <w:r w:rsidR="00EC5291" w:rsidRPr="009D74CD">
        <w:rPr>
          <w:lang w:val="en-US"/>
        </w:rPr>
        <w:t xml:space="preserve"> an in-house recipe</w:t>
      </w:r>
      <w:r w:rsidRPr="00A9173B">
        <w:rPr>
          <w:lang w:val="en-US"/>
        </w:rPr>
        <w:t xml:space="preserve">. 1 mL of the supernatant was saved for metabolite analysis. 0.1 mL of resuspended culture broth was </w:t>
      </w:r>
      <w:r w:rsidR="008C08A5">
        <w:rPr>
          <w:lang w:val="en-US"/>
        </w:rPr>
        <w:t>sampled for</w:t>
      </w:r>
      <w:r w:rsidRPr="00A9173B">
        <w:rPr>
          <w:lang w:val="en-US"/>
        </w:rPr>
        <w:t xml:space="preserve"> </w:t>
      </w:r>
      <w:r w:rsidR="002A2894">
        <w:rPr>
          <w:lang w:val="en-US"/>
        </w:rPr>
        <w:t>cell density quantification.</w:t>
      </w:r>
      <w:r w:rsidRPr="00A9173B">
        <w:rPr>
          <w:lang w:val="en-US"/>
        </w:rPr>
        <w:t xml:space="preserve"> </w:t>
      </w:r>
    </w:p>
    <w:p w14:paraId="7C61E29C" w14:textId="7474B2F6" w:rsidR="00A9173B" w:rsidRDefault="00035897" w:rsidP="00A9173B">
      <w:pPr>
        <w:pStyle w:val="Els-2ndorder-head"/>
        <w:numPr>
          <w:ilvl w:val="1"/>
          <w:numId w:val="19"/>
        </w:numPr>
      </w:pPr>
      <w:r>
        <w:t xml:space="preserve"> </w:t>
      </w:r>
      <w:r w:rsidR="002A2894">
        <w:t>Analytical Methods</w:t>
      </w:r>
    </w:p>
    <w:p w14:paraId="34B60FBD" w14:textId="4EDCD50C" w:rsidR="001F75F5" w:rsidRDefault="00EC5291" w:rsidP="00EC5291">
      <w:pPr>
        <w:pStyle w:val="Els-body-text"/>
        <w:ind w:firstLine="360"/>
      </w:pPr>
      <w:r w:rsidRPr="00EC5291">
        <w:t>V</w:t>
      </w:r>
      <w:r>
        <w:t>iable cell density (VCD)</w:t>
      </w:r>
      <w:r w:rsidR="00AD6924">
        <w:t xml:space="preserve"> </w:t>
      </w:r>
      <w:r w:rsidR="00B3691D">
        <w:t xml:space="preserve">was </w:t>
      </w:r>
      <w:r w:rsidRPr="00EC5291">
        <w:t xml:space="preserve">determined via the Trypan Blue exclusion method using a </w:t>
      </w:r>
      <w:proofErr w:type="spellStart"/>
      <w:r w:rsidRPr="00EC5291">
        <w:t>DeNovix</w:t>
      </w:r>
      <w:proofErr w:type="spellEnd"/>
      <w:r w:rsidRPr="00EC5291">
        <w:t xml:space="preserve"> </w:t>
      </w:r>
      <w:proofErr w:type="spellStart"/>
      <w:r w:rsidRPr="00EC5291">
        <w:t>CellDrop</w:t>
      </w:r>
      <w:proofErr w:type="spellEnd"/>
      <w:r w:rsidRPr="00EC5291">
        <w:t xml:space="preserve"> </w:t>
      </w:r>
      <w:r w:rsidR="008C08A5">
        <w:t xml:space="preserve">Fluorescence Cell Counter. </w:t>
      </w:r>
      <w:r>
        <w:t xml:space="preserve">Residual glucose, lactate, and ammonia concentrations were </w:t>
      </w:r>
      <w:r w:rsidR="00565FCF">
        <w:t>measured</w:t>
      </w:r>
      <w:r>
        <w:t xml:space="preserve"> with a</w:t>
      </w:r>
      <w:r w:rsidRPr="00EC5291">
        <w:t xml:space="preserve"> YSI 29</w:t>
      </w:r>
      <w:r w:rsidR="008C08A5">
        <w:t>50</w:t>
      </w:r>
      <w:r w:rsidRPr="00EC5291">
        <w:t xml:space="preserve"> </w:t>
      </w:r>
      <w:proofErr w:type="spellStart"/>
      <w:r w:rsidRPr="00EC5291">
        <w:t>BioAnalyzer</w:t>
      </w:r>
      <w:proofErr w:type="spellEnd"/>
      <w:r>
        <w:t xml:space="preserve">. </w:t>
      </w:r>
      <w:r w:rsidRPr="00EC5291">
        <w:t>Amino acid</w:t>
      </w:r>
      <w:r w:rsidR="008C08A5">
        <w:t xml:space="preserve"> concentrations</w:t>
      </w:r>
      <w:r w:rsidRPr="00EC5291">
        <w:t xml:space="preserve"> were </w:t>
      </w:r>
      <w:r w:rsidR="008C08A5">
        <w:t xml:space="preserve">analyzed </w:t>
      </w:r>
      <w:r w:rsidR="00B3691D">
        <w:t>with</w:t>
      </w:r>
      <w:r w:rsidRPr="00EC5291">
        <w:t xml:space="preserve"> an OPA/FMOC-derivatization protocol with an Agilent </w:t>
      </w:r>
      <w:proofErr w:type="spellStart"/>
      <w:r w:rsidRPr="00EC5291">
        <w:t>Poroshell</w:t>
      </w:r>
      <w:proofErr w:type="spellEnd"/>
      <w:r w:rsidRPr="00EC5291">
        <w:t xml:space="preserve"> HPH-C18 column on an Agilent HPLC 1260 Infinity II system. Daily titer was </w:t>
      </w:r>
      <w:r>
        <w:t>assessed</w:t>
      </w:r>
      <w:r w:rsidRPr="00EC5291">
        <w:t xml:space="preserve"> via Protein A chromatography </w:t>
      </w:r>
      <w:r w:rsidR="00B3691D">
        <w:t>with</w:t>
      </w:r>
      <w:r w:rsidRPr="00EC5291">
        <w:t xml:space="preserve"> a POROS A 20 μm column (4.6 × 100 mm, 1.7 mL) on an Agilent HPLC 1260 Infinity II system. </w:t>
      </w:r>
    </w:p>
    <w:p w14:paraId="675465C9" w14:textId="77777777" w:rsidR="00EC5291" w:rsidRDefault="00EC5291" w:rsidP="00EC5291">
      <w:pPr>
        <w:pStyle w:val="Els-body-text"/>
        <w:ind w:firstLine="360"/>
      </w:pPr>
    </w:p>
    <w:p w14:paraId="7C3D1EE3" w14:textId="300E0774" w:rsidR="001A361A" w:rsidRPr="001A361A" w:rsidRDefault="00035897" w:rsidP="001A361A">
      <w:pPr>
        <w:pStyle w:val="ListParagraph"/>
        <w:numPr>
          <w:ilvl w:val="0"/>
          <w:numId w:val="19"/>
        </w:numPr>
        <w:jc w:val="both"/>
        <w:rPr>
          <w:b/>
          <w:bCs/>
          <w:sz w:val="22"/>
          <w:szCs w:val="22"/>
        </w:rPr>
      </w:pPr>
      <w:r w:rsidRPr="00442646">
        <w:rPr>
          <w:b/>
          <w:bCs/>
          <w:sz w:val="22"/>
          <w:szCs w:val="22"/>
        </w:rPr>
        <w:t>Model Framework Development</w:t>
      </w:r>
    </w:p>
    <w:p w14:paraId="3725C616" w14:textId="77777777" w:rsidR="008D7F31" w:rsidRDefault="008D7F31" w:rsidP="008D7F31">
      <w:pPr>
        <w:jc w:val="both"/>
        <w:rPr>
          <w:sz w:val="12"/>
          <w:szCs w:val="12"/>
        </w:rPr>
      </w:pPr>
    </w:p>
    <w:p w14:paraId="08A167F7" w14:textId="4C6AC574" w:rsidR="00C57D5F" w:rsidRDefault="00C57D5F" w:rsidP="005B5977">
      <w:pPr>
        <w:ind w:firstLine="360"/>
        <w:jc w:val="both"/>
      </w:pPr>
      <w:r w:rsidRPr="00C57D5F">
        <w:t>The mathematical framework is a structured</w:t>
      </w:r>
      <w:r w:rsidR="00DF3CB4">
        <w:t>-</w:t>
      </w:r>
      <w:r w:rsidR="00D83CF7">
        <w:t xml:space="preserve">unsegregated </w:t>
      </w:r>
      <w:r w:rsidR="00AD6924">
        <w:t>DMFA</w:t>
      </w:r>
      <w:r w:rsidRPr="00C57D5F">
        <w:t xml:space="preserve"> model which integrates a kinetic, stoichiometric, and </w:t>
      </w:r>
      <w:r w:rsidR="008F7690">
        <w:t xml:space="preserve">macroscopic </w:t>
      </w:r>
      <w:r w:rsidRPr="00C57D5F">
        <w:t>mass balance component</w:t>
      </w:r>
      <w:r w:rsidR="00DF3CB4">
        <w:t xml:space="preserve">. </w:t>
      </w:r>
      <w:r w:rsidRPr="00C57D5F">
        <w:rPr>
          <w:rFonts w:eastAsia="MS Mincho"/>
        </w:rPr>
        <w:t xml:space="preserve">The required inputs are the initial extracellular metabolite concentrations, media </w:t>
      </w:r>
      <w:r w:rsidR="008F7690">
        <w:rPr>
          <w:rFonts w:eastAsia="MS Mincho"/>
        </w:rPr>
        <w:t>composition</w:t>
      </w:r>
      <w:r w:rsidRPr="00C57D5F">
        <w:rPr>
          <w:rFonts w:eastAsia="MS Mincho"/>
        </w:rPr>
        <w:t xml:space="preserve">, process conditions, and a robust kinetic parameter set. The </w:t>
      </w:r>
      <w:r w:rsidR="008F7690">
        <w:rPr>
          <w:rFonts w:eastAsia="MS Mincho"/>
        </w:rPr>
        <w:t xml:space="preserve">model </w:t>
      </w:r>
      <w:r w:rsidRPr="00C57D5F">
        <w:rPr>
          <w:rFonts w:eastAsia="MS Mincho"/>
        </w:rPr>
        <w:t xml:space="preserve">inputs </w:t>
      </w:r>
      <w:r w:rsidR="008F7690">
        <w:rPr>
          <w:rFonts w:eastAsia="MS Mincho"/>
        </w:rPr>
        <w:t>feed to the</w:t>
      </w:r>
      <w:r w:rsidRPr="00C57D5F">
        <w:rPr>
          <w:rFonts w:eastAsia="MS Mincho"/>
        </w:rPr>
        <w:t xml:space="preserve"> kinetic component to </w:t>
      </w:r>
      <w:r w:rsidR="00D83CF7">
        <w:rPr>
          <w:rFonts w:eastAsia="MS Mincho"/>
        </w:rPr>
        <w:t>approximate</w:t>
      </w:r>
      <w:r w:rsidRPr="00C57D5F">
        <w:rPr>
          <w:rFonts w:eastAsia="MS Mincho"/>
        </w:rPr>
        <w:t xml:space="preserve"> the growth, death, and </w:t>
      </w:r>
      <w:r w:rsidR="008F7690">
        <w:rPr>
          <w:rFonts w:eastAsia="MS Mincho"/>
        </w:rPr>
        <w:t>metabolite exchange</w:t>
      </w:r>
      <w:r w:rsidRPr="00C57D5F">
        <w:rPr>
          <w:rFonts w:eastAsia="MS Mincho"/>
        </w:rPr>
        <w:t xml:space="preserve"> rates</w:t>
      </w:r>
      <w:r w:rsidR="008F7690">
        <w:rPr>
          <w:rFonts w:eastAsia="MS Mincho"/>
        </w:rPr>
        <w:t>.</w:t>
      </w:r>
      <w:r w:rsidR="002D3B64">
        <w:rPr>
          <w:rFonts w:eastAsia="MS Mincho"/>
        </w:rPr>
        <w:t xml:space="preserve"> </w:t>
      </w:r>
      <w:r w:rsidRPr="00C57D5F">
        <w:rPr>
          <w:rFonts w:eastAsia="MS Mincho"/>
        </w:rPr>
        <w:t>The</w:t>
      </w:r>
      <w:r w:rsidR="00D83CF7">
        <w:rPr>
          <w:rFonts w:eastAsia="MS Mincho"/>
        </w:rPr>
        <w:t xml:space="preserve"> </w:t>
      </w:r>
      <w:r w:rsidR="008F7690">
        <w:rPr>
          <w:rFonts w:eastAsia="MS Mincho"/>
        </w:rPr>
        <w:t>exchange r</w:t>
      </w:r>
      <w:r w:rsidR="00D83CF7">
        <w:rPr>
          <w:rFonts w:eastAsia="MS Mincho"/>
        </w:rPr>
        <w:t>ate</w:t>
      </w:r>
      <w:r w:rsidR="008F7690">
        <w:rPr>
          <w:rFonts w:eastAsia="MS Mincho"/>
        </w:rPr>
        <w:t>s</w:t>
      </w:r>
      <w:r w:rsidRPr="00C57D5F">
        <w:rPr>
          <w:rFonts w:eastAsia="MS Mincho"/>
        </w:rPr>
        <w:t xml:space="preserve"> </w:t>
      </w:r>
      <w:r w:rsidR="008F7690">
        <w:rPr>
          <w:rFonts w:eastAsia="MS Mincho"/>
        </w:rPr>
        <w:t xml:space="preserve">are subsequently </w:t>
      </w:r>
      <w:r w:rsidR="008C08A5">
        <w:rPr>
          <w:rFonts w:eastAsia="MS Mincho"/>
        </w:rPr>
        <w:t>incorporated</w:t>
      </w:r>
      <w:r w:rsidR="00887A8D" w:rsidRPr="00C57D5F">
        <w:rPr>
          <w:rFonts w:eastAsia="MS Mincho"/>
        </w:rPr>
        <w:t xml:space="preserve"> </w:t>
      </w:r>
      <w:r w:rsidRPr="00C57D5F">
        <w:rPr>
          <w:rFonts w:eastAsia="MS Mincho"/>
        </w:rPr>
        <w:t xml:space="preserve">as constraints to the </w:t>
      </w:r>
      <w:r w:rsidR="00D83CF7">
        <w:rPr>
          <w:rFonts w:eastAsia="MS Mincho"/>
        </w:rPr>
        <w:t>stoichiometric component,</w:t>
      </w:r>
      <w:r w:rsidRPr="00C57D5F">
        <w:rPr>
          <w:rFonts w:eastAsia="MS Mincho"/>
        </w:rPr>
        <w:t xml:space="preserve"> functionalized through MFA to </w:t>
      </w:r>
      <w:r w:rsidR="00D83CF7">
        <w:rPr>
          <w:rFonts w:eastAsia="MS Mincho"/>
        </w:rPr>
        <w:t>assess</w:t>
      </w:r>
      <w:r w:rsidRPr="00C57D5F">
        <w:rPr>
          <w:rFonts w:eastAsia="MS Mincho"/>
        </w:rPr>
        <w:t xml:space="preserve"> the </w:t>
      </w:r>
      <w:r w:rsidR="00D83CF7">
        <w:rPr>
          <w:rFonts w:eastAsia="MS Mincho"/>
        </w:rPr>
        <w:t xml:space="preserve">intracellular flux distribution. The </w:t>
      </w:r>
      <w:r w:rsidRPr="00C57D5F">
        <w:rPr>
          <w:rFonts w:eastAsia="MS Mincho"/>
        </w:rPr>
        <w:t xml:space="preserve">updated exchange fluxes </w:t>
      </w:r>
      <w:r w:rsidR="00D83CF7">
        <w:rPr>
          <w:rFonts w:eastAsia="MS Mincho"/>
        </w:rPr>
        <w:t>from the resulting MFA solution</w:t>
      </w:r>
      <w:r w:rsidRPr="00C57D5F">
        <w:rPr>
          <w:rFonts w:eastAsia="MS Mincho"/>
        </w:rPr>
        <w:t xml:space="preserve"> are incorporated into the discretized perfusion bioreactor mass balances to </w:t>
      </w:r>
      <w:r w:rsidR="00D83CF7">
        <w:rPr>
          <w:rFonts w:eastAsia="MS Mincho"/>
        </w:rPr>
        <w:t>predict</w:t>
      </w:r>
      <w:r w:rsidRPr="00C57D5F">
        <w:rPr>
          <w:rFonts w:eastAsia="MS Mincho"/>
        </w:rPr>
        <w:t xml:space="preserve"> the</w:t>
      </w:r>
      <w:r w:rsidR="00D83CF7">
        <w:rPr>
          <w:rFonts w:eastAsia="MS Mincho"/>
        </w:rPr>
        <w:t xml:space="preserve"> </w:t>
      </w:r>
      <w:r w:rsidRPr="00C57D5F">
        <w:rPr>
          <w:rFonts w:eastAsia="MS Mincho"/>
        </w:rPr>
        <w:t>concentration of e</w:t>
      </w:r>
      <w:r w:rsidR="00D83CF7">
        <w:rPr>
          <w:rFonts w:eastAsia="MS Mincho"/>
        </w:rPr>
        <w:t>xtracellular</w:t>
      </w:r>
      <w:r w:rsidRPr="00C57D5F">
        <w:rPr>
          <w:rFonts w:eastAsia="MS Mincho"/>
        </w:rPr>
        <w:t xml:space="preserve"> species at the next timepoint. </w:t>
      </w:r>
      <w:r w:rsidR="00DF3CB4">
        <w:rPr>
          <w:rFonts w:eastAsia="MS Mincho"/>
        </w:rPr>
        <w:t xml:space="preserve">Iteration over the sequential framework enables dynamic simulation </w:t>
      </w:r>
      <w:r w:rsidR="00DF3CB4" w:rsidRPr="00C57D5F">
        <w:t>of intracellular metabolism and bioreactor conditions</w:t>
      </w:r>
      <w:r w:rsidR="00DF3CB4">
        <w:t>.</w:t>
      </w:r>
    </w:p>
    <w:p w14:paraId="1EB6461D" w14:textId="5CA10E7C" w:rsidR="00442646" w:rsidRPr="00442646" w:rsidRDefault="00151998" w:rsidP="00151998">
      <w:pPr>
        <w:pStyle w:val="Els-2ndorder-head"/>
        <w:numPr>
          <w:ilvl w:val="1"/>
          <w:numId w:val="19"/>
        </w:numPr>
      </w:pPr>
      <w:r>
        <w:t>Kineti</w:t>
      </w:r>
      <w:r w:rsidR="004B1D55">
        <w:t>cs</w:t>
      </w:r>
    </w:p>
    <w:p w14:paraId="2552F5B4" w14:textId="3DC2853E" w:rsidR="00665B67" w:rsidRPr="00665B67" w:rsidRDefault="002B024F" w:rsidP="007D6F86">
      <w:pPr>
        <w:ind w:firstLine="360"/>
        <w:jc w:val="both"/>
      </w:pPr>
      <w:r w:rsidRPr="002B024F">
        <w:t>The kinetic component describes the growth</w:t>
      </w:r>
      <w:r w:rsidR="00D543F9">
        <w:t xml:space="preserve">, death, </w:t>
      </w:r>
      <w:r w:rsidRPr="002B024F">
        <w:t xml:space="preserve">and </w:t>
      </w:r>
      <w:r w:rsidR="00D543F9">
        <w:t>nutrient consumption and metabolite production</w:t>
      </w:r>
      <w:r w:rsidR="00B87A15">
        <w:t xml:space="preserve"> </w:t>
      </w:r>
      <w:r w:rsidRPr="002B024F">
        <w:t>rates as a function of the</w:t>
      </w:r>
      <w:r w:rsidR="00B87A15">
        <w:t xml:space="preserve"> time-dependent extracellular concentrations</w:t>
      </w:r>
      <w:r w:rsidRPr="002B024F">
        <w:t xml:space="preserve"> </w:t>
      </w:r>
      <w:r w:rsidR="00B87A15">
        <w:t xml:space="preserve">in the </w:t>
      </w:r>
      <w:r w:rsidRPr="002B024F">
        <w:t>bioreactor</w:t>
      </w:r>
      <w:r w:rsidR="00B87A15">
        <w:t>. The rate equations are formulated according to</w:t>
      </w:r>
      <w:r w:rsidR="00B10421">
        <w:t xml:space="preserve"> </w:t>
      </w:r>
      <w:r w:rsidR="00B87A15">
        <w:t>semi-empirical Monod kinetics</w:t>
      </w:r>
      <w:r w:rsidR="00B10421">
        <w:t>,</w:t>
      </w:r>
      <w:r w:rsidR="00B87A15">
        <w:t xml:space="preserve"> </w:t>
      </w:r>
      <w:r w:rsidR="00B87A15" w:rsidRPr="002B024F">
        <w:t xml:space="preserve">which consider the </w:t>
      </w:r>
      <w:r w:rsidR="00B10421">
        <w:t xml:space="preserve">macroscopic </w:t>
      </w:r>
      <w:r w:rsidR="00B87A15" w:rsidRPr="002B024F">
        <w:t xml:space="preserve">importance of limiting substrates, and the biochemical relationships between nutrients, on cell growth and energetic functions to </w:t>
      </w:r>
      <w:r w:rsidR="00B10421">
        <w:t>yield</w:t>
      </w:r>
      <w:r w:rsidR="00B87A15" w:rsidRPr="002B024F">
        <w:t xml:space="preserve"> simple rate expressions.</w:t>
      </w:r>
      <w:r w:rsidR="00B10421">
        <w:t xml:space="preserve"> </w:t>
      </w:r>
      <w:r w:rsidRPr="002B024F">
        <w:t>As an example, the growth rate</w:t>
      </w:r>
      <w:r w:rsidR="00665B67">
        <w:t>, Eq. (1)</w:t>
      </w:r>
      <w:r w:rsidR="001B4A41">
        <w:t xml:space="preserve"> and Eq. (2)</w:t>
      </w:r>
      <w:r w:rsidR="00665B67">
        <w:t xml:space="preserve">, </w:t>
      </w:r>
      <w:r w:rsidRPr="002B024F">
        <w:t xml:space="preserve">was derived from the rules of multiple-substrate Monod </w:t>
      </w:r>
      <w:r w:rsidR="00665B67" w:rsidRPr="002B024F">
        <w:t>kinetics</w:t>
      </w:r>
      <w:r w:rsidR="00665B67">
        <w:t xml:space="preserve"> and</w:t>
      </w:r>
      <w:r w:rsidR="00CA343F">
        <w:t xml:space="preserve"> is a function of both limiting and inhibitory species</w:t>
      </w:r>
      <w:r w:rsidR="00665B67">
        <w:t>. Time-series metaboli</w:t>
      </w:r>
      <w:r w:rsidR="00464351">
        <w:t>te</w:t>
      </w:r>
      <w:r w:rsidR="00665B67">
        <w:t xml:space="preserve"> data from semi-perfusion cultures under intensified conditions was assessed </w:t>
      </w:r>
      <w:r w:rsidRPr="002B024F">
        <w:t>to determine the key species, and thereby the form of the kinetic terms, to derive the growth rate expression.</w:t>
      </w:r>
    </w:p>
    <w:p w14:paraId="1FF750F4" w14:textId="77777777" w:rsidR="00665B67" w:rsidRPr="00665B67" w:rsidRDefault="00665B67" w:rsidP="00665B67">
      <w:pPr>
        <w:ind w:firstLine="720"/>
        <w:jc w:val="both"/>
        <w:rPr>
          <w:sz w:val="12"/>
          <w:szCs w:val="12"/>
        </w:rPr>
      </w:pPr>
    </w:p>
    <w:tbl>
      <w:tblPr>
        <w:tblStyle w:val="TableGrid"/>
        <w:tblW w:w="7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450"/>
      </w:tblGrid>
      <w:tr w:rsidR="00C05A45" w:rsidRPr="002B024F" w14:paraId="26813A9D" w14:textId="77777777" w:rsidTr="001B4A41">
        <w:tc>
          <w:tcPr>
            <w:tcW w:w="6655" w:type="dxa"/>
          </w:tcPr>
          <w:p w14:paraId="44883060" w14:textId="433D9300" w:rsidR="00C05A45" w:rsidRPr="008B2566" w:rsidRDefault="00C05A45" w:rsidP="00C05A45">
            <w:pPr>
              <w:rPr>
                <w:rFonts w:ascii="Times New Roman" w:hAnsi="Times New Roman" w:cs="Times New Roman"/>
                <w:sz w:val="20"/>
                <w:szCs w:val="20"/>
              </w:rPr>
            </w:pPr>
            <m:oMathPara>
              <m:oMathParaPr>
                <m:jc m:val="left"/>
              </m:oMathParaPr>
              <m:oMath>
                <m:r>
                  <w:rPr>
                    <w:rFonts w:ascii="Cambria Math" w:hAnsi="Cambria Math" w:cs="Times New Roman"/>
                    <w:sz w:val="18"/>
                    <w:szCs w:val="18"/>
                  </w:rPr>
                  <m:t>μ=</m:t>
                </m:r>
                <m:sSub>
                  <m:sSubPr>
                    <m:ctrlPr>
                      <w:rPr>
                        <w:rFonts w:ascii="Cambria Math" w:hAnsi="Cambria Math" w:cs="Times New Roman"/>
                        <w:i/>
                        <w:iCs/>
                        <w:sz w:val="18"/>
                        <w:szCs w:val="18"/>
                      </w:rPr>
                    </m:ctrlPr>
                  </m:sSubPr>
                  <m:e>
                    <m:r>
                      <w:rPr>
                        <w:rFonts w:ascii="Cambria Math" w:hAnsi="Cambria Math" w:cs="Times New Roman"/>
                        <w:sz w:val="18"/>
                        <w:szCs w:val="18"/>
                      </w:rPr>
                      <m:t>μ</m:t>
                    </m:r>
                  </m:e>
                  <m:sub>
                    <m:r>
                      <w:rPr>
                        <w:rFonts w:ascii="Cambria Math" w:hAnsi="Cambria Math" w:cs="Times New Roman"/>
                        <w:sz w:val="18"/>
                        <w:szCs w:val="18"/>
                      </w:rPr>
                      <m:t>max</m:t>
                    </m:r>
                  </m:sub>
                </m:sSub>
                <m:d>
                  <m:dPr>
                    <m:ctrlPr>
                      <w:rPr>
                        <w:rFonts w:ascii="Cambria Math" w:hAnsi="Cambria Math" w:cs="Times New Roman"/>
                        <w:i/>
                        <w:iCs/>
                        <w:sz w:val="18"/>
                        <w:szCs w:val="18"/>
                      </w:rPr>
                    </m:ctrlPr>
                  </m:dPr>
                  <m:e>
                    <m:sSub>
                      <m:sSubPr>
                        <m:ctrlPr>
                          <w:rPr>
                            <w:rFonts w:ascii="Cambria Math" w:hAnsi="Cambria Math" w:cs="Times New Roman"/>
                            <w:i/>
                            <w:iCs/>
                            <w:sz w:val="18"/>
                            <w:szCs w:val="18"/>
                          </w:rPr>
                        </m:ctrlPr>
                      </m:sSubPr>
                      <m:e>
                        <m:r>
                          <w:rPr>
                            <w:rFonts w:ascii="Cambria Math" w:hAnsi="Cambria Math" w:cs="Times New Roman"/>
                            <w:sz w:val="18"/>
                            <w:szCs w:val="18"/>
                          </w:rPr>
                          <m:t>μ</m:t>
                        </m:r>
                      </m:e>
                      <m:sub>
                        <m:r>
                          <w:rPr>
                            <w:rFonts w:ascii="Cambria Math" w:hAnsi="Cambria Math" w:cs="Times New Roman"/>
                            <w:sz w:val="18"/>
                            <w:szCs w:val="18"/>
                          </w:rPr>
                          <m:t>Glc</m:t>
                        </m:r>
                      </m:sub>
                    </m:sSub>
                    <m:r>
                      <m:rPr>
                        <m:sty m:val="p"/>
                      </m:rPr>
                      <w:rPr>
                        <w:rFonts w:ascii="Cambria Math" w:hAnsi="Cambria Math" w:cs="Times New Roman"/>
                        <w:sz w:val="18"/>
                        <w:szCs w:val="18"/>
                      </w:rPr>
                      <m:t>+</m:t>
                    </m:r>
                    <m:sSub>
                      <m:sSubPr>
                        <m:ctrlPr>
                          <w:rPr>
                            <w:rFonts w:ascii="Cambria Math" w:hAnsi="Cambria Math" w:cs="Times New Roman"/>
                            <w:i/>
                            <w:iCs/>
                            <w:sz w:val="18"/>
                            <w:szCs w:val="18"/>
                          </w:rPr>
                        </m:ctrlPr>
                      </m:sSubPr>
                      <m:e>
                        <m:r>
                          <w:rPr>
                            <w:rFonts w:ascii="Cambria Math" w:hAnsi="Cambria Math" w:cs="Times New Roman"/>
                            <w:sz w:val="18"/>
                            <w:szCs w:val="18"/>
                          </w:rPr>
                          <m:t>μ</m:t>
                        </m:r>
                      </m:e>
                      <m:sub>
                        <m:r>
                          <w:rPr>
                            <w:rFonts w:ascii="Cambria Math" w:hAnsi="Cambria Math" w:cs="Times New Roman"/>
                            <w:sz w:val="18"/>
                            <w:szCs w:val="18"/>
                          </w:rPr>
                          <m:t>Lac</m:t>
                        </m:r>
                      </m:sub>
                    </m:sSub>
                  </m:e>
                </m:d>
                <m:r>
                  <w:rPr>
                    <w:rFonts w:ascii="Cambria Math" w:hAnsi="Cambria Math" w:cs="Times New Roman"/>
                    <w:sz w:val="18"/>
                    <w:szCs w:val="18"/>
                  </w:rPr>
                  <m:t> </m:t>
                </m:r>
                <m:d>
                  <m:dPr>
                    <m:ctrlPr>
                      <w:rPr>
                        <w:rFonts w:ascii="Cambria Math" w:hAnsi="Cambria Math"/>
                        <w:i/>
                        <w:sz w:val="20"/>
                        <w:szCs w:val="20"/>
                      </w:rPr>
                    </m:ctrlPr>
                  </m:dPr>
                  <m:e>
                    <m:sSub>
                      <m:sSubPr>
                        <m:ctrlPr>
                          <w:rPr>
                            <w:rFonts w:ascii="Cambria Math" w:hAnsi="Cambria Math" w:cs="Times New Roman"/>
                            <w:i/>
                            <w:iCs/>
                            <w:sz w:val="18"/>
                            <w:szCs w:val="18"/>
                          </w:rPr>
                        </m:ctrlPr>
                      </m:sSubPr>
                      <m:e>
                        <m:r>
                          <w:rPr>
                            <w:rFonts w:ascii="Cambria Math" w:hAnsi="Cambria Math" w:cs="Times New Roman"/>
                            <w:sz w:val="18"/>
                            <w:szCs w:val="18"/>
                          </w:rPr>
                          <m:t>μ</m:t>
                        </m:r>
                      </m:e>
                      <m:sub>
                        <m:r>
                          <w:rPr>
                            <w:rFonts w:ascii="Cambria Math" w:hAnsi="Cambria Math" w:cs="Times New Roman"/>
                            <w:sz w:val="18"/>
                            <w:szCs w:val="18"/>
                          </w:rPr>
                          <m:t>Asn</m:t>
                        </m:r>
                      </m:sub>
                    </m:sSub>
                    <m:r>
                      <m:rPr>
                        <m:sty m:val="p"/>
                      </m:rPr>
                      <w:rPr>
                        <w:rFonts w:ascii="Cambria Math" w:hAnsi="Cambria Math" w:cs="Times New Roman"/>
                        <w:sz w:val="18"/>
                        <w:szCs w:val="18"/>
                      </w:rPr>
                      <m:t>+</m:t>
                    </m:r>
                    <m:sSub>
                      <m:sSubPr>
                        <m:ctrlPr>
                          <w:rPr>
                            <w:rFonts w:ascii="Cambria Math" w:hAnsi="Cambria Math" w:cs="Times New Roman"/>
                            <w:i/>
                            <w:iCs/>
                            <w:sz w:val="18"/>
                            <w:szCs w:val="18"/>
                          </w:rPr>
                        </m:ctrlPr>
                      </m:sSubPr>
                      <m:e>
                        <m:r>
                          <w:rPr>
                            <w:rFonts w:ascii="Cambria Math" w:hAnsi="Cambria Math" w:cs="Times New Roman"/>
                            <w:sz w:val="18"/>
                            <w:szCs w:val="18"/>
                          </w:rPr>
                          <m:t>μ</m:t>
                        </m:r>
                      </m:e>
                      <m:sub>
                        <m:r>
                          <w:rPr>
                            <w:rFonts w:ascii="Cambria Math" w:hAnsi="Cambria Math" w:cs="Times New Roman"/>
                            <w:sz w:val="18"/>
                            <w:szCs w:val="18"/>
                          </w:rPr>
                          <m:t>Asp</m:t>
                        </m:r>
                      </m:sub>
                    </m:sSub>
                  </m:e>
                </m:d>
                <m:d>
                  <m:dPr>
                    <m:ctrlPr>
                      <w:rPr>
                        <w:rFonts w:ascii="Cambria Math" w:hAnsi="Cambria Math"/>
                        <w:i/>
                        <w:sz w:val="20"/>
                        <w:szCs w:val="20"/>
                      </w:rPr>
                    </m:ctrlPr>
                  </m:dPr>
                  <m:e>
                    <m:sSub>
                      <m:sSubPr>
                        <m:ctrlPr>
                          <w:rPr>
                            <w:rFonts w:ascii="Cambria Math" w:hAnsi="Cambria Math" w:cs="Times New Roman"/>
                            <w:i/>
                            <w:iCs/>
                            <w:sz w:val="18"/>
                            <w:szCs w:val="18"/>
                          </w:rPr>
                        </m:ctrlPr>
                      </m:sSubPr>
                      <m:e>
                        <m:r>
                          <w:rPr>
                            <w:rFonts w:ascii="Cambria Math" w:hAnsi="Cambria Math" w:cs="Times New Roman"/>
                            <w:sz w:val="18"/>
                            <w:szCs w:val="18"/>
                          </w:rPr>
                          <m:t>μ</m:t>
                        </m:r>
                      </m:e>
                      <m:sub>
                        <m:r>
                          <w:rPr>
                            <w:rFonts w:ascii="Cambria Math" w:hAnsi="Cambria Math" w:cs="Times New Roman"/>
                            <w:sz w:val="18"/>
                            <w:szCs w:val="18"/>
                          </w:rPr>
                          <m:t>Gln</m:t>
                        </m:r>
                      </m:sub>
                    </m:sSub>
                    <m:r>
                      <m:rPr>
                        <m:sty m:val="p"/>
                      </m:rPr>
                      <w:rPr>
                        <w:rFonts w:ascii="Cambria Math" w:hAnsi="Cambria Math" w:cs="Times New Roman"/>
                        <w:sz w:val="18"/>
                        <w:szCs w:val="18"/>
                      </w:rPr>
                      <m:t>+</m:t>
                    </m:r>
                    <m:sSub>
                      <m:sSubPr>
                        <m:ctrlPr>
                          <w:rPr>
                            <w:rFonts w:ascii="Cambria Math" w:hAnsi="Cambria Math" w:cs="Times New Roman"/>
                            <w:i/>
                            <w:iCs/>
                            <w:sz w:val="18"/>
                            <w:szCs w:val="18"/>
                          </w:rPr>
                        </m:ctrlPr>
                      </m:sSubPr>
                      <m:e>
                        <m:r>
                          <w:rPr>
                            <w:rFonts w:ascii="Cambria Math" w:hAnsi="Cambria Math" w:cs="Times New Roman"/>
                            <w:sz w:val="18"/>
                            <w:szCs w:val="18"/>
                          </w:rPr>
                          <m:t>μ</m:t>
                        </m:r>
                      </m:e>
                      <m:sub>
                        <m:r>
                          <w:rPr>
                            <w:rFonts w:ascii="Cambria Math" w:hAnsi="Cambria Math" w:cs="Times New Roman"/>
                            <w:sz w:val="18"/>
                            <w:szCs w:val="18"/>
                          </w:rPr>
                          <m:t>Glu</m:t>
                        </m:r>
                      </m:sub>
                    </m:sSub>
                  </m:e>
                </m:d>
                <m:sSub>
                  <m:sSubPr>
                    <m:ctrlPr>
                      <w:rPr>
                        <w:rFonts w:ascii="Cambria Math" w:hAnsi="Cambria Math"/>
                        <w:i/>
                        <w:sz w:val="20"/>
                        <w:szCs w:val="20"/>
                      </w:rPr>
                    </m:ctrlPr>
                  </m:sSubPr>
                  <m:e>
                    <m:r>
                      <w:rPr>
                        <w:rFonts w:ascii="Cambria Math" w:hAnsi="Cambria Math" w:cs="Times New Roman"/>
                        <w:sz w:val="18"/>
                        <w:szCs w:val="18"/>
                      </w:rPr>
                      <m:t>μ</m:t>
                    </m:r>
                  </m:e>
                  <m:sub>
                    <m:r>
                      <w:rPr>
                        <w:rFonts w:ascii="Cambria Math" w:hAnsi="Cambria Math" w:cs="Times New Roman"/>
                        <w:sz w:val="18"/>
                        <w:szCs w:val="18"/>
                      </w:rPr>
                      <m:t>Ser</m:t>
                    </m:r>
                  </m:sub>
                </m:sSub>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Arg</m:t>
                    </m:r>
                  </m:sub>
                </m:sSub>
                <m:sSub>
                  <m:sSubPr>
                    <m:ctrlPr>
                      <w:rPr>
                        <w:rFonts w:ascii="Cambria Math" w:hAnsi="Cambria Math" w:cs="Times New Roman"/>
                        <w:i/>
                        <w:iCs/>
                        <w:sz w:val="18"/>
                        <w:szCs w:val="18"/>
                      </w:rPr>
                    </m:ctrlPr>
                  </m:sSubPr>
                  <m:e>
                    <m:r>
                      <w:rPr>
                        <w:rFonts w:ascii="Cambria Math" w:hAnsi="Cambria Math" w:cs="Times New Roman"/>
                        <w:sz w:val="18"/>
                        <w:szCs w:val="18"/>
                      </w:rPr>
                      <m:t>μ</m:t>
                    </m:r>
                  </m:e>
                  <m:sub>
                    <m:r>
                      <w:rPr>
                        <w:rFonts w:ascii="Cambria Math" w:hAnsi="Cambria Math" w:cs="Times New Roman"/>
                        <w:sz w:val="18"/>
                        <w:szCs w:val="18"/>
                      </w:rPr>
                      <m:t>Amm,I</m:t>
                    </m:r>
                  </m:sub>
                </m:sSub>
              </m:oMath>
            </m:oMathPara>
          </w:p>
        </w:tc>
        <w:tc>
          <w:tcPr>
            <w:tcW w:w="450" w:type="dxa"/>
          </w:tcPr>
          <w:p w14:paraId="37B499E8" w14:textId="77777777" w:rsidR="00C05A45" w:rsidRPr="002B024F" w:rsidRDefault="00C05A45" w:rsidP="00A22120">
            <w:pPr>
              <w:jc w:val="right"/>
              <w:rPr>
                <w:rFonts w:ascii="Times New Roman" w:hAnsi="Times New Roman" w:cs="Times New Roman"/>
                <w:sz w:val="20"/>
                <w:szCs w:val="20"/>
              </w:rPr>
            </w:pPr>
            <w:r w:rsidRPr="002B024F">
              <w:rPr>
                <w:rFonts w:ascii="Times New Roman" w:hAnsi="Times New Roman" w:cs="Times New Roman"/>
                <w:sz w:val="20"/>
                <w:szCs w:val="20"/>
              </w:rPr>
              <w:t>(1)</w:t>
            </w:r>
          </w:p>
        </w:tc>
      </w:tr>
      <w:tr w:rsidR="001B4A41" w:rsidRPr="002B024F" w14:paraId="5F02A363" w14:textId="77777777" w:rsidTr="001B4A41">
        <w:tc>
          <w:tcPr>
            <w:tcW w:w="6655" w:type="dxa"/>
          </w:tcPr>
          <w:p w14:paraId="7073571D" w14:textId="3A412D12" w:rsidR="001B4A41" w:rsidRPr="00665B67" w:rsidRDefault="00000000" w:rsidP="00C05A45">
            <w:pPr>
              <w:rPr>
                <w:sz w:val="18"/>
                <w:szCs w:val="18"/>
              </w:rPr>
            </w:pP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i</m:t>
                  </m:r>
                </m:sub>
              </m:sSub>
              <m:r>
                <w:rPr>
                  <w:rFonts w:ascii="Cambria Math" w:hAnsi="Cambria Math"/>
                  <w:sz w:val="18"/>
                  <w:szCs w:val="18"/>
                </w:rPr>
                <m:t xml:space="preserve">= </m:t>
              </m:r>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μ</m:t>
                      </m:r>
                    </m:e>
                    <m:sub>
                      <m:r>
                        <w:rPr>
                          <w:rFonts w:ascii="Cambria Math" w:hAnsi="Cambria Math" w:cs="Times New Roman"/>
                          <w:sz w:val="20"/>
                          <w:szCs w:val="20"/>
                        </w:rPr>
                        <m:t>max,i</m:t>
                      </m:r>
                    </m:sub>
                  </m:sSub>
                  <m:d>
                    <m:dPr>
                      <m:begChr m:val="["/>
                      <m:endChr m:val="]"/>
                      <m:ctrlPr>
                        <w:rPr>
                          <w:rFonts w:ascii="Cambria Math" w:hAnsi="Cambria Math" w:cs="Times New Roman"/>
                          <w:i/>
                          <w:iCs/>
                          <w:sz w:val="20"/>
                          <w:szCs w:val="20"/>
                        </w:rPr>
                      </m:ctrlPr>
                    </m:dPr>
                    <m:e>
                      <m:r>
                        <w:rPr>
                          <w:rFonts w:ascii="Cambria Math" w:hAnsi="Cambria Math" w:cs="Times New Roman"/>
                          <w:sz w:val="20"/>
                          <w:szCs w:val="20"/>
                        </w:rPr>
                        <m:t>i</m:t>
                      </m:r>
                    </m:e>
                  </m:d>
                </m:num>
                <m:den>
                  <m:sSub>
                    <m:sSubPr>
                      <m:ctrlPr>
                        <w:rPr>
                          <w:rFonts w:ascii="Cambria Math" w:hAnsi="Cambria Math" w:cs="Times New Roman"/>
                          <w:i/>
                          <w:iCs/>
                          <w:sz w:val="20"/>
                          <w:szCs w:val="20"/>
                        </w:rPr>
                      </m:ctrlPr>
                    </m:sSubPr>
                    <m:e>
                      <m:r>
                        <w:rPr>
                          <w:rFonts w:ascii="Cambria Math" w:hAnsi="Cambria Math" w:cs="Times New Roman"/>
                          <w:sz w:val="20"/>
                          <w:szCs w:val="20"/>
                        </w:rPr>
                        <m:t>K</m:t>
                      </m:r>
                    </m:e>
                    <m:sub>
                      <m:r>
                        <w:rPr>
                          <w:rFonts w:ascii="Cambria Math" w:hAnsi="Cambria Math" w:cs="Times New Roman"/>
                          <w:sz w:val="20"/>
                          <w:szCs w:val="20"/>
                        </w:rPr>
                        <m:t>i</m:t>
                      </m:r>
                    </m:sub>
                  </m:sSub>
                  <m:r>
                    <w:rPr>
                      <w:rFonts w:ascii="Cambria Math" w:hAnsi="Cambria Math" w:cs="Times New Roman"/>
                      <w:sz w:val="20"/>
                      <w:szCs w:val="20"/>
                    </w:rPr>
                    <m:t>+</m:t>
                  </m:r>
                  <m:d>
                    <m:dPr>
                      <m:begChr m:val="["/>
                      <m:endChr m:val="]"/>
                      <m:ctrlPr>
                        <w:rPr>
                          <w:rFonts w:ascii="Cambria Math" w:hAnsi="Cambria Math" w:cs="Times New Roman"/>
                          <w:i/>
                          <w:iCs/>
                          <w:sz w:val="20"/>
                          <w:szCs w:val="20"/>
                        </w:rPr>
                      </m:ctrlPr>
                    </m:dPr>
                    <m:e>
                      <m:r>
                        <w:rPr>
                          <w:rFonts w:ascii="Cambria Math" w:hAnsi="Cambria Math" w:cs="Times New Roman"/>
                          <w:sz w:val="20"/>
                          <w:szCs w:val="20"/>
                        </w:rPr>
                        <m:t>i</m:t>
                      </m:r>
                    </m:e>
                  </m:d>
                </m:den>
              </m:f>
            </m:oMath>
            <w:r w:rsidR="001B4A41">
              <w:rPr>
                <w:iCs/>
                <w:sz w:val="20"/>
                <w:szCs w:val="20"/>
              </w:rPr>
              <w:t xml:space="preserve"> </w:t>
            </w:r>
          </w:p>
        </w:tc>
        <w:tc>
          <w:tcPr>
            <w:tcW w:w="450" w:type="dxa"/>
          </w:tcPr>
          <w:p w14:paraId="13E1F863" w14:textId="3738E1EC" w:rsidR="001B4A41" w:rsidRPr="001B4A41" w:rsidRDefault="001B4A41" w:rsidP="00A22120">
            <w:pPr>
              <w:jc w:val="right"/>
              <w:rPr>
                <w:rFonts w:ascii="Times New Roman" w:hAnsi="Times New Roman" w:cs="Times New Roman"/>
              </w:rPr>
            </w:pPr>
            <w:r w:rsidRPr="001B4A41">
              <w:rPr>
                <w:rFonts w:ascii="Times New Roman" w:hAnsi="Times New Roman" w:cs="Times New Roman"/>
                <w:sz w:val="20"/>
                <w:szCs w:val="20"/>
              </w:rPr>
              <w:t>(2)</w:t>
            </w:r>
          </w:p>
        </w:tc>
      </w:tr>
    </w:tbl>
    <w:p w14:paraId="034BFE5A" w14:textId="77777777" w:rsidR="001B4A41" w:rsidRDefault="001B4A41" w:rsidP="002B024F">
      <w:pPr>
        <w:jc w:val="both"/>
        <w:rPr>
          <w:sz w:val="12"/>
          <w:szCs w:val="12"/>
        </w:rPr>
      </w:pPr>
    </w:p>
    <w:p w14:paraId="6AB1FD23" w14:textId="448A09B1" w:rsidR="00151998" w:rsidRPr="001A361A" w:rsidRDefault="00665B67" w:rsidP="002B024F">
      <w:pPr>
        <w:jc w:val="both"/>
      </w:pPr>
      <w:r>
        <w:t xml:space="preserve">The biochemical relationship between </w:t>
      </w:r>
      <w:r w:rsidR="008B2566">
        <w:t xml:space="preserve">nutrients, such as glutamine and glutamic acid, </w:t>
      </w:r>
      <w:r w:rsidR="00CF74D0">
        <w:t>and their ability to</w:t>
      </w:r>
      <w:r w:rsidR="008B2566">
        <w:t xml:space="preserve"> </w:t>
      </w:r>
      <w:r w:rsidR="00464351">
        <w:t>induce</w:t>
      </w:r>
      <w:r w:rsidR="008B2566">
        <w:t xml:space="preserve"> diauxic growth</w:t>
      </w:r>
      <w:r w:rsidR="00AD6924">
        <w:t>,</w:t>
      </w:r>
      <w:r w:rsidR="001B4A41">
        <w:t xml:space="preserve"> </w:t>
      </w:r>
      <w:r w:rsidR="008B2566">
        <w:t xml:space="preserve">was also considered in the </w:t>
      </w:r>
      <w:r w:rsidR="00442646">
        <w:t xml:space="preserve">overall </w:t>
      </w:r>
      <w:r w:rsidR="008B2566">
        <w:t xml:space="preserve">growth rate </w:t>
      </w:r>
      <w:r w:rsidR="00CF74D0">
        <w:t xml:space="preserve">formulation yet omitted here for brevity. </w:t>
      </w:r>
      <w:r w:rsidR="002B024F" w:rsidRPr="002B024F">
        <w:t xml:space="preserve">In </w:t>
      </w:r>
      <w:r w:rsidR="00464351">
        <w:t>Eq.</w:t>
      </w:r>
      <w:r w:rsidR="00887A8D">
        <w:t xml:space="preserve"> (1) and (2</w:t>
      </w:r>
      <w:r w:rsidR="00464351">
        <w:t>)</w:t>
      </w:r>
      <w:r w:rsidR="002B024F" w:rsidRPr="002B024F">
        <w:t>,</w:t>
      </w:r>
      <w:r w:rsidR="00464351">
        <w:t xml:space="preserve"> </w:t>
      </w:r>
      <m:oMath>
        <m:r>
          <w:rPr>
            <w:rFonts w:ascii="Cambria Math" w:hAnsi="Cambria Math"/>
          </w:rPr>
          <m:t>μ</m:t>
        </m:r>
      </m:oMath>
      <w:r w:rsidR="002B024F" w:rsidRPr="002B024F">
        <w:t xml:space="preserve"> is the overall specific growth rate, </w:t>
      </w:r>
      <m:oMath>
        <m:sSub>
          <m:sSubPr>
            <m:ctrlPr>
              <w:rPr>
                <w:rFonts w:ascii="Cambria Math" w:hAnsi="Cambria Math"/>
                <w:i/>
              </w:rPr>
            </m:ctrlPr>
          </m:sSubPr>
          <m:e>
            <m:r>
              <w:rPr>
                <w:rFonts w:ascii="Cambria Math" w:hAnsi="Cambria Math"/>
              </w:rPr>
              <m:t>u</m:t>
            </m:r>
          </m:e>
          <m:sub>
            <m:r>
              <w:rPr>
                <w:rFonts w:ascii="Cambria Math" w:hAnsi="Cambria Math"/>
              </w:rPr>
              <m:t>max,i</m:t>
            </m:r>
          </m:sub>
        </m:sSub>
      </m:oMath>
      <w:r w:rsidR="002B024F" w:rsidRPr="002B024F">
        <w:t xml:space="preserve"> is the maximum growth rate on species </w:t>
      </w:r>
      <m:oMath>
        <m:r>
          <w:rPr>
            <w:rFonts w:ascii="Cambria Math" w:hAnsi="Cambria Math"/>
          </w:rPr>
          <m:t>i</m:t>
        </m:r>
      </m:oMath>
      <w:r w:rsidR="002B024F" w:rsidRPr="002B024F">
        <w:t xml:space="preserve">, </w:t>
      </w:r>
      <m:oMath>
        <m:sSub>
          <m:sSubPr>
            <m:ctrlPr>
              <w:rPr>
                <w:rFonts w:ascii="Cambria Math" w:hAnsi="Cambria Math"/>
                <w:i/>
              </w:rPr>
            </m:ctrlPr>
          </m:sSubPr>
          <m:e>
            <m:r>
              <w:rPr>
                <w:rFonts w:ascii="Cambria Math" w:hAnsi="Cambria Math"/>
              </w:rPr>
              <m:t>K</m:t>
            </m:r>
          </m:e>
          <m:sub>
            <m:r>
              <w:rPr>
                <w:rFonts w:ascii="Cambria Math" w:hAnsi="Cambria Math"/>
              </w:rPr>
              <m:t>i</m:t>
            </m:r>
          </m:sub>
        </m:sSub>
      </m:oMath>
      <w:r w:rsidR="002B024F" w:rsidRPr="002B024F">
        <w:t xml:space="preserve"> is the Monod constant for species </w:t>
      </w:r>
      <m:oMath>
        <m:r>
          <w:rPr>
            <w:rFonts w:ascii="Cambria Math" w:hAnsi="Cambria Math"/>
          </w:rPr>
          <m:t xml:space="preserve">i </m:t>
        </m:r>
      </m:oMath>
      <w:r w:rsidR="002B024F" w:rsidRPr="002B024F">
        <w:t xml:space="preserve">which physically represents the concentration of species </w:t>
      </w:r>
      <m:oMath>
        <m:r>
          <w:rPr>
            <w:rFonts w:ascii="Cambria Math" w:hAnsi="Cambria Math"/>
          </w:rPr>
          <m:t xml:space="preserve">i </m:t>
        </m:r>
      </m:oMath>
      <w:r w:rsidR="002B024F" w:rsidRPr="002B024F">
        <w:t xml:space="preserve">that will sustain half of the maximum growth rate on that substrate. Lastly, </w:t>
      </w:r>
      <m:oMath>
        <m:r>
          <w:rPr>
            <w:rFonts w:ascii="Cambria Math" w:hAnsi="Cambria Math"/>
          </w:rPr>
          <m:t>[i]</m:t>
        </m:r>
      </m:oMath>
      <w:r w:rsidR="002B024F" w:rsidRPr="002B024F">
        <w:t xml:space="preserve"> is the extracellular concentration of species </w:t>
      </w:r>
      <m:oMath>
        <m:r>
          <w:rPr>
            <w:rFonts w:ascii="Cambria Math" w:hAnsi="Cambria Math"/>
          </w:rPr>
          <m:t>i</m:t>
        </m:r>
      </m:oMath>
      <w:r w:rsidR="002B024F" w:rsidRPr="002B024F">
        <w:t xml:space="preserve"> in the bioreactor. </w:t>
      </w:r>
      <w:r w:rsidR="00442646">
        <w:t xml:space="preserve">The death rate is formulated in a similar manner. </w:t>
      </w:r>
      <w:r w:rsidR="002B024F" w:rsidRPr="002B024F">
        <w:t>As a</w:t>
      </w:r>
      <w:r w:rsidR="00B3691D">
        <w:t>n additional</w:t>
      </w:r>
      <w:r w:rsidR="002B024F" w:rsidRPr="002B024F">
        <w:t xml:space="preserve"> example, the rate</w:t>
      </w:r>
      <w:r w:rsidR="009B1CB9">
        <w:t>s</w:t>
      </w:r>
      <w:r w:rsidR="002B024F" w:rsidRPr="002B024F">
        <w:t xml:space="preserve"> for essential amino acid consumption are assumed to be proportional to the growth rate</w:t>
      </w:r>
      <w:r w:rsidR="005B4B02">
        <w:t>, implying that</w:t>
      </w:r>
      <w:r w:rsidR="002B024F" w:rsidRPr="002B024F">
        <w:t xml:space="preserve"> cells will only consume the minimal amount of an essential amino acid necessary to sustain metabolic functions</w:t>
      </w:r>
      <w:r w:rsidR="008B2566">
        <w:t xml:space="preserve"> </w:t>
      </w:r>
      <w:r w:rsidR="008B2566" w:rsidRPr="007772B4">
        <w:t>(</w:t>
      </w:r>
      <w:r w:rsidR="007772B4" w:rsidRPr="007772B4">
        <w:t>Chen et al., 2019</w:t>
      </w:r>
      <w:r w:rsidR="008B2566" w:rsidRPr="007772B4">
        <w:t>)</w:t>
      </w:r>
      <w:r w:rsidR="001A361A" w:rsidRPr="007772B4">
        <w:t>.</w:t>
      </w:r>
      <w:r w:rsidR="001A361A">
        <w:rPr>
          <w:b/>
          <w:bCs/>
        </w:rPr>
        <w:t xml:space="preserve"> </w:t>
      </w:r>
      <w:r w:rsidR="001A361A">
        <w:t>25 rate expressions were de</w:t>
      </w:r>
      <w:r w:rsidR="00517034">
        <w:t>rived</w:t>
      </w:r>
      <w:r w:rsidR="001A361A">
        <w:t xml:space="preserve"> </w:t>
      </w:r>
      <w:r w:rsidR="00CE5330">
        <w:t>to encompass</w:t>
      </w:r>
      <w:r w:rsidR="001A361A">
        <w:t xml:space="preserve"> the growth, death, and exchange rates of 23 metabolites, yielding a set of 66 kinetic parameters.</w:t>
      </w:r>
    </w:p>
    <w:p w14:paraId="12AAA0CB" w14:textId="1D5A5C7D" w:rsidR="00151998" w:rsidRPr="00442646" w:rsidRDefault="004B1D55" w:rsidP="00151998">
      <w:pPr>
        <w:pStyle w:val="Els-2ndorder-head"/>
        <w:numPr>
          <w:ilvl w:val="1"/>
          <w:numId w:val="19"/>
        </w:numPr>
      </w:pPr>
      <w:r>
        <w:t>Reduced Metabolic Network</w:t>
      </w:r>
    </w:p>
    <w:p w14:paraId="30641629" w14:textId="6BA04361" w:rsidR="00A301A1" w:rsidRDefault="002B024F" w:rsidP="007D6F86">
      <w:pPr>
        <w:ind w:firstLine="360"/>
        <w:jc w:val="both"/>
        <w:rPr>
          <w:rFonts w:eastAsia="MS Mincho"/>
        </w:rPr>
      </w:pPr>
      <w:r w:rsidRPr="002B024F">
        <w:t>The stoichiometric component</w:t>
      </w:r>
      <w:r w:rsidR="00CB70F2">
        <w:t xml:space="preserve"> </w:t>
      </w:r>
      <w:r w:rsidRPr="002B024F">
        <w:t xml:space="preserve">is a network of </w:t>
      </w:r>
      <w:r w:rsidR="00591D12">
        <w:t>70</w:t>
      </w:r>
      <w:r w:rsidRPr="002B024F">
        <w:t xml:space="preserve"> biochemical reactions and 4</w:t>
      </w:r>
      <w:r w:rsidR="00B10421">
        <w:t>3</w:t>
      </w:r>
      <w:r w:rsidRPr="002B024F">
        <w:t xml:space="preserve"> metabolites representing the </w:t>
      </w:r>
      <w:r w:rsidR="00B10421">
        <w:t>key</w:t>
      </w:r>
      <w:r w:rsidRPr="002B024F">
        <w:t xml:space="preserve"> metabolic pathways in CHO cells.</w:t>
      </w:r>
      <w:r w:rsidR="00CB70F2">
        <w:t xml:space="preserve"> </w:t>
      </w:r>
      <w:r w:rsidR="00CB70F2" w:rsidRPr="002B024F">
        <w:rPr>
          <w:rFonts w:eastAsia="MS Mincho"/>
        </w:rPr>
        <w:t>The network was manually curated for prior fed-batch modeling work</w:t>
      </w:r>
      <w:r w:rsidR="00A40E1E">
        <w:t xml:space="preserve"> and includes the pathways for </w:t>
      </w:r>
      <w:r w:rsidRPr="002B024F">
        <w:rPr>
          <w:rFonts w:eastAsia="MS Mincho"/>
        </w:rPr>
        <w:t xml:space="preserve">glycolysis, the TCA cycle, </w:t>
      </w:r>
      <w:r w:rsidR="00C57D5F">
        <w:rPr>
          <w:rFonts w:eastAsia="MS Mincho"/>
        </w:rPr>
        <w:t>essential and nonessential amino acid metabolism</w:t>
      </w:r>
      <w:r w:rsidRPr="002B024F">
        <w:rPr>
          <w:rFonts w:eastAsia="MS Mincho"/>
        </w:rPr>
        <w:t>, oxidative phosphorylation, the urea cycle, and biomass and antibody synthesis</w:t>
      </w:r>
      <w:r w:rsidR="00B10421">
        <w:rPr>
          <w:rFonts w:eastAsia="MS Mincho"/>
        </w:rPr>
        <w:t>.</w:t>
      </w:r>
      <w:r w:rsidR="00CB70F2">
        <w:rPr>
          <w:rFonts w:eastAsia="MS Mincho"/>
        </w:rPr>
        <w:t xml:space="preserve"> </w:t>
      </w:r>
      <w:r w:rsidR="00151998">
        <w:rPr>
          <w:rFonts w:eastAsia="MS Mincho"/>
        </w:rPr>
        <w:t>Reactions for t</w:t>
      </w:r>
      <w:r w:rsidR="008B2566">
        <w:rPr>
          <w:rFonts w:eastAsia="MS Mincho"/>
        </w:rPr>
        <w:t>otal carbohydrate</w:t>
      </w:r>
      <w:r w:rsidR="00151998">
        <w:rPr>
          <w:rFonts w:eastAsia="MS Mincho"/>
        </w:rPr>
        <w:t xml:space="preserve"> metabolism</w:t>
      </w:r>
      <w:r w:rsidR="008B2566">
        <w:rPr>
          <w:rFonts w:eastAsia="MS Mincho"/>
        </w:rPr>
        <w:t>, nucleotide synthesis,</w:t>
      </w:r>
      <w:r w:rsidR="00151998">
        <w:rPr>
          <w:rFonts w:eastAsia="MS Mincho"/>
        </w:rPr>
        <w:t xml:space="preserve"> and</w:t>
      </w:r>
      <w:r w:rsidR="008B2566">
        <w:rPr>
          <w:rFonts w:eastAsia="MS Mincho"/>
        </w:rPr>
        <w:t xml:space="preserve"> lipid synthesis were lumped into the biomass synthesis reaction</w:t>
      </w:r>
      <w:r w:rsidR="00151998">
        <w:rPr>
          <w:rFonts w:eastAsia="MS Mincho"/>
        </w:rPr>
        <w:t xml:space="preserve"> to reduce the network size. </w:t>
      </w:r>
      <w:r w:rsidR="00442646">
        <w:rPr>
          <w:rFonts w:eastAsia="MS Mincho"/>
        </w:rPr>
        <w:t xml:space="preserve">The stoichiometric coefficients for the </w:t>
      </w:r>
      <w:r w:rsidR="008B2566">
        <w:rPr>
          <w:rFonts w:eastAsia="MS Mincho"/>
        </w:rPr>
        <w:t xml:space="preserve">mAb synthesis reaction </w:t>
      </w:r>
      <w:r w:rsidR="00442646">
        <w:rPr>
          <w:rFonts w:eastAsia="MS Mincho"/>
        </w:rPr>
        <w:t xml:space="preserve">were </w:t>
      </w:r>
      <w:r w:rsidR="00151998">
        <w:rPr>
          <w:rFonts w:eastAsia="MS Mincho"/>
        </w:rPr>
        <w:t>calculated</w:t>
      </w:r>
      <w:r w:rsidR="00442646">
        <w:rPr>
          <w:rFonts w:eastAsia="MS Mincho"/>
        </w:rPr>
        <w:t xml:space="preserve"> from</w:t>
      </w:r>
      <w:r w:rsidR="008B2566">
        <w:rPr>
          <w:rFonts w:eastAsia="MS Mincho"/>
        </w:rPr>
        <w:t xml:space="preserve"> </w:t>
      </w:r>
      <w:r w:rsidR="00151998">
        <w:rPr>
          <w:rFonts w:eastAsia="MS Mincho"/>
        </w:rPr>
        <w:t xml:space="preserve">the </w:t>
      </w:r>
      <w:r w:rsidR="008B2566">
        <w:rPr>
          <w:rFonts w:eastAsia="MS Mincho"/>
        </w:rPr>
        <w:t>amino acid</w:t>
      </w:r>
      <w:r w:rsidR="00442646">
        <w:rPr>
          <w:rFonts w:eastAsia="MS Mincho"/>
        </w:rPr>
        <w:t xml:space="preserve"> sequence</w:t>
      </w:r>
      <w:r w:rsidR="008B2566">
        <w:rPr>
          <w:rFonts w:eastAsia="MS Mincho"/>
        </w:rPr>
        <w:t xml:space="preserve"> for </w:t>
      </w:r>
      <w:r w:rsidR="00591D12">
        <w:rPr>
          <w:rFonts w:eastAsia="MS Mincho"/>
        </w:rPr>
        <w:t xml:space="preserve">the </w:t>
      </w:r>
      <w:r w:rsidR="008B2566">
        <w:rPr>
          <w:rFonts w:eastAsia="MS Mincho"/>
        </w:rPr>
        <w:t xml:space="preserve">VRC01 </w:t>
      </w:r>
      <w:r w:rsidR="00D9024E">
        <w:rPr>
          <w:rFonts w:eastAsia="MS Mincho"/>
        </w:rPr>
        <w:t>antibody and</w:t>
      </w:r>
      <w:r w:rsidR="0083717E">
        <w:rPr>
          <w:rFonts w:eastAsia="MS Mincho"/>
        </w:rPr>
        <w:t xml:space="preserve"> include considerations of ATP requirements</w:t>
      </w:r>
      <w:r w:rsidR="008B2566">
        <w:rPr>
          <w:rFonts w:eastAsia="MS Mincho"/>
        </w:rPr>
        <w:t>.</w:t>
      </w:r>
      <w:r w:rsidR="00442646">
        <w:rPr>
          <w:rFonts w:eastAsia="MS Mincho"/>
        </w:rPr>
        <w:t xml:space="preserve"> The final reduced network has </w:t>
      </w:r>
      <w:r w:rsidR="00B3691D">
        <w:rPr>
          <w:rFonts w:eastAsia="MS Mincho"/>
        </w:rPr>
        <w:t xml:space="preserve">a </w:t>
      </w:r>
      <w:r w:rsidR="00442646">
        <w:rPr>
          <w:rFonts w:eastAsia="MS Mincho"/>
        </w:rPr>
        <w:t>rank of 43</w:t>
      </w:r>
      <w:r w:rsidR="007A557E">
        <w:rPr>
          <w:rFonts w:eastAsia="MS Mincho"/>
        </w:rPr>
        <w:t xml:space="preserve"> </w:t>
      </w:r>
      <w:r w:rsidR="00442646">
        <w:rPr>
          <w:rFonts w:eastAsia="MS Mincho"/>
        </w:rPr>
        <w:t xml:space="preserve">and a condition number of 18.3. The </w:t>
      </w:r>
      <w:r w:rsidR="00A301A1">
        <w:rPr>
          <w:rFonts w:eastAsia="MS Mincho"/>
        </w:rPr>
        <w:t xml:space="preserve">network </w:t>
      </w:r>
      <w:r w:rsidR="00151998">
        <w:rPr>
          <w:rFonts w:eastAsia="MS Mincho"/>
        </w:rPr>
        <w:t>ensure</w:t>
      </w:r>
      <w:r w:rsidR="00AE38F5">
        <w:rPr>
          <w:rFonts w:eastAsia="MS Mincho"/>
        </w:rPr>
        <w:t>s</w:t>
      </w:r>
      <w:r w:rsidR="00A301A1">
        <w:rPr>
          <w:rFonts w:eastAsia="MS Mincho"/>
        </w:rPr>
        <w:t xml:space="preserve"> physiologically consistent fluxes</w:t>
      </w:r>
      <w:r w:rsidR="00AE38F5">
        <w:rPr>
          <w:rFonts w:eastAsia="MS Mincho"/>
        </w:rPr>
        <w:t xml:space="preserve"> for the major pathways </w:t>
      </w:r>
      <w:r w:rsidR="00A301A1">
        <w:rPr>
          <w:rFonts w:eastAsia="MS Mincho"/>
        </w:rPr>
        <w:t>given the</w:t>
      </w:r>
      <w:r w:rsidR="00B3691D">
        <w:rPr>
          <w:rFonts w:eastAsia="MS Mincho"/>
        </w:rPr>
        <w:t xml:space="preserve"> intracellular</w:t>
      </w:r>
      <w:r w:rsidR="00A301A1">
        <w:rPr>
          <w:rFonts w:eastAsia="MS Mincho"/>
        </w:rPr>
        <w:t xml:space="preserve"> </w:t>
      </w:r>
      <w:r w:rsidR="00AE38F5">
        <w:rPr>
          <w:rFonts w:eastAsia="MS Mincho"/>
        </w:rPr>
        <w:t>stoichiometric</w:t>
      </w:r>
      <w:r w:rsidR="00A301A1">
        <w:rPr>
          <w:rFonts w:eastAsia="MS Mincho"/>
        </w:rPr>
        <w:t xml:space="preserve"> </w:t>
      </w:r>
      <w:r w:rsidR="00D9024E">
        <w:rPr>
          <w:rFonts w:eastAsia="MS Mincho"/>
        </w:rPr>
        <w:t>constraints and</w:t>
      </w:r>
      <w:r w:rsidR="00442646">
        <w:rPr>
          <w:rFonts w:eastAsia="MS Mincho"/>
        </w:rPr>
        <w:t xml:space="preserve"> p</w:t>
      </w:r>
      <w:r w:rsidR="00A301A1">
        <w:rPr>
          <w:rFonts w:eastAsia="MS Mincho"/>
        </w:rPr>
        <w:t xml:space="preserve">rovides </w:t>
      </w:r>
      <w:r w:rsidR="00AD6924">
        <w:rPr>
          <w:rFonts w:eastAsia="MS Mincho"/>
        </w:rPr>
        <w:t xml:space="preserve">mechanistic insight towards resource allocation </w:t>
      </w:r>
      <w:r w:rsidR="00A301A1">
        <w:rPr>
          <w:rFonts w:eastAsia="MS Mincho"/>
        </w:rPr>
        <w:t xml:space="preserve">without the need for </w:t>
      </w:r>
      <w:r w:rsidR="00442646">
        <w:rPr>
          <w:rFonts w:eastAsia="MS Mincho"/>
        </w:rPr>
        <w:t xml:space="preserve">complex </w:t>
      </w:r>
      <w:r w:rsidR="00400368">
        <w:rPr>
          <w:rFonts w:eastAsia="MS Mincho"/>
        </w:rPr>
        <w:t>enzymatic</w:t>
      </w:r>
      <w:r w:rsidR="00A301A1">
        <w:rPr>
          <w:rFonts w:eastAsia="MS Mincho"/>
        </w:rPr>
        <w:t xml:space="preserve"> rate expressions.</w:t>
      </w:r>
    </w:p>
    <w:p w14:paraId="545466B2" w14:textId="2DA25DAD" w:rsidR="002B024F" w:rsidRDefault="002B024F" w:rsidP="007D6F86">
      <w:pPr>
        <w:ind w:firstLine="360"/>
        <w:jc w:val="both"/>
        <w:rPr>
          <w:sz w:val="12"/>
          <w:szCs w:val="12"/>
        </w:rPr>
      </w:pPr>
      <w:r w:rsidRPr="002B024F">
        <w:rPr>
          <w:rFonts w:eastAsia="MS Mincho"/>
        </w:rPr>
        <w:t>To functionalize the network,</w:t>
      </w:r>
      <w:r w:rsidR="0087531A">
        <w:rPr>
          <w:rFonts w:eastAsia="MS Mincho"/>
        </w:rPr>
        <w:t xml:space="preserve"> the pseudo</w:t>
      </w:r>
      <w:r w:rsidRPr="002B024F">
        <w:rPr>
          <w:rFonts w:eastAsia="MS Mincho"/>
        </w:rPr>
        <w:t xml:space="preserve"> steady state</w:t>
      </w:r>
      <w:r w:rsidR="0087531A">
        <w:rPr>
          <w:rFonts w:eastAsia="MS Mincho"/>
        </w:rPr>
        <w:t xml:space="preserve"> assumption</w:t>
      </w:r>
      <w:r w:rsidR="00A03EB4">
        <w:rPr>
          <w:rFonts w:eastAsia="MS Mincho"/>
        </w:rPr>
        <w:t xml:space="preserve"> </w:t>
      </w:r>
      <w:r w:rsidR="00B3691D" w:rsidRPr="001909F1">
        <w:rPr>
          <w:rFonts w:eastAsia="MS Mincho"/>
        </w:rPr>
        <w:t>(</w:t>
      </w:r>
      <w:r w:rsidR="001909F1" w:rsidRPr="001909F1">
        <w:rPr>
          <w:rFonts w:eastAsia="MS Mincho"/>
        </w:rPr>
        <w:t>Zupke and Stephanopoulos, 1995)</w:t>
      </w:r>
      <w:r w:rsidR="001909F1">
        <w:rPr>
          <w:rFonts w:eastAsia="MS Mincho"/>
        </w:rPr>
        <w:t xml:space="preserve"> </w:t>
      </w:r>
      <w:r w:rsidR="0087531A">
        <w:rPr>
          <w:rFonts w:eastAsia="MS Mincho"/>
        </w:rPr>
        <w:t>is applied to all intracellular metabolites</w:t>
      </w:r>
      <w:r w:rsidR="00151998">
        <w:rPr>
          <w:rFonts w:eastAsia="MS Mincho"/>
        </w:rPr>
        <w:t xml:space="preserve"> </w:t>
      </w:r>
      <w:r w:rsidRPr="002B024F">
        <w:rPr>
          <w:rFonts w:eastAsia="MS Mincho"/>
        </w:rPr>
        <w:t>yielding a</w:t>
      </w:r>
      <w:r w:rsidR="00151998">
        <w:rPr>
          <w:rFonts w:eastAsia="MS Mincho"/>
        </w:rPr>
        <w:t xml:space="preserve">n overdetermined </w:t>
      </w:r>
      <w:r w:rsidRPr="002B024F">
        <w:rPr>
          <w:rFonts w:eastAsia="MS Mincho"/>
        </w:rPr>
        <w:t>stoichiometric matrix</w:t>
      </w:r>
      <w:r w:rsidR="00151998">
        <w:rPr>
          <w:rFonts w:eastAsia="MS Mincho"/>
        </w:rPr>
        <w:t xml:space="preserve">. </w:t>
      </w:r>
      <w:r w:rsidR="008B2566">
        <w:rPr>
          <w:rFonts w:eastAsia="MS Mincho"/>
        </w:rPr>
        <w:t>MFA</w:t>
      </w:r>
      <w:r w:rsidRPr="002B024F">
        <w:t xml:space="preserve"> </w:t>
      </w:r>
      <w:r w:rsidR="00625F40">
        <w:t xml:space="preserve">is </w:t>
      </w:r>
      <w:r w:rsidR="00A03EB4">
        <w:t>employed</w:t>
      </w:r>
      <w:r w:rsidR="00625F40">
        <w:t xml:space="preserve"> to solve for</w:t>
      </w:r>
      <w:r w:rsidRPr="002B024F">
        <w:t xml:space="preserve"> the </w:t>
      </w:r>
      <w:r w:rsidR="00B3691D">
        <w:t xml:space="preserve">flux </w:t>
      </w:r>
      <w:r w:rsidR="002655B2">
        <w:t>value</w:t>
      </w:r>
      <w:r w:rsidR="002655B2" w:rsidRPr="002B024F">
        <w:t xml:space="preserve"> </w:t>
      </w:r>
      <w:r w:rsidRPr="002B024F">
        <w:t xml:space="preserve">of each reaction and </w:t>
      </w:r>
      <w:r w:rsidR="00625F40">
        <w:t xml:space="preserve">assess </w:t>
      </w:r>
      <w:r w:rsidRPr="002B024F">
        <w:t xml:space="preserve">the distribution of the metabolic load on the cell at </w:t>
      </w:r>
      <w:r w:rsidR="00625F40">
        <w:t>each simulated timepoint, taken as every 0.25 days</w:t>
      </w:r>
      <w:r w:rsidR="0029413C">
        <w:t xml:space="preserve">; the duration over which the fluxes are assumed to remain constant. </w:t>
      </w:r>
      <w:r w:rsidR="00625F40">
        <w:t>MFA</w:t>
      </w:r>
      <w:r w:rsidRPr="002B024F">
        <w:t xml:space="preserve"> </w:t>
      </w:r>
      <w:r w:rsidR="004B1D55">
        <w:t>quantifies</w:t>
      </w:r>
      <w:r w:rsidRPr="002B024F">
        <w:t xml:space="preserve"> the unknown intracellular fluxes, under the constraint of specified exchange fluxes</w:t>
      </w:r>
      <w:r w:rsidR="00735ED1">
        <w:t>,</w:t>
      </w:r>
      <w:r w:rsidRPr="002B024F">
        <w:t xml:space="preserve"> which can be experimentally </w:t>
      </w:r>
      <w:r w:rsidR="004B1D55">
        <w:t>determined</w:t>
      </w:r>
      <w:r w:rsidR="00735ED1">
        <w:t>,</w:t>
      </w:r>
      <w:r w:rsidR="004B1D55">
        <w:t xml:space="preserve"> </w:t>
      </w:r>
      <w:r w:rsidRPr="002B024F">
        <w:t>and is formulated as a quadratic programming problem</w:t>
      </w:r>
      <w:r w:rsidR="00625F40">
        <w:t xml:space="preserve">, Eq. </w:t>
      </w:r>
      <w:r w:rsidR="00735ED1">
        <w:t>(</w:t>
      </w:r>
      <w:r w:rsidR="00A42F5B">
        <w:t>3</w:t>
      </w:r>
      <w:r w:rsidR="00735ED1">
        <w:t>)</w:t>
      </w:r>
      <w:r w:rsidR="00625F40">
        <w:t>.</w:t>
      </w:r>
    </w:p>
    <w:p w14:paraId="4BEB0734" w14:textId="77777777" w:rsidR="00B71C77" w:rsidRPr="00B71C77" w:rsidRDefault="00B71C77" w:rsidP="00B71C77">
      <w:pPr>
        <w:ind w:firstLine="720"/>
        <w:jc w:val="both"/>
        <w:rPr>
          <w:sz w:val="12"/>
          <w:szCs w:val="12"/>
        </w:rPr>
      </w:pPr>
    </w:p>
    <w:tbl>
      <w:tblPr>
        <w:tblStyle w:val="TableGrid"/>
        <w:tblW w:w="7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8"/>
        <w:gridCol w:w="457"/>
      </w:tblGrid>
      <w:tr w:rsidR="00B71C77" w:rsidRPr="002B024F" w14:paraId="45A8B3AB" w14:textId="77777777" w:rsidTr="004902BD">
        <w:tc>
          <w:tcPr>
            <w:tcW w:w="6648" w:type="dxa"/>
          </w:tcPr>
          <w:p w14:paraId="7FB61AF2" w14:textId="64581D37" w:rsidR="00B71C77" w:rsidRPr="002B024F" w:rsidRDefault="00B71C77" w:rsidP="00B71C77">
            <w:pPr>
              <w:jc w:val="both"/>
              <w:rPr>
                <w:rFonts w:ascii="Times New Roman" w:hAnsi="Times New Roman" w:cs="Times New Roman"/>
                <w:iCs/>
                <w:sz w:val="20"/>
                <w:szCs w:val="20"/>
              </w:rPr>
            </w:pPr>
            <m:oMath>
              <m:r>
                <w:rPr>
                  <w:rFonts w:ascii="Cambria Math" w:hAnsi="Cambria Math" w:cs="Times New Roman"/>
                  <w:sz w:val="20"/>
                  <w:szCs w:val="20"/>
                </w:rPr>
                <m:t>Min </m:t>
              </m:r>
              <m:nary>
                <m:naryPr>
                  <m:chr m:val="∑"/>
                  <m:ctrlPr>
                    <w:rPr>
                      <w:rFonts w:ascii="Cambria Math" w:hAnsi="Cambria Math" w:cs="Times New Roman"/>
                      <w:i/>
                      <w:iCs/>
                      <w:sz w:val="20"/>
                      <w:szCs w:val="20"/>
                    </w:rPr>
                  </m:ctrlPr>
                </m:naryPr>
                <m:sub>
                  <m:r>
                    <w:rPr>
                      <w:rFonts w:ascii="Cambria Math" w:hAnsi="Cambria Math" w:cs="Times New Roman"/>
                      <w:sz w:val="20"/>
                      <w:szCs w:val="20"/>
                    </w:rPr>
                    <m:t>i=1</m:t>
                  </m:r>
                </m:sub>
                <m:sup>
                  <m:r>
                    <w:rPr>
                      <w:rFonts w:ascii="Cambria Math" w:hAnsi="Cambria Math" w:cs="Times New Roman"/>
                      <w:sz w:val="20"/>
                      <w:szCs w:val="20"/>
                    </w:rPr>
                    <m:t>n=24</m:t>
                  </m:r>
                </m:sup>
                <m:e>
                  <m:sSup>
                    <m:sSupPr>
                      <m:ctrlPr>
                        <w:rPr>
                          <w:rFonts w:ascii="Cambria Math" w:hAnsi="Cambria Math" w:cs="Times New Roman"/>
                          <w:i/>
                          <w:iCs/>
                          <w:sz w:val="20"/>
                          <w:szCs w:val="20"/>
                        </w:rPr>
                      </m:ctrlPr>
                    </m:sSupPr>
                    <m:e>
                      <m:d>
                        <m:dPr>
                          <m:ctrlPr>
                            <w:rPr>
                              <w:rFonts w:ascii="Cambria Math" w:hAnsi="Cambria Math" w:cs="Times New Roman"/>
                              <w:i/>
                              <w:iCs/>
                              <w:sz w:val="20"/>
                              <w:szCs w:val="20"/>
                            </w:rPr>
                          </m:ctrlPr>
                        </m:dPr>
                        <m:e>
                          <m:f>
                            <m:fPr>
                              <m:ctrlPr>
                                <w:rPr>
                                  <w:rFonts w:ascii="Cambria Math" w:hAnsi="Cambria Math" w:cs="Times New Roman"/>
                                  <w:i/>
                                  <w:iCs/>
                                  <w:sz w:val="20"/>
                                  <w:szCs w:val="20"/>
                                </w:rPr>
                              </m:ctrlPr>
                            </m:fPr>
                            <m:num>
                              <m:sSubSup>
                                <m:sSubSupPr>
                                  <m:ctrlPr>
                                    <w:rPr>
                                      <w:rFonts w:ascii="Cambria Math" w:hAnsi="Cambria Math" w:cs="Times New Roman"/>
                                      <w:i/>
                                      <w:iCs/>
                                      <w:sz w:val="20"/>
                                      <w:szCs w:val="20"/>
                                    </w:rPr>
                                  </m:ctrlPr>
                                </m:sSubSupPr>
                                <m:e>
                                  <m:r>
                                    <w:rPr>
                                      <w:rFonts w:ascii="Cambria Math" w:hAnsi="Cambria Math" w:cs="Times New Roman"/>
                                      <w:sz w:val="20"/>
                                      <w:szCs w:val="20"/>
                                    </w:rPr>
                                    <m:t>v</m:t>
                                  </m:r>
                                </m:e>
                                <m:sub>
                                  <m:r>
                                    <w:rPr>
                                      <w:rFonts w:ascii="Cambria Math" w:hAnsi="Cambria Math" w:cs="Times New Roman"/>
                                      <w:sz w:val="20"/>
                                      <w:szCs w:val="20"/>
                                    </w:rPr>
                                    <m:t>i</m:t>
                                  </m:r>
                                </m:sub>
                                <m:sup>
                                  <m:r>
                                    <w:rPr>
                                      <w:rFonts w:ascii="Cambria Math" w:hAnsi="Cambria Math" w:cs="Times New Roman"/>
                                      <w:sz w:val="20"/>
                                      <w:szCs w:val="20"/>
                                    </w:rPr>
                                    <m:t>calc</m:t>
                                  </m:r>
                                </m:sup>
                              </m:sSubSup>
                              <m:r>
                                <w:rPr>
                                  <w:rFonts w:ascii="Cambria Math" w:hAnsi="Cambria Math" w:cs="Times New Roman"/>
                                  <w:sz w:val="20"/>
                                  <w:szCs w:val="20"/>
                                </w:rPr>
                                <m:t>-</m:t>
                              </m:r>
                              <m:sSubSup>
                                <m:sSubSupPr>
                                  <m:ctrlPr>
                                    <w:rPr>
                                      <w:rFonts w:ascii="Cambria Math" w:hAnsi="Cambria Math" w:cs="Times New Roman"/>
                                      <w:i/>
                                      <w:iCs/>
                                      <w:sz w:val="20"/>
                                      <w:szCs w:val="20"/>
                                    </w:rPr>
                                  </m:ctrlPr>
                                </m:sSubSupPr>
                                <m:e>
                                  <m:r>
                                    <w:rPr>
                                      <w:rFonts w:ascii="Cambria Math" w:hAnsi="Cambria Math" w:cs="Times New Roman"/>
                                      <w:sz w:val="20"/>
                                      <w:szCs w:val="20"/>
                                    </w:rPr>
                                    <m:t>v</m:t>
                                  </m:r>
                                </m:e>
                                <m:sub>
                                  <m:r>
                                    <w:rPr>
                                      <w:rFonts w:ascii="Cambria Math" w:hAnsi="Cambria Math" w:cs="Times New Roman"/>
                                      <w:sz w:val="20"/>
                                      <w:szCs w:val="20"/>
                                    </w:rPr>
                                    <m:t>i</m:t>
                                  </m:r>
                                </m:sub>
                                <m:sup>
                                  <m:r>
                                    <w:rPr>
                                      <w:rFonts w:ascii="Cambria Math" w:hAnsi="Cambria Math" w:cs="Times New Roman"/>
                                      <w:sz w:val="20"/>
                                      <w:szCs w:val="20"/>
                                    </w:rPr>
                                    <m:t>meas</m:t>
                                  </m:r>
                                </m:sup>
                              </m:sSubSup>
                              <m:d>
                                <m:dPr>
                                  <m:ctrlPr>
                                    <w:rPr>
                                      <w:rFonts w:ascii="Cambria Math" w:hAnsi="Cambria Math" w:cs="Times New Roman"/>
                                      <w:i/>
                                      <w:iCs/>
                                      <w:sz w:val="20"/>
                                      <w:szCs w:val="20"/>
                                    </w:rPr>
                                  </m:ctrlPr>
                                </m:dPr>
                                <m:e>
                                  <m:r>
                                    <w:rPr>
                                      <w:rFonts w:ascii="Cambria Math" w:hAnsi="Cambria Math" w:cs="Times New Roman"/>
                                      <w:sz w:val="20"/>
                                      <w:szCs w:val="20"/>
                                    </w:rPr>
                                    <m:t>θ</m:t>
                                  </m:r>
                                </m:e>
                              </m:d>
                            </m:num>
                            <m:den>
                              <m:sSubSup>
                                <m:sSubSupPr>
                                  <m:ctrlPr>
                                    <w:rPr>
                                      <w:rFonts w:ascii="Cambria Math" w:hAnsi="Cambria Math" w:cs="Times New Roman"/>
                                      <w:i/>
                                      <w:iCs/>
                                      <w:sz w:val="20"/>
                                      <w:szCs w:val="20"/>
                                    </w:rPr>
                                  </m:ctrlPr>
                                </m:sSubSupPr>
                                <m:e>
                                  <m:r>
                                    <w:rPr>
                                      <w:rFonts w:ascii="Cambria Math" w:hAnsi="Cambria Math" w:cs="Times New Roman"/>
                                      <w:sz w:val="20"/>
                                      <w:szCs w:val="20"/>
                                    </w:rPr>
                                    <m:t>v</m:t>
                                  </m:r>
                                </m:e>
                                <m:sub>
                                  <m:r>
                                    <w:rPr>
                                      <w:rFonts w:ascii="Cambria Math" w:hAnsi="Cambria Math" w:cs="Times New Roman"/>
                                      <w:sz w:val="20"/>
                                      <w:szCs w:val="20"/>
                                    </w:rPr>
                                    <m:t>i</m:t>
                                  </m:r>
                                </m:sub>
                                <m:sup>
                                  <m:r>
                                    <w:rPr>
                                      <w:rFonts w:ascii="Cambria Math" w:hAnsi="Cambria Math" w:cs="Times New Roman"/>
                                      <w:sz w:val="20"/>
                                      <w:szCs w:val="20"/>
                                    </w:rPr>
                                    <m:t>meas</m:t>
                                  </m:r>
                                </m:sup>
                              </m:sSubSup>
                              <m:d>
                                <m:dPr>
                                  <m:ctrlPr>
                                    <w:rPr>
                                      <w:rFonts w:ascii="Cambria Math" w:hAnsi="Cambria Math" w:cs="Times New Roman"/>
                                      <w:i/>
                                      <w:iCs/>
                                      <w:sz w:val="20"/>
                                      <w:szCs w:val="20"/>
                                    </w:rPr>
                                  </m:ctrlPr>
                                </m:dPr>
                                <m:e>
                                  <m:r>
                                    <w:rPr>
                                      <w:rFonts w:ascii="Cambria Math" w:hAnsi="Cambria Math" w:cs="Times New Roman"/>
                                      <w:sz w:val="20"/>
                                      <w:szCs w:val="20"/>
                                    </w:rPr>
                                    <m:t>θ</m:t>
                                  </m:r>
                                </m:e>
                              </m:d>
                            </m:den>
                          </m:f>
                        </m:e>
                      </m:d>
                    </m:e>
                    <m:sup>
                      <m:r>
                        <w:rPr>
                          <w:rFonts w:ascii="Cambria Math" w:hAnsi="Cambria Math" w:cs="Times New Roman"/>
                          <w:sz w:val="20"/>
                          <w:szCs w:val="20"/>
                        </w:rPr>
                        <m:t>2</m:t>
                      </m:r>
                    </m:sup>
                  </m:sSup>
                </m:e>
              </m:nary>
            </m:oMath>
            <w:r>
              <w:rPr>
                <w:rFonts w:ascii="Times New Roman" w:hAnsi="Times New Roman" w:cs="Times New Roman"/>
                <w:iCs/>
                <w:sz w:val="20"/>
                <w:szCs w:val="20"/>
              </w:rPr>
              <w:t xml:space="preserve"> </w:t>
            </w:r>
          </w:p>
          <w:p w14:paraId="6A7D6029" w14:textId="037CC32C" w:rsidR="00B71C77" w:rsidRPr="00B71C77" w:rsidRDefault="00B71C77" w:rsidP="00B71C77">
            <w:pPr>
              <w:jc w:val="both"/>
              <w:rPr>
                <w:rFonts w:ascii="Times New Roman" w:hAnsi="Times New Roman" w:cs="Times New Roman"/>
                <w:iCs/>
                <w:sz w:val="20"/>
                <w:szCs w:val="20"/>
              </w:rPr>
            </w:pPr>
            <m:oMath>
              <m:r>
                <w:rPr>
                  <w:rFonts w:ascii="Cambria Math" w:hAnsi="Cambria Math" w:cs="Times New Roman"/>
                  <w:sz w:val="20"/>
                  <w:szCs w:val="20"/>
                </w:rPr>
                <m:t>s.t.</m:t>
              </m:r>
              <m:r>
                <m:rPr>
                  <m:sty m:val="bi"/>
                </m:rPr>
                <w:rPr>
                  <w:rFonts w:ascii="Cambria Math" w:hAnsi="Cambria Math" w:cs="Times New Roman"/>
                  <w:sz w:val="20"/>
                  <w:szCs w:val="20"/>
                </w:rPr>
                <m:t>          Sv</m:t>
              </m:r>
              <m:r>
                <w:rPr>
                  <w:rFonts w:ascii="Cambria Math" w:hAnsi="Cambria Math" w:cs="Times New Roman"/>
                  <w:sz w:val="20"/>
                  <w:szCs w:val="20"/>
                </w:rPr>
                <m:t>=0</m:t>
              </m:r>
            </m:oMath>
            <w:r>
              <w:rPr>
                <w:rFonts w:ascii="Times New Roman" w:hAnsi="Times New Roman" w:cs="Times New Roman"/>
                <w:sz w:val="20"/>
                <w:szCs w:val="20"/>
              </w:rPr>
              <w:t xml:space="preserve"> </w:t>
            </w:r>
          </w:p>
          <w:p w14:paraId="0FDFBACA" w14:textId="2365A398" w:rsidR="00B71C77" w:rsidRPr="002B024F" w:rsidRDefault="00000000" w:rsidP="00A22120">
            <w:pPr>
              <w:jc w:val="both"/>
              <w:rPr>
                <w:rFonts w:ascii="Times New Roman" w:hAnsi="Times New Roman" w:cs="Times New Roman"/>
                <w:sz w:val="20"/>
                <w:szCs w:val="20"/>
              </w:rPr>
            </w:pPr>
            <m:oMath>
              <m:sSub>
                <m:sSubPr>
                  <m:ctrlPr>
                    <w:rPr>
                      <w:rFonts w:ascii="Cambria Math" w:hAnsi="Cambria Math" w:cs="Times New Roman"/>
                      <w:b/>
                      <w:bCs/>
                      <w:i/>
                      <w:sz w:val="20"/>
                      <w:szCs w:val="20"/>
                    </w:rPr>
                  </m:ctrlPr>
                </m:sSubPr>
                <m:e>
                  <m:sSup>
                    <m:sSupPr>
                      <m:ctrlPr>
                        <w:rPr>
                          <w:rFonts w:ascii="Cambria Math" w:hAnsi="Cambria Math" w:cs="Times New Roman"/>
                          <w:b/>
                          <w:bCs/>
                          <w:i/>
                          <w:sz w:val="20"/>
                          <w:szCs w:val="20"/>
                        </w:rPr>
                      </m:ctrlPr>
                    </m:sSupPr>
                    <m:e>
                      <m:r>
                        <m:rPr>
                          <m:sty m:val="bi"/>
                        </m:rPr>
                        <w:rPr>
                          <w:rFonts w:ascii="Cambria Math" w:hAnsi="Cambria Math" w:cs="Times New Roman"/>
                          <w:sz w:val="20"/>
                          <w:szCs w:val="20"/>
                        </w:rPr>
                        <m:t>v</m:t>
                      </m:r>
                    </m:e>
                    <m:sup>
                      <m:r>
                        <m:rPr>
                          <m:sty m:val="bi"/>
                        </m:rPr>
                        <w:rPr>
                          <w:rFonts w:ascii="Cambria Math" w:hAnsi="Cambria Math" w:cs="Times New Roman"/>
                          <w:sz w:val="20"/>
                          <w:szCs w:val="20"/>
                        </w:rPr>
                        <m:t>lb</m:t>
                      </m:r>
                    </m:sup>
                  </m:sSup>
                  <m:r>
                    <m:rPr>
                      <m:sty m:val="bi"/>
                    </m:rPr>
                    <w:rPr>
                      <w:rFonts w:ascii="Cambria Math" w:hAnsi="Cambria Math" w:cs="Times New Roman"/>
                      <w:sz w:val="20"/>
                      <w:szCs w:val="20"/>
                    </w:rPr>
                    <m:t>&lt;v</m:t>
                  </m:r>
                </m:e>
                <m:sub>
                  <m:r>
                    <m:rPr>
                      <m:sty m:val="bi"/>
                    </m:rPr>
                    <w:rPr>
                      <w:rFonts w:ascii="Cambria Math" w:hAnsi="Cambria Math" w:cs="Times New Roman"/>
                      <w:sz w:val="20"/>
                      <w:szCs w:val="20"/>
                    </w:rPr>
                    <m:t>exchange</m:t>
                  </m:r>
                </m:sub>
              </m:sSub>
              <m:r>
                <w:rPr>
                  <w:rFonts w:ascii="Cambria Math" w:hAnsi="Cambria Math" w:cs="Times New Roman"/>
                  <w:sz w:val="20"/>
                  <w:szCs w:val="20"/>
                </w:rPr>
                <m:t>&lt;</m:t>
              </m:r>
              <m:sSup>
                <m:sSupPr>
                  <m:ctrlPr>
                    <w:rPr>
                      <w:rFonts w:ascii="Cambria Math" w:hAnsi="Cambria Math" w:cs="Times New Roman"/>
                      <w:b/>
                      <w:bCs/>
                      <w:i/>
                      <w:sz w:val="20"/>
                      <w:szCs w:val="20"/>
                    </w:rPr>
                  </m:ctrlPr>
                </m:sSupPr>
                <m:e>
                  <m:r>
                    <m:rPr>
                      <m:sty m:val="bi"/>
                    </m:rPr>
                    <w:rPr>
                      <w:rFonts w:ascii="Cambria Math" w:hAnsi="Cambria Math" w:cs="Times New Roman"/>
                      <w:sz w:val="20"/>
                      <w:szCs w:val="20"/>
                    </w:rPr>
                    <m:t>v</m:t>
                  </m:r>
                </m:e>
                <m:sup>
                  <m:r>
                    <m:rPr>
                      <m:sty m:val="bi"/>
                    </m:rPr>
                    <w:rPr>
                      <w:rFonts w:ascii="Cambria Math" w:hAnsi="Cambria Math" w:cs="Times New Roman"/>
                      <w:sz w:val="20"/>
                      <w:szCs w:val="20"/>
                    </w:rPr>
                    <m:t>ub</m:t>
                  </m:r>
                </m:sup>
              </m:sSup>
            </m:oMath>
            <w:r w:rsidR="00B71C77">
              <w:rPr>
                <w:rFonts w:ascii="Times New Roman" w:hAnsi="Times New Roman" w:cs="Times New Roman"/>
                <w:b/>
                <w:bCs/>
                <w:sz w:val="20"/>
                <w:szCs w:val="20"/>
              </w:rPr>
              <w:t xml:space="preserve"> </w:t>
            </w:r>
          </w:p>
        </w:tc>
        <w:tc>
          <w:tcPr>
            <w:tcW w:w="457" w:type="dxa"/>
          </w:tcPr>
          <w:p w14:paraId="52ED1AE4" w14:textId="77777777" w:rsidR="0011773D" w:rsidRDefault="0011773D" w:rsidP="00A22120">
            <w:pPr>
              <w:jc w:val="right"/>
              <w:rPr>
                <w:rFonts w:ascii="Times New Roman" w:hAnsi="Times New Roman" w:cs="Times New Roman"/>
                <w:sz w:val="20"/>
                <w:szCs w:val="20"/>
              </w:rPr>
            </w:pPr>
          </w:p>
          <w:p w14:paraId="04ACCA1B" w14:textId="77777777" w:rsidR="0011773D" w:rsidRDefault="0011773D" w:rsidP="00A22120">
            <w:pPr>
              <w:jc w:val="right"/>
              <w:rPr>
                <w:rFonts w:ascii="Times New Roman" w:hAnsi="Times New Roman" w:cs="Times New Roman"/>
                <w:sz w:val="20"/>
                <w:szCs w:val="20"/>
              </w:rPr>
            </w:pPr>
          </w:p>
          <w:p w14:paraId="150D98B9" w14:textId="57CEFE4C" w:rsidR="00B71C77" w:rsidRPr="002B024F" w:rsidRDefault="00B71C77" w:rsidP="00A22120">
            <w:pPr>
              <w:jc w:val="right"/>
              <w:rPr>
                <w:rFonts w:ascii="Times New Roman" w:hAnsi="Times New Roman" w:cs="Times New Roman"/>
                <w:sz w:val="20"/>
                <w:szCs w:val="20"/>
              </w:rPr>
            </w:pPr>
            <w:r w:rsidRPr="002B024F">
              <w:rPr>
                <w:rFonts w:ascii="Times New Roman" w:hAnsi="Times New Roman" w:cs="Times New Roman"/>
                <w:sz w:val="20"/>
                <w:szCs w:val="20"/>
              </w:rPr>
              <w:t>(</w:t>
            </w:r>
            <w:r w:rsidR="00A42F5B">
              <w:rPr>
                <w:rFonts w:ascii="Times New Roman" w:hAnsi="Times New Roman" w:cs="Times New Roman"/>
                <w:sz w:val="20"/>
                <w:szCs w:val="20"/>
              </w:rPr>
              <w:t>3</w:t>
            </w:r>
            <w:r w:rsidRPr="002B024F">
              <w:rPr>
                <w:rFonts w:ascii="Times New Roman" w:hAnsi="Times New Roman" w:cs="Times New Roman"/>
                <w:sz w:val="20"/>
                <w:szCs w:val="20"/>
              </w:rPr>
              <w:t>)</w:t>
            </w:r>
          </w:p>
        </w:tc>
      </w:tr>
    </w:tbl>
    <w:p w14:paraId="3177C840" w14:textId="77777777" w:rsidR="004902BD" w:rsidRDefault="004902BD" w:rsidP="002B024F">
      <w:pPr>
        <w:jc w:val="both"/>
        <w:rPr>
          <w:sz w:val="12"/>
          <w:szCs w:val="12"/>
        </w:rPr>
      </w:pPr>
      <w:r>
        <w:rPr>
          <w:rFonts w:ascii="Calibri" w:hAnsi="Calibri" w:cs="Calibri"/>
        </w:rPr>
        <w:t>​</w:t>
      </w:r>
    </w:p>
    <w:p w14:paraId="620A9F18" w14:textId="258A1927" w:rsidR="00151998" w:rsidRDefault="00000000" w:rsidP="002B024F">
      <w:pPr>
        <w:jc w:val="both"/>
      </w:pPr>
      <m:oMath>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calc</m:t>
            </m:r>
          </m:sup>
        </m:sSubSup>
      </m:oMath>
      <w:r w:rsidR="002B024F" w:rsidRPr="002B024F">
        <w:t xml:space="preserve"> is the calculated exchange rate of species </w:t>
      </w:r>
      <m:oMath>
        <m:r>
          <w:rPr>
            <w:rFonts w:ascii="Cambria Math" w:hAnsi="Cambria Math"/>
          </w:rPr>
          <m:t>i</m:t>
        </m:r>
      </m:oMath>
      <w:r w:rsidR="002B024F" w:rsidRPr="002B024F">
        <w:t xml:space="preserve"> scaled to flux units, as determined by solution to Eq. </w:t>
      </w:r>
      <w:r w:rsidR="00DF196B">
        <w:t>(</w:t>
      </w:r>
      <w:r w:rsidR="00B3691D">
        <w:t>3</w:t>
      </w:r>
      <w:r w:rsidR="00DF196B">
        <w:t>)</w:t>
      </w:r>
      <w:r w:rsidR="002B024F" w:rsidRPr="002B024F">
        <w:t xml:space="preserve">, </w:t>
      </w:r>
      <m:oMath>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meas</m:t>
            </m:r>
          </m:sup>
        </m:sSubSup>
      </m:oMath>
      <w:r w:rsidR="002B024F" w:rsidRPr="002B024F">
        <w:t xml:space="preserve"> is the measured exchange rate as determined by experiment, </w:t>
      </w:r>
      <m:oMath>
        <m:r>
          <m:rPr>
            <m:sty m:val="bi"/>
          </m:rPr>
          <w:rPr>
            <w:rFonts w:ascii="Cambria Math" w:hAnsi="Cambria Math"/>
          </w:rPr>
          <m:t>S</m:t>
        </m:r>
      </m:oMath>
      <w:r w:rsidR="002B024F" w:rsidRPr="002B024F">
        <w:t xml:space="preserve"> is the stoichiometric matrix resulting from steady state mass balances on each metabolite, </w:t>
      </w:r>
      <m:oMath>
        <m:r>
          <m:rPr>
            <m:sty m:val="bi"/>
          </m:rPr>
          <w:rPr>
            <w:rFonts w:ascii="Cambria Math" w:hAnsi="Cambria Math"/>
          </w:rPr>
          <m:t>v</m:t>
        </m:r>
      </m:oMath>
      <w:r w:rsidR="002B024F" w:rsidRPr="002B024F">
        <w:t xml:space="preserve"> is the vector containing both the intracellular and exchange fluxes, and </w:t>
      </w:r>
      <m:oMath>
        <m:sSup>
          <m:sSupPr>
            <m:ctrlPr>
              <w:rPr>
                <w:rFonts w:ascii="Cambria Math" w:hAnsi="Cambria Math"/>
                <w:b/>
                <w:bCs/>
                <w:i/>
                <w:lang w:eastAsia="zh-CN"/>
              </w:rPr>
            </m:ctrlPr>
          </m:sSupPr>
          <m:e>
            <m:r>
              <m:rPr>
                <m:sty m:val="bi"/>
              </m:rPr>
              <w:rPr>
                <w:rFonts w:ascii="Cambria Math" w:hAnsi="Cambria Math"/>
              </w:rPr>
              <m:t>v</m:t>
            </m:r>
            <m:ctrlPr>
              <w:rPr>
                <w:rFonts w:ascii="Cambria Math" w:hAnsi="Cambria Math"/>
                <w:b/>
                <w:bCs/>
                <w:i/>
              </w:rPr>
            </m:ctrlPr>
          </m:e>
          <m:sup>
            <m:r>
              <m:rPr>
                <m:sty m:val="bi"/>
              </m:rPr>
              <w:rPr>
                <w:rFonts w:ascii="Cambria Math" w:hAnsi="Cambria Math"/>
              </w:rPr>
              <m:t>lb</m:t>
            </m:r>
          </m:sup>
        </m:sSup>
      </m:oMath>
      <w:r w:rsidR="002B024F" w:rsidRPr="002B024F">
        <w:rPr>
          <w:lang w:eastAsia="zh-CN"/>
        </w:rPr>
        <w:t xml:space="preserve"> and </w:t>
      </w:r>
      <m:oMath>
        <m:sSup>
          <m:sSupPr>
            <m:ctrlPr>
              <w:rPr>
                <w:rFonts w:ascii="Cambria Math" w:hAnsi="Cambria Math"/>
                <w:b/>
                <w:bCs/>
                <w:i/>
                <w:lang w:eastAsia="zh-CN"/>
              </w:rPr>
            </m:ctrlPr>
          </m:sSupPr>
          <m:e>
            <m:r>
              <m:rPr>
                <m:sty m:val="bi"/>
              </m:rPr>
              <w:rPr>
                <w:rFonts w:ascii="Cambria Math" w:hAnsi="Cambria Math"/>
              </w:rPr>
              <m:t>v</m:t>
            </m:r>
            <m:ctrlPr>
              <w:rPr>
                <w:rFonts w:ascii="Cambria Math" w:hAnsi="Cambria Math"/>
                <w:b/>
                <w:bCs/>
                <w:i/>
              </w:rPr>
            </m:ctrlPr>
          </m:e>
          <m:sup>
            <m:r>
              <m:rPr>
                <m:sty m:val="bi"/>
              </m:rPr>
              <w:rPr>
                <w:rFonts w:ascii="Cambria Math" w:hAnsi="Cambria Math"/>
              </w:rPr>
              <m:t>ub</m:t>
            </m:r>
          </m:sup>
        </m:sSup>
      </m:oMath>
      <w:r w:rsidR="002B024F" w:rsidRPr="002B024F">
        <w:rPr>
          <w:lang w:eastAsia="zh-CN"/>
        </w:rPr>
        <w:t xml:space="preserve"> represent the lower and upper flux bounds on the exchange fluxes respectively.</w:t>
      </w:r>
      <w:r w:rsidR="002B024F" w:rsidRPr="002B024F">
        <w:t xml:space="preserve"> However, within the framework of</w:t>
      </w:r>
      <w:r w:rsidR="00B3691D">
        <w:t xml:space="preserve"> </w:t>
      </w:r>
      <w:r w:rsidR="002B024F" w:rsidRPr="002B024F">
        <w:t>DMF</w:t>
      </w:r>
      <w:r w:rsidR="00B3691D">
        <w:t>A</w:t>
      </w:r>
      <w:r w:rsidR="002B024F" w:rsidRPr="002B024F">
        <w:t xml:space="preserve">, </w:t>
      </w:r>
      <w:r w:rsidR="002B024F" w:rsidRPr="00DF196B">
        <w:t xml:space="preserve">the measured exchange fluxes, </w:t>
      </w:r>
      <m:oMath>
        <m:sSubSup>
          <m:sSubSupPr>
            <m:ctrlPr>
              <w:rPr>
                <w:rFonts w:ascii="Cambria Math" w:hAnsi="Cambria Math"/>
                <w:i/>
                <w:iCs/>
                <w:lang w:eastAsia="zh-CN"/>
              </w:rPr>
            </m:ctrlPr>
          </m:sSubSupPr>
          <m:e>
            <m:r>
              <w:rPr>
                <w:rFonts w:ascii="Cambria Math" w:hAnsi="Cambria Math"/>
              </w:rPr>
              <m:t>v</m:t>
            </m:r>
          </m:e>
          <m:sub>
            <m:r>
              <w:rPr>
                <w:rFonts w:ascii="Cambria Math" w:hAnsi="Cambria Math"/>
              </w:rPr>
              <m:t>i</m:t>
            </m:r>
          </m:sub>
          <m:sup>
            <m:r>
              <w:rPr>
                <w:rFonts w:ascii="Cambria Math" w:hAnsi="Cambria Math"/>
              </w:rPr>
              <m:t>meas</m:t>
            </m:r>
          </m:sup>
        </m:sSubSup>
      </m:oMath>
      <w:r w:rsidR="002B024F" w:rsidRPr="00DF196B">
        <w:rPr>
          <w:lang w:eastAsia="zh-CN"/>
        </w:rPr>
        <w:t>,</w:t>
      </w:r>
      <w:r w:rsidR="002B024F" w:rsidRPr="00DF196B">
        <w:t xml:space="preserve"> are predicted from the kinetic rate expressions described in the previous section and therefore expressed as functions of the kinetic parameters, </w:t>
      </w:r>
      <m:oMath>
        <m:r>
          <m:rPr>
            <m:sty m:val="bi"/>
          </m:rPr>
          <w:rPr>
            <w:rFonts w:ascii="Cambria Math" w:hAnsi="Cambria Math"/>
          </w:rPr>
          <m:t>θ</m:t>
        </m:r>
      </m:oMath>
      <w:r w:rsidR="002B024F" w:rsidRPr="002B024F">
        <w:t>, thus integrating the kinetic and stoichiometric components.</w:t>
      </w:r>
    </w:p>
    <w:p w14:paraId="74018561" w14:textId="6F11D9A1" w:rsidR="002B024F" w:rsidRPr="002B024F" w:rsidRDefault="00151998" w:rsidP="002B024F">
      <w:pPr>
        <w:pStyle w:val="Els-2ndorder-head"/>
        <w:numPr>
          <w:ilvl w:val="1"/>
          <w:numId w:val="19"/>
        </w:numPr>
      </w:pPr>
      <w:r>
        <w:t>Macroscopic Mass Balance</w:t>
      </w:r>
      <w:r w:rsidR="004B1D55">
        <w:t>s</w:t>
      </w:r>
    </w:p>
    <w:p w14:paraId="76FCD3A5" w14:textId="54FF5D70" w:rsidR="002B024F" w:rsidRDefault="00D9024E" w:rsidP="007D6F86">
      <w:pPr>
        <w:ind w:firstLine="360"/>
        <w:jc w:val="both"/>
        <w:rPr>
          <w:sz w:val="12"/>
          <w:szCs w:val="12"/>
        </w:rPr>
      </w:pPr>
      <w:r>
        <w:t xml:space="preserve">The </w:t>
      </w:r>
      <w:r w:rsidR="002B024F" w:rsidRPr="002B024F">
        <w:t>macroscopic bioreactor mass balances on each measured species, link the dynamics between the intracellular and extracellular environments. Perfusion-specific mass balances</w:t>
      </w:r>
      <w:r>
        <w:t xml:space="preserve"> </w:t>
      </w:r>
      <w:r w:rsidR="002B024F" w:rsidRPr="002B024F">
        <w:t xml:space="preserve">account for the effect of the perfusion rate, bleed rate, and media composition on the bulk mass transport and cell growth dynamics of the bioreactor. </w:t>
      </w:r>
      <w:r w:rsidR="002B024F" w:rsidRPr="0011773D">
        <w:t>These are three Critical Process Parameters (CPPs) of continuous upstream mAb production which have been explicitly included in the model.</w:t>
      </w:r>
      <w:r w:rsidR="002B024F" w:rsidRPr="002B024F">
        <w:t xml:space="preserve"> </w:t>
      </w:r>
      <w:r w:rsidR="0011773D">
        <w:t>To capture all phases of bioreactor operation,</w:t>
      </w:r>
      <w:r w:rsidR="002B024F" w:rsidRPr="002B024F">
        <w:t xml:space="preserve"> the derivative term in the general mass balance is maintained</w:t>
      </w:r>
      <w:r w:rsidR="00B3691D">
        <w:t>,</w:t>
      </w:r>
      <w:r w:rsidR="002B024F" w:rsidRPr="002B024F">
        <w:t xml:space="preserve"> discretized via </w:t>
      </w:r>
      <w:r w:rsidR="0011773D">
        <w:t>forward</w:t>
      </w:r>
      <w:r w:rsidR="002B024F" w:rsidRPr="002B024F">
        <w:t xml:space="preserve"> finite difference</w:t>
      </w:r>
      <w:r w:rsidR="00402ABA">
        <w:t>s</w:t>
      </w:r>
      <w:r w:rsidR="00B3691D">
        <w:t xml:space="preserve">, and </w:t>
      </w:r>
      <w:r w:rsidR="002B024F" w:rsidRPr="002B024F">
        <w:t>re-arranged to solve for the extracellular concentration of each measured species at the next time point</w:t>
      </w:r>
      <w:r w:rsidR="00B3691D">
        <w:t xml:space="preserve">, </w:t>
      </w:r>
      <w:r w:rsidR="0011773D">
        <w:t>Eq. (</w:t>
      </w:r>
      <w:r w:rsidR="00B3691D">
        <w:t>4</w:t>
      </w:r>
      <w:r w:rsidR="0011773D">
        <w:t>).</w:t>
      </w:r>
    </w:p>
    <w:p w14:paraId="1CBE8DAE" w14:textId="77777777" w:rsidR="0011773D" w:rsidRPr="0011773D" w:rsidRDefault="0011773D" w:rsidP="0011773D">
      <w:pPr>
        <w:jc w:val="both"/>
        <w:rPr>
          <w:sz w:val="12"/>
          <w:szCs w:val="12"/>
        </w:rPr>
      </w:pPr>
    </w:p>
    <w:tbl>
      <w:tblPr>
        <w:tblStyle w:val="TableGrid"/>
        <w:tblW w:w="7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450"/>
      </w:tblGrid>
      <w:tr w:rsidR="0011773D" w:rsidRPr="002B024F" w14:paraId="168A5AD9" w14:textId="77777777" w:rsidTr="0011773D">
        <w:tc>
          <w:tcPr>
            <w:tcW w:w="6655" w:type="dxa"/>
          </w:tcPr>
          <w:p w14:paraId="0F8C7E25" w14:textId="5509A50E" w:rsidR="0011773D" w:rsidRPr="0011773D" w:rsidRDefault="00000000" w:rsidP="00A22120">
            <w:pPr>
              <w:jc w:val="both"/>
              <w:rPr>
                <w:rFonts w:ascii="Times New Roman" w:hAnsi="Times New Roman" w:cs="Times New Roman"/>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rPr>
                    <m:t>C</m:t>
                  </m:r>
                </m:e>
                <m:sub>
                  <m:r>
                    <w:rPr>
                      <w:rFonts w:ascii="Cambria Math" w:hAnsi="Cambria Math" w:cs="Times New Roman"/>
                      <w:sz w:val="20"/>
                      <w:szCs w:val="20"/>
                    </w:rPr>
                    <m:t>i+1</m:t>
                  </m:r>
                </m:sub>
              </m:sSub>
              <m:r>
                <w:rPr>
                  <w:rFonts w:ascii="Cambria Math" w:hAnsi="Cambria Math" w:cs="Times New Roman"/>
                  <w:sz w:val="20"/>
                  <w:szCs w:val="20"/>
                </w:rPr>
                <m:t>=</m:t>
              </m:r>
              <m:f>
                <m:fPr>
                  <m:ctrlPr>
                    <w:rPr>
                      <w:rFonts w:ascii="Cambria Math" w:hAnsi="Cambria Math" w:cs="Times New Roman"/>
                      <w:i/>
                      <w:iCs/>
                      <w:sz w:val="20"/>
                      <w:szCs w:val="20"/>
                    </w:rPr>
                  </m:ctrlPr>
                </m:fPr>
                <m:num>
                  <m:d>
                    <m:dPr>
                      <m:ctrlPr>
                        <w:rPr>
                          <w:rFonts w:ascii="Cambria Math" w:hAnsi="Cambria Math" w:cs="Times New Roman"/>
                          <w:i/>
                          <w:iCs/>
                          <w:sz w:val="20"/>
                          <w:szCs w:val="20"/>
                        </w:rPr>
                      </m:ctrlPr>
                    </m:dPr>
                    <m:e>
                      <m:r>
                        <w:rPr>
                          <w:rFonts w:ascii="Cambria Math" w:hAnsi="Cambria Math" w:cs="Times New Roman"/>
                          <w:sz w:val="20"/>
                          <w:szCs w:val="20"/>
                        </w:rPr>
                        <m:t>D</m:t>
                      </m:r>
                      <m:sSub>
                        <m:sSubPr>
                          <m:ctrlPr>
                            <w:rPr>
                              <w:rFonts w:ascii="Cambria Math" w:hAnsi="Cambria Math" w:cs="Times New Roman"/>
                              <w:i/>
                              <w:iCs/>
                              <w:sz w:val="20"/>
                              <w:szCs w:val="20"/>
                            </w:rPr>
                          </m:ctrlPr>
                        </m:sSubPr>
                        <m:e>
                          <m:r>
                            <w:rPr>
                              <w:rFonts w:ascii="Cambria Math" w:hAnsi="Cambria Math" w:cs="Times New Roman"/>
                              <w:sz w:val="20"/>
                              <w:szCs w:val="20"/>
                            </w:rPr>
                            <m:t>C</m:t>
                          </m:r>
                        </m:e>
                        <m:sub>
                          <m:r>
                            <w:rPr>
                              <w:rFonts w:ascii="Cambria Math" w:hAnsi="Cambria Math" w:cs="Times New Roman"/>
                              <w:sz w:val="20"/>
                              <w:szCs w:val="20"/>
                            </w:rPr>
                            <m:t>feed</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q</m:t>
                          </m:r>
                        </m:e>
                        <m:sub>
                          <m:r>
                            <w:rPr>
                              <w:rFonts w:ascii="Cambria Math" w:hAnsi="Cambria Math" w:cs="Times New Roman"/>
                              <w:sz w:val="20"/>
                              <w:szCs w:val="20"/>
                            </w:rPr>
                            <m:t>i</m:t>
                          </m:r>
                        </m:sub>
                      </m:sSub>
                      <m:sSub>
                        <m:sSubPr>
                          <m:ctrlPr>
                            <w:rPr>
                              <w:rFonts w:ascii="Cambria Math" w:hAnsi="Cambria Math" w:cs="Times New Roman"/>
                              <w:i/>
                              <w:iCs/>
                              <w:sz w:val="20"/>
                              <w:szCs w:val="20"/>
                            </w:rPr>
                          </m:ctrlPr>
                        </m:sSubPr>
                        <m:e>
                          <m:r>
                            <w:rPr>
                              <w:rFonts w:ascii="Cambria Math" w:hAnsi="Cambria Math" w:cs="Times New Roman"/>
                              <w:sz w:val="20"/>
                              <w:szCs w:val="20"/>
                            </w:rPr>
                            <m:t>X</m:t>
                          </m:r>
                        </m:e>
                        <m:sub>
                          <m:r>
                            <w:rPr>
                              <w:rFonts w:ascii="Cambria Math" w:hAnsi="Cambria Math" w:cs="Times New Roman"/>
                              <w:sz w:val="20"/>
                              <w:szCs w:val="20"/>
                            </w:rPr>
                            <m:t>avg</m:t>
                          </m:r>
                        </m:sub>
                      </m:sSub>
                    </m:e>
                  </m:d>
                  <m:d>
                    <m:dPr>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t</m:t>
                          </m:r>
                        </m:e>
                        <m:sub>
                          <m:r>
                            <w:rPr>
                              <w:rFonts w:ascii="Cambria Math" w:hAnsi="Cambria Math" w:cs="Times New Roman"/>
                              <w:sz w:val="20"/>
                              <w:szCs w:val="20"/>
                            </w:rPr>
                            <m:t>i+1</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e>
                  </m:d>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C</m:t>
                      </m:r>
                    </m:e>
                    <m:sub>
                      <m:r>
                        <w:rPr>
                          <w:rFonts w:ascii="Cambria Math" w:hAnsi="Cambria Math" w:cs="Times New Roman"/>
                          <w:sz w:val="20"/>
                          <w:szCs w:val="20"/>
                        </w:rPr>
                        <m:t>i</m:t>
                      </m:r>
                    </m:sub>
                  </m:sSub>
                </m:num>
                <m:den>
                  <m:r>
                    <w:rPr>
                      <w:rFonts w:ascii="Cambria Math" w:hAnsi="Cambria Math" w:cs="Times New Roman"/>
                      <w:sz w:val="20"/>
                      <w:szCs w:val="20"/>
                    </w:rPr>
                    <m:t>1+D(</m:t>
                  </m:r>
                  <m:sSub>
                    <m:sSubPr>
                      <m:ctrlPr>
                        <w:rPr>
                          <w:rFonts w:ascii="Cambria Math" w:hAnsi="Cambria Math" w:cs="Times New Roman"/>
                          <w:i/>
                          <w:iCs/>
                          <w:sz w:val="20"/>
                          <w:szCs w:val="20"/>
                        </w:rPr>
                      </m:ctrlPr>
                    </m:sSubPr>
                    <m:e>
                      <m:r>
                        <w:rPr>
                          <w:rFonts w:ascii="Cambria Math" w:hAnsi="Cambria Math" w:cs="Times New Roman"/>
                          <w:sz w:val="20"/>
                          <w:szCs w:val="20"/>
                        </w:rPr>
                        <m:t>t</m:t>
                      </m:r>
                    </m:e>
                    <m:sub>
                      <m:r>
                        <w:rPr>
                          <w:rFonts w:ascii="Cambria Math" w:hAnsi="Cambria Math" w:cs="Times New Roman"/>
                          <w:sz w:val="20"/>
                          <w:szCs w:val="20"/>
                        </w:rPr>
                        <m:t>i+1</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r>
                    <w:rPr>
                      <w:rFonts w:ascii="Cambria Math" w:hAnsi="Cambria Math" w:cs="Times New Roman"/>
                      <w:sz w:val="20"/>
                      <w:szCs w:val="20"/>
                    </w:rPr>
                    <m:t>)</m:t>
                  </m:r>
                </m:den>
              </m:f>
            </m:oMath>
            <w:r w:rsidR="0011773D">
              <w:rPr>
                <w:rFonts w:ascii="Times New Roman" w:hAnsi="Times New Roman" w:cs="Times New Roman"/>
                <w:iCs/>
                <w:sz w:val="20"/>
                <w:szCs w:val="20"/>
              </w:rPr>
              <w:t xml:space="preserve"> </w:t>
            </w:r>
          </w:p>
        </w:tc>
        <w:tc>
          <w:tcPr>
            <w:tcW w:w="450" w:type="dxa"/>
          </w:tcPr>
          <w:p w14:paraId="1BD00632" w14:textId="5047ECFC" w:rsidR="0011773D" w:rsidRPr="002B024F" w:rsidRDefault="0011773D" w:rsidP="00A22120">
            <w:pPr>
              <w:jc w:val="right"/>
              <w:rPr>
                <w:rFonts w:ascii="Times New Roman" w:hAnsi="Times New Roman" w:cs="Times New Roman"/>
                <w:sz w:val="20"/>
                <w:szCs w:val="20"/>
              </w:rPr>
            </w:pPr>
            <w:r w:rsidRPr="002B024F">
              <w:rPr>
                <w:rFonts w:ascii="Times New Roman" w:hAnsi="Times New Roman" w:cs="Times New Roman"/>
                <w:sz w:val="20"/>
                <w:szCs w:val="20"/>
              </w:rPr>
              <w:t>(</w:t>
            </w:r>
            <w:r w:rsidR="00A42F5B">
              <w:rPr>
                <w:rFonts w:ascii="Times New Roman" w:hAnsi="Times New Roman" w:cs="Times New Roman"/>
                <w:sz w:val="20"/>
                <w:szCs w:val="20"/>
              </w:rPr>
              <w:t>4</w:t>
            </w:r>
            <w:r w:rsidRPr="002B024F">
              <w:rPr>
                <w:rFonts w:ascii="Times New Roman" w:hAnsi="Times New Roman" w:cs="Times New Roman"/>
                <w:sz w:val="20"/>
                <w:szCs w:val="20"/>
              </w:rPr>
              <w:t>)</w:t>
            </w:r>
          </w:p>
        </w:tc>
      </w:tr>
    </w:tbl>
    <w:p w14:paraId="2C31764B" w14:textId="77777777" w:rsidR="0011773D" w:rsidRDefault="0011773D" w:rsidP="002B024F">
      <w:pPr>
        <w:jc w:val="both"/>
        <w:rPr>
          <w:sz w:val="12"/>
          <w:szCs w:val="12"/>
        </w:rPr>
      </w:pPr>
    </w:p>
    <w:p w14:paraId="12B12CD4" w14:textId="6E105B31" w:rsidR="002B024F" w:rsidRDefault="00000000" w:rsidP="002B024F">
      <w:pPr>
        <w:jc w:val="both"/>
        <w:rPr>
          <w:rFonts w:eastAsia="MS Mincho"/>
          <w:sz w:val="12"/>
          <w:szCs w:val="12"/>
        </w:rPr>
      </w:pPr>
      <m:oMath>
        <m:sSub>
          <m:sSubPr>
            <m:ctrlPr>
              <w:rPr>
                <w:rFonts w:ascii="Cambria Math" w:hAnsi="Cambria Math"/>
                <w:i/>
              </w:rPr>
            </m:ctrlPr>
          </m:sSubPr>
          <m:e>
            <m:r>
              <w:rPr>
                <w:rFonts w:ascii="Cambria Math" w:hAnsi="Cambria Math"/>
              </w:rPr>
              <m:t>C</m:t>
            </m:r>
          </m:e>
          <m:sub>
            <m:r>
              <w:rPr>
                <w:rFonts w:ascii="Cambria Math" w:hAnsi="Cambria Math"/>
              </w:rPr>
              <m:t>i+1</m:t>
            </m:r>
          </m:sub>
        </m:sSub>
      </m:oMath>
      <w:r w:rsidR="002B024F" w:rsidRPr="002B024F">
        <w:t xml:space="preserve"> is the concentration of any species at the next time point,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2B024F" w:rsidRPr="002B024F">
        <w:t xml:space="preserve"> is concentration of any species at the present timepoint, </w:t>
      </w:r>
      <m:oMath>
        <m:sSub>
          <m:sSubPr>
            <m:ctrlPr>
              <w:rPr>
                <w:rFonts w:ascii="Cambria Math" w:hAnsi="Cambria Math"/>
                <w:i/>
              </w:rPr>
            </m:ctrlPr>
          </m:sSubPr>
          <m:e>
            <m:r>
              <w:rPr>
                <w:rFonts w:ascii="Cambria Math" w:hAnsi="Cambria Math"/>
              </w:rPr>
              <m:t>C</m:t>
            </m:r>
          </m:e>
          <m:sub>
            <m:r>
              <w:rPr>
                <w:rFonts w:ascii="Cambria Math" w:hAnsi="Cambria Math"/>
              </w:rPr>
              <m:t>feed</m:t>
            </m:r>
          </m:sub>
        </m:sSub>
      </m:oMath>
      <w:r w:rsidR="002B024F" w:rsidRPr="002B024F">
        <w:t xml:space="preserve"> is the concentration of any species in the media,</w:t>
      </w:r>
      <m:oMath>
        <m:r>
          <w:rPr>
            <w:rFonts w:ascii="Cambria Math" w:hAnsi="Cambria Math"/>
          </w:rPr>
          <m:t xml:space="preserve"> D</m:t>
        </m:r>
      </m:oMath>
      <w:r w:rsidR="002B024F" w:rsidRPr="002B024F">
        <w:t xml:space="preserve"> is the perfusion rate, </w:t>
      </w:r>
      <m:oMath>
        <m:sSub>
          <m:sSubPr>
            <m:ctrlPr>
              <w:rPr>
                <w:rFonts w:ascii="Cambria Math" w:hAnsi="Cambria Math"/>
                <w:i/>
              </w:rPr>
            </m:ctrlPr>
          </m:sSubPr>
          <m:e>
            <m:r>
              <w:rPr>
                <w:rFonts w:ascii="Cambria Math" w:hAnsi="Cambria Math"/>
              </w:rPr>
              <m:t>q</m:t>
            </m:r>
          </m:e>
          <m:sub>
            <m:r>
              <w:rPr>
                <w:rFonts w:ascii="Cambria Math" w:hAnsi="Cambria Math"/>
              </w:rPr>
              <m:t>i</m:t>
            </m:r>
          </m:sub>
        </m:sSub>
      </m:oMath>
      <w:r w:rsidR="002B024F" w:rsidRPr="002B024F">
        <w:t xml:space="preserve"> is the consumption or production rate of any species at the present timepoint, </w:t>
      </w:r>
      <m:oMath>
        <m:sSub>
          <m:sSubPr>
            <m:ctrlPr>
              <w:rPr>
                <w:rFonts w:ascii="Cambria Math" w:hAnsi="Cambria Math"/>
                <w:i/>
              </w:rPr>
            </m:ctrlPr>
          </m:sSubPr>
          <m:e>
            <m:r>
              <w:rPr>
                <w:rFonts w:ascii="Cambria Math" w:hAnsi="Cambria Math"/>
              </w:rPr>
              <m:t>X</m:t>
            </m:r>
          </m:e>
          <m:sub>
            <m:r>
              <w:rPr>
                <w:rFonts w:ascii="Cambria Math" w:hAnsi="Cambria Math"/>
              </w:rPr>
              <m:t>avg</m:t>
            </m:r>
          </m:sub>
        </m:sSub>
      </m:oMath>
      <w:r w:rsidR="002B024F" w:rsidRPr="002B024F">
        <w:t xml:space="preserve"> is the average viable cell density between the two timepoints, </w:t>
      </w:r>
      <m:oMath>
        <m:sSub>
          <m:sSubPr>
            <m:ctrlPr>
              <w:rPr>
                <w:rFonts w:ascii="Cambria Math" w:hAnsi="Cambria Math"/>
                <w:i/>
              </w:rPr>
            </m:ctrlPr>
          </m:sSubPr>
          <m:e>
            <m:r>
              <w:rPr>
                <w:rFonts w:ascii="Cambria Math" w:hAnsi="Cambria Math"/>
              </w:rPr>
              <m:t>t</m:t>
            </m:r>
          </m:e>
          <m:sub>
            <m:r>
              <w:rPr>
                <w:rFonts w:ascii="Cambria Math" w:hAnsi="Cambria Math"/>
              </w:rPr>
              <m:t>i+1</m:t>
            </m:r>
          </m:sub>
        </m:sSub>
      </m:oMath>
      <w:r w:rsidR="002B024F" w:rsidRPr="002B024F">
        <w:t xml:space="preserve"> is the next time point, and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2B024F" w:rsidRPr="002B024F">
        <w:t xml:space="preserve"> is the present timepoint. </w:t>
      </w:r>
      <w:r w:rsidR="002B024F" w:rsidRPr="002B024F">
        <w:rPr>
          <w:rFonts w:eastAsia="MS Mincho"/>
        </w:rPr>
        <w:t>The cell bleed</w:t>
      </w:r>
      <w:r w:rsidR="00540DA4">
        <w:rPr>
          <w:rFonts w:eastAsia="MS Mincho"/>
        </w:rPr>
        <w:t>, Eq. (</w:t>
      </w:r>
      <w:r w:rsidR="00A42F5B">
        <w:rPr>
          <w:rFonts w:eastAsia="MS Mincho"/>
        </w:rPr>
        <w:t>5</w:t>
      </w:r>
      <w:r w:rsidR="00540DA4">
        <w:rPr>
          <w:rFonts w:eastAsia="MS Mincho"/>
        </w:rPr>
        <w:t>)</w:t>
      </w:r>
      <w:r w:rsidR="00B3691D">
        <w:rPr>
          <w:rFonts w:eastAsia="MS Mincho"/>
        </w:rPr>
        <w:t xml:space="preserve">, </w:t>
      </w:r>
      <w:r w:rsidR="002B024F" w:rsidRPr="002B024F">
        <w:rPr>
          <w:rFonts w:eastAsia="MS Mincho"/>
        </w:rPr>
        <w:t>is simulated as a discrete event to align with its intermittent</w:t>
      </w:r>
      <w:r w:rsidR="009D74CD">
        <w:rPr>
          <w:rFonts w:eastAsia="MS Mincho"/>
        </w:rPr>
        <w:t xml:space="preserve"> application</w:t>
      </w:r>
      <w:r w:rsidR="002B024F" w:rsidRPr="002B024F">
        <w:rPr>
          <w:rFonts w:eastAsia="MS Mincho"/>
        </w:rPr>
        <w:t xml:space="preserve"> </w:t>
      </w:r>
      <w:r w:rsidR="00540DA4">
        <w:rPr>
          <w:rFonts w:eastAsia="MS Mincho"/>
        </w:rPr>
        <w:t>during experiments</w:t>
      </w:r>
      <w:r w:rsidR="002B024F" w:rsidRPr="002B024F">
        <w:rPr>
          <w:rFonts w:eastAsia="MS Mincho"/>
        </w:rPr>
        <w:t>, and the concentration of each measured species after a cell bleed can be predicted accordingly</w:t>
      </w:r>
      <w:r w:rsidR="009D74CD">
        <w:rPr>
          <w:rFonts w:eastAsia="MS Mincho"/>
        </w:rPr>
        <w:t>.</w:t>
      </w:r>
    </w:p>
    <w:p w14:paraId="6C823D25" w14:textId="77777777" w:rsidR="0072595E" w:rsidRPr="0072595E" w:rsidRDefault="0072595E" w:rsidP="002B024F">
      <w:pPr>
        <w:jc w:val="both"/>
        <w:rPr>
          <w:rFonts w:eastAsia="MS Mincho"/>
          <w:sz w:val="12"/>
          <w:szCs w:val="12"/>
        </w:rPr>
      </w:pPr>
    </w:p>
    <w:tbl>
      <w:tblPr>
        <w:tblStyle w:val="TableGrid"/>
        <w:tblW w:w="7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450"/>
      </w:tblGrid>
      <w:tr w:rsidR="0072595E" w:rsidRPr="002B024F" w14:paraId="38E266C8" w14:textId="77777777" w:rsidTr="009D74CD">
        <w:tc>
          <w:tcPr>
            <w:tcW w:w="6655" w:type="dxa"/>
          </w:tcPr>
          <w:p w14:paraId="79053C45" w14:textId="0D433E14" w:rsidR="0072595E" w:rsidRPr="0072595E" w:rsidRDefault="00000000" w:rsidP="0072595E">
            <w:pPr>
              <w:rPr>
                <w:rFonts w:ascii="Times New Roman" w:hAnsi="Times New Roman"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rPr>
                    <m:t>V</m:t>
                  </m:r>
                </m:e>
                <m:sub>
                  <m:r>
                    <w:rPr>
                      <w:rFonts w:ascii="Cambria Math" w:hAnsi="Cambria Math" w:cs="Times New Roman"/>
                      <w:sz w:val="20"/>
                      <w:szCs w:val="20"/>
                    </w:rPr>
                    <m:t>bleed</m:t>
                  </m:r>
                </m:sub>
              </m:sSub>
              <m:r>
                <w:rPr>
                  <w:rFonts w:ascii="Cambria Math" w:hAnsi="Cambria Math" w:cs="Times New Roman"/>
                  <w:sz w:val="20"/>
                  <w:szCs w:val="20"/>
                </w:rPr>
                <m:t>=V</m:t>
              </m:r>
              <m:d>
                <m:dPr>
                  <m:ctrlPr>
                    <w:rPr>
                      <w:rFonts w:ascii="Cambria Math" w:hAnsi="Cambria Math" w:cs="Times New Roman"/>
                      <w:i/>
                      <w:iCs/>
                      <w:sz w:val="20"/>
                      <w:szCs w:val="20"/>
                    </w:rPr>
                  </m:ctrlPr>
                </m:dPr>
                <m:e>
                  <m:r>
                    <w:rPr>
                      <w:rFonts w:ascii="Cambria Math" w:hAnsi="Cambria Math" w:cs="Times New Roman"/>
                      <w:sz w:val="20"/>
                      <w:szCs w:val="20"/>
                    </w:rPr>
                    <m:t>1-</m:t>
                  </m:r>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X</m:t>
                          </m:r>
                        </m:e>
                        <m:sub>
                          <m:r>
                            <w:rPr>
                              <w:rFonts w:ascii="Cambria Math" w:hAnsi="Cambria Math" w:cs="Times New Roman"/>
                              <w:sz w:val="20"/>
                              <w:szCs w:val="20"/>
                            </w:rPr>
                            <m:t>sp</m:t>
                          </m:r>
                        </m:sub>
                      </m:sSub>
                    </m:num>
                    <m:den>
                      <m:sSub>
                        <m:sSubPr>
                          <m:ctrlPr>
                            <w:rPr>
                              <w:rFonts w:ascii="Cambria Math" w:hAnsi="Cambria Math" w:cs="Times New Roman"/>
                              <w:i/>
                              <w:iCs/>
                              <w:sz w:val="20"/>
                              <w:szCs w:val="20"/>
                            </w:rPr>
                          </m:ctrlPr>
                        </m:sSubPr>
                        <m:e>
                          <m:r>
                            <w:rPr>
                              <w:rFonts w:ascii="Cambria Math" w:hAnsi="Cambria Math" w:cs="Times New Roman"/>
                              <w:sz w:val="20"/>
                              <w:szCs w:val="20"/>
                            </w:rPr>
                            <m:t>X</m:t>
                          </m:r>
                        </m:e>
                        <m:sub>
                          <m:r>
                            <w:rPr>
                              <w:rFonts w:ascii="Cambria Math" w:hAnsi="Cambria Math" w:cs="Times New Roman"/>
                              <w:sz w:val="20"/>
                              <w:szCs w:val="20"/>
                            </w:rPr>
                            <m:t>current</m:t>
                          </m:r>
                        </m:sub>
                      </m:sSub>
                    </m:den>
                  </m:f>
                </m:e>
              </m:d>
            </m:oMath>
            <w:r w:rsidR="0072595E">
              <w:rPr>
                <w:rFonts w:ascii="Times New Roman" w:hAnsi="Times New Roman" w:cs="Times New Roman"/>
                <w:iCs/>
                <w:sz w:val="20"/>
                <w:szCs w:val="20"/>
              </w:rPr>
              <w:t xml:space="preserve"> </w:t>
            </w:r>
          </w:p>
          <w:p w14:paraId="659A35D2" w14:textId="6CEA48B8" w:rsidR="0072595E" w:rsidRPr="0072595E" w:rsidRDefault="0072595E" w:rsidP="0072595E">
            <w:pPr>
              <w:rPr>
                <w:rFonts w:ascii="Times New Roman" w:hAnsi="Times New Roman" w:cs="Times New Roman"/>
                <w:sz w:val="12"/>
                <w:szCs w:val="12"/>
              </w:rPr>
            </w:pPr>
          </w:p>
        </w:tc>
        <w:tc>
          <w:tcPr>
            <w:tcW w:w="450" w:type="dxa"/>
          </w:tcPr>
          <w:p w14:paraId="680F9560" w14:textId="0C753E11" w:rsidR="0072595E" w:rsidRPr="002B024F" w:rsidRDefault="0072595E" w:rsidP="00A22120">
            <w:pPr>
              <w:jc w:val="right"/>
              <w:rPr>
                <w:rFonts w:ascii="Times New Roman" w:hAnsi="Times New Roman" w:cs="Times New Roman"/>
                <w:sz w:val="20"/>
                <w:szCs w:val="20"/>
              </w:rPr>
            </w:pPr>
            <w:r w:rsidRPr="002B024F">
              <w:rPr>
                <w:rFonts w:ascii="Times New Roman" w:hAnsi="Times New Roman" w:cs="Times New Roman"/>
                <w:sz w:val="20"/>
                <w:szCs w:val="20"/>
              </w:rPr>
              <w:t>(</w:t>
            </w:r>
            <w:r w:rsidR="00A42F5B">
              <w:rPr>
                <w:rFonts w:ascii="Times New Roman" w:hAnsi="Times New Roman" w:cs="Times New Roman"/>
                <w:sz w:val="20"/>
                <w:szCs w:val="20"/>
              </w:rPr>
              <w:t>5</w:t>
            </w:r>
            <w:r w:rsidRPr="002B024F">
              <w:rPr>
                <w:rFonts w:ascii="Times New Roman" w:hAnsi="Times New Roman" w:cs="Times New Roman"/>
                <w:sz w:val="20"/>
                <w:szCs w:val="20"/>
              </w:rPr>
              <w:t>)</w:t>
            </w:r>
          </w:p>
        </w:tc>
      </w:tr>
    </w:tbl>
    <w:p w14:paraId="404E8F84" w14:textId="77777777" w:rsidR="0072595E" w:rsidRDefault="0072595E" w:rsidP="002B024F">
      <w:pPr>
        <w:jc w:val="both"/>
        <w:rPr>
          <w:sz w:val="12"/>
          <w:szCs w:val="12"/>
        </w:rPr>
      </w:pPr>
    </w:p>
    <w:p w14:paraId="60498873" w14:textId="2FBEDAA2" w:rsidR="009D74CD" w:rsidRDefault="00000000" w:rsidP="009D74CD">
      <w:pPr>
        <w:jc w:val="both"/>
        <w:rPr>
          <w:rFonts w:eastAsia="MS Mincho"/>
          <w:sz w:val="12"/>
          <w:szCs w:val="12"/>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bleed</m:t>
            </m:r>
          </m:sub>
        </m:sSub>
      </m:oMath>
      <w:r w:rsidR="002B024F" w:rsidRPr="002B024F">
        <w:rPr>
          <w:rFonts w:eastAsia="MS Mincho"/>
        </w:rPr>
        <w:t xml:space="preserve"> is the required bleed volume, </w:t>
      </w:r>
      <m:oMath>
        <m:r>
          <w:rPr>
            <w:rFonts w:ascii="Cambria Math" w:eastAsia="MS Mincho" w:hAnsi="Cambria Math"/>
          </w:rPr>
          <m:t>V</m:t>
        </m:r>
      </m:oMath>
      <w:r w:rsidR="002B024F" w:rsidRPr="002B024F">
        <w:rPr>
          <w:rFonts w:eastAsia="MS Mincho"/>
        </w:rPr>
        <w:t xml:space="preserve"> is the bioreactor working volume, </w:t>
      </w:r>
      <m:oMath>
        <m:sSub>
          <m:sSubPr>
            <m:ctrlPr>
              <w:rPr>
                <w:rFonts w:ascii="Cambria Math" w:eastAsia="MS Mincho" w:hAnsi="Cambria Math"/>
                <w:i/>
              </w:rPr>
            </m:ctrlPr>
          </m:sSubPr>
          <m:e>
            <m:r>
              <w:rPr>
                <w:rFonts w:ascii="Cambria Math" w:eastAsia="MS Mincho" w:hAnsi="Cambria Math"/>
              </w:rPr>
              <m:t>X</m:t>
            </m:r>
          </m:e>
          <m:sub>
            <m:r>
              <w:rPr>
                <w:rFonts w:ascii="Cambria Math" w:eastAsia="MS Mincho" w:hAnsi="Cambria Math"/>
              </w:rPr>
              <m:t>sp</m:t>
            </m:r>
          </m:sub>
        </m:sSub>
      </m:oMath>
      <w:r w:rsidR="002B024F" w:rsidRPr="002B024F">
        <w:rPr>
          <w:rFonts w:eastAsia="MS Mincho"/>
        </w:rPr>
        <w:t xml:space="preserve"> is the VCD setpoint, and </w:t>
      </w:r>
      <m:oMath>
        <m:sSub>
          <m:sSubPr>
            <m:ctrlPr>
              <w:rPr>
                <w:rFonts w:ascii="Cambria Math" w:eastAsia="MS Mincho" w:hAnsi="Cambria Math"/>
                <w:i/>
              </w:rPr>
            </m:ctrlPr>
          </m:sSubPr>
          <m:e>
            <m:r>
              <w:rPr>
                <w:rFonts w:ascii="Cambria Math" w:eastAsia="MS Mincho" w:hAnsi="Cambria Math"/>
              </w:rPr>
              <m:t>X</m:t>
            </m:r>
          </m:e>
          <m:sub>
            <m:r>
              <w:rPr>
                <w:rFonts w:ascii="Cambria Math" w:eastAsia="MS Mincho" w:hAnsi="Cambria Math"/>
              </w:rPr>
              <m:t>current</m:t>
            </m:r>
          </m:sub>
        </m:sSub>
      </m:oMath>
      <w:r w:rsidR="002B024F" w:rsidRPr="002B024F">
        <w:rPr>
          <w:rFonts w:eastAsia="MS Mincho"/>
        </w:rPr>
        <w:t xml:space="preserve"> is the presently measured VCD prior to engaging the bleed. </w:t>
      </w:r>
    </w:p>
    <w:p w14:paraId="00F62718" w14:textId="77777777" w:rsidR="00A1094B" w:rsidRPr="00A1094B" w:rsidRDefault="00A1094B" w:rsidP="009D74CD">
      <w:pPr>
        <w:jc w:val="both"/>
        <w:rPr>
          <w:rFonts w:eastAsia="MS Mincho"/>
          <w:sz w:val="12"/>
          <w:szCs w:val="12"/>
        </w:rPr>
      </w:pPr>
    </w:p>
    <w:p w14:paraId="551512B4" w14:textId="3AB3810E" w:rsidR="009D74CD" w:rsidRPr="009D74CD" w:rsidRDefault="00F546D1" w:rsidP="009D74CD">
      <w:pPr>
        <w:pStyle w:val="Els-referenceno-number"/>
        <w:numPr>
          <w:ilvl w:val="0"/>
          <w:numId w:val="19"/>
        </w:numPr>
        <w:rPr>
          <w:b/>
          <w:bCs/>
          <w:sz w:val="22"/>
          <w:szCs w:val="24"/>
          <w:lang w:val="en-US"/>
        </w:rPr>
      </w:pPr>
      <w:r w:rsidRPr="00F546D1">
        <w:rPr>
          <w:b/>
          <w:bCs/>
          <w:sz w:val="22"/>
          <w:szCs w:val="24"/>
          <w:lang w:val="en-US"/>
        </w:rPr>
        <w:t>Results and Discussion</w:t>
      </w:r>
    </w:p>
    <w:p w14:paraId="499B6DD1" w14:textId="77777777" w:rsidR="009D74CD" w:rsidRDefault="009D74CD" w:rsidP="009D74CD">
      <w:pPr>
        <w:pStyle w:val="Els-referenceno-number"/>
        <w:ind w:left="0" w:firstLine="360"/>
        <w:jc w:val="both"/>
        <w:rPr>
          <w:sz w:val="12"/>
          <w:szCs w:val="12"/>
          <w:lang w:val="en-US"/>
        </w:rPr>
      </w:pPr>
    </w:p>
    <w:p w14:paraId="68CB7373" w14:textId="074C8B3A" w:rsidR="00890792" w:rsidRDefault="009D74CD" w:rsidP="009D74CD">
      <w:pPr>
        <w:pStyle w:val="Els-referenceno-number"/>
        <w:ind w:left="0" w:firstLine="360"/>
        <w:jc w:val="both"/>
        <w:rPr>
          <w:sz w:val="20"/>
          <w:lang w:val="en-US"/>
        </w:rPr>
      </w:pPr>
      <w:r>
        <w:rPr>
          <w:sz w:val="20"/>
          <w:lang w:val="en-US"/>
        </w:rPr>
        <w:t>In addition to prior fed-batch work, time-series metabolic profiles of 24 species from s</w:t>
      </w:r>
      <w:r w:rsidRPr="00402ABA">
        <w:rPr>
          <w:sz w:val="20"/>
          <w:lang w:val="en-US"/>
        </w:rPr>
        <w:t>cale-down semi-perfusion CHO cell cultures, as described in Section 2,</w:t>
      </w:r>
      <w:r>
        <w:rPr>
          <w:sz w:val="20"/>
          <w:lang w:val="en-US"/>
        </w:rPr>
        <w:t xml:space="preserve"> provided the required data for model development and kinetic parameter estimation. Semi-perfusion cultures were grown without a cell bleed to approximate intensified process conditions characterized by industrially relevant VCDs</w:t>
      </w:r>
      <w:r w:rsidR="00861C91">
        <w:rPr>
          <w:sz w:val="20"/>
          <w:lang w:val="en-US"/>
        </w:rPr>
        <w:t xml:space="preserve">, corresponding cell-specific perfusion rates (CSPRs), </w:t>
      </w:r>
      <w:r>
        <w:rPr>
          <w:sz w:val="20"/>
          <w:lang w:val="en-US"/>
        </w:rPr>
        <w:t xml:space="preserve">and nutrient depletion. </w:t>
      </w:r>
    </w:p>
    <w:p w14:paraId="4DDF1B52" w14:textId="7F390366" w:rsidR="000579B6" w:rsidRDefault="000579B6" w:rsidP="00CC767B">
      <w:pPr>
        <w:pStyle w:val="Els-referenceno-number"/>
        <w:ind w:left="0" w:firstLine="360"/>
        <w:jc w:val="both"/>
        <w:rPr>
          <w:sz w:val="20"/>
          <w:lang w:val="en-US"/>
        </w:rPr>
      </w:pPr>
      <w:r>
        <w:rPr>
          <w:sz w:val="20"/>
          <w:lang w:val="en-US"/>
        </w:rPr>
        <w:t>Intensified semi-perfusion induces a range of metabolic states across the culture duration. Starting from exponential growth coupled with large nutrient consumption rates, the culture approaches fed-batch dynamics ending in reduced net growth with high productivity, indicative of the stationary phase. The mechanistic framework of the model, provided by the reduced reaction network and mass balances, captures the range of metabolic states with a single set of kinetic parameter values (Figure 1.a).</w:t>
      </w:r>
    </w:p>
    <w:p w14:paraId="673793AC" w14:textId="77777777" w:rsidR="009B47CC" w:rsidRDefault="009B47CC" w:rsidP="009D74CD">
      <w:pPr>
        <w:pStyle w:val="Els-referenceno-number"/>
        <w:ind w:left="0" w:firstLine="360"/>
        <w:jc w:val="both"/>
        <w:rPr>
          <w:sz w:val="12"/>
          <w:szCs w:val="12"/>
          <w:lang w:val="en-US"/>
        </w:rPr>
      </w:pPr>
    </w:p>
    <w:p w14:paraId="0B5BF4CB" w14:textId="77777777" w:rsidR="009D74CD" w:rsidRPr="009D74CD" w:rsidRDefault="009D74CD" w:rsidP="009D74CD">
      <w:pPr>
        <w:pStyle w:val="Els-referenceno-number"/>
        <w:ind w:left="0" w:firstLine="360"/>
        <w:jc w:val="both"/>
        <w:rPr>
          <w:sz w:val="12"/>
          <w:szCs w:val="1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1F75F5" w14:paraId="60A5B194" w14:textId="77777777" w:rsidTr="00A03EB4">
        <w:tc>
          <w:tcPr>
            <w:tcW w:w="3538" w:type="dxa"/>
          </w:tcPr>
          <w:p w14:paraId="72220E51" w14:textId="7CF2F7BE" w:rsidR="001F75F5" w:rsidRPr="00BD0B6B" w:rsidRDefault="00BD0B6B" w:rsidP="001F75F5">
            <w:pPr>
              <w:pStyle w:val="Els-referenceno-number"/>
              <w:ind w:left="0" w:firstLine="0"/>
              <w:rPr>
                <w:rFonts w:ascii="Times New Roman" w:hAnsi="Times New Roman" w:cs="Times New Roman"/>
                <w:sz w:val="20"/>
              </w:rPr>
            </w:pPr>
            <w:r w:rsidRPr="00BD0B6B">
              <w:rPr>
                <w:rFonts w:ascii="Times New Roman" w:hAnsi="Times New Roman" w:cs="Times New Roman"/>
                <w:sz w:val="20"/>
              </w:rPr>
              <w:t>a)</w:t>
            </w:r>
          </w:p>
        </w:tc>
        <w:tc>
          <w:tcPr>
            <w:tcW w:w="3538" w:type="dxa"/>
          </w:tcPr>
          <w:p w14:paraId="1F8C33A3" w14:textId="63A0593C" w:rsidR="001F75F5" w:rsidRPr="00BD0B6B" w:rsidRDefault="00BD0B6B" w:rsidP="001F75F5">
            <w:pPr>
              <w:pStyle w:val="Els-referenceno-number"/>
              <w:ind w:left="0" w:firstLine="0"/>
              <w:rPr>
                <w:rFonts w:ascii="Times New Roman" w:hAnsi="Times New Roman" w:cs="Times New Roman"/>
                <w:sz w:val="20"/>
              </w:rPr>
            </w:pPr>
            <w:r w:rsidRPr="00BD0B6B">
              <w:rPr>
                <w:rFonts w:ascii="Times New Roman" w:hAnsi="Times New Roman" w:cs="Times New Roman"/>
                <w:sz w:val="20"/>
              </w:rPr>
              <w:t>b)</w:t>
            </w:r>
          </w:p>
        </w:tc>
      </w:tr>
      <w:tr w:rsidR="001F75F5" w14:paraId="5AA824D2" w14:textId="77777777" w:rsidTr="00A03EB4">
        <w:tc>
          <w:tcPr>
            <w:tcW w:w="3538" w:type="dxa"/>
          </w:tcPr>
          <w:p w14:paraId="4F9A71E7" w14:textId="4B50880E" w:rsidR="001F75F5" w:rsidRDefault="006E0CBD" w:rsidP="006E0CBD">
            <w:pPr>
              <w:pStyle w:val="Els-referenceno-number"/>
              <w:ind w:left="0" w:firstLine="0"/>
              <w:jc w:val="center"/>
              <w:rPr>
                <w:sz w:val="20"/>
              </w:rPr>
            </w:pPr>
            <w:r>
              <w:drawing>
                <wp:inline distT="0" distB="0" distL="0" distR="0" wp14:anchorId="6B80590D" wp14:editId="0A968B7D">
                  <wp:extent cx="1446960" cy="1188720"/>
                  <wp:effectExtent l="0" t="0" r="1270" b="0"/>
                  <wp:docPr id="5" name="Picture 4" descr="A graph with numbers and a line&#10;&#10;Description automatically generated">
                    <a:extLst xmlns:a="http://schemas.openxmlformats.org/drawingml/2006/main">
                      <a:ext uri="{FF2B5EF4-FFF2-40B4-BE49-F238E27FC236}">
                        <a16:creationId xmlns:a16="http://schemas.microsoft.com/office/drawing/2014/main" id="{03FC6649-A37D-51FC-9EA7-838609E0AB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graph with numbers and a line&#10;&#10;Description automatically generated">
                            <a:extLst>
                              <a:ext uri="{FF2B5EF4-FFF2-40B4-BE49-F238E27FC236}">
                                <a16:creationId xmlns:a16="http://schemas.microsoft.com/office/drawing/2014/main" id="{03FC6649-A37D-51FC-9EA7-838609E0ABB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6960" cy="1188720"/>
                          </a:xfrm>
                          <a:prstGeom prst="rect">
                            <a:avLst/>
                          </a:prstGeom>
                        </pic:spPr>
                      </pic:pic>
                    </a:graphicData>
                  </a:graphic>
                </wp:inline>
              </w:drawing>
            </w:r>
          </w:p>
        </w:tc>
        <w:tc>
          <w:tcPr>
            <w:tcW w:w="3538" w:type="dxa"/>
          </w:tcPr>
          <w:p w14:paraId="73107D69" w14:textId="50695562" w:rsidR="001F75F5" w:rsidRDefault="006E0CBD" w:rsidP="006E0CBD">
            <w:pPr>
              <w:pStyle w:val="Els-referenceno-number"/>
              <w:ind w:left="0" w:firstLine="0"/>
              <w:jc w:val="center"/>
              <w:rPr>
                <w:sz w:val="20"/>
              </w:rPr>
            </w:pPr>
            <w:r>
              <w:drawing>
                <wp:inline distT="0" distB="0" distL="0" distR="0" wp14:anchorId="73FD66B1" wp14:editId="3049F9EA">
                  <wp:extent cx="1414167" cy="1188720"/>
                  <wp:effectExtent l="0" t="0" r="0" b="0"/>
                  <wp:docPr id="15" name="Picture 14" descr="A graph of a number of objects&#10;&#10;Description automatically generated">
                    <a:extLst xmlns:a="http://schemas.openxmlformats.org/drawingml/2006/main">
                      <a:ext uri="{FF2B5EF4-FFF2-40B4-BE49-F238E27FC236}">
                        <a16:creationId xmlns:a16="http://schemas.microsoft.com/office/drawing/2014/main" id="{487D591B-49DC-9806-23EE-50A2B2CB40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graph of a number of objects&#10;&#10;Description automatically generated">
                            <a:extLst>
                              <a:ext uri="{FF2B5EF4-FFF2-40B4-BE49-F238E27FC236}">
                                <a16:creationId xmlns:a16="http://schemas.microsoft.com/office/drawing/2014/main" id="{487D591B-49DC-9806-23EE-50A2B2CB40F9}"/>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4167" cy="1188720"/>
                          </a:xfrm>
                          <a:prstGeom prst="rect">
                            <a:avLst/>
                          </a:prstGeom>
                        </pic:spPr>
                      </pic:pic>
                    </a:graphicData>
                  </a:graphic>
                </wp:inline>
              </w:drawing>
            </w:r>
          </w:p>
        </w:tc>
      </w:tr>
      <w:tr w:rsidR="001F75F5" w14:paraId="55E84D11" w14:textId="77777777" w:rsidTr="00A03EB4">
        <w:tc>
          <w:tcPr>
            <w:tcW w:w="3538" w:type="dxa"/>
          </w:tcPr>
          <w:p w14:paraId="7F9979E8" w14:textId="2EE643FB" w:rsidR="001F75F5" w:rsidRDefault="006E0CBD" w:rsidP="006E0CBD">
            <w:pPr>
              <w:pStyle w:val="Els-referenceno-number"/>
              <w:ind w:left="0" w:firstLine="0"/>
              <w:jc w:val="center"/>
              <w:rPr>
                <w:sz w:val="20"/>
              </w:rPr>
            </w:pPr>
            <w:r>
              <w:drawing>
                <wp:inline distT="0" distB="0" distL="0" distR="0" wp14:anchorId="52CAC867" wp14:editId="2FFD76E4">
                  <wp:extent cx="1389574" cy="1188720"/>
                  <wp:effectExtent l="0" t="0" r="1270" b="0"/>
                  <wp:docPr id="7" name="Picture 6" descr="A graph of glucose&#10;&#10;Description automatically generated">
                    <a:extLst xmlns:a="http://schemas.openxmlformats.org/drawingml/2006/main">
                      <a:ext uri="{FF2B5EF4-FFF2-40B4-BE49-F238E27FC236}">
                        <a16:creationId xmlns:a16="http://schemas.microsoft.com/office/drawing/2014/main" id="{B59FFEBD-D9AF-4045-1A6B-D144CBCBAE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graph of glucose&#10;&#10;Description automatically generated">
                            <a:extLst>
                              <a:ext uri="{FF2B5EF4-FFF2-40B4-BE49-F238E27FC236}">
                                <a16:creationId xmlns:a16="http://schemas.microsoft.com/office/drawing/2014/main" id="{B59FFEBD-D9AF-4045-1A6B-D144CBCBAE6E}"/>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9574" cy="1188720"/>
                          </a:xfrm>
                          <a:prstGeom prst="rect">
                            <a:avLst/>
                          </a:prstGeom>
                        </pic:spPr>
                      </pic:pic>
                    </a:graphicData>
                  </a:graphic>
                </wp:inline>
              </w:drawing>
            </w:r>
          </w:p>
        </w:tc>
        <w:tc>
          <w:tcPr>
            <w:tcW w:w="3538" w:type="dxa"/>
          </w:tcPr>
          <w:p w14:paraId="3DE6AF85" w14:textId="22D936E8" w:rsidR="001F75F5" w:rsidRDefault="006E0CBD" w:rsidP="006E0CBD">
            <w:pPr>
              <w:pStyle w:val="Els-referenceno-number"/>
              <w:ind w:left="0" w:firstLine="0"/>
              <w:jc w:val="center"/>
              <w:rPr>
                <w:sz w:val="20"/>
              </w:rPr>
            </w:pPr>
            <w:r>
              <w:drawing>
                <wp:inline distT="0" distB="0" distL="0" distR="0" wp14:anchorId="021C2532" wp14:editId="0DFFFAEC">
                  <wp:extent cx="1389574" cy="1188720"/>
                  <wp:effectExtent l="0" t="0" r="1270" b="0"/>
                  <wp:docPr id="11" name="Picture 10" descr="A graph showing the amount of glucose&#10;&#10;Description automatically generated">
                    <a:extLst xmlns:a="http://schemas.openxmlformats.org/drawingml/2006/main">
                      <a:ext uri="{FF2B5EF4-FFF2-40B4-BE49-F238E27FC236}">
                        <a16:creationId xmlns:a16="http://schemas.microsoft.com/office/drawing/2014/main" id="{6CB7A6A0-017D-1F10-C9D8-477650AC6B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graph showing the amount of glucose&#10;&#10;Description automatically generated">
                            <a:extLst>
                              <a:ext uri="{FF2B5EF4-FFF2-40B4-BE49-F238E27FC236}">
                                <a16:creationId xmlns:a16="http://schemas.microsoft.com/office/drawing/2014/main" id="{6CB7A6A0-017D-1F10-C9D8-477650AC6B1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9574" cy="1188720"/>
                          </a:xfrm>
                          <a:prstGeom prst="rect">
                            <a:avLst/>
                          </a:prstGeom>
                        </pic:spPr>
                      </pic:pic>
                    </a:graphicData>
                  </a:graphic>
                </wp:inline>
              </w:drawing>
            </w:r>
          </w:p>
        </w:tc>
      </w:tr>
      <w:tr w:rsidR="001F75F5" w14:paraId="20DB5D43" w14:textId="77777777" w:rsidTr="00A03EB4">
        <w:tc>
          <w:tcPr>
            <w:tcW w:w="3538" w:type="dxa"/>
          </w:tcPr>
          <w:p w14:paraId="4BE17784" w14:textId="4587BD33" w:rsidR="001F75F5" w:rsidRDefault="006E0CBD" w:rsidP="006E0CBD">
            <w:pPr>
              <w:pStyle w:val="Els-referenceno-number"/>
              <w:ind w:left="0" w:firstLine="0"/>
              <w:jc w:val="center"/>
              <w:rPr>
                <w:sz w:val="20"/>
              </w:rPr>
            </w:pPr>
            <w:r>
              <w:drawing>
                <wp:inline distT="0" distB="0" distL="0" distR="0" wp14:anchorId="03721B15" wp14:editId="1013307F">
                  <wp:extent cx="1430563" cy="1188720"/>
                  <wp:effectExtent l="0" t="0" r="0" b="0"/>
                  <wp:docPr id="9" name="Picture 8" descr="A graph with black lines and white text&#10;&#10;Description automatically generated">
                    <a:extLst xmlns:a="http://schemas.openxmlformats.org/drawingml/2006/main">
                      <a:ext uri="{FF2B5EF4-FFF2-40B4-BE49-F238E27FC236}">
                        <a16:creationId xmlns:a16="http://schemas.microsoft.com/office/drawing/2014/main" id="{954FA307-E35D-1B5C-2FEF-58C813C4AC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graph with black lines and white text&#10;&#10;Description automatically generated">
                            <a:extLst>
                              <a:ext uri="{FF2B5EF4-FFF2-40B4-BE49-F238E27FC236}">
                                <a16:creationId xmlns:a16="http://schemas.microsoft.com/office/drawing/2014/main" id="{954FA307-E35D-1B5C-2FEF-58C813C4AC8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0563" cy="1188720"/>
                          </a:xfrm>
                          <a:prstGeom prst="rect">
                            <a:avLst/>
                          </a:prstGeom>
                        </pic:spPr>
                      </pic:pic>
                    </a:graphicData>
                  </a:graphic>
                </wp:inline>
              </w:drawing>
            </w:r>
          </w:p>
        </w:tc>
        <w:tc>
          <w:tcPr>
            <w:tcW w:w="3538" w:type="dxa"/>
          </w:tcPr>
          <w:p w14:paraId="23B2E3D6" w14:textId="4DF8792E" w:rsidR="001F75F5" w:rsidRDefault="006E0CBD" w:rsidP="006E0CBD">
            <w:pPr>
              <w:pStyle w:val="Els-referenceno-number"/>
              <w:ind w:left="0" w:firstLine="0"/>
              <w:jc w:val="center"/>
              <w:rPr>
                <w:sz w:val="20"/>
              </w:rPr>
            </w:pPr>
            <w:r>
              <w:drawing>
                <wp:inline distT="0" distB="0" distL="0" distR="0" wp14:anchorId="504DC72E" wp14:editId="0C50ACC0">
                  <wp:extent cx="1430562" cy="1188720"/>
                  <wp:effectExtent l="0" t="0" r="0" b="0"/>
                  <wp:docPr id="13" name="Picture 12" descr="A graph of a graph showing the time and time&#10;&#10;Description automatically generated with medium confidence">
                    <a:extLst xmlns:a="http://schemas.openxmlformats.org/drawingml/2006/main">
                      <a:ext uri="{FF2B5EF4-FFF2-40B4-BE49-F238E27FC236}">
                        <a16:creationId xmlns:a16="http://schemas.microsoft.com/office/drawing/2014/main" id="{0E9AC332-EF33-3BC0-F2BE-3A64BB04B7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graph of a graph showing the time and time&#10;&#10;Description automatically generated with medium confidence">
                            <a:extLst>
                              <a:ext uri="{FF2B5EF4-FFF2-40B4-BE49-F238E27FC236}">
                                <a16:creationId xmlns:a16="http://schemas.microsoft.com/office/drawing/2014/main" id="{0E9AC332-EF33-3BC0-F2BE-3A64BB04B7AE}"/>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0562" cy="1188720"/>
                          </a:xfrm>
                          <a:prstGeom prst="rect">
                            <a:avLst/>
                          </a:prstGeom>
                        </pic:spPr>
                      </pic:pic>
                    </a:graphicData>
                  </a:graphic>
                </wp:inline>
              </w:drawing>
            </w:r>
          </w:p>
        </w:tc>
      </w:tr>
      <w:tr w:rsidR="001F75F5" w14:paraId="321F521D" w14:textId="77777777" w:rsidTr="00A03EB4">
        <w:tc>
          <w:tcPr>
            <w:tcW w:w="3538" w:type="dxa"/>
          </w:tcPr>
          <w:p w14:paraId="1A95A8FC" w14:textId="463B5ABB" w:rsidR="001F75F5" w:rsidRDefault="006E0CBD" w:rsidP="006E0CBD">
            <w:pPr>
              <w:pStyle w:val="Els-referenceno-number"/>
              <w:ind w:left="0" w:firstLine="0"/>
              <w:jc w:val="center"/>
              <w:rPr>
                <w:sz w:val="20"/>
              </w:rPr>
            </w:pPr>
            <w:r>
              <w:drawing>
                <wp:inline distT="0" distB="0" distL="0" distR="0" wp14:anchorId="6E1497EA" wp14:editId="3C715570">
                  <wp:extent cx="1389574" cy="1188720"/>
                  <wp:effectExtent l="0" t="0" r="1270" b="0"/>
                  <wp:docPr id="17" name="Picture 16" descr="A graph of a model fit&#10;&#10;Description automatically generated">
                    <a:extLst xmlns:a="http://schemas.openxmlformats.org/drawingml/2006/main">
                      <a:ext uri="{FF2B5EF4-FFF2-40B4-BE49-F238E27FC236}">
                        <a16:creationId xmlns:a16="http://schemas.microsoft.com/office/drawing/2014/main" id="{5465F7E0-CDD8-81F4-6014-0DFC08B79D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A graph of a model fit&#10;&#10;Description automatically generated">
                            <a:extLst>
                              <a:ext uri="{FF2B5EF4-FFF2-40B4-BE49-F238E27FC236}">
                                <a16:creationId xmlns:a16="http://schemas.microsoft.com/office/drawing/2014/main" id="{5465F7E0-CDD8-81F4-6014-0DFC08B79DB0}"/>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9574" cy="1188720"/>
                          </a:xfrm>
                          <a:prstGeom prst="rect">
                            <a:avLst/>
                          </a:prstGeom>
                        </pic:spPr>
                      </pic:pic>
                    </a:graphicData>
                  </a:graphic>
                </wp:inline>
              </w:drawing>
            </w:r>
          </w:p>
        </w:tc>
        <w:tc>
          <w:tcPr>
            <w:tcW w:w="3538" w:type="dxa"/>
          </w:tcPr>
          <w:p w14:paraId="7A80969F" w14:textId="11BCC581" w:rsidR="001F75F5" w:rsidRDefault="006E0CBD" w:rsidP="006E0CBD">
            <w:pPr>
              <w:pStyle w:val="Els-referenceno-number"/>
              <w:ind w:left="0" w:firstLine="0"/>
              <w:jc w:val="center"/>
              <w:rPr>
                <w:sz w:val="20"/>
              </w:rPr>
            </w:pPr>
            <w:r>
              <w:rPr>
                <w:sz w:val="20"/>
              </w:rPr>
              <w:drawing>
                <wp:inline distT="0" distB="0" distL="0" distR="0" wp14:anchorId="56CF962E" wp14:editId="6436D0BB">
                  <wp:extent cx="1389591" cy="1188720"/>
                  <wp:effectExtent l="0" t="0" r="1270" b="0"/>
                  <wp:docPr id="18197631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9591" cy="1188720"/>
                          </a:xfrm>
                          <a:prstGeom prst="rect">
                            <a:avLst/>
                          </a:prstGeom>
                          <a:noFill/>
                        </pic:spPr>
                      </pic:pic>
                    </a:graphicData>
                  </a:graphic>
                </wp:inline>
              </w:drawing>
            </w:r>
          </w:p>
        </w:tc>
      </w:tr>
      <w:tr w:rsidR="00BD0B6B" w14:paraId="6046D7B8" w14:textId="77777777" w:rsidTr="00A03EB4">
        <w:tc>
          <w:tcPr>
            <w:tcW w:w="7076" w:type="dxa"/>
            <w:gridSpan w:val="2"/>
          </w:tcPr>
          <w:p w14:paraId="0D59D435" w14:textId="77777777" w:rsidR="0067427A" w:rsidRDefault="0067427A" w:rsidP="00D65B43">
            <w:pPr>
              <w:pStyle w:val="Els-referenceno-number"/>
              <w:ind w:left="0" w:firstLine="0"/>
              <w:jc w:val="both"/>
              <w:rPr>
                <w:rFonts w:ascii="Times New Roman" w:hAnsi="Times New Roman" w:cs="Times New Roman"/>
                <w:sz w:val="12"/>
                <w:szCs w:val="12"/>
              </w:rPr>
            </w:pPr>
          </w:p>
          <w:p w14:paraId="26C7F676" w14:textId="45756B4D" w:rsidR="00BD0B6B" w:rsidRPr="00792172" w:rsidRDefault="00BD0B6B" w:rsidP="00D65B43">
            <w:pPr>
              <w:pStyle w:val="Els-referenceno-number"/>
              <w:ind w:left="0" w:firstLine="0"/>
              <w:jc w:val="both"/>
              <w:rPr>
                <w:rFonts w:ascii="Times New Roman" w:hAnsi="Times New Roman" w:cs="Times New Roman"/>
                <w:sz w:val="20"/>
              </w:rPr>
            </w:pPr>
            <w:r w:rsidRPr="00792172">
              <w:rPr>
                <w:rFonts w:ascii="Times New Roman" w:hAnsi="Times New Roman" w:cs="Times New Roman"/>
                <w:sz w:val="20"/>
              </w:rPr>
              <w:t>Figure 1</w:t>
            </w:r>
            <w:r w:rsidR="006F34B1" w:rsidRPr="00792172">
              <w:rPr>
                <w:rFonts w:ascii="Times New Roman" w:hAnsi="Times New Roman" w:cs="Times New Roman"/>
                <w:sz w:val="20"/>
              </w:rPr>
              <w:t>.</w:t>
            </w:r>
            <w:r w:rsidR="007D36BB" w:rsidRPr="00792172">
              <w:rPr>
                <w:rFonts w:ascii="Times New Roman" w:hAnsi="Times New Roman" w:cs="Times New Roman"/>
                <w:sz w:val="20"/>
              </w:rPr>
              <w:t xml:space="preserve"> </w:t>
            </w:r>
            <w:r w:rsidR="00D65B43">
              <w:rPr>
                <w:rFonts w:ascii="Times New Roman" w:hAnsi="Times New Roman" w:cs="Times New Roman"/>
                <w:sz w:val="20"/>
              </w:rPr>
              <w:t>S</w:t>
            </w:r>
            <w:r w:rsidR="007D36BB" w:rsidRPr="00792172">
              <w:rPr>
                <w:rFonts w:ascii="Times New Roman" w:hAnsi="Times New Roman" w:cs="Times New Roman"/>
                <w:sz w:val="20"/>
              </w:rPr>
              <w:t>ubset of CHO</w:t>
            </w:r>
            <w:r w:rsidR="00B5058B">
              <w:rPr>
                <w:rFonts w:ascii="Times New Roman" w:hAnsi="Times New Roman" w:cs="Times New Roman"/>
                <w:sz w:val="20"/>
              </w:rPr>
              <w:t>-</w:t>
            </w:r>
            <w:r w:rsidR="007D36BB" w:rsidRPr="00792172">
              <w:rPr>
                <w:rFonts w:ascii="Times New Roman" w:hAnsi="Times New Roman" w:cs="Times New Roman"/>
                <w:sz w:val="20"/>
              </w:rPr>
              <w:t>K1 VRC01 cell metabolic profiles</w:t>
            </w:r>
            <w:r w:rsidR="000579B6">
              <w:rPr>
                <w:rFonts w:ascii="Times New Roman" w:hAnsi="Times New Roman" w:cs="Times New Roman"/>
                <w:sz w:val="20"/>
              </w:rPr>
              <w:t>.</w:t>
            </w:r>
            <w:r w:rsidR="007D36BB" w:rsidRPr="00792172">
              <w:rPr>
                <w:rFonts w:ascii="Times New Roman" w:hAnsi="Times New Roman" w:cs="Times New Roman"/>
                <w:sz w:val="20"/>
              </w:rPr>
              <w:t xml:space="preserve"> a) </w:t>
            </w:r>
            <w:r w:rsidR="000579B6">
              <w:rPr>
                <w:rFonts w:ascii="Times New Roman" w:hAnsi="Times New Roman" w:cs="Times New Roman"/>
                <w:sz w:val="20"/>
              </w:rPr>
              <w:t>S</w:t>
            </w:r>
            <w:r w:rsidR="007D36BB" w:rsidRPr="00792172">
              <w:rPr>
                <w:rFonts w:ascii="Times New Roman" w:hAnsi="Times New Roman" w:cs="Times New Roman"/>
                <w:sz w:val="20"/>
              </w:rPr>
              <w:t>cale-down semi-perfusion</w:t>
            </w:r>
            <w:r w:rsidR="000579B6">
              <w:rPr>
                <w:rFonts w:ascii="Times New Roman" w:hAnsi="Times New Roman" w:cs="Times New Roman"/>
                <w:sz w:val="20"/>
              </w:rPr>
              <w:t xml:space="preserve"> experimental </w:t>
            </w:r>
            <w:r w:rsidR="00347FF5">
              <w:rPr>
                <w:rFonts w:ascii="Times New Roman" w:hAnsi="Times New Roman" w:cs="Times New Roman"/>
                <w:sz w:val="20"/>
              </w:rPr>
              <w:t>data</w:t>
            </w:r>
            <w:r w:rsidR="000579B6">
              <w:rPr>
                <w:rFonts w:ascii="Times New Roman" w:hAnsi="Times New Roman" w:cs="Times New Roman"/>
                <w:sz w:val="20"/>
              </w:rPr>
              <w:t xml:space="preserve"> and model fits. </w:t>
            </w:r>
            <w:r w:rsidR="007D36BB" w:rsidRPr="00792172">
              <w:rPr>
                <w:rFonts w:ascii="Times New Roman" w:hAnsi="Times New Roman" w:cs="Times New Roman"/>
                <w:sz w:val="20"/>
              </w:rPr>
              <w:t xml:space="preserve">b) 1 L continuous perfusion bioreactor </w:t>
            </w:r>
            <w:r w:rsidR="000579B6">
              <w:rPr>
                <w:rFonts w:ascii="Times New Roman" w:hAnsi="Times New Roman" w:cs="Times New Roman"/>
                <w:sz w:val="20"/>
              </w:rPr>
              <w:t>experimental profiles and model predic</w:t>
            </w:r>
            <w:r w:rsidR="0029755A">
              <w:rPr>
                <w:rFonts w:ascii="Times New Roman" w:hAnsi="Times New Roman" w:cs="Times New Roman"/>
                <w:sz w:val="20"/>
              </w:rPr>
              <w:t>tions</w:t>
            </w:r>
            <w:r w:rsidR="000579B6">
              <w:rPr>
                <w:rFonts w:ascii="Times New Roman" w:hAnsi="Times New Roman" w:cs="Times New Roman"/>
                <w:sz w:val="20"/>
              </w:rPr>
              <w:t xml:space="preserve">. </w:t>
            </w:r>
            <w:r w:rsidR="00D65B43">
              <w:rPr>
                <w:rFonts w:ascii="Times New Roman" w:hAnsi="Times New Roman" w:cs="Times New Roman"/>
                <w:sz w:val="20"/>
              </w:rPr>
              <w:t xml:space="preserve">The solid vertical lines denote </w:t>
            </w:r>
            <w:r w:rsidR="007D36BB" w:rsidRPr="00792172">
              <w:rPr>
                <w:rFonts w:ascii="Times New Roman" w:hAnsi="Times New Roman" w:cs="Times New Roman"/>
                <w:sz w:val="20"/>
              </w:rPr>
              <w:t>perfusion initiati</w:t>
            </w:r>
            <w:r w:rsidR="00D65B43">
              <w:rPr>
                <w:rFonts w:ascii="Times New Roman" w:hAnsi="Times New Roman" w:cs="Times New Roman"/>
                <w:sz w:val="20"/>
              </w:rPr>
              <w:t>on. The dashed vertical line in b) indicates cell bleed initiation.</w:t>
            </w:r>
          </w:p>
        </w:tc>
      </w:tr>
    </w:tbl>
    <w:p w14:paraId="5F50088A" w14:textId="77777777" w:rsidR="00CC76CC" w:rsidRDefault="00CC76CC" w:rsidP="00CC76CC">
      <w:pPr>
        <w:pStyle w:val="Els-referenceno-number"/>
        <w:ind w:left="0" w:firstLine="0"/>
        <w:jc w:val="both"/>
        <w:rPr>
          <w:sz w:val="12"/>
          <w:szCs w:val="12"/>
          <w:lang w:val="en-US"/>
        </w:rPr>
      </w:pPr>
    </w:p>
    <w:p w14:paraId="0E1D4101" w14:textId="6A229DE7" w:rsidR="00A03EB4" w:rsidRDefault="00A03EB4" w:rsidP="00EA640D">
      <w:pPr>
        <w:pStyle w:val="Els-referenceno-number"/>
        <w:ind w:left="0" w:firstLine="360"/>
        <w:jc w:val="both"/>
        <w:rPr>
          <w:sz w:val="12"/>
          <w:szCs w:val="12"/>
          <w:lang w:val="en-US"/>
        </w:rPr>
      </w:pPr>
      <w:r>
        <w:rPr>
          <w:sz w:val="20"/>
          <w:lang w:val="en-US"/>
        </w:rPr>
        <w:t xml:space="preserve">While calibrated to only a single scale-down semi-perfusion dataset, subsequent model predictions of 1 L continuous perfusion bioreactor </w:t>
      </w:r>
      <w:r w:rsidR="00720576">
        <w:rPr>
          <w:sz w:val="20"/>
          <w:lang w:val="en-US"/>
        </w:rPr>
        <w:t>dynamics</w:t>
      </w:r>
      <w:r w:rsidR="00096006">
        <w:rPr>
          <w:sz w:val="20"/>
          <w:lang w:val="en-US"/>
        </w:rPr>
        <w:t xml:space="preserve">, under similar </w:t>
      </w:r>
      <w:r w:rsidR="001C2A87">
        <w:rPr>
          <w:sz w:val="20"/>
          <w:lang w:val="en-US"/>
        </w:rPr>
        <w:t xml:space="preserve">experimental </w:t>
      </w:r>
      <w:r w:rsidR="00096006">
        <w:rPr>
          <w:sz w:val="20"/>
          <w:lang w:val="en-US"/>
        </w:rPr>
        <w:t>conditions,</w:t>
      </w:r>
      <w:r>
        <w:rPr>
          <w:sz w:val="20"/>
          <w:lang w:val="en-US"/>
        </w:rPr>
        <w:t xml:space="preserve"> </w:t>
      </w:r>
      <w:r w:rsidR="00096006">
        <w:rPr>
          <w:sz w:val="20"/>
          <w:lang w:val="en-US"/>
        </w:rPr>
        <w:t>followed</w:t>
      </w:r>
      <w:r>
        <w:rPr>
          <w:sz w:val="20"/>
          <w:lang w:val="en-US"/>
        </w:rPr>
        <w:t xml:space="preserve"> to assess early </w:t>
      </w:r>
      <w:r w:rsidR="00720576">
        <w:rPr>
          <w:sz w:val="20"/>
          <w:lang w:val="en-US"/>
        </w:rPr>
        <w:t>performance</w:t>
      </w:r>
      <w:r>
        <w:rPr>
          <w:sz w:val="20"/>
          <w:lang w:val="en-US"/>
        </w:rPr>
        <w:t xml:space="preserve"> of model extrapolation. Simulations of cell growth and metabolite profiles under mild process conditions, characterized by a low VCD and sufficient nutrient availability, agreed with previously collected data for a subset of species</w:t>
      </w:r>
      <w:r w:rsidR="00DD4412">
        <w:rPr>
          <w:sz w:val="20"/>
          <w:lang w:val="en-US"/>
        </w:rPr>
        <w:t xml:space="preserve"> (</w:t>
      </w:r>
      <w:r>
        <w:rPr>
          <w:sz w:val="20"/>
          <w:lang w:val="en-US"/>
        </w:rPr>
        <w:t>Figure 1.b</w:t>
      </w:r>
      <w:r w:rsidR="00DD4412">
        <w:rPr>
          <w:sz w:val="20"/>
          <w:lang w:val="en-US"/>
        </w:rPr>
        <w:t>)</w:t>
      </w:r>
      <w:r>
        <w:rPr>
          <w:sz w:val="20"/>
          <w:lang w:val="en-US"/>
        </w:rPr>
        <w:t xml:space="preserve">. The agreement between the predicted and experimental profiles can be improved, yet the general trends and magnitudes are maintained, highlighting the robustness of the DMFA framework to two significant differences between the datasets: process dynamics and the </w:t>
      </w:r>
      <w:r w:rsidR="00096006">
        <w:rPr>
          <w:sz w:val="20"/>
          <w:lang w:val="en-US"/>
        </w:rPr>
        <w:t>ensuing</w:t>
      </w:r>
      <w:r>
        <w:rPr>
          <w:sz w:val="20"/>
          <w:lang w:val="en-US"/>
        </w:rPr>
        <w:t xml:space="preserve"> cell metabolic states. The difference between semi-perfusion, in the form of nearly instantaneous media exchanges, and continuous perfusion coupled with an intermittent cell bleed to </w:t>
      </w:r>
      <w:r w:rsidR="00096006">
        <w:rPr>
          <w:sz w:val="20"/>
          <w:lang w:val="en-US"/>
        </w:rPr>
        <w:t>control</w:t>
      </w:r>
      <w:r>
        <w:rPr>
          <w:sz w:val="20"/>
          <w:lang w:val="en-US"/>
        </w:rPr>
        <w:t xml:space="preserve"> the cell growth rate at steady state, is captured through the mass balance component of the framework. The difference in metabolic states between the two processes, including the range of states observed in semi-perfusion, are </w:t>
      </w:r>
      <w:r w:rsidR="00096006">
        <w:rPr>
          <w:sz w:val="20"/>
          <w:lang w:val="en-US"/>
        </w:rPr>
        <w:t>explained</w:t>
      </w:r>
      <w:r>
        <w:rPr>
          <w:sz w:val="20"/>
          <w:lang w:val="en-US"/>
        </w:rPr>
        <w:t xml:space="preserve"> by the underlying mechanistic foundation of the metabolic network, which provides physiolog</w:t>
      </w:r>
      <w:r w:rsidR="00514FDB">
        <w:rPr>
          <w:sz w:val="20"/>
          <w:lang w:val="en-US"/>
        </w:rPr>
        <w:t>ically</w:t>
      </w:r>
      <w:r>
        <w:rPr>
          <w:sz w:val="20"/>
          <w:lang w:val="en-US"/>
        </w:rPr>
        <w:t xml:space="preserve"> meaningful constraints towards intracellular resource </w:t>
      </w:r>
      <w:r w:rsidR="00096006">
        <w:rPr>
          <w:sz w:val="20"/>
          <w:lang w:val="en-US"/>
        </w:rPr>
        <w:t>distribution</w:t>
      </w:r>
      <w:r>
        <w:rPr>
          <w:sz w:val="20"/>
          <w:lang w:val="en-US"/>
        </w:rPr>
        <w:t>.</w:t>
      </w:r>
    </w:p>
    <w:p w14:paraId="3CB5C5B3" w14:textId="77777777" w:rsidR="00EA640D" w:rsidRPr="00EA640D" w:rsidRDefault="00EA640D" w:rsidP="00EA640D">
      <w:pPr>
        <w:pStyle w:val="Els-referenceno-number"/>
        <w:ind w:left="0" w:firstLine="360"/>
        <w:jc w:val="both"/>
        <w:rPr>
          <w:sz w:val="12"/>
          <w:szCs w:val="12"/>
          <w:lang w:val="en-US"/>
        </w:rPr>
      </w:pPr>
    </w:p>
    <w:p w14:paraId="65492A9A" w14:textId="1729F978" w:rsidR="00F546D1" w:rsidRDefault="00F546D1" w:rsidP="00625F40">
      <w:pPr>
        <w:pStyle w:val="Els-referenceno-number"/>
        <w:numPr>
          <w:ilvl w:val="0"/>
          <w:numId w:val="19"/>
        </w:numPr>
        <w:rPr>
          <w:b/>
          <w:bCs/>
          <w:sz w:val="22"/>
          <w:szCs w:val="24"/>
          <w:lang w:val="en-US"/>
        </w:rPr>
      </w:pPr>
      <w:r w:rsidRPr="00F546D1">
        <w:rPr>
          <w:b/>
          <w:bCs/>
          <w:sz w:val="22"/>
          <w:szCs w:val="24"/>
          <w:lang w:val="en-US"/>
        </w:rPr>
        <w:t>Conclusions</w:t>
      </w:r>
    </w:p>
    <w:p w14:paraId="65A6B7A7" w14:textId="77777777" w:rsidR="00441409" w:rsidRDefault="00441409" w:rsidP="008B5518">
      <w:pPr>
        <w:pStyle w:val="Els-referenceno-number"/>
        <w:ind w:left="0" w:firstLine="720"/>
        <w:jc w:val="both"/>
        <w:rPr>
          <w:sz w:val="12"/>
          <w:szCs w:val="12"/>
          <w:lang w:val="en-US"/>
        </w:rPr>
      </w:pPr>
    </w:p>
    <w:p w14:paraId="59A46C9A" w14:textId="604908DF" w:rsidR="001E2F1E" w:rsidRDefault="00C91881" w:rsidP="009B47CC">
      <w:pPr>
        <w:pStyle w:val="Els-referenceno-number"/>
        <w:ind w:left="0" w:firstLine="360"/>
        <w:jc w:val="both"/>
        <w:rPr>
          <w:sz w:val="12"/>
          <w:szCs w:val="12"/>
          <w:lang w:val="en-US"/>
        </w:rPr>
      </w:pPr>
      <w:bookmarkStart w:id="0" w:name="_Hlk152206431"/>
      <w:r>
        <w:rPr>
          <w:sz w:val="20"/>
          <w:lang w:val="en-US"/>
        </w:rPr>
        <w:t>The mechan</w:t>
      </w:r>
      <w:r w:rsidR="00514FDB">
        <w:rPr>
          <w:sz w:val="20"/>
          <w:lang w:val="en-US"/>
        </w:rPr>
        <w:t>istic</w:t>
      </w:r>
      <w:r>
        <w:rPr>
          <w:sz w:val="20"/>
          <w:lang w:val="en-US"/>
        </w:rPr>
        <w:t xml:space="preserve"> basis of the DMFA framework </w:t>
      </w:r>
      <w:r w:rsidR="009B47CC">
        <w:rPr>
          <w:sz w:val="20"/>
          <w:lang w:val="en-US"/>
        </w:rPr>
        <w:t>enables quantitative asses</w:t>
      </w:r>
      <w:r w:rsidR="00514FDB">
        <w:rPr>
          <w:sz w:val="20"/>
          <w:lang w:val="en-US"/>
        </w:rPr>
        <w:t>s</w:t>
      </w:r>
      <w:r w:rsidR="009B47CC">
        <w:rPr>
          <w:sz w:val="20"/>
          <w:lang w:val="en-US"/>
        </w:rPr>
        <w:t>ment</w:t>
      </w:r>
      <w:r>
        <w:rPr>
          <w:sz w:val="20"/>
          <w:lang w:val="en-US"/>
        </w:rPr>
        <w:t xml:space="preserve"> of CHO cell </w:t>
      </w:r>
      <w:r w:rsidR="00076A86">
        <w:rPr>
          <w:sz w:val="20"/>
          <w:lang w:val="en-US"/>
        </w:rPr>
        <w:t>metabolism</w:t>
      </w:r>
      <w:r>
        <w:rPr>
          <w:sz w:val="20"/>
          <w:lang w:val="en-US"/>
        </w:rPr>
        <w:t xml:space="preserve"> across perfusion bioreactor scales and operational modes</w:t>
      </w:r>
      <w:r w:rsidR="008B5518">
        <w:rPr>
          <w:sz w:val="20"/>
          <w:lang w:val="en-US"/>
        </w:rPr>
        <w:t xml:space="preserve"> with a minimal set of required inputs. </w:t>
      </w:r>
      <w:r w:rsidR="006F34B1" w:rsidRPr="006F34B1">
        <w:rPr>
          <w:sz w:val="20"/>
          <w:szCs w:val="22"/>
          <w:lang w:val="en-US"/>
        </w:rPr>
        <w:t xml:space="preserve">Future work </w:t>
      </w:r>
      <w:r w:rsidR="00A9089C">
        <w:rPr>
          <w:sz w:val="20"/>
          <w:szCs w:val="22"/>
          <w:lang w:val="en-US"/>
        </w:rPr>
        <w:t>seeks model application towards process goals of indust</w:t>
      </w:r>
      <w:r w:rsidR="00514FDB">
        <w:rPr>
          <w:sz w:val="20"/>
          <w:szCs w:val="22"/>
          <w:lang w:val="en-US"/>
        </w:rPr>
        <w:t>rial</w:t>
      </w:r>
      <w:r w:rsidR="00A9089C">
        <w:rPr>
          <w:sz w:val="20"/>
          <w:szCs w:val="22"/>
          <w:lang w:val="en-US"/>
        </w:rPr>
        <w:t xml:space="preserve"> interest. </w:t>
      </w:r>
      <w:r w:rsidR="009433CC">
        <w:rPr>
          <w:sz w:val="20"/>
          <w:szCs w:val="22"/>
          <w:lang w:val="en-US"/>
        </w:rPr>
        <w:t>Identification of key nut</w:t>
      </w:r>
      <w:r w:rsidR="00A9089C">
        <w:rPr>
          <w:sz w:val="20"/>
          <w:szCs w:val="22"/>
          <w:lang w:val="en-US"/>
        </w:rPr>
        <w:t>rients</w:t>
      </w:r>
      <w:r w:rsidR="009433CC">
        <w:rPr>
          <w:sz w:val="20"/>
          <w:szCs w:val="22"/>
          <w:lang w:val="en-US"/>
        </w:rPr>
        <w:t xml:space="preserve"> to </w:t>
      </w:r>
      <w:r w:rsidR="00A9089C">
        <w:rPr>
          <w:sz w:val="20"/>
          <w:szCs w:val="22"/>
          <w:lang w:val="en-US"/>
        </w:rPr>
        <w:t>reduce</w:t>
      </w:r>
      <w:r w:rsidR="009433CC">
        <w:rPr>
          <w:sz w:val="20"/>
          <w:szCs w:val="22"/>
          <w:lang w:val="en-US"/>
        </w:rPr>
        <w:t xml:space="preserve"> growth and </w:t>
      </w:r>
      <w:r w:rsidR="00A9089C">
        <w:rPr>
          <w:sz w:val="20"/>
          <w:szCs w:val="22"/>
          <w:lang w:val="en-US"/>
        </w:rPr>
        <w:t xml:space="preserve">increase </w:t>
      </w:r>
      <w:r w:rsidR="009433CC">
        <w:rPr>
          <w:sz w:val="20"/>
          <w:szCs w:val="22"/>
          <w:lang w:val="en-US"/>
        </w:rPr>
        <w:t>productivity</w:t>
      </w:r>
      <w:r w:rsidR="00A9089C">
        <w:rPr>
          <w:sz w:val="20"/>
          <w:szCs w:val="22"/>
          <w:lang w:val="en-US"/>
        </w:rPr>
        <w:t xml:space="preserve"> is of primary importance in perfusion </w:t>
      </w:r>
      <w:r w:rsidR="00F607B2">
        <w:rPr>
          <w:sz w:val="20"/>
          <w:szCs w:val="22"/>
          <w:lang w:val="en-US"/>
        </w:rPr>
        <w:t>bioreactors</w:t>
      </w:r>
      <w:r w:rsidR="00A9089C">
        <w:rPr>
          <w:sz w:val="20"/>
          <w:szCs w:val="22"/>
          <w:lang w:val="en-US"/>
        </w:rPr>
        <w:t xml:space="preserve">. Such information can be used to </w:t>
      </w:r>
      <w:r w:rsidR="008F27F7">
        <w:rPr>
          <w:sz w:val="20"/>
          <w:szCs w:val="22"/>
          <w:lang w:val="en-US"/>
        </w:rPr>
        <w:t>provide insight towards</w:t>
      </w:r>
      <w:r w:rsidR="00A9089C">
        <w:rPr>
          <w:sz w:val="20"/>
          <w:szCs w:val="22"/>
          <w:lang w:val="en-US"/>
        </w:rPr>
        <w:t xml:space="preserve"> media </w:t>
      </w:r>
      <w:r w:rsidR="008F27F7">
        <w:rPr>
          <w:sz w:val="20"/>
          <w:szCs w:val="22"/>
          <w:lang w:val="en-US"/>
        </w:rPr>
        <w:t>re</w:t>
      </w:r>
      <w:r w:rsidR="00A9089C">
        <w:rPr>
          <w:sz w:val="20"/>
          <w:szCs w:val="22"/>
          <w:lang w:val="en-US"/>
        </w:rPr>
        <w:t>for</w:t>
      </w:r>
      <w:r w:rsidR="007C0BCF">
        <w:rPr>
          <w:sz w:val="20"/>
          <w:szCs w:val="22"/>
          <w:lang w:val="en-US"/>
        </w:rPr>
        <w:t>mulation</w:t>
      </w:r>
      <w:r w:rsidR="00A9089C">
        <w:rPr>
          <w:sz w:val="20"/>
          <w:szCs w:val="22"/>
          <w:lang w:val="en-US"/>
        </w:rPr>
        <w:t xml:space="preserve"> and feeding strateg</w:t>
      </w:r>
      <w:r w:rsidR="008F27F7">
        <w:rPr>
          <w:sz w:val="20"/>
          <w:szCs w:val="22"/>
          <w:lang w:val="en-US"/>
        </w:rPr>
        <w:t>ies</w:t>
      </w:r>
      <w:r w:rsidR="00A9089C">
        <w:rPr>
          <w:sz w:val="20"/>
          <w:szCs w:val="22"/>
          <w:lang w:val="en-US"/>
        </w:rPr>
        <w:t>, and subsequen</w:t>
      </w:r>
      <w:r w:rsidR="009B47CC">
        <w:rPr>
          <w:sz w:val="20"/>
          <w:szCs w:val="22"/>
          <w:lang w:val="en-US"/>
        </w:rPr>
        <w:t>t</w:t>
      </w:r>
      <w:r w:rsidR="00A9089C">
        <w:rPr>
          <w:sz w:val="20"/>
          <w:szCs w:val="22"/>
          <w:lang w:val="en-US"/>
        </w:rPr>
        <w:t>ly predict the corresponding min</w:t>
      </w:r>
      <w:r w:rsidR="00514FDB">
        <w:rPr>
          <w:sz w:val="20"/>
          <w:szCs w:val="22"/>
          <w:lang w:val="en-US"/>
        </w:rPr>
        <w:t>imum</w:t>
      </w:r>
      <w:r w:rsidR="00A9089C">
        <w:rPr>
          <w:sz w:val="20"/>
          <w:szCs w:val="22"/>
          <w:lang w:val="en-US"/>
        </w:rPr>
        <w:t xml:space="preserve"> CSPR, translating to a reduction in operational costs.</w:t>
      </w:r>
      <w:r w:rsidR="007C0BCF">
        <w:rPr>
          <w:sz w:val="20"/>
          <w:szCs w:val="22"/>
          <w:lang w:val="en-US"/>
        </w:rPr>
        <w:t xml:space="preserve"> </w:t>
      </w:r>
      <w:r w:rsidR="008F27F7">
        <w:rPr>
          <w:sz w:val="20"/>
          <w:szCs w:val="22"/>
          <w:lang w:val="en-US"/>
        </w:rPr>
        <w:t xml:space="preserve">Increasing the framework’s </w:t>
      </w:r>
      <w:r w:rsidR="009433CC">
        <w:rPr>
          <w:sz w:val="20"/>
          <w:szCs w:val="22"/>
          <w:lang w:val="en-US"/>
        </w:rPr>
        <w:t xml:space="preserve">complexity by </w:t>
      </w:r>
      <w:r w:rsidR="00F607B2">
        <w:rPr>
          <w:sz w:val="20"/>
          <w:szCs w:val="22"/>
          <w:lang w:val="en-US"/>
        </w:rPr>
        <w:t>defining a</w:t>
      </w:r>
      <w:r w:rsidR="009433CC">
        <w:rPr>
          <w:sz w:val="20"/>
          <w:szCs w:val="22"/>
          <w:lang w:val="en-US"/>
        </w:rPr>
        <w:t xml:space="preserve"> segregated st</w:t>
      </w:r>
      <w:r w:rsidR="00F607B2">
        <w:rPr>
          <w:sz w:val="20"/>
          <w:szCs w:val="22"/>
          <w:lang w:val="en-US"/>
        </w:rPr>
        <w:t>ru</w:t>
      </w:r>
      <w:r w:rsidR="009433CC">
        <w:rPr>
          <w:sz w:val="20"/>
          <w:szCs w:val="22"/>
          <w:lang w:val="en-US"/>
        </w:rPr>
        <w:t>cture</w:t>
      </w:r>
      <w:r w:rsidR="008F27F7">
        <w:rPr>
          <w:sz w:val="20"/>
          <w:szCs w:val="22"/>
          <w:lang w:val="en-US"/>
        </w:rPr>
        <w:t xml:space="preserve"> to evaluate metabolic differences</w:t>
      </w:r>
      <w:r w:rsidR="009433CC">
        <w:rPr>
          <w:sz w:val="20"/>
          <w:szCs w:val="22"/>
          <w:lang w:val="en-US"/>
        </w:rPr>
        <w:t xml:space="preserve"> between </w:t>
      </w:r>
      <w:r w:rsidR="002E50B2">
        <w:rPr>
          <w:sz w:val="20"/>
          <w:szCs w:val="22"/>
          <w:lang w:val="en-US"/>
        </w:rPr>
        <w:t>heteroge</w:t>
      </w:r>
      <w:r w:rsidR="00076A86">
        <w:rPr>
          <w:sz w:val="20"/>
          <w:szCs w:val="22"/>
          <w:lang w:val="en-US"/>
        </w:rPr>
        <w:t>neous</w:t>
      </w:r>
      <w:r w:rsidR="002E50B2">
        <w:rPr>
          <w:sz w:val="20"/>
          <w:szCs w:val="22"/>
          <w:lang w:val="en-US"/>
        </w:rPr>
        <w:t xml:space="preserve"> cell populations </w:t>
      </w:r>
      <w:r w:rsidR="009433CC">
        <w:rPr>
          <w:sz w:val="20"/>
          <w:szCs w:val="22"/>
          <w:lang w:val="en-US"/>
        </w:rPr>
        <w:t xml:space="preserve">in the </w:t>
      </w:r>
      <w:r w:rsidR="008F27F7">
        <w:rPr>
          <w:sz w:val="20"/>
          <w:szCs w:val="22"/>
          <w:lang w:val="en-US"/>
        </w:rPr>
        <w:t>bioreactor</w:t>
      </w:r>
      <w:r w:rsidR="00F607B2">
        <w:rPr>
          <w:sz w:val="20"/>
          <w:szCs w:val="22"/>
          <w:lang w:val="en-US"/>
        </w:rPr>
        <w:t xml:space="preserve"> over the culture duration</w:t>
      </w:r>
      <w:r w:rsidR="008F27F7">
        <w:rPr>
          <w:sz w:val="20"/>
          <w:szCs w:val="22"/>
          <w:lang w:val="en-US"/>
        </w:rPr>
        <w:t xml:space="preserve"> is </w:t>
      </w:r>
      <w:r w:rsidR="008B5518">
        <w:rPr>
          <w:sz w:val="20"/>
          <w:szCs w:val="22"/>
          <w:lang w:val="en-US"/>
        </w:rPr>
        <w:t xml:space="preserve">an additional </w:t>
      </w:r>
      <w:r w:rsidR="00F23068">
        <w:rPr>
          <w:sz w:val="20"/>
          <w:szCs w:val="22"/>
          <w:lang w:val="en-US"/>
        </w:rPr>
        <w:t xml:space="preserve">goal of future </w:t>
      </w:r>
      <w:bookmarkEnd w:id="0"/>
      <w:r w:rsidR="002E50B2">
        <w:rPr>
          <w:sz w:val="20"/>
          <w:szCs w:val="22"/>
          <w:lang w:val="en-US"/>
        </w:rPr>
        <w:t>efforts.</w:t>
      </w:r>
    </w:p>
    <w:p w14:paraId="5B6AF29E" w14:textId="77777777" w:rsidR="009B47CC" w:rsidRPr="009B47CC" w:rsidRDefault="009B47CC" w:rsidP="009B47CC">
      <w:pPr>
        <w:pStyle w:val="Els-referenceno-number"/>
        <w:ind w:left="0" w:firstLine="360"/>
        <w:jc w:val="both"/>
        <w:rPr>
          <w:sz w:val="12"/>
          <w:szCs w:val="12"/>
          <w:lang w:val="en-US"/>
        </w:rPr>
      </w:pPr>
    </w:p>
    <w:p w14:paraId="2791EB82" w14:textId="2723F138" w:rsidR="009B47CC" w:rsidRPr="009B47CC" w:rsidRDefault="009B47CC" w:rsidP="009B47CC">
      <w:pPr>
        <w:pStyle w:val="Els-referenceno-number"/>
        <w:numPr>
          <w:ilvl w:val="0"/>
          <w:numId w:val="19"/>
        </w:numPr>
        <w:jc w:val="both"/>
        <w:rPr>
          <w:b/>
          <w:bCs/>
          <w:sz w:val="14"/>
          <w:szCs w:val="14"/>
          <w:lang w:val="en-US"/>
        </w:rPr>
      </w:pPr>
      <w:r w:rsidRPr="009B47CC">
        <w:rPr>
          <w:b/>
          <w:bCs/>
          <w:sz w:val="22"/>
          <w:szCs w:val="24"/>
          <w:lang w:val="en-US"/>
        </w:rPr>
        <w:t>Acknowledgements</w:t>
      </w:r>
    </w:p>
    <w:p w14:paraId="65739C36" w14:textId="77777777" w:rsidR="00CC767B" w:rsidRDefault="00CC767B" w:rsidP="00333C48">
      <w:pPr>
        <w:pStyle w:val="Els-referenceno-number"/>
        <w:ind w:left="0" w:firstLine="0"/>
        <w:jc w:val="both"/>
        <w:rPr>
          <w:sz w:val="12"/>
          <w:szCs w:val="12"/>
          <w:lang w:val="en-US"/>
        </w:rPr>
      </w:pPr>
    </w:p>
    <w:p w14:paraId="154CC373" w14:textId="3EDD1491" w:rsidR="009B47CC" w:rsidRDefault="009B47CC" w:rsidP="00333C48">
      <w:pPr>
        <w:pStyle w:val="Els-referenceno-number"/>
        <w:ind w:left="0" w:firstLine="0"/>
        <w:jc w:val="both"/>
        <w:rPr>
          <w:sz w:val="20"/>
          <w:lang w:val="en-US"/>
        </w:rPr>
      </w:pPr>
      <w:r>
        <w:rPr>
          <w:sz w:val="20"/>
          <w:lang w:val="en-US"/>
        </w:rPr>
        <w:t xml:space="preserve">The authors </w:t>
      </w:r>
      <w:r w:rsidR="000579B6">
        <w:rPr>
          <w:sz w:val="20"/>
          <w:lang w:val="en-US"/>
        </w:rPr>
        <w:t>express t</w:t>
      </w:r>
      <w:r w:rsidR="005F38BA">
        <w:rPr>
          <w:sz w:val="20"/>
          <w:lang w:val="en-US"/>
        </w:rPr>
        <w:t>heir gratitude</w:t>
      </w:r>
      <w:r w:rsidR="00061680">
        <w:rPr>
          <w:sz w:val="20"/>
          <w:lang w:val="en-US"/>
        </w:rPr>
        <w:t xml:space="preserve"> </w:t>
      </w:r>
      <w:r w:rsidR="006562DC">
        <w:rPr>
          <w:sz w:val="20"/>
          <w:lang w:val="en-US"/>
        </w:rPr>
        <w:t>for the financial support from the U.S. Food and Drug Administration (FDA) under Award Number</w:t>
      </w:r>
      <w:r w:rsidR="00061680">
        <w:rPr>
          <w:sz w:val="20"/>
          <w:lang w:val="en-US"/>
        </w:rPr>
        <w:t xml:space="preserve"> </w:t>
      </w:r>
      <w:r w:rsidR="006562DC" w:rsidRPr="006562DC">
        <w:rPr>
          <w:color w:val="000000"/>
          <w:sz w:val="20"/>
          <w:shd w:val="clear" w:color="auto" w:fill="FFFFFF"/>
        </w:rPr>
        <w:t>U01FD007695</w:t>
      </w:r>
      <w:r w:rsidR="006562DC">
        <w:rPr>
          <w:sz w:val="20"/>
          <w:lang w:val="en-US"/>
        </w:rPr>
        <w:t>, and the Advanced Mammalian Biomanufacturing Innovation Center (AMBIC) under Award Number</w:t>
      </w:r>
      <w:r w:rsidR="006562DC" w:rsidRPr="006562DC">
        <w:rPr>
          <w:rFonts w:ascii="Arial" w:hAnsi="Arial" w:cs="Arial"/>
          <w:noProof w:val="0"/>
          <w:color w:val="000000"/>
          <w:sz w:val="20"/>
          <w:shd w:val="clear" w:color="auto" w:fill="FFFFFF"/>
        </w:rPr>
        <w:t xml:space="preserve"> </w:t>
      </w:r>
      <w:r w:rsidR="006562DC" w:rsidRPr="006562DC">
        <w:rPr>
          <w:sz w:val="20"/>
        </w:rPr>
        <w:t>NSF EEC-2100502</w:t>
      </w:r>
      <w:r w:rsidR="006562DC">
        <w:rPr>
          <w:sz w:val="20"/>
        </w:rPr>
        <w:t>.</w:t>
      </w:r>
      <w:r w:rsidR="006562DC">
        <w:rPr>
          <w:sz w:val="20"/>
          <w:lang w:val="en-US"/>
        </w:rPr>
        <w:t xml:space="preserve"> </w:t>
      </w:r>
    </w:p>
    <w:p w14:paraId="1E92E548" w14:textId="77777777" w:rsidR="006562DC" w:rsidRPr="006562DC" w:rsidRDefault="006562DC" w:rsidP="00333C48">
      <w:pPr>
        <w:pStyle w:val="Els-referenceno-number"/>
        <w:ind w:left="0" w:firstLine="0"/>
        <w:jc w:val="both"/>
        <w:rPr>
          <w:sz w:val="20"/>
          <w:lang w:val="en-US"/>
        </w:rPr>
      </w:pPr>
    </w:p>
    <w:p w14:paraId="5869C2AD" w14:textId="53AD0410" w:rsidR="00A03EB4" w:rsidRDefault="00F546D1" w:rsidP="00A03EB4">
      <w:pPr>
        <w:pStyle w:val="Els-referenceno-number"/>
        <w:numPr>
          <w:ilvl w:val="0"/>
          <w:numId w:val="19"/>
        </w:numPr>
        <w:rPr>
          <w:b/>
          <w:bCs/>
          <w:sz w:val="22"/>
          <w:szCs w:val="24"/>
          <w:lang w:val="en-US"/>
        </w:rPr>
      </w:pPr>
      <w:r>
        <w:rPr>
          <w:b/>
          <w:bCs/>
          <w:sz w:val="22"/>
          <w:szCs w:val="24"/>
          <w:lang w:val="en-US"/>
        </w:rPr>
        <w:t>References</w:t>
      </w:r>
    </w:p>
    <w:p w14:paraId="772A2962" w14:textId="77777777" w:rsidR="00E90F31" w:rsidRDefault="00E90F31" w:rsidP="00E90F31">
      <w:pPr>
        <w:tabs>
          <w:tab w:val="left" w:pos="720"/>
        </w:tabs>
        <w:rPr>
          <w:rFonts w:ascii="Arial" w:hAnsi="Arial" w:cs="Arial"/>
          <w:color w:val="222222"/>
          <w:sz w:val="12"/>
          <w:szCs w:val="12"/>
          <w:shd w:val="clear" w:color="auto" w:fill="FFFFFF"/>
        </w:rPr>
      </w:pPr>
    </w:p>
    <w:p w14:paraId="395CA667" w14:textId="02729C5F" w:rsidR="00E90F31" w:rsidRPr="00861C91" w:rsidRDefault="00E90F31" w:rsidP="009E1FE9">
      <w:pPr>
        <w:tabs>
          <w:tab w:val="left" w:pos="720"/>
        </w:tabs>
        <w:ind w:left="270" w:hanging="270"/>
        <w:jc w:val="both"/>
        <w:rPr>
          <w:color w:val="222222"/>
          <w:shd w:val="clear" w:color="auto" w:fill="FFFFFF"/>
        </w:rPr>
      </w:pPr>
      <w:r w:rsidRPr="00861C91">
        <w:rPr>
          <w:color w:val="222222"/>
          <w:shd w:val="clear" w:color="auto" w:fill="FFFFFF"/>
        </w:rPr>
        <w:t>Ecker, D. M., Jones, S. D., &amp; Levine, H. L</w:t>
      </w:r>
      <w:r w:rsidR="005C6434">
        <w:rPr>
          <w:color w:val="222222"/>
          <w:shd w:val="clear" w:color="auto" w:fill="FFFFFF"/>
        </w:rPr>
        <w:t xml:space="preserve">., </w:t>
      </w:r>
      <w:r w:rsidRPr="00861C91">
        <w:rPr>
          <w:color w:val="222222"/>
          <w:shd w:val="clear" w:color="auto" w:fill="FFFFFF"/>
        </w:rPr>
        <w:t xml:space="preserve">2015. The therapeutic monoclonal antibody market. </w:t>
      </w:r>
      <w:r w:rsidRPr="00861C91">
        <w:rPr>
          <w:i/>
          <w:iCs/>
          <w:color w:val="222222"/>
          <w:shd w:val="clear" w:color="auto" w:fill="FFFFFF"/>
        </w:rPr>
        <w:t>Mabs</w:t>
      </w:r>
      <w:r w:rsidR="00735ED1">
        <w:rPr>
          <w:color w:val="222222"/>
          <w:shd w:val="clear" w:color="auto" w:fill="FFFFFF"/>
        </w:rPr>
        <w:t xml:space="preserve">, </w:t>
      </w:r>
      <w:r w:rsidRPr="00861C91">
        <w:rPr>
          <w:color w:val="222222"/>
          <w:shd w:val="clear" w:color="auto" w:fill="FFFFFF"/>
        </w:rPr>
        <w:t>7.9-14.</w:t>
      </w:r>
    </w:p>
    <w:p w14:paraId="6AAE8988" w14:textId="09FE58D7" w:rsidR="00E57EEB" w:rsidRPr="00861C91" w:rsidRDefault="00E57EEB" w:rsidP="009E1FE9">
      <w:pPr>
        <w:tabs>
          <w:tab w:val="left" w:pos="360"/>
          <w:tab w:val="left" w:pos="720"/>
        </w:tabs>
        <w:ind w:left="270" w:hanging="270"/>
        <w:jc w:val="both"/>
        <w:rPr>
          <w:rFonts w:eastAsia="MS Mincho"/>
        </w:rPr>
      </w:pPr>
      <w:r w:rsidRPr="00861C91">
        <w:t xml:space="preserve">Trill, J. J., </w:t>
      </w:r>
      <w:proofErr w:type="spellStart"/>
      <w:r w:rsidRPr="00861C91">
        <w:t>Shatzman</w:t>
      </w:r>
      <w:proofErr w:type="spellEnd"/>
      <w:r w:rsidRPr="00861C91">
        <w:t>, A. R., &amp; Subinay, G</w:t>
      </w:r>
      <w:r w:rsidR="005C6434">
        <w:t xml:space="preserve">., </w:t>
      </w:r>
      <w:r w:rsidRPr="00861C91">
        <w:t>1995. Production of monoclonal antibodies in</w:t>
      </w:r>
      <w:r w:rsidR="00AB437F">
        <w:t xml:space="preserve"> </w:t>
      </w:r>
      <w:r w:rsidRPr="00861C91">
        <w:t xml:space="preserve">COS and CHO cells. </w:t>
      </w:r>
      <w:r w:rsidRPr="00735ED1">
        <w:rPr>
          <w:i/>
          <w:iCs/>
        </w:rPr>
        <w:t>Current Opinion in Biotechnology</w:t>
      </w:r>
      <w:r w:rsidRPr="00861C91">
        <w:t>, 6(5), 553-560.</w:t>
      </w:r>
    </w:p>
    <w:p w14:paraId="44DF148D" w14:textId="7DA2EC1F" w:rsidR="00E57EEB" w:rsidRPr="00861C91" w:rsidRDefault="00E57EEB" w:rsidP="009E1FE9">
      <w:pPr>
        <w:tabs>
          <w:tab w:val="left" w:pos="720"/>
        </w:tabs>
        <w:ind w:left="270" w:hanging="270"/>
        <w:jc w:val="both"/>
      </w:pPr>
      <w:r w:rsidRPr="00861C91">
        <w:t>Wurm, F. M.</w:t>
      </w:r>
      <w:r w:rsidR="005C6434">
        <w:t xml:space="preserve">, </w:t>
      </w:r>
      <w:r w:rsidRPr="00861C91">
        <w:t xml:space="preserve">2004. Production of recombinant protein therapeutics in cultivated mammalian cells. </w:t>
      </w:r>
      <w:r w:rsidRPr="00735ED1">
        <w:rPr>
          <w:i/>
          <w:iCs/>
        </w:rPr>
        <w:t>Nature biotechnology</w:t>
      </w:r>
      <w:r w:rsidRPr="00861C91">
        <w:t>, 22(11), 1393-1398.</w:t>
      </w:r>
    </w:p>
    <w:p w14:paraId="4A3B9421" w14:textId="13F2CCB4" w:rsidR="00E57EEB" w:rsidRDefault="00E57EEB" w:rsidP="009E1FE9">
      <w:pPr>
        <w:tabs>
          <w:tab w:val="left" w:pos="720"/>
        </w:tabs>
        <w:ind w:left="270" w:hanging="270"/>
        <w:jc w:val="both"/>
        <w:rPr>
          <w:color w:val="222222"/>
          <w:shd w:val="clear" w:color="auto" w:fill="FFFFFF"/>
        </w:rPr>
      </w:pPr>
      <w:r w:rsidRPr="00861C91">
        <w:rPr>
          <w:color w:val="222222"/>
          <w:shd w:val="clear" w:color="auto" w:fill="FFFFFF"/>
        </w:rPr>
        <w:t xml:space="preserve">Walther, J., </w:t>
      </w:r>
      <w:proofErr w:type="spellStart"/>
      <w:r w:rsidRPr="00861C91">
        <w:rPr>
          <w:color w:val="222222"/>
          <w:shd w:val="clear" w:color="auto" w:fill="FFFFFF"/>
        </w:rPr>
        <w:t>Godawat</w:t>
      </w:r>
      <w:proofErr w:type="spellEnd"/>
      <w:r w:rsidRPr="00861C91">
        <w:rPr>
          <w:color w:val="222222"/>
          <w:shd w:val="clear" w:color="auto" w:fill="FFFFFF"/>
        </w:rPr>
        <w:t>, R., Hwang, C., Abe, Y., Sinclair, A., &amp; Konstantinov, K.</w:t>
      </w:r>
      <w:r w:rsidR="005C6434">
        <w:rPr>
          <w:color w:val="222222"/>
          <w:shd w:val="clear" w:color="auto" w:fill="FFFFFF"/>
        </w:rPr>
        <w:t xml:space="preserve">, </w:t>
      </w:r>
      <w:r w:rsidRPr="00861C91">
        <w:rPr>
          <w:color w:val="222222"/>
          <w:shd w:val="clear" w:color="auto" w:fill="FFFFFF"/>
        </w:rPr>
        <w:t>2015. The business impact of an integrated continuous biomanufacturing platform for</w:t>
      </w:r>
      <w:r w:rsidR="00AB437F">
        <w:rPr>
          <w:color w:val="222222"/>
          <w:shd w:val="clear" w:color="auto" w:fill="FFFFFF"/>
        </w:rPr>
        <w:t xml:space="preserve"> </w:t>
      </w:r>
      <w:r w:rsidRPr="00861C91">
        <w:rPr>
          <w:color w:val="222222"/>
          <w:shd w:val="clear" w:color="auto" w:fill="FFFFFF"/>
        </w:rPr>
        <w:t>recombinant protein production. </w:t>
      </w:r>
      <w:r w:rsidRPr="00861C91">
        <w:rPr>
          <w:i/>
          <w:iCs/>
          <w:color w:val="222222"/>
          <w:shd w:val="clear" w:color="auto" w:fill="FFFFFF"/>
        </w:rPr>
        <w:t>Journal of biotechnology</w:t>
      </w:r>
      <w:r w:rsidRPr="00861C91">
        <w:rPr>
          <w:color w:val="222222"/>
          <w:shd w:val="clear" w:color="auto" w:fill="FFFFFF"/>
        </w:rPr>
        <w:t>, </w:t>
      </w:r>
      <w:r w:rsidRPr="00861C91">
        <w:rPr>
          <w:i/>
          <w:iCs/>
          <w:color w:val="222222"/>
          <w:shd w:val="clear" w:color="auto" w:fill="FFFFFF"/>
        </w:rPr>
        <w:t>213</w:t>
      </w:r>
      <w:r w:rsidRPr="00861C91">
        <w:rPr>
          <w:color w:val="222222"/>
          <w:shd w:val="clear" w:color="auto" w:fill="FFFFFF"/>
        </w:rPr>
        <w:t>, 3-12.</w:t>
      </w:r>
    </w:p>
    <w:p w14:paraId="06D9B91A" w14:textId="0AA9AF1F" w:rsidR="00BC75D5" w:rsidRPr="00861C91" w:rsidRDefault="00BC75D5" w:rsidP="00BC75D5">
      <w:pPr>
        <w:tabs>
          <w:tab w:val="left" w:pos="720"/>
        </w:tabs>
        <w:ind w:left="270" w:hanging="270"/>
        <w:jc w:val="both"/>
        <w:rPr>
          <w:color w:val="222222"/>
          <w:shd w:val="clear" w:color="auto" w:fill="FFFFFF"/>
        </w:rPr>
      </w:pPr>
      <w:r w:rsidRPr="0009658A">
        <w:rPr>
          <w:color w:val="222222"/>
          <w:shd w:val="clear" w:color="auto" w:fill="FFFFFF"/>
        </w:rPr>
        <w:t>Reddy, J. V., Raudenbush, K., Papoutsakis, E. T., &amp; Ierapetritou, M.</w:t>
      </w:r>
      <w:r>
        <w:rPr>
          <w:color w:val="222222"/>
          <w:shd w:val="clear" w:color="auto" w:fill="FFFFFF"/>
        </w:rPr>
        <w:t xml:space="preserve">, </w:t>
      </w:r>
      <w:r w:rsidRPr="0009658A">
        <w:rPr>
          <w:color w:val="222222"/>
          <w:shd w:val="clear" w:color="auto" w:fill="FFFFFF"/>
        </w:rPr>
        <w:t>2023. Cell-culture process optimization via model-based predictions of metabolism and protein glycosylation. </w:t>
      </w:r>
      <w:r w:rsidRPr="0009658A">
        <w:rPr>
          <w:i/>
          <w:iCs/>
          <w:color w:val="222222"/>
          <w:shd w:val="clear" w:color="auto" w:fill="FFFFFF"/>
        </w:rPr>
        <w:t>Biotechnology Advances</w:t>
      </w:r>
      <w:r w:rsidRPr="0009658A">
        <w:rPr>
          <w:color w:val="222222"/>
          <w:shd w:val="clear" w:color="auto" w:fill="FFFFFF"/>
        </w:rPr>
        <w:t>, 108179.</w:t>
      </w:r>
    </w:p>
    <w:p w14:paraId="44A4FF70" w14:textId="2D1334FE" w:rsidR="007772B4" w:rsidRPr="00861C91" w:rsidRDefault="007772B4" w:rsidP="009E1FE9">
      <w:pPr>
        <w:tabs>
          <w:tab w:val="left" w:pos="720"/>
        </w:tabs>
        <w:ind w:left="270" w:hanging="270"/>
        <w:jc w:val="both"/>
        <w:rPr>
          <w:color w:val="222222"/>
          <w:shd w:val="clear" w:color="auto" w:fill="FFFFFF"/>
        </w:rPr>
      </w:pPr>
      <w:r w:rsidRPr="00861C91">
        <w:rPr>
          <w:color w:val="222222"/>
          <w:shd w:val="clear" w:color="auto" w:fill="FFFFFF"/>
        </w:rPr>
        <w:t>Chen, Y., McConnell, B. O., Gayatri Dhara, V., Mukesh Naik, H., Li, C. T., Antoniewicz, M. R., &amp; Betenbaugh, M. J.</w:t>
      </w:r>
      <w:r w:rsidR="005C6434">
        <w:rPr>
          <w:color w:val="222222"/>
          <w:shd w:val="clear" w:color="auto" w:fill="FFFFFF"/>
        </w:rPr>
        <w:t xml:space="preserve">, </w:t>
      </w:r>
      <w:r w:rsidRPr="00861C91">
        <w:rPr>
          <w:color w:val="222222"/>
          <w:shd w:val="clear" w:color="auto" w:fill="FFFFFF"/>
        </w:rPr>
        <w:t>2019. An unconventional uptake rate objective function approach enhances applicability of genome-scale models for mammalian cells. </w:t>
      </w:r>
      <w:r w:rsidRPr="00861C91">
        <w:rPr>
          <w:i/>
          <w:iCs/>
          <w:color w:val="222222"/>
          <w:shd w:val="clear" w:color="auto" w:fill="FFFFFF"/>
        </w:rPr>
        <w:t>NPJ systems biology and applications</w:t>
      </w:r>
      <w:r w:rsidRPr="00861C91">
        <w:rPr>
          <w:color w:val="222222"/>
          <w:shd w:val="clear" w:color="auto" w:fill="FFFFFF"/>
        </w:rPr>
        <w:t>, </w:t>
      </w:r>
      <w:r w:rsidRPr="00861C91">
        <w:rPr>
          <w:i/>
          <w:iCs/>
          <w:color w:val="222222"/>
          <w:shd w:val="clear" w:color="auto" w:fill="FFFFFF"/>
        </w:rPr>
        <w:t>5</w:t>
      </w:r>
      <w:r w:rsidRPr="00861C91">
        <w:rPr>
          <w:color w:val="222222"/>
          <w:shd w:val="clear" w:color="auto" w:fill="FFFFFF"/>
        </w:rPr>
        <w:t>(1), 25.</w:t>
      </w:r>
    </w:p>
    <w:p w14:paraId="09414B02" w14:textId="358A963A" w:rsidR="0000295B" w:rsidRPr="00735ED1" w:rsidRDefault="001909F1" w:rsidP="0000295B">
      <w:pPr>
        <w:tabs>
          <w:tab w:val="left" w:pos="720"/>
        </w:tabs>
        <w:ind w:left="270" w:hanging="270"/>
        <w:jc w:val="both"/>
        <w:rPr>
          <w:color w:val="222222"/>
          <w:shd w:val="clear" w:color="auto" w:fill="FFFFFF"/>
        </w:rPr>
      </w:pPr>
      <w:r w:rsidRPr="00861C91">
        <w:rPr>
          <w:color w:val="222222"/>
          <w:shd w:val="clear" w:color="auto" w:fill="FFFFFF"/>
        </w:rPr>
        <w:t>Zupke, C., &amp; Stephanopoulos, G.</w:t>
      </w:r>
      <w:r w:rsidR="005C6434">
        <w:rPr>
          <w:color w:val="222222"/>
          <w:shd w:val="clear" w:color="auto" w:fill="FFFFFF"/>
        </w:rPr>
        <w:t>,</w:t>
      </w:r>
      <w:r w:rsidRPr="00861C91">
        <w:rPr>
          <w:color w:val="222222"/>
          <w:shd w:val="clear" w:color="auto" w:fill="FFFFFF"/>
        </w:rPr>
        <w:t xml:space="preserve"> 1995. Intracellular flux analysis in hybridomas using mass balances and in vitro 13C NMR. </w:t>
      </w:r>
      <w:r w:rsidRPr="00861C91">
        <w:rPr>
          <w:i/>
          <w:iCs/>
          <w:color w:val="222222"/>
          <w:shd w:val="clear" w:color="auto" w:fill="FFFFFF"/>
        </w:rPr>
        <w:t>Biotechnology and bioengineering</w:t>
      </w:r>
      <w:r w:rsidRPr="00861C91">
        <w:rPr>
          <w:color w:val="222222"/>
          <w:shd w:val="clear" w:color="auto" w:fill="FFFFFF"/>
        </w:rPr>
        <w:t>, </w:t>
      </w:r>
      <w:r w:rsidRPr="00861C91">
        <w:rPr>
          <w:i/>
          <w:iCs/>
          <w:color w:val="222222"/>
          <w:shd w:val="clear" w:color="auto" w:fill="FFFFFF"/>
        </w:rPr>
        <w:t>45</w:t>
      </w:r>
      <w:r w:rsidRPr="00861C91">
        <w:rPr>
          <w:color w:val="222222"/>
          <w:shd w:val="clear" w:color="auto" w:fill="FFFFFF"/>
        </w:rPr>
        <w:t>(4), 292-303.</w:t>
      </w:r>
    </w:p>
    <w:sectPr w:rsidR="0000295B" w:rsidRPr="00735ED1" w:rsidSect="008B0184">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422A" w14:textId="77777777" w:rsidR="00EB3970" w:rsidRDefault="00EB3970">
      <w:r>
        <w:separator/>
      </w:r>
    </w:p>
  </w:endnote>
  <w:endnote w:type="continuationSeparator" w:id="0">
    <w:p w14:paraId="0A8F3645" w14:textId="77777777" w:rsidR="00EB3970" w:rsidRDefault="00EB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AA35" w14:textId="77777777" w:rsidR="00FF6043" w:rsidRDefault="00FF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06D4" w14:textId="77777777" w:rsidR="00FF6043" w:rsidRDefault="00FF6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E584" w14:textId="77777777" w:rsidR="00FF6043" w:rsidRDefault="00FF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EEC1C" w14:textId="77777777" w:rsidR="00EB3970" w:rsidRDefault="00EB3970">
      <w:r>
        <w:separator/>
      </w:r>
    </w:p>
  </w:footnote>
  <w:footnote w:type="continuationSeparator" w:id="0">
    <w:p w14:paraId="3838FE68" w14:textId="77777777" w:rsidR="00EB3970" w:rsidRDefault="00EB3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60632AB"/>
    <w:multiLevelType w:val="hybridMultilevel"/>
    <w:tmpl w:val="F02E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7A78A8"/>
    <w:multiLevelType w:val="multilevel"/>
    <w:tmpl w:val="1BFCFF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20D2D74"/>
    <w:multiLevelType w:val="multilevel"/>
    <w:tmpl w:val="0FFA3524"/>
    <w:lvl w:ilvl="0">
      <w:start w:val="1"/>
      <w:numFmt w:val="decimal"/>
      <w:lvlText w:val="%1."/>
      <w:lvlJc w:val="left"/>
      <w:pPr>
        <w:ind w:left="360" w:hanging="360"/>
      </w:pPr>
      <w:rPr>
        <w:rFonts w:hint="default"/>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925186363">
    <w:abstractNumId w:val="13"/>
  </w:num>
  <w:num w:numId="2" w16cid:durableId="276571552">
    <w:abstractNumId w:val="13"/>
  </w:num>
  <w:num w:numId="3" w16cid:durableId="825709025">
    <w:abstractNumId w:val="13"/>
  </w:num>
  <w:num w:numId="4" w16cid:durableId="1230461364">
    <w:abstractNumId w:val="13"/>
  </w:num>
  <w:num w:numId="5" w16cid:durableId="815742">
    <w:abstractNumId w:val="0"/>
  </w:num>
  <w:num w:numId="6" w16cid:durableId="63259462">
    <w:abstractNumId w:val="7"/>
  </w:num>
  <w:num w:numId="7" w16cid:durableId="1893274223">
    <w:abstractNumId w:val="14"/>
  </w:num>
  <w:num w:numId="8" w16cid:durableId="2052487726">
    <w:abstractNumId w:val="2"/>
  </w:num>
  <w:num w:numId="9" w16cid:durableId="1802989564">
    <w:abstractNumId w:val="12"/>
  </w:num>
  <w:num w:numId="10" w16cid:durableId="1598634491">
    <w:abstractNumId w:val="17"/>
  </w:num>
  <w:num w:numId="11" w16cid:durableId="1311472202">
    <w:abstractNumId w:val="15"/>
  </w:num>
  <w:num w:numId="12" w16cid:durableId="1971595322">
    <w:abstractNumId w:val="6"/>
  </w:num>
  <w:num w:numId="13" w16cid:durableId="305285829">
    <w:abstractNumId w:val="10"/>
  </w:num>
  <w:num w:numId="14" w16cid:durableId="1805731005">
    <w:abstractNumId w:val="3"/>
  </w:num>
  <w:num w:numId="15" w16cid:durableId="250048393">
    <w:abstractNumId w:val="8"/>
  </w:num>
  <w:num w:numId="16" w16cid:durableId="607394415">
    <w:abstractNumId w:val="4"/>
  </w:num>
  <w:num w:numId="17" w16cid:durableId="650866535">
    <w:abstractNumId w:val="5"/>
  </w:num>
  <w:num w:numId="18" w16cid:durableId="744955552">
    <w:abstractNumId w:val="11"/>
  </w:num>
  <w:num w:numId="19" w16cid:durableId="709381212">
    <w:abstractNumId w:val="16"/>
  </w:num>
  <w:num w:numId="20" w16cid:durableId="284970752">
    <w:abstractNumId w:val="9"/>
  </w:num>
  <w:num w:numId="21" w16cid:durableId="56170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95B"/>
    <w:rsid w:val="00010500"/>
    <w:rsid w:val="00032754"/>
    <w:rsid w:val="00035897"/>
    <w:rsid w:val="000579B6"/>
    <w:rsid w:val="00061680"/>
    <w:rsid w:val="00066B1B"/>
    <w:rsid w:val="00076A86"/>
    <w:rsid w:val="00096006"/>
    <w:rsid w:val="0009658A"/>
    <w:rsid w:val="000B39D7"/>
    <w:rsid w:val="000D3D9B"/>
    <w:rsid w:val="000F3F81"/>
    <w:rsid w:val="001151FC"/>
    <w:rsid w:val="0011773D"/>
    <w:rsid w:val="0014676B"/>
    <w:rsid w:val="00151998"/>
    <w:rsid w:val="0016032F"/>
    <w:rsid w:val="00161C71"/>
    <w:rsid w:val="001879F6"/>
    <w:rsid w:val="001909F1"/>
    <w:rsid w:val="00191440"/>
    <w:rsid w:val="001A361A"/>
    <w:rsid w:val="001B1DE3"/>
    <w:rsid w:val="001B4A41"/>
    <w:rsid w:val="001B668C"/>
    <w:rsid w:val="001C0148"/>
    <w:rsid w:val="001C2A87"/>
    <w:rsid w:val="001C757E"/>
    <w:rsid w:val="001E2F1E"/>
    <w:rsid w:val="001E710A"/>
    <w:rsid w:val="001E7CE4"/>
    <w:rsid w:val="001F624A"/>
    <w:rsid w:val="001F75F5"/>
    <w:rsid w:val="0020390F"/>
    <w:rsid w:val="00232C8C"/>
    <w:rsid w:val="00264926"/>
    <w:rsid w:val="002655B2"/>
    <w:rsid w:val="0029413C"/>
    <w:rsid w:val="0029755A"/>
    <w:rsid w:val="002A2894"/>
    <w:rsid w:val="002B024F"/>
    <w:rsid w:val="002D3B64"/>
    <w:rsid w:val="002E50B2"/>
    <w:rsid w:val="002F4FF8"/>
    <w:rsid w:val="0032215F"/>
    <w:rsid w:val="00333C48"/>
    <w:rsid w:val="00344D01"/>
    <w:rsid w:val="00347FF5"/>
    <w:rsid w:val="00366114"/>
    <w:rsid w:val="003A2135"/>
    <w:rsid w:val="003A6CAD"/>
    <w:rsid w:val="003A7CF0"/>
    <w:rsid w:val="003C6353"/>
    <w:rsid w:val="003D1582"/>
    <w:rsid w:val="003D7E4C"/>
    <w:rsid w:val="003E41C2"/>
    <w:rsid w:val="003E7C57"/>
    <w:rsid w:val="00400368"/>
    <w:rsid w:val="004012F7"/>
    <w:rsid w:val="00402ABA"/>
    <w:rsid w:val="004126DE"/>
    <w:rsid w:val="00441409"/>
    <w:rsid w:val="00442646"/>
    <w:rsid w:val="00450337"/>
    <w:rsid w:val="004628E9"/>
    <w:rsid w:val="00464351"/>
    <w:rsid w:val="004902BD"/>
    <w:rsid w:val="0049772C"/>
    <w:rsid w:val="004A0EBE"/>
    <w:rsid w:val="004B1D55"/>
    <w:rsid w:val="004B4EAD"/>
    <w:rsid w:val="004D065F"/>
    <w:rsid w:val="00500EAB"/>
    <w:rsid w:val="005012EF"/>
    <w:rsid w:val="00507CB7"/>
    <w:rsid w:val="0051122F"/>
    <w:rsid w:val="00513AD7"/>
    <w:rsid w:val="00514FDB"/>
    <w:rsid w:val="00516E70"/>
    <w:rsid w:val="00517034"/>
    <w:rsid w:val="00540DA4"/>
    <w:rsid w:val="00552EEB"/>
    <w:rsid w:val="00565FCF"/>
    <w:rsid w:val="00567D93"/>
    <w:rsid w:val="00591D12"/>
    <w:rsid w:val="005B4B02"/>
    <w:rsid w:val="005B5977"/>
    <w:rsid w:val="005C425B"/>
    <w:rsid w:val="005C6434"/>
    <w:rsid w:val="005F38BA"/>
    <w:rsid w:val="00615285"/>
    <w:rsid w:val="00622E70"/>
    <w:rsid w:val="00625F40"/>
    <w:rsid w:val="00626F9F"/>
    <w:rsid w:val="00635760"/>
    <w:rsid w:val="006562DC"/>
    <w:rsid w:val="00665B67"/>
    <w:rsid w:val="0067427A"/>
    <w:rsid w:val="0068650B"/>
    <w:rsid w:val="006A69BF"/>
    <w:rsid w:val="006C11D1"/>
    <w:rsid w:val="006D5139"/>
    <w:rsid w:val="006E0CBD"/>
    <w:rsid w:val="006F34B1"/>
    <w:rsid w:val="00711DF4"/>
    <w:rsid w:val="007148F0"/>
    <w:rsid w:val="00720576"/>
    <w:rsid w:val="0072595E"/>
    <w:rsid w:val="0073188F"/>
    <w:rsid w:val="00735ED1"/>
    <w:rsid w:val="007772B4"/>
    <w:rsid w:val="00792172"/>
    <w:rsid w:val="007A557E"/>
    <w:rsid w:val="007B47E1"/>
    <w:rsid w:val="007C0BCF"/>
    <w:rsid w:val="007C79B6"/>
    <w:rsid w:val="007D36BB"/>
    <w:rsid w:val="007D6F86"/>
    <w:rsid w:val="007D70A1"/>
    <w:rsid w:val="007F0038"/>
    <w:rsid w:val="00805F73"/>
    <w:rsid w:val="008132E8"/>
    <w:rsid w:val="0081390A"/>
    <w:rsid w:val="00823407"/>
    <w:rsid w:val="0083717E"/>
    <w:rsid w:val="00861C91"/>
    <w:rsid w:val="0087531A"/>
    <w:rsid w:val="00887A8D"/>
    <w:rsid w:val="00890792"/>
    <w:rsid w:val="008B0184"/>
    <w:rsid w:val="008B2566"/>
    <w:rsid w:val="008B5518"/>
    <w:rsid w:val="008B60C7"/>
    <w:rsid w:val="008C08A5"/>
    <w:rsid w:val="008C5D02"/>
    <w:rsid w:val="008D2649"/>
    <w:rsid w:val="008D4E49"/>
    <w:rsid w:val="008D7F31"/>
    <w:rsid w:val="008F27F7"/>
    <w:rsid w:val="008F6EA2"/>
    <w:rsid w:val="008F7690"/>
    <w:rsid w:val="0090568D"/>
    <w:rsid w:val="009125C9"/>
    <w:rsid w:val="00913879"/>
    <w:rsid w:val="00917661"/>
    <w:rsid w:val="009235D4"/>
    <w:rsid w:val="00942541"/>
    <w:rsid w:val="009433CC"/>
    <w:rsid w:val="009635BF"/>
    <w:rsid w:val="0096387D"/>
    <w:rsid w:val="00970E5D"/>
    <w:rsid w:val="0097701C"/>
    <w:rsid w:val="00980A65"/>
    <w:rsid w:val="00992269"/>
    <w:rsid w:val="009B1CB9"/>
    <w:rsid w:val="009B47CC"/>
    <w:rsid w:val="009D74CD"/>
    <w:rsid w:val="009E1FE9"/>
    <w:rsid w:val="00A00CAA"/>
    <w:rsid w:val="00A03EB4"/>
    <w:rsid w:val="00A1094B"/>
    <w:rsid w:val="00A25E70"/>
    <w:rsid w:val="00A26E23"/>
    <w:rsid w:val="00A301A1"/>
    <w:rsid w:val="00A33765"/>
    <w:rsid w:val="00A40E1E"/>
    <w:rsid w:val="00A42F5B"/>
    <w:rsid w:val="00A63269"/>
    <w:rsid w:val="00A9089C"/>
    <w:rsid w:val="00A9173B"/>
    <w:rsid w:val="00A92377"/>
    <w:rsid w:val="00AB29ED"/>
    <w:rsid w:val="00AB437F"/>
    <w:rsid w:val="00AD100E"/>
    <w:rsid w:val="00AD6924"/>
    <w:rsid w:val="00AE38F5"/>
    <w:rsid w:val="00AE4BD8"/>
    <w:rsid w:val="00B10421"/>
    <w:rsid w:val="00B24BBE"/>
    <w:rsid w:val="00B3691D"/>
    <w:rsid w:val="00B4388F"/>
    <w:rsid w:val="00B5058B"/>
    <w:rsid w:val="00B602B8"/>
    <w:rsid w:val="00B63237"/>
    <w:rsid w:val="00B64466"/>
    <w:rsid w:val="00B71C77"/>
    <w:rsid w:val="00B82FF6"/>
    <w:rsid w:val="00B87A15"/>
    <w:rsid w:val="00B943E5"/>
    <w:rsid w:val="00BC75D5"/>
    <w:rsid w:val="00BD0B6B"/>
    <w:rsid w:val="00BD1334"/>
    <w:rsid w:val="00C05A45"/>
    <w:rsid w:val="00C57D5F"/>
    <w:rsid w:val="00C66330"/>
    <w:rsid w:val="00C91881"/>
    <w:rsid w:val="00C91EBA"/>
    <w:rsid w:val="00C960DC"/>
    <w:rsid w:val="00CA0E33"/>
    <w:rsid w:val="00CA343F"/>
    <w:rsid w:val="00CB70F2"/>
    <w:rsid w:val="00CC767B"/>
    <w:rsid w:val="00CC76CC"/>
    <w:rsid w:val="00CE5330"/>
    <w:rsid w:val="00CF74D0"/>
    <w:rsid w:val="00D02C75"/>
    <w:rsid w:val="00D10E22"/>
    <w:rsid w:val="00D13D2C"/>
    <w:rsid w:val="00D16174"/>
    <w:rsid w:val="00D35F80"/>
    <w:rsid w:val="00D44B4D"/>
    <w:rsid w:val="00D543F9"/>
    <w:rsid w:val="00D57214"/>
    <w:rsid w:val="00D65B43"/>
    <w:rsid w:val="00D7382C"/>
    <w:rsid w:val="00D83CF7"/>
    <w:rsid w:val="00D868B4"/>
    <w:rsid w:val="00D9024E"/>
    <w:rsid w:val="00DC2F94"/>
    <w:rsid w:val="00DC4105"/>
    <w:rsid w:val="00DD3D9E"/>
    <w:rsid w:val="00DD4412"/>
    <w:rsid w:val="00DD7908"/>
    <w:rsid w:val="00DE0DDA"/>
    <w:rsid w:val="00DF196B"/>
    <w:rsid w:val="00DF3CB4"/>
    <w:rsid w:val="00DF727D"/>
    <w:rsid w:val="00E546EC"/>
    <w:rsid w:val="00E57EEB"/>
    <w:rsid w:val="00E82297"/>
    <w:rsid w:val="00E90F31"/>
    <w:rsid w:val="00EA1C0E"/>
    <w:rsid w:val="00EA640D"/>
    <w:rsid w:val="00EB3970"/>
    <w:rsid w:val="00EC5291"/>
    <w:rsid w:val="00EF39FD"/>
    <w:rsid w:val="00F058C6"/>
    <w:rsid w:val="00F06842"/>
    <w:rsid w:val="00F06AB6"/>
    <w:rsid w:val="00F107FD"/>
    <w:rsid w:val="00F23068"/>
    <w:rsid w:val="00F24EE8"/>
    <w:rsid w:val="00F546D1"/>
    <w:rsid w:val="00F607B2"/>
    <w:rsid w:val="00F653D8"/>
    <w:rsid w:val="00F65C92"/>
    <w:rsid w:val="00F677E0"/>
    <w:rsid w:val="00F76AFB"/>
    <w:rsid w:val="00F95901"/>
    <w:rsid w:val="00FB64A8"/>
    <w:rsid w:val="00FC7D38"/>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0579B6"/>
    <w:pPr>
      <w:numPr>
        <w:ilvl w:val="0"/>
        <w:numId w:val="0"/>
      </w:numPr>
      <w:spacing w:before="0" w:after="0"/>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uiPriority w:val="39"/>
    <w:rsid w:val="002B024F"/>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646"/>
    <w:pPr>
      <w:ind w:left="720"/>
      <w:contextualSpacing/>
    </w:pPr>
  </w:style>
  <w:style w:type="character" w:styleId="PlaceholderText">
    <w:name w:val="Placeholder Text"/>
    <w:basedOn w:val="DefaultParagraphFont"/>
    <w:uiPriority w:val="99"/>
    <w:semiHidden/>
    <w:rsid w:val="001B4A41"/>
    <w:rPr>
      <w:color w:val="666666"/>
    </w:rPr>
  </w:style>
  <w:style w:type="character" w:customStyle="1" w:styleId="html-italic">
    <w:name w:val="html-italic"/>
    <w:basedOn w:val="DefaultParagraphFont"/>
    <w:rsid w:val="001909F1"/>
  </w:style>
  <w:style w:type="paragraph" w:styleId="Revision">
    <w:name w:val="Revision"/>
    <w:hidden/>
    <w:uiPriority w:val="99"/>
    <w:semiHidden/>
    <w:rsid w:val="003A7CF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tif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9.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504</TotalTime>
  <Pages>6</Pages>
  <Words>2533</Words>
  <Characters>14442</Characters>
  <Application>Microsoft Office Word</Application>
  <DocSecurity>0</DocSecurity>
  <Lines>120</Lines>
  <Paragraphs>33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Nikola Malinov</cp:lastModifiedBy>
  <cp:revision>24</cp:revision>
  <cp:lastPrinted>2023-11-30T07:24:00Z</cp:lastPrinted>
  <dcterms:created xsi:type="dcterms:W3CDTF">2023-11-30T16:39:00Z</dcterms:created>
  <dcterms:modified xsi:type="dcterms:W3CDTF">2023-12-19T05:25:00Z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