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1D6CB93" w:rsidR="00DD3D9E" w:rsidRPr="00B4388F" w:rsidRDefault="005E16EB">
      <w:pPr>
        <w:pStyle w:val="Els-Title"/>
        <w:rPr>
          <w:color w:val="000000" w:themeColor="text1"/>
        </w:rPr>
      </w:pPr>
      <w:r>
        <w:rPr>
          <w:color w:val="000000" w:themeColor="text1"/>
        </w:rPr>
        <w:t>Computer-aided Molecular and Process Design (CAMPD) for Ionic Liquid Assisted Extractive Distillation</w:t>
      </w:r>
      <w:r w:rsidR="00121D72">
        <w:rPr>
          <w:color w:val="000000" w:themeColor="text1"/>
        </w:rPr>
        <w:t xml:space="preserve"> of Refrigerant Mixtures</w:t>
      </w:r>
    </w:p>
    <w:p w14:paraId="144DE680" w14:textId="49560330" w:rsidR="00DD3D9E" w:rsidRDefault="005E16EB">
      <w:pPr>
        <w:pStyle w:val="Els-Author"/>
      </w:pPr>
      <w:r w:rsidRPr="005E16EB">
        <w:t>Ashfaq Iftakher,</w:t>
      </w:r>
      <w:r w:rsidRPr="005E16EB">
        <w:rPr>
          <w:vertAlign w:val="superscript"/>
        </w:rPr>
        <w:t>a</w:t>
      </w:r>
      <w:r w:rsidRPr="005E16EB">
        <w:t xml:space="preserve"> Rafiqul Gani</w:t>
      </w:r>
      <w:r>
        <w:t>,</w:t>
      </w:r>
      <w:r w:rsidRPr="005E16EB">
        <w:rPr>
          <w:vertAlign w:val="superscript"/>
        </w:rPr>
        <w:t>b</w:t>
      </w:r>
      <w:r>
        <w:rPr>
          <w:vertAlign w:val="superscript"/>
        </w:rPr>
        <w:t>,c,d</w:t>
      </w:r>
      <w:r w:rsidRPr="005E16EB">
        <w:t xml:space="preserve"> M. M. Faruque Hasan</w:t>
      </w:r>
      <w:r w:rsidRPr="005E16EB">
        <w:rPr>
          <w:vertAlign w:val="superscript"/>
        </w:rPr>
        <w:t>a,e</w:t>
      </w:r>
      <w:r w:rsidR="001D2DD2">
        <w:rPr>
          <w:vertAlign w:val="superscript"/>
        </w:rPr>
        <w:t>,*</w:t>
      </w:r>
      <w:r w:rsidRPr="005E16EB">
        <w:t xml:space="preserve"> </w:t>
      </w:r>
    </w:p>
    <w:p w14:paraId="5F8F50C7" w14:textId="77777777" w:rsidR="005E16EB" w:rsidRDefault="005E16EB" w:rsidP="005E16EB">
      <w:pPr>
        <w:pStyle w:val="Els-Affiliation"/>
      </w:pPr>
      <w:r w:rsidRPr="005E16EB">
        <w:rPr>
          <w:vertAlign w:val="superscript"/>
        </w:rPr>
        <w:t>a</w:t>
      </w:r>
      <w:r w:rsidRPr="005E16EB">
        <w:t>Artie McFerrin Department of Chemical Engineering, Texas A&amp;M University, College Station, TX, US</w:t>
      </w:r>
      <w:r>
        <w:t>A</w:t>
      </w:r>
    </w:p>
    <w:p w14:paraId="31063675" w14:textId="6519EAE0" w:rsidR="005E16EB" w:rsidRDefault="009E4C9C" w:rsidP="005E16EB">
      <w:pPr>
        <w:pStyle w:val="Els-Affiliation"/>
      </w:pPr>
      <w:r>
        <w:rPr>
          <w:vertAlign w:val="superscript"/>
        </w:rPr>
        <w:t>b</w:t>
      </w:r>
      <w:r w:rsidR="005E16EB">
        <w:t>PSE for SPEED Company, Ordrup</w:t>
      </w:r>
      <w:r>
        <w:t xml:space="preserve"> </w:t>
      </w:r>
      <w:r w:rsidR="005E16EB">
        <w:t>Jagtvej42D, DK-2920 Charlottenlund, Denmark</w:t>
      </w:r>
    </w:p>
    <w:p w14:paraId="56640031" w14:textId="2E54892A" w:rsidR="005E16EB" w:rsidRDefault="009E4C9C" w:rsidP="005E16EB">
      <w:pPr>
        <w:pStyle w:val="Els-Affiliation"/>
      </w:pPr>
      <w:r>
        <w:rPr>
          <w:vertAlign w:val="superscript"/>
        </w:rPr>
        <w:t>c</w:t>
      </w:r>
      <w:r w:rsidR="005E16EB">
        <w:t>Sustainable Energy and Environment Thrust, The Hong Kong University of Science and Technology (Guangzhou), Guangzhou, China</w:t>
      </w:r>
    </w:p>
    <w:p w14:paraId="3DD6075D" w14:textId="1800F470" w:rsidR="009E4C9C" w:rsidRPr="009E4C9C" w:rsidRDefault="009E4C9C" w:rsidP="009E4C9C">
      <w:pPr>
        <w:spacing w:line="360" w:lineRule="auto"/>
        <w:rPr>
          <w:i/>
          <w:iCs/>
        </w:rPr>
      </w:pPr>
      <w:r w:rsidRPr="009E4C9C">
        <w:rPr>
          <w:i/>
          <w:iCs/>
          <w:vertAlign w:val="superscript"/>
        </w:rPr>
        <w:t>d</w:t>
      </w:r>
      <w:r>
        <w:rPr>
          <w:i/>
          <w:iCs/>
          <w:vertAlign w:val="superscript"/>
        </w:rPr>
        <w:t xml:space="preserve"> </w:t>
      </w:r>
      <w:r w:rsidRPr="009E4C9C">
        <w:rPr>
          <w:i/>
          <w:iCs/>
        </w:rPr>
        <w:t>Department of Applied Sustainability, Széchenyi István University, Győr, Hungary</w:t>
      </w:r>
    </w:p>
    <w:p w14:paraId="144DE682" w14:textId="29AB2F54" w:rsidR="00DD3D9E" w:rsidRDefault="005E16EB" w:rsidP="005E16EB">
      <w:pPr>
        <w:pStyle w:val="Els-Affiliation"/>
      </w:pPr>
      <w:r w:rsidRPr="005E16EB">
        <w:rPr>
          <w:vertAlign w:val="superscript"/>
        </w:rPr>
        <w:t>e</w:t>
      </w:r>
      <w:r>
        <w:t>Texas A&amp;M Energy Institute, Texas A&amp;M University, College Station, TX 77843-3122, USA</w:t>
      </w:r>
    </w:p>
    <w:p w14:paraId="144DE683" w14:textId="5CA1930E" w:rsidR="008D2649" w:rsidRPr="00A94774" w:rsidRDefault="005E16EB" w:rsidP="008D2649">
      <w:pPr>
        <w:pStyle w:val="Els-Affiliation"/>
        <w:spacing w:after="120"/>
      </w:pPr>
      <w:r>
        <w:t>hasan</w:t>
      </w:r>
      <w:r w:rsidR="008D2649" w:rsidRPr="00D22E38">
        <w:t>@</w:t>
      </w:r>
      <w:r>
        <w:t>tamu.edu</w:t>
      </w:r>
    </w:p>
    <w:p w14:paraId="144DE684" w14:textId="77777777" w:rsidR="008D2649" w:rsidRDefault="008D2649" w:rsidP="008D2649">
      <w:pPr>
        <w:pStyle w:val="Els-Abstract"/>
      </w:pPr>
      <w:r>
        <w:t>Abstract</w:t>
      </w:r>
    </w:p>
    <w:p w14:paraId="356D7B33" w14:textId="13D347A8" w:rsidR="00C516A0" w:rsidRDefault="002A6A62" w:rsidP="00755DD4">
      <w:pPr>
        <w:pStyle w:val="Els-body-text"/>
        <w:spacing w:after="120"/>
        <w:rPr>
          <w:lang w:val="en-GB"/>
        </w:rPr>
      </w:pPr>
      <w:r>
        <w:rPr>
          <w:lang w:val="en-GB"/>
        </w:rPr>
        <w:t>Computer-aided Molecular and Process Design</w:t>
      </w:r>
      <w:r w:rsidR="00B13143">
        <w:rPr>
          <w:lang w:val="en-GB"/>
        </w:rPr>
        <w:t>, C</w:t>
      </w:r>
      <w:r>
        <w:rPr>
          <w:lang w:val="en-GB"/>
        </w:rPr>
        <w:t>AMPD</w:t>
      </w:r>
      <w:r w:rsidR="00B13143">
        <w:rPr>
          <w:lang w:val="en-GB"/>
        </w:rPr>
        <w:t xml:space="preserve">, </w:t>
      </w:r>
      <w:r w:rsidR="00121D72">
        <w:rPr>
          <w:lang w:val="en-GB"/>
        </w:rPr>
        <w:t xml:space="preserve">is a technique </w:t>
      </w:r>
      <w:r w:rsidR="00394935">
        <w:rPr>
          <w:lang w:val="en-GB"/>
        </w:rPr>
        <w:t>that</w:t>
      </w:r>
      <w:r>
        <w:rPr>
          <w:lang w:val="en-GB"/>
        </w:rPr>
        <w:t xml:space="preserve"> simultaneously optimize</w:t>
      </w:r>
      <w:r w:rsidR="00394935">
        <w:rPr>
          <w:lang w:val="en-GB"/>
        </w:rPr>
        <w:t>s</w:t>
      </w:r>
      <w:r>
        <w:rPr>
          <w:lang w:val="en-GB"/>
        </w:rPr>
        <w:t xml:space="preserve"> </w:t>
      </w:r>
      <w:r w:rsidR="00121D72">
        <w:rPr>
          <w:lang w:val="en-GB"/>
        </w:rPr>
        <w:t xml:space="preserve">the choice of </w:t>
      </w:r>
      <w:r w:rsidR="00206395">
        <w:rPr>
          <w:lang w:val="en-GB"/>
        </w:rPr>
        <w:t xml:space="preserve">materials, such as </w:t>
      </w:r>
      <w:r>
        <w:rPr>
          <w:lang w:val="en-GB"/>
        </w:rPr>
        <w:t>solvents</w:t>
      </w:r>
      <w:r w:rsidR="00206395">
        <w:rPr>
          <w:lang w:val="en-GB"/>
        </w:rPr>
        <w:t>,</w:t>
      </w:r>
      <w:r>
        <w:rPr>
          <w:lang w:val="en-GB"/>
        </w:rPr>
        <w:t xml:space="preserve"> </w:t>
      </w:r>
      <w:r w:rsidR="00121D72">
        <w:rPr>
          <w:lang w:val="en-GB"/>
        </w:rPr>
        <w:t>and</w:t>
      </w:r>
      <w:r>
        <w:rPr>
          <w:lang w:val="en-GB"/>
        </w:rPr>
        <w:t xml:space="preserve"> the corresponding </w:t>
      </w:r>
      <w:r w:rsidR="00C516A0">
        <w:rPr>
          <w:lang w:val="en-GB"/>
        </w:rPr>
        <w:t>process configuration</w:t>
      </w:r>
      <w:r w:rsidR="00152DBE">
        <w:rPr>
          <w:lang w:val="en-GB"/>
        </w:rPr>
        <w:t>s</w:t>
      </w:r>
      <w:r w:rsidR="00121D72">
        <w:rPr>
          <w:lang w:val="en-GB"/>
        </w:rPr>
        <w:t xml:space="preserve"> for</w:t>
      </w:r>
      <w:r w:rsidR="00D27F41">
        <w:rPr>
          <w:lang w:val="en-GB"/>
        </w:rPr>
        <w:t xml:space="preserve"> many</w:t>
      </w:r>
      <w:r w:rsidR="00121D72">
        <w:rPr>
          <w:lang w:val="en-GB"/>
        </w:rPr>
        <w:t xml:space="preserve"> </w:t>
      </w:r>
      <w:r w:rsidR="00152DBE">
        <w:rPr>
          <w:lang w:val="en-GB"/>
        </w:rPr>
        <w:t xml:space="preserve">chemical </w:t>
      </w:r>
      <w:r w:rsidR="009E4C9C">
        <w:rPr>
          <w:lang w:val="en-GB"/>
        </w:rPr>
        <w:t xml:space="preserve">separation </w:t>
      </w:r>
      <w:r w:rsidR="00121D72">
        <w:rPr>
          <w:lang w:val="en-GB"/>
        </w:rPr>
        <w:t>processes</w:t>
      </w:r>
      <w:r w:rsidR="00C516A0">
        <w:rPr>
          <w:lang w:val="en-GB"/>
        </w:rPr>
        <w:t>. Th</w:t>
      </w:r>
      <w:r w:rsidR="00D27F41">
        <w:rPr>
          <w:lang w:val="en-GB"/>
        </w:rPr>
        <w:t>e technique involves</w:t>
      </w:r>
      <w:r w:rsidR="00C516A0">
        <w:rPr>
          <w:lang w:val="en-GB"/>
        </w:rPr>
        <w:t xml:space="preserve"> formulating a</w:t>
      </w:r>
      <w:r w:rsidR="00152DBE">
        <w:rPr>
          <w:lang w:val="en-GB"/>
        </w:rPr>
        <w:t xml:space="preserve">n equation-oriented </w:t>
      </w:r>
      <w:r w:rsidR="00D27F41">
        <w:rPr>
          <w:lang w:val="en-GB"/>
        </w:rPr>
        <w:t xml:space="preserve">optimization </w:t>
      </w:r>
      <w:r w:rsidR="00152DBE">
        <w:rPr>
          <w:lang w:val="en-GB"/>
        </w:rPr>
        <w:t>model</w:t>
      </w:r>
      <w:r w:rsidR="00D27F41">
        <w:rPr>
          <w:lang w:val="en-GB"/>
        </w:rPr>
        <w:t xml:space="preserve"> </w:t>
      </w:r>
      <w:r w:rsidR="00152DBE">
        <w:rPr>
          <w:lang w:val="en-GB"/>
        </w:rPr>
        <w:t xml:space="preserve">representing the overall design problem, </w:t>
      </w:r>
      <w:r w:rsidR="00D27F41">
        <w:rPr>
          <w:lang w:val="en-GB"/>
        </w:rPr>
        <w:t xml:space="preserve">which </w:t>
      </w:r>
      <w:r w:rsidR="00152DBE">
        <w:rPr>
          <w:lang w:val="en-GB"/>
        </w:rPr>
        <w:t xml:space="preserve">then </w:t>
      </w:r>
      <w:r w:rsidR="00D27F41">
        <w:rPr>
          <w:lang w:val="en-GB"/>
        </w:rPr>
        <w:t>can be solved in many ways depending on the chemicals involved, the property and process models</w:t>
      </w:r>
      <w:r w:rsidR="00152DBE">
        <w:rPr>
          <w:lang w:val="en-GB"/>
        </w:rPr>
        <w:t>,</w:t>
      </w:r>
      <w:r w:rsidR="00D27F41">
        <w:rPr>
          <w:lang w:val="en-GB"/>
        </w:rPr>
        <w:t xml:space="preserve"> and the complexity and size of the problem, among others</w:t>
      </w:r>
      <w:r w:rsidR="00C516A0">
        <w:rPr>
          <w:lang w:val="en-GB"/>
        </w:rPr>
        <w:t>.</w:t>
      </w:r>
      <w:r w:rsidR="00D34BBA">
        <w:rPr>
          <w:lang w:val="en-GB"/>
        </w:rPr>
        <w:t xml:space="preserve"> </w:t>
      </w:r>
      <w:r w:rsidR="00152DBE">
        <w:rPr>
          <w:lang w:val="en-GB"/>
        </w:rPr>
        <w:t>D</w:t>
      </w:r>
      <w:r w:rsidR="00D34BBA">
        <w:rPr>
          <w:lang w:val="en-GB"/>
        </w:rPr>
        <w:t>ue to the complexity and</w:t>
      </w:r>
      <w:r w:rsidR="00152DBE">
        <w:rPr>
          <w:lang w:val="en-GB"/>
        </w:rPr>
        <w:t xml:space="preserve"> large-</w:t>
      </w:r>
      <w:r w:rsidR="00D34BBA">
        <w:rPr>
          <w:lang w:val="en-GB"/>
        </w:rPr>
        <w:t>size of the problem, and a lack of</w:t>
      </w:r>
      <w:r w:rsidR="00152DBE">
        <w:rPr>
          <w:lang w:val="en-GB"/>
        </w:rPr>
        <w:t xml:space="preserve"> </w:t>
      </w:r>
      <w:r w:rsidR="00D34BBA">
        <w:rPr>
          <w:lang w:val="en-GB"/>
        </w:rPr>
        <w:t xml:space="preserve">predictive </w:t>
      </w:r>
      <w:r w:rsidR="00152DBE">
        <w:rPr>
          <w:lang w:val="en-GB"/>
        </w:rPr>
        <w:t xml:space="preserve">property </w:t>
      </w:r>
      <w:r w:rsidR="00D34BBA">
        <w:rPr>
          <w:lang w:val="en-GB"/>
        </w:rPr>
        <w:t xml:space="preserve">models, we have applied a decomposition-based </w:t>
      </w:r>
      <w:r w:rsidR="00152DBE">
        <w:rPr>
          <w:lang w:val="en-GB"/>
        </w:rPr>
        <w:t xml:space="preserve">CAMPD </w:t>
      </w:r>
      <w:r w:rsidR="00D34BBA">
        <w:rPr>
          <w:lang w:val="en-GB"/>
        </w:rPr>
        <w:t xml:space="preserve">strategy that </w:t>
      </w:r>
      <w:r w:rsidR="00152DBE">
        <w:rPr>
          <w:lang w:val="en-GB"/>
        </w:rPr>
        <w:t xml:space="preserve">involves </w:t>
      </w:r>
      <w:r w:rsidR="00D34BBA">
        <w:rPr>
          <w:lang w:val="en-GB"/>
        </w:rPr>
        <w:t>solv</w:t>
      </w:r>
      <w:r w:rsidR="00152DBE">
        <w:rPr>
          <w:lang w:val="en-GB"/>
        </w:rPr>
        <w:t>ing</w:t>
      </w:r>
      <w:r w:rsidR="00D34BBA">
        <w:rPr>
          <w:lang w:val="en-GB"/>
        </w:rPr>
        <w:t xml:space="preserve"> a series of subproblems </w:t>
      </w:r>
      <w:r w:rsidR="00152DBE">
        <w:rPr>
          <w:lang w:val="en-GB"/>
        </w:rPr>
        <w:t xml:space="preserve">sequentially to </w:t>
      </w:r>
      <w:r w:rsidR="00D34BBA">
        <w:rPr>
          <w:lang w:val="en-GB"/>
        </w:rPr>
        <w:t xml:space="preserve">reduce the overall search space, thereby reducing the computational burden. </w:t>
      </w:r>
      <w:r w:rsidR="00C516A0">
        <w:rPr>
          <w:lang w:val="en-GB"/>
        </w:rPr>
        <w:t xml:space="preserve">We illustrate </w:t>
      </w:r>
      <w:r w:rsidR="00AC3166">
        <w:rPr>
          <w:lang w:val="en-GB"/>
        </w:rPr>
        <w:t>our</w:t>
      </w:r>
      <w:r w:rsidR="00C516A0">
        <w:rPr>
          <w:lang w:val="en-GB"/>
        </w:rPr>
        <w:t xml:space="preserve"> </w:t>
      </w:r>
      <w:r w:rsidR="00121D72">
        <w:rPr>
          <w:lang w:val="en-GB"/>
        </w:rPr>
        <w:t xml:space="preserve">strategy </w:t>
      </w:r>
      <w:r w:rsidR="001A0AF6">
        <w:rPr>
          <w:lang w:val="en-GB"/>
        </w:rPr>
        <w:t xml:space="preserve">through </w:t>
      </w:r>
      <w:r w:rsidR="003F1ACE">
        <w:rPr>
          <w:lang w:val="en-GB"/>
        </w:rPr>
        <w:t>a case study</w:t>
      </w:r>
      <w:r w:rsidR="00121D72">
        <w:rPr>
          <w:lang w:val="en-GB"/>
        </w:rPr>
        <w:t xml:space="preserve"> </w:t>
      </w:r>
      <w:r w:rsidR="001A0AF6">
        <w:rPr>
          <w:lang w:val="en-GB"/>
        </w:rPr>
        <w:t xml:space="preserve">involving the </w:t>
      </w:r>
      <w:r w:rsidR="00152DBE">
        <w:rPr>
          <w:lang w:val="en-GB"/>
        </w:rPr>
        <w:t xml:space="preserve">design of ionic liquids (ILs) as solvents </w:t>
      </w:r>
      <w:r w:rsidR="00217EB6">
        <w:rPr>
          <w:lang w:val="en-GB"/>
        </w:rPr>
        <w:t>for the extractive-distillation based</w:t>
      </w:r>
      <w:r w:rsidR="00152DBE">
        <w:rPr>
          <w:lang w:val="en-GB"/>
        </w:rPr>
        <w:t xml:space="preserve"> separation of an azeotropic refrigerant mixture, R-410A. </w:t>
      </w:r>
      <w:r w:rsidR="00217EB6">
        <w:rPr>
          <w:lang w:val="en-GB"/>
        </w:rPr>
        <w:t xml:space="preserve">Separation of such </w:t>
      </w:r>
      <w:r w:rsidR="001A0AF6">
        <w:rPr>
          <w:lang w:val="en-GB"/>
        </w:rPr>
        <w:t>mixture</w:t>
      </w:r>
      <w:r w:rsidR="00217EB6">
        <w:rPr>
          <w:lang w:val="en-GB"/>
        </w:rPr>
        <w:t>s</w:t>
      </w:r>
      <w:r w:rsidR="001A0AF6">
        <w:rPr>
          <w:lang w:val="en-GB"/>
        </w:rPr>
        <w:t xml:space="preserve"> </w:t>
      </w:r>
      <w:r w:rsidR="00C516A0">
        <w:rPr>
          <w:lang w:val="en-GB"/>
        </w:rPr>
        <w:t xml:space="preserve">is </w:t>
      </w:r>
      <w:r w:rsidR="001A0AF6">
        <w:rPr>
          <w:lang w:val="en-GB"/>
        </w:rPr>
        <w:t>gaining increased interest due to the need to remove</w:t>
      </w:r>
      <w:r w:rsidR="00B13143">
        <w:rPr>
          <w:lang w:val="en-GB"/>
        </w:rPr>
        <w:t xml:space="preserve">, </w:t>
      </w:r>
      <w:r w:rsidR="00D34BBA">
        <w:rPr>
          <w:lang w:val="en-GB"/>
        </w:rPr>
        <w:t xml:space="preserve">substitute </w:t>
      </w:r>
      <w:r w:rsidR="00B13143">
        <w:rPr>
          <w:lang w:val="en-GB"/>
        </w:rPr>
        <w:t xml:space="preserve">or reuse </w:t>
      </w:r>
      <w:r w:rsidR="00217EB6">
        <w:rPr>
          <w:lang w:val="en-GB"/>
        </w:rPr>
        <w:t xml:space="preserve">constituent </w:t>
      </w:r>
      <w:r w:rsidR="00D34BBA">
        <w:rPr>
          <w:lang w:val="en-GB"/>
        </w:rPr>
        <w:t xml:space="preserve">refrigerant </w:t>
      </w:r>
      <w:r w:rsidR="001A0AF6">
        <w:rPr>
          <w:lang w:val="en-GB"/>
        </w:rPr>
        <w:t xml:space="preserve">chemicals </w:t>
      </w:r>
      <w:r w:rsidR="00D34BBA">
        <w:rPr>
          <w:lang w:val="en-GB"/>
        </w:rPr>
        <w:t>that have un</w:t>
      </w:r>
      <w:r w:rsidR="00B13143">
        <w:rPr>
          <w:lang w:val="en-GB"/>
        </w:rPr>
        <w:t>desirable</w:t>
      </w:r>
      <w:r w:rsidR="00D34BBA">
        <w:rPr>
          <w:lang w:val="en-GB"/>
        </w:rPr>
        <w:t xml:space="preserve"> properties (such as high </w:t>
      </w:r>
      <w:r w:rsidR="00C516A0">
        <w:rPr>
          <w:lang w:val="en-GB"/>
        </w:rPr>
        <w:t>global warming potential</w:t>
      </w:r>
      <w:r w:rsidR="00217EB6">
        <w:rPr>
          <w:lang w:val="en-GB"/>
        </w:rPr>
        <w:t>,</w:t>
      </w:r>
      <w:r w:rsidR="00C516A0">
        <w:rPr>
          <w:lang w:val="en-GB"/>
        </w:rPr>
        <w:t xml:space="preserve"> </w:t>
      </w:r>
      <w:r w:rsidR="00D34BBA">
        <w:rPr>
          <w:lang w:val="en-GB"/>
        </w:rPr>
        <w:t>flammability</w:t>
      </w:r>
      <w:r w:rsidR="00217EB6">
        <w:rPr>
          <w:lang w:val="en-GB"/>
        </w:rPr>
        <w:t>, etc.</w:t>
      </w:r>
      <w:r w:rsidR="00C516A0">
        <w:rPr>
          <w:lang w:val="en-GB"/>
        </w:rPr>
        <w:t>)</w:t>
      </w:r>
      <w:r w:rsidR="00B13143">
        <w:rPr>
          <w:lang w:val="en-GB"/>
        </w:rPr>
        <w:t xml:space="preserve">. </w:t>
      </w:r>
      <w:r w:rsidR="00AC3166">
        <w:rPr>
          <w:lang w:val="en-GB"/>
        </w:rPr>
        <w:t>IL</w:t>
      </w:r>
      <w:r w:rsidR="00217EB6">
        <w:rPr>
          <w:lang w:val="en-GB"/>
        </w:rPr>
        <w:t xml:space="preserve">s </w:t>
      </w:r>
      <w:r w:rsidR="00B13143">
        <w:rPr>
          <w:lang w:val="en-GB"/>
        </w:rPr>
        <w:t>are considered because of their designable properties as function</w:t>
      </w:r>
      <w:r w:rsidR="00217EB6">
        <w:rPr>
          <w:lang w:val="en-GB"/>
        </w:rPr>
        <w:t>s</w:t>
      </w:r>
      <w:r w:rsidR="00B13143">
        <w:rPr>
          <w:lang w:val="en-GB"/>
        </w:rPr>
        <w:t xml:space="preserve"> of their molecular structures. Based on available measured data, </w:t>
      </w:r>
      <w:r w:rsidR="00C6503E">
        <w:rPr>
          <w:lang w:val="en-GB"/>
        </w:rPr>
        <w:t>group-contribution</w:t>
      </w:r>
      <w:r w:rsidR="00B13143">
        <w:rPr>
          <w:lang w:val="en-GB"/>
        </w:rPr>
        <w:t xml:space="preserve"> based predictive property models have been developed and interfaced with the workflow of the </w:t>
      </w:r>
      <w:r w:rsidR="00217EB6">
        <w:rPr>
          <w:lang w:val="en-GB"/>
        </w:rPr>
        <w:t>proposed strategy</w:t>
      </w:r>
      <w:r w:rsidR="003F1ACE">
        <w:rPr>
          <w:lang w:val="en-GB"/>
        </w:rPr>
        <w:t xml:space="preserve">. </w:t>
      </w:r>
      <w:r w:rsidR="00B13143">
        <w:rPr>
          <w:lang w:val="en-GB"/>
        </w:rPr>
        <w:t xml:space="preserve">A set </w:t>
      </w:r>
      <w:r w:rsidR="00AC3166">
        <w:rPr>
          <w:lang w:val="en-GB"/>
        </w:rPr>
        <w:t xml:space="preserve">of promising </w:t>
      </w:r>
      <w:r w:rsidR="00217EB6">
        <w:rPr>
          <w:lang w:val="en-GB"/>
        </w:rPr>
        <w:t>ILs</w:t>
      </w:r>
      <w:r w:rsidR="00B13143">
        <w:rPr>
          <w:lang w:val="en-GB"/>
        </w:rPr>
        <w:t xml:space="preserve"> have been identified and their performance verified through process simulation. </w:t>
      </w:r>
      <w:r w:rsidR="00AC3166">
        <w:rPr>
          <w:lang w:val="en-GB"/>
        </w:rPr>
        <w:t xml:space="preserve">  </w:t>
      </w:r>
      <w:r w:rsidR="00C516A0">
        <w:rPr>
          <w:lang w:val="en-GB"/>
        </w:rPr>
        <w:t xml:space="preserve"> </w:t>
      </w:r>
    </w:p>
    <w:p w14:paraId="144DE687" w14:textId="1D5381AF" w:rsidR="008D2649" w:rsidRDefault="008D2649" w:rsidP="00755DD4">
      <w:pPr>
        <w:pStyle w:val="Els-body-text"/>
        <w:spacing w:after="120"/>
        <w:rPr>
          <w:lang w:val="en-GB"/>
        </w:rPr>
      </w:pPr>
      <w:r>
        <w:rPr>
          <w:b/>
          <w:bCs/>
          <w:lang w:val="en-GB"/>
        </w:rPr>
        <w:t>Keywords</w:t>
      </w:r>
      <w:r>
        <w:rPr>
          <w:lang w:val="en-GB"/>
        </w:rPr>
        <w:t xml:space="preserve">: </w:t>
      </w:r>
      <w:r w:rsidR="00755DD4">
        <w:rPr>
          <w:lang w:val="en-GB"/>
        </w:rPr>
        <w:t xml:space="preserve">CAMPD, Group contribution, </w:t>
      </w:r>
      <w:r w:rsidR="00C52231">
        <w:rPr>
          <w:lang w:val="en-GB"/>
        </w:rPr>
        <w:t>Solvent Design, Process and Product Design,</w:t>
      </w:r>
      <w:r w:rsidR="00755DD4">
        <w:rPr>
          <w:lang w:val="en-GB"/>
        </w:rPr>
        <w:t xml:space="preserve"> </w:t>
      </w:r>
      <w:r w:rsidR="00C52231">
        <w:rPr>
          <w:lang w:val="en-GB"/>
        </w:rPr>
        <w:t xml:space="preserve">Mathematical </w:t>
      </w:r>
      <w:proofErr w:type="spellStart"/>
      <w:r w:rsidR="004E065C">
        <w:rPr>
          <w:lang w:val="en-GB"/>
        </w:rPr>
        <w:t>Modeling</w:t>
      </w:r>
      <w:proofErr w:type="spellEnd"/>
      <w:r w:rsidR="00755DD4">
        <w:rPr>
          <w:lang w:val="en-GB"/>
        </w:rPr>
        <w:t>, Optimization</w:t>
      </w:r>
    </w:p>
    <w:p w14:paraId="144DE689" w14:textId="55FF4244" w:rsidR="008D2649" w:rsidRDefault="00247117" w:rsidP="008D2649">
      <w:pPr>
        <w:pStyle w:val="Els-1storder-head"/>
      </w:pPr>
      <w:r>
        <w:t>Introduction</w:t>
      </w:r>
    </w:p>
    <w:p w14:paraId="2B9C0963" w14:textId="77777777" w:rsidR="001D2DD2" w:rsidRDefault="001D2DD2" w:rsidP="008D2649">
      <w:pPr>
        <w:pStyle w:val="Els-body-text"/>
      </w:pPr>
    </w:p>
    <w:p w14:paraId="48E3F194" w14:textId="6BF1B9FE" w:rsidR="002F33CA" w:rsidRDefault="001D2DD2" w:rsidP="001D2DD2">
      <w:pPr>
        <w:pStyle w:val="Els-body-text"/>
      </w:pPr>
      <w:r>
        <w:t xml:space="preserve">The systematic identification of optimal materials and processes is often realized through Computer-aided Molecular and Process Design (CAMPD). </w:t>
      </w:r>
      <w:r w:rsidR="008C05B2">
        <w:t xml:space="preserve">The influence and importance of the selection of materials on the overall performance of </w:t>
      </w:r>
      <w:r w:rsidR="00B93C82">
        <w:t xml:space="preserve">chemical </w:t>
      </w:r>
      <w:r w:rsidR="008C05B2">
        <w:t>separation processes</w:t>
      </w:r>
      <w:r w:rsidR="00B93C82">
        <w:t xml:space="preserve"> have been highlighted </w:t>
      </w:r>
      <w:r w:rsidR="00C90DE1">
        <w:t xml:space="preserve">in the past </w:t>
      </w:r>
      <w:r w:rsidR="00B93C82">
        <w:t>(e.g., Liu et al., 2018; Iftakher et al. 2023)</w:t>
      </w:r>
      <w:r w:rsidR="008C05B2">
        <w:t xml:space="preserve">. </w:t>
      </w:r>
      <w:r w:rsidR="002F33CA">
        <w:t xml:space="preserve">A typical </w:t>
      </w:r>
      <w:r w:rsidR="002F33CA">
        <w:lastRenderedPageBreak/>
        <w:t>CAMPD problem can be formulated as a</w:t>
      </w:r>
      <w:r w:rsidR="00395A8D">
        <w:t xml:space="preserve"> mixed-integer non-linear programming</w:t>
      </w:r>
      <w:r w:rsidR="00A77AA9">
        <w:t xml:space="preserve"> (MINLP)</w:t>
      </w:r>
      <w:r w:rsidR="00395A8D">
        <w:t xml:space="preserve"> problem, as shown </w:t>
      </w:r>
      <w:r w:rsidR="002F33CA">
        <w:t>in Eq. (1).</w:t>
      </w:r>
    </w:p>
    <w:p w14:paraId="33968962" w14:textId="77777777" w:rsidR="002F33CA" w:rsidRDefault="002F33CA" w:rsidP="001D2DD2">
      <w:pPr>
        <w:pStyle w:val="Els-body-text"/>
      </w:pPr>
    </w:p>
    <w:tbl>
      <w:tblPr>
        <w:tblW w:w="7086" w:type="dxa"/>
        <w:tblLook w:val="04A0" w:firstRow="1" w:lastRow="0" w:firstColumn="1" w:lastColumn="0" w:noHBand="0" w:noVBand="1"/>
      </w:tblPr>
      <w:tblGrid>
        <w:gridCol w:w="5384"/>
        <w:gridCol w:w="831"/>
        <w:gridCol w:w="871"/>
      </w:tblGrid>
      <w:tr w:rsidR="002F33CA" w:rsidRPr="00A94774" w14:paraId="66585DCE" w14:textId="77777777" w:rsidTr="002F33CA">
        <w:tc>
          <w:tcPr>
            <w:tcW w:w="5384" w:type="dxa"/>
            <w:shd w:val="clear" w:color="auto" w:fill="auto"/>
            <w:vAlign w:val="center"/>
          </w:tcPr>
          <w:p w14:paraId="7098EAFE" w14:textId="0D5E576E" w:rsidR="002F33CA" w:rsidRPr="00B45412" w:rsidRDefault="00000000" w:rsidP="005B4D9F">
            <w:pPr>
              <w:pStyle w:val="Els-body-text"/>
              <w:spacing w:line="264" w:lineRule="auto"/>
              <w:rPr>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
                          </m:rPr>
                          <w:rPr>
                            <w:rFonts w:ascii="Cambria Math" w:hAnsi="Cambria Math"/>
                            <w:lang w:val="en-GB"/>
                          </w:rPr>
                          <m:t>m,η</m:t>
                        </m:r>
                      </m:lim>
                    </m:limLow>
                    <m:r>
                      <w:rPr>
                        <w:rFonts w:ascii="Cambria Math" w:hAnsi="Cambria Math"/>
                        <w:lang w:val="en-GB"/>
                      </w:rPr>
                      <m:t xml:space="preserve">          </m:t>
                    </m:r>
                  </m:fName>
                  <m:e>
                    <m:r>
                      <w:rPr>
                        <w:rFonts w:ascii="Cambria Math" w:hAnsi="Cambria Math"/>
                        <w:lang w:val="en-GB"/>
                      </w:rPr>
                      <m:t xml:space="preserve"> C(</m:t>
                    </m:r>
                    <m:r>
                      <m:rPr>
                        <m:sty m:val="bi"/>
                      </m:rPr>
                      <w:rPr>
                        <w:rFonts w:ascii="Cambria Math" w:hAnsi="Cambria Math"/>
                        <w:lang w:val="en-GB"/>
                      </w:rPr>
                      <m:t>η,p</m:t>
                    </m:r>
                    <m:r>
                      <w:rPr>
                        <w:rFonts w:ascii="Cambria Math" w:hAnsi="Cambria Math"/>
                        <w:lang w:val="en-GB"/>
                      </w:rPr>
                      <m:t>)</m:t>
                    </m:r>
                  </m:e>
                </m:func>
              </m:oMath>
            </m:oMathPara>
          </w:p>
          <w:p w14:paraId="357C0271" w14:textId="0E9CEBC7" w:rsidR="002F33CA" w:rsidRDefault="002F33CA" w:rsidP="005B4D9F">
            <w:pPr>
              <w:pStyle w:val="Els-body-text"/>
              <w:spacing w:line="264" w:lineRule="auto"/>
              <w:rPr>
                <w:lang w:val="en-GB"/>
              </w:rPr>
            </w:pPr>
            <m:oMath>
              <m:r>
                <w:rPr>
                  <w:rFonts w:ascii="Cambria Math" w:hAnsi="Cambria Math"/>
                  <w:lang w:val="en-GB"/>
                </w:rPr>
                <m:t xml:space="preserve"> </m:t>
              </m:r>
              <m:r>
                <m:rPr>
                  <m:nor/>
                </m:rPr>
                <w:rPr>
                  <w:rFonts w:ascii="Cambria Math" w:hAnsi="Cambria Math"/>
                  <w:lang w:val="en-GB"/>
                </w:rPr>
                <m:t xml:space="preserve">s.t. </m:t>
              </m:r>
            </m:oMath>
            <w:r>
              <w:rPr>
                <w:lang w:val="en-GB"/>
              </w:rPr>
              <w:t xml:space="preserve">          </w:t>
            </w:r>
            <m:oMath>
              <m:r>
                <w:rPr>
                  <w:rFonts w:ascii="Cambria Math" w:hAnsi="Cambria Math"/>
                  <w:lang w:val="en-GB"/>
                </w:rPr>
                <m:t xml:space="preserve"> </m:t>
              </m:r>
              <m:r>
                <m:rPr>
                  <m:sty m:val="bi"/>
                </m:rPr>
                <w:rPr>
                  <w:rFonts w:ascii="Cambria Math" w:hAnsi="Cambria Math"/>
                  <w:lang w:val="en-GB"/>
                </w:rPr>
                <m:t>p</m:t>
              </m:r>
              <m:r>
                <w:rPr>
                  <w:rFonts w:ascii="Cambria Math" w:hAnsi="Cambria Math"/>
                  <w:lang w:val="en-GB"/>
                </w:rPr>
                <m:t>=</m:t>
              </m:r>
              <m:r>
                <m:rPr>
                  <m:sty m:val="bi"/>
                </m:rPr>
                <w:rPr>
                  <w:rFonts w:ascii="Cambria Math" w:hAnsi="Cambria Math"/>
                  <w:lang w:val="en-GB"/>
                </w:rPr>
                <m:t>f</m:t>
              </m:r>
              <m:r>
                <w:rPr>
                  <w:rFonts w:ascii="Cambria Math" w:hAnsi="Cambria Math"/>
                  <w:lang w:val="en-GB"/>
                </w:rPr>
                <m:t>(</m:t>
              </m:r>
              <m:r>
                <m:rPr>
                  <m:sty m:val="bi"/>
                </m:rPr>
                <w:rPr>
                  <w:rFonts w:ascii="Cambria Math" w:hAnsi="Cambria Math"/>
                  <w:lang w:val="en-GB"/>
                </w:rPr>
                <m:t>m,η</m:t>
              </m:r>
              <m:r>
                <w:rPr>
                  <w:rFonts w:ascii="Cambria Math" w:hAnsi="Cambria Math"/>
                  <w:lang w:val="en-GB"/>
                </w:rPr>
                <m:t>)</m:t>
              </m:r>
            </m:oMath>
          </w:p>
          <w:p w14:paraId="71767FBD" w14:textId="5342561F" w:rsidR="002F33CA" w:rsidRDefault="002F33CA" w:rsidP="005B4D9F">
            <w:pPr>
              <w:pStyle w:val="Els-body-text"/>
              <w:spacing w:line="264" w:lineRule="auto"/>
              <w:rPr>
                <w:lang w:val="en-GB"/>
              </w:rPr>
            </w:pPr>
            <w:r>
              <w:rPr>
                <w:lang w:val="en-GB"/>
              </w:rPr>
              <w:t xml:space="preserve">                 </w:t>
            </w:r>
            <m:oMath>
              <m:r>
                <m:rPr>
                  <m:sty m:val="bi"/>
                </m:rPr>
                <w:rPr>
                  <w:rFonts w:ascii="Cambria Math" w:hAnsi="Cambria Math"/>
                  <w:lang w:val="en-GB"/>
                </w:rPr>
                <m:t>s</m:t>
              </m:r>
              <m:d>
                <m:dPr>
                  <m:ctrlPr>
                    <w:rPr>
                      <w:rFonts w:ascii="Cambria Math" w:hAnsi="Cambria Math"/>
                      <w:i/>
                      <w:lang w:val="en-GB"/>
                    </w:rPr>
                  </m:ctrlPr>
                </m:dPr>
                <m:e>
                  <m:r>
                    <m:rPr>
                      <m:sty m:val="bi"/>
                    </m:rPr>
                    <w:rPr>
                      <w:rFonts w:ascii="Cambria Math" w:hAnsi="Cambria Math"/>
                      <w:lang w:val="en-GB"/>
                    </w:rPr>
                    <m:t>m</m:t>
                  </m:r>
                </m:e>
              </m:d>
              <m:r>
                <w:rPr>
                  <w:rFonts w:ascii="Cambria Math" w:hAnsi="Cambria Math"/>
                  <w:lang w:val="en-GB"/>
                </w:rPr>
                <m:t>≤0</m:t>
              </m:r>
            </m:oMath>
          </w:p>
          <w:p w14:paraId="6A0F7BEE" w14:textId="3ABF58EB" w:rsidR="002F33CA" w:rsidRDefault="002F33CA" w:rsidP="005B4D9F">
            <w:pPr>
              <w:pStyle w:val="Els-body-text"/>
              <w:spacing w:line="264" w:lineRule="auto"/>
              <w:rPr>
                <w:lang w:val="en-GB"/>
              </w:rPr>
            </w:pPr>
            <w:r>
              <w:rPr>
                <w:lang w:val="en-GB"/>
              </w:rPr>
              <w:t xml:space="preserve">                 </w:t>
            </w:r>
            <m:oMath>
              <m:r>
                <m:rPr>
                  <m:sty m:val="bi"/>
                </m:rPr>
                <w:rPr>
                  <w:rFonts w:ascii="Cambria Math" w:hAnsi="Cambria Math"/>
                  <w:lang w:val="en-GB"/>
                </w:rPr>
                <m:t>g</m:t>
              </m:r>
              <m:d>
                <m:dPr>
                  <m:ctrlPr>
                    <w:rPr>
                      <w:rFonts w:ascii="Cambria Math" w:hAnsi="Cambria Math"/>
                      <w:i/>
                      <w:lang w:val="en-GB"/>
                    </w:rPr>
                  </m:ctrlPr>
                </m:dPr>
                <m:e>
                  <m:r>
                    <m:rPr>
                      <m:sty m:val="bi"/>
                    </m:rPr>
                    <w:rPr>
                      <w:rFonts w:ascii="Cambria Math" w:hAnsi="Cambria Math"/>
                      <w:lang w:val="en-GB"/>
                    </w:rPr>
                    <m:t>η</m:t>
                  </m:r>
                </m:e>
              </m:d>
              <m:r>
                <w:rPr>
                  <w:rFonts w:ascii="Cambria Math" w:hAnsi="Cambria Math"/>
                  <w:lang w:val="en-GB"/>
                </w:rPr>
                <m:t>≤0</m:t>
              </m:r>
            </m:oMath>
          </w:p>
          <w:p w14:paraId="698BA1BC" w14:textId="0A105F69" w:rsidR="002F33CA" w:rsidRPr="002F33CA" w:rsidRDefault="002F33CA" w:rsidP="005B4D9F">
            <w:pPr>
              <w:pStyle w:val="Els-body-text"/>
              <w:spacing w:line="264" w:lineRule="auto"/>
              <w:rPr>
                <w:lang w:val="en-GB"/>
              </w:rPr>
            </w:pPr>
            <w:r>
              <w:rPr>
                <w:b/>
                <w:lang w:val="en-GB"/>
              </w:rPr>
              <w:t xml:space="preserve">                 </w:t>
            </w:r>
            <m:oMath>
              <m:r>
                <m:rPr>
                  <m:sty m:val="bi"/>
                </m:rPr>
                <w:rPr>
                  <w:rFonts w:ascii="Cambria Math" w:hAnsi="Cambria Math"/>
                  <w:lang w:val="en-GB"/>
                </w:rPr>
                <m:t>h</m:t>
              </m:r>
              <m:d>
                <m:dPr>
                  <m:ctrlPr>
                    <w:rPr>
                      <w:rFonts w:ascii="Cambria Math" w:hAnsi="Cambria Math"/>
                      <w:i/>
                      <w:lang w:val="en-GB"/>
                    </w:rPr>
                  </m:ctrlPr>
                </m:dPr>
                <m:e>
                  <m:r>
                    <m:rPr>
                      <m:sty m:val="bi"/>
                    </m:rPr>
                    <w:rPr>
                      <w:rFonts w:ascii="Cambria Math" w:hAnsi="Cambria Math"/>
                      <w:lang w:val="en-GB"/>
                    </w:rPr>
                    <m:t>η,p</m:t>
                  </m:r>
                </m:e>
              </m:d>
              <m:r>
                <w:rPr>
                  <w:rFonts w:ascii="Cambria Math" w:hAnsi="Cambria Math"/>
                  <w:lang w:val="en-GB"/>
                </w:rPr>
                <m:t>=0</m:t>
              </m:r>
            </m:oMath>
          </w:p>
          <w:p w14:paraId="08DB917F" w14:textId="6615D680" w:rsidR="002F33CA" w:rsidRPr="002F33CA" w:rsidRDefault="002F33CA" w:rsidP="005B4D9F">
            <w:pPr>
              <w:pStyle w:val="Els-body-text"/>
              <w:spacing w:line="264" w:lineRule="auto"/>
              <w:rPr>
                <w:bCs/>
                <w:lang w:val="en-GB"/>
              </w:rPr>
            </w:pPr>
            <w:r>
              <w:rPr>
                <w:b/>
                <w:lang w:val="en-GB"/>
              </w:rPr>
              <w:t xml:space="preserve">                 </w:t>
            </w:r>
            <m:oMath>
              <m:r>
                <m:rPr>
                  <m:sty m:val="bi"/>
                </m:rPr>
                <w:rPr>
                  <w:rFonts w:ascii="Cambria Math" w:hAnsi="Cambria Math"/>
                  <w:lang w:val="en-GB"/>
                </w:rPr>
                <m:t>m</m:t>
              </m:r>
              <m:r>
                <w:rPr>
                  <w:rFonts w:ascii="Cambria Math" w:hAnsi="Cambria Math"/>
                  <w:lang w:val="en-GB"/>
                </w:rPr>
                <m:t>∈</m:t>
              </m:r>
              <m:sSubSup>
                <m:sSubSupPr>
                  <m:ctrlPr>
                    <w:rPr>
                      <w:rFonts w:ascii="Cambria Math" w:hAnsi="Cambria Math"/>
                      <w:bCs/>
                      <w:i/>
                      <w:lang w:val="en-GB"/>
                    </w:rPr>
                  </m:ctrlPr>
                </m:sSubSupPr>
                <m:e>
                  <m:r>
                    <m:rPr>
                      <m:scr m:val="double-struck"/>
                    </m:rPr>
                    <w:rPr>
                      <w:rFonts w:ascii="Cambria Math" w:hAnsi="Cambria Math"/>
                      <w:lang w:val="en-GB"/>
                    </w:rPr>
                    <m:t>Z</m:t>
                  </m:r>
                </m:e>
                <m:sub>
                  <m:r>
                    <w:rPr>
                      <w:rFonts w:ascii="Cambria Math" w:hAnsi="Cambria Math"/>
                      <w:lang w:val="en-GB"/>
                    </w:rPr>
                    <m:t>+</m:t>
                  </m:r>
                </m:sub>
                <m:sup>
                  <m:r>
                    <w:rPr>
                      <w:rFonts w:ascii="Cambria Math" w:hAnsi="Cambria Math"/>
                      <w:lang w:val="en-GB"/>
                    </w:rPr>
                    <m:t>d</m:t>
                  </m:r>
                </m:sup>
              </m:sSubSup>
              <m:r>
                <m:rPr>
                  <m:sty m:val="bi"/>
                </m:rPr>
                <w:rPr>
                  <w:rFonts w:ascii="Cambria Math" w:hAnsi="Cambria Math"/>
                  <w:lang w:val="en-GB"/>
                </w:rPr>
                <m:t>,  η</m:t>
              </m:r>
              <m:r>
                <w:rPr>
                  <w:rFonts w:ascii="Cambria Math" w:hAnsi="Cambria Math"/>
                  <w:lang w:val="en-GB"/>
                </w:rPr>
                <m:t>∈</m:t>
              </m:r>
              <m:sSup>
                <m:sSupPr>
                  <m:ctrlPr>
                    <w:rPr>
                      <w:rFonts w:ascii="Cambria Math" w:hAnsi="Cambria Math"/>
                      <w:bCs/>
                      <w:i/>
                      <w:lang w:val="en-GB"/>
                    </w:rPr>
                  </m:ctrlPr>
                </m:sSupPr>
                <m:e>
                  <m:r>
                    <m:rPr>
                      <m:scr m:val="double-struck"/>
                    </m:rPr>
                    <w:rPr>
                      <w:rFonts w:ascii="Cambria Math" w:hAnsi="Cambria Math"/>
                      <w:lang w:val="en-GB"/>
                    </w:rPr>
                    <m:t>R</m:t>
                  </m:r>
                </m:e>
                <m:sup>
                  <m:r>
                    <w:rPr>
                      <w:rFonts w:ascii="Cambria Math" w:hAnsi="Cambria Math"/>
                      <w:lang w:val="en-GB"/>
                    </w:rPr>
                    <m:t>n</m:t>
                  </m:r>
                </m:sup>
              </m:sSup>
              <m:r>
                <w:rPr>
                  <w:rFonts w:ascii="Cambria Math" w:hAnsi="Cambria Math"/>
                  <w:lang w:val="en-GB"/>
                </w:rPr>
                <m:t>×</m:t>
              </m:r>
              <m:sSubSup>
                <m:sSubSupPr>
                  <m:ctrlPr>
                    <w:rPr>
                      <w:rFonts w:ascii="Cambria Math" w:hAnsi="Cambria Math"/>
                      <w:bCs/>
                      <w:i/>
                      <w:lang w:val="en-GB"/>
                    </w:rPr>
                  </m:ctrlPr>
                </m:sSubSupPr>
                <m:e>
                  <m:r>
                    <m:rPr>
                      <m:scr m:val="double-struck"/>
                    </m:rPr>
                    <w:rPr>
                      <w:rFonts w:ascii="Cambria Math" w:hAnsi="Cambria Math"/>
                      <w:lang w:val="en-GB"/>
                    </w:rPr>
                    <m:t>Z</m:t>
                  </m:r>
                </m:e>
                <m:sub>
                  <m:r>
                    <w:rPr>
                      <w:rFonts w:ascii="Cambria Math" w:hAnsi="Cambria Math"/>
                      <w:lang w:val="en-GB"/>
                    </w:rPr>
                    <m:t>+</m:t>
                  </m:r>
                </m:sub>
                <m:sup>
                  <m:r>
                    <w:rPr>
                      <w:rFonts w:ascii="Cambria Math" w:hAnsi="Cambria Math"/>
                      <w:lang w:val="en-GB"/>
                    </w:rPr>
                    <m:t>w</m:t>
                  </m:r>
                </m:sup>
              </m:sSubSup>
            </m:oMath>
          </w:p>
        </w:tc>
        <w:tc>
          <w:tcPr>
            <w:tcW w:w="831" w:type="dxa"/>
          </w:tcPr>
          <w:p w14:paraId="761E5B66" w14:textId="77777777" w:rsidR="002F33CA" w:rsidRPr="00A94774" w:rsidRDefault="002F33CA" w:rsidP="005B4D9F">
            <w:pPr>
              <w:pStyle w:val="Els-body-text"/>
              <w:spacing w:line="264" w:lineRule="auto"/>
              <w:jc w:val="right"/>
              <w:rPr>
                <w:lang w:val="en-GB"/>
              </w:rPr>
            </w:pPr>
          </w:p>
        </w:tc>
        <w:tc>
          <w:tcPr>
            <w:tcW w:w="871" w:type="dxa"/>
            <w:shd w:val="clear" w:color="auto" w:fill="auto"/>
            <w:vAlign w:val="center"/>
          </w:tcPr>
          <w:p w14:paraId="6A6957C0" w14:textId="556DF35F" w:rsidR="002F33CA" w:rsidRPr="00A94774" w:rsidRDefault="002F33CA" w:rsidP="005B4D9F">
            <w:pPr>
              <w:pStyle w:val="Els-body-text"/>
              <w:spacing w:line="264" w:lineRule="auto"/>
              <w:jc w:val="right"/>
              <w:rPr>
                <w:lang w:val="en-GB"/>
              </w:rPr>
            </w:pPr>
            <w:r w:rsidRPr="00A94774">
              <w:rPr>
                <w:lang w:val="en-GB"/>
              </w:rPr>
              <w:t>(1)</w:t>
            </w:r>
          </w:p>
        </w:tc>
      </w:tr>
    </w:tbl>
    <w:p w14:paraId="7CB8B0E2" w14:textId="77777777" w:rsidR="002F33CA" w:rsidRDefault="002F33CA" w:rsidP="001D2DD2">
      <w:pPr>
        <w:pStyle w:val="Els-body-text"/>
      </w:pPr>
    </w:p>
    <w:p w14:paraId="6297DB94" w14:textId="54BE1A3C" w:rsidR="002F33CA" w:rsidRDefault="00A01D7A" w:rsidP="001D2DD2">
      <w:pPr>
        <w:pStyle w:val="Els-body-text"/>
      </w:pPr>
      <w:r>
        <w:t>w</w:t>
      </w:r>
      <w:r w:rsidR="002F33CA">
        <w:t>here</w:t>
      </w:r>
      <w:r w:rsidR="00395A8D">
        <w:t>,</w:t>
      </w:r>
      <w:r w:rsidR="002F33CA">
        <w:t xml:space="preserve"> the decision variables </w:t>
      </w:r>
      <w:r w:rsidR="007D5B60">
        <w:t>include</w:t>
      </w:r>
      <w:r w:rsidR="002F33CA">
        <w:t xml:space="preserve"> </w:t>
      </w:r>
      <w:r w:rsidR="00D015E1">
        <w:t xml:space="preserve">both discrete </w:t>
      </w:r>
      <w:r w:rsidR="002F33CA">
        <w:t xml:space="preserve">and continuous variables. Molecular design </w:t>
      </w:r>
      <w:r w:rsidR="007D5B60">
        <w:t xml:space="preserve">involves finding the optimal values for </w:t>
      </w:r>
      <w:r w:rsidR="002F33CA">
        <w:t xml:space="preserve">a </w:t>
      </w:r>
      <w:r w:rsidR="00626A2A">
        <w:t>set</w:t>
      </w:r>
      <w:r w:rsidR="002F33CA">
        <w:t xml:space="preserve"> of integer variables (</w:t>
      </w:r>
      <m:oMath>
        <m:r>
          <m:rPr>
            <m:sty m:val="bi"/>
          </m:rPr>
          <w:rPr>
            <w:rFonts w:ascii="Cambria Math" w:hAnsi="Cambria Math"/>
          </w:rPr>
          <m:t>m</m:t>
        </m:r>
      </m:oMath>
      <w:r w:rsidR="002F33CA">
        <w:t xml:space="preserve">) that represent the building blocks or groups </w:t>
      </w:r>
      <w:r w:rsidR="007D5B60">
        <w:t>representing</w:t>
      </w:r>
      <w:r w:rsidR="002F33CA">
        <w:t xml:space="preserve"> the material (solvent). Process design and configuration</w:t>
      </w:r>
      <w:r w:rsidR="007D5B60">
        <w:t xml:space="preserve"> involves finding the optimal values for a </w:t>
      </w:r>
      <w:r w:rsidR="002F33CA">
        <w:t>set of process variables (</w:t>
      </w:r>
      <m:oMath>
        <m:r>
          <m:rPr>
            <m:sty m:val="bi"/>
          </m:rPr>
          <w:rPr>
            <w:rFonts w:ascii="Cambria Math" w:hAnsi="Cambria Math"/>
          </w:rPr>
          <m:t>η</m:t>
        </m:r>
      </m:oMath>
      <w:r w:rsidR="002F33CA">
        <w:t xml:space="preserve">) that </w:t>
      </w:r>
      <w:r w:rsidR="007D5B60">
        <w:t xml:space="preserve">represents the process design specifications that </w:t>
      </w:r>
      <w:r w:rsidR="002F33CA">
        <w:t xml:space="preserve">typically involve </w:t>
      </w:r>
      <w:r w:rsidR="00626A2A">
        <w:t xml:space="preserve">a </w:t>
      </w:r>
      <w:r w:rsidR="007D5B60">
        <w:t>sub</w:t>
      </w:r>
      <w:r w:rsidR="00626A2A">
        <w:t>set of</w:t>
      </w:r>
      <w:r w:rsidR="002F33CA">
        <w:t xml:space="preserve"> integer </w:t>
      </w:r>
      <w:r w:rsidR="00626A2A">
        <w:t>variables</w:t>
      </w:r>
      <w:r w:rsidR="002F33CA">
        <w:t xml:space="preserve"> </w:t>
      </w:r>
      <w:r w:rsidR="00626A2A">
        <w:t xml:space="preserve">(e.g., </w:t>
      </w:r>
      <w:r w:rsidR="002F33CA">
        <w:t xml:space="preserve">feed location, number of column stages, </w:t>
      </w:r>
      <w:r w:rsidR="00626A2A">
        <w:t>etc.) and</w:t>
      </w:r>
      <w:r w:rsidR="002F33CA">
        <w:t xml:space="preserve"> a </w:t>
      </w:r>
      <w:r w:rsidR="007D5B60">
        <w:t>sub</w:t>
      </w:r>
      <w:r w:rsidR="002F33CA">
        <w:t xml:space="preserve">set of continuous variables (e.g., solvent flow rate to the </w:t>
      </w:r>
      <w:r w:rsidR="00A77AA9">
        <w:t xml:space="preserve">extractive distillation (ED) </w:t>
      </w:r>
      <w:r w:rsidR="002F33CA">
        <w:t xml:space="preserve">process, reflux ratio, operating pressure, and temperature, etc.). The objective function </w:t>
      </w:r>
      <m:oMath>
        <m:r>
          <w:rPr>
            <w:rFonts w:ascii="Cambria Math" w:hAnsi="Cambria Math"/>
          </w:rPr>
          <m:t>C</m:t>
        </m:r>
      </m:oMath>
      <w:r w:rsidR="002F33CA">
        <w:t xml:space="preserve"> minimize</w:t>
      </w:r>
      <w:proofErr w:type="spellStart"/>
      <w:r w:rsidR="007D5B60">
        <w:t>s</w:t>
      </w:r>
      <w:proofErr w:type="spellEnd"/>
      <w:r w:rsidR="002F33CA">
        <w:t xml:space="preserve"> the process operating cost </w:t>
      </w:r>
      <w:r w:rsidR="007D5B60">
        <w:t xml:space="preserve">in this example and </w:t>
      </w:r>
      <w:r w:rsidR="002F33CA">
        <w:t xml:space="preserve">is subject to a set of constraints. The constraint </w:t>
      </w:r>
      <m:oMath>
        <m:r>
          <m:rPr>
            <m:sty m:val="bi"/>
          </m:rPr>
          <w:rPr>
            <w:rFonts w:ascii="Cambria Math" w:hAnsi="Cambria Math"/>
          </w:rPr>
          <m:t>p</m:t>
        </m:r>
      </m:oMath>
      <w:r w:rsidR="007D5B60">
        <w:t xml:space="preserve"> </w:t>
      </w:r>
      <w:r w:rsidR="00626A2A">
        <w:t xml:space="preserve">involves </w:t>
      </w:r>
      <w:r w:rsidR="007D5B60">
        <w:t xml:space="preserve">bounds on </w:t>
      </w:r>
      <w:r w:rsidR="00626A2A">
        <w:t>thermodynamic and transport propert</w:t>
      </w:r>
      <w:r w:rsidR="007D5B60">
        <w:t xml:space="preserve">ies that are predicted through </w:t>
      </w:r>
      <w:r w:rsidR="00626A2A">
        <w:t xml:space="preserve">the </w:t>
      </w:r>
      <w:r w:rsidR="00D015E1">
        <w:t xml:space="preserve">molecular </w:t>
      </w:r>
      <w:r w:rsidR="00626A2A">
        <w:t>structure-property relationship</w:t>
      </w:r>
      <w:r w:rsidR="00D015E1">
        <w:t>s</w:t>
      </w:r>
      <w:r w:rsidR="00626A2A">
        <w:t xml:space="preserve">. The </w:t>
      </w:r>
      <w:r w:rsidR="007D5B60">
        <w:t>c</w:t>
      </w:r>
      <w:r w:rsidR="00626A2A">
        <w:t xml:space="preserve">onstraint </w:t>
      </w:r>
      <m:oMath>
        <m:r>
          <m:rPr>
            <m:sty m:val="bi"/>
          </m:rPr>
          <w:rPr>
            <w:rFonts w:ascii="Cambria Math" w:hAnsi="Cambria Math"/>
          </w:rPr>
          <m:t>s</m:t>
        </m:r>
      </m:oMath>
      <w:r w:rsidR="00563544">
        <w:t xml:space="preserve"> </w:t>
      </w:r>
      <w:r w:rsidR="00626A2A">
        <w:t xml:space="preserve">involves </w:t>
      </w:r>
      <w:r w:rsidR="002F33CA">
        <w:t xml:space="preserve">a set of molecular structural constraints that ensure that the constructed molecule satisfies atom balance. </w:t>
      </w:r>
      <w:r w:rsidR="00626A2A">
        <w:t xml:space="preserve">The </w:t>
      </w:r>
      <w:r w:rsidR="00DD3410">
        <w:t xml:space="preserve">constraint </w:t>
      </w:r>
      <m:oMath>
        <m:r>
          <m:rPr>
            <m:sty m:val="bi"/>
          </m:rPr>
          <w:rPr>
            <w:rFonts w:ascii="Cambria Math" w:hAnsi="Cambria Math"/>
          </w:rPr>
          <m:t>g</m:t>
        </m:r>
      </m:oMath>
      <w:r w:rsidR="00DD3410">
        <w:t xml:space="preserve"> </w:t>
      </w:r>
      <w:r w:rsidR="00626A2A">
        <w:t>involve</w:t>
      </w:r>
      <w:r w:rsidR="00DD3410">
        <w:t>s</w:t>
      </w:r>
      <w:r w:rsidR="00626A2A">
        <w:t xml:space="preserve"> </w:t>
      </w:r>
      <w:r w:rsidR="00DD3410">
        <w:t xml:space="preserve">process constraints, while the constraint </w:t>
      </w:r>
      <m:oMath>
        <m:r>
          <m:rPr>
            <m:sty m:val="bi"/>
          </m:rPr>
          <w:rPr>
            <w:rFonts w:ascii="Cambria Math" w:hAnsi="Cambria Math"/>
          </w:rPr>
          <m:t>h</m:t>
        </m:r>
      </m:oMath>
      <w:r w:rsidR="00DD3410">
        <w:t xml:space="preserve"> involves the </w:t>
      </w:r>
      <w:r w:rsidR="00626A2A">
        <w:t>governing mass and energy conservation</w:t>
      </w:r>
      <w:r w:rsidR="00DD3410">
        <w:t xml:space="preserve"> of the process. </w:t>
      </w:r>
    </w:p>
    <w:p w14:paraId="1849C206" w14:textId="77777777" w:rsidR="002F33CA" w:rsidRDefault="002F33CA" w:rsidP="001D2DD2">
      <w:pPr>
        <w:pStyle w:val="Els-body-text"/>
      </w:pPr>
    </w:p>
    <w:p w14:paraId="301459A8" w14:textId="44515540" w:rsidR="00804DE2" w:rsidRDefault="00DD3410" w:rsidP="00247117">
      <w:pPr>
        <w:pStyle w:val="Els-body-text"/>
      </w:pPr>
      <w:r>
        <w:t xml:space="preserve">While the design of organic solvents integrated with separation process design is well-developed (Hostrup et al. 1999, </w:t>
      </w:r>
      <w:proofErr w:type="spellStart"/>
      <w:r>
        <w:t>Bardow</w:t>
      </w:r>
      <w:proofErr w:type="spellEnd"/>
      <w:r>
        <w:t xml:space="preserve"> et al. 2010,</w:t>
      </w:r>
      <w:r w:rsidR="00296C08">
        <w:t xml:space="preserve"> Burger et al. 2015,</w:t>
      </w:r>
      <w:r>
        <w:t xml:space="preserve"> </w:t>
      </w:r>
      <w:r w:rsidR="003E1288">
        <w:t>Liu et al. 2018</w:t>
      </w:r>
      <w:r w:rsidR="00804DE2">
        <w:t xml:space="preserve"> - to cite a few</w:t>
      </w:r>
      <w:r>
        <w:t xml:space="preserve">), the design of ionic liquids </w:t>
      </w:r>
      <w:r w:rsidR="00D015E1">
        <w:t xml:space="preserve">(ILs) </w:t>
      </w:r>
      <w:r>
        <w:t>together with the design of the separation process is relatively new</w:t>
      </w:r>
      <w:r w:rsidR="00804DE2">
        <w:t xml:space="preserve"> (</w:t>
      </w:r>
      <w:r w:rsidR="000F64EA">
        <w:t xml:space="preserve">Song et al. 2018, Chen et al. 2019, </w:t>
      </w:r>
      <w:r w:rsidR="003E1288">
        <w:t>Zhou et al. 2021</w:t>
      </w:r>
      <w:r w:rsidR="000F64EA">
        <w:t xml:space="preserve"> – to cite a few</w:t>
      </w:r>
      <w:r w:rsidR="00804DE2">
        <w:t>)</w:t>
      </w:r>
      <w:r>
        <w:t xml:space="preserve">. </w:t>
      </w:r>
      <w:r w:rsidR="00804DE2">
        <w:t>S</w:t>
      </w:r>
      <w:r w:rsidR="001D2DD2">
        <w:t xml:space="preserve">olving CAMPD problems with accurate but computationally expensive property and process models has been a challenge due to the nonlinearity and nonconvexity </w:t>
      </w:r>
      <w:r w:rsidR="003710E6">
        <w:t xml:space="preserve">of </w:t>
      </w:r>
      <w:r w:rsidR="001D2DD2">
        <w:t>these models</w:t>
      </w:r>
      <w:r w:rsidR="00804DE2">
        <w:t xml:space="preserve"> when ionic liquids are considered as solvents</w:t>
      </w:r>
      <w:r w:rsidR="001D2DD2">
        <w:t>. Also, CAMPD is a multi-scale optimization problem, as it integrates molecular to process level decisions, making it</w:t>
      </w:r>
      <w:r w:rsidR="00804DE2">
        <w:t xml:space="preserve"> difficult</w:t>
      </w:r>
      <w:r w:rsidR="001D2DD2">
        <w:t xml:space="preserve"> to solve </w:t>
      </w:r>
      <w:r w:rsidR="003710E6">
        <w:t xml:space="preserve">even </w:t>
      </w:r>
      <w:r w:rsidR="001D2DD2">
        <w:t>using the state</w:t>
      </w:r>
      <w:r w:rsidR="003710E6">
        <w:t>-</w:t>
      </w:r>
      <w:r w:rsidR="001D2DD2">
        <w:t>of</w:t>
      </w:r>
      <w:r w:rsidR="003710E6">
        <w:t>-</w:t>
      </w:r>
      <w:r w:rsidR="001D2DD2">
        <w:t>the</w:t>
      </w:r>
      <w:r w:rsidR="003710E6">
        <w:t>-</w:t>
      </w:r>
      <w:r w:rsidR="001D2DD2">
        <w:t>ar</w:t>
      </w:r>
      <w:r w:rsidR="003710E6">
        <w:t>t</w:t>
      </w:r>
      <w:r w:rsidR="001D2DD2">
        <w:t xml:space="preserve"> solvers </w:t>
      </w:r>
      <w:r w:rsidR="00822ED2">
        <w:t xml:space="preserve">(Misener and </w:t>
      </w:r>
      <w:proofErr w:type="spellStart"/>
      <w:r w:rsidR="00822ED2">
        <w:t>Floudas</w:t>
      </w:r>
      <w:proofErr w:type="spellEnd"/>
      <w:r w:rsidR="00822ED2">
        <w:t>, 2014)</w:t>
      </w:r>
      <w:r w:rsidR="001D2DD2">
        <w:t>.</w:t>
      </w:r>
      <w:r w:rsidR="002D79F0">
        <w:t xml:space="preserve"> </w:t>
      </w:r>
    </w:p>
    <w:p w14:paraId="1AB95A96" w14:textId="77777777" w:rsidR="00845C17" w:rsidRDefault="00845C17" w:rsidP="00247117">
      <w:pPr>
        <w:pStyle w:val="Els-body-text"/>
      </w:pPr>
    </w:p>
    <w:p w14:paraId="471114F0" w14:textId="77777777" w:rsidR="00E052BF" w:rsidRDefault="00845C17" w:rsidP="00247117">
      <w:pPr>
        <w:pStyle w:val="Els-body-text"/>
      </w:pPr>
      <w:r>
        <w:t xml:space="preserve">In this work, </w:t>
      </w:r>
      <w:r w:rsidR="001D2DD2">
        <w:t xml:space="preserve">we propose a multi-level </w:t>
      </w:r>
      <w:r w:rsidR="002D79F0">
        <w:t xml:space="preserve">decomposition </w:t>
      </w:r>
      <w:r w:rsidR="001D2DD2">
        <w:t>framework that decompos</w:t>
      </w:r>
      <w:r w:rsidR="002D79F0">
        <w:t xml:space="preserve">es the overall </w:t>
      </w:r>
      <w:r w:rsidR="001D2DD2">
        <w:t>CAMPD</w:t>
      </w:r>
      <w:r w:rsidR="002D79F0">
        <w:t xml:space="preserve"> into a set of sub-problems</w:t>
      </w:r>
      <w:r w:rsidR="001D2DD2">
        <w:t>, thereby facilitating the optimal</w:t>
      </w:r>
      <w:r w:rsidR="00EA7960">
        <w:t>/near-optimal</w:t>
      </w:r>
      <w:r w:rsidR="001D2DD2">
        <w:t xml:space="preserve"> design of sustainable, energy-efficient, and cost-effective chemical processes. </w:t>
      </w:r>
      <w:proofErr w:type="gramStart"/>
      <w:r w:rsidR="001D2DD2">
        <w:t>In particular, we</w:t>
      </w:r>
      <w:proofErr w:type="gramEnd"/>
      <w:r w:rsidR="001D2DD2">
        <w:t xml:space="preserve"> employ </w:t>
      </w:r>
      <w:r>
        <w:t xml:space="preserve">the well-known and simple </w:t>
      </w:r>
      <w:r w:rsidR="001D2DD2">
        <w:t xml:space="preserve">group-contribution (GC) </w:t>
      </w:r>
      <w:r>
        <w:t xml:space="preserve">based models together with complex but accurate </w:t>
      </w:r>
      <w:r w:rsidR="001D2DD2">
        <w:t xml:space="preserve">machine-learning (ML) </w:t>
      </w:r>
      <w:r>
        <w:t xml:space="preserve">based models for IL-related property estimations. As both these types of models need measured data, which are not available in sufficient amounts, truly predictive </w:t>
      </w:r>
      <w:r w:rsidR="001D2DD2">
        <w:t xml:space="preserve">property models, </w:t>
      </w:r>
      <w:r>
        <w:t xml:space="preserve">such as the </w:t>
      </w:r>
      <w:r w:rsidR="001D2DD2">
        <w:t xml:space="preserve">COSMO-based </w:t>
      </w:r>
      <w:r>
        <w:t>models</w:t>
      </w:r>
      <w:r w:rsidR="001D2DD2">
        <w:t xml:space="preserve"> </w:t>
      </w:r>
      <w:r w:rsidR="00822ED2">
        <w:t>(Jaschik et al., 2017)</w:t>
      </w:r>
      <w:r w:rsidR="001D2DD2">
        <w:t xml:space="preserve"> are used for </w:t>
      </w:r>
      <w:r>
        <w:t xml:space="preserve">generation of gas solubility data needed for design as well as </w:t>
      </w:r>
      <w:r w:rsidR="00342419">
        <w:t xml:space="preserve">for </w:t>
      </w:r>
      <w:r>
        <w:t xml:space="preserve">developing models. </w:t>
      </w:r>
      <w:r w:rsidR="001D2DD2">
        <w:t xml:space="preserve">The overall optimization model is then decomposed based on the target </w:t>
      </w:r>
      <w:r>
        <w:t>solvent</w:t>
      </w:r>
      <w:r w:rsidR="001D2DD2">
        <w:t xml:space="preserve">-process </w:t>
      </w:r>
      <w:r>
        <w:t>constraints</w:t>
      </w:r>
      <w:r w:rsidR="001D2DD2">
        <w:t>. We illustrate our framework through the solution of an industrially relevant problem, namely the selection of optimal</w:t>
      </w:r>
      <w:r w:rsidR="00EA7960">
        <w:t>/promising</w:t>
      </w:r>
      <w:r w:rsidR="001D2DD2">
        <w:t xml:space="preserve"> ionic liquid (IL) and the configuration of an ED process for </w:t>
      </w:r>
      <w:proofErr w:type="gramStart"/>
      <w:r w:rsidR="001D2DD2">
        <w:t>separating</w:t>
      </w:r>
      <w:proofErr w:type="gramEnd"/>
      <w:r w:rsidR="001D2DD2">
        <w:t xml:space="preserve"> </w:t>
      </w:r>
    </w:p>
    <w:tbl>
      <w:tblPr>
        <w:tblStyle w:val="TableGrid"/>
        <w:tblpPr w:leftFromText="180" w:rightFromText="180" w:vertAnchor="text" w:horzAnchor="margin" w:tblpXSpec="right" w:tblpY="39"/>
        <w:tblW w:w="4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51"/>
      </w:tblGrid>
      <w:tr w:rsidR="00E052BF" w14:paraId="0DA38EBD" w14:textId="77777777" w:rsidTr="00471673">
        <w:trPr>
          <w:trHeight w:val="3278"/>
        </w:trPr>
        <w:tc>
          <w:tcPr>
            <w:tcW w:w="4551" w:type="dxa"/>
          </w:tcPr>
          <w:p w14:paraId="755D0C08" w14:textId="77777777" w:rsidR="00E052BF" w:rsidRDefault="00E052BF" w:rsidP="00E052BF">
            <w:pPr>
              <w:pStyle w:val="Els-body-text"/>
            </w:pPr>
            <w:r>
              <w:rPr>
                <w:noProof/>
              </w:rPr>
              <w:lastRenderedPageBreak/>
              <w:drawing>
                <wp:inline distT="0" distB="0" distL="0" distR="0" wp14:anchorId="725029E9" wp14:editId="601D9814">
                  <wp:extent cx="2753214" cy="2109787"/>
                  <wp:effectExtent l="0" t="0" r="0" b="5080"/>
                  <wp:docPr id="1746024480"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24480" name="Picture 1" descr="A diagram of a mod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5553" cy="2126905"/>
                          </a:xfrm>
                          <a:prstGeom prst="rect">
                            <a:avLst/>
                          </a:prstGeom>
                        </pic:spPr>
                      </pic:pic>
                    </a:graphicData>
                  </a:graphic>
                </wp:inline>
              </w:drawing>
            </w:r>
          </w:p>
        </w:tc>
      </w:tr>
      <w:tr w:rsidR="00E052BF" w14:paraId="76714425" w14:textId="77777777" w:rsidTr="00471673">
        <w:trPr>
          <w:trHeight w:val="440"/>
        </w:trPr>
        <w:tc>
          <w:tcPr>
            <w:tcW w:w="4551" w:type="dxa"/>
          </w:tcPr>
          <w:p w14:paraId="56A797A4" w14:textId="0B117F57" w:rsidR="00E052BF" w:rsidRPr="00B140B2" w:rsidRDefault="00E052BF" w:rsidP="00E052BF">
            <w:pPr>
              <w:pStyle w:val="Els-body-text"/>
              <w:spacing w:before="120"/>
              <w:rPr>
                <w:noProof/>
              </w:rPr>
            </w:pPr>
            <w:r w:rsidRPr="00A2747C">
              <w:rPr>
                <w:noProof/>
              </w:rPr>
              <w:t xml:space="preserve">Figure 1: Decomposition of CAMPD for </w:t>
            </w:r>
            <w:r w:rsidR="00AC73C8" w:rsidRPr="00A2747C">
              <w:rPr>
                <w:noProof/>
              </w:rPr>
              <w:t>refrigerant separation using</w:t>
            </w:r>
            <w:r w:rsidRPr="00A2747C">
              <w:rPr>
                <w:noProof/>
              </w:rPr>
              <w:t xml:space="preserve"> </w:t>
            </w:r>
            <w:r w:rsidR="00AC73C8" w:rsidRPr="00A2747C">
              <w:rPr>
                <w:noProof/>
              </w:rPr>
              <w:t>ionic liquid</w:t>
            </w:r>
          </w:p>
        </w:tc>
      </w:tr>
    </w:tbl>
    <w:p w14:paraId="2C38FDB5" w14:textId="69CF9B12" w:rsidR="001D2DD2" w:rsidRDefault="001D2DD2" w:rsidP="00247117">
      <w:pPr>
        <w:pStyle w:val="Els-body-text"/>
      </w:pPr>
      <w:r>
        <w:t>R</w:t>
      </w:r>
      <w:r w:rsidR="00BA61AF">
        <w:t>-</w:t>
      </w:r>
      <w:r>
        <w:t>410</w:t>
      </w:r>
      <w:r w:rsidR="00822ED2">
        <w:t>A</w:t>
      </w:r>
      <w:r w:rsidR="00EA7960">
        <w:t xml:space="preserve"> (</w:t>
      </w:r>
      <m:oMath>
        <m:r>
          <w:rPr>
            <w:rFonts w:ascii="Cambria Math" w:hAnsi="Cambria Math"/>
          </w:rPr>
          <m:t>50 wt% - 50 wt%</m:t>
        </m:r>
      </m:oMath>
      <w:r w:rsidR="00EA7960">
        <w:t xml:space="preserve"> mixture of R</w:t>
      </w:r>
      <w:r w:rsidR="002E3D0A">
        <w:t>-</w:t>
      </w:r>
      <w:r w:rsidR="00EA7960">
        <w:t>32 and R</w:t>
      </w:r>
      <w:r w:rsidR="002E3D0A">
        <w:t>-</w:t>
      </w:r>
      <w:r w:rsidR="00EA7960">
        <w:t xml:space="preserve">125) </w:t>
      </w:r>
      <w:r>
        <w:t>refrigerant mixture. ILs are promising solvent candidates due to their high thermal and chemical stability as well as selective gas solubility. However, their design space can potentially be very large due to the</w:t>
      </w:r>
      <w:r w:rsidR="00845C17">
        <w:t xml:space="preserve"> likely</w:t>
      </w:r>
      <w:r>
        <w:t xml:space="preserve"> assignment</w:t>
      </w:r>
      <w:r w:rsidR="00845C17">
        <w:t>s</w:t>
      </w:r>
      <w:r>
        <w:t xml:space="preserve"> </w:t>
      </w:r>
      <w:r w:rsidR="00845C17">
        <w:t xml:space="preserve">(combinations) </w:t>
      </w:r>
      <w:r>
        <w:t xml:space="preserve">of their anion and cation parts. Also, designing an ED process is highly non-trivial due to the existence </w:t>
      </w:r>
      <w:r w:rsidR="00185783">
        <w:t>of</w:t>
      </w:r>
      <w:r w:rsidR="00B140B2">
        <w:t xml:space="preserve"> </w:t>
      </w:r>
      <w:r>
        <w:t xml:space="preserve">many degrees of freedom. To overcome these challenges, we </w:t>
      </w:r>
      <w:r w:rsidR="00EA7960">
        <w:t xml:space="preserve">decompose the CAMPD </w:t>
      </w:r>
      <w:r w:rsidR="00EA7960" w:rsidRPr="00A2747C">
        <w:t>problem</w:t>
      </w:r>
      <w:r w:rsidR="00E254A2" w:rsidRPr="00A2747C">
        <w:t xml:space="preserve"> into a series of subproblems to sequentially reduce the overall search space.</w:t>
      </w:r>
      <w:r w:rsidR="00B140B2" w:rsidRPr="00A2747C">
        <w:t xml:space="preserve"> </w:t>
      </w:r>
      <w:r w:rsidR="00E254A2" w:rsidRPr="00A2747C">
        <w:t>We</w:t>
      </w:r>
      <w:r w:rsidR="00EA7960" w:rsidRPr="00A2747C">
        <w:t xml:space="preserve"> first</w:t>
      </w:r>
      <w:r w:rsidR="00185783" w:rsidRPr="00A2747C">
        <w:t xml:space="preserve"> </w:t>
      </w:r>
      <w:r w:rsidR="00EA7960" w:rsidRPr="00A2747C">
        <w:t>generat</w:t>
      </w:r>
      <w:r w:rsidR="00E254A2" w:rsidRPr="00A2747C">
        <w:t>e</w:t>
      </w:r>
      <w:r w:rsidR="00EA7960" w:rsidRPr="00A2747C">
        <w:t xml:space="preserve"> a set of </w:t>
      </w:r>
      <w:r w:rsidR="00185783" w:rsidRPr="00A2747C">
        <w:t xml:space="preserve">structurally </w:t>
      </w:r>
      <w:r w:rsidR="00EA7960" w:rsidRPr="00A2747C">
        <w:t>feasible ILs</w:t>
      </w:r>
      <w:r w:rsidR="00E254A2" w:rsidRPr="00A2747C">
        <w:t xml:space="preserve"> (depicted by the outer circle in Figure 1)</w:t>
      </w:r>
      <w:r w:rsidR="00EA7960" w:rsidRPr="00A2747C">
        <w:t xml:space="preserve">. We then </w:t>
      </w:r>
      <w:r w:rsidR="00185783" w:rsidRPr="00A2747C">
        <w:t xml:space="preserve">use the </w:t>
      </w:r>
      <w:r w:rsidRPr="00A2747C">
        <w:t>develop</w:t>
      </w:r>
      <w:r w:rsidR="00185783" w:rsidRPr="00A2747C">
        <w:t>ed</w:t>
      </w:r>
      <w:r w:rsidRPr="00A2747C">
        <w:t xml:space="preserve"> GC</w:t>
      </w:r>
      <w:r w:rsidR="00185783" w:rsidRPr="00A2747C">
        <w:t>-</w:t>
      </w:r>
      <w:r w:rsidRPr="00A2747C">
        <w:t xml:space="preserve"> and ML-based</w:t>
      </w:r>
      <w:r w:rsidR="002D79F0" w:rsidRPr="00A2747C">
        <w:t xml:space="preserve"> </w:t>
      </w:r>
      <w:r w:rsidRPr="00A2747C">
        <w:t>property models (density, viscosity, surface tension and melting point) for ILs and use them to screen</w:t>
      </w:r>
      <w:r w:rsidR="00185783" w:rsidRPr="00A2747C">
        <w:t xml:space="preserve"> the</w:t>
      </w:r>
      <w:r w:rsidRPr="00A2747C">
        <w:t xml:space="preserve"> promising IL-candidates</w:t>
      </w:r>
      <w:r w:rsidR="00EA7960" w:rsidRPr="00A2747C">
        <w:t xml:space="preserve"> based on a set of </w:t>
      </w:r>
      <w:r w:rsidR="00185783" w:rsidRPr="00A2747C">
        <w:t>desired</w:t>
      </w:r>
      <w:r w:rsidR="00EA7960" w:rsidRPr="00A2747C">
        <w:t xml:space="preserve"> property </w:t>
      </w:r>
      <w:r w:rsidR="00185783" w:rsidRPr="00A2747C">
        <w:t>ranges</w:t>
      </w:r>
      <w:r w:rsidR="00E254A2" w:rsidRPr="00A2747C">
        <w:t xml:space="preserve"> (depicted by the darker inner circle of Figure 1)</w:t>
      </w:r>
      <w:r w:rsidRPr="00A2747C">
        <w:t xml:space="preserve">. Next, we </w:t>
      </w:r>
      <w:r w:rsidR="00185783" w:rsidRPr="00A2747C">
        <w:t xml:space="preserve">use the </w:t>
      </w:r>
      <w:r w:rsidR="00EA7960" w:rsidRPr="00A2747C">
        <w:t>develop</w:t>
      </w:r>
      <w:r w:rsidR="00185783" w:rsidRPr="00A2747C">
        <w:t>ed</w:t>
      </w:r>
      <w:r w:rsidR="00EA7960" w:rsidRPr="00A2747C">
        <w:t xml:space="preserve"> GC-based</w:t>
      </w:r>
      <w:r w:rsidR="00185783" w:rsidRPr="00A2747C">
        <w:t xml:space="preserve"> gas solubility</w:t>
      </w:r>
      <w:r w:rsidR="00EA7960" w:rsidRPr="00A2747C">
        <w:t xml:space="preserve"> models and use them to qualitatively </w:t>
      </w:r>
      <w:r w:rsidR="00185783" w:rsidRPr="00A2747C">
        <w:t xml:space="preserve">identify a reduced number of ILs for </w:t>
      </w:r>
      <w:r w:rsidR="00EA7960" w:rsidRPr="00A2747C">
        <w:t xml:space="preserve">selective separation of </w:t>
      </w:r>
      <w:r w:rsidR="00185783" w:rsidRPr="00A2747C">
        <w:t xml:space="preserve">the </w:t>
      </w:r>
      <w:r w:rsidR="002D79F0" w:rsidRPr="00A2747C">
        <w:t>R</w:t>
      </w:r>
      <w:r w:rsidR="00C7294B" w:rsidRPr="00A2747C">
        <w:t>-</w:t>
      </w:r>
      <w:r w:rsidR="002D79F0" w:rsidRPr="00A2747C">
        <w:t>410A</w:t>
      </w:r>
      <w:r w:rsidR="00185783" w:rsidRPr="00A2747C">
        <w:t xml:space="preserve"> chemicals</w:t>
      </w:r>
      <w:r w:rsidR="00E254A2" w:rsidRPr="00A2747C">
        <w:t xml:space="preserve"> (depicted by the smallest inner circle of Figure 1)</w:t>
      </w:r>
      <w:r w:rsidR="00EA7960" w:rsidRPr="00A2747C">
        <w:t xml:space="preserve">. </w:t>
      </w:r>
      <w:r w:rsidRPr="00A2747C">
        <w:t>Finally</w:t>
      </w:r>
      <w:r>
        <w:t xml:space="preserve">, for </w:t>
      </w:r>
      <w:r w:rsidR="00185783">
        <w:t xml:space="preserve">the most promising IL, </w:t>
      </w:r>
      <w:r>
        <w:t xml:space="preserve">we </w:t>
      </w:r>
      <w:r w:rsidR="00185783">
        <w:t xml:space="preserve">verify the process performance through rigorous process simulation. </w:t>
      </w:r>
    </w:p>
    <w:p w14:paraId="04B09E3D" w14:textId="77777777" w:rsidR="006C18F5" w:rsidRDefault="006C18F5" w:rsidP="00247117">
      <w:pPr>
        <w:pStyle w:val="Els-body-text"/>
      </w:pPr>
    </w:p>
    <w:p w14:paraId="144DE699" w14:textId="299B6231" w:rsidR="008D2649" w:rsidRDefault="008E7CB6" w:rsidP="00185783">
      <w:pPr>
        <w:pStyle w:val="Els-1storder-head"/>
        <w:spacing w:line="240" w:lineRule="auto"/>
      </w:pPr>
      <w:r>
        <w:t xml:space="preserve">Decomposition of </w:t>
      </w:r>
      <w:r w:rsidR="00822ED2">
        <w:t xml:space="preserve">CAMPD </w:t>
      </w:r>
      <w:r w:rsidR="00B45412">
        <w:t>for</w:t>
      </w:r>
      <w:r w:rsidR="00822ED2">
        <w:t xml:space="preserve"> I</w:t>
      </w:r>
      <w:r w:rsidR="00B45412">
        <w:t xml:space="preserve">onic </w:t>
      </w:r>
      <w:r w:rsidR="00822ED2">
        <w:t>L</w:t>
      </w:r>
      <w:r w:rsidR="00B45412">
        <w:t>iquid</w:t>
      </w:r>
      <w:r w:rsidR="00822ED2">
        <w:t xml:space="preserve"> </w:t>
      </w:r>
      <w:r w:rsidR="00B45412">
        <w:t>D</w:t>
      </w:r>
      <w:r w:rsidR="00822ED2">
        <w:t>esign</w:t>
      </w:r>
    </w:p>
    <w:p w14:paraId="678D4A0E" w14:textId="77777777" w:rsidR="00EC7397" w:rsidRDefault="00EC7397" w:rsidP="00822ED2">
      <w:pPr>
        <w:pStyle w:val="Els-body-text"/>
      </w:pPr>
    </w:p>
    <w:p w14:paraId="1E9D198F" w14:textId="626417E4" w:rsidR="00A140A6" w:rsidRDefault="00A140A6" w:rsidP="00822ED2">
      <w:pPr>
        <w:pStyle w:val="Els-body-text"/>
      </w:pPr>
      <w:r>
        <w:t>The solution to the CAMPD is achieved through three sequential steps</w:t>
      </w:r>
      <w:r w:rsidR="006C18F5">
        <w:t xml:space="preserve"> as illustrated in Figure 1. </w:t>
      </w:r>
      <w:r w:rsidR="00D568FE">
        <w:t xml:space="preserve"> </w:t>
      </w:r>
    </w:p>
    <w:p w14:paraId="7271B20E" w14:textId="63EDFC41" w:rsidR="00A140A6" w:rsidRDefault="00A140A6" w:rsidP="00A140A6">
      <w:pPr>
        <w:pStyle w:val="Els-2ndorder-head"/>
      </w:pPr>
      <w:r>
        <w:t xml:space="preserve">Step 1: Generating </w:t>
      </w:r>
      <w:r w:rsidR="00B140B2">
        <w:t xml:space="preserve">structurally </w:t>
      </w:r>
      <w:r>
        <w:t xml:space="preserve">feasible IL </w:t>
      </w:r>
      <w:proofErr w:type="gramStart"/>
      <w:r>
        <w:t>structures</w:t>
      </w:r>
      <w:proofErr w:type="gramEnd"/>
    </w:p>
    <w:p w14:paraId="4030619E" w14:textId="4552F9B7" w:rsidR="00A140A6" w:rsidRDefault="00A140A6" w:rsidP="00822ED2">
      <w:pPr>
        <w:pStyle w:val="Els-body-text"/>
      </w:pPr>
      <w:r>
        <w:t>W</w:t>
      </w:r>
      <w:r w:rsidR="00D91907">
        <w:t>e first generate a set of feasible IL structures by considering the structural feasibility constraints.</w:t>
      </w:r>
      <w:r>
        <w:t xml:space="preserve"> Each IL is assumed to be constructed by a cation core, an anion, and an alkyl side chain that is attached to the cation core. For example, 1-butyl-3-methylimidazolium chloride contains an imidazolium cation core, a chloride anion, and a butyl side chain. IL-structural constraints are described in Eq. (2).</w:t>
      </w:r>
    </w:p>
    <w:p w14:paraId="518ED331" w14:textId="77777777" w:rsidR="00A140A6" w:rsidRDefault="00A140A6" w:rsidP="00822ED2">
      <w:pPr>
        <w:pStyle w:val="Els-body-text"/>
      </w:pPr>
    </w:p>
    <w:tbl>
      <w:tblPr>
        <w:tblW w:w="7077" w:type="dxa"/>
        <w:tblLook w:val="04A0" w:firstRow="1" w:lastRow="0" w:firstColumn="1" w:lastColumn="0" w:noHBand="0" w:noVBand="1"/>
      </w:tblPr>
      <w:tblGrid>
        <w:gridCol w:w="6116"/>
        <w:gridCol w:w="961"/>
      </w:tblGrid>
      <w:tr w:rsidR="00A140A6" w:rsidRPr="00A94774" w14:paraId="4E9E3422" w14:textId="77777777" w:rsidTr="002E11FA">
        <w:tc>
          <w:tcPr>
            <w:tcW w:w="6116" w:type="dxa"/>
            <w:shd w:val="clear" w:color="auto" w:fill="auto"/>
            <w:vAlign w:val="center"/>
          </w:tcPr>
          <w:p w14:paraId="7306172A" w14:textId="399EA421" w:rsidR="00A140A6" w:rsidRPr="00B45412" w:rsidRDefault="00000000" w:rsidP="006E57B7">
            <w:pPr>
              <w:pStyle w:val="Els-body-text"/>
              <w:spacing w:line="264" w:lineRule="auto"/>
              <w:rPr>
                <w:lang w:val="en-GB"/>
              </w:rPr>
            </w:pPr>
            <m:oMath>
              <m:nary>
                <m:naryPr>
                  <m:chr m:val="∑"/>
                  <m:limLoc m:val="undOvr"/>
                  <m:supHide m:val="1"/>
                  <m:ctrlPr>
                    <w:rPr>
                      <w:rFonts w:ascii="Cambria Math" w:hAnsi="Cambria Math"/>
                      <w:i/>
                      <w:lang w:val="en-GB"/>
                    </w:rPr>
                  </m:ctrlPr>
                </m:naryPr>
                <m:sub>
                  <m:r>
                    <w:rPr>
                      <w:rFonts w:ascii="Cambria Math" w:hAnsi="Cambria Math"/>
                      <w:lang w:val="en-GB"/>
                    </w:rPr>
                    <m:t>j∈Ca</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j</m:t>
                      </m:r>
                    </m:sub>
                  </m:sSub>
                  <m:r>
                    <w:rPr>
                      <w:rFonts w:ascii="Cambria Math" w:hAnsi="Cambria Math"/>
                      <w:lang w:val="en-GB"/>
                    </w:rPr>
                    <m:t>=1</m:t>
                  </m:r>
                </m:e>
              </m:nary>
            </m:oMath>
            <w:r w:rsidR="006C18F5">
              <w:rPr>
                <w:lang w:val="en-GB"/>
              </w:rPr>
              <w:t xml:space="preserve">  ;    </w:t>
            </w:r>
            <m:oMath>
              <m:nary>
                <m:naryPr>
                  <m:chr m:val="∑"/>
                  <m:limLoc m:val="undOvr"/>
                  <m:supHide m:val="1"/>
                  <m:ctrlPr>
                    <w:rPr>
                      <w:rFonts w:ascii="Cambria Math" w:hAnsi="Cambria Math"/>
                      <w:i/>
                      <w:lang w:val="en-GB"/>
                    </w:rPr>
                  </m:ctrlPr>
                </m:naryPr>
                <m:sub>
                  <m:r>
                    <w:rPr>
                      <w:rFonts w:ascii="Cambria Math" w:hAnsi="Cambria Math"/>
                      <w:lang w:val="en-GB"/>
                    </w:rPr>
                    <m:t>j∈An</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j</m:t>
                      </m:r>
                    </m:sub>
                  </m:sSub>
                  <m:r>
                    <w:rPr>
                      <w:rFonts w:ascii="Cambria Math" w:hAnsi="Cambria Math"/>
                      <w:lang w:val="en-GB"/>
                    </w:rPr>
                    <m:t>=1</m:t>
                  </m:r>
                </m:e>
              </m:nary>
            </m:oMath>
            <w:r w:rsidR="006C18F5">
              <w:rPr>
                <w:lang w:val="en-GB"/>
              </w:rPr>
              <w:t xml:space="preserve">  ; </w:t>
            </w:r>
            <m:oMath>
              <m:nary>
                <m:naryPr>
                  <m:chr m:val="∑"/>
                  <m:limLoc m:val="undOvr"/>
                  <m:supHide m:val="1"/>
                  <m:ctrlPr>
                    <w:rPr>
                      <w:rFonts w:ascii="Cambria Math" w:hAnsi="Cambria Math"/>
                      <w:i/>
                      <w:lang w:val="en-GB"/>
                    </w:rPr>
                  </m:ctrlPr>
                </m:naryPr>
                <m:sub>
                  <m:r>
                    <w:rPr>
                      <w:rFonts w:ascii="Cambria Math" w:hAnsi="Cambria Math"/>
                      <w:lang w:val="en-GB"/>
                    </w:rPr>
                    <m:t>j∈C</m:t>
                  </m:r>
                  <m:r>
                    <w:rPr>
                      <w:rFonts w:ascii="Cambria Math" w:hAnsi="Cambria Math"/>
                      <w:lang w:val="en-GB"/>
                    </w:rPr>
                    <m:t>a∪Sub</m:t>
                  </m:r>
                </m:sub>
                <m:sup/>
                <m:e>
                  <m:d>
                    <m:dPr>
                      <m:ctrlPr>
                        <w:rPr>
                          <w:rFonts w:ascii="Cambria Math" w:hAnsi="Cambria Math"/>
                          <w:i/>
                          <w:lang w:val="en-GB"/>
                        </w:rPr>
                      </m:ctrlPr>
                    </m:dPr>
                    <m:e>
                      <m:r>
                        <w:rPr>
                          <w:rFonts w:ascii="Cambria Math" w:hAnsi="Cambria Math"/>
                          <w:lang w:val="en-GB"/>
                        </w:rPr>
                        <m:t>2-</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j</m:t>
                          </m:r>
                        </m:sub>
                      </m:sSub>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j</m:t>
                      </m:r>
                    </m:sub>
                  </m:sSub>
                  <m:r>
                    <w:rPr>
                      <w:rFonts w:ascii="Cambria Math" w:hAnsi="Cambria Math"/>
                      <w:lang w:val="en-GB"/>
                    </w:rPr>
                    <m:t>-2=0</m:t>
                  </m:r>
                </m:e>
              </m:nary>
            </m:oMath>
          </w:p>
          <w:p w14:paraId="4BB396E0" w14:textId="77777777" w:rsidR="00A140A6" w:rsidRPr="00536EED" w:rsidRDefault="00A140A6" w:rsidP="006E57B7">
            <w:pPr>
              <w:pStyle w:val="Els-body-text"/>
              <w:spacing w:line="264" w:lineRule="auto"/>
              <w:rPr>
                <w:lang w:val="en-GB"/>
              </w:rPr>
            </w:pPr>
            <m:oMathPara>
              <m:oMathParaPr>
                <m:jc m:val="left"/>
              </m:oMathParaPr>
              <m:oMath>
                <m:r>
                  <w:rPr>
                    <w:rFonts w:ascii="Cambria Math" w:hAnsi="Cambria Math"/>
                    <w:lang w:val="en-GB"/>
                  </w:rPr>
                  <m:t>LB≤</m:t>
                </m:r>
                <m:nary>
                  <m:naryPr>
                    <m:chr m:val="∑"/>
                    <m:limLoc m:val="undOvr"/>
                    <m:supHide m:val="1"/>
                    <m:ctrlPr>
                      <w:rPr>
                        <w:rFonts w:ascii="Cambria Math" w:hAnsi="Cambria Math"/>
                        <w:i/>
                        <w:lang w:val="en-GB"/>
                      </w:rPr>
                    </m:ctrlPr>
                  </m:naryPr>
                  <m:sub>
                    <m:r>
                      <w:rPr>
                        <w:rFonts w:ascii="Cambria Math" w:hAnsi="Cambria Math"/>
                        <w:lang w:val="en-GB"/>
                      </w:rPr>
                      <m:t>j∈Sub</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j</m:t>
                        </m:r>
                      </m:sub>
                    </m:sSub>
                    <m:r>
                      <w:rPr>
                        <w:rFonts w:ascii="Cambria Math" w:hAnsi="Cambria Math"/>
                        <w:lang w:val="en-GB"/>
                      </w:rPr>
                      <m:t>≤UB</m:t>
                    </m:r>
                  </m:e>
                </m:nary>
              </m:oMath>
            </m:oMathPara>
          </w:p>
        </w:tc>
        <w:tc>
          <w:tcPr>
            <w:tcW w:w="961" w:type="dxa"/>
            <w:shd w:val="clear" w:color="auto" w:fill="auto"/>
            <w:vAlign w:val="center"/>
          </w:tcPr>
          <w:p w14:paraId="43AFE984" w14:textId="77777777" w:rsidR="00A140A6" w:rsidRPr="00A94774" w:rsidRDefault="00A140A6" w:rsidP="006E57B7">
            <w:pPr>
              <w:pStyle w:val="Els-body-text"/>
              <w:spacing w:line="264" w:lineRule="auto"/>
              <w:jc w:val="right"/>
              <w:rPr>
                <w:lang w:val="en-GB"/>
              </w:rPr>
            </w:pPr>
            <w:r w:rsidRPr="00A94774">
              <w:rPr>
                <w:lang w:val="en-GB"/>
              </w:rPr>
              <w:t>(</w:t>
            </w:r>
            <w:r>
              <w:rPr>
                <w:lang w:val="en-GB"/>
              </w:rPr>
              <w:t>2</w:t>
            </w:r>
            <w:r w:rsidRPr="00A94774">
              <w:rPr>
                <w:lang w:val="en-GB"/>
              </w:rPr>
              <w:t>)</w:t>
            </w:r>
          </w:p>
        </w:tc>
      </w:tr>
    </w:tbl>
    <w:p w14:paraId="28354925" w14:textId="545CDCBE" w:rsidR="005B4D9F" w:rsidRDefault="00E848DF" w:rsidP="005B4D9F">
      <w:pPr>
        <w:pStyle w:val="Els-body-text"/>
      </w:pPr>
      <w:r>
        <w:t>w</w:t>
      </w:r>
      <w:r w:rsidR="005B4D9F">
        <w:t xml:space="preserve">here, the first </w:t>
      </w:r>
      <w:r w:rsidR="006E57B7">
        <w:t xml:space="preserve">and second </w:t>
      </w:r>
      <w:r w:rsidR="005B4D9F">
        <w:t>constraint</w:t>
      </w:r>
      <w:r w:rsidR="00EC7397">
        <w:t>s</w:t>
      </w:r>
      <w:r w:rsidR="005B4D9F">
        <w:t xml:space="preserve"> ensure that a feasible IL contains only one cation</w:t>
      </w:r>
      <w:r w:rsidR="006E57B7">
        <w:t xml:space="preserve"> and anion</w:t>
      </w:r>
      <w:r w:rsidR="005B4D9F">
        <w:t>. The third constraint ensures that a feasible IL must satisfy the octet rule, i.e., there must not be any free bond</w:t>
      </w:r>
      <w:r w:rsidR="006C18F5">
        <w:t>s</w:t>
      </w:r>
      <w:r w:rsidR="005B4D9F">
        <w:t xml:space="preserve"> (</w:t>
      </w:r>
      <w:proofErr w:type="spellStart"/>
      <w:r w:rsidR="005B4D9F">
        <w:t>Karunanithi</w:t>
      </w:r>
      <w:proofErr w:type="spellEnd"/>
      <w:r w:rsidR="005B4D9F">
        <w:t xml:space="preserve"> et al., 2005). The final constraint </w:t>
      </w:r>
      <w:r w:rsidR="00AC4CF3">
        <w:t>provides</w:t>
      </w:r>
      <w:r w:rsidR="00B140B2">
        <w:t xml:space="preserve"> </w:t>
      </w:r>
      <w:r w:rsidR="006E57B7">
        <w:t>a bound on the</w:t>
      </w:r>
      <w:r w:rsidR="005B4D9F">
        <w:t xml:space="preserve"> number of groups that can be present in the side chain </w:t>
      </w:r>
      <w:r w:rsidR="006E57B7">
        <w:t xml:space="preserve">to </w:t>
      </w:r>
      <w:r w:rsidR="005B4D9F">
        <w:t xml:space="preserve">ensure generation of a finite number of ILs. </w:t>
      </w:r>
    </w:p>
    <w:tbl>
      <w:tblPr>
        <w:tblStyle w:val="TableGrid"/>
        <w:tblpPr w:leftFromText="180" w:rightFromText="180" w:vertAnchor="text" w:horzAnchor="margin" w:tblpXSpec="right" w:tblpY="100"/>
        <w:tblW w:w="4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76"/>
      </w:tblGrid>
      <w:tr w:rsidR="00471673" w14:paraId="6D963491" w14:textId="77777777" w:rsidTr="00471673">
        <w:trPr>
          <w:trHeight w:val="1728"/>
        </w:trPr>
        <w:tc>
          <w:tcPr>
            <w:tcW w:w="4776" w:type="dxa"/>
          </w:tcPr>
          <w:p w14:paraId="0D7BF815" w14:textId="78AE2AD6" w:rsidR="00E052BF" w:rsidRDefault="00471673" w:rsidP="00E052BF">
            <w:pPr>
              <w:pStyle w:val="Els-body-text"/>
            </w:pPr>
            <w:r>
              <w:rPr>
                <w:noProof/>
              </w:rPr>
              <w:lastRenderedPageBreak/>
              <w:drawing>
                <wp:inline distT="0" distB="0" distL="0" distR="0" wp14:anchorId="4CAE49FB" wp14:editId="25D8A82E">
                  <wp:extent cx="2869718" cy="1909445"/>
                  <wp:effectExtent l="0" t="0" r="6985" b="0"/>
                  <wp:docPr id="632138658" name="Picture 632138658"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50309" name="Picture 3" descr="A graph showing a line graph&#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162" cy="1915728"/>
                          </a:xfrm>
                          <a:prstGeom prst="rect">
                            <a:avLst/>
                          </a:prstGeom>
                        </pic:spPr>
                      </pic:pic>
                    </a:graphicData>
                  </a:graphic>
                </wp:inline>
              </w:drawing>
            </w:r>
          </w:p>
          <w:p w14:paraId="67E8EB42" w14:textId="574D4A80" w:rsidR="00E052BF" w:rsidRDefault="00471673" w:rsidP="00E052BF">
            <w:pPr>
              <w:pStyle w:val="Els-body-text"/>
            </w:pPr>
            <w:r>
              <w:t xml:space="preserve">         Figure 2: GC-based model for IL melting point</w:t>
            </w:r>
          </w:p>
        </w:tc>
      </w:tr>
    </w:tbl>
    <w:p w14:paraId="1C8C8E1A" w14:textId="3D4913B2" w:rsidR="006E57B7" w:rsidRDefault="006E57B7" w:rsidP="006E57B7">
      <w:pPr>
        <w:pStyle w:val="Els-2ndorder-head"/>
      </w:pPr>
      <w:r>
        <w:t xml:space="preserve">Step 2: Screening ILs based on </w:t>
      </w:r>
      <w:r w:rsidR="008070CB">
        <w:t xml:space="preserve">pure component and solubility </w:t>
      </w:r>
      <w:r>
        <w:t xml:space="preserve">property </w:t>
      </w:r>
      <w:proofErr w:type="gramStart"/>
      <w:r>
        <w:t>bounds</w:t>
      </w:r>
      <w:proofErr w:type="gramEnd"/>
      <w:r>
        <w:t xml:space="preserve"> </w:t>
      </w:r>
    </w:p>
    <w:p w14:paraId="29C35E63" w14:textId="317640C9" w:rsidR="00AC4CF3" w:rsidRDefault="005D4608" w:rsidP="00AC4CF3">
      <w:pPr>
        <w:pStyle w:val="Els-body-text"/>
      </w:pPr>
      <w:r>
        <w:t xml:space="preserve">In this step, we screen the ILs (that </w:t>
      </w:r>
      <w:r w:rsidR="007364A6">
        <w:t>are</w:t>
      </w:r>
      <w:r>
        <w:t xml:space="preserve"> generated in Step 1) based on the bounds on viscosity, density, and melting point. Viscosity influences the ED column sizing. Density determines the degree of gas diffusivity in ILs, whereas melting point ensures that the selected IL remains liquid at the operating conditions. To predict these properties, we have developed </w:t>
      </w:r>
      <w:r w:rsidR="00B140B2">
        <w:t xml:space="preserve">a </w:t>
      </w:r>
      <w:r>
        <w:t>GC</w:t>
      </w:r>
      <w:r w:rsidR="00B140B2">
        <w:t>-based</w:t>
      </w:r>
      <w:r>
        <w:t xml:space="preserve"> model for melting point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t>) and trained an Artificial Neural Network with Rectified Linear Unit as activation function (ReLU-ANN) for density (</w:t>
      </w:r>
      <m:oMath>
        <m:r>
          <w:rPr>
            <w:rFonts w:ascii="Cambria Math" w:hAnsi="Cambria Math"/>
          </w:rPr>
          <m:t>ρ</m:t>
        </m:r>
      </m:oMath>
      <w:r>
        <w:t>) and viscosity (</w:t>
      </w:r>
      <m:oMath>
        <m:r>
          <w:rPr>
            <w:rFonts w:ascii="Cambria Math" w:hAnsi="Cambria Math"/>
          </w:rPr>
          <m:t>μ</m:t>
        </m:r>
      </m:oMath>
      <w:r>
        <w:t xml:space="preserve">). </w:t>
      </w:r>
      <w:r w:rsidR="00C44DF2">
        <w:t xml:space="preserve">The limited availability of data along with the high variability </w:t>
      </w:r>
      <w:r w:rsidR="00B140B2">
        <w:t xml:space="preserve">(uncertainty) </w:t>
      </w:r>
      <w:r w:rsidR="00C44DF2">
        <w:t xml:space="preserve">in the dataset makes it </w:t>
      </w:r>
      <w:r w:rsidR="00B140B2">
        <w:t>difficult</w:t>
      </w:r>
      <w:r w:rsidR="00C44DF2">
        <w:t xml:space="preserve"> to model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633275">
        <w:t xml:space="preserve"> </w:t>
      </w:r>
      <w:r w:rsidR="00C23479">
        <w:t>for ILs</w:t>
      </w:r>
      <w:r w:rsidR="00C44DF2">
        <w:t xml:space="preserve">. </w:t>
      </w:r>
      <w:r w:rsidR="00C23479">
        <w:t xml:space="preserve">To address this </w:t>
      </w:r>
      <w:r w:rsidR="00C44DF2">
        <w:t>issue</w:t>
      </w:r>
      <w:r w:rsidR="00C23479">
        <w:t xml:space="preserve">, we have carefully </w:t>
      </w:r>
      <w:r w:rsidR="003F5ECB">
        <w:t>collected melting point data for 471 ILs (</w:t>
      </w:r>
      <w:proofErr w:type="spellStart"/>
      <w:r w:rsidR="003F5ECB" w:rsidRPr="00C23479">
        <w:t>Paduszynski</w:t>
      </w:r>
      <w:proofErr w:type="spellEnd"/>
      <w:r w:rsidR="003F5ECB">
        <w:t xml:space="preserve"> et al., 2021) and have developed a GC</w:t>
      </w:r>
      <w:r w:rsidR="00B140B2">
        <w:t>-based</w:t>
      </w:r>
      <w:r w:rsidR="003F5ECB">
        <w:t xml:space="preserve"> model</w:t>
      </w:r>
      <w:r w:rsidR="00B140B2">
        <w:t xml:space="preserve"> whose performance is </w:t>
      </w:r>
      <w:r w:rsidR="003F5ECB">
        <w:t xml:space="preserve">shown in Figure 2.  </w:t>
      </w:r>
      <w:r w:rsidR="00C44DF2">
        <w:t>F</w:t>
      </w:r>
      <w:r w:rsidR="00FE5B3B">
        <w:t>or</w:t>
      </w:r>
      <w:r w:rsidR="00C23479">
        <w:t xml:space="preserve"> density </w:t>
      </w:r>
      <w:r w:rsidR="00C44DF2">
        <w:t>(</w:t>
      </w:r>
      <w:r w:rsidR="00FE5B3B">
        <w:t>31167 temperature and pressure dependent data points</w:t>
      </w:r>
      <w:r w:rsidR="00C44DF2">
        <w:t>)</w:t>
      </w:r>
      <w:r w:rsidR="00FE5B3B">
        <w:t xml:space="preserve"> and viscosity</w:t>
      </w:r>
      <w:r w:rsidR="00C44DF2">
        <w:t xml:space="preserve"> (</w:t>
      </w:r>
      <w:r w:rsidR="00FE5B3B">
        <w:t>14337 temperature dependent data points</w:t>
      </w:r>
      <w:r w:rsidR="00C44DF2">
        <w:t>), we have</w:t>
      </w:r>
      <w:r w:rsidR="00FE5B3B">
        <w:t xml:space="preserve"> achieved good fit for </w:t>
      </w:r>
      <w:r w:rsidR="00C44DF2">
        <w:t xml:space="preserve">the trained </w:t>
      </w:r>
      <w:proofErr w:type="spellStart"/>
      <w:r w:rsidR="00FE5B3B">
        <w:t>ReLU</w:t>
      </w:r>
      <w:proofErr w:type="spellEnd"/>
      <w:r w:rsidR="00FE5B3B">
        <w:t xml:space="preserve">-ANN model. </w:t>
      </w:r>
      <w:r w:rsidR="00AC4CF3">
        <w:t xml:space="preserve">Regarding mixture properties, we select solubility (and selectivity) as it dictates the degree of selective absorption of refrigerants in IL which are defined in Eq. (3). </w:t>
      </w:r>
    </w:p>
    <w:p w14:paraId="4D0578F7" w14:textId="77777777" w:rsidR="00AC4CF3" w:rsidRDefault="00AC4CF3" w:rsidP="00AC4CF3">
      <w:pPr>
        <w:pStyle w:val="Els-body-text"/>
      </w:pPr>
    </w:p>
    <w:tbl>
      <w:tblPr>
        <w:tblW w:w="7077" w:type="dxa"/>
        <w:tblLook w:val="04A0" w:firstRow="1" w:lastRow="0" w:firstColumn="1" w:lastColumn="0" w:noHBand="0" w:noVBand="1"/>
      </w:tblPr>
      <w:tblGrid>
        <w:gridCol w:w="6116"/>
        <w:gridCol w:w="961"/>
      </w:tblGrid>
      <w:tr w:rsidR="00AC4CF3" w:rsidRPr="00A94774" w14:paraId="6FC4C91E" w14:textId="77777777" w:rsidTr="002E11FA">
        <w:tc>
          <w:tcPr>
            <w:tcW w:w="6116" w:type="dxa"/>
            <w:shd w:val="clear" w:color="auto" w:fill="auto"/>
            <w:vAlign w:val="center"/>
          </w:tcPr>
          <w:p w14:paraId="33B52E6C" w14:textId="4B413623" w:rsidR="00AC4CF3" w:rsidRPr="00300B4B" w:rsidRDefault="00AC4CF3" w:rsidP="006C18F5">
            <w:pPr>
              <w:pStyle w:val="Els-body-text"/>
              <w:spacing w:after="120" w:line="264" w:lineRule="auto"/>
              <w:rPr>
                <w:lang w:val="en-GB"/>
              </w:rPr>
            </w:pPr>
            <m:oMath>
              <m:r>
                <w:rPr>
                  <w:rFonts w:ascii="Cambria Math" w:hAnsi="Cambria Math"/>
                  <w:lang w:val="en-GB"/>
                </w:rPr>
                <m:t>solubility, S=</m:t>
              </m:r>
              <m:f>
                <m:fPr>
                  <m:ctrlPr>
                    <w:rPr>
                      <w:rFonts w:ascii="Cambria Math" w:hAnsi="Cambria Math"/>
                      <w:i/>
                      <w:lang w:val="en-GB"/>
                    </w:rPr>
                  </m:ctrlPr>
                </m:fPr>
                <m:num>
                  <m:r>
                    <w:rPr>
                      <w:rFonts w:ascii="Cambria Math" w:hAnsi="Cambria Math"/>
                      <w:lang w:val="en-GB"/>
                    </w:rPr>
                    <m:t>1</m:t>
                  </m:r>
                </m:num>
                <m:den>
                  <m:sSup>
                    <m:sSupPr>
                      <m:ctrlPr>
                        <w:rPr>
                          <w:rFonts w:ascii="Cambria Math" w:hAnsi="Cambria Math"/>
                          <w:i/>
                          <w:lang w:val="en-GB"/>
                        </w:rPr>
                      </m:ctrlPr>
                    </m:sSupPr>
                    <m:e>
                      <m:r>
                        <w:rPr>
                          <w:rFonts w:ascii="Cambria Math" w:hAnsi="Cambria Math"/>
                          <w:lang w:val="en-GB"/>
                        </w:rPr>
                        <m:t>γ</m:t>
                      </m:r>
                    </m:e>
                    <m:sup>
                      <m:r>
                        <w:rPr>
                          <w:rFonts w:ascii="Cambria Math" w:hAnsi="Cambria Math"/>
                          <w:lang w:val="en-GB"/>
                        </w:rPr>
                        <m:t>∞</m:t>
                      </m:r>
                    </m:sup>
                  </m:sSup>
                </m:den>
              </m:f>
            </m:oMath>
            <w:r w:rsidR="006C18F5">
              <w:rPr>
                <w:lang w:val="en-GB"/>
              </w:rPr>
              <w:t xml:space="preserve">     ;    </w:t>
            </w:r>
            <m:oMath>
              <m:r>
                <w:rPr>
                  <w:rFonts w:ascii="Cambria Math" w:hAnsi="Cambria Math"/>
                  <w:lang w:val="en-GB"/>
                </w:rPr>
                <m:t xml:space="preserve">selectivity, </m:t>
              </m:r>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H</m:t>
                  </m:r>
                </m:sub>
                <m:sup>
                  <m:r>
                    <w:rPr>
                      <w:rFonts w:ascii="Cambria Math" w:hAnsi="Cambria Math"/>
                      <w:lang w:val="en-GB"/>
                    </w:rPr>
                    <m:t>R32/R125</m:t>
                  </m:r>
                </m:sup>
              </m:sSubSup>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R125</m:t>
                                  </m:r>
                                </m:sub>
                              </m:sSub>
                            </m:sub>
                          </m:sSub>
                        </m:num>
                        <m:den>
                          <m:sSub>
                            <m:sSubPr>
                              <m:ctrlPr>
                                <w:rPr>
                                  <w:rFonts w:ascii="Cambria Math" w:hAnsi="Cambria Math"/>
                                  <w:i/>
                                  <w:lang w:val="en-GB"/>
                                </w:rPr>
                              </m:ctrlPr>
                            </m:sSubPr>
                            <m:e>
                              <m:r>
                                <w:rPr>
                                  <w:rFonts w:ascii="Cambria Math" w:hAnsi="Cambria Math"/>
                                  <w:lang w:val="en-GB"/>
                                </w:rPr>
                                <m:t>K</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R32</m:t>
                                  </m:r>
                                </m:sub>
                              </m:sSub>
                            </m:sub>
                          </m:sSub>
                        </m:den>
                      </m:f>
                    </m:e>
                  </m:d>
                </m:e>
                <m:sub>
                  <m:r>
                    <w:rPr>
                      <w:rFonts w:ascii="Cambria Math" w:hAnsi="Cambria Math"/>
                      <w:lang w:val="en-GB"/>
                    </w:rPr>
                    <m:t>T</m:t>
                  </m:r>
                </m:sub>
              </m:sSub>
            </m:oMath>
          </w:p>
        </w:tc>
        <w:tc>
          <w:tcPr>
            <w:tcW w:w="961" w:type="dxa"/>
            <w:shd w:val="clear" w:color="auto" w:fill="auto"/>
            <w:vAlign w:val="center"/>
          </w:tcPr>
          <w:p w14:paraId="48C2AF1D" w14:textId="77777777" w:rsidR="00AC4CF3" w:rsidRPr="00A94774" w:rsidRDefault="00AC4CF3" w:rsidP="002E11FA">
            <w:pPr>
              <w:pStyle w:val="Els-body-text"/>
              <w:spacing w:after="120" w:line="264" w:lineRule="auto"/>
              <w:jc w:val="right"/>
              <w:rPr>
                <w:lang w:val="en-GB"/>
              </w:rPr>
            </w:pPr>
            <w:r w:rsidRPr="00A94774">
              <w:rPr>
                <w:lang w:val="en-GB"/>
              </w:rPr>
              <w:t>(</w:t>
            </w:r>
            <w:r>
              <w:rPr>
                <w:lang w:val="en-GB"/>
              </w:rPr>
              <w:t>3</w:t>
            </w:r>
            <w:r w:rsidRPr="00A94774">
              <w:rPr>
                <w:lang w:val="en-GB"/>
              </w:rPr>
              <w:t>)</w:t>
            </w:r>
          </w:p>
        </w:tc>
      </w:tr>
    </w:tbl>
    <w:p w14:paraId="7F28D22A" w14:textId="065D164E" w:rsidR="00C23479" w:rsidRPr="00633275" w:rsidRDefault="00CC1F47" w:rsidP="00633275">
      <w:pPr>
        <w:pStyle w:val="Els-body-text"/>
      </w:pPr>
      <w:r>
        <w:t>w</w:t>
      </w:r>
      <w:r w:rsidR="00AC4CF3">
        <w:t xml:space="preserve">here, </w:t>
      </w:r>
      <m:oMath>
        <m:sSup>
          <m:sSupPr>
            <m:ctrlPr>
              <w:rPr>
                <w:rFonts w:ascii="Cambria Math" w:hAnsi="Cambria Math"/>
                <w:i/>
              </w:rPr>
            </m:ctrlPr>
          </m:sSupPr>
          <m:e>
            <m:r>
              <w:rPr>
                <w:rFonts w:ascii="Cambria Math" w:hAnsi="Cambria Math"/>
              </w:rPr>
              <m:t>γ</m:t>
            </m:r>
          </m:e>
          <m:sup>
            <m:r>
              <w:rPr>
                <w:rFonts w:ascii="Cambria Math" w:hAnsi="Cambria Math"/>
              </w:rPr>
              <m:t>∞</m:t>
            </m:r>
          </m:sup>
        </m:sSup>
      </m:oMath>
      <w:r w:rsidR="00AC4CF3">
        <w:t xml:space="preserve"> is the activity coefficient at infinite dilution, and </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sidR="00AC4CF3">
        <w:t xml:space="preserve"> is the Henry’s constant measured at a specified temperature and is defined as </w:t>
      </w:r>
      <m:oMath>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x→0</m:t>
                </m:r>
                <m:ctrlPr>
                  <w:rPr>
                    <w:rFonts w:ascii="Cambria Math" w:hAnsi="Cambria Math"/>
                  </w:rPr>
                </m:ctrlPr>
              </m:lim>
            </m:limLow>
          </m:fName>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x</m:t>
                    </m:r>
                  </m:den>
                </m:f>
              </m:e>
            </m:d>
          </m:e>
        </m:func>
      </m:oMath>
      <w:r w:rsidR="00AC4CF3">
        <w:t>. To capture the selective solubility of ILs towards R-32 or R-125, we predict Henry’s constant of R</w:t>
      </w:r>
      <w:r w:rsidR="000862D8">
        <w:t>-</w:t>
      </w:r>
      <w:r w:rsidR="00AC4CF3">
        <w:t>32 and R</w:t>
      </w:r>
      <w:r w:rsidR="000862D8">
        <w:t>-</w:t>
      </w:r>
      <w:r w:rsidR="00AC4CF3">
        <w:t>125 in ILs through a GC model.</w:t>
      </w:r>
    </w:p>
    <w:p w14:paraId="5387B390" w14:textId="785A9DE5" w:rsidR="00401426" w:rsidRPr="00401426" w:rsidRDefault="00AC4CF3" w:rsidP="00401426">
      <w:pPr>
        <w:pStyle w:val="Els-2ndorder-head"/>
      </w:pPr>
      <w:r>
        <w:t xml:space="preserve">Step 3: Process simulation for the set of promising IL-candidates </w:t>
      </w:r>
    </w:p>
    <w:p w14:paraId="5E7F1577" w14:textId="50723D82" w:rsidR="00AC4CF3" w:rsidRDefault="00AC4CF3" w:rsidP="00AC4CF3">
      <w:pPr>
        <w:pStyle w:val="Els-body-text"/>
        <w:spacing w:before="120" w:after="120" w:line="264" w:lineRule="auto"/>
        <w:rPr>
          <w:lang w:val="en-GB"/>
        </w:rPr>
      </w:pPr>
      <w:r>
        <w:t>For the set of screened ILs after Step 2, we perform simulation for the ED process</w:t>
      </w:r>
      <w:r w:rsidR="000C6390">
        <w:t xml:space="preserve"> to quantify process performance</w:t>
      </w:r>
      <w:r>
        <w:t xml:space="preserve">. We use the </w:t>
      </w:r>
      <w:r>
        <w:rPr>
          <w:lang w:val="en-GB"/>
        </w:rPr>
        <w:t xml:space="preserve">Non-Random Two Liquid (NRTL) model. Using the available measured vapor liquid equilibrium (VLE) data, we </w:t>
      </w:r>
      <w:r w:rsidR="00B140B2">
        <w:rPr>
          <w:lang w:val="en-GB"/>
        </w:rPr>
        <w:t xml:space="preserve">first </w:t>
      </w:r>
      <w:r>
        <w:rPr>
          <w:lang w:val="en-GB"/>
        </w:rPr>
        <w:t>regress the NRTL model parameters to compute the activity coefficient (</w:t>
      </w:r>
      <m:oMath>
        <m:r>
          <w:rPr>
            <w:rFonts w:ascii="Cambria Math" w:hAnsi="Cambria Math"/>
            <w:lang w:val="en-GB"/>
          </w:rPr>
          <m:t>γ</m:t>
        </m:r>
      </m:oMath>
      <w:r>
        <w:rPr>
          <w:lang w:val="en-GB"/>
        </w:rPr>
        <w:t xml:space="preserve">). In the absence of </w:t>
      </w:r>
      <w:r w:rsidR="00B140B2">
        <w:rPr>
          <w:lang w:val="en-GB"/>
        </w:rPr>
        <w:t xml:space="preserve">sufficient measured </w:t>
      </w:r>
      <w:r>
        <w:rPr>
          <w:lang w:val="en-GB"/>
        </w:rPr>
        <w:t>data, the predicted Henry’s constant</w:t>
      </w:r>
      <w:r w:rsidR="00B140B2">
        <w:rPr>
          <w:lang w:val="en-GB"/>
        </w:rPr>
        <w:t>s</w:t>
      </w:r>
      <w:r>
        <w:rPr>
          <w:lang w:val="en-GB"/>
        </w:rPr>
        <w:t xml:space="preserve"> through the GC</w:t>
      </w:r>
      <w:r w:rsidR="00B140B2">
        <w:rPr>
          <w:lang w:val="en-GB"/>
        </w:rPr>
        <w:t>-based</w:t>
      </w:r>
      <w:r>
        <w:rPr>
          <w:lang w:val="en-GB"/>
        </w:rPr>
        <w:t xml:space="preserve"> model c</w:t>
      </w:r>
      <w:r w:rsidR="00B140B2">
        <w:rPr>
          <w:lang w:val="en-GB"/>
        </w:rPr>
        <w:t>ould</w:t>
      </w:r>
      <w:r>
        <w:rPr>
          <w:lang w:val="en-GB"/>
        </w:rPr>
        <w:t xml:space="preserve"> directly be used to compute the infinite dilution activity coefficient </w:t>
      </w:r>
      <w:r w:rsidR="003C26D2">
        <w:rPr>
          <w:lang w:val="en-GB"/>
        </w:rPr>
        <w:t>as follows:</w:t>
      </w:r>
      <w:r>
        <w:rPr>
          <w:lang w:val="en-GB"/>
        </w:rPr>
        <w:t xml:space="preserve"> </w:t>
      </w:r>
      <m:oMath>
        <m:sSup>
          <m:sSupPr>
            <m:ctrlPr>
              <w:rPr>
                <w:rFonts w:ascii="Cambria Math" w:hAnsi="Cambria Math"/>
                <w:i/>
                <w:lang w:val="en-GB"/>
              </w:rPr>
            </m:ctrlPr>
          </m:sSupPr>
          <m:e>
            <m:r>
              <w:rPr>
                <w:rFonts w:ascii="Cambria Math" w:hAnsi="Cambria Math"/>
                <w:lang w:val="en-GB"/>
              </w:rPr>
              <m:t>γ</m:t>
            </m:r>
          </m:e>
          <m:sup>
            <m:r>
              <w:rPr>
                <w:rFonts w:ascii="Cambria Math" w:hAnsi="Cambria Math"/>
                <w:lang w:val="en-GB"/>
              </w:rPr>
              <m:t>∞</m:t>
            </m:r>
          </m:sup>
        </m:sSup>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H</m:t>
                </m:r>
              </m:sub>
            </m:sSub>
          </m:num>
          <m:den>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sat</m:t>
                </m:r>
              </m:sup>
            </m:sSup>
          </m:den>
        </m:f>
      </m:oMath>
      <w:r w:rsidR="00394FAC">
        <w:rPr>
          <w:lang w:val="en-GB"/>
        </w:rPr>
        <w:t xml:space="preserve"> , where </w:t>
      </w:r>
      <m:oMath>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sat</m:t>
            </m:r>
          </m:sup>
        </m:sSup>
      </m:oMath>
      <w:r w:rsidR="00394FAC">
        <w:rPr>
          <w:lang w:val="en-GB"/>
        </w:rPr>
        <w:t xml:space="preserve"> is the saturation vapor pressure of the refrigerant.</w:t>
      </w:r>
    </w:p>
    <w:p w14:paraId="362AC2B0" w14:textId="3BE285ED" w:rsidR="00A00FF1" w:rsidRPr="00A94774" w:rsidRDefault="00A00FF1" w:rsidP="00A00FF1">
      <w:pPr>
        <w:pStyle w:val="Els-1storder-head"/>
        <w:spacing w:after="120"/>
        <w:rPr>
          <w:lang w:val="en-GB"/>
        </w:rPr>
      </w:pPr>
      <w:r>
        <w:rPr>
          <w:lang w:val="en-GB"/>
        </w:rPr>
        <w:t>Results for R</w:t>
      </w:r>
      <w:r w:rsidR="00CB168C">
        <w:rPr>
          <w:lang w:val="en-GB"/>
        </w:rPr>
        <w:t>-</w:t>
      </w:r>
      <w:r>
        <w:rPr>
          <w:lang w:val="en-GB"/>
        </w:rPr>
        <w:t>410A separation</w:t>
      </w:r>
    </w:p>
    <w:p w14:paraId="217BA28C" w14:textId="41BC509B" w:rsidR="00A00FF1" w:rsidRDefault="00A00FF1" w:rsidP="00A00FF1">
      <w:pPr>
        <w:jc w:val="both"/>
      </w:pPr>
      <w:r w:rsidRPr="005B4D9F">
        <w:t>In Step 1, we generate 710 feasible IL</w:t>
      </w:r>
      <w:r>
        <w:t xml:space="preserve"> </w:t>
      </w:r>
      <w:r w:rsidRPr="005B4D9F">
        <w:t>structures that contain 47 cation cores,</w:t>
      </w:r>
      <w:r>
        <w:t xml:space="preserve"> </w:t>
      </w:r>
      <w:r w:rsidRPr="005B4D9F">
        <w:t>48 anion cores and 43 side groups.</w:t>
      </w:r>
      <w:r>
        <w:t xml:space="preserve">  In Step 2, we then screen the ILs based on the following </w:t>
      </w:r>
      <w:r>
        <w:lastRenderedPageBreak/>
        <w:t xml:space="preserve">property bounds: </w:t>
      </w:r>
      <m:oMath>
        <m:r>
          <w:rPr>
            <w:rFonts w:ascii="Cambria Math" w:hAnsi="Cambria Math"/>
          </w:rPr>
          <m:t xml:space="preserve">40 </m:t>
        </m:r>
        <m:r>
          <m:rPr>
            <m:nor/>
          </m:rPr>
          <w:rPr>
            <w:rFonts w:ascii="Cambria Math" w:hAnsi="Cambria Math"/>
          </w:rPr>
          <m:t>K</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 xml:space="preserve">≤303 </m:t>
        </m:r>
        <m:r>
          <m:rPr>
            <m:nor/>
          </m:rPr>
          <w:rPr>
            <w:rFonts w:ascii="Cambria Math" w:hAnsi="Cambria Math"/>
          </w:rPr>
          <m:t>K</m:t>
        </m:r>
      </m:oMath>
      <w:r>
        <w:t>,</w:t>
      </w:r>
      <m:oMath>
        <m:r>
          <w:rPr>
            <w:rFonts w:ascii="Cambria Math" w:hAnsi="Cambria Math"/>
          </w:rPr>
          <m:t>900</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≤ρ≤1600</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r>
        <w:t xml:space="preserve">, </w:t>
      </w:r>
      <m:oMath>
        <m:r>
          <w:rPr>
            <w:rFonts w:ascii="Cambria Math" w:hAnsi="Cambria Math"/>
          </w:rPr>
          <m:t>3 mPa.s≤μ≤1000 mPa.s.</m:t>
        </m:r>
      </m:oMath>
      <w:r>
        <w:t xml:space="preserve"> From an initial pool of 710 ILs, 315 ILs satisfied the specified property bounds. After that, we further screen the ILs based on mixture properties. Finally in Step 3, among the feasible ILs that satisfy both the pure component properties and the solubility properties, we select a small set of 12 promising ILs as listed in Table 1. The GC model for these ILs also show qualitatively correct trend of solubility and selectivity for R</w:t>
      </w:r>
      <w:r w:rsidR="00A6741B">
        <w:t>-</w:t>
      </w:r>
      <w:r>
        <w:t>32 compared to R</w:t>
      </w:r>
      <w:r w:rsidR="00A6741B">
        <w:t>-</w:t>
      </w:r>
      <w:r>
        <w:t xml:space="preserve">125. Also, for these ILs, measured VLE data are available. </w:t>
      </w:r>
      <w:r w:rsidR="00C73084">
        <w:t>From the set of promising ILs, we</w:t>
      </w:r>
      <w:r>
        <w:t xml:space="preserve"> select [EMIM][DCA] to evaluate the process performance.</w:t>
      </w:r>
      <w:r w:rsidR="0097419B">
        <w:t xml:space="preserve"> </w:t>
      </w:r>
      <w:r>
        <w:t xml:space="preserve"> </w:t>
      </w:r>
      <w:r w:rsidR="00C73084" w:rsidRPr="00A2747C">
        <w:t>The process configuration is preconceived from our previous work (</w:t>
      </w:r>
      <w:proofErr w:type="spellStart"/>
      <w:r w:rsidR="00C73084" w:rsidRPr="00A2747C">
        <w:t>Monjur</w:t>
      </w:r>
      <w:proofErr w:type="spellEnd"/>
      <w:r w:rsidR="00C73084" w:rsidRPr="00A2747C">
        <w:t xml:space="preserve"> et al., 2022). We t</w:t>
      </w:r>
      <w:r w:rsidRPr="00A2747C">
        <w:t>he</w:t>
      </w:r>
      <w:r w:rsidR="0097419B" w:rsidRPr="00A2747C">
        <w:t>n</w:t>
      </w:r>
      <w:r w:rsidRPr="00A2747C">
        <w:t xml:space="preserve"> </w:t>
      </w:r>
      <w:r w:rsidR="00C73084" w:rsidRPr="00A2747C">
        <w:t>simulate the process in Aspen Plus v12</w:t>
      </w:r>
      <w:r w:rsidR="0097419B" w:rsidRPr="00A2747C">
        <w:t xml:space="preserve"> with the objective to achieve</w:t>
      </w:r>
      <w:r w:rsidR="0097419B">
        <w:t xml:space="preserve"> high recovery of both R</w:t>
      </w:r>
      <w:r w:rsidR="00A6741B">
        <w:t>-</w:t>
      </w:r>
      <w:r w:rsidR="0097419B">
        <w:t>32 and R</w:t>
      </w:r>
      <w:r w:rsidR="00A6741B">
        <w:t>-</w:t>
      </w:r>
      <w:r w:rsidR="0097419B">
        <w:t>125 (</w:t>
      </w:r>
      <m:oMath>
        <m:r>
          <w:rPr>
            <w:rFonts w:ascii="Cambria Math" w:hAnsi="Cambria Math"/>
          </w:rPr>
          <m:t>&gt;99.5 wt%</m:t>
        </m:r>
      </m:oMath>
      <w:r w:rsidR="0097419B">
        <w:t>)</w:t>
      </w:r>
      <w:r w:rsidR="00C73084">
        <w:t xml:space="preserve">. The </w:t>
      </w:r>
      <w:r>
        <w:t>simulated process flowsheet is shown in</w:t>
      </w:r>
      <w:r w:rsidR="00342419">
        <w:t xml:space="preserve"> Figure 3.</w:t>
      </w:r>
      <w:r>
        <w:t xml:space="preserve"> The IL is introduced to the column at 3</w:t>
      </w:r>
      <w:r w:rsidRPr="008A33C8">
        <w:rPr>
          <w:vertAlign w:val="superscript"/>
        </w:rPr>
        <w:t>rd</w:t>
      </w:r>
      <w:r>
        <w:t xml:space="preserve"> stage while the R-410A mixture is introduced to the column at 15</w:t>
      </w:r>
      <w:r w:rsidRPr="00FC3F76">
        <w:rPr>
          <w:vertAlign w:val="superscript"/>
        </w:rPr>
        <w:t>th</w:t>
      </w:r>
      <w:r>
        <w:t xml:space="preserve"> stage. There are 30 stages in total. </w:t>
      </w:r>
      <m:oMath>
        <m:r>
          <w:rPr>
            <w:rFonts w:ascii="Cambria Math" w:hAnsi="Cambria Math"/>
          </w:rPr>
          <m:t>99.5 wt%</m:t>
        </m:r>
      </m:oMath>
      <w:r>
        <w:t xml:space="preserve"> R</w:t>
      </w:r>
      <w:r w:rsidR="00075735">
        <w:t>-</w:t>
      </w:r>
      <w:r>
        <w:t>125 is separated from the top of the ED column. The IL</w:t>
      </w:r>
      <w:r w:rsidR="00A85CE9">
        <w:t>+</w:t>
      </w:r>
      <w:r>
        <w:t>R</w:t>
      </w:r>
      <w:r w:rsidR="0069618A">
        <w:t>-</w:t>
      </w:r>
      <w:r>
        <w:t xml:space="preserve">32 stream comes out from the bottom of the column and then is fed to the flash separator. From the top of the flash separator, </w:t>
      </w:r>
      <m:oMath>
        <m:r>
          <w:rPr>
            <w:rFonts w:ascii="Cambria Math" w:hAnsi="Cambria Math"/>
          </w:rPr>
          <m:t>99.6 wt%</m:t>
        </m:r>
      </m:oMath>
      <w:r>
        <w:t xml:space="preserve"> R-32 is separated, and the IL is recycled back to the ED column. Therefore, highly selective separation of the azeotropic R-410A refrigerant mixture is achieved.</w:t>
      </w:r>
    </w:p>
    <w:p w14:paraId="1EB14C1A" w14:textId="77777777" w:rsidR="00A300D7" w:rsidRDefault="00A300D7" w:rsidP="00A00FF1">
      <w:pPr>
        <w:jc w:val="both"/>
      </w:pPr>
    </w:p>
    <w:p w14:paraId="4E77788F" w14:textId="77777777" w:rsidR="008E208B" w:rsidRDefault="008E208B" w:rsidP="00A00FF1">
      <w:pPr>
        <w:jc w:val="both"/>
      </w:pPr>
    </w:p>
    <w:p w14:paraId="37091E6D" w14:textId="7A034B5B" w:rsidR="000A77C0" w:rsidRDefault="00522AD6" w:rsidP="00A00FF1">
      <w:pPr>
        <w:jc w:val="both"/>
      </w:pPr>
      <w:r>
        <w:rPr>
          <w:noProof/>
        </w:rPr>
        <w:drawing>
          <wp:anchor distT="0" distB="0" distL="114300" distR="114300" simplePos="0" relativeHeight="251659264" behindDoc="0" locked="0" layoutInCell="1" allowOverlap="1" wp14:anchorId="27E8B6A9" wp14:editId="36781D94">
            <wp:simplePos x="0" y="0"/>
            <wp:positionH relativeFrom="margin">
              <wp:posOffset>766445</wp:posOffset>
            </wp:positionH>
            <wp:positionV relativeFrom="paragraph">
              <wp:posOffset>59690</wp:posOffset>
            </wp:positionV>
            <wp:extent cx="2849880" cy="1800225"/>
            <wp:effectExtent l="0" t="0" r="0" b="9525"/>
            <wp:wrapSquare wrapText="bothSides"/>
            <wp:docPr id="296930574" name="Picture 29693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30574" name="Picture 2969305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9880" cy="1800225"/>
                    </a:xfrm>
                    <a:prstGeom prst="rect">
                      <a:avLst/>
                    </a:prstGeom>
                  </pic:spPr>
                </pic:pic>
              </a:graphicData>
            </a:graphic>
            <wp14:sizeRelH relativeFrom="margin">
              <wp14:pctWidth>0</wp14:pctWidth>
            </wp14:sizeRelH>
            <wp14:sizeRelV relativeFrom="margin">
              <wp14:pctHeight>0</wp14:pctHeight>
            </wp14:sizeRelV>
          </wp:anchor>
        </w:drawing>
      </w:r>
    </w:p>
    <w:p w14:paraId="2BD5627F" w14:textId="4CB35293" w:rsidR="000A77C0" w:rsidRDefault="000A77C0" w:rsidP="00A00FF1">
      <w:pPr>
        <w:jc w:val="both"/>
      </w:pPr>
    </w:p>
    <w:p w14:paraId="694B70CD" w14:textId="2A181C52" w:rsidR="000A77C0" w:rsidRDefault="000A77C0" w:rsidP="00A00FF1">
      <w:pPr>
        <w:jc w:val="both"/>
      </w:pPr>
    </w:p>
    <w:p w14:paraId="654F0922" w14:textId="77777777" w:rsidR="000A77C0" w:rsidRDefault="000A77C0" w:rsidP="00A00FF1">
      <w:pPr>
        <w:jc w:val="both"/>
      </w:pPr>
    </w:p>
    <w:p w14:paraId="72AEEB5E" w14:textId="77777777" w:rsidR="000A77C0" w:rsidRDefault="000A77C0" w:rsidP="00A00FF1">
      <w:pPr>
        <w:jc w:val="both"/>
      </w:pPr>
    </w:p>
    <w:p w14:paraId="2A79AA4E" w14:textId="77777777" w:rsidR="000A77C0" w:rsidRDefault="000A77C0" w:rsidP="00A00FF1">
      <w:pPr>
        <w:jc w:val="both"/>
      </w:pPr>
    </w:p>
    <w:p w14:paraId="2173E172" w14:textId="77777777" w:rsidR="000A77C0" w:rsidRDefault="000A77C0" w:rsidP="00A00FF1">
      <w:pPr>
        <w:jc w:val="both"/>
      </w:pPr>
    </w:p>
    <w:p w14:paraId="7676B17B" w14:textId="77777777" w:rsidR="000A77C0" w:rsidRDefault="000A77C0" w:rsidP="00A00FF1">
      <w:pPr>
        <w:jc w:val="both"/>
      </w:pPr>
    </w:p>
    <w:p w14:paraId="03ECF1D0" w14:textId="77777777" w:rsidR="000A77C0" w:rsidRDefault="000A77C0" w:rsidP="00A00FF1">
      <w:pPr>
        <w:jc w:val="both"/>
      </w:pPr>
    </w:p>
    <w:p w14:paraId="505362F2" w14:textId="77777777" w:rsidR="000A77C0" w:rsidRDefault="000A77C0" w:rsidP="00A00FF1">
      <w:pPr>
        <w:jc w:val="both"/>
      </w:pPr>
    </w:p>
    <w:p w14:paraId="0A174700" w14:textId="77777777" w:rsidR="000A77C0" w:rsidRDefault="000A77C0" w:rsidP="00A00FF1">
      <w:pPr>
        <w:jc w:val="both"/>
      </w:pPr>
    </w:p>
    <w:p w14:paraId="2315C73F" w14:textId="77777777" w:rsidR="000A77C0" w:rsidRDefault="000A77C0" w:rsidP="00A00FF1">
      <w:pPr>
        <w:jc w:val="both"/>
      </w:pPr>
    </w:p>
    <w:p w14:paraId="4ABA5F1C" w14:textId="77777777" w:rsidR="000A77C0" w:rsidRDefault="000A77C0" w:rsidP="00A00FF1">
      <w:pPr>
        <w:jc w:val="both"/>
      </w:pPr>
    </w:p>
    <w:p w14:paraId="47B9BD99" w14:textId="35AE89AA" w:rsidR="000A77C0" w:rsidRDefault="000A77C0" w:rsidP="000A77C0">
      <w:pPr>
        <w:jc w:val="center"/>
      </w:pPr>
      <w:r>
        <w:t xml:space="preserve">Figure </w:t>
      </w:r>
      <w:r w:rsidR="00A17EA4">
        <w:t>3</w:t>
      </w:r>
      <w:r>
        <w:t>: ED process for R-410A separation</w:t>
      </w:r>
    </w:p>
    <w:p w14:paraId="682BB069" w14:textId="77777777" w:rsidR="008E208B" w:rsidRDefault="008E208B" w:rsidP="000A77C0">
      <w:pPr>
        <w:jc w:val="center"/>
      </w:pPr>
    </w:p>
    <w:p w14:paraId="48B6EDFF" w14:textId="77777777" w:rsidR="00DA7405" w:rsidRDefault="00DA7405" w:rsidP="00DA7405">
      <w:pPr>
        <w:pStyle w:val="Els-body-text"/>
        <w:spacing w:before="120" w:after="60" w:line="264" w:lineRule="auto"/>
        <w:rPr>
          <w:lang w:val="en-GB"/>
        </w:rPr>
      </w:pPr>
      <w:r>
        <w:rPr>
          <w:lang w:val="en-GB"/>
        </w:rPr>
        <w:t xml:space="preserve">Table 1: List of promising ILs with experimental and predicted Henry’s </w:t>
      </w:r>
      <w:proofErr w:type="gramStart"/>
      <w:r>
        <w:rPr>
          <w:lang w:val="en-GB"/>
        </w:rPr>
        <w:t>constants</w:t>
      </w:r>
      <w:proofErr w:type="gramEnd"/>
    </w:p>
    <w:tbl>
      <w:tblPr>
        <w:tblStyle w:val="TableGrid"/>
        <w:tblpPr w:leftFromText="180" w:rightFromText="180" w:vertAnchor="text" w:horzAnchor="margin" w:tblpY="8"/>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386"/>
        <w:gridCol w:w="1389"/>
        <w:gridCol w:w="1387"/>
        <w:gridCol w:w="1388"/>
      </w:tblGrid>
      <w:tr w:rsidR="00DA7405" w14:paraId="621EFDE0" w14:textId="77777777" w:rsidTr="00C50F24">
        <w:trPr>
          <w:trHeight w:val="20"/>
        </w:trPr>
        <w:tc>
          <w:tcPr>
            <w:tcW w:w="1527" w:type="dxa"/>
            <w:vMerge w:val="restart"/>
            <w:tcBorders>
              <w:top w:val="single" w:sz="4" w:space="0" w:color="auto"/>
            </w:tcBorders>
            <w:vAlign w:val="center"/>
          </w:tcPr>
          <w:p w14:paraId="2CD53C49" w14:textId="77777777" w:rsidR="00DA7405" w:rsidRPr="00DA7405" w:rsidRDefault="00DA7405" w:rsidP="00C50F24">
            <w:pPr>
              <w:pStyle w:val="Els-body-text"/>
              <w:spacing w:line="264" w:lineRule="auto"/>
              <w:jc w:val="center"/>
              <w:rPr>
                <w:lang w:val="en-GB"/>
              </w:rPr>
            </w:pPr>
            <w:r w:rsidRPr="00DA7405">
              <w:rPr>
                <w:lang w:val="en-GB"/>
              </w:rPr>
              <w:t>ILs</w:t>
            </w:r>
          </w:p>
        </w:tc>
        <w:tc>
          <w:tcPr>
            <w:tcW w:w="2775" w:type="dxa"/>
            <w:gridSpan w:val="2"/>
            <w:tcBorders>
              <w:top w:val="single" w:sz="4" w:space="0" w:color="auto"/>
            </w:tcBorders>
            <w:vAlign w:val="center"/>
          </w:tcPr>
          <w:p w14:paraId="0B767E89" w14:textId="77777777" w:rsidR="00DA7405" w:rsidRPr="00DA7405" w:rsidRDefault="00DA7405" w:rsidP="00C50F24">
            <w:pPr>
              <w:pStyle w:val="Els-body-text"/>
              <w:spacing w:line="264" w:lineRule="auto"/>
              <w:jc w:val="center"/>
              <w:rPr>
                <w:lang w:val="en-GB"/>
              </w:rPr>
            </w:pPr>
            <w:r w:rsidRPr="00DA7405">
              <w:rPr>
                <w:lang w:val="en-GB"/>
              </w:rPr>
              <w:t>Measured</w:t>
            </w:r>
          </w:p>
        </w:tc>
        <w:tc>
          <w:tcPr>
            <w:tcW w:w="2775" w:type="dxa"/>
            <w:gridSpan w:val="2"/>
            <w:tcBorders>
              <w:top w:val="single" w:sz="4" w:space="0" w:color="auto"/>
            </w:tcBorders>
            <w:vAlign w:val="center"/>
          </w:tcPr>
          <w:p w14:paraId="5BE10238" w14:textId="77777777" w:rsidR="00DA7405" w:rsidRPr="00DA7405" w:rsidRDefault="00DA7405" w:rsidP="00C50F24">
            <w:pPr>
              <w:pStyle w:val="Els-body-text"/>
              <w:spacing w:line="264" w:lineRule="auto"/>
              <w:jc w:val="center"/>
              <w:rPr>
                <w:lang w:val="en-GB"/>
              </w:rPr>
            </w:pPr>
            <w:r w:rsidRPr="00DA7405">
              <w:rPr>
                <w:lang w:val="en-GB"/>
              </w:rPr>
              <w:t>GC Model</w:t>
            </w:r>
          </w:p>
        </w:tc>
      </w:tr>
      <w:tr w:rsidR="00DA7405" w14:paraId="59138093" w14:textId="77777777" w:rsidTr="00C50F24">
        <w:trPr>
          <w:trHeight w:val="20"/>
        </w:trPr>
        <w:tc>
          <w:tcPr>
            <w:tcW w:w="1527" w:type="dxa"/>
            <w:vMerge/>
            <w:tcBorders>
              <w:bottom w:val="single" w:sz="4" w:space="0" w:color="auto"/>
            </w:tcBorders>
            <w:vAlign w:val="center"/>
          </w:tcPr>
          <w:p w14:paraId="59FE6AEB" w14:textId="77777777" w:rsidR="00DA7405" w:rsidRPr="00DA7405" w:rsidRDefault="00DA7405" w:rsidP="00DA7405">
            <w:pPr>
              <w:pStyle w:val="Els-body-text"/>
              <w:spacing w:line="264" w:lineRule="auto"/>
              <w:jc w:val="center"/>
              <w:rPr>
                <w:lang w:val="en-GB"/>
              </w:rPr>
            </w:pPr>
          </w:p>
        </w:tc>
        <w:tc>
          <w:tcPr>
            <w:tcW w:w="1386" w:type="dxa"/>
            <w:tcBorders>
              <w:bottom w:val="single" w:sz="4" w:space="0" w:color="auto"/>
            </w:tcBorders>
            <w:vAlign w:val="center"/>
          </w:tcPr>
          <w:p w14:paraId="10588C78" w14:textId="77777777" w:rsidR="00DA7405" w:rsidRPr="00DA7405" w:rsidRDefault="00000000" w:rsidP="00DA7405">
            <w:pPr>
              <w:pStyle w:val="Els-body-text"/>
              <w:spacing w:line="264" w:lineRule="auto"/>
              <w:jc w:val="center"/>
              <w:rPr>
                <w:lang w:val="en-GB"/>
              </w:rPr>
            </w:pPr>
            <m:oMathPara>
              <m:oMath>
                <m:sSub>
                  <m:sSubPr>
                    <m:ctrlPr>
                      <w:rPr>
                        <w:rFonts w:ascii="Cambria Math" w:hAnsi="Cambria Math"/>
                        <w:i/>
                        <w:lang w:val="en-GB"/>
                      </w:rPr>
                    </m:ctrlPr>
                  </m:sSubPr>
                  <m:e>
                    <m:r>
                      <w:rPr>
                        <w:rFonts w:ascii="Cambria Math" w:hAnsi="Cambria Math"/>
                        <w:lang w:val="en-GB"/>
                      </w:rPr>
                      <m:t>K</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R32</m:t>
                        </m:r>
                      </m:sub>
                    </m:sSub>
                  </m:sub>
                </m:sSub>
              </m:oMath>
            </m:oMathPara>
          </w:p>
        </w:tc>
        <w:tc>
          <w:tcPr>
            <w:tcW w:w="1389" w:type="dxa"/>
            <w:tcBorders>
              <w:bottom w:val="single" w:sz="4" w:space="0" w:color="auto"/>
            </w:tcBorders>
            <w:vAlign w:val="center"/>
          </w:tcPr>
          <w:p w14:paraId="30119BEE" w14:textId="77777777" w:rsidR="00DA7405" w:rsidRPr="00DA7405" w:rsidRDefault="00000000" w:rsidP="00DA7405">
            <w:pPr>
              <w:pStyle w:val="Els-body-text"/>
              <w:spacing w:line="264" w:lineRule="auto"/>
              <w:jc w:val="center"/>
              <w:rPr>
                <w:lang w:val="en-GB"/>
              </w:rPr>
            </w:pPr>
            <m:oMathPara>
              <m:oMath>
                <m:sSub>
                  <m:sSubPr>
                    <m:ctrlPr>
                      <w:rPr>
                        <w:rFonts w:ascii="Cambria Math" w:hAnsi="Cambria Math"/>
                        <w:i/>
                        <w:lang w:val="en-GB"/>
                      </w:rPr>
                    </m:ctrlPr>
                  </m:sSubPr>
                  <m:e>
                    <m:r>
                      <w:rPr>
                        <w:rFonts w:ascii="Cambria Math" w:hAnsi="Cambria Math"/>
                        <w:lang w:val="en-GB"/>
                      </w:rPr>
                      <m:t>K</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R125</m:t>
                        </m:r>
                      </m:sub>
                    </m:sSub>
                  </m:sub>
                </m:sSub>
              </m:oMath>
            </m:oMathPara>
          </w:p>
        </w:tc>
        <w:tc>
          <w:tcPr>
            <w:tcW w:w="1387" w:type="dxa"/>
            <w:tcBorders>
              <w:bottom w:val="single" w:sz="4" w:space="0" w:color="auto"/>
            </w:tcBorders>
            <w:vAlign w:val="center"/>
          </w:tcPr>
          <w:p w14:paraId="2E97C61D" w14:textId="77777777" w:rsidR="00DA7405" w:rsidRPr="00DA7405" w:rsidRDefault="00000000" w:rsidP="00DA7405">
            <w:pPr>
              <w:pStyle w:val="Els-body-text"/>
              <w:spacing w:line="264" w:lineRule="auto"/>
              <w:jc w:val="center"/>
              <w:rPr>
                <w:lang w:val="en-GB"/>
              </w:rPr>
            </w:pPr>
            <m:oMathPara>
              <m:oMath>
                <m:sSub>
                  <m:sSubPr>
                    <m:ctrlPr>
                      <w:rPr>
                        <w:rFonts w:ascii="Cambria Math" w:hAnsi="Cambria Math"/>
                        <w:i/>
                        <w:lang w:val="en-GB"/>
                      </w:rPr>
                    </m:ctrlPr>
                  </m:sSubPr>
                  <m:e>
                    <m:r>
                      <w:rPr>
                        <w:rFonts w:ascii="Cambria Math" w:hAnsi="Cambria Math"/>
                        <w:lang w:val="en-GB"/>
                      </w:rPr>
                      <m:t>K</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R32</m:t>
                        </m:r>
                      </m:sub>
                    </m:sSub>
                  </m:sub>
                </m:sSub>
              </m:oMath>
            </m:oMathPara>
          </w:p>
        </w:tc>
        <w:tc>
          <w:tcPr>
            <w:tcW w:w="1388" w:type="dxa"/>
            <w:tcBorders>
              <w:bottom w:val="single" w:sz="4" w:space="0" w:color="auto"/>
            </w:tcBorders>
            <w:vAlign w:val="center"/>
          </w:tcPr>
          <w:p w14:paraId="0F981969" w14:textId="77777777" w:rsidR="00DA7405" w:rsidRPr="00DA7405" w:rsidRDefault="00000000" w:rsidP="00DA7405">
            <w:pPr>
              <w:pStyle w:val="Els-body-text"/>
              <w:spacing w:line="264" w:lineRule="auto"/>
              <w:jc w:val="center"/>
              <w:rPr>
                <w:lang w:val="en-GB"/>
              </w:rPr>
            </w:pPr>
            <m:oMathPara>
              <m:oMath>
                <m:sSub>
                  <m:sSubPr>
                    <m:ctrlPr>
                      <w:rPr>
                        <w:rFonts w:ascii="Cambria Math" w:hAnsi="Cambria Math"/>
                        <w:i/>
                        <w:lang w:val="en-GB"/>
                      </w:rPr>
                    </m:ctrlPr>
                  </m:sSubPr>
                  <m:e>
                    <m:r>
                      <w:rPr>
                        <w:rFonts w:ascii="Cambria Math" w:hAnsi="Cambria Math"/>
                        <w:lang w:val="en-GB"/>
                      </w:rPr>
                      <m:t>K</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R32</m:t>
                        </m:r>
                      </m:sub>
                    </m:sSub>
                  </m:sub>
                </m:sSub>
              </m:oMath>
            </m:oMathPara>
          </w:p>
        </w:tc>
      </w:tr>
      <w:tr w:rsidR="00DA7405" w14:paraId="3B437737" w14:textId="77777777" w:rsidTr="00C50F24">
        <w:trPr>
          <w:trHeight w:val="20"/>
        </w:trPr>
        <w:tc>
          <w:tcPr>
            <w:tcW w:w="1527" w:type="dxa"/>
            <w:tcBorders>
              <w:top w:val="single" w:sz="4" w:space="0" w:color="auto"/>
            </w:tcBorders>
            <w:vAlign w:val="center"/>
          </w:tcPr>
          <w:p w14:paraId="5C38606A" w14:textId="77777777" w:rsidR="00DA7405" w:rsidRPr="00DA7405" w:rsidRDefault="00DA7405" w:rsidP="00C50F24">
            <w:pPr>
              <w:pStyle w:val="Els-body-text"/>
              <w:spacing w:line="264" w:lineRule="auto"/>
              <w:jc w:val="center"/>
              <w:rPr>
                <w:lang w:val="en-GB"/>
              </w:rPr>
            </w:pPr>
            <w:r w:rsidRPr="00DA7405">
              <w:rPr>
                <w:lang w:val="en-GB"/>
              </w:rPr>
              <w:t>[EMIM][SCN]</w:t>
            </w:r>
          </w:p>
        </w:tc>
        <w:tc>
          <w:tcPr>
            <w:tcW w:w="1386" w:type="dxa"/>
            <w:tcBorders>
              <w:top w:val="single" w:sz="4" w:space="0" w:color="auto"/>
            </w:tcBorders>
            <w:vAlign w:val="center"/>
          </w:tcPr>
          <w:p w14:paraId="79D7BA9D" w14:textId="77777777" w:rsidR="00DA7405" w:rsidRPr="00DA7405" w:rsidRDefault="00DA7405" w:rsidP="00C50F24">
            <w:pPr>
              <w:pStyle w:val="Els-body-text"/>
              <w:spacing w:line="264" w:lineRule="auto"/>
              <w:jc w:val="center"/>
              <w:rPr>
                <w:lang w:val="en-GB"/>
              </w:rPr>
            </w:pPr>
            <w:r w:rsidRPr="00DA7405">
              <w:rPr>
                <w:lang w:val="en-GB"/>
              </w:rPr>
              <w:t>4.45</w:t>
            </w:r>
          </w:p>
        </w:tc>
        <w:tc>
          <w:tcPr>
            <w:tcW w:w="1389" w:type="dxa"/>
            <w:tcBorders>
              <w:top w:val="single" w:sz="4" w:space="0" w:color="auto"/>
            </w:tcBorders>
            <w:vAlign w:val="center"/>
          </w:tcPr>
          <w:p w14:paraId="641F1FC1" w14:textId="77777777" w:rsidR="00DA7405" w:rsidRPr="00DA7405" w:rsidRDefault="00DA7405" w:rsidP="00C50F24">
            <w:pPr>
              <w:pStyle w:val="Els-body-text"/>
              <w:spacing w:line="264" w:lineRule="auto"/>
              <w:jc w:val="center"/>
              <w:rPr>
                <w:lang w:val="en-GB"/>
              </w:rPr>
            </w:pPr>
            <w:r w:rsidRPr="00DA7405">
              <w:rPr>
                <w:lang w:val="en-GB"/>
              </w:rPr>
              <w:t>26.96</w:t>
            </w:r>
          </w:p>
        </w:tc>
        <w:tc>
          <w:tcPr>
            <w:tcW w:w="1387" w:type="dxa"/>
            <w:tcBorders>
              <w:top w:val="single" w:sz="4" w:space="0" w:color="auto"/>
            </w:tcBorders>
            <w:vAlign w:val="center"/>
          </w:tcPr>
          <w:p w14:paraId="19121FBC" w14:textId="77777777" w:rsidR="00DA7405" w:rsidRPr="00DA7405" w:rsidRDefault="00DA7405" w:rsidP="00C50F24">
            <w:pPr>
              <w:pStyle w:val="Els-body-text"/>
              <w:spacing w:line="264" w:lineRule="auto"/>
              <w:jc w:val="center"/>
              <w:rPr>
                <w:lang w:val="en-GB"/>
              </w:rPr>
            </w:pPr>
            <w:r w:rsidRPr="00DA7405">
              <w:rPr>
                <w:lang w:val="en-GB"/>
              </w:rPr>
              <w:t>3.56</w:t>
            </w:r>
          </w:p>
        </w:tc>
        <w:tc>
          <w:tcPr>
            <w:tcW w:w="1388" w:type="dxa"/>
            <w:tcBorders>
              <w:top w:val="single" w:sz="4" w:space="0" w:color="auto"/>
            </w:tcBorders>
            <w:vAlign w:val="center"/>
          </w:tcPr>
          <w:p w14:paraId="675822FF" w14:textId="77777777" w:rsidR="00DA7405" w:rsidRPr="00DA7405" w:rsidRDefault="00DA7405" w:rsidP="00C50F24">
            <w:pPr>
              <w:pStyle w:val="Els-body-text"/>
              <w:spacing w:line="264" w:lineRule="auto"/>
              <w:jc w:val="center"/>
              <w:rPr>
                <w:lang w:val="en-GB"/>
              </w:rPr>
            </w:pPr>
            <w:r w:rsidRPr="00DA7405">
              <w:rPr>
                <w:lang w:val="en-GB"/>
              </w:rPr>
              <w:t>37.96</w:t>
            </w:r>
          </w:p>
        </w:tc>
      </w:tr>
      <w:tr w:rsidR="00DA7405" w14:paraId="0115286C" w14:textId="77777777" w:rsidTr="00C50F24">
        <w:trPr>
          <w:trHeight w:val="20"/>
        </w:trPr>
        <w:tc>
          <w:tcPr>
            <w:tcW w:w="1527" w:type="dxa"/>
            <w:vAlign w:val="center"/>
          </w:tcPr>
          <w:p w14:paraId="26414602" w14:textId="77777777" w:rsidR="00DA7405" w:rsidRPr="00DA7405" w:rsidRDefault="00DA7405" w:rsidP="00C50F24">
            <w:pPr>
              <w:pStyle w:val="Els-body-text"/>
              <w:spacing w:line="264" w:lineRule="auto"/>
              <w:jc w:val="center"/>
              <w:rPr>
                <w:lang w:val="en-GB"/>
              </w:rPr>
            </w:pPr>
            <w:r w:rsidRPr="00DA7405">
              <w:rPr>
                <w:lang w:val="en-GB"/>
              </w:rPr>
              <w:t>[EMIM][Ac]</w:t>
            </w:r>
          </w:p>
        </w:tc>
        <w:tc>
          <w:tcPr>
            <w:tcW w:w="1386" w:type="dxa"/>
            <w:vAlign w:val="center"/>
          </w:tcPr>
          <w:p w14:paraId="31278A14" w14:textId="77777777" w:rsidR="00DA7405" w:rsidRPr="00DA7405" w:rsidRDefault="00DA7405" w:rsidP="00C50F24">
            <w:pPr>
              <w:pStyle w:val="Els-body-text"/>
              <w:spacing w:line="264" w:lineRule="auto"/>
              <w:jc w:val="center"/>
              <w:rPr>
                <w:lang w:val="en-GB"/>
              </w:rPr>
            </w:pPr>
            <w:r w:rsidRPr="00DA7405">
              <w:rPr>
                <w:lang w:val="en-GB"/>
              </w:rPr>
              <w:t>2.51</w:t>
            </w:r>
          </w:p>
        </w:tc>
        <w:tc>
          <w:tcPr>
            <w:tcW w:w="1389" w:type="dxa"/>
            <w:vAlign w:val="center"/>
          </w:tcPr>
          <w:p w14:paraId="54E8E274" w14:textId="77777777" w:rsidR="00DA7405" w:rsidRPr="00DA7405" w:rsidRDefault="00DA7405" w:rsidP="00C50F24">
            <w:pPr>
              <w:pStyle w:val="Els-body-text"/>
              <w:spacing w:line="264" w:lineRule="auto"/>
              <w:jc w:val="center"/>
              <w:rPr>
                <w:lang w:val="en-GB"/>
              </w:rPr>
            </w:pPr>
            <w:r w:rsidRPr="00DA7405">
              <w:rPr>
                <w:lang w:val="en-GB"/>
              </w:rPr>
              <w:t>2.89</w:t>
            </w:r>
          </w:p>
        </w:tc>
        <w:tc>
          <w:tcPr>
            <w:tcW w:w="1387" w:type="dxa"/>
            <w:vAlign w:val="center"/>
          </w:tcPr>
          <w:p w14:paraId="05445708" w14:textId="77777777" w:rsidR="00DA7405" w:rsidRPr="00DA7405" w:rsidRDefault="00DA7405" w:rsidP="00C50F24">
            <w:pPr>
              <w:pStyle w:val="Els-body-text"/>
              <w:spacing w:line="264" w:lineRule="auto"/>
              <w:jc w:val="center"/>
              <w:rPr>
                <w:lang w:val="en-GB"/>
              </w:rPr>
            </w:pPr>
            <w:r w:rsidRPr="00DA7405">
              <w:rPr>
                <w:lang w:val="en-GB"/>
              </w:rPr>
              <w:t>2.51</w:t>
            </w:r>
          </w:p>
        </w:tc>
        <w:tc>
          <w:tcPr>
            <w:tcW w:w="1388" w:type="dxa"/>
            <w:vAlign w:val="center"/>
          </w:tcPr>
          <w:p w14:paraId="29CB8E0C" w14:textId="77777777" w:rsidR="00DA7405" w:rsidRPr="00DA7405" w:rsidRDefault="00DA7405" w:rsidP="00C50F24">
            <w:pPr>
              <w:pStyle w:val="Els-body-text"/>
              <w:spacing w:line="264" w:lineRule="auto"/>
              <w:jc w:val="center"/>
              <w:rPr>
                <w:lang w:val="en-GB"/>
              </w:rPr>
            </w:pPr>
            <w:r w:rsidRPr="00DA7405">
              <w:rPr>
                <w:lang w:val="en-GB"/>
              </w:rPr>
              <w:t>2.89</w:t>
            </w:r>
          </w:p>
        </w:tc>
      </w:tr>
      <w:tr w:rsidR="00DA7405" w14:paraId="3F2A4793" w14:textId="77777777" w:rsidTr="00C50F24">
        <w:trPr>
          <w:trHeight w:val="20"/>
        </w:trPr>
        <w:tc>
          <w:tcPr>
            <w:tcW w:w="1527" w:type="dxa"/>
            <w:vAlign w:val="center"/>
          </w:tcPr>
          <w:p w14:paraId="23BC6458" w14:textId="77777777" w:rsidR="00DA7405" w:rsidRPr="00DA7405" w:rsidRDefault="00DA7405" w:rsidP="00C50F24">
            <w:pPr>
              <w:pStyle w:val="Els-body-text"/>
              <w:spacing w:line="264" w:lineRule="auto"/>
              <w:jc w:val="center"/>
              <w:rPr>
                <w:b/>
                <w:bCs/>
                <w:i/>
                <w:iCs/>
                <w:lang w:val="en-GB"/>
              </w:rPr>
            </w:pPr>
            <w:r w:rsidRPr="00DA7405">
              <w:rPr>
                <w:b/>
                <w:bCs/>
                <w:i/>
                <w:iCs/>
                <w:lang w:val="en-GB"/>
              </w:rPr>
              <w:t>[EMIM][DCA]</w:t>
            </w:r>
          </w:p>
        </w:tc>
        <w:tc>
          <w:tcPr>
            <w:tcW w:w="1386" w:type="dxa"/>
            <w:vAlign w:val="center"/>
          </w:tcPr>
          <w:p w14:paraId="0D6244C9" w14:textId="77777777" w:rsidR="00DA7405" w:rsidRPr="00DA7405" w:rsidRDefault="00DA7405" w:rsidP="00C50F24">
            <w:pPr>
              <w:pStyle w:val="Els-body-text"/>
              <w:spacing w:line="264" w:lineRule="auto"/>
              <w:jc w:val="center"/>
              <w:rPr>
                <w:b/>
                <w:bCs/>
                <w:i/>
                <w:iCs/>
                <w:lang w:val="en-GB"/>
              </w:rPr>
            </w:pPr>
            <w:r w:rsidRPr="00DA7405">
              <w:rPr>
                <w:b/>
                <w:bCs/>
                <w:i/>
                <w:iCs/>
                <w:lang w:val="en-GB"/>
              </w:rPr>
              <w:t>2.91</w:t>
            </w:r>
          </w:p>
        </w:tc>
        <w:tc>
          <w:tcPr>
            <w:tcW w:w="1389" w:type="dxa"/>
            <w:vAlign w:val="center"/>
          </w:tcPr>
          <w:p w14:paraId="0DF59692" w14:textId="77777777" w:rsidR="00DA7405" w:rsidRPr="00DA7405" w:rsidRDefault="00DA7405" w:rsidP="00C50F24">
            <w:pPr>
              <w:pStyle w:val="Els-body-text"/>
              <w:spacing w:line="264" w:lineRule="auto"/>
              <w:jc w:val="center"/>
              <w:rPr>
                <w:b/>
                <w:bCs/>
                <w:i/>
                <w:iCs/>
                <w:lang w:val="en-GB"/>
              </w:rPr>
            </w:pPr>
            <w:r w:rsidRPr="00DA7405">
              <w:rPr>
                <w:b/>
                <w:bCs/>
                <w:i/>
                <w:iCs/>
                <w:lang w:val="en-GB"/>
              </w:rPr>
              <w:t>15.79</w:t>
            </w:r>
          </w:p>
        </w:tc>
        <w:tc>
          <w:tcPr>
            <w:tcW w:w="1387" w:type="dxa"/>
            <w:vAlign w:val="center"/>
          </w:tcPr>
          <w:p w14:paraId="219E1C12" w14:textId="77777777" w:rsidR="00DA7405" w:rsidRPr="00DA7405" w:rsidRDefault="00DA7405" w:rsidP="00C50F24">
            <w:pPr>
              <w:pStyle w:val="Els-body-text"/>
              <w:spacing w:line="264" w:lineRule="auto"/>
              <w:jc w:val="center"/>
              <w:rPr>
                <w:b/>
                <w:bCs/>
                <w:i/>
                <w:iCs/>
                <w:lang w:val="en-GB"/>
              </w:rPr>
            </w:pPr>
            <w:r w:rsidRPr="00DA7405">
              <w:rPr>
                <w:b/>
                <w:bCs/>
                <w:i/>
                <w:iCs/>
                <w:lang w:val="en-GB"/>
              </w:rPr>
              <w:t>2.79</w:t>
            </w:r>
          </w:p>
        </w:tc>
        <w:tc>
          <w:tcPr>
            <w:tcW w:w="1388" w:type="dxa"/>
            <w:vAlign w:val="center"/>
          </w:tcPr>
          <w:p w14:paraId="49A7A323" w14:textId="77777777" w:rsidR="00DA7405" w:rsidRPr="00DA7405" w:rsidRDefault="00DA7405" w:rsidP="00C50F24">
            <w:pPr>
              <w:pStyle w:val="Els-body-text"/>
              <w:spacing w:line="264" w:lineRule="auto"/>
              <w:jc w:val="center"/>
              <w:rPr>
                <w:b/>
                <w:bCs/>
                <w:i/>
                <w:iCs/>
                <w:lang w:val="en-GB"/>
              </w:rPr>
            </w:pPr>
            <w:r w:rsidRPr="00DA7405">
              <w:rPr>
                <w:b/>
                <w:bCs/>
                <w:i/>
                <w:iCs/>
                <w:lang w:val="en-GB"/>
              </w:rPr>
              <w:t>11.93</w:t>
            </w:r>
          </w:p>
        </w:tc>
      </w:tr>
      <w:tr w:rsidR="00DA7405" w14:paraId="24723DFD" w14:textId="77777777" w:rsidTr="00C50F24">
        <w:trPr>
          <w:trHeight w:val="20"/>
        </w:trPr>
        <w:tc>
          <w:tcPr>
            <w:tcW w:w="1527" w:type="dxa"/>
            <w:vAlign w:val="center"/>
          </w:tcPr>
          <w:p w14:paraId="5408AA11" w14:textId="77777777" w:rsidR="00DA7405" w:rsidRPr="00DA7405" w:rsidRDefault="00DA7405" w:rsidP="00C50F24">
            <w:pPr>
              <w:pStyle w:val="Els-body-text"/>
              <w:spacing w:line="264" w:lineRule="auto"/>
              <w:jc w:val="center"/>
              <w:rPr>
                <w:lang w:val="en-GB"/>
              </w:rPr>
            </w:pPr>
            <w:r w:rsidRPr="00DA7405">
              <w:rPr>
                <w:lang w:val="en-GB"/>
              </w:rPr>
              <w:t>[EMIM][OTF]</w:t>
            </w:r>
          </w:p>
        </w:tc>
        <w:tc>
          <w:tcPr>
            <w:tcW w:w="1386" w:type="dxa"/>
            <w:vAlign w:val="center"/>
          </w:tcPr>
          <w:p w14:paraId="6B713BF2" w14:textId="77777777" w:rsidR="00DA7405" w:rsidRPr="00DA7405" w:rsidRDefault="00DA7405" w:rsidP="00C50F24">
            <w:pPr>
              <w:pStyle w:val="Els-body-text"/>
              <w:spacing w:line="264" w:lineRule="auto"/>
              <w:jc w:val="center"/>
              <w:rPr>
                <w:lang w:val="en-GB"/>
              </w:rPr>
            </w:pPr>
            <w:r w:rsidRPr="00DA7405">
              <w:rPr>
                <w:lang w:val="en-GB"/>
              </w:rPr>
              <w:t>1.76</w:t>
            </w:r>
          </w:p>
        </w:tc>
        <w:tc>
          <w:tcPr>
            <w:tcW w:w="1389" w:type="dxa"/>
            <w:vAlign w:val="center"/>
          </w:tcPr>
          <w:p w14:paraId="721590B9" w14:textId="77777777" w:rsidR="00DA7405" w:rsidRPr="00DA7405" w:rsidRDefault="00DA7405" w:rsidP="00C50F24">
            <w:pPr>
              <w:pStyle w:val="Els-body-text"/>
              <w:spacing w:line="264" w:lineRule="auto"/>
              <w:jc w:val="center"/>
              <w:rPr>
                <w:lang w:val="en-GB"/>
              </w:rPr>
            </w:pPr>
            <w:r w:rsidRPr="00DA7405">
              <w:rPr>
                <w:lang w:val="en-GB"/>
              </w:rPr>
              <w:t>3.60</w:t>
            </w:r>
          </w:p>
        </w:tc>
        <w:tc>
          <w:tcPr>
            <w:tcW w:w="1387" w:type="dxa"/>
            <w:vAlign w:val="center"/>
          </w:tcPr>
          <w:p w14:paraId="405DF2EE" w14:textId="77777777" w:rsidR="00DA7405" w:rsidRPr="00DA7405" w:rsidRDefault="00DA7405" w:rsidP="00C50F24">
            <w:pPr>
              <w:pStyle w:val="Els-body-text"/>
              <w:spacing w:line="264" w:lineRule="auto"/>
              <w:jc w:val="center"/>
              <w:rPr>
                <w:lang w:val="en-GB"/>
              </w:rPr>
            </w:pPr>
            <w:r w:rsidRPr="00DA7405">
              <w:rPr>
                <w:lang w:val="en-GB"/>
              </w:rPr>
              <w:t>1.98</w:t>
            </w:r>
          </w:p>
        </w:tc>
        <w:tc>
          <w:tcPr>
            <w:tcW w:w="1388" w:type="dxa"/>
            <w:vAlign w:val="center"/>
          </w:tcPr>
          <w:p w14:paraId="6F3D79B0" w14:textId="77777777" w:rsidR="00DA7405" w:rsidRPr="00DA7405" w:rsidRDefault="00DA7405" w:rsidP="00C50F24">
            <w:pPr>
              <w:pStyle w:val="Els-body-text"/>
              <w:spacing w:line="264" w:lineRule="auto"/>
              <w:jc w:val="center"/>
              <w:rPr>
                <w:lang w:val="en-GB"/>
              </w:rPr>
            </w:pPr>
            <w:r w:rsidRPr="00DA7405">
              <w:rPr>
                <w:lang w:val="en-GB"/>
              </w:rPr>
              <w:t>1.99</w:t>
            </w:r>
          </w:p>
        </w:tc>
      </w:tr>
      <w:tr w:rsidR="00DA7405" w14:paraId="7AE598BC" w14:textId="77777777" w:rsidTr="00C50F24">
        <w:trPr>
          <w:trHeight w:val="20"/>
        </w:trPr>
        <w:tc>
          <w:tcPr>
            <w:tcW w:w="1527" w:type="dxa"/>
            <w:vAlign w:val="center"/>
          </w:tcPr>
          <w:p w14:paraId="4DC0DFDC" w14:textId="77777777" w:rsidR="00DA7405" w:rsidRPr="00DA7405" w:rsidRDefault="00DA7405" w:rsidP="00C50F24">
            <w:pPr>
              <w:pStyle w:val="Els-body-text"/>
              <w:spacing w:line="264" w:lineRule="auto"/>
              <w:jc w:val="center"/>
              <w:rPr>
                <w:lang w:val="en-GB"/>
              </w:rPr>
            </w:pPr>
            <w:r w:rsidRPr="00DA7405">
              <w:rPr>
                <w:lang w:val="en-GB"/>
              </w:rPr>
              <w:t>[EMIM][TF2N]</w:t>
            </w:r>
          </w:p>
        </w:tc>
        <w:tc>
          <w:tcPr>
            <w:tcW w:w="1386" w:type="dxa"/>
            <w:vAlign w:val="center"/>
          </w:tcPr>
          <w:p w14:paraId="7B58E9AA" w14:textId="77777777" w:rsidR="00DA7405" w:rsidRPr="00DA7405" w:rsidRDefault="00DA7405" w:rsidP="00C50F24">
            <w:pPr>
              <w:pStyle w:val="Els-body-text"/>
              <w:spacing w:line="264" w:lineRule="auto"/>
              <w:jc w:val="center"/>
              <w:rPr>
                <w:lang w:val="en-GB"/>
              </w:rPr>
            </w:pPr>
            <w:r w:rsidRPr="00DA7405">
              <w:rPr>
                <w:lang w:val="en-GB"/>
              </w:rPr>
              <w:t>1.24</w:t>
            </w:r>
          </w:p>
        </w:tc>
        <w:tc>
          <w:tcPr>
            <w:tcW w:w="1389" w:type="dxa"/>
            <w:vAlign w:val="center"/>
          </w:tcPr>
          <w:p w14:paraId="1D090A6F" w14:textId="77777777" w:rsidR="00DA7405" w:rsidRPr="00DA7405" w:rsidRDefault="00DA7405" w:rsidP="00C50F24">
            <w:pPr>
              <w:pStyle w:val="Els-body-text"/>
              <w:spacing w:line="264" w:lineRule="auto"/>
              <w:jc w:val="center"/>
              <w:rPr>
                <w:lang w:val="en-GB"/>
              </w:rPr>
            </w:pPr>
            <w:r w:rsidRPr="00DA7405">
              <w:rPr>
                <w:lang w:val="en-GB"/>
              </w:rPr>
              <w:t>1.32</w:t>
            </w:r>
          </w:p>
        </w:tc>
        <w:tc>
          <w:tcPr>
            <w:tcW w:w="1387" w:type="dxa"/>
            <w:vAlign w:val="center"/>
          </w:tcPr>
          <w:p w14:paraId="7EE1F88C" w14:textId="77777777" w:rsidR="00DA7405" w:rsidRPr="00DA7405" w:rsidRDefault="00DA7405" w:rsidP="00C50F24">
            <w:pPr>
              <w:pStyle w:val="Els-body-text"/>
              <w:spacing w:line="264" w:lineRule="auto"/>
              <w:jc w:val="center"/>
              <w:rPr>
                <w:lang w:val="en-GB"/>
              </w:rPr>
            </w:pPr>
            <w:r w:rsidRPr="00DA7405">
              <w:rPr>
                <w:lang w:val="en-GB"/>
              </w:rPr>
              <w:t>1.43</w:t>
            </w:r>
          </w:p>
        </w:tc>
        <w:tc>
          <w:tcPr>
            <w:tcW w:w="1388" w:type="dxa"/>
            <w:vAlign w:val="center"/>
          </w:tcPr>
          <w:p w14:paraId="3E0903DA" w14:textId="77777777" w:rsidR="00DA7405" w:rsidRPr="00DA7405" w:rsidRDefault="00DA7405" w:rsidP="00C50F24">
            <w:pPr>
              <w:pStyle w:val="Els-body-text"/>
              <w:spacing w:line="264" w:lineRule="auto"/>
              <w:jc w:val="center"/>
              <w:rPr>
                <w:lang w:val="en-GB"/>
              </w:rPr>
            </w:pPr>
            <w:r w:rsidRPr="00DA7405">
              <w:rPr>
                <w:lang w:val="en-GB"/>
              </w:rPr>
              <w:t>0.38</w:t>
            </w:r>
          </w:p>
        </w:tc>
      </w:tr>
      <w:tr w:rsidR="00DA7405" w14:paraId="39F11100" w14:textId="77777777" w:rsidTr="00C50F24">
        <w:trPr>
          <w:trHeight w:val="20"/>
        </w:trPr>
        <w:tc>
          <w:tcPr>
            <w:tcW w:w="1527" w:type="dxa"/>
            <w:vAlign w:val="center"/>
          </w:tcPr>
          <w:p w14:paraId="55215CA1" w14:textId="77777777" w:rsidR="00DA7405" w:rsidRPr="00DA7405" w:rsidRDefault="00DA7405" w:rsidP="00C50F24">
            <w:pPr>
              <w:pStyle w:val="Els-body-text"/>
              <w:spacing w:line="264" w:lineRule="auto"/>
              <w:jc w:val="center"/>
              <w:rPr>
                <w:lang w:val="en-GB"/>
              </w:rPr>
            </w:pPr>
            <w:r w:rsidRPr="00DA7405">
              <w:rPr>
                <w:lang w:val="en-GB"/>
              </w:rPr>
              <w:t>[BMIM][SCN]</w:t>
            </w:r>
          </w:p>
        </w:tc>
        <w:tc>
          <w:tcPr>
            <w:tcW w:w="1386" w:type="dxa"/>
            <w:vAlign w:val="center"/>
          </w:tcPr>
          <w:p w14:paraId="7BEB81E6" w14:textId="77777777" w:rsidR="00DA7405" w:rsidRPr="00DA7405" w:rsidRDefault="00DA7405" w:rsidP="00C50F24">
            <w:pPr>
              <w:pStyle w:val="Els-body-text"/>
              <w:spacing w:line="264" w:lineRule="auto"/>
              <w:jc w:val="center"/>
              <w:rPr>
                <w:lang w:val="en-GB"/>
              </w:rPr>
            </w:pPr>
            <w:r w:rsidRPr="00DA7405">
              <w:rPr>
                <w:lang w:val="en-GB"/>
              </w:rPr>
              <w:t>2.38</w:t>
            </w:r>
          </w:p>
        </w:tc>
        <w:tc>
          <w:tcPr>
            <w:tcW w:w="1389" w:type="dxa"/>
            <w:vAlign w:val="center"/>
          </w:tcPr>
          <w:p w14:paraId="14E34699" w14:textId="77777777" w:rsidR="00DA7405" w:rsidRPr="00DA7405" w:rsidRDefault="00DA7405" w:rsidP="00C50F24">
            <w:pPr>
              <w:pStyle w:val="Els-body-text"/>
              <w:spacing w:line="264" w:lineRule="auto"/>
              <w:jc w:val="center"/>
              <w:rPr>
                <w:lang w:val="en-GB"/>
              </w:rPr>
            </w:pPr>
            <w:r w:rsidRPr="00DA7405">
              <w:rPr>
                <w:lang w:val="en-GB"/>
              </w:rPr>
              <w:t>50</w:t>
            </w:r>
          </w:p>
        </w:tc>
        <w:tc>
          <w:tcPr>
            <w:tcW w:w="1387" w:type="dxa"/>
            <w:vAlign w:val="center"/>
          </w:tcPr>
          <w:p w14:paraId="6E1820BD" w14:textId="77777777" w:rsidR="00DA7405" w:rsidRPr="00DA7405" w:rsidRDefault="00DA7405" w:rsidP="00C50F24">
            <w:pPr>
              <w:pStyle w:val="Els-body-text"/>
              <w:spacing w:line="264" w:lineRule="auto"/>
              <w:jc w:val="center"/>
              <w:rPr>
                <w:lang w:val="en-GB"/>
              </w:rPr>
            </w:pPr>
            <w:r w:rsidRPr="00DA7405">
              <w:rPr>
                <w:lang w:val="en-GB"/>
              </w:rPr>
              <w:t>3.26</w:t>
            </w:r>
          </w:p>
        </w:tc>
        <w:tc>
          <w:tcPr>
            <w:tcW w:w="1388" w:type="dxa"/>
            <w:vAlign w:val="center"/>
          </w:tcPr>
          <w:p w14:paraId="2EACE59A" w14:textId="77777777" w:rsidR="00DA7405" w:rsidRPr="00DA7405" w:rsidRDefault="00DA7405" w:rsidP="00C50F24">
            <w:pPr>
              <w:pStyle w:val="Els-body-text"/>
              <w:spacing w:line="264" w:lineRule="auto"/>
              <w:jc w:val="center"/>
              <w:rPr>
                <w:lang w:val="en-GB"/>
              </w:rPr>
            </w:pPr>
            <w:r w:rsidRPr="00DA7405">
              <w:rPr>
                <w:lang w:val="en-GB"/>
              </w:rPr>
              <w:t>39</w:t>
            </w:r>
          </w:p>
        </w:tc>
      </w:tr>
      <w:tr w:rsidR="00DA7405" w14:paraId="6277F78C" w14:textId="77777777" w:rsidTr="00C50F24">
        <w:trPr>
          <w:trHeight w:val="20"/>
        </w:trPr>
        <w:tc>
          <w:tcPr>
            <w:tcW w:w="1527" w:type="dxa"/>
            <w:vAlign w:val="center"/>
          </w:tcPr>
          <w:p w14:paraId="7025EE7C" w14:textId="77777777" w:rsidR="00DA7405" w:rsidRPr="00DA7405" w:rsidRDefault="00DA7405" w:rsidP="00C50F24">
            <w:pPr>
              <w:pStyle w:val="Els-body-text"/>
              <w:spacing w:line="264" w:lineRule="auto"/>
              <w:jc w:val="center"/>
              <w:rPr>
                <w:lang w:val="en-GB"/>
              </w:rPr>
            </w:pPr>
            <w:r w:rsidRPr="00DA7405">
              <w:rPr>
                <w:lang w:val="en-GB"/>
              </w:rPr>
              <w:t>[BMIM][DCA]</w:t>
            </w:r>
          </w:p>
        </w:tc>
        <w:tc>
          <w:tcPr>
            <w:tcW w:w="1386" w:type="dxa"/>
            <w:vAlign w:val="center"/>
          </w:tcPr>
          <w:p w14:paraId="7A3B01CE" w14:textId="77777777" w:rsidR="00DA7405" w:rsidRPr="00DA7405" w:rsidRDefault="00DA7405" w:rsidP="00C50F24">
            <w:pPr>
              <w:pStyle w:val="Els-body-text"/>
              <w:spacing w:line="264" w:lineRule="auto"/>
              <w:jc w:val="center"/>
              <w:rPr>
                <w:lang w:val="en-GB"/>
              </w:rPr>
            </w:pPr>
            <w:r w:rsidRPr="00DA7405">
              <w:rPr>
                <w:lang w:val="en-GB"/>
              </w:rPr>
              <w:t>2.37</w:t>
            </w:r>
          </w:p>
        </w:tc>
        <w:tc>
          <w:tcPr>
            <w:tcW w:w="1389" w:type="dxa"/>
            <w:vAlign w:val="center"/>
          </w:tcPr>
          <w:p w14:paraId="44C1384B" w14:textId="77777777" w:rsidR="00DA7405" w:rsidRPr="00DA7405" w:rsidRDefault="00DA7405" w:rsidP="00C50F24">
            <w:pPr>
              <w:pStyle w:val="Els-body-text"/>
              <w:spacing w:line="264" w:lineRule="auto"/>
              <w:jc w:val="center"/>
              <w:rPr>
                <w:lang w:val="en-GB"/>
              </w:rPr>
            </w:pPr>
            <w:r w:rsidRPr="00DA7405">
              <w:rPr>
                <w:lang w:val="en-GB"/>
              </w:rPr>
              <w:t>9.11</w:t>
            </w:r>
          </w:p>
        </w:tc>
        <w:tc>
          <w:tcPr>
            <w:tcW w:w="1387" w:type="dxa"/>
            <w:vAlign w:val="center"/>
          </w:tcPr>
          <w:p w14:paraId="439963D9" w14:textId="77777777" w:rsidR="00DA7405" w:rsidRPr="00DA7405" w:rsidRDefault="00DA7405" w:rsidP="00C50F24">
            <w:pPr>
              <w:pStyle w:val="Els-body-text"/>
              <w:spacing w:line="264" w:lineRule="auto"/>
              <w:jc w:val="center"/>
              <w:rPr>
                <w:lang w:val="en-GB"/>
              </w:rPr>
            </w:pPr>
            <w:r w:rsidRPr="00DA7405">
              <w:rPr>
                <w:lang w:val="en-GB"/>
              </w:rPr>
              <w:t>2.49</w:t>
            </w:r>
          </w:p>
        </w:tc>
        <w:tc>
          <w:tcPr>
            <w:tcW w:w="1388" w:type="dxa"/>
            <w:vAlign w:val="center"/>
          </w:tcPr>
          <w:p w14:paraId="6E98440F" w14:textId="77777777" w:rsidR="00DA7405" w:rsidRPr="00DA7405" w:rsidRDefault="00DA7405" w:rsidP="00C50F24">
            <w:pPr>
              <w:pStyle w:val="Els-body-text"/>
              <w:spacing w:line="264" w:lineRule="auto"/>
              <w:jc w:val="center"/>
              <w:rPr>
                <w:lang w:val="en-GB"/>
              </w:rPr>
            </w:pPr>
            <w:r w:rsidRPr="00DA7405">
              <w:rPr>
                <w:lang w:val="en-GB"/>
              </w:rPr>
              <w:t>12.97</w:t>
            </w:r>
          </w:p>
        </w:tc>
      </w:tr>
      <w:tr w:rsidR="00DA7405" w14:paraId="31E1CE7E" w14:textId="77777777" w:rsidTr="00C50F24">
        <w:trPr>
          <w:trHeight w:val="20"/>
        </w:trPr>
        <w:tc>
          <w:tcPr>
            <w:tcW w:w="1527" w:type="dxa"/>
            <w:vAlign w:val="center"/>
          </w:tcPr>
          <w:p w14:paraId="2F6098B1" w14:textId="77777777" w:rsidR="00DA7405" w:rsidRPr="00DA7405" w:rsidRDefault="00DA7405" w:rsidP="00C50F24">
            <w:pPr>
              <w:pStyle w:val="Els-body-text"/>
              <w:spacing w:line="264" w:lineRule="auto"/>
              <w:jc w:val="center"/>
              <w:rPr>
                <w:lang w:val="en-GB"/>
              </w:rPr>
            </w:pPr>
            <w:r w:rsidRPr="00DA7405">
              <w:rPr>
                <w:lang w:val="en-GB"/>
              </w:rPr>
              <w:t>[BMIM][BF4]</w:t>
            </w:r>
          </w:p>
        </w:tc>
        <w:tc>
          <w:tcPr>
            <w:tcW w:w="1386" w:type="dxa"/>
            <w:vAlign w:val="center"/>
          </w:tcPr>
          <w:p w14:paraId="27CE882F" w14:textId="77777777" w:rsidR="00DA7405" w:rsidRPr="00DA7405" w:rsidRDefault="00DA7405" w:rsidP="00C50F24">
            <w:pPr>
              <w:pStyle w:val="Els-body-text"/>
              <w:spacing w:line="264" w:lineRule="auto"/>
              <w:jc w:val="center"/>
              <w:rPr>
                <w:lang w:val="en-GB"/>
              </w:rPr>
            </w:pPr>
            <w:r w:rsidRPr="00DA7405">
              <w:rPr>
                <w:lang w:val="en-GB"/>
              </w:rPr>
              <w:t>1.39</w:t>
            </w:r>
          </w:p>
        </w:tc>
        <w:tc>
          <w:tcPr>
            <w:tcW w:w="1389" w:type="dxa"/>
            <w:vAlign w:val="center"/>
          </w:tcPr>
          <w:p w14:paraId="394B2A4C" w14:textId="77777777" w:rsidR="00DA7405" w:rsidRPr="00DA7405" w:rsidRDefault="00DA7405" w:rsidP="00C50F24">
            <w:pPr>
              <w:pStyle w:val="Els-body-text"/>
              <w:spacing w:line="264" w:lineRule="auto"/>
              <w:jc w:val="center"/>
              <w:rPr>
                <w:lang w:val="en-GB"/>
              </w:rPr>
            </w:pPr>
            <w:r w:rsidRPr="00DA7405">
              <w:rPr>
                <w:lang w:val="en-GB"/>
              </w:rPr>
              <w:t>6.25</w:t>
            </w:r>
          </w:p>
        </w:tc>
        <w:tc>
          <w:tcPr>
            <w:tcW w:w="1387" w:type="dxa"/>
            <w:vAlign w:val="center"/>
          </w:tcPr>
          <w:p w14:paraId="13A27A6E" w14:textId="77777777" w:rsidR="00DA7405" w:rsidRPr="00DA7405" w:rsidRDefault="00DA7405" w:rsidP="00C50F24">
            <w:pPr>
              <w:pStyle w:val="Els-body-text"/>
              <w:spacing w:line="264" w:lineRule="auto"/>
              <w:jc w:val="center"/>
              <w:rPr>
                <w:lang w:val="en-GB"/>
              </w:rPr>
            </w:pPr>
            <w:r w:rsidRPr="00DA7405">
              <w:rPr>
                <w:lang w:val="en-GB"/>
              </w:rPr>
              <w:t>1.57</w:t>
            </w:r>
          </w:p>
        </w:tc>
        <w:tc>
          <w:tcPr>
            <w:tcW w:w="1388" w:type="dxa"/>
            <w:vAlign w:val="center"/>
          </w:tcPr>
          <w:p w14:paraId="5B3F991D" w14:textId="77777777" w:rsidR="00DA7405" w:rsidRPr="00DA7405" w:rsidRDefault="00DA7405" w:rsidP="00C50F24">
            <w:pPr>
              <w:pStyle w:val="Els-body-text"/>
              <w:spacing w:line="264" w:lineRule="auto"/>
              <w:jc w:val="center"/>
              <w:rPr>
                <w:lang w:val="en-GB"/>
              </w:rPr>
            </w:pPr>
            <w:r w:rsidRPr="00DA7405">
              <w:rPr>
                <w:lang w:val="en-GB"/>
              </w:rPr>
              <w:t>4.22</w:t>
            </w:r>
          </w:p>
        </w:tc>
      </w:tr>
      <w:tr w:rsidR="00DA7405" w14:paraId="3E70CF4B" w14:textId="77777777" w:rsidTr="00C50F24">
        <w:trPr>
          <w:trHeight w:val="20"/>
        </w:trPr>
        <w:tc>
          <w:tcPr>
            <w:tcW w:w="1527" w:type="dxa"/>
            <w:vAlign w:val="center"/>
          </w:tcPr>
          <w:p w14:paraId="3EBB9343" w14:textId="77777777" w:rsidR="00DA7405" w:rsidRPr="00DA7405" w:rsidRDefault="00DA7405" w:rsidP="00C50F24">
            <w:pPr>
              <w:pStyle w:val="Els-body-text"/>
              <w:spacing w:line="264" w:lineRule="auto"/>
              <w:jc w:val="center"/>
              <w:rPr>
                <w:lang w:val="en-GB"/>
              </w:rPr>
            </w:pPr>
            <w:r w:rsidRPr="00DA7405">
              <w:rPr>
                <w:lang w:val="en-GB"/>
              </w:rPr>
              <w:t>[HMIM][BF4]</w:t>
            </w:r>
          </w:p>
        </w:tc>
        <w:tc>
          <w:tcPr>
            <w:tcW w:w="1386" w:type="dxa"/>
            <w:vAlign w:val="center"/>
          </w:tcPr>
          <w:p w14:paraId="3D0D42DD" w14:textId="77777777" w:rsidR="00DA7405" w:rsidRPr="00DA7405" w:rsidRDefault="00DA7405" w:rsidP="00C50F24">
            <w:pPr>
              <w:pStyle w:val="Els-body-text"/>
              <w:spacing w:line="264" w:lineRule="auto"/>
              <w:jc w:val="center"/>
              <w:rPr>
                <w:lang w:val="en-GB"/>
              </w:rPr>
            </w:pPr>
            <w:r w:rsidRPr="00DA7405">
              <w:rPr>
                <w:lang w:val="en-GB"/>
              </w:rPr>
              <w:t>1.45</w:t>
            </w:r>
          </w:p>
        </w:tc>
        <w:tc>
          <w:tcPr>
            <w:tcW w:w="1389" w:type="dxa"/>
            <w:vAlign w:val="center"/>
          </w:tcPr>
          <w:p w14:paraId="40CAE3BD" w14:textId="77777777" w:rsidR="00DA7405" w:rsidRPr="00DA7405" w:rsidRDefault="00DA7405" w:rsidP="00C50F24">
            <w:pPr>
              <w:pStyle w:val="Els-body-text"/>
              <w:spacing w:line="264" w:lineRule="auto"/>
              <w:jc w:val="center"/>
              <w:rPr>
                <w:lang w:val="en-GB"/>
              </w:rPr>
            </w:pPr>
            <w:r w:rsidRPr="00DA7405">
              <w:rPr>
                <w:lang w:val="en-GB"/>
              </w:rPr>
              <w:t>3.23</w:t>
            </w:r>
          </w:p>
        </w:tc>
        <w:tc>
          <w:tcPr>
            <w:tcW w:w="1387" w:type="dxa"/>
            <w:vAlign w:val="center"/>
          </w:tcPr>
          <w:p w14:paraId="428FA021" w14:textId="77777777" w:rsidR="00DA7405" w:rsidRPr="00DA7405" w:rsidRDefault="00DA7405" w:rsidP="00C50F24">
            <w:pPr>
              <w:pStyle w:val="Els-body-text"/>
              <w:spacing w:line="264" w:lineRule="auto"/>
              <w:jc w:val="center"/>
              <w:rPr>
                <w:lang w:val="en-GB"/>
              </w:rPr>
            </w:pPr>
            <w:r w:rsidRPr="00DA7405">
              <w:rPr>
                <w:lang w:val="en-GB"/>
              </w:rPr>
              <w:t>1.27</w:t>
            </w:r>
          </w:p>
        </w:tc>
        <w:tc>
          <w:tcPr>
            <w:tcW w:w="1388" w:type="dxa"/>
            <w:vAlign w:val="center"/>
          </w:tcPr>
          <w:p w14:paraId="1AFEDCFE" w14:textId="77777777" w:rsidR="00DA7405" w:rsidRPr="00DA7405" w:rsidRDefault="00DA7405" w:rsidP="00C50F24">
            <w:pPr>
              <w:pStyle w:val="Els-body-text"/>
              <w:spacing w:line="264" w:lineRule="auto"/>
              <w:jc w:val="center"/>
              <w:rPr>
                <w:lang w:val="en-GB"/>
              </w:rPr>
            </w:pPr>
            <w:r w:rsidRPr="00DA7405">
              <w:rPr>
                <w:lang w:val="en-GB"/>
              </w:rPr>
              <w:t>5.26</w:t>
            </w:r>
          </w:p>
        </w:tc>
      </w:tr>
      <w:tr w:rsidR="00DA7405" w14:paraId="0B803307" w14:textId="77777777" w:rsidTr="00C50F24">
        <w:trPr>
          <w:trHeight w:val="20"/>
        </w:trPr>
        <w:tc>
          <w:tcPr>
            <w:tcW w:w="1527" w:type="dxa"/>
            <w:vAlign w:val="center"/>
          </w:tcPr>
          <w:p w14:paraId="08CD53FB" w14:textId="77777777" w:rsidR="00DA7405" w:rsidRPr="00DA7405" w:rsidRDefault="00DA7405" w:rsidP="00C50F24">
            <w:pPr>
              <w:pStyle w:val="Els-body-text"/>
              <w:spacing w:line="264" w:lineRule="auto"/>
              <w:jc w:val="center"/>
              <w:rPr>
                <w:lang w:val="en-GB"/>
              </w:rPr>
            </w:pPr>
            <w:r w:rsidRPr="00DA7405">
              <w:rPr>
                <w:lang w:val="en-GB"/>
              </w:rPr>
              <w:lastRenderedPageBreak/>
              <w:t>[HMIM][OTF]</w:t>
            </w:r>
          </w:p>
        </w:tc>
        <w:tc>
          <w:tcPr>
            <w:tcW w:w="1386" w:type="dxa"/>
            <w:vAlign w:val="center"/>
          </w:tcPr>
          <w:p w14:paraId="481B6E98" w14:textId="77777777" w:rsidR="00DA7405" w:rsidRPr="00DA7405" w:rsidRDefault="00DA7405" w:rsidP="00C50F24">
            <w:pPr>
              <w:pStyle w:val="Els-body-text"/>
              <w:spacing w:line="264" w:lineRule="auto"/>
              <w:jc w:val="center"/>
              <w:rPr>
                <w:lang w:val="en-GB"/>
              </w:rPr>
            </w:pPr>
            <w:r w:rsidRPr="00DA7405">
              <w:rPr>
                <w:lang w:val="en-GB"/>
              </w:rPr>
              <w:t>1.60</w:t>
            </w:r>
          </w:p>
        </w:tc>
        <w:tc>
          <w:tcPr>
            <w:tcW w:w="1389" w:type="dxa"/>
            <w:vAlign w:val="center"/>
          </w:tcPr>
          <w:p w14:paraId="5F6E8FB7" w14:textId="77777777" w:rsidR="00DA7405" w:rsidRPr="00DA7405" w:rsidRDefault="00DA7405" w:rsidP="00C50F24">
            <w:pPr>
              <w:pStyle w:val="Els-body-text"/>
              <w:spacing w:line="264" w:lineRule="auto"/>
              <w:jc w:val="center"/>
              <w:rPr>
                <w:lang w:val="en-GB"/>
              </w:rPr>
            </w:pPr>
            <w:r w:rsidRPr="00DA7405">
              <w:rPr>
                <w:lang w:val="en-GB"/>
              </w:rPr>
              <w:t>2.45</w:t>
            </w:r>
          </w:p>
        </w:tc>
        <w:tc>
          <w:tcPr>
            <w:tcW w:w="1387" w:type="dxa"/>
            <w:vAlign w:val="center"/>
          </w:tcPr>
          <w:p w14:paraId="2F8C38CC" w14:textId="77777777" w:rsidR="00DA7405" w:rsidRPr="00DA7405" w:rsidRDefault="00DA7405" w:rsidP="00C50F24">
            <w:pPr>
              <w:pStyle w:val="Els-body-text"/>
              <w:spacing w:line="264" w:lineRule="auto"/>
              <w:jc w:val="center"/>
              <w:rPr>
                <w:lang w:val="en-GB"/>
              </w:rPr>
            </w:pPr>
            <w:r w:rsidRPr="00DA7405">
              <w:rPr>
                <w:lang w:val="en-GB"/>
              </w:rPr>
              <w:t>1.38</w:t>
            </w:r>
          </w:p>
        </w:tc>
        <w:tc>
          <w:tcPr>
            <w:tcW w:w="1388" w:type="dxa"/>
            <w:vAlign w:val="center"/>
          </w:tcPr>
          <w:p w14:paraId="316BB15E" w14:textId="77777777" w:rsidR="00DA7405" w:rsidRPr="00DA7405" w:rsidRDefault="00DA7405" w:rsidP="00C50F24">
            <w:pPr>
              <w:pStyle w:val="Els-body-text"/>
              <w:spacing w:line="264" w:lineRule="auto"/>
              <w:jc w:val="center"/>
              <w:rPr>
                <w:lang w:val="en-GB"/>
              </w:rPr>
            </w:pPr>
            <w:r w:rsidRPr="00DA7405">
              <w:rPr>
                <w:lang w:val="en-GB"/>
              </w:rPr>
              <w:t>4.06</w:t>
            </w:r>
          </w:p>
        </w:tc>
      </w:tr>
      <w:tr w:rsidR="00DA7405" w14:paraId="568FB869" w14:textId="77777777" w:rsidTr="00C50F24">
        <w:trPr>
          <w:trHeight w:val="20"/>
        </w:trPr>
        <w:tc>
          <w:tcPr>
            <w:tcW w:w="1527" w:type="dxa"/>
            <w:vAlign w:val="center"/>
          </w:tcPr>
          <w:p w14:paraId="503238C8" w14:textId="77777777" w:rsidR="00DA7405" w:rsidRPr="00DA7405" w:rsidRDefault="00DA7405" w:rsidP="00C50F24">
            <w:pPr>
              <w:pStyle w:val="Els-body-text"/>
              <w:spacing w:line="264" w:lineRule="auto"/>
              <w:jc w:val="center"/>
              <w:rPr>
                <w:lang w:val="en-GB"/>
              </w:rPr>
            </w:pPr>
            <w:r w:rsidRPr="00DA7405">
              <w:rPr>
                <w:lang w:val="en-GB"/>
              </w:rPr>
              <w:t>[HMIM][TF2N]</w:t>
            </w:r>
          </w:p>
        </w:tc>
        <w:tc>
          <w:tcPr>
            <w:tcW w:w="1386" w:type="dxa"/>
            <w:vAlign w:val="center"/>
          </w:tcPr>
          <w:p w14:paraId="31B93510" w14:textId="77777777" w:rsidR="00DA7405" w:rsidRPr="00DA7405" w:rsidRDefault="00DA7405" w:rsidP="00C50F24">
            <w:pPr>
              <w:pStyle w:val="Els-body-text"/>
              <w:spacing w:line="264" w:lineRule="auto"/>
              <w:jc w:val="center"/>
              <w:rPr>
                <w:lang w:val="en-GB"/>
              </w:rPr>
            </w:pPr>
            <w:r w:rsidRPr="00DA7405">
              <w:rPr>
                <w:lang w:val="en-GB"/>
              </w:rPr>
              <w:t>1.03</w:t>
            </w:r>
          </w:p>
        </w:tc>
        <w:tc>
          <w:tcPr>
            <w:tcW w:w="1389" w:type="dxa"/>
            <w:vAlign w:val="center"/>
          </w:tcPr>
          <w:p w14:paraId="29356993" w14:textId="77777777" w:rsidR="00DA7405" w:rsidRPr="00DA7405" w:rsidRDefault="00DA7405" w:rsidP="00C50F24">
            <w:pPr>
              <w:pStyle w:val="Els-body-text"/>
              <w:spacing w:line="264" w:lineRule="auto"/>
              <w:jc w:val="center"/>
              <w:rPr>
                <w:lang w:val="en-GB"/>
              </w:rPr>
            </w:pPr>
            <w:r w:rsidRPr="00DA7405">
              <w:rPr>
                <w:lang w:val="en-GB"/>
              </w:rPr>
              <w:t>1.52</w:t>
            </w:r>
          </w:p>
        </w:tc>
        <w:tc>
          <w:tcPr>
            <w:tcW w:w="1387" w:type="dxa"/>
            <w:vAlign w:val="center"/>
          </w:tcPr>
          <w:p w14:paraId="0120002D" w14:textId="77777777" w:rsidR="00DA7405" w:rsidRPr="00DA7405" w:rsidRDefault="00DA7405" w:rsidP="00C50F24">
            <w:pPr>
              <w:pStyle w:val="Els-body-text"/>
              <w:spacing w:line="264" w:lineRule="auto"/>
              <w:jc w:val="center"/>
              <w:rPr>
                <w:lang w:val="en-GB"/>
              </w:rPr>
            </w:pPr>
            <w:r w:rsidRPr="00DA7405">
              <w:rPr>
                <w:lang w:val="en-GB"/>
              </w:rPr>
              <w:t>0.83</w:t>
            </w:r>
          </w:p>
        </w:tc>
        <w:tc>
          <w:tcPr>
            <w:tcW w:w="1388" w:type="dxa"/>
            <w:vAlign w:val="center"/>
          </w:tcPr>
          <w:p w14:paraId="43B374AC" w14:textId="77777777" w:rsidR="00DA7405" w:rsidRPr="00DA7405" w:rsidRDefault="00DA7405" w:rsidP="00C50F24">
            <w:pPr>
              <w:pStyle w:val="Els-body-text"/>
              <w:spacing w:line="264" w:lineRule="auto"/>
              <w:jc w:val="center"/>
              <w:rPr>
                <w:lang w:val="en-GB"/>
              </w:rPr>
            </w:pPr>
            <w:r w:rsidRPr="00DA7405">
              <w:rPr>
                <w:lang w:val="en-GB"/>
              </w:rPr>
              <w:t>2.46</w:t>
            </w:r>
          </w:p>
        </w:tc>
      </w:tr>
      <w:tr w:rsidR="00DA7405" w14:paraId="65BA487A" w14:textId="77777777" w:rsidTr="00C50F24">
        <w:trPr>
          <w:trHeight w:val="20"/>
        </w:trPr>
        <w:tc>
          <w:tcPr>
            <w:tcW w:w="1527" w:type="dxa"/>
            <w:tcBorders>
              <w:bottom w:val="single" w:sz="4" w:space="0" w:color="auto"/>
            </w:tcBorders>
            <w:vAlign w:val="center"/>
          </w:tcPr>
          <w:p w14:paraId="62A275D9" w14:textId="77777777" w:rsidR="00DA7405" w:rsidRPr="00DA7405" w:rsidRDefault="00DA7405" w:rsidP="00C50F24">
            <w:pPr>
              <w:pStyle w:val="Els-body-text"/>
              <w:spacing w:line="264" w:lineRule="auto"/>
              <w:jc w:val="center"/>
              <w:rPr>
                <w:lang w:val="en-GB"/>
              </w:rPr>
            </w:pPr>
            <w:r w:rsidRPr="00DA7405">
              <w:rPr>
                <w:lang w:val="en-GB"/>
              </w:rPr>
              <w:t>[HMIM][FAP]</w:t>
            </w:r>
          </w:p>
        </w:tc>
        <w:tc>
          <w:tcPr>
            <w:tcW w:w="1386" w:type="dxa"/>
            <w:tcBorders>
              <w:bottom w:val="single" w:sz="4" w:space="0" w:color="auto"/>
            </w:tcBorders>
            <w:vAlign w:val="center"/>
          </w:tcPr>
          <w:p w14:paraId="0D9000A5" w14:textId="77777777" w:rsidR="00DA7405" w:rsidRPr="00DA7405" w:rsidRDefault="00DA7405" w:rsidP="00C50F24">
            <w:pPr>
              <w:pStyle w:val="Els-body-text"/>
              <w:spacing w:line="264" w:lineRule="auto"/>
              <w:jc w:val="center"/>
              <w:rPr>
                <w:lang w:val="en-GB"/>
              </w:rPr>
            </w:pPr>
            <w:r w:rsidRPr="00DA7405">
              <w:rPr>
                <w:lang w:val="en-GB"/>
              </w:rPr>
              <w:t>0.75</w:t>
            </w:r>
          </w:p>
        </w:tc>
        <w:tc>
          <w:tcPr>
            <w:tcW w:w="1389" w:type="dxa"/>
            <w:tcBorders>
              <w:bottom w:val="single" w:sz="4" w:space="0" w:color="auto"/>
            </w:tcBorders>
            <w:vAlign w:val="center"/>
          </w:tcPr>
          <w:p w14:paraId="68756240" w14:textId="77777777" w:rsidR="00DA7405" w:rsidRPr="00DA7405" w:rsidRDefault="00DA7405" w:rsidP="00C50F24">
            <w:pPr>
              <w:pStyle w:val="Els-body-text"/>
              <w:spacing w:line="264" w:lineRule="auto"/>
              <w:jc w:val="center"/>
              <w:rPr>
                <w:lang w:val="en-GB"/>
              </w:rPr>
            </w:pPr>
            <w:r w:rsidRPr="00DA7405">
              <w:rPr>
                <w:lang w:val="en-GB"/>
              </w:rPr>
              <w:t>1.32</w:t>
            </w:r>
          </w:p>
        </w:tc>
        <w:tc>
          <w:tcPr>
            <w:tcW w:w="1387" w:type="dxa"/>
            <w:tcBorders>
              <w:bottom w:val="single" w:sz="4" w:space="0" w:color="auto"/>
            </w:tcBorders>
            <w:vAlign w:val="center"/>
          </w:tcPr>
          <w:p w14:paraId="7A4726CF" w14:textId="77777777" w:rsidR="00DA7405" w:rsidRPr="00DA7405" w:rsidRDefault="00DA7405" w:rsidP="00C50F24">
            <w:pPr>
              <w:pStyle w:val="Els-body-text"/>
              <w:spacing w:line="264" w:lineRule="auto"/>
              <w:jc w:val="center"/>
              <w:rPr>
                <w:lang w:val="en-GB"/>
              </w:rPr>
            </w:pPr>
            <w:r w:rsidRPr="00DA7405">
              <w:rPr>
                <w:lang w:val="en-GB"/>
              </w:rPr>
              <w:t>0.75</w:t>
            </w:r>
          </w:p>
        </w:tc>
        <w:tc>
          <w:tcPr>
            <w:tcW w:w="1388" w:type="dxa"/>
            <w:tcBorders>
              <w:bottom w:val="single" w:sz="4" w:space="0" w:color="auto"/>
            </w:tcBorders>
            <w:vAlign w:val="center"/>
          </w:tcPr>
          <w:p w14:paraId="16A8D32E" w14:textId="77777777" w:rsidR="00DA7405" w:rsidRPr="00DA7405" w:rsidRDefault="00DA7405" w:rsidP="00C50F24">
            <w:pPr>
              <w:pStyle w:val="Els-body-text"/>
              <w:spacing w:line="264" w:lineRule="auto"/>
              <w:jc w:val="center"/>
              <w:rPr>
                <w:lang w:val="en-GB"/>
              </w:rPr>
            </w:pPr>
            <w:r w:rsidRPr="00DA7405">
              <w:rPr>
                <w:lang w:val="en-GB"/>
              </w:rPr>
              <w:t>1.32</w:t>
            </w:r>
          </w:p>
        </w:tc>
      </w:tr>
    </w:tbl>
    <w:p w14:paraId="70EECCA6" w14:textId="77777777" w:rsidR="000A77C0" w:rsidRPr="00A00FF1" w:rsidRDefault="000A77C0" w:rsidP="000A77C0">
      <w:pPr>
        <w:pStyle w:val="Els-1storder-head"/>
        <w:spacing w:after="120"/>
        <w:rPr>
          <w:lang w:val="en-GB"/>
        </w:rPr>
      </w:pPr>
      <w:r w:rsidRPr="00A00FF1">
        <w:rPr>
          <w:lang w:val="en-GB"/>
        </w:rPr>
        <w:t>Conclusions</w:t>
      </w:r>
    </w:p>
    <w:p w14:paraId="142E00EE" w14:textId="30ABB9AC" w:rsidR="000A77C0" w:rsidRPr="00A94774" w:rsidRDefault="000A77C0" w:rsidP="000A77C0">
      <w:pPr>
        <w:pStyle w:val="Els-body-text"/>
        <w:spacing w:after="120"/>
        <w:rPr>
          <w:lang w:val="en-GB"/>
        </w:rPr>
      </w:pPr>
      <w:r>
        <w:rPr>
          <w:lang w:val="en-GB"/>
        </w:rPr>
        <w:t xml:space="preserve">We developed a decomposition-based strategy to efficiently solve CAMPD problems focusing on the design of ionic liquid-based solvents for the extractive distillation-based separation of R-410A mixtures. We have developed GC and ML-based models for key IL properties. After generating an initial pool of ILs and subsequently applying property-based constraints, we have identified a set of ILs that show promise for highly selective separation for R-410A with favourable process performance. The simulated process for [EMIM][DCA] shows highly selective separation of both R-32 and R-125, thereby verifying the decomposition-based solution strategy. As a current and future work, we are generating IL-based gas solubility data through the predictive COSMO-sac model to use them as pseudo-measured data to develop GC-based models for a wider application range so that better IL-solvents can be found and to make the applied CAMPD more versatile. Preliminary results have shown sufficient promise to pursue this option.   </w:t>
      </w:r>
    </w:p>
    <w:p w14:paraId="144DE6BF" w14:textId="29D5C383" w:rsidR="008D2649" w:rsidRDefault="008D2649" w:rsidP="008D2649">
      <w:pPr>
        <w:pStyle w:val="Els-reference-head"/>
      </w:pPr>
      <w:r>
        <w:t>References</w:t>
      </w:r>
    </w:p>
    <w:p w14:paraId="1BADDB11" w14:textId="45E23F3E" w:rsidR="00990DA3" w:rsidRDefault="000F64EA" w:rsidP="000A77C0">
      <w:pPr>
        <w:pStyle w:val="Els-referenceno-number"/>
        <w:jc w:val="both"/>
        <w:rPr>
          <w:lang w:val="en-US"/>
        </w:rPr>
      </w:pPr>
      <w:r w:rsidRPr="00990DA3">
        <w:rPr>
          <w:lang w:val="en-US"/>
        </w:rPr>
        <w:t>A. Bardow, K. Steur, J. Gross, 2010, Continuous-Molecular Targeting for Integrated Solvent and Process Design, Industrial &amp; Engineering Chemistry Research, 49, 6, 2834-2840</w:t>
      </w:r>
    </w:p>
    <w:p w14:paraId="269D1A11" w14:textId="0A9C96E7" w:rsidR="00296C08" w:rsidRDefault="00296C08" w:rsidP="000A77C0">
      <w:pPr>
        <w:pStyle w:val="Els-referenceno-number"/>
        <w:jc w:val="both"/>
        <w:rPr>
          <w:lang w:val="en-US"/>
        </w:rPr>
      </w:pPr>
      <w:r>
        <w:rPr>
          <w:lang w:val="en-US"/>
        </w:rPr>
        <w:t xml:space="preserve">J. </w:t>
      </w:r>
      <w:r w:rsidRPr="00B849B7">
        <w:rPr>
          <w:lang w:val="en-US"/>
        </w:rPr>
        <w:t xml:space="preserve">Burger, </w:t>
      </w:r>
      <w:r>
        <w:rPr>
          <w:lang w:val="en-US"/>
        </w:rPr>
        <w:t xml:space="preserve">V. </w:t>
      </w:r>
      <w:r w:rsidRPr="00B849B7">
        <w:rPr>
          <w:lang w:val="en-US"/>
        </w:rPr>
        <w:t xml:space="preserve">Papaioannou, </w:t>
      </w:r>
      <w:r>
        <w:rPr>
          <w:lang w:val="en-US"/>
        </w:rPr>
        <w:t xml:space="preserve">S. </w:t>
      </w:r>
      <w:r w:rsidRPr="00B849B7">
        <w:rPr>
          <w:lang w:val="en-US"/>
        </w:rPr>
        <w:t xml:space="preserve">Gopinath, </w:t>
      </w:r>
      <w:r>
        <w:rPr>
          <w:lang w:val="en-US"/>
        </w:rPr>
        <w:t xml:space="preserve">G. </w:t>
      </w:r>
      <w:r w:rsidRPr="00B849B7">
        <w:rPr>
          <w:lang w:val="en-US"/>
        </w:rPr>
        <w:t xml:space="preserve">Jackson, </w:t>
      </w:r>
      <w:r>
        <w:rPr>
          <w:lang w:val="en-US"/>
        </w:rPr>
        <w:t xml:space="preserve">A. </w:t>
      </w:r>
      <w:r w:rsidRPr="00B849B7">
        <w:rPr>
          <w:lang w:val="en-US"/>
        </w:rPr>
        <w:t xml:space="preserve">Galindo, </w:t>
      </w:r>
      <w:r>
        <w:rPr>
          <w:lang w:val="en-US"/>
        </w:rPr>
        <w:t xml:space="preserve">C. S. </w:t>
      </w:r>
      <w:r w:rsidRPr="00B849B7">
        <w:rPr>
          <w:lang w:val="en-US"/>
        </w:rPr>
        <w:t>Adjiman, 2015</w:t>
      </w:r>
      <w:r>
        <w:rPr>
          <w:lang w:val="en-US"/>
        </w:rPr>
        <w:t>,</w:t>
      </w:r>
      <w:r w:rsidRPr="00B849B7">
        <w:rPr>
          <w:lang w:val="en-US"/>
        </w:rPr>
        <w:t xml:space="preserve"> A hierarchical method to integrated solvent and process design of physical CO</w:t>
      </w:r>
      <w:r w:rsidRPr="00762733">
        <w:rPr>
          <w:vertAlign w:val="subscript"/>
          <w:lang w:val="en-US"/>
        </w:rPr>
        <w:t>2</w:t>
      </w:r>
      <w:r w:rsidRPr="00B849B7">
        <w:rPr>
          <w:lang w:val="en-US"/>
        </w:rPr>
        <w:t xml:space="preserve"> absorption using the SAFT‐γ Mie approach</w:t>
      </w:r>
      <w:r>
        <w:rPr>
          <w:lang w:val="en-US"/>
        </w:rPr>
        <w:t>,</w:t>
      </w:r>
      <w:r w:rsidRPr="00B849B7">
        <w:rPr>
          <w:lang w:val="en-US"/>
        </w:rPr>
        <w:t xml:space="preserve"> AIChE Journal, 61</w:t>
      </w:r>
      <w:r w:rsidR="006E215F">
        <w:rPr>
          <w:lang w:val="en-US"/>
        </w:rPr>
        <w:t>,</w:t>
      </w:r>
      <w:r w:rsidRPr="00B849B7">
        <w:rPr>
          <w:lang w:val="en-US"/>
        </w:rPr>
        <w:t>10, 3249-3269</w:t>
      </w:r>
    </w:p>
    <w:p w14:paraId="3D2F33E4" w14:textId="34BE3BF2" w:rsidR="00990DA3" w:rsidRPr="00990DA3" w:rsidRDefault="000F64EA" w:rsidP="000A77C0">
      <w:pPr>
        <w:pStyle w:val="Els-referenceno-number"/>
        <w:jc w:val="both"/>
        <w:rPr>
          <w:szCs w:val="18"/>
        </w:rPr>
      </w:pPr>
      <w:r w:rsidRPr="00990DA3">
        <w:rPr>
          <w:szCs w:val="18"/>
        </w:rPr>
        <w:t>Y</w:t>
      </w:r>
      <w:r w:rsidR="00AC73C8">
        <w:rPr>
          <w:szCs w:val="18"/>
        </w:rPr>
        <w:t>.</w:t>
      </w:r>
      <w:r w:rsidRPr="00990DA3">
        <w:rPr>
          <w:szCs w:val="18"/>
        </w:rPr>
        <w:t xml:space="preserve"> Chen, E</w:t>
      </w:r>
      <w:r w:rsidR="006E215F">
        <w:rPr>
          <w:szCs w:val="18"/>
        </w:rPr>
        <w:t>.</w:t>
      </w:r>
      <w:r w:rsidRPr="00990DA3">
        <w:rPr>
          <w:szCs w:val="18"/>
        </w:rPr>
        <w:t xml:space="preserve"> Koumaditi, R</w:t>
      </w:r>
      <w:r w:rsidR="006E215F">
        <w:rPr>
          <w:szCs w:val="18"/>
        </w:rPr>
        <w:t>.</w:t>
      </w:r>
      <w:r w:rsidRPr="00990DA3">
        <w:rPr>
          <w:szCs w:val="18"/>
        </w:rPr>
        <w:t xml:space="preserve"> Gani, G</w:t>
      </w:r>
      <w:r w:rsidR="006E215F">
        <w:rPr>
          <w:szCs w:val="18"/>
        </w:rPr>
        <w:t xml:space="preserve">. </w:t>
      </w:r>
      <w:r w:rsidRPr="00990DA3">
        <w:rPr>
          <w:szCs w:val="18"/>
        </w:rPr>
        <w:t>M</w:t>
      </w:r>
      <w:r w:rsidR="006E215F">
        <w:rPr>
          <w:szCs w:val="18"/>
        </w:rPr>
        <w:t>.</w:t>
      </w:r>
      <w:r w:rsidRPr="00990DA3">
        <w:rPr>
          <w:szCs w:val="18"/>
        </w:rPr>
        <w:t xml:space="preserve"> Kontogeorgis, J</w:t>
      </w:r>
      <w:r w:rsidR="006E215F">
        <w:rPr>
          <w:szCs w:val="18"/>
        </w:rPr>
        <w:t xml:space="preserve">. </w:t>
      </w:r>
      <w:r w:rsidRPr="00990DA3">
        <w:rPr>
          <w:szCs w:val="18"/>
        </w:rPr>
        <w:t>M</w:t>
      </w:r>
      <w:r w:rsidR="006E215F">
        <w:rPr>
          <w:szCs w:val="18"/>
        </w:rPr>
        <w:t>.</w:t>
      </w:r>
      <w:r w:rsidRPr="00990DA3">
        <w:rPr>
          <w:szCs w:val="18"/>
        </w:rPr>
        <w:t xml:space="preserve"> Woodley, 2019, </w:t>
      </w:r>
      <w:r w:rsidRPr="00990DA3">
        <w:rPr>
          <w:szCs w:val="18"/>
          <w:shd w:val="clear" w:color="auto" w:fill="FFFFFF"/>
        </w:rPr>
        <w:t xml:space="preserve">Computer-aided design of ionic liquids for hybrid process schemes, </w:t>
      </w:r>
      <w:r w:rsidRPr="00990DA3">
        <w:rPr>
          <w:szCs w:val="18"/>
        </w:rPr>
        <w:t>Computers &amp; Chemical Engineering</w:t>
      </w:r>
      <w:r w:rsidR="00332C17">
        <w:rPr>
          <w:szCs w:val="18"/>
        </w:rPr>
        <w:t>,</w:t>
      </w:r>
      <w:r w:rsidRPr="00990DA3">
        <w:rPr>
          <w:szCs w:val="18"/>
        </w:rPr>
        <w:t xml:space="preserve"> 130, 106556</w:t>
      </w:r>
    </w:p>
    <w:p w14:paraId="0BFF56B4" w14:textId="39221379" w:rsidR="000F64EA" w:rsidRPr="00990DA3" w:rsidRDefault="000F64EA" w:rsidP="000A77C0">
      <w:pPr>
        <w:pStyle w:val="Els-referenceno-number"/>
        <w:jc w:val="both"/>
        <w:rPr>
          <w:lang w:val="en-US"/>
        </w:rPr>
      </w:pPr>
      <w:r w:rsidRPr="00990DA3">
        <w:rPr>
          <w:szCs w:val="18"/>
          <w:lang w:val="en-US"/>
        </w:rPr>
        <w:t>M</w:t>
      </w:r>
      <w:r w:rsidR="006E215F">
        <w:rPr>
          <w:szCs w:val="18"/>
          <w:lang w:val="en-US"/>
        </w:rPr>
        <w:t>.</w:t>
      </w:r>
      <w:r w:rsidRPr="00990DA3">
        <w:rPr>
          <w:szCs w:val="18"/>
          <w:lang w:val="en-US"/>
        </w:rPr>
        <w:t xml:space="preserve"> Hostrup, P</w:t>
      </w:r>
      <w:r w:rsidR="006E215F">
        <w:rPr>
          <w:szCs w:val="18"/>
          <w:lang w:val="en-US"/>
        </w:rPr>
        <w:t xml:space="preserve">. </w:t>
      </w:r>
      <w:r w:rsidRPr="00990DA3">
        <w:rPr>
          <w:szCs w:val="18"/>
          <w:lang w:val="en-US"/>
        </w:rPr>
        <w:t>M</w:t>
      </w:r>
      <w:r w:rsidR="006E215F">
        <w:rPr>
          <w:szCs w:val="18"/>
          <w:lang w:val="en-US"/>
        </w:rPr>
        <w:t>.</w:t>
      </w:r>
      <w:r w:rsidRPr="00990DA3">
        <w:rPr>
          <w:szCs w:val="18"/>
          <w:lang w:val="en-US"/>
        </w:rPr>
        <w:t xml:space="preserve"> Harper, R</w:t>
      </w:r>
      <w:r w:rsidR="006E215F">
        <w:rPr>
          <w:szCs w:val="18"/>
          <w:lang w:val="en-US"/>
        </w:rPr>
        <w:t>.</w:t>
      </w:r>
      <w:r w:rsidRPr="00990DA3">
        <w:rPr>
          <w:szCs w:val="18"/>
          <w:lang w:val="en-US"/>
        </w:rPr>
        <w:t xml:space="preserve"> Gani, 1999, </w:t>
      </w:r>
      <w:r w:rsidRPr="00990DA3">
        <w:rPr>
          <w:szCs w:val="18"/>
          <w:shd w:val="clear" w:color="auto" w:fill="FFFFFF"/>
        </w:rPr>
        <w:t>Design of environmentally benign processes: integration of solvent design and separation process synthesis</w:t>
      </w:r>
      <w:r w:rsidRPr="00990DA3">
        <w:rPr>
          <w:szCs w:val="18"/>
        </w:rPr>
        <w:t>, Computers &amp; Chemical Engineering</w:t>
      </w:r>
      <w:r w:rsidR="00332C17">
        <w:rPr>
          <w:szCs w:val="18"/>
        </w:rPr>
        <w:t>,</w:t>
      </w:r>
      <w:r w:rsidRPr="00990DA3">
        <w:rPr>
          <w:szCs w:val="18"/>
        </w:rPr>
        <w:t xml:space="preserve"> 23</w:t>
      </w:r>
      <w:r w:rsidR="006E215F">
        <w:rPr>
          <w:szCs w:val="18"/>
        </w:rPr>
        <w:t>,</w:t>
      </w:r>
      <w:r w:rsidRPr="00990DA3">
        <w:rPr>
          <w:szCs w:val="18"/>
        </w:rPr>
        <w:t xml:space="preserve"> 10, 1395-1414</w:t>
      </w:r>
    </w:p>
    <w:p w14:paraId="144DE6C0" w14:textId="3055CE09" w:rsidR="008D2649" w:rsidRPr="00990DA3" w:rsidRDefault="00755DD4" w:rsidP="000A77C0">
      <w:pPr>
        <w:pStyle w:val="Els-referenceno-number"/>
        <w:jc w:val="both"/>
        <w:rPr>
          <w:lang w:val="en-US"/>
        </w:rPr>
      </w:pPr>
      <w:r w:rsidRPr="00990DA3">
        <w:rPr>
          <w:lang w:val="en-US"/>
        </w:rPr>
        <w:t>A</w:t>
      </w:r>
      <w:r w:rsidR="008D2649" w:rsidRPr="00990DA3">
        <w:rPr>
          <w:lang w:val="en-US"/>
        </w:rPr>
        <w:t xml:space="preserve">. </w:t>
      </w:r>
      <w:r w:rsidR="000F64EA" w:rsidRPr="00990DA3">
        <w:rPr>
          <w:lang w:val="en-US"/>
        </w:rPr>
        <w:t>I</w:t>
      </w:r>
      <w:r w:rsidRPr="00990DA3">
        <w:rPr>
          <w:lang w:val="en-US"/>
        </w:rPr>
        <w:t>ftakher</w:t>
      </w:r>
      <w:r w:rsidR="008D2649" w:rsidRPr="00990DA3">
        <w:rPr>
          <w:lang w:val="en-US"/>
        </w:rPr>
        <w:t>,</w:t>
      </w:r>
      <w:r w:rsidRPr="00990DA3">
        <w:rPr>
          <w:lang w:val="en-US"/>
        </w:rPr>
        <w:t xml:space="preserve"> M. S. Monjur, M. M. F. Hasan,</w:t>
      </w:r>
      <w:r w:rsidR="008D2649" w:rsidRPr="00990DA3">
        <w:rPr>
          <w:lang w:val="en-US"/>
        </w:rPr>
        <w:t xml:space="preserve"> </w:t>
      </w:r>
      <w:r w:rsidRPr="00990DA3">
        <w:rPr>
          <w:lang w:val="en-US"/>
        </w:rPr>
        <w:t>2023</w:t>
      </w:r>
      <w:r w:rsidR="008D2649" w:rsidRPr="00990DA3">
        <w:rPr>
          <w:lang w:val="en-US"/>
        </w:rPr>
        <w:t xml:space="preserve">, </w:t>
      </w:r>
      <w:r w:rsidRPr="00990DA3">
        <w:rPr>
          <w:lang w:val="en-US"/>
        </w:rPr>
        <w:t>An Overview of Computer-aided Molecular and Process design</w:t>
      </w:r>
      <w:r w:rsidR="008D2649" w:rsidRPr="00990DA3">
        <w:rPr>
          <w:lang w:val="en-US"/>
        </w:rPr>
        <w:t xml:space="preserve">, </w:t>
      </w:r>
      <w:r w:rsidRPr="00990DA3">
        <w:rPr>
          <w:lang w:val="en-US"/>
        </w:rPr>
        <w:t>Chemie Ingenieur Technik</w:t>
      </w:r>
      <w:r w:rsidR="008D2649" w:rsidRPr="00990DA3">
        <w:rPr>
          <w:lang w:val="en-US"/>
        </w:rPr>
        <w:t xml:space="preserve">, </w:t>
      </w:r>
      <w:r w:rsidRPr="00990DA3">
        <w:rPr>
          <w:lang w:val="en-US"/>
        </w:rPr>
        <w:t>95</w:t>
      </w:r>
      <w:r w:rsidR="008D2649" w:rsidRPr="00990DA3">
        <w:rPr>
          <w:lang w:val="en-US"/>
        </w:rPr>
        <w:t xml:space="preserve">, </w:t>
      </w:r>
      <w:r w:rsidRPr="00990DA3">
        <w:rPr>
          <w:lang w:val="en-US"/>
        </w:rPr>
        <w:t>3</w:t>
      </w:r>
      <w:r w:rsidR="008D2649" w:rsidRPr="00990DA3">
        <w:rPr>
          <w:lang w:val="en-US"/>
        </w:rPr>
        <w:t xml:space="preserve">, </w:t>
      </w:r>
      <w:r w:rsidRPr="00990DA3">
        <w:rPr>
          <w:lang w:val="en-US"/>
        </w:rPr>
        <w:t>315-333</w:t>
      </w:r>
    </w:p>
    <w:p w14:paraId="3187E71E" w14:textId="254DB952" w:rsidR="00990DA3" w:rsidRPr="00990DA3" w:rsidRDefault="00990DA3" w:rsidP="000A77C0">
      <w:pPr>
        <w:pStyle w:val="Els-referenceno-number"/>
        <w:jc w:val="both"/>
        <w:rPr>
          <w:lang w:val="en-US"/>
        </w:rPr>
      </w:pPr>
      <w:r w:rsidRPr="00990DA3">
        <w:rPr>
          <w:lang w:val="en-US"/>
        </w:rPr>
        <w:t>M. Jaschik, D. Piech, K. Warmuzinski, J. Jaschik, 2017, Prediction of gas solubility in ionic liquids using the COSMO-SAC model</w:t>
      </w:r>
      <w:r w:rsidR="00332C17">
        <w:rPr>
          <w:lang w:val="en-US"/>
        </w:rPr>
        <w:t>,</w:t>
      </w:r>
      <w:r w:rsidRPr="00990DA3">
        <w:rPr>
          <w:lang w:val="en-US"/>
        </w:rPr>
        <w:t xml:space="preserve"> Chemical and Process Engineering, 38, 1, 19-30</w:t>
      </w:r>
    </w:p>
    <w:p w14:paraId="45BA356D" w14:textId="31CB35B6" w:rsidR="00990DA3" w:rsidRPr="00990DA3" w:rsidRDefault="00990DA3" w:rsidP="000A77C0">
      <w:pPr>
        <w:pStyle w:val="Els-referenceno-number"/>
        <w:jc w:val="both"/>
        <w:rPr>
          <w:lang w:val="en-US"/>
        </w:rPr>
      </w:pPr>
      <w:r w:rsidRPr="00990DA3">
        <w:rPr>
          <w:lang w:val="en-US"/>
        </w:rPr>
        <w:t>A. Karunanithi, L.E.K. Achenie, R. Gani, 2005, A new decomposition based CAMD methodology for the design of optimal solvents and solvent mixtures, Industrial &amp; Engineering Chemistry Research, 44, 13, 4785-4797</w:t>
      </w:r>
    </w:p>
    <w:p w14:paraId="715E7CF7" w14:textId="4C64DBD6" w:rsidR="008A5C79" w:rsidRPr="00990DA3" w:rsidRDefault="00CD309B" w:rsidP="00044699">
      <w:pPr>
        <w:pStyle w:val="Els-referenceno-number"/>
        <w:jc w:val="both"/>
        <w:rPr>
          <w:lang w:val="en-US"/>
        </w:rPr>
      </w:pPr>
      <w:r w:rsidRPr="00990DA3">
        <w:rPr>
          <w:lang w:val="en-US"/>
        </w:rPr>
        <w:t>Q. Liu, L. Zhang, L. Liu, J. Du, A. K. Tula, M. Eden, R. Gani</w:t>
      </w:r>
      <w:r w:rsidR="001C6E70" w:rsidRPr="00990DA3">
        <w:rPr>
          <w:lang w:val="en-US"/>
        </w:rPr>
        <w:t>,</w:t>
      </w:r>
      <w:r w:rsidRPr="00990DA3">
        <w:rPr>
          <w:lang w:val="en-US"/>
        </w:rPr>
        <w:t xml:space="preserve"> 2018, OptCAMD: An optimization-based framework and tool for molecular and mixture product design, Computers &amp; Chemical Engineering, 124, 285-301</w:t>
      </w:r>
    </w:p>
    <w:p w14:paraId="7946C37C" w14:textId="442CC041" w:rsidR="001C6E70" w:rsidRDefault="001C6E70" w:rsidP="000A77C0">
      <w:pPr>
        <w:pStyle w:val="Els-referenceno-number"/>
        <w:jc w:val="both"/>
        <w:rPr>
          <w:lang w:val="en-US"/>
        </w:rPr>
      </w:pPr>
      <w:r w:rsidRPr="00990DA3">
        <w:rPr>
          <w:lang w:val="en-US"/>
        </w:rPr>
        <w:t>R. Misener, C. A. Floudas, 2014, ANTIGONE: Algorithms for coNTinuous / Integer Global Optimization of Nonlinear Equations, Journal of Global Optimization</w:t>
      </w:r>
      <w:r w:rsidR="00332C17">
        <w:rPr>
          <w:lang w:val="en-US"/>
        </w:rPr>
        <w:t>,</w:t>
      </w:r>
      <w:r w:rsidRPr="00990DA3">
        <w:rPr>
          <w:lang w:val="en-US"/>
        </w:rPr>
        <w:t xml:space="preserve"> 59, 2-3, 503–526</w:t>
      </w:r>
    </w:p>
    <w:p w14:paraId="7D93FC82" w14:textId="314B13CB" w:rsidR="00044699" w:rsidRPr="00990DA3" w:rsidRDefault="00044699" w:rsidP="000A77C0">
      <w:pPr>
        <w:pStyle w:val="Els-referenceno-number"/>
        <w:jc w:val="both"/>
        <w:rPr>
          <w:lang w:val="en-US"/>
        </w:rPr>
      </w:pPr>
      <w:r>
        <w:t xml:space="preserve">M. S. </w:t>
      </w:r>
      <w:r w:rsidRPr="001F4D52">
        <w:t xml:space="preserve">Monjur, </w:t>
      </w:r>
      <w:r>
        <w:t xml:space="preserve">A. </w:t>
      </w:r>
      <w:r w:rsidRPr="001F4D52">
        <w:t xml:space="preserve">Iftakher, </w:t>
      </w:r>
      <w:r>
        <w:t xml:space="preserve">M. M. F. </w:t>
      </w:r>
      <w:r w:rsidRPr="001F4D52">
        <w:t>Hasan</w:t>
      </w:r>
      <w:r>
        <w:t>,</w:t>
      </w:r>
      <w:r w:rsidRPr="001F4D52">
        <w:t xml:space="preserve"> 2022</w:t>
      </w:r>
      <w:r>
        <w:t>,</w:t>
      </w:r>
      <w:r w:rsidRPr="001F4D52">
        <w:t xml:space="preserve"> Separation process synthesis for high-gwp refrigerant mixtures: Extractive distillation using ionic liquids. Industrial &amp; Engineering Chemistry Research, 61(12), 4390-4406</w:t>
      </w:r>
    </w:p>
    <w:p w14:paraId="46D1FAF4" w14:textId="1FFB73A8" w:rsidR="00990DA3" w:rsidRPr="00990DA3" w:rsidRDefault="00C23479" w:rsidP="000A77C0">
      <w:pPr>
        <w:pStyle w:val="Els-referenceno-number"/>
        <w:jc w:val="both"/>
        <w:rPr>
          <w:lang w:val="en-US"/>
        </w:rPr>
      </w:pPr>
      <w:r w:rsidRPr="00990DA3">
        <w:rPr>
          <w:lang w:val="en-US"/>
        </w:rPr>
        <w:t>K. Paduszynski, K. Klebowski, M. Krolikowski, 2021, Predicting melting point of ionic liquids using QSPR approach: Literature review and new models</w:t>
      </w:r>
      <w:r w:rsidR="00332C17">
        <w:rPr>
          <w:lang w:val="en-US"/>
        </w:rPr>
        <w:t>,</w:t>
      </w:r>
      <w:r w:rsidRPr="00990DA3">
        <w:rPr>
          <w:lang w:val="en-US"/>
        </w:rPr>
        <w:t xml:space="preserve"> Journal of Molecular Liquids, 344, 117631</w:t>
      </w:r>
    </w:p>
    <w:p w14:paraId="2BACEBE1" w14:textId="60943A15" w:rsidR="00990DA3" w:rsidRPr="00990DA3" w:rsidRDefault="00990DA3" w:rsidP="000A77C0">
      <w:pPr>
        <w:pStyle w:val="Els-referenceno-number"/>
        <w:jc w:val="both"/>
        <w:rPr>
          <w:szCs w:val="18"/>
        </w:rPr>
      </w:pPr>
      <w:r w:rsidRPr="00990DA3">
        <w:rPr>
          <w:szCs w:val="18"/>
        </w:rPr>
        <w:t>Z</w:t>
      </w:r>
      <w:r w:rsidR="00B849B7">
        <w:rPr>
          <w:szCs w:val="18"/>
        </w:rPr>
        <w:t>.</w:t>
      </w:r>
      <w:r w:rsidRPr="00990DA3">
        <w:rPr>
          <w:szCs w:val="18"/>
        </w:rPr>
        <w:t xml:space="preserve"> Song, T</w:t>
      </w:r>
      <w:r w:rsidR="00B849B7">
        <w:rPr>
          <w:szCs w:val="18"/>
        </w:rPr>
        <w:t>.</w:t>
      </w:r>
      <w:r w:rsidRPr="00990DA3">
        <w:rPr>
          <w:szCs w:val="18"/>
        </w:rPr>
        <w:t xml:space="preserve"> Zhou, Z</w:t>
      </w:r>
      <w:r w:rsidR="00B849B7">
        <w:rPr>
          <w:szCs w:val="18"/>
        </w:rPr>
        <w:t>.</w:t>
      </w:r>
      <w:r w:rsidRPr="00990DA3">
        <w:rPr>
          <w:szCs w:val="18"/>
        </w:rPr>
        <w:t xml:space="preserve"> Qi, K</w:t>
      </w:r>
      <w:r w:rsidR="00B849B7">
        <w:rPr>
          <w:szCs w:val="18"/>
        </w:rPr>
        <w:t>.</w:t>
      </w:r>
      <w:r w:rsidRPr="00990DA3">
        <w:rPr>
          <w:szCs w:val="18"/>
        </w:rPr>
        <w:t xml:space="preserve"> Sundmacher, 2018, </w:t>
      </w:r>
      <w:r w:rsidRPr="00990DA3">
        <w:rPr>
          <w:szCs w:val="18"/>
          <w:shd w:val="clear" w:color="auto" w:fill="FFFFFF"/>
        </w:rPr>
        <w:t xml:space="preserve">Systematic method for screening ionic liquids as extraction solvents exemplified by an extractive desulfurization process, </w:t>
      </w:r>
      <w:r w:rsidRPr="00990DA3">
        <w:rPr>
          <w:szCs w:val="18"/>
        </w:rPr>
        <w:t>ACS Sustainable Chemistry &amp; Engineering</w:t>
      </w:r>
      <w:r w:rsidR="00332C17">
        <w:rPr>
          <w:szCs w:val="18"/>
        </w:rPr>
        <w:t>,</w:t>
      </w:r>
      <w:r w:rsidRPr="00990DA3">
        <w:rPr>
          <w:szCs w:val="18"/>
        </w:rPr>
        <w:t xml:space="preserve"> 5 (4), 3382-3389</w:t>
      </w:r>
    </w:p>
    <w:p w14:paraId="61ED62A0" w14:textId="06B1B053" w:rsidR="008E208B" w:rsidRPr="008A5C79" w:rsidRDefault="003E1288" w:rsidP="008A5C79">
      <w:pPr>
        <w:pStyle w:val="Els-referenceno-number"/>
        <w:jc w:val="both"/>
        <w:rPr>
          <w:szCs w:val="18"/>
        </w:rPr>
      </w:pPr>
      <w:r w:rsidRPr="00990DA3">
        <w:rPr>
          <w:szCs w:val="18"/>
        </w:rPr>
        <w:t>T</w:t>
      </w:r>
      <w:r w:rsidR="00F863C5">
        <w:rPr>
          <w:szCs w:val="18"/>
        </w:rPr>
        <w:t>.</w:t>
      </w:r>
      <w:r w:rsidRPr="00990DA3">
        <w:rPr>
          <w:szCs w:val="18"/>
        </w:rPr>
        <w:t xml:space="preserve"> Zhou, R</w:t>
      </w:r>
      <w:r w:rsidR="00F863C5">
        <w:rPr>
          <w:szCs w:val="18"/>
        </w:rPr>
        <w:t>.</w:t>
      </w:r>
      <w:r w:rsidRPr="00990DA3">
        <w:rPr>
          <w:szCs w:val="18"/>
        </w:rPr>
        <w:t xml:space="preserve"> Gani, K</w:t>
      </w:r>
      <w:r w:rsidR="00F863C5">
        <w:rPr>
          <w:szCs w:val="18"/>
        </w:rPr>
        <w:t>.</w:t>
      </w:r>
      <w:r w:rsidRPr="00990DA3">
        <w:rPr>
          <w:szCs w:val="18"/>
        </w:rPr>
        <w:t xml:space="preserve"> Sundmacher, 2021, </w:t>
      </w:r>
      <w:r w:rsidR="00F47FCC" w:rsidRPr="00990DA3">
        <w:rPr>
          <w:szCs w:val="18"/>
          <w:shd w:val="clear" w:color="auto" w:fill="FFFFFF"/>
        </w:rPr>
        <w:t>Hybrid data-driven and mechanistic modeling approaches for multiscale material and process design</w:t>
      </w:r>
      <w:r w:rsidRPr="00990DA3">
        <w:rPr>
          <w:szCs w:val="18"/>
          <w:shd w:val="clear" w:color="auto" w:fill="FFFFFF"/>
        </w:rPr>
        <w:t xml:space="preserve">, </w:t>
      </w:r>
      <w:r w:rsidR="00F47FCC" w:rsidRPr="00990DA3">
        <w:rPr>
          <w:szCs w:val="18"/>
        </w:rPr>
        <w:t>Engineering</w:t>
      </w:r>
      <w:r w:rsidR="00332C17">
        <w:rPr>
          <w:szCs w:val="18"/>
        </w:rPr>
        <w:t>,</w:t>
      </w:r>
      <w:r w:rsidR="00F47FCC" w:rsidRPr="00990DA3">
        <w:rPr>
          <w:szCs w:val="18"/>
        </w:rPr>
        <w:t xml:space="preserve"> 7 (9), 1231-1238</w:t>
      </w:r>
    </w:p>
    <w:sectPr w:rsidR="008E208B" w:rsidRPr="008A5C7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29E3" w14:textId="77777777" w:rsidR="009D54EB" w:rsidRDefault="009D54EB">
      <w:r>
        <w:separator/>
      </w:r>
    </w:p>
  </w:endnote>
  <w:endnote w:type="continuationSeparator" w:id="0">
    <w:p w14:paraId="0628A8CA" w14:textId="77777777" w:rsidR="009D54EB" w:rsidRDefault="009D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0CAE" w14:textId="77777777" w:rsidR="009D54EB" w:rsidRDefault="009D54EB">
      <w:r>
        <w:separator/>
      </w:r>
    </w:p>
  </w:footnote>
  <w:footnote w:type="continuationSeparator" w:id="0">
    <w:p w14:paraId="135E36A9" w14:textId="77777777" w:rsidR="009D54EB" w:rsidRDefault="009D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5AD86D9" w:rsidR="00DD3D9E" w:rsidRDefault="00DD3D9E">
    <w:pPr>
      <w:pStyle w:val="Header"/>
      <w:tabs>
        <w:tab w:val="clear" w:pos="7200"/>
        <w:tab w:val="right" w:pos="7088"/>
      </w:tabs>
    </w:pPr>
    <w:r>
      <w:rPr>
        <w:rStyle w:val="PageNumber"/>
      </w:rPr>
      <w:tab/>
    </w:r>
    <w:r>
      <w:rPr>
        <w:rStyle w:val="PageNumber"/>
        <w:i/>
      </w:rPr>
      <w:tab/>
    </w:r>
    <w:r w:rsidR="00755DD4">
      <w:rPr>
        <w:rStyle w:val="PageNumber"/>
        <w:i/>
      </w:rPr>
      <w:t>A.Iftakher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FC762C2" w:rsidR="00DD3D9E" w:rsidRDefault="00755DD4" w:rsidP="00755DD4">
    <w:pPr>
      <w:pStyle w:val="Header"/>
      <w:tabs>
        <w:tab w:val="clear" w:pos="7200"/>
        <w:tab w:val="right" w:pos="7088"/>
      </w:tabs>
      <w:rPr>
        <w:sz w:val="24"/>
      </w:rPr>
    </w:pPr>
    <w:r w:rsidRPr="00755DD4">
      <w:rPr>
        <w:i/>
      </w:rPr>
      <w:t>Computer-aided Molecular and Process Design (CAMPD) for Ionic Liquid Assisted</w:t>
    </w:r>
    <w:r>
      <w:rPr>
        <w:i/>
      </w:rPr>
      <w:t xml:space="preserve"> </w:t>
    </w:r>
    <w:r w:rsidRPr="00755DD4">
      <w:rPr>
        <w:i/>
      </w:rPr>
      <w:t>Extractive Distillation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A727ACF"/>
    <w:multiLevelType w:val="hybridMultilevel"/>
    <w:tmpl w:val="CC8A7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441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24637657">
    <w:abstractNumId w:val="12"/>
  </w:num>
  <w:num w:numId="2" w16cid:durableId="320088943">
    <w:abstractNumId w:val="12"/>
  </w:num>
  <w:num w:numId="3" w16cid:durableId="1920141203">
    <w:abstractNumId w:val="12"/>
  </w:num>
  <w:num w:numId="4" w16cid:durableId="575669611">
    <w:abstractNumId w:val="12"/>
  </w:num>
  <w:num w:numId="5" w16cid:durableId="865559938">
    <w:abstractNumId w:val="0"/>
  </w:num>
  <w:num w:numId="6" w16cid:durableId="1735615288">
    <w:abstractNumId w:val="7"/>
  </w:num>
  <w:num w:numId="7" w16cid:durableId="1020162412">
    <w:abstractNumId w:val="13"/>
  </w:num>
  <w:num w:numId="8" w16cid:durableId="1054696288">
    <w:abstractNumId w:val="2"/>
  </w:num>
  <w:num w:numId="9" w16cid:durableId="1736514845">
    <w:abstractNumId w:val="11"/>
  </w:num>
  <w:num w:numId="10" w16cid:durableId="770471787">
    <w:abstractNumId w:val="15"/>
  </w:num>
  <w:num w:numId="11" w16cid:durableId="72941647">
    <w:abstractNumId w:val="14"/>
  </w:num>
  <w:num w:numId="12" w16cid:durableId="1097019758">
    <w:abstractNumId w:val="6"/>
  </w:num>
  <w:num w:numId="13" w16cid:durableId="1408965261">
    <w:abstractNumId w:val="9"/>
  </w:num>
  <w:num w:numId="14" w16cid:durableId="429594333">
    <w:abstractNumId w:val="3"/>
  </w:num>
  <w:num w:numId="15" w16cid:durableId="957757642">
    <w:abstractNumId w:val="8"/>
  </w:num>
  <w:num w:numId="16" w16cid:durableId="471752074">
    <w:abstractNumId w:val="4"/>
  </w:num>
  <w:num w:numId="17" w16cid:durableId="1787384187">
    <w:abstractNumId w:val="5"/>
  </w:num>
  <w:num w:numId="18" w16cid:durableId="43219985">
    <w:abstractNumId w:val="10"/>
  </w:num>
  <w:num w:numId="19" w16cid:durableId="530607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tzC2NDU2MjI3MDRQ0lEKTi0uzszPAykwNK4FADnxvBEtAAAA"/>
  </w:docVars>
  <w:rsids>
    <w:rsidRoot w:val="00B63237"/>
    <w:rsid w:val="00044699"/>
    <w:rsid w:val="00075735"/>
    <w:rsid w:val="00084FF8"/>
    <w:rsid w:val="000862D8"/>
    <w:rsid w:val="000924F6"/>
    <w:rsid w:val="000A77C0"/>
    <w:rsid w:val="000C6390"/>
    <w:rsid w:val="000D1BB9"/>
    <w:rsid w:val="000D26B7"/>
    <w:rsid w:val="000D3D9B"/>
    <w:rsid w:val="000F12B3"/>
    <w:rsid w:val="000F64EA"/>
    <w:rsid w:val="00121D72"/>
    <w:rsid w:val="001300F6"/>
    <w:rsid w:val="00152DBE"/>
    <w:rsid w:val="0016032F"/>
    <w:rsid w:val="00163261"/>
    <w:rsid w:val="00185159"/>
    <w:rsid w:val="00185783"/>
    <w:rsid w:val="001879F6"/>
    <w:rsid w:val="001A0AF6"/>
    <w:rsid w:val="001C0148"/>
    <w:rsid w:val="001C6E70"/>
    <w:rsid w:val="001C757E"/>
    <w:rsid w:val="001D2DD2"/>
    <w:rsid w:val="001F4D52"/>
    <w:rsid w:val="0020390F"/>
    <w:rsid w:val="00206395"/>
    <w:rsid w:val="00217EB6"/>
    <w:rsid w:val="0023148C"/>
    <w:rsid w:val="00247117"/>
    <w:rsid w:val="00252296"/>
    <w:rsid w:val="00257686"/>
    <w:rsid w:val="00264926"/>
    <w:rsid w:val="00296C08"/>
    <w:rsid w:val="002A6A62"/>
    <w:rsid w:val="002D79F0"/>
    <w:rsid w:val="002E3D0A"/>
    <w:rsid w:val="002F33CA"/>
    <w:rsid w:val="00300B4B"/>
    <w:rsid w:val="00332C17"/>
    <w:rsid w:val="00340DF6"/>
    <w:rsid w:val="00342419"/>
    <w:rsid w:val="00350C3E"/>
    <w:rsid w:val="003710E6"/>
    <w:rsid w:val="00394935"/>
    <w:rsid w:val="00394FAC"/>
    <w:rsid w:val="00395A8D"/>
    <w:rsid w:val="003C26D2"/>
    <w:rsid w:val="003D1582"/>
    <w:rsid w:val="003D7E4C"/>
    <w:rsid w:val="003E1288"/>
    <w:rsid w:val="003E41C2"/>
    <w:rsid w:val="003F0B1F"/>
    <w:rsid w:val="003F1ACE"/>
    <w:rsid w:val="003F5ECB"/>
    <w:rsid w:val="003F787C"/>
    <w:rsid w:val="00401426"/>
    <w:rsid w:val="0043351C"/>
    <w:rsid w:val="00447195"/>
    <w:rsid w:val="004610AB"/>
    <w:rsid w:val="00471673"/>
    <w:rsid w:val="0049772C"/>
    <w:rsid w:val="004A40DD"/>
    <w:rsid w:val="004B79ED"/>
    <w:rsid w:val="004E065C"/>
    <w:rsid w:val="004F5180"/>
    <w:rsid w:val="00503398"/>
    <w:rsid w:val="00522AD6"/>
    <w:rsid w:val="00536EED"/>
    <w:rsid w:val="005466F5"/>
    <w:rsid w:val="00552EEB"/>
    <w:rsid w:val="00562C8F"/>
    <w:rsid w:val="00563544"/>
    <w:rsid w:val="00581653"/>
    <w:rsid w:val="005A0E76"/>
    <w:rsid w:val="005A1039"/>
    <w:rsid w:val="005B4D9F"/>
    <w:rsid w:val="005C7D19"/>
    <w:rsid w:val="005D4608"/>
    <w:rsid w:val="005E16EB"/>
    <w:rsid w:val="00626A2A"/>
    <w:rsid w:val="00633275"/>
    <w:rsid w:val="00692E85"/>
    <w:rsid w:val="0069618A"/>
    <w:rsid w:val="006A69BF"/>
    <w:rsid w:val="006C18F5"/>
    <w:rsid w:val="006E215F"/>
    <w:rsid w:val="006E57B7"/>
    <w:rsid w:val="00711DF4"/>
    <w:rsid w:val="007364A6"/>
    <w:rsid w:val="00755DD4"/>
    <w:rsid w:val="007D5B60"/>
    <w:rsid w:val="007D70A1"/>
    <w:rsid w:val="007E22E9"/>
    <w:rsid w:val="00804DE2"/>
    <w:rsid w:val="008070CB"/>
    <w:rsid w:val="008132E8"/>
    <w:rsid w:val="00822ED2"/>
    <w:rsid w:val="00823407"/>
    <w:rsid w:val="00845C17"/>
    <w:rsid w:val="00857638"/>
    <w:rsid w:val="008A33C8"/>
    <w:rsid w:val="008A5C79"/>
    <w:rsid w:val="008B0184"/>
    <w:rsid w:val="008C05B2"/>
    <w:rsid w:val="008C5D02"/>
    <w:rsid w:val="008D2649"/>
    <w:rsid w:val="008E208B"/>
    <w:rsid w:val="008E7CB6"/>
    <w:rsid w:val="0090568D"/>
    <w:rsid w:val="009125C9"/>
    <w:rsid w:val="00913879"/>
    <w:rsid w:val="00917661"/>
    <w:rsid w:val="009316FE"/>
    <w:rsid w:val="009416CA"/>
    <w:rsid w:val="0096485A"/>
    <w:rsid w:val="00970E5D"/>
    <w:rsid w:val="0097419B"/>
    <w:rsid w:val="00974849"/>
    <w:rsid w:val="0097701C"/>
    <w:rsid w:val="00980A65"/>
    <w:rsid w:val="00990DA3"/>
    <w:rsid w:val="009D54EB"/>
    <w:rsid w:val="009E4C9C"/>
    <w:rsid w:val="009F62A7"/>
    <w:rsid w:val="00A00029"/>
    <w:rsid w:val="00A00FF1"/>
    <w:rsid w:val="00A01D7A"/>
    <w:rsid w:val="00A140A6"/>
    <w:rsid w:val="00A17EA4"/>
    <w:rsid w:val="00A25E70"/>
    <w:rsid w:val="00A2747C"/>
    <w:rsid w:val="00A300D7"/>
    <w:rsid w:val="00A33765"/>
    <w:rsid w:val="00A63269"/>
    <w:rsid w:val="00A6741B"/>
    <w:rsid w:val="00A77AA9"/>
    <w:rsid w:val="00A85CE9"/>
    <w:rsid w:val="00A92377"/>
    <w:rsid w:val="00A96BF1"/>
    <w:rsid w:val="00AA2B44"/>
    <w:rsid w:val="00AB29ED"/>
    <w:rsid w:val="00AC3166"/>
    <w:rsid w:val="00AC4CF3"/>
    <w:rsid w:val="00AC73C8"/>
    <w:rsid w:val="00AE4BD8"/>
    <w:rsid w:val="00B13143"/>
    <w:rsid w:val="00B140B2"/>
    <w:rsid w:val="00B2272C"/>
    <w:rsid w:val="00B3220C"/>
    <w:rsid w:val="00B34256"/>
    <w:rsid w:val="00B40A1A"/>
    <w:rsid w:val="00B4388F"/>
    <w:rsid w:val="00B45412"/>
    <w:rsid w:val="00B477B3"/>
    <w:rsid w:val="00B518DF"/>
    <w:rsid w:val="00B564AC"/>
    <w:rsid w:val="00B63237"/>
    <w:rsid w:val="00B849B7"/>
    <w:rsid w:val="00B93C82"/>
    <w:rsid w:val="00BA61AF"/>
    <w:rsid w:val="00BB1D0D"/>
    <w:rsid w:val="00C07CB9"/>
    <w:rsid w:val="00C23479"/>
    <w:rsid w:val="00C33C9B"/>
    <w:rsid w:val="00C4238E"/>
    <w:rsid w:val="00C44DF2"/>
    <w:rsid w:val="00C516A0"/>
    <w:rsid w:val="00C52231"/>
    <w:rsid w:val="00C6503E"/>
    <w:rsid w:val="00C71F7F"/>
    <w:rsid w:val="00C7294B"/>
    <w:rsid w:val="00C73084"/>
    <w:rsid w:val="00C90DE1"/>
    <w:rsid w:val="00C960DC"/>
    <w:rsid w:val="00CB168C"/>
    <w:rsid w:val="00CC1F47"/>
    <w:rsid w:val="00CD309B"/>
    <w:rsid w:val="00D015E1"/>
    <w:rsid w:val="00D02C75"/>
    <w:rsid w:val="00D10E22"/>
    <w:rsid w:val="00D13D2C"/>
    <w:rsid w:val="00D27F41"/>
    <w:rsid w:val="00D324DA"/>
    <w:rsid w:val="00D34BBA"/>
    <w:rsid w:val="00D568FE"/>
    <w:rsid w:val="00D91907"/>
    <w:rsid w:val="00D9577D"/>
    <w:rsid w:val="00DA7405"/>
    <w:rsid w:val="00DC0DBD"/>
    <w:rsid w:val="00DC2E83"/>
    <w:rsid w:val="00DC2F94"/>
    <w:rsid w:val="00DD25E1"/>
    <w:rsid w:val="00DD3410"/>
    <w:rsid w:val="00DD3D9E"/>
    <w:rsid w:val="00DD7908"/>
    <w:rsid w:val="00DF2F6A"/>
    <w:rsid w:val="00E052BF"/>
    <w:rsid w:val="00E07D4F"/>
    <w:rsid w:val="00E178DF"/>
    <w:rsid w:val="00E254A2"/>
    <w:rsid w:val="00E426D7"/>
    <w:rsid w:val="00E738D3"/>
    <w:rsid w:val="00E82297"/>
    <w:rsid w:val="00E848DF"/>
    <w:rsid w:val="00EA6749"/>
    <w:rsid w:val="00EA7960"/>
    <w:rsid w:val="00EC7397"/>
    <w:rsid w:val="00EF39FD"/>
    <w:rsid w:val="00F06842"/>
    <w:rsid w:val="00F107FD"/>
    <w:rsid w:val="00F1115E"/>
    <w:rsid w:val="00F47392"/>
    <w:rsid w:val="00F47FCC"/>
    <w:rsid w:val="00F61BEB"/>
    <w:rsid w:val="00F734B4"/>
    <w:rsid w:val="00F863C5"/>
    <w:rsid w:val="00FA4FE4"/>
    <w:rsid w:val="00FB64A8"/>
    <w:rsid w:val="00FC3F76"/>
    <w:rsid w:val="00FE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0CB"/>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B45412"/>
    <w:rPr>
      <w:color w:val="666666"/>
    </w:rPr>
  </w:style>
  <w:style w:type="table" w:styleId="TableGrid">
    <w:name w:val="Table Grid"/>
    <w:basedOn w:val="TableNormal"/>
    <w:rsid w:val="004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C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814">
      <w:bodyDiv w:val="1"/>
      <w:marLeft w:val="0"/>
      <w:marRight w:val="0"/>
      <w:marTop w:val="0"/>
      <w:marBottom w:val="0"/>
      <w:divBdr>
        <w:top w:val="none" w:sz="0" w:space="0" w:color="auto"/>
        <w:left w:val="none" w:sz="0" w:space="0" w:color="auto"/>
        <w:bottom w:val="none" w:sz="0" w:space="0" w:color="auto"/>
        <w:right w:val="none" w:sz="0" w:space="0" w:color="auto"/>
      </w:divBdr>
    </w:div>
    <w:div w:id="1004162681">
      <w:bodyDiv w:val="1"/>
      <w:marLeft w:val="0"/>
      <w:marRight w:val="0"/>
      <w:marTop w:val="0"/>
      <w:marBottom w:val="0"/>
      <w:divBdr>
        <w:top w:val="none" w:sz="0" w:space="0" w:color="auto"/>
        <w:left w:val="none" w:sz="0" w:space="0" w:color="auto"/>
        <w:bottom w:val="none" w:sz="0" w:space="0" w:color="auto"/>
        <w:right w:val="none" w:sz="0" w:space="0" w:color="auto"/>
      </w:divBdr>
    </w:div>
    <w:div w:id="1121459004">
      <w:bodyDiv w:val="1"/>
      <w:marLeft w:val="0"/>
      <w:marRight w:val="0"/>
      <w:marTop w:val="0"/>
      <w:marBottom w:val="0"/>
      <w:divBdr>
        <w:top w:val="none" w:sz="0" w:space="0" w:color="auto"/>
        <w:left w:val="none" w:sz="0" w:space="0" w:color="auto"/>
        <w:bottom w:val="none" w:sz="0" w:space="0" w:color="auto"/>
        <w:right w:val="none" w:sz="0" w:space="0" w:color="auto"/>
      </w:divBdr>
    </w:div>
    <w:div w:id="1123694751">
      <w:bodyDiv w:val="1"/>
      <w:marLeft w:val="0"/>
      <w:marRight w:val="0"/>
      <w:marTop w:val="0"/>
      <w:marBottom w:val="0"/>
      <w:divBdr>
        <w:top w:val="none" w:sz="0" w:space="0" w:color="auto"/>
        <w:left w:val="none" w:sz="0" w:space="0" w:color="auto"/>
        <w:bottom w:val="none" w:sz="0" w:space="0" w:color="auto"/>
        <w:right w:val="none" w:sz="0" w:space="0" w:color="auto"/>
      </w:divBdr>
    </w:div>
    <w:div w:id="21166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5889-2E06-486F-9F69-F17E6C7F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40</TotalTime>
  <Pages>6</Pages>
  <Words>2537</Words>
  <Characters>14464</Characters>
  <Application>Microsoft Office Word</Application>
  <DocSecurity>0</DocSecurity>
  <Lines>120</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Iftakher, Ashfaq</cp:lastModifiedBy>
  <cp:revision>33</cp:revision>
  <cp:lastPrinted>2023-11-30T21:36:00Z</cp:lastPrinted>
  <dcterms:created xsi:type="dcterms:W3CDTF">2023-12-22T17:59:00Z</dcterms:created>
  <dcterms:modified xsi:type="dcterms:W3CDTF">2023-12-27T16:32:00Z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