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A07B184" w:rsidR="00DD3D9E" w:rsidRPr="0011019D" w:rsidRDefault="00E65685" w:rsidP="00585334">
      <w:pPr>
        <w:pStyle w:val="Els-Title"/>
        <w:spacing w:line="240" w:lineRule="auto"/>
        <w:rPr>
          <w:color w:val="000000" w:themeColor="text1"/>
          <w:lang w:val="en-GB"/>
        </w:rPr>
      </w:pPr>
      <w:bookmarkStart w:id="0" w:name="_GoBack"/>
      <w:bookmarkEnd w:id="0"/>
      <w:r w:rsidRPr="00E65685">
        <w:rPr>
          <w:color w:val="000000" w:themeColor="text1"/>
          <w:lang w:val="en-GB"/>
        </w:rPr>
        <w:t>From Data to Alarms: Data-driven Anomaly Detection Techniques in Industrial Settings</w:t>
      </w:r>
    </w:p>
    <w:p w14:paraId="144DE680" w14:textId="04269884" w:rsidR="00DD3D9E" w:rsidRPr="0011019D" w:rsidRDefault="00E65685" w:rsidP="00585334">
      <w:pPr>
        <w:pStyle w:val="Els-Author"/>
        <w:spacing w:line="240" w:lineRule="auto"/>
      </w:pPr>
      <w:r w:rsidRPr="00B5567F">
        <w:rPr>
          <w:rFonts w:eastAsia="Arial"/>
        </w:rPr>
        <w:t>Rastislav Fáber</w:t>
      </w:r>
      <w:r w:rsidRPr="00B5567F">
        <w:rPr>
          <w:rFonts w:eastAsia="Arial"/>
          <w:vertAlign w:val="superscript"/>
        </w:rPr>
        <w:t>a,*</w:t>
      </w:r>
      <w:r w:rsidRPr="00B5567F">
        <w:rPr>
          <w:rFonts w:eastAsia="Arial"/>
        </w:rPr>
        <w:t>, Martin Mojto</w:t>
      </w:r>
      <w:r w:rsidRPr="00B5567F">
        <w:rPr>
          <w:rFonts w:eastAsia="Arial"/>
          <w:vertAlign w:val="superscript"/>
        </w:rPr>
        <w:t>a</w:t>
      </w:r>
      <w:r w:rsidRPr="00B5567F">
        <w:rPr>
          <w:rFonts w:eastAsia="Arial"/>
        </w:rPr>
        <w:t xml:space="preserve">, Karol </w:t>
      </w:r>
      <w:r>
        <w:rPr>
          <w:rFonts w:eastAsia="Arial"/>
        </w:rPr>
        <w:t>Ľ</w:t>
      </w:r>
      <w:r w:rsidRPr="00B5567F">
        <w:rPr>
          <w:rFonts w:eastAsia="Arial"/>
        </w:rPr>
        <w:t>ubušký</w:t>
      </w:r>
      <w:r w:rsidRPr="00B5567F">
        <w:rPr>
          <w:rFonts w:eastAsia="Arial"/>
          <w:vertAlign w:val="superscript"/>
        </w:rPr>
        <w:t>b</w:t>
      </w:r>
      <w:r w:rsidRPr="00B5567F">
        <w:rPr>
          <w:rFonts w:eastAsia="Arial"/>
        </w:rPr>
        <w:t xml:space="preserve"> and Radoslav Paulen</w:t>
      </w:r>
      <w:r w:rsidRPr="00B5567F">
        <w:rPr>
          <w:rFonts w:eastAsia="Arial"/>
          <w:vertAlign w:val="superscript"/>
        </w:rPr>
        <w:t>a</w:t>
      </w:r>
    </w:p>
    <w:p w14:paraId="36B76BC9" w14:textId="0CC9FB42" w:rsidR="00E65685" w:rsidRDefault="00455CE5" w:rsidP="00585334">
      <w:pPr>
        <w:pStyle w:val="Els-Affiliation"/>
        <w:spacing w:line="240" w:lineRule="auto"/>
      </w:pPr>
      <w:r w:rsidRPr="0011019D">
        <w:rPr>
          <w:vertAlign w:val="superscript"/>
        </w:rPr>
        <w:t>a</w:t>
      </w:r>
      <w:r w:rsidR="00E65685">
        <w:t>Faculty of Chemical and Food Technology, Slovak University of Technology in Bratislava, Bratislava, Slovakia</w:t>
      </w:r>
    </w:p>
    <w:p w14:paraId="35AEC521" w14:textId="4C674451" w:rsidR="00E65685" w:rsidRDefault="00E65685" w:rsidP="00585334">
      <w:pPr>
        <w:pStyle w:val="Els-Affiliation"/>
        <w:spacing w:line="240" w:lineRule="auto"/>
      </w:pPr>
      <w:r w:rsidRPr="00E65685">
        <w:rPr>
          <w:vertAlign w:val="superscript"/>
        </w:rPr>
        <w:t>b</w:t>
      </w:r>
      <w:r>
        <w:t>Slovnaft, a.s., Bratislava,</w:t>
      </w:r>
      <w:r w:rsidR="0028296C">
        <w:t xml:space="preserve"> </w:t>
      </w:r>
      <w:r>
        <w:t xml:space="preserve">Slovakia </w:t>
      </w:r>
    </w:p>
    <w:p w14:paraId="144DE682" w14:textId="0CCD44EE" w:rsidR="00DD3D9E" w:rsidRPr="0011019D" w:rsidRDefault="00E65685" w:rsidP="00585334">
      <w:pPr>
        <w:pStyle w:val="Els-Affiliation"/>
        <w:spacing w:line="240" w:lineRule="auto"/>
      </w:pPr>
      <w:r>
        <w:t>rastislav.faber@stuba.sk</w:t>
      </w:r>
    </w:p>
    <w:p w14:paraId="144DE684" w14:textId="77777777" w:rsidR="008D2649" w:rsidRPr="0011019D" w:rsidRDefault="008D2649" w:rsidP="00585334">
      <w:pPr>
        <w:pStyle w:val="Els-Abstract"/>
        <w:spacing w:line="240" w:lineRule="auto"/>
        <w:rPr>
          <w:lang w:val="en-GB"/>
        </w:rPr>
      </w:pPr>
      <w:r w:rsidRPr="0011019D">
        <w:rPr>
          <w:lang w:val="en-GB"/>
        </w:rPr>
        <w:t>Abstract</w:t>
      </w:r>
    </w:p>
    <w:p w14:paraId="144DE686" w14:textId="37D400EF" w:rsidR="008D2649" w:rsidRPr="0011019D" w:rsidRDefault="00E65685" w:rsidP="00585334">
      <w:pPr>
        <w:pStyle w:val="Els-body-text"/>
        <w:spacing w:after="120"/>
        <w:rPr>
          <w:lang w:val="en-GB"/>
        </w:rPr>
      </w:pPr>
      <w:r w:rsidRPr="00B5567F">
        <w:rPr>
          <w:rFonts w:eastAsia="Arial"/>
        </w:rPr>
        <w:t>This paper introduces a data-driven methodology for anomaly detection in industrial processes. Our focus is on minimizing misclassifications of normal operations and enhancing anomaly and outlier detection. This optimization is based on presumed ground truth (GT) labels associated with a dependent variable (isobutane concentration). Utilizing a moving-horizon approach on an extensive industrial dataset, we perform a comprehensive evaluation of filtering algorithms, and present a representative outlier classification. Secondly, effective anomaly detection, distinct from outlier detection, is achieved by integrating a regression model trained on measurements from independent process variables to fit the dependent variable. Trained regression models consistently achieve eff</w:t>
      </w:r>
      <w:r>
        <w:rPr>
          <w:rFonts w:eastAsia="Arial"/>
        </w:rPr>
        <w:t>ec</w:t>
      </w:r>
      <w:r w:rsidRPr="00B5567F">
        <w:rPr>
          <w:rFonts w:eastAsia="Arial"/>
        </w:rPr>
        <w:t>t</w:t>
      </w:r>
      <w:r>
        <w:rPr>
          <w:rFonts w:eastAsia="Arial"/>
        </w:rPr>
        <w:t>ive</w:t>
      </w:r>
      <w:r w:rsidRPr="00B5567F">
        <w:rPr>
          <w:rFonts w:eastAsia="Arial"/>
        </w:rPr>
        <w:t xml:space="preserve"> prediction, staying within an approved process tolerance</w:t>
      </w:r>
      <w:r>
        <w:rPr>
          <w:rFonts w:eastAsia="Arial"/>
        </w:rPr>
        <w:t>.</w:t>
      </w:r>
    </w:p>
    <w:p w14:paraId="144DE687" w14:textId="532D796A" w:rsidR="00455CE5" w:rsidRPr="0011019D" w:rsidRDefault="008D2649" w:rsidP="00585334">
      <w:pPr>
        <w:pStyle w:val="Els-body-text"/>
        <w:spacing w:after="120"/>
        <w:rPr>
          <w:b/>
          <w:lang w:val="en-GB"/>
        </w:rPr>
      </w:pPr>
      <w:r w:rsidRPr="0011019D">
        <w:rPr>
          <w:b/>
          <w:bCs/>
          <w:lang w:val="en-GB"/>
        </w:rPr>
        <w:t>Keywords</w:t>
      </w:r>
      <w:r w:rsidRPr="0011019D">
        <w:rPr>
          <w:lang w:val="en-GB"/>
        </w:rPr>
        <w:t xml:space="preserve">: </w:t>
      </w:r>
      <w:r w:rsidR="00E65685" w:rsidRPr="00B5567F">
        <w:rPr>
          <w:rFonts w:eastAsia="Arial"/>
        </w:rPr>
        <w:t>Streaming data, Anomaly detection, Outlier detection, Regression</w:t>
      </w:r>
    </w:p>
    <w:p w14:paraId="452B060C" w14:textId="7C3DF42C" w:rsidR="00AB29ED" w:rsidRPr="0011019D" w:rsidRDefault="00AB29ED" w:rsidP="00585334">
      <w:pPr>
        <w:pStyle w:val="Els-body-text"/>
        <w:spacing w:after="120"/>
        <w:rPr>
          <w:b/>
          <w:color w:val="FF0000"/>
          <w:lang w:val="en-GB"/>
        </w:rPr>
      </w:pPr>
    </w:p>
    <w:p w14:paraId="144DE689" w14:textId="4AFBB565" w:rsidR="008D2649" w:rsidRPr="0011019D" w:rsidRDefault="0027334F" w:rsidP="00585334">
      <w:pPr>
        <w:pStyle w:val="Els-1storder-head"/>
        <w:spacing w:line="240" w:lineRule="auto"/>
        <w:rPr>
          <w:lang w:val="en-GB"/>
        </w:rPr>
      </w:pPr>
      <w:r w:rsidRPr="0011019D">
        <w:rPr>
          <w:lang w:val="en-GB"/>
        </w:rPr>
        <w:t>Introduction</w:t>
      </w:r>
    </w:p>
    <w:p w14:paraId="11A6D20E" w14:textId="663AD94D" w:rsidR="00E65685" w:rsidRPr="00E65685" w:rsidRDefault="00E65685" w:rsidP="00585334">
      <w:pPr>
        <w:pStyle w:val="Els-body-text"/>
        <w:rPr>
          <w:lang w:val="en-GB"/>
        </w:rPr>
      </w:pPr>
      <w:r w:rsidRPr="00E65685">
        <w:rPr>
          <w:lang w:val="en-GB"/>
        </w:rPr>
        <w:t>Ensuring reliable control in any industrial plant necessitates the validation of real-time measurements. Anomaly detection proves effective in identifying subtle signs of malfunctions that could escalate into serious issues. While operators traditionally rely on periodic laboratory samples, there is a growing interest in integrating advanced algorithms to streamline this process and minimize operational burdens. Our focus encompasses the detection of outliers, representing sudden, sharp changes in the monitored signal, as well as distinguishing between the true dynamics of the process and anomalous dynamics caused by measurement disturbances. When anomalous measurements are detected, the operation room should be alarmed.</w:t>
      </w:r>
    </w:p>
    <w:p w14:paraId="4F83317A" w14:textId="4D7EE0C4" w:rsidR="00455CE5" w:rsidRPr="0011019D" w:rsidRDefault="00E65685" w:rsidP="00585334">
      <w:pPr>
        <w:pStyle w:val="Els-body-text"/>
        <w:rPr>
          <w:lang w:val="en-GB"/>
        </w:rPr>
      </w:pPr>
      <w:r w:rsidRPr="00E65685">
        <w:rPr>
          <w:lang w:val="en-GB"/>
        </w:rPr>
        <w:t xml:space="preserve">We employ real-time data analysis to validate incoming online measurements, prioritizing simplicity — an essential factor for implementation on industrial hardware. Various methods, such as threshold or standard deviation filters (Afanasyev and </w:t>
      </w:r>
      <w:proofErr w:type="spellStart"/>
      <w:r w:rsidRPr="00E65685">
        <w:rPr>
          <w:lang w:val="en-GB"/>
        </w:rPr>
        <w:t>Fedorova</w:t>
      </w:r>
      <w:proofErr w:type="spellEnd"/>
      <w:r w:rsidRPr="00E65685">
        <w:rPr>
          <w:lang w:val="en-GB"/>
        </w:rPr>
        <w:t xml:space="preserve">, 2019; </w:t>
      </w:r>
      <w:proofErr w:type="spellStart"/>
      <w:r w:rsidRPr="00E65685">
        <w:rPr>
          <w:lang w:val="en-GB"/>
        </w:rPr>
        <w:t>Blázquez</w:t>
      </w:r>
      <w:proofErr w:type="spellEnd"/>
      <w:r w:rsidRPr="00E65685">
        <w:rPr>
          <w:lang w:val="en-GB"/>
        </w:rPr>
        <w:t xml:space="preserve">-García et al., 2021), have been explored for detecting outliers in univariate and multivariate time series data. Some papers consider calculating the local mean of a time series using exponentially decreasing weight factors for each prior measurement (Carter and Streilein, 2012; Roberts, 1959). An alternative involves a regression approach that utilizes data-based </w:t>
      </w:r>
      <w:proofErr w:type="spellStart"/>
      <w:r w:rsidRPr="00E65685">
        <w:rPr>
          <w:lang w:val="en-GB"/>
        </w:rPr>
        <w:t>modeling</w:t>
      </w:r>
      <w:proofErr w:type="spellEnd"/>
      <w:r w:rsidRPr="00E65685">
        <w:rPr>
          <w:lang w:val="en-GB"/>
        </w:rPr>
        <w:t xml:space="preserve"> to identify outliers in a multivariate context, leveraging the autoregressive nature of the model for a nuanced understanding of system dynamics (Yoon et al., 2022). Mathematical models, grounded in fundamental </w:t>
      </w:r>
      <w:r w:rsidRPr="00E65685">
        <w:rPr>
          <w:lang w:val="en-GB"/>
        </w:rPr>
        <w:lastRenderedPageBreak/>
        <w:t>laws of nature, offer a deeper grasp of complex process dynamics. For instance, a Kalman filter can be</w:t>
      </w:r>
      <w:r>
        <w:rPr>
          <w:lang w:val="en-GB"/>
        </w:rPr>
        <w:t xml:space="preserve"> </w:t>
      </w:r>
      <w:r w:rsidRPr="00B5567F">
        <w:rPr>
          <w:rFonts w:eastAsia="Arial"/>
        </w:rPr>
        <w:t>coupled with existing models to estimate the system state (Jin et al., 2022). Another alternative involves deep autoencoders</w:t>
      </w:r>
      <w:r>
        <w:rPr>
          <w:rFonts w:eastAsia="Arial"/>
        </w:rPr>
        <w:t xml:space="preserve"> (</w:t>
      </w:r>
      <w:r w:rsidRPr="00B5567F">
        <w:rPr>
          <w:rFonts w:eastAsia="Arial"/>
        </w:rPr>
        <w:t>long short-term memory</w:t>
      </w:r>
      <w:r>
        <w:rPr>
          <w:rFonts w:eastAsia="Arial"/>
        </w:rPr>
        <w:t xml:space="preserve"> or</w:t>
      </w:r>
      <w:r w:rsidRPr="00B5567F">
        <w:rPr>
          <w:rFonts w:eastAsia="Arial"/>
        </w:rPr>
        <w:t xml:space="preserve"> convolutional neural network-based models</w:t>
      </w:r>
      <w:r>
        <w:rPr>
          <w:rFonts w:eastAsia="Arial"/>
        </w:rPr>
        <w:t>)</w:t>
      </w:r>
      <w:r w:rsidRPr="00B5567F">
        <w:rPr>
          <w:rFonts w:eastAsia="Arial"/>
        </w:rPr>
        <w:t>, for enhancing productivity in complex time-series data from</w:t>
      </w:r>
      <w:r>
        <w:rPr>
          <w:rFonts w:eastAsia="Arial"/>
        </w:rPr>
        <w:t xml:space="preserve"> the</w:t>
      </w:r>
      <w:r w:rsidRPr="00B5567F">
        <w:rPr>
          <w:rFonts w:eastAsia="Arial"/>
        </w:rPr>
        <w:t xml:space="preserve"> </w:t>
      </w:r>
      <w:r>
        <w:rPr>
          <w:rFonts w:eastAsia="Arial"/>
        </w:rPr>
        <w:t xml:space="preserve">industry </w:t>
      </w:r>
      <w:r w:rsidRPr="00B5567F">
        <w:rPr>
          <w:rFonts w:eastAsia="Arial"/>
        </w:rPr>
        <w:t>(</w:t>
      </w:r>
      <w:proofErr w:type="spellStart"/>
      <w:r w:rsidRPr="00B5567F">
        <w:rPr>
          <w:rFonts w:eastAsia="Arial"/>
        </w:rPr>
        <w:t>Tziolas</w:t>
      </w:r>
      <w:proofErr w:type="spellEnd"/>
      <w:r w:rsidRPr="00B5567F">
        <w:rPr>
          <w:rFonts w:eastAsia="Arial"/>
        </w:rPr>
        <w:t xml:space="preserve"> et al., 2022).</w:t>
      </w:r>
    </w:p>
    <w:p w14:paraId="144DE699" w14:textId="6269022B" w:rsidR="008D2649" w:rsidRPr="00E65685" w:rsidRDefault="00E65685" w:rsidP="00585334">
      <w:pPr>
        <w:pStyle w:val="Els-1storder-head"/>
        <w:spacing w:line="240" w:lineRule="auto"/>
      </w:pPr>
      <w:r>
        <w:rPr>
          <w:lang w:val="en-GB"/>
        </w:rPr>
        <w:t>Methodology</w:t>
      </w:r>
    </w:p>
    <w:p w14:paraId="144DE6A0" w14:textId="189D1D23" w:rsidR="008D2649" w:rsidRDefault="00E65685" w:rsidP="00585334">
      <w:pPr>
        <w:pStyle w:val="Els-body-text"/>
        <w:spacing w:after="40"/>
        <w:rPr>
          <w:rFonts w:eastAsia="Arial"/>
        </w:rPr>
      </w:pPr>
      <w:r w:rsidRPr="00B5567F">
        <w:rPr>
          <w:rFonts w:eastAsia="Arial"/>
        </w:rPr>
        <w:t xml:space="preserve">Our goal is to generate reliable outcomes </w:t>
      </w:r>
      <w:r>
        <w:rPr>
          <w:rFonts w:eastAsia="Arial"/>
        </w:rPr>
        <w:t>of</w:t>
      </w:r>
      <w:r w:rsidRPr="00B5567F">
        <w:rPr>
          <w:rFonts w:eastAsia="Arial"/>
        </w:rPr>
        <w:t xml:space="preserve"> outlier detection in a one-dimensional vector, denoted as </w:t>
      </w:r>
      <m:oMath>
        <m:r>
          <w:rPr>
            <w:rFonts w:ascii="Cambria Math" w:eastAsia="Arial" w:hAnsi="Cambria Math"/>
          </w:rPr>
          <m:t>y(t)</m:t>
        </m:r>
      </m:oMath>
      <w:r w:rsidRPr="00B5567F">
        <w:rPr>
          <w:rFonts w:eastAsia="Arial"/>
        </w:rPr>
        <w:t xml:space="preserve">. This vector exhibits occasional unexplained behavior and is part of a broader time-series dataset encompassing all process variables over an extended time period, denoted as </w:t>
      </w:r>
      <m:oMath>
        <m:r>
          <m:rPr>
            <m:sty m:val="bi"/>
          </m:rPr>
          <w:rPr>
            <w:rFonts w:ascii="Cambria Math" w:eastAsia="Arial" w:hAnsi="Cambria Math"/>
          </w:rPr>
          <m:t>X</m:t>
        </m:r>
      </m:oMath>
      <w:r w:rsidRPr="00B5567F">
        <w:rPr>
          <w:rFonts w:eastAsia="Arial"/>
        </w:rPr>
        <w:t xml:space="preserve">. Initially, we enhance </w:t>
      </w:r>
      <w:r>
        <w:rPr>
          <w:rFonts w:eastAsia="Arial"/>
        </w:rPr>
        <w:t xml:space="preserve">the </w:t>
      </w:r>
      <w:r w:rsidRPr="00B5567F">
        <w:rPr>
          <w:rFonts w:eastAsia="Arial"/>
        </w:rPr>
        <w:t xml:space="preserve">signal clarity by filtering out random fluctuations and noise. </w:t>
      </w:r>
      <w:r>
        <w:rPr>
          <w:rFonts w:eastAsia="Arial"/>
        </w:rPr>
        <w:t xml:space="preserve">As </w:t>
      </w:r>
      <w:r w:rsidRPr="00B5567F">
        <w:rPr>
          <w:rFonts w:eastAsia="Arial"/>
        </w:rPr>
        <w:t xml:space="preserve">a dynamic model (essential for a Kalman filter) is unavailable, regression techniques offer a viable alternative. We conduct an analysis of the relationships among process variables within </w:t>
      </w:r>
      <m:oMath>
        <m:r>
          <m:rPr>
            <m:sty m:val="bi"/>
          </m:rPr>
          <w:rPr>
            <w:rFonts w:ascii="Cambria Math" w:eastAsia="Arial" w:hAnsi="Cambria Math"/>
          </w:rPr>
          <m:t>X</m:t>
        </m:r>
      </m:oMath>
      <w:r w:rsidRPr="00B5567F">
        <w:rPr>
          <w:rFonts w:eastAsia="Arial"/>
        </w:rPr>
        <w:t xml:space="preserve"> to detect existing trends in the dataset.</w:t>
      </w:r>
    </w:p>
    <w:p w14:paraId="02FBB489" w14:textId="0E76B77B" w:rsidR="00E65685" w:rsidRDefault="00E65685" w:rsidP="00585334">
      <w:pPr>
        <w:pStyle w:val="Els-2ndorder-head"/>
      </w:pPr>
      <w:bookmarkStart w:id="1" w:name="_Hlk155594589"/>
      <w:r w:rsidRPr="00B5567F">
        <w:rPr>
          <w:rFonts w:eastAsia="Arial"/>
          <w:iCs/>
        </w:rPr>
        <w:t>Data Treatment</w:t>
      </w:r>
    </w:p>
    <w:bookmarkEnd w:id="1"/>
    <w:p w14:paraId="1A45CDFA" w14:textId="39E299C0" w:rsidR="00E65685" w:rsidRDefault="00E65685" w:rsidP="00585334">
      <w:pPr>
        <w:pStyle w:val="Els-body-text"/>
        <w:spacing w:after="40"/>
        <w:rPr>
          <w:rFonts w:eastAsia="Arial"/>
        </w:rPr>
      </w:pPr>
      <w:r w:rsidRPr="00B5567F">
        <w:rPr>
          <w:rFonts w:eastAsia="Arial"/>
        </w:rPr>
        <w:t>Visual inspection effectively spots systematic errors, but not all are easily caught. This section explores multivariate data methods to address errors beyond visual detection.</w:t>
      </w:r>
    </w:p>
    <w:p w14:paraId="7D9FB7F0" w14:textId="5E738AB3" w:rsidR="00E65685" w:rsidRDefault="00E65685" w:rsidP="00585334">
      <w:pPr>
        <w:pStyle w:val="Els-body-text"/>
        <w:spacing w:after="40"/>
        <w:rPr>
          <w:rFonts w:eastAsia="Arial"/>
        </w:rPr>
      </w:pPr>
      <w:r w:rsidRPr="000A2E40">
        <w:rPr>
          <w:rFonts w:eastAsia="Arial"/>
          <w:b/>
          <w:bCs/>
        </w:rPr>
        <w:t>Three-standard-deviations rule.</w:t>
      </w:r>
      <w:r w:rsidRPr="00B5567F">
        <w:rPr>
          <w:rFonts w:eastAsia="Arial"/>
        </w:rPr>
        <w:t xml:space="preserve"> This widely used method assumes a normal data distribution. The 3-sigma interval </w:t>
      </w:r>
      <w:r w:rsidRPr="00F62AD0">
        <w:rPr>
          <w:rFonts w:eastAsia="Arial"/>
          <w:i/>
          <w:iCs/>
        </w:rPr>
        <w:t>T</w:t>
      </w:r>
      <w:r w:rsidRPr="00B5567F">
        <w:rPr>
          <w:rFonts w:eastAsia="Arial"/>
        </w:rPr>
        <w:t xml:space="preserve"> is defined based on the sample mean </w:t>
      </w:r>
      <m:oMath>
        <m:acc>
          <m:accPr>
            <m:ctrlPr>
              <w:rPr>
                <w:rFonts w:ascii="Cambria Math" w:eastAsia="Arial" w:hAnsi="Cambria Math"/>
                <w:i/>
              </w:rPr>
            </m:ctrlPr>
          </m:accPr>
          <m:e>
            <m:r>
              <w:rPr>
                <w:rFonts w:ascii="Cambria Math" w:eastAsia="Arial" w:hAnsi="Cambria Math"/>
              </w:rPr>
              <m:t>y</m:t>
            </m:r>
          </m:e>
        </m:acc>
      </m:oMath>
      <w:r w:rsidRPr="00B5567F">
        <w:rPr>
          <w:rFonts w:eastAsia="Arial"/>
        </w:rPr>
        <w:t xml:space="preserve"> and the standard deviation </w:t>
      </w:r>
      <w:r w:rsidRPr="00F62AD0">
        <w:rPr>
          <w:rFonts w:eastAsia="Arial"/>
          <w:i/>
          <w:iCs/>
        </w:rPr>
        <w:t>σ</w:t>
      </w:r>
      <w:r w:rsidRPr="00B5567F">
        <w:rPr>
          <w:rFonts w:eastAsia="Arial"/>
        </w:rPr>
        <w:t xml:space="preserve"> in Eq. (1). Observations outside this interval are considered outliers, with approximately 99.7% of data expected within 3-sigma from the mean.</w:t>
      </w:r>
      <w:r w:rsidR="00A92F40">
        <w:rPr>
          <w:rFonts w:eastAsia="Arial"/>
        </w:rPr>
        <w:t xml:space="preserve"> We use:</w:t>
      </w:r>
    </w:p>
    <w:tbl>
      <w:tblPr>
        <w:tblW w:w="7087" w:type="dxa"/>
        <w:tblLook w:val="04A0" w:firstRow="1" w:lastRow="0" w:firstColumn="1" w:lastColumn="0" w:noHBand="0" w:noVBand="1"/>
      </w:tblPr>
      <w:tblGrid>
        <w:gridCol w:w="6119"/>
        <w:gridCol w:w="968"/>
      </w:tblGrid>
      <w:tr w:rsidR="00F36FA5" w:rsidRPr="00A94774" w14:paraId="3FBF63EC" w14:textId="77777777" w:rsidTr="00F36FA5">
        <w:tc>
          <w:tcPr>
            <w:tcW w:w="6119" w:type="dxa"/>
            <w:shd w:val="clear" w:color="auto" w:fill="auto"/>
          </w:tcPr>
          <w:p w14:paraId="38A1AF2D" w14:textId="3401C2B4" w:rsidR="00F36FA5" w:rsidRPr="00A94774" w:rsidRDefault="00F36FA5" w:rsidP="00585334">
            <w:pPr>
              <w:pStyle w:val="Els-body-text"/>
              <w:spacing w:before="120" w:after="120"/>
              <w:rPr>
                <w:lang w:val="en-GB"/>
              </w:rPr>
            </w:pPr>
            <m:oMath>
              <m:r>
                <w:rPr>
                  <w:rFonts w:ascii="Cambria Math" w:eastAsia="Arial" w:hAnsi="Cambria Math"/>
                </w:rPr>
                <m:t>T=</m:t>
              </m:r>
              <m:acc>
                <m:accPr>
                  <m:ctrlPr>
                    <w:rPr>
                      <w:rFonts w:ascii="Cambria Math" w:eastAsia="Arial" w:hAnsi="Cambria Math"/>
                      <w:i/>
                    </w:rPr>
                  </m:ctrlPr>
                </m:accPr>
                <m:e>
                  <m:r>
                    <w:rPr>
                      <w:rFonts w:ascii="Cambria Math" w:eastAsia="Arial" w:hAnsi="Cambria Math"/>
                    </w:rPr>
                    <m:t>y</m:t>
                  </m:r>
                </m:e>
              </m:acc>
              <m:r>
                <w:rPr>
                  <w:rFonts w:ascii="Cambria Math" w:eastAsia="Arial" w:hAnsi="Cambria Math"/>
                </w:rPr>
                <m:t>±3σ</m:t>
              </m:r>
            </m:oMath>
            <w:r w:rsidR="00A92F40">
              <w:t>,</w:t>
            </w:r>
            <w:r>
              <w:t xml:space="preserve">  </w:t>
            </w:r>
          </w:p>
        </w:tc>
        <w:tc>
          <w:tcPr>
            <w:tcW w:w="968" w:type="dxa"/>
            <w:shd w:val="clear" w:color="auto" w:fill="auto"/>
            <w:vAlign w:val="center"/>
          </w:tcPr>
          <w:p w14:paraId="2DCA2A24" w14:textId="2A3C7B57" w:rsidR="00F36FA5" w:rsidRPr="00A94774" w:rsidRDefault="00F36FA5" w:rsidP="00585334">
            <w:pPr>
              <w:pStyle w:val="Els-body-text"/>
              <w:spacing w:before="120" w:after="120"/>
              <w:jc w:val="right"/>
              <w:rPr>
                <w:lang w:val="en-GB"/>
              </w:rPr>
            </w:pPr>
            <w:r>
              <w:t>(1)</w:t>
            </w:r>
          </w:p>
        </w:tc>
      </w:tr>
      <w:tr w:rsidR="00F36FA5" w:rsidRPr="00A94774" w14:paraId="366A2D59" w14:textId="77777777" w:rsidTr="00F36FA5">
        <w:tc>
          <w:tcPr>
            <w:tcW w:w="6119" w:type="dxa"/>
            <w:shd w:val="clear" w:color="auto" w:fill="auto"/>
          </w:tcPr>
          <w:p w14:paraId="64ABB0EA" w14:textId="42974A02" w:rsidR="00F36FA5" w:rsidRPr="00E603E6" w:rsidRDefault="00EE20B7" w:rsidP="00585334">
            <w:pPr>
              <w:pStyle w:val="Els-body-text"/>
              <w:spacing w:before="120" w:after="120"/>
              <w:rPr>
                <w:lang w:val="en-GB"/>
              </w:rPr>
            </w:pP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acc>
                <m:accPr>
                  <m:ctrlPr>
                    <w:rPr>
                      <w:rFonts w:ascii="Cambria Math" w:hAnsi="Cambria Math"/>
                      <w:i/>
                    </w:rPr>
                  </m:ctrlPr>
                </m:accPr>
                <m:e>
                  <m:r>
                    <w:rPr>
                      <w:rFonts w:ascii="Cambria Math" w:hAnsi="Cambria Math"/>
                    </w:rPr>
                    <m:t>x</m:t>
                  </m:r>
                </m:e>
              </m:acc>
              <m:r>
                <w:rPr>
                  <w:rFonts w:ascii="Cambria Math" w:hAnsi="Cambria Math"/>
                </w:rPr>
                <m:t>±</m:t>
              </m:r>
              <m:sSubSup>
                <m:sSubSupPr>
                  <m:ctrlPr>
                    <w:rPr>
                      <w:rFonts w:ascii="Cambria Math" w:hAnsi="Cambria Math"/>
                      <w:i/>
                    </w:rPr>
                  </m:ctrlPr>
                </m:sSubSupPr>
                <m:e>
                  <m:r>
                    <m:rPr>
                      <m:sty m:val="p"/>
                    </m:rPr>
                    <w:rPr>
                      <w:rStyle w:val="mi"/>
                      <w:rFonts w:ascii="Cambria Math" w:hAnsi="Cambria Math" w:cs="Tahoma"/>
                      <w:color w:val="000000"/>
                      <w:bdr w:val="none" w:sz="0" w:space="0" w:color="auto" w:frame="1"/>
                      <w:shd w:val="clear" w:color="auto" w:fill="FFFFFF"/>
                    </w:rPr>
                    <m:t>χ</m:t>
                  </m:r>
                </m:e>
                <m:sub>
                  <m:r>
                    <w:rPr>
                      <w:rFonts w:ascii="Cambria Math" w:hAnsi="Cambria Math"/>
                    </w:rPr>
                    <m:t>n,0.997</m:t>
                  </m:r>
                </m:sub>
                <m:sup>
                  <m:r>
                    <w:rPr>
                      <w:rFonts w:ascii="Cambria Math" w:hAnsi="Cambria Math"/>
                    </w:rPr>
                    <m:t>2</m:t>
                  </m:r>
                </m:sup>
              </m:sSubSup>
              <m:sSup>
                <m:sSupPr>
                  <m:ctrlPr>
                    <w:rPr>
                      <w:rFonts w:ascii="Cambria Math" w:hAnsi="Cambria Math"/>
                      <w:i/>
                    </w:rPr>
                  </m:ctrlPr>
                </m:sSupPr>
                <m:e>
                  <m:r>
                    <m:rPr>
                      <m:sty m:val="bi"/>
                    </m:rPr>
                    <w:rPr>
                      <w:rFonts w:ascii="Cambria Math" w:hAnsi="Cambria Math"/>
                    </w:rPr>
                    <m:t>S</m:t>
                  </m:r>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e</m:t>
              </m:r>
            </m:oMath>
            <w:r w:rsidR="00A92F40">
              <w:t>.</w:t>
            </w:r>
            <w:r w:rsidR="00F36FA5">
              <w:t xml:space="preserve"> </w:t>
            </w:r>
          </w:p>
        </w:tc>
        <w:tc>
          <w:tcPr>
            <w:tcW w:w="968" w:type="dxa"/>
            <w:shd w:val="clear" w:color="auto" w:fill="auto"/>
            <w:vAlign w:val="center"/>
          </w:tcPr>
          <w:p w14:paraId="29AEEA95" w14:textId="5EBFB0E4" w:rsidR="00F36FA5" w:rsidRPr="00A94774" w:rsidRDefault="00F36FA5" w:rsidP="00585334">
            <w:pPr>
              <w:pStyle w:val="Els-body-text"/>
              <w:spacing w:before="120" w:after="120"/>
              <w:jc w:val="right"/>
              <w:rPr>
                <w:lang w:val="en-GB"/>
              </w:rPr>
            </w:pPr>
            <w:r>
              <w:t>(2)</w:t>
            </w:r>
          </w:p>
        </w:tc>
      </w:tr>
    </w:tbl>
    <w:p w14:paraId="757078C9" w14:textId="753BEA02" w:rsidR="00F36FA5" w:rsidRDefault="00F36FA5" w:rsidP="00585334">
      <w:pPr>
        <w:spacing w:after="120"/>
        <w:rPr>
          <w:rFonts w:eastAsia="Arial"/>
        </w:rPr>
      </w:pPr>
      <w:r w:rsidRPr="00B5567F">
        <w:rPr>
          <w:rFonts w:eastAsia="Arial"/>
        </w:rPr>
        <w:t>Eq. (2) us</w:t>
      </w:r>
      <w:r>
        <w:rPr>
          <w:rFonts w:eastAsia="Arial"/>
        </w:rPr>
        <w:t>es</w:t>
      </w:r>
      <w:r w:rsidRPr="00B5567F">
        <w:rPr>
          <w:rFonts w:eastAsia="Arial"/>
        </w:rPr>
        <w:t xml:space="preserve"> the matrix</w:t>
      </w:r>
      <w:r>
        <w:rPr>
          <w:rFonts w:eastAsia="Arial"/>
        </w:rPr>
        <w:t xml:space="preserve"> </w:t>
      </w:r>
      <w:r w:rsidRPr="00B5567F">
        <w:rPr>
          <w:rFonts w:eastAsia="Arial"/>
        </w:rPr>
        <w:t>square</w:t>
      </w:r>
      <w:r>
        <w:rPr>
          <w:rFonts w:eastAsia="Arial"/>
        </w:rPr>
        <w:t xml:space="preserve"> </w:t>
      </w:r>
      <w:r w:rsidRPr="00B5567F">
        <w:rPr>
          <w:rFonts w:eastAsia="Arial"/>
        </w:rPr>
        <w:t xml:space="preserve">root </w:t>
      </w:r>
      <m:oMath>
        <m:sSup>
          <m:sSupPr>
            <m:ctrlPr>
              <w:rPr>
                <w:rFonts w:ascii="Cambria Math" w:hAnsi="Cambria Math"/>
                <w:i/>
              </w:rPr>
            </m:ctrlPr>
          </m:sSupPr>
          <m:e>
            <m:r>
              <m:rPr>
                <m:sty m:val="bi"/>
              </m:rPr>
              <w:rPr>
                <w:rFonts w:ascii="Cambria Math" w:hAnsi="Cambria Math"/>
              </w:rPr>
              <m:t>S</m:t>
            </m:r>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r w:rsidRPr="00B5567F">
        <w:rPr>
          <w:rFonts w:eastAsia="Arial"/>
        </w:rPr>
        <w:t xml:space="preserve"> and unit vector </w:t>
      </w:r>
      <w:r w:rsidRPr="00F36FA5">
        <w:rPr>
          <w:rFonts w:eastAsia="Arial"/>
          <w:i/>
          <w:iCs/>
        </w:rPr>
        <w:t>e</w:t>
      </w:r>
      <w:r w:rsidRPr="00B5567F">
        <w:rPr>
          <w:rFonts w:eastAsia="Arial"/>
        </w:rPr>
        <w:t xml:space="preserve"> </w:t>
      </w:r>
      <w:r>
        <w:rPr>
          <w:rFonts w:eastAsia="Arial"/>
        </w:rPr>
        <w:t>and</w:t>
      </w:r>
      <w:r>
        <w:t xml:space="preserve"> </w:t>
      </w:r>
      <m:oMath>
        <m:sSubSup>
          <m:sSubSupPr>
            <m:ctrlPr>
              <w:rPr>
                <w:rFonts w:ascii="Cambria Math" w:hAnsi="Cambria Math"/>
                <w:i/>
              </w:rPr>
            </m:ctrlPr>
          </m:sSubSupPr>
          <m:e>
            <m:r>
              <m:rPr>
                <m:sty m:val="p"/>
              </m:rPr>
              <w:rPr>
                <w:rStyle w:val="mi"/>
                <w:rFonts w:ascii="Cambria Math" w:hAnsi="Cambria Math" w:cs="Tahoma"/>
                <w:color w:val="000000"/>
                <w:bdr w:val="none" w:sz="0" w:space="0" w:color="auto" w:frame="1"/>
                <w:shd w:val="clear" w:color="auto" w:fill="FFFFFF"/>
              </w:rPr>
              <m:t>χ</m:t>
            </m:r>
          </m:e>
          <m:sub>
            <m:r>
              <w:rPr>
                <w:rFonts w:ascii="Cambria Math" w:hAnsi="Cambria Math"/>
              </w:rPr>
              <m:t>n,0.997</m:t>
            </m:r>
          </m:sub>
          <m:sup>
            <m:r>
              <w:rPr>
                <w:rFonts w:ascii="Cambria Math" w:hAnsi="Cambria Math"/>
              </w:rPr>
              <m:t>2</m:t>
            </m:r>
          </m:sup>
        </m:sSubSup>
        <m:r>
          <w:rPr>
            <w:rFonts w:ascii="Cambria Math" w:hAnsi="Cambria Math"/>
          </w:rPr>
          <m:t xml:space="preserve"> </m:t>
        </m:r>
      </m:oMath>
      <w:r w:rsidRPr="00B5567F">
        <w:rPr>
          <w:rFonts w:eastAsia="Arial"/>
        </w:rPr>
        <w:t>is the quantile of the</w:t>
      </w:r>
      <w:r>
        <w:rPr>
          <w:rFonts w:eastAsia="Arial"/>
        </w:rPr>
        <w:t xml:space="preserve"> </w:t>
      </w:r>
      <m:oMath>
        <m:sSup>
          <m:sSupPr>
            <m:ctrlPr>
              <w:rPr>
                <w:rFonts w:ascii="Cambria Math" w:eastAsia="Arial" w:hAnsi="Cambria Math"/>
                <w:i/>
              </w:rPr>
            </m:ctrlPr>
          </m:sSupPr>
          <m:e>
            <m:r>
              <m:rPr>
                <m:sty m:val="p"/>
              </m:rPr>
              <w:rPr>
                <w:rFonts w:ascii="Cambria Math" w:eastAsia="Arial" w:hAnsi="Cambria Math"/>
              </w:rPr>
              <m:t>χ</m:t>
            </m:r>
          </m:e>
          <m:sup>
            <m:r>
              <w:rPr>
                <w:rFonts w:ascii="Cambria Math" w:eastAsia="Arial" w:hAnsi="Cambria Math"/>
              </w:rPr>
              <m:t>2</m:t>
            </m:r>
          </m:sup>
        </m:sSup>
      </m:oMath>
      <w:r>
        <w:rPr>
          <w:rFonts w:eastAsia="Arial"/>
        </w:rPr>
        <w:t xml:space="preserve"> </w:t>
      </w:r>
      <w:r w:rsidRPr="00B5567F">
        <w:rPr>
          <w:rFonts w:eastAsia="Arial"/>
        </w:rPr>
        <w:t xml:space="preserve">distribution with </w:t>
      </w:r>
      <w:r w:rsidRPr="00F36FA5">
        <w:rPr>
          <w:rFonts w:eastAsia="Arial"/>
          <w:i/>
          <w:iCs/>
        </w:rPr>
        <w:t>n</w:t>
      </w:r>
      <w:r w:rsidRPr="00B5567F">
        <w:rPr>
          <w:rFonts w:eastAsia="Arial"/>
        </w:rPr>
        <w:t xml:space="preserve"> degrees of freedom and a probability level of</w:t>
      </w:r>
      <w:r>
        <w:t xml:space="preserve"> </w:t>
      </w:r>
      <w:r w:rsidRPr="00B5567F">
        <w:rPr>
          <w:rFonts w:eastAsia="Arial"/>
        </w:rPr>
        <w:t>99.7%.</w:t>
      </w:r>
    </w:p>
    <w:p w14:paraId="535B79CE" w14:textId="0491024A" w:rsidR="00E65685" w:rsidRDefault="00F36FA5" w:rsidP="00585334">
      <w:pPr>
        <w:rPr>
          <w:rFonts w:eastAsia="Arial"/>
        </w:rPr>
      </w:pPr>
      <w:r w:rsidRPr="00AA25B7">
        <w:rPr>
          <w:rFonts w:eastAsia="Arial"/>
          <w:b/>
          <w:bCs/>
        </w:rPr>
        <w:t>Minimum Covariance Determinant (MCD).</w:t>
      </w:r>
      <w:r w:rsidRPr="00B5567F">
        <w:rPr>
          <w:rFonts w:eastAsia="Arial"/>
        </w:rPr>
        <w:t xml:space="preserve"> This robust method (</w:t>
      </w:r>
      <w:proofErr w:type="spellStart"/>
      <w:r w:rsidRPr="00B5567F">
        <w:rPr>
          <w:rFonts w:eastAsia="Arial"/>
        </w:rPr>
        <w:t>Rousseeuw</w:t>
      </w:r>
      <w:proofErr w:type="spellEnd"/>
      <w:r w:rsidRPr="00B5567F">
        <w:rPr>
          <w:rFonts w:eastAsia="Arial"/>
        </w:rPr>
        <w:t xml:space="preserve"> and Driessen, 1999) detects outliers in multi</w:t>
      </w:r>
      <w:r w:rsidR="00F62AD0">
        <w:rPr>
          <w:rFonts w:eastAsia="Arial"/>
        </w:rPr>
        <w:t>variate</w:t>
      </w:r>
      <w:r w:rsidRPr="00B5567F">
        <w:rPr>
          <w:rFonts w:eastAsia="Arial"/>
        </w:rPr>
        <w:t xml:space="preserve"> data using the </w:t>
      </w:r>
      <w:proofErr w:type="spellStart"/>
      <w:r w:rsidRPr="00B5567F">
        <w:rPr>
          <w:rFonts w:eastAsia="Arial"/>
        </w:rPr>
        <w:t>Mahalanobis</w:t>
      </w:r>
      <w:proofErr w:type="spellEnd"/>
      <w:r w:rsidRPr="00B5567F">
        <w:rPr>
          <w:rFonts w:eastAsia="Arial"/>
        </w:rPr>
        <w:t xml:space="preserve"> distance:</w:t>
      </w:r>
    </w:p>
    <w:tbl>
      <w:tblPr>
        <w:tblW w:w="7087" w:type="dxa"/>
        <w:tblLook w:val="04A0" w:firstRow="1" w:lastRow="0" w:firstColumn="1" w:lastColumn="0" w:noHBand="0" w:noVBand="1"/>
      </w:tblPr>
      <w:tblGrid>
        <w:gridCol w:w="6131"/>
        <w:gridCol w:w="956"/>
      </w:tblGrid>
      <w:tr w:rsidR="00F36FA5" w:rsidRPr="00A94774" w14:paraId="65C07E5C" w14:textId="77777777" w:rsidTr="00F36FA5">
        <w:tc>
          <w:tcPr>
            <w:tcW w:w="6131" w:type="dxa"/>
            <w:shd w:val="clear" w:color="auto" w:fill="auto"/>
            <w:vAlign w:val="center"/>
          </w:tcPr>
          <w:bookmarkStart w:id="2" w:name="_Hlk155594820"/>
          <w:p w14:paraId="32F37DB4" w14:textId="4A1181A9" w:rsidR="00F36FA5" w:rsidRPr="00F36FA5" w:rsidRDefault="00EE20B7" w:rsidP="00585334">
            <w:pPr>
              <w:pStyle w:val="Els-body-text"/>
              <w:spacing w:before="120" w:after="120"/>
              <w:rPr>
                <w:lang w:val="en-GB"/>
              </w:rPr>
            </w:pPr>
            <m:oMath>
              <m:sSub>
                <m:sSubPr>
                  <m:ctrlPr>
                    <w:rPr>
                      <w:rFonts w:ascii="Cambria Math" w:hAnsi="Cambria Math"/>
                      <w:i/>
                    </w:rPr>
                  </m:ctrlPr>
                </m:sSubPr>
                <m:e>
                  <m:r>
                    <w:rPr>
                      <w:rFonts w:ascii="Cambria Math" w:hAnsi="Cambria Math"/>
                    </w:rPr>
                    <m:t>d</m:t>
                  </m:r>
                </m:e>
                <m:sub>
                  <m:r>
                    <w:rPr>
                      <w:rFonts w:ascii="Cambria Math" w:hAnsi="Cambria Math"/>
                    </w:rPr>
                    <m:t>MCD,</m:t>
                  </m:r>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r>
                        <m:rPr>
                          <m:sty m:val="bi"/>
                        </m:rP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acc>
                        <m:accPr>
                          <m:ctrlPr>
                            <w:rPr>
                              <w:rFonts w:ascii="Cambria Math" w:hAnsi="Cambria Math"/>
                              <w:b/>
                              <w:bCs/>
                              <w:i/>
                            </w:rPr>
                          </m:ctrlPr>
                        </m:accPr>
                        <m:e>
                          <m:r>
                            <m:rPr>
                              <m:sty m:val="bi"/>
                            </m:rPr>
                            <w:rPr>
                              <w:rFonts w:ascii="Cambria Math" w:hAnsi="Cambria Math"/>
                            </w:rPr>
                            <m:t>x</m:t>
                          </m:r>
                        </m:e>
                      </m:acc>
                      <m:r>
                        <w:rPr>
                          <w:rFonts w:ascii="Cambria Math" w:hAnsi="Cambria Math"/>
                        </w:rPr>
                        <m:t>)</m:t>
                      </m:r>
                    </m:e>
                    <m:sup>
                      <m:r>
                        <w:rPr>
                          <w:rFonts w:ascii="Cambria Math" w:hAnsi="Cambria Math"/>
                        </w:rPr>
                        <m:t>T</m:t>
                      </m:r>
                    </m:sup>
                  </m:sSup>
                  <m:sSup>
                    <m:sSupPr>
                      <m:ctrlPr>
                        <w:rPr>
                          <w:rFonts w:ascii="Cambria Math" w:hAnsi="Cambria Math"/>
                          <w:i/>
                        </w:rPr>
                      </m:ctrlPr>
                    </m:sSupPr>
                    <m:e>
                      <m:r>
                        <m:rPr>
                          <m:sty m:val="bi"/>
                        </m:rPr>
                        <w:rPr>
                          <w:rFonts w:ascii="Cambria Math" w:hAnsi="Cambria Math"/>
                        </w:rPr>
                        <m:t>S</m:t>
                      </m:r>
                    </m:e>
                    <m:sup>
                      <m:r>
                        <w:rPr>
                          <w:rFonts w:ascii="Cambria Math" w:hAnsi="Cambria Math"/>
                        </w:rPr>
                        <m:t>-1</m:t>
                      </m:r>
                    </m:sup>
                  </m:sSup>
                  <m:r>
                    <w:rPr>
                      <w:rFonts w:ascii="Cambria Math" w:hAnsi="Cambria Math"/>
                    </w:rPr>
                    <m:t>(</m:t>
                  </m:r>
                  <m:r>
                    <m:rPr>
                      <m:sty m:val="bi"/>
                    </m:rP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acc>
                    <m:accPr>
                      <m:ctrlPr>
                        <w:rPr>
                          <w:rFonts w:ascii="Cambria Math" w:hAnsi="Cambria Math"/>
                          <w:i/>
                        </w:rPr>
                      </m:ctrlPr>
                    </m:accPr>
                    <m:e>
                      <m:r>
                        <m:rPr>
                          <m:sty m:val="bi"/>
                        </m:rPr>
                        <w:rPr>
                          <w:rFonts w:ascii="Cambria Math" w:hAnsi="Cambria Math"/>
                        </w:rPr>
                        <m:t>x</m:t>
                      </m:r>
                    </m:e>
                  </m:acc>
                  <m:r>
                    <w:rPr>
                      <w:rFonts w:ascii="Cambria Math" w:hAnsi="Cambria Math"/>
                    </w:rPr>
                    <m:t>))</m:t>
                  </m:r>
                </m:e>
              </m:rad>
            </m:oMath>
            <w:r w:rsidR="00F62AD0">
              <w:t>,</w:t>
            </w:r>
          </w:p>
        </w:tc>
        <w:tc>
          <w:tcPr>
            <w:tcW w:w="956" w:type="dxa"/>
            <w:shd w:val="clear" w:color="auto" w:fill="auto"/>
            <w:vAlign w:val="center"/>
          </w:tcPr>
          <w:p w14:paraId="422A2454" w14:textId="30A3FD1B" w:rsidR="00F36FA5" w:rsidRPr="00A94774" w:rsidRDefault="00F36FA5" w:rsidP="00585334">
            <w:pPr>
              <w:pStyle w:val="Els-body-text"/>
              <w:spacing w:before="120" w:after="120"/>
              <w:jc w:val="right"/>
              <w:rPr>
                <w:lang w:val="en-GB"/>
              </w:rPr>
            </w:pPr>
            <w:r w:rsidRPr="00A94774">
              <w:rPr>
                <w:lang w:val="en-GB"/>
              </w:rPr>
              <w:t>(</w:t>
            </w:r>
            <w:r>
              <w:rPr>
                <w:lang w:val="en-GB"/>
              </w:rPr>
              <w:t>3</w:t>
            </w:r>
            <w:r w:rsidRPr="00A94774">
              <w:rPr>
                <w:lang w:val="en-GB"/>
              </w:rPr>
              <w:t>)</w:t>
            </w:r>
          </w:p>
        </w:tc>
      </w:tr>
    </w:tbl>
    <w:bookmarkEnd w:id="2"/>
    <w:p w14:paraId="28448404" w14:textId="43F67B29" w:rsidR="00E65685" w:rsidRDefault="00F36FA5" w:rsidP="00585334">
      <w:pPr>
        <w:pStyle w:val="Els-body-text"/>
        <w:spacing w:after="40"/>
        <w:rPr>
          <w:rFonts w:eastAsia="Arial"/>
        </w:rPr>
      </w:pPr>
      <w:r w:rsidRPr="00B5567F">
        <w:rPr>
          <w:rFonts w:eastAsia="Arial"/>
        </w:rPr>
        <w:t xml:space="preserve">which </w:t>
      </w:r>
      <w:r w:rsidR="00A06F48">
        <w:rPr>
          <w:rFonts w:eastAsia="Arial"/>
        </w:rPr>
        <w:t>shows</w:t>
      </w:r>
      <w:r w:rsidRPr="00B5567F">
        <w:rPr>
          <w:rFonts w:eastAsia="Arial"/>
        </w:rPr>
        <w:t xml:space="preserve"> </w:t>
      </w:r>
      <w:r w:rsidR="00A06F48">
        <w:rPr>
          <w:rFonts w:eastAsia="Arial"/>
        </w:rPr>
        <w:t xml:space="preserve">the </w:t>
      </w:r>
      <w:r w:rsidRPr="00B5567F">
        <w:rPr>
          <w:rFonts w:eastAsia="Arial"/>
        </w:rPr>
        <w:t xml:space="preserve">dissimilarity between a measurement </w:t>
      </w:r>
      <m:oMath>
        <m:r>
          <m:rPr>
            <m:sty m:val="bi"/>
          </m:rP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oMath>
      <w:r w:rsidRPr="00B5567F">
        <w:rPr>
          <w:rFonts w:eastAsia="Arial"/>
        </w:rPr>
        <w:t xml:space="preserve"> and the underlying probability distribution using the </w:t>
      </w:r>
      <w:r w:rsidRPr="00F36FA5">
        <w:rPr>
          <w:rFonts w:eastAsia="Arial"/>
          <w:i/>
          <w:iCs/>
        </w:rPr>
        <w:t>d</w:t>
      </w:r>
      <w:r w:rsidRPr="00F36FA5">
        <w:rPr>
          <w:rFonts w:eastAsia="Arial"/>
          <w:i/>
          <w:iCs/>
          <w:vertAlign w:val="subscript"/>
        </w:rPr>
        <w:t>MCD</w:t>
      </w:r>
      <w:r w:rsidRPr="00B5567F">
        <w:rPr>
          <w:rFonts w:eastAsia="Arial"/>
        </w:rPr>
        <w:t xml:space="preserve">. It achieves robustness by iteratively identifying </w:t>
      </w:r>
      <w:r w:rsidR="00A06F48">
        <w:rPr>
          <w:rFonts w:eastAsia="Arial"/>
        </w:rPr>
        <w:t xml:space="preserve">data </w:t>
      </w:r>
      <w:r w:rsidRPr="00B5567F">
        <w:rPr>
          <w:rFonts w:eastAsia="Arial"/>
        </w:rPr>
        <w:t xml:space="preserve">subsets with the minimum determinant of the sample covariance matrix </w:t>
      </w:r>
      <m:oMath>
        <m:r>
          <m:rPr>
            <m:sty m:val="bi"/>
          </m:rPr>
          <w:rPr>
            <w:rFonts w:ascii="Cambria Math" w:eastAsia="Arial" w:hAnsi="Cambria Math"/>
          </w:rPr>
          <m:t>S</m:t>
        </m:r>
      </m:oMath>
      <w:r w:rsidRPr="00B5567F">
        <w:rPr>
          <w:rFonts w:eastAsia="Arial"/>
        </w:rPr>
        <w:t>, mitigating outlier influence. Th</w:t>
      </w:r>
      <w:r w:rsidR="00A06F48">
        <w:rPr>
          <w:rFonts w:eastAsia="Arial"/>
        </w:rPr>
        <w:t>e</w:t>
      </w:r>
      <w:r w:rsidRPr="00B5567F">
        <w:rPr>
          <w:rFonts w:eastAsia="Arial"/>
        </w:rPr>
        <w:t xml:space="preserve"> process continues until the determinant of </w:t>
      </w:r>
      <m:oMath>
        <m:r>
          <m:rPr>
            <m:sty m:val="bi"/>
          </m:rPr>
          <w:rPr>
            <w:rFonts w:ascii="Cambria Math" w:eastAsia="Arial" w:hAnsi="Cambria Math"/>
          </w:rPr>
          <m:t>S</m:t>
        </m:r>
      </m:oMath>
      <w:r w:rsidRPr="00B5567F">
        <w:rPr>
          <w:rFonts w:eastAsia="Arial"/>
        </w:rPr>
        <w:t xml:space="preserve"> stabilizes.</w:t>
      </w:r>
      <w:r>
        <w:t xml:space="preserve"> </w:t>
      </w:r>
      <w:r w:rsidRPr="00B5567F">
        <w:rPr>
          <w:rFonts w:eastAsia="Arial"/>
        </w:rPr>
        <w:t>The methods discussed focus on global anomalies and may not effectively capture local</w:t>
      </w:r>
      <w:r>
        <w:rPr>
          <w:rFonts w:eastAsia="Arial"/>
        </w:rPr>
        <w:t xml:space="preserve"> </w:t>
      </w:r>
      <w:r w:rsidRPr="00B5567F">
        <w:rPr>
          <w:rFonts w:eastAsia="Arial"/>
        </w:rPr>
        <w:t>deviations. We address this in the following text by taking the temporal dimension into account.</w:t>
      </w:r>
    </w:p>
    <w:p w14:paraId="3B5E877A" w14:textId="0FA80D72" w:rsidR="00F36FA5" w:rsidRDefault="00073F3D" w:rsidP="00585334">
      <w:pPr>
        <w:pStyle w:val="Els-2ndorder-head"/>
      </w:pPr>
      <w:r w:rsidRPr="00B5567F">
        <w:rPr>
          <w:rFonts w:eastAsia="Arial"/>
          <w:iCs/>
        </w:rPr>
        <w:t>Outlier Detection using Data Averaging</w:t>
      </w:r>
    </w:p>
    <w:p w14:paraId="21A112E4" w14:textId="30941AA2" w:rsidR="00F36FA5" w:rsidRDefault="00F36FA5" w:rsidP="00585334">
      <w:pPr>
        <w:pStyle w:val="Els-body-text"/>
        <w:spacing w:after="40"/>
        <w:rPr>
          <w:lang w:val="en-GB"/>
        </w:rPr>
      </w:pPr>
      <w:r w:rsidRPr="00B5567F">
        <w:rPr>
          <w:rFonts w:eastAsia="Arial"/>
        </w:rPr>
        <w:t xml:space="preserve">This method targets unusual values in the local signal behavior within a window of size </w:t>
      </w:r>
      <w:r w:rsidRPr="00A91631">
        <w:rPr>
          <w:rFonts w:eastAsia="Arial"/>
          <w:i/>
          <w:iCs/>
        </w:rPr>
        <w:t>N</w:t>
      </w:r>
      <w:r w:rsidRPr="00B5567F">
        <w:rPr>
          <w:rFonts w:eastAsia="Arial"/>
        </w:rPr>
        <w:t xml:space="preserve">, allowing flexibility in focusing on local, temporary, or global deviations based on the chosen </w:t>
      </w:r>
      <w:r w:rsidRPr="00F62AD0">
        <w:rPr>
          <w:rFonts w:eastAsia="Arial"/>
          <w:i/>
          <w:iCs/>
        </w:rPr>
        <w:t>N</w:t>
      </w:r>
      <w:r w:rsidRPr="00B5567F">
        <w:rPr>
          <w:rFonts w:eastAsia="Arial"/>
        </w:rPr>
        <w:t>. The confidence interval in this method is computed as:</w:t>
      </w:r>
    </w:p>
    <w:tbl>
      <w:tblPr>
        <w:tblW w:w="7087" w:type="dxa"/>
        <w:tblLook w:val="04A0" w:firstRow="1" w:lastRow="0" w:firstColumn="1" w:lastColumn="0" w:noHBand="0" w:noVBand="1"/>
      </w:tblPr>
      <w:tblGrid>
        <w:gridCol w:w="6123"/>
        <w:gridCol w:w="964"/>
      </w:tblGrid>
      <w:tr w:rsidR="00F36FA5" w:rsidRPr="00A94774" w14:paraId="278B7280" w14:textId="77777777" w:rsidTr="00F36FA5">
        <w:tc>
          <w:tcPr>
            <w:tcW w:w="6123" w:type="dxa"/>
            <w:shd w:val="clear" w:color="auto" w:fill="auto"/>
            <w:vAlign w:val="center"/>
          </w:tcPr>
          <w:p w14:paraId="04C5F5E5" w14:textId="70EDA58B" w:rsidR="00F36FA5" w:rsidRPr="00F36FA5" w:rsidRDefault="00F36FA5" w:rsidP="00585334">
            <w:pPr>
              <w:pStyle w:val="Els-body-text"/>
              <w:spacing w:before="120" w:after="120"/>
              <w:rPr>
                <w:lang w:val="en-GB"/>
              </w:rPr>
            </w:pPr>
            <m:oMath>
              <m: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acc>
                <m:accPr>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N,0.997</m:t>
                  </m:r>
                </m:sub>
              </m:sSub>
              <m:rad>
                <m:radPr>
                  <m:degHide m:val="1"/>
                  <m:ctrlPr>
                    <w:rPr>
                      <w:rFonts w:ascii="Cambria Math" w:hAnsi="Cambria Math"/>
                      <w:i/>
                    </w:rPr>
                  </m:ctrlPr>
                </m:radPr>
                <m:deg/>
                <m:e>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/N</m:t>
                  </m:r>
                </m:e>
              </m:rad>
            </m:oMath>
            <w:r w:rsidR="00F62AD0">
              <w:t>,</w:t>
            </w:r>
          </w:p>
        </w:tc>
        <w:tc>
          <w:tcPr>
            <w:tcW w:w="964" w:type="dxa"/>
            <w:shd w:val="clear" w:color="auto" w:fill="auto"/>
            <w:vAlign w:val="center"/>
          </w:tcPr>
          <w:p w14:paraId="39770F1C" w14:textId="021C0154" w:rsidR="00F36FA5" w:rsidRPr="00A94774" w:rsidRDefault="00F36FA5" w:rsidP="00585334">
            <w:pPr>
              <w:pStyle w:val="Els-body-text"/>
              <w:spacing w:before="120" w:after="120"/>
              <w:jc w:val="right"/>
              <w:rPr>
                <w:lang w:val="en-GB"/>
              </w:rPr>
            </w:pPr>
            <w:r w:rsidRPr="00A94774">
              <w:rPr>
                <w:lang w:val="en-GB"/>
              </w:rPr>
              <w:t>(</w:t>
            </w:r>
            <w:r>
              <w:rPr>
                <w:lang w:val="en-GB"/>
              </w:rPr>
              <w:t>4</w:t>
            </w:r>
            <w:r w:rsidRPr="00A94774">
              <w:rPr>
                <w:lang w:val="en-GB"/>
              </w:rPr>
              <w:t>)</w:t>
            </w:r>
          </w:p>
        </w:tc>
      </w:tr>
    </w:tbl>
    <w:p w14:paraId="1125D5B1" w14:textId="7BEC5C38" w:rsidR="00F36FA5" w:rsidRDefault="00F36FA5" w:rsidP="00585334">
      <w:pPr>
        <w:pStyle w:val="Els-body-text"/>
        <w:spacing w:after="40"/>
        <w:rPr>
          <w:rFonts w:eastAsia="Arial"/>
        </w:rPr>
      </w:pPr>
      <w:r w:rsidRPr="00B5567F">
        <w:rPr>
          <w:rFonts w:eastAsia="Arial"/>
        </w:rPr>
        <w:t xml:space="preserve">where </w:t>
      </w:r>
      <w:r w:rsidRPr="00A91631">
        <w:rPr>
          <w:rFonts w:eastAsia="Arial"/>
          <w:i/>
          <w:iCs/>
        </w:rPr>
        <w:t>t</w:t>
      </w:r>
      <w:r w:rsidRPr="00A91631">
        <w:rPr>
          <w:rFonts w:eastAsia="Arial"/>
          <w:i/>
          <w:iCs/>
          <w:vertAlign w:val="subscript"/>
        </w:rPr>
        <w:t>N</w:t>
      </w:r>
      <w:r w:rsidRPr="00B5567F">
        <w:rPr>
          <w:rFonts w:eastAsia="Arial"/>
          <w:vertAlign w:val="subscript"/>
        </w:rPr>
        <w:t>,0.997</w:t>
      </w:r>
      <w:r w:rsidRPr="00B5567F">
        <w:rPr>
          <w:rFonts w:eastAsia="Arial"/>
        </w:rPr>
        <w:t xml:space="preserve"> represents the inverse of Student’s </w:t>
      </w:r>
      <w:r w:rsidRPr="00A91631">
        <w:rPr>
          <w:rFonts w:eastAsia="Arial"/>
          <w:i/>
          <w:iCs/>
        </w:rPr>
        <w:t>t</w:t>
      </w:r>
      <w:r w:rsidRPr="00B5567F">
        <w:rPr>
          <w:rFonts w:eastAsia="Arial"/>
        </w:rPr>
        <w:t xml:space="preserve"> distribution (Student, 1908) with </w:t>
      </w:r>
      <w:r w:rsidRPr="00A91631">
        <w:rPr>
          <w:rFonts w:eastAsia="Arial"/>
          <w:i/>
          <w:iCs/>
        </w:rPr>
        <w:t>N</w:t>
      </w:r>
      <w:r w:rsidRPr="00B5567F">
        <w:rPr>
          <w:rFonts w:eastAsia="Arial"/>
        </w:rPr>
        <w:t xml:space="preserve"> degrees of freedom, and </w:t>
      </w:r>
      <w:r w:rsidRPr="00A91631">
        <w:rPr>
          <w:rFonts w:eastAsia="Arial"/>
          <w:i/>
          <w:iCs/>
        </w:rPr>
        <w:t>σ</w:t>
      </w:r>
      <w:r w:rsidRPr="00A91631">
        <w:rPr>
          <w:rFonts w:eastAsia="Arial"/>
          <w:vertAlign w:val="superscript"/>
        </w:rPr>
        <w:t>2</w:t>
      </w:r>
      <w:r w:rsidRPr="00B5567F">
        <w:rPr>
          <w:rFonts w:eastAsia="Arial"/>
        </w:rPr>
        <w:t xml:space="preserve"> corresponds to the variance </w:t>
      </w:r>
      <w:r w:rsidR="00F62AD0">
        <w:rPr>
          <w:rFonts w:eastAsia="Arial"/>
        </w:rPr>
        <w:t>within</w:t>
      </w:r>
      <w:r w:rsidRPr="00B5567F">
        <w:rPr>
          <w:rFonts w:eastAsia="Arial"/>
        </w:rPr>
        <w:t xml:space="preserve"> the monitored window.</w:t>
      </w:r>
    </w:p>
    <w:p w14:paraId="76EC4127" w14:textId="4AF8832E" w:rsidR="00F36FA5" w:rsidRDefault="00F36FA5" w:rsidP="00585334">
      <w:pPr>
        <w:pStyle w:val="Els-body-text"/>
        <w:spacing w:after="40"/>
        <w:rPr>
          <w:rFonts w:eastAsia="Arial"/>
        </w:rPr>
      </w:pPr>
      <w:r w:rsidRPr="00FF66E3">
        <w:rPr>
          <w:rFonts w:eastAsia="Arial"/>
          <w:b/>
          <w:bCs/>
        </w:rPr>
        <w:lastRenderedPageBreak/>
        <w:t>Statistical Mean.</w:t>
      </w:r>
      <w:r w:rsidRPr="00B5567F">
        <w:rPr>
          <w:rFonts w:eastAsia="Arial"/>
        </w:rPr>
        <w:t xml:space="preserve"> This method involves calculating the absolute mean of </w:t>
      </w:r>
      <m:oMath>
        <m:r>
          <w:rPr>
            <w:rFonts w:ascii="Cambria Math" w:eastAsia="Arial" w:hAnsi="Cambria Math"/>
          </w:rPr>
          <m:t>y(t)</m:t>
        </m:r>
      </m:oMath>
      <w:r w:rsidRPr="00B5567F">
        <w:rPr>
          <w:rFonts w:eastAsia="Arial"/>
        </w:rPr>
        <w:t xml:space="preserve"> over extended periods (</w:t>
      </w:r>
      <w:r w:rsidRPr="00F36FA5">
        <w:rPr>
          <w:rFonts w:eastAsia="Arial"/>
          <w:i/>
          <w:iCs/>
        </w:rPr>
        <w:t>N</w:t>
      </w:r>
      <w:r w:rsidRPr="00B5567F">
        <w:rPr>
          <w:rFonts w:eastAsia="Arial"/>
        </w:rPr>
        <w:t xml:space="preserve"> ranges from months to years). The detection criterion is based on (1).</w:t>
      </w:r>
    </w:p>
    <w:p w14:paraId="0C6B3EE8" w14:textId="10955DA7" w:rsidR="00F36FA5" w:rsidRPr="00F36FA5" w:rsidRDefault="00F36FA5" w:rsidP="00585334">
      <w:pPr>
        <w:pStyle w:val="Els-body-text"/>
        <w:spacing w:after="40"/>
        <w:rPr>
          <w:lang w:val="en-GB"/>
        </w:rPr>
      </w:pPr>
      <w:r w:rsidRPr="00F36FA5">
        <w:rPr>
          <w:b/>
          <w:bCs/>
          <w:lang w:val="en-GB"/>
        </w:rPr>
        <w:t>Temporal Mean.</w:t>
      </w:r>
      <w:r w:rsidRPr="00F36FA5">
        <w:rPr>
          <w:lang w:val="en-GB"/>
        </w:rPr>
        <w:t xml:space="preserve"> By evaluating the mean of consecutive data point differences </w:t>
      </w:r>
      <m:oMath>
        <m:r>
          <m:rPr>
            <m:sty m:val="p"/>
          </m:rPr>
          <w:rPr>
            <w:rFonts w:ascii="Cambria Math" w:eastAsia="Arial" w:hAnsi="Cambria Math"/>
          </w:rPr>
          <m:t>Δ</m:t>
        </m:r>
        <m:r>
          <w:rPr>
            <w:rFonts w:ascii="Cambria Math" w:eastAsia="Arial" w:hAnsi="Cambria Math"/>
          </w:rPr>
          <m:t>y(</m:t>
        </m:r>
        <m:sSub>
          <m:sSubPr>
            <m:ctrlPr>
              <w:rPr>
                <w:rFonts w:ascii="Cambria Math" w:eastAsia="Arial" w:hAnsi="Cambria Math"/>
                <w:i/>
              </w:rPr>
            </m:ctrlPr>
          </m:sSubPr>
          <m:e>
            <m:r>
              <w:rPr>
                <w:rFonts w:ascii="Cambria Math" w:eastAsia="Arial" w:hAnsi="Cambria Math"/>
              </w:rPr>
              <m:t>t</m:t>
            </m:r>
          </m:e>
          <m:sub>
            <m:r>
              <w:rPr>
                <w:rFonts w:ascii="Cambria Math" w:eastAsia="Arial" w:hAnsi="Cambria Math"/>
              </w:rPr>
              <m:t>i</m:t>
            </m:r>
          </m:sub>
        </m:sSub>
        <m:r>
          <w:rPr>
            <w:rFonts w:ascii="Cambria Math" w:eastAsia="Arial" w:hAnsi="Cambria Math"/>
          </w:rPr>
          <m:t>)=y(</m:t>
        </m:r>
        <m:sSub>
          <m:sSubPr>
            <m:ctrlPr>
              <w:rPr>
                <w:rFonts w:ascii="Cambria Math" w:eastAsia="Arial" w:hAnsi="Cambria Math"/>
                <w:i/>
              </w:rPr>
            </m:ctrlPr>
          </m:sSubPr>
          <m:e>
            <m:r>
              <w:rPr>
                <w:rFonts w:ascii="Cambria Math" w:eastAsia="Arial" w:hAnsi="Cambria Math"/>
              </w:rPr>
              <m:t>t</m:t>
            </m:r>
          </m:e>
          <m:sub>
            <m:r>
              <w:rPr>
                <w:rFonts w:ascii="Cambria Math" w:eastAsia="Arial" w:hAnsi="Cambria Math"/>
              </w:rPr>
              <m:t>i</m:t>
            </m:r>
          </m:sub>
        </m:sSub>
        <m:r>
          <w:rPr>
            <w:rFonts w:ascii="Cambria Math" w:eastAsia="Arial" w:hAnsi="Cambria Math"/>
          </w:rPr>
          <m:t>) - y(</m:t>
        </m:r>
        <m:sSub>
          <m:sSubPr>
            <m:ctrlPr>
              <w:rPr>
                <w:rFonts w:ascii="Cambria Math" w:eastAsia="Arial" w:hAnsi="Cambria Math"/>
                <w:i/>
              </w:rPr>
            </m:ctrlPr>
          </m:sSubPr>
          <m:e>
            <m:r>
              <w:rPr>
                <w:rFonts w:ascii="Cambria Math" w:eastAsia="Arial" w:hAnsi="Cambria Math"/>
              </w:rPr>
              <m:t>t</m:t>
            </m:r>
          </m:e>
          <m:sub>
            <m:r>
              <w:rPr>
                <w:rFonts w:ascii="Cambria Math" w:eastAsia="Arial" w:hAnsi="Cambria Math"/>
              </w:rPr>
              <m:t>i-1</m:t>
            </m:r>
          </m:sub>
        </m:sSub>
        <m:r>
          <w:rPr>
            <w:rFonts w:ascii="Cambria Math" w:eastAsia="Arial" w:hAnsi="Cambria Math"/>
          </w:rPr>
          <m:t>),</m:t>
        </m:r>
      </m:oMath>
      <w:r w:rsidRPr="00F36FA5">
        <w:rPr>
          <w:lang w:val="en-GB"/>
        </w:rPr>
        <w:t xml:space="preserve"> we detect immediate variations in measurements. Outliers are identified when deviating from the interval in (1).</w:t>
      </w:r>
    </w:p>
    <w:p w14:paraId="0959082D" w14:textId="6C40F8D6" w:rsidR="00F36FA5" w:rsidRDefault="00F36FA5" w:rsidP="00585334">
      <w:pPr>
        <w:pStyle w:val="Els-body-text"/>
        <w:spacing w:after="40"/>
        <w:rPr>
          <w:lang w:val="en-GB"/>
        </w:rPr>
      </w:pPr>
      <w:r w:rsidRPr="00F36FA5">
        <w:rPr>
          <w:b/>
          <w:bCs/>
          <w:lang w:val="en-GB"/>
        </w:rPr>
        <w:t>Simple Moving Average (SIMA).</w:t>
      </w:r>
      <w:r w:rsidRPr="00F36FA5">
        <w:rPr>
          <w:lang w:val="en-GB"/>
        </w:rPr>
        <w:t xml:space="preserve"> A dynamic average, adapting to dataset changes, </w:t>
      </w:r>
      <w:r w:rsidR="00073F3D">
        <w:rPr>
          <w:lang w:val="en-GB"/>
        </w:rPr>
        <w:t>uses</w:t>
      </w:r>
      <w:r w:rsidRPr="00F36FA5">
        <w:rPr>
          <w:lang w:val="en-GB"/>
        </w:rPr>
        <w:t xml:space="preserve"> (5) </w:t>
      </w:r>
      <w:r w:rsidR="00073F3D">
        <w:rPr>
          <w:lang w:val="en-GB"/>
        </w:rPr>
        <w:t>with</w:t>
      </w:r>
      <w:r w:rsidRPr="00F36FA5">
        <w:rPr>
          <w:lang w:val="en-GB"/>
        </w:rPr>
        <w:t xml:space="preserve"> a fixed window of past measurements (Oppenheim, 1999). Observations outside the interval (4) are identified as outliers, highlighting inconsistencies </w:t>
      </w:r>
      <w:r w:rsidR="00073F3D">
        <w:rPr>
          <w:lang w:val="en-GB"/>
        </w:rPr>
        <w:t>i</w:t>
      </w:r>
      <w:r w:rsidRPr="00F36FA5">
        <w:rPr>
          <w:lang w:val="en-GB"/>
        </w:rPr>
        <w:t>n recent history.</w:t>
      </w:r>
    </w:p>
    <w:tbl>
      <w:tblPr>
        <w:tblW w:w="7087" w:type="dxa"/>
        <w:tblLook w:val="04A0" w:firstRow="1" w:lastRow="0" w:firstColumn="1" w:lastColumn="0" w:noHBand="0" w:noVBand="1"/>
      </w:tblPr>
      <w:tblGrid>
        <w:gridCol w:w="6119"/>
        <w:gridCol w:w="968"/>
      </w:tblGrid>
      <w:tr w:rsidR="00F62AD0" w:rsidRPr="00A94774" w14:paraId="3187D765" w14:textId="77777777" w:rsidTr="00FA77D7">
        <w:tc>
          <w:tcPr>
            <w:tcW w:w="6119" w:type="dxa"/>
            <w:shd w:val="clear" w:color="auto" w:fill="auto"/>
          </w:tcPr>
          <w:p w14:paraId="688FEBA3" w14:textId="766269C6" w:rsidR="00F62AD0" w:rsidRPr="00F62AD0" w:rsidRDefault="00EE20B7" w:rsidP="00FA77D7">
            <w:pPr>
              <w:pStyle w:val="Els-body-text"/>
              <w:spacing w:before="120" w:after="120"/>
              <w:rPr>
                <w:lang w:val="en-GB"/>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subSup"/>
                    <m:ctrlPr>
                      <w:rPr>
                        <w:rFonts w:ascii="Cambria Math" w:hAnsi="Cambria Math"/>
                        <w:i/>
                      </w:rPr>
                    </m:ctrlPr>
                  </m:naryPr>
                  <m:sub>
                    <m:r>
                      <w:rPr>
                        <w:rFonts w:ascii="Cambria Math" w:hAnsi="Cambria Math"/>
                      </w:rPr>
                      <m:t>j=0</m:t>
                    </m:r>
                  </m:sub>
                  <m:sup>
                    <m:r>
                      <w:rPr>
                        <w:rFonts w:ascii="Cambria Math" w:hAnsi="Cambria Math"/>
                      </w:rPr>
                      <m:t>N-1</m:t>
                    </m:r>
                  </m:sup>
                  <m:e>
                    <m:r>
                      <w:rPr>
                        <w:rFonts w:ascii="Cambria Math" w:hAnsi="Cambria Math"/>
                      </w:rPr>
                      <m:t>y(</m:t>
                    </m:r>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e>
                </m:nary>
                <m:r>
                  <w:rPr>
                    <w:rFonts w:ascii="Cambria Math" w:hAnsi="Cambria Math"/>
                  </w:rPr>
                  <m:t>.</m:t>
                </m:r>
              </m:oMath>
            </m:oMathPara>
          </w:p>
        </w:tc>
        <w:tc>
          <w:tcPr>
            <w:tcW w:w="968" w:type="dxa"/>
            <w:shd w:val="clear" w:color="auto" w:fill="auto"/>
          </w:tcPr>
          <w:p w14:paraId="744FB962" w14:textId="77777777" w:rsidR="00F62AD0" w:rsidRPr="00A94774" w:rsidRDefault="00F62AD0" w:rsidP="00FA77D7">
            <w:pPr>
              <w:pStyle w:val="Els-body-text"/>
              <w:spacing w:before="120" w:after="120"/>
              <w:jc w:val="right"/>
              <w:rPr>
                <w:lang w:val="en-GB"/>
              </w:rPr>
            </w:pPr>
            <w:r>
              <w:t xml:space="preserve">  (5)</w:t>
            </w:r>
          </w:p>
        </w:tc>
      </w:tr>
    </w:tbl>
    <w:p w14:paraId="35C9C655" w14:textId="74C1D816" w:rsidR="00F36FA5" w:rsidRDefault="00F36FA5" w:rsidP="00585334">
      <w:pPr>
        <w:pStyle w:val="Els-body-text"/>
        <w:spacing w:after="40"/>
        <w:rPr>
          <w:lang w:val="en-GB"/>
        </w:rPr>
      </w:pPr>
      <w:r w:rsidRPr="00073F3D">
        <w:rPr>
          <w:b/>
          <w:bCs/>
          <w:lang w:val="en-GB"/>
        </w:rPr>
        <w:t>Symmetric Moving Average (SYMA).</w:t>
      </w:r>
      <w:r w:rsidRPr="00F36FA5">
        <w:rPr>
          <w:lang w:val="en-GB"/>
        </w:rPr>
        <w:t xml:space="preserve"> When dealing with time-series data, our knowledge of future measurements is uncertain. </w:t>
      </w:r>
      <w:r w:rsidR="00073F3D">
        <w:rPr>
          <w:lang w:val="en-GB"/>
        </w:rPr>
        <w:t>Thus</w:t>
      </w:r>
      <w:r w:rsidRPr="00F36FA5">
        <w:rPr>
          <w:lang w:val="en-GB"/>
        </w:rPr>
        <w:t xml:space="preserve">, we </w:t>
      </w:r>
      <w:r w:rsidR="00073F3D">
        <w:rPr>
          <w:lang w:val="en-GB"/>
        </w:rPr>
        <w:t>use</w:t>
      </w:r>
      <w:r w:rsidRPr="00F36FA5">
        <w:rPr>
          <w:lang w:val="en-GB"/>
        </w:rPr>
        <w:t xml:space="preserve"> this approach only for evaluating past detection outcomes. We compute the average</w:t>
      </w:r>
      <w:r w:rsidR="00073F3D">
        <w:rPr>
          <w:lang w:val="en-GB"/>
        </w:rPr>
        <w:t xml:space="preserve"> as</w:t>
      </w:r>
      <w:r w:rsidR="00C87011">
        <w:rPr>
          <w:lang w:val="en-GB"/>
        </w:rPr>
        <w:t>:</w:t>
      </w:r>
    </w:p>
    <w:tbl>
      <w:tblPr>
        <w:tblW w:w="7087" w:type="dxa"/>
        <w:tblLook w:val="04A0" w:firstRow="1" w:lastRow="0" w:firstColumn="1" w:lastColumn="0" w:noHBand="0" w:noVBand="1"/>
      </w:tblPr>
      <w:tblGrid>
        <w:gridCol w:w="6119"/>
        <w:gridCol w:w="968"/>
      </w:tblGrid>
      <w:tr w:rsidR="00073F3D" w:rsidRPr="00A94774" w14:paraId="59BA8402" w14:textId="77777777" w:rsidTr="00C87938">
        <w:tc>
          <w:tcPr>
            <w:tcW w:w="6119" w:type="dxa"/>
            <w:shd w:val="clear" w:color="auto" w:fill="auto"/>
          </w:tcPr>
          <w:p w14:paraId="7CB14B37" w14:textId="3E547496" w:rsidR="00073F3D" w:rsidRPr="00E603E6" w:rsidRDefault="00EE20B7" w:rsidP="00585334">
            <w:pPr>
              <w:pStyle w:val="Els-body-text"/>
              <w:spacing w:before="120" w:after="120"/>
              <w:rPr>
                <w:lang w:val="en-GB"/>
              </w:rPr>
            </w:p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subSup"/>
                  <m:ctrlPr>
                    <w:rPr>
                      <w:rFonts w:ascii="Cambria Math" w:hAnsi="Cambria Math"/>
                      <w:i/>
                    </w:rPr>
                  </m:ctrlPr>
                </m:naryPr>
                <m:sub>
                  <m:r>
                    <w:rPr>
                      <w:rFonts w:ascii="Cambria Math" w:hAnsi="Cambria Math"/>
                    </w:rPr>
                    <m:t>j=-</m:t>
                  </m:r>
                  <m:r>
                    <m:rPr>
                      <m:sty m:val="p"/>
                    </m:rPr>
                    <w:rPr>
                      <w:rFonts w:ascii="Cambria Math" w:hAnsi="Cambria Math" w:cs="Cambria Math"/>
                      <w:sz w:val="16"/>
                      <w:szCs w:val="16"/>
                      <w:shd w:val="clear" w:color="auto" w:fill="FFFFFF"/>
                    </w:rPr>
                    <m:t>⌊</m:t>
                  </m:r>
                  <m:r>
                    <m:rPr>
                      <m:sty m:val="p"/>
                    </m:rPr>
                    <w:rPr>
                      <w:rFonts w:ascii="Cambria Math" w:hAnsi="Cambria Math" w:cs="Arial"/>
                      <w:sz w:val="16"/>
                      <w:szCs w:val="16"/>
                      <w:shd w:val="clear" w:color="auto" w:fill="FFFFFF"/>
                    </w:rPr>
                    <m:t>(N-1)/2</m:t>
                  </m:r>
                  <m:r>
                    <m:rPr>
                      <m:sty m:val="p"/>
                    </m:rPr>
                    <w:rPr>
                      <w:rFonts w:ascii="Cambria Math" w:hAnsi="Cambria Math" w:cs="Cambria Math"/>
                      <w:sz w:val="16"/>
                      <w:szCs w:val="16"/>
                      <w:shd w:val="clear" w:color="auto" w:fill="FFFFFF"/>
                    </w:rPr>
                    <m:t>⌋</m:t>
                  </m:r>
                </m:sub>
                <m:sup>
                  <m:r>
                    <m:rPr>
                      <m:sty m:val="p"/>
                    </m:rPr>
                    <w:rPr>
                      <w:rFonts w:ascii="Cambria Math" w:hAnsi="Cambria Math" w:cs="Cambria Math"/>
                      <w:sz w:val="16"/>
                      <w:szCs w:val="16"/>
                      <w:shd w:val="clear" w:color="auto" w:fill="FFFFFF"/>
                    </w:rPr>
                    <m:t>⌊</m:t>
                  </m:r>
                  <m:r>
                    <m:rPr>
                      <m:sty m:val="p"/>
                    </m:rPr>
                    <w:rPr>
                      <w:rFonts w:ascii="Cambria Math" w:hAnsi="Cambria Math" w:cs="Arial"/>
                      <w:sz w:val="16"/>
                      <w:szCs w:val="16"/>
                      <w:shd w:val="clear" w:color="auto" w:fill="FFFFFF"/>
                    </w:rPr>
                    <m:t>(N-1)/2</m:t>
                  </m:r>
                  <m:r>
                    <m:rPr>
                      <m:sty m:val="p"/>
                    </m:rPr>
                    <w:rPr>
                      <w:rFonts w:ascii="Cambria Math" w:hAnsi="Cambria Math" w:cs="Cambria Math"/>
                      <w:sz w:val="16"/>
                      <w:szCs w:val="16"/>
                      <w:shd w:val="clear" w:color="auto" w:fill="FFFFFF"/>
                    </w:rPr>
                    <m:t>⌋</m:t>
                  </m:r>
                </m:sup>
                <m:e>
                  <m:r>
                    <w:rPr>
                      <w:rFonts w:ascii="Cambria Math" w:hAnsi="Cambria Math"/>
                    </w:rPr>
                    <m:t>y(</m:t>
                  </m:r>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e>
              </m:nary>
            </m:oMath>
            <w:r w:rsidR="00F62AD0">
              <w:t>.</w:t>
            </w:r>
            <w:r w:rsidR="00073F3D">
              <w:t xml:space="preserve"> </w:t>
            </w:r>
          </w:p>
        </w:tc>
        <w:tc>
          <w:tcPr>
            <w:tcW w:w="968" w:type="dxa"/>
            <w:shd w:val="clear" w:color="auto" w:fill="auto"/>
          </w:tcPr>
          <w:p w14:paraId="389F7E3C" w14:textId="524648F9" w:rsidR="00073F3D" w:rsidRPr="00A94774" w:rsidRDefault="00073F3D" w:rsidP="00585334">
            <w:pPr>
              <w:pStyle w:val="Els-body-text"/>
              <w:spacing w:before="120" w:after="120"/>
              <w:jc w:val="right"/>
              <w:rPr>
                <w:lang w:val="en-GB"/>
              </w:rPr>
            </w:pPr>
            <w:r>
              <w:t>(6)</w:t>
            </w:r>
          </w:p>
        </w:tc>
      </w:tr>
    </w:tbl>
    <w:p w14:paraId="53C2A70D" w14:textId="75C8FF85" w:rsidR="00073F3D" w:rsidRDefault="00073F3D" w:rsidP="00585334">
      <w:pPr>
        <w:pStyle w:val="Els-body-text"/>
        <w:spacing w:after="40"/>
        <w:rPr>
          <w:rFonts w:eastAsia="Arial"/>
        </w:rPr>
      </w:pPr>
      <w:r w:rsidRPr="00FF66E3">
        <w:rPr>
          <w:rFonts w:eastAsia="Arial"/>
          <w:b/>
          <w:bCs/>
        </w:rPr>
        <w:t>Predictive Moving Average (PMA).</w:t>
      </w:r>
      <w:r w:rsidRPr="00B5567F">
        <w:rPr>
          <w:rFonts w:eastAsia="Arial"/>
        </w:rPr>
        <w:t xml:space="preserve"> </w:t>
      </w:r>
      <w:r w:rsidR="008D2BB9">
        <w:rPr>
          <w:rFonts w:eastAsia="Arial"/>
        </w:rPr>
        <w:t>We</w:t>
      </w:r>
      <w:r w:rsidRPr="00B5567F">
        <w:rPr>
          <w:rFonts w:eastAsia="Arial"/>
        </w:rPr>
        <w:t xml:space="preserve"> enhance SIMA</w:t>
      </w:r>
      <w:r w:rsidR="008D2BB9">
        <w:rPr>
          <w:rFonts w:eastAsia="Arial"/>
        </w:rPr>
        <w:t xml:space="preserve"> with </w:t>
      </w:r>
      <w:r w:rsidRPr="00B5567F">
        <w:rPr>
          <w:rFonts w:eastAsia="Arial"/>
        </w:rPr>
        <w:t xml:space="preserve">additional information from a prediction model to dynamically adjust its value based on other process variables. </w:t>
      </w:r>
      <w:r w:rsidR="008D2BB9">
        <w:rPr>
          <w:rFonts w:eastAsia="Arial"/>
        </w:rPr>
        <w:t>T</w:t>
      </w:r>
      <w:r w:rsidRPr="00B5567F">
        <w:rPr>
          <w:rFonts w:eastAsia="Arial"/>
        </w:rPr>
        <w:t>he predicted difference is added to the filtered value obtained from past measurements:</w:t>
      </w:r>
    </w:p>
    <w:tbl>
      <w:tblPr>
        <w:tblW w:w="7087" w:type="dxa"/>
        <w:tblLook w:val="04A0" w:firstRow="1" w:lastRow="0" w:firstColumn="1" w:lastColumn="0" w:noHBand="0" w:noVBand="1"/>
      </w:tblPr>
      <w:tblGrid>
        <w:gridCol w:w="6123"/>
        <w:gridCol w:w="964"/>
      </w:tblGrid>
      <w:tr w:rsidR="00073F3D" w:rsidRPr="00A94774" w14:paraId="1DD2D105" w14:textId="77777777" w:rsidTr="008250F7">
        <w:tc>
          <w:tcPr>
            <w:tcW w:w="6123" w:type="dxa"/>
            <w:shd w:val="clear" w:color="auto" w:fill="auto"/>
          </w:tcPr>
          <w:p w14:paraId="78C49B5F" w14:textId="359ACADA" w:rsidR="00073F3D" w:rsidRPr="00F36FA5" w:rsidRDefault="00EE20B7" w:rsidP="00585334">
            <w:pPr>
              <w:pStyle w:val="Els-body-text"/>
              <w:spacing w:before="120" w:after="120"/>
              <w:rPr>
                <w:lang w:val="en-GB"/>
              </w:rPr>
            </w:p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subSup"/>
                  <m:ctrlPr>
                    <w:rPr>
                      <w:rFonts w:ascii="Cambria Math" w:hAnsi="Cambria Math"/>
                      <w:i/>
                    </w:rPr>
                  </m:ctrlPr>
                </m:naryPr>
                <m:sub>
                  <m:r>
                    <w:rPr>
                      <w:rFonts w:ascii="Cambria Math" w:hAnsi="Cambria Math"/>
                    </w:rPr>
                    <m:t>j=0</m:t>
                  </m:r>
                </m:sub>
                <m:sup>
                  <m:r>
                    <w:rPr>
                      <w:rFonts w:ascii="Cambria Math" w:hAnsi="Cambria Math"/>
                    </w:rPr>
                    <m:t>N-1</m:t>
                  </m:r>
                </m:sup>
                <m:e>
                  <m:r>
                    <w:rPr>
                      <w:rFonts w:ascii="Cambria Math" w:hAnsi="Cambria Math"/>
                    </w:rPr>
                    <m:t>y(</m:t>
                  </m:r>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e>
              </m:nary>
              <m:r>
                <w:rPr>
                  <w:rFonts w:ascii="Cambria Math" w:hAnsi="Cambria Math"/>
                </w:rPr>
                <m:t>+ ∆</m:t>
              </m:r>
              <m:acc>
                <m:accPr>
                  <m:ctrlPr>
                    <w:rPr>
                      <w:rFonts w:ascii="Cambria Math" w:hAnsi="Cambria Math"/>
                      <w:i/>
                    </w:rPr>
                  </m:ctrlPr>
                </m:accPr>
                <m:e>
                  <m:r>
                    <w:rPr>
                      <w:rFonts w:ascii="Cambria Math" w:hAnsi="Cambria Math"/>
                    </w:rPr>
                    <m:t>y</m:t>
                  </m:r>
                </m:e>
              </m:acc>
              <m:r>
                <w:rPr>
                  <w:rFonts w:ascii="Cambria Math" w:hAnsi="Cambria Math"/>
                </w:rPr>
                <m:t>(</m:t>
              </m:r>
              <m:r>
                <m:rPr>
                  <m:sty m:val="bi"/>
                </m:rP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oMath>
            <w:r w:rsidR="00F62AD0">
              <w:t>.</w:t>
            </w:r>
          </w:p>
        </w:tc>
        <w:tc>
          <w:tcPr>
            <w:tcW w:w="964" w:type="dxa"/>
            <w:shd w:val="clear" w:color="auto" w:fill="auto"/>
            <w:vAlign w:val="center"/>
          </w:tcPr>
          <w:p w14:paraId="298992D5" w14:textId="49B9DC0B" w:rsidR="00073F3D" w:rsidRPr="00A94774" w:rsidRDefault="00073F3D" w:rsidP="00585334">
            <w:pPr>
              <w:pStyle w:val="Els-body-text"/>
              <w:spacing w:before="120" w:after="120"/>
              <w:jc w:val="right"/>
              <w:rPr>
                <w:lang w:val="en-GB"/>
              </w:rPr>
            </w:pPr>
            <w:r>
              <w:t>(7)</w:t>
            </w:r>
          </w:p>
        </w:tc>
      </w:tr>
    </w:tbl>
    <w:p w14:paraId="5426481A" w14:textId="69740FC8" w:rsidR="00073F3D" w:rsidRDefault="00073F3D" w:rsidP="00FF6C10">
      <w:pPr>
        <w:pStyle w:val="Els-2ndorder-head"/>
        <w:spacing w:before="40"/>
      </w:pPr>
      <w:r w:rsidRPr="00B5567F">
        <w:rPr>
          <w:rFonts w:eastAsia="Arial"/>
          <w:iCs/>
        </w:rPr>
        <w:t>Anomaly Detection using Regression Methods</w:t>
      </w:r>
    </w:p>
    <w:p w14:paraId="54CBADB5" w14:textId="70AF9728" w:rsidR="00073F3D" w:rsidRPr="00073F3D" w:rsidRDefault="00073F3D" w:rsidP="00585334">
      <w:pPr>
        <w:pStyle w:val="Els-body-text"/>
        <w:spacing w:after="40"/>
        <w:rPr>
          <w:lang w:val="en-GB"/>
        </w:rPr>
      </w:pPr>
      <w:r w:rsidRPr="00073F3D">
        <w:rPr>
          <w:lang w:val="en-GB"/>
        </w:rPr>
        <w:t>We leverage predictive models to identify outliers of the dependent variable based on the positions of measurements relative to the model predictions.</w:t>
      </w:r>
    </w:p>
    <w:p w14:paraId="24D3D182" w14:textId="1275F866" w:rsidR="00073F3D" w:rsidRDefault="00073F3D" w:rsidP="00585334">
      <w:pPr>
        <w:pStyle w:val="Els-body-text"/>
        <w:spacing w:after="40"/>
        <w:rPr>
          <w:lang w:val="en-GB"/>
        </w:rPr>
      </w:pPr>
      <w:r w:rsidRPr="00073F3D">
        <w:rPr>
          <w:b/>
          <w:bCs/>
          <w:lang w:val="en-GB"/>
        </w:rPr>
        <w:t>Ordinary Least Squares (OLS).</w:t>
      </w:r>
      <w:r w:rsidRPr="00073F3D">
        <w:rPr>
          <w:lang w:val="en-GB"/>
        </w:rPr>
        <w:t xml:space="preserve"> A standard linear regression </w:t>
      </w:r>
      <w:r w:rsidR="00DB42E7">
        <w:rPr>
          <w:lang w:val="en-GB"/>
        </w:rPr>
        <w:t>finds</w:t>
      </w:r>
      <w:r w:rsidRPr="00073F3D">
        <w:rPr>
          <w:lang w:val="en-GB"/>
        </w:rPr>
        <w:t xml:space="preserve"> model parameters </w:t>
      </w:r>
      <m:oMath>
        <m:r>
          <m:rPr>
            <m:sty m:val="bi"/>
          </m:rPr>
          <w:rPr>
            <w:rFonts w:ascii="Cambria Math" w:eastAsia="Arial" w:hAnsi="Cambria Math"/>
          </w:rPr>
          <m:t>β</m:t>
        </m:r>
      </m:oMath>
      <w:r w:rsidRPr="00073F3D">
        <w:rPr>
          <w:lang w:val="en-GB"/>
        </w:rPr>
        <w:t xml:space="preserve"> by minimizing the squared </w:t>
      </w:r>
      <w:r>
        <w:rPr>
          <w:lang w:val="en-GB"/>
        </w:rPr>
        <w:t>2-norm</w:t>
      </w:r>
      <w:r w:rsidRPr="00073F3D">
        <w:rPr>
          <w:lang w:val="en-GB"/>
        </w:rPr>
        <w:t xml:space="preserve"> </w:t>
      </w:r>
      <w:r>
        <w:rPr>
          <w:lang w:val="en-GB"/>
        </w:rPr>
        <w:t xml:space="preserve">of </w:t>
      </w:r>
      <w:r w:rsidR="00DB42E7">
        <w:rPr>
          <w:lang w:val="en-GB"/>
        </w:rPr>
        <w:t xml:space="preserve">differences of </w:t>
      </w:r>
      <w:r w:rsidRPr="00073F3D">
        <w:rPr>
          <w:lang w:val="en-GB"/>
        </w:rPr>
        <w:t>observed and predicted values</w:t>
      </w:r>
      <w:r w:rsidR="00DB42E7">
        <w:rPr>
          <w:lang w:val="en-GB"/>
        </w:rPr>
        <w:t>:</w:t>
      </w:r>
    </w:p>
    <w:tbl>
      <w:tblPr>
        <w:tblW w:w="7087" w:type="dxa"/>
        <w:tblLook w:val="04A0" w:firstRow="1" w:lastRow="0" w:firstColumn="1" w:lastColumn="0" w:noHBand="0" w:noVBand="1"/>
      </w:tblPr>
      <w:tblGrid>
        <w:gridCol w:w="6119"/>
        <w:gridCol w:w="968"/>
      </w:tblGrid>
      <w:tr w:rsidR="00DB42E7" w:rsidRPr="00A94774" w14:paraId="536E421C" w14:textId="77777777" w:rsidTr="00FA77D7">
        <w:tc>
          <w:tcPr>
            <w:tcW w:w="6119" w:type="dxa"/>
            <w:shd w:val="clear" w:color="auto" w:fill="auto"/>
          </w:tcPr>
          <w:p w14:paraId="6D5FB406" w14:textId="5B3BAC6F" w:rsidR="00DB42E7" w:rsidRPr="00A94774" w:rsidRDefault="00EE20B7" w:rsidP="00FA77D7">
            <w:pPr>
              <w:pStyle w:val="Els-body-text"/>
              <w:spacing w:before="120" w:after="120"/>
              <w:jc w:val="left"/>
              <w:rPr>
                <w:lang w:val="en-GB"/>
              </w:rPr>
            </w:pPr>
            <m:oMath>
              <m:sSub>
                <m:sSubPr>
                  <m:ctrlPr>
                    <w:rPr>
                      <w:rFonts w:ascii="Cambria Math" w:hAnsi="Cambria Math"/>
                      <w:iCs/>
                    </w:rPr>
                  </m:ctrlPr>
                </m:sSubPr>
                <m:e>
                  <m:r>
                    <m:rPr>
                      <m:sty m:val="p"/>
                    </m:rPr>
                    <w:rPr>
                      <w:rFonts w:ascii="Cambria Math" w:hAnsi="Cambria Math"/>
                    </w:rPr>
                    <m:t>min</m:t>
                  </m:r>
                </m:e>
                <m:sub>
                  <m:r>
                    <m:rPr>
                      <m:sty m:val="bi"/>
                    </m:rPr>
                    <w:rPr>
                      <w:rFonts w:ascii="Cambria Math" w:hAnsi="Cambria Math"/>
                    </w:rPr>
                    <m:t>β</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(y(</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e>
              </m:nary>
              <m:r>
                <w:rPr>
                  <w:rFonts w:ascii="Cambria Math" w:hAnsi="Cambria Math"/>
                </w:rPr>
                <m:t>-</m:t>
              </m:r>
              <m:sSup>
                <m:sSupPr>
                  <m:ctrlPr>
                    <w:rPr>
                      <w:rFonts w:ascii="Cambria Math" w:hAnsi="Cambria Math"/>
                      <w:i/>
                    </w:rPr>
                  </m:ctrlPr>
                </m:sSupPr>
                <m:e>
                  <m:sSup>
                    <m:sSupPr>
                      <m:ctrlPr>
                        <w:rPr>
                          <w:rFonts w:ascii="Cambria Math" w:hAnsi="Cambria Math"/>
                          <w:i/>
                        </w:rPr>
                      </m:ctrlPr>
                    </m:sSupPr>
                    <m:e>
                      <m:r>
                        <m:rPr>
                          <m:sty m:val="bi"/>
                        </m:rPr>
                        <w:rPr>
                          <w:rFonts w:ascii="Cambria Math" w:hAnsi="Cambria Math"/>
                        </w:rPr>
                        <m:t>β</m:t>
                      </m:r>
                    </m:e>
                    <m:sup>
                      <m:r>
                        <w:rPr>
                          <w:rFonts w:ascii="Cambria Math" w:hAnsi="Cambria Math"/>
                        </w:rPr>
                        <m:t>T</m:t>
                      </m:r>
                    </m:sup>
                  </m:sSup>
                  <m:r>
                    <m:rPr>
                      <m:sty m:val="bi"/>
                    </m:rP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e>
                <m:sup>
                  <m:r>
                    <w:rPr>
                      <w:rFonts w:ascii="Cambria Math" w:hAnsi="Cambria Math"/>
                    </w:rPr>
                    <m:t>2</m:t>
                  </m:r>
                </m:sup>
              </m:sSup>
            </m:oMath>
            <w:r w:rsidR="00DB42E7">
              <w:t xml:space="preserve">. </w:t>
            </w:r>
          </w:p>
        </w:tc>
        <w:tc>
          <w:tcPr>
            <w:tcW w:w="968" w:type="dxa"/>
            <w:shd w:val="clear" w:color="auto" w:fill="auto"/>
          </w:tcPr>
          <w:p w14:paraId="0B8A4B0F" w14:textId="77777777" w:rsidR="00DB42E7" w:rsidRPr="00A94774" w:rsidRDefault="00DB42E7" w:rsidP="00FA77D7">
            <w:pPr>
              <w:pStyle w:val="Els-body-text"/>
              <w:spacing w:before="120" w:after="120"/>
              <w:jc w:val="right"/>
              <w:rPr>
                <w:lang w:val="en-GB"/>
              </w:rPr>
            </w:pPr>
            <w:r>
              <w:t>(8)</w:t>
            </w:r>
          </w:p>
        </w:tc>
      </w:tr>
    </w:tbl>
    <w:p w14:paraId="2AFC7E11" w14:textId="4E72AE35" w:rsidR="00073F3D" w:rsidRDefault="00073F3D" w:rsidP="00585334">
      <w:pPr>
        <w:pStyle w:val="Els-body-text"/>
        <w:spacing w:after="40"/>
        <w:rPr>
          <w:lang w:val="en-GB"/>
        </w:rPr>
      </w:pPr>
      <w:r w:rsidRPr="00073F3D">
        <w:rPr>
          <w:b/>
          <w:bCs/>
          <w:lang w:val="en-GB"/>
        </w:rPr>
        <w:t>LASSO.</w:t>
      </w:r>
      <w:r w:rsidRPr="00073F3D">
        <w:rPr>
          <w:lang w:val="en-GB"/>
        </w:rPr>
        <w:t xml:space="preserve"> This method extends the regression by incorporating a penalty term based on</w:t>
      </w:r>
      <w:r w:rsidR="00F62AD0">
        <w:rPr>
          <w:lang w:val="en-GB"/>
        </w:rPr>
        <w:t xml:space="preserve"> </w:t>
      </w:r>
      <w:r>
        <w:rPr>
          <w:lang w:val="en-GB"/>
        </w:rPr>
        <w:t>1-norm</w:t>
      </w:r>
      <w:r w:rsidRPr="00073F3D">
        <w:rPr>
          <w:lang w:val="en-GB"/>
        </w:rPr>
        <w:t xml:space="preserve">, encouraging </w:t>
      </w:r>
      <w:r>
        <w:rPr>
          <w:lang w:val="en-GB"/>
        </w:rPr>
        <w:t xml:space="preserve">model </w:t>
      </w:r>
      <w:r w:rsidRPr="00073F3D">
        <w:rPr>
          <w:lang w:val="en-GB"/>
        </w:rPr>
        <w:t xml:space="preserve">sparsity (Santosa and Symes, 1986). It effectively identifies and reduces the impact of less relevant variables by solving (9), where </w:t>
      </w:r>
      <w:r w:rsidRPr="00073F3D">
        <w:rPr>
          <w:i/>
          <w:iCs/>
          <w:lang w:val="en-GB"/>
        </w:rPr>
        <w:t>λ</w:t>
      </w:r>
      <w:r w:rsidRPr="00073F3D">
        <w:rPr>
          <w:lang w:val="en-GB"/>
        </w:rPr>
        <w:t xml:space="preserve"> balances model accuracy and overfitting. The ℓ</w:t>
      </w:r>
      <w:r w:rsidRPr="00073F3D">
        <w:rPr>
          <w:vertAlign w:val="subscript"/>
          <w:lang w:val="en-GB"/>
        </w:rPr>
        <w:t>1</w:t>
      </w:r>
      <w:r w:rsidRPr="00073F3D">
        <w:rPr>
          <w:lang w:val="en-GB"/>
        </w:rPr>
        <w:t>-penalization element leads some parameters to become zero, resulting in a less complex, more robust, and interpretable model.</w:t>
      </w:r>
    </w:p>
    <w:tbl>
      <w:tblPr>
        <w:tblW w:w="7087" w:type="dxa"/>
        <w:tblLook w:val="04A0" w:firstRow="1" w:lastRow="0" w:firstColumn="1" w:lastColumn="0" w:noHBand="0" w:noVBand="1"/>
      </w:tblPr>
      <w:tblGrid>
        <w:gridCol w:w="6119"/>
        <w:gridCol w:w="968"/>
      </w:tblGrid>
      <w:tr w:rsidR="00073F3D" w:rsidRPr="00A94774" w14:paraId="4E435150" w14:textId="77777777" w:rsidTr="00FA77D7">
        <w:tc>
          <w:tcPr>
            <w:tcW w:w="6119" w:type="dxa"/>
            <w:shd w:val="clear" w:color="auto" w:fill="auto"/>
          </w:tcPr>
          <w:p w14:paraId="0434503D" w14:textId="0F2D1680" w:rsidR="00073F3D" w:rsidRPr="00E603E6" w:rsidRDefault="00F62AD0" w:rsidP="00585334">
            <w:pPr>
              <w:pStyle w:val="Els-body-text"/>
              <w:spacing w:before="120" w:after="120"/>
              <w:jc w:val="left"/>
              <w:rPr>
                <w:lang w:val="en-GB"/>
              </w:rPr>
            </w:pPr>
            <w:r>
              <w:rPr>
                <w:iCs/>
              </w:rPr>
              <w:t xml:space="preserve"> </w:t>
            </w:r>
            <m:oMath>
              <m:sSub>
                <m:sSubPr>
                  <m:ctrlPr>
                    <w:rPr>
                      <w:rFonts w:ascii="Cambria Math" w:hAnsi="Cambria Math"/>
                      <w:iCs/>
                    </w:rPr>
                  </m:ctrlPr>
                </m:sSubPr>
                <m:e>
                  <m:r>
                    <m:rPr>
                      <m:sty m:val="p"/>
                    </m:rPr>
                    <w:rPr>
                      <w:rFonts w:ascii="Cambria Math" w:hAnsi="Cambria Math"/>
                    </w:rPr>
                    <m:t>min</m:t>
                  </m:r>
                </m:e>
                <m:sub>
                  <m:r>
                    <m:rPr>
                      <m:sty m:val="bi"/>
                    </m:rPr>
                    <w:rPr>
                      <w:rFonts w:ascii="Cambria Math" w:hAnsi="Cambria Math"/>
                    </w:rPr>
                    <m:t>β</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(y(</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e>
              </m:nary>
              <m:r>
                <w:rPr>
                  <w:rFonts w:ascii="Cambria Math" w:hAnsi="Cambria Math"/>
                </w:rPr>
                <m:t>-</m:t>
              </m:r>
              <m:sSup>
                <m:sSupPr>
                  <m:ctrlPr>
                    <w:rPr>
                      <w:rFonts w:ascii="Cambria Math" w:hAnsi="Cambria Math"/>
                      <w:i/>
                    </w:rPr>
                  </m:ctrlPr>
                </m:sSupPr>
                <m:e>
                  <m:sSup>
                    <m:sSupPr>
                      <m:ctrlPr>
                        <w:rPr>
                          <w:rFonts w:ascii="Cambria Math" w:hAnsi="Cambria Math"/>
                          <w:i/>
                        </w:rPr>
                      </m:ctrlPr>
                    </m:sSupPr>
                    <m:e>
                      <m:r>
                        <m:rPr>
                          <m:sty m:val="bi"/>
                        </m:rPr>
                        <w:rPr>
                          <w:rFonts w:ascii="Cambria Math" w:hAnsi="Cambria Math"/>
                        </w:rPr>
                        <m:t>β</m:t>
                      </m:r>
                    </m:e>
                    <m:sup>
                      <m:r>
                        <w:rPr>
                          <w:rFonts w:ascii="Cambria Math" w:hAnsi="Cambria Math"/>
                        </w:rPr>
                        <m:t>T</m:t>
                      </m:r>
                    </m:sup>
                  </m:sSup>
                  <m:r>
                    <m:rPr>
                      <m:sty m:val="bi"/>
                    </m:rP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e>
                <m:sup>
                  <m:r>
                    <w:rPr>
                      <w:rFonts w:ascii="Cambria Math" w:hAnsi="Cambria Math"/>
                    </w:rPr>
                    <m:t>2</m:t>
                  </m:r>
                </m:sup>
              </m:sSup>
              <m:r>
                <w:rPr>
                  <w:rFonts w:ascii="Cambria Math" w:hAnsi="Cambria Math"/>
                </w:rPr>
                <m:t>+</m:t>
              </m:r>
              <m:r>
                <w:rPr>
                  <w:rFonts w:ascii="Cambria Math" w:hAnsi="Cambria Math" w:cs="Arial"/>
                  <w:color w:val="202122"/>
                  <w:sz w:val="21"/>
                  <w:szCs w:val="21"/>
                  <w:shd w:val="clear" w:color="auto" w:fill="FFFFFF"/>
                  <w:lang w:val="el-GR"/>
                </w:rPr>
                <m:t>λ</m:t>
              </m:r>
              <m:sSub>
                <m:sSubPr>
                  <m:ctrlPr>
                    <w:rPr>
                      <w:rFonts w:ascii="Cambria Math" w:hAnsi="Cambria Math" w:cs="Arial"/>
                      <w:i/>
                      <w:color w:val="202122"/>
                      <w:sz w:val="21"/>
                      <w:szCs w:val="21"/>
                      <w:shd w:val="clear" w:color="auto" w:fill="FFFFFF"/>
                      <w:lang w:val="el-GR"/>
                    </w:rPr>
                  </m:ctrlPr>
                </m:sSubPr>
                <m:e>
                  <m:d>
                    <m:dPr>
                      <m:begChr m:val="‖"/>
                      <m:endChr m:val="‖"/>
                      <m:ctrlPr>
                        <w:rPr>
                          <w:rFonts w:ascii="Cambria Math" w:hAnsi="Cambria Math" w:cs="Arial"/>
                          <w:i/>
                          <w:color w:val="202122"/>
                          <w:sz w:val="21"/>
                          <w:szCs w:val="21"/>
                          <w:shd w:val="clear" w:color="auto" w:fill="FFFFFF"/>
                          <w:lang w:val="el-GR"/>
                        </w:rPr>
                      </m:ctrlPr>
                    </m:dPr>
                    <m:e>
                      <m:r>
                        <m:rPr>
                          <m:sty m:val="bi"/>
                        </m:rPr>
                        <w:rPr>
                          <w:rFonts w:ascii="Cambria Math" w:hAnsi="Cambria Math" w:cs="Arial"/>
                          <w:color w:val="202122"/>
                          <w:sz w:val="21"/>
                          <w:szCs w:val="21"/>
                          <w:shd w:val="clear" w:color="auto" w:fill="FFFFFF"/>
                          <w:lang w:val="el-GR"/>
                        </w:rPr>
                        <m:t>β</m:t>
                      </m:r>
                    </m:e>
                  </m:d>
                </m:e>
                <m:sub>
                  <m:r>
                    <w:rPr>
                      <w:rFonts w:ascii="Cambria Math" w:hAnsi="Cambria Math" w:cs="Arial"/>
                      <w:color w:val="202122"/>
                      <w:sz w:val="21"/>
                      <w:szCs w:val="21"/>
                      <w:shd w:val="clear" w:color="auto" w:fill="FFFFFF"/>
                      <w:lang w:val="el-GR"/>
                    </w:rPr>
                    <m:t>1</m:t>
                  </m:r>
                </m:sub>
              </m:sSub>
              <m:r>
                <w:rPr>
                  <w:rFonts w:ascii="Cambria Math" w:hAnsi="Cambria Math" w:cs="Arial"/>
                  <w:color w:val="202122"/>
                  <w:sz w:val="21"/>
                  <w:szCs w:val="21"/>
                  <w:shd w:val="clear" w:color="auto" w:fill="FFFFFF"/>
                  <w:lang w:val="el-GR"/>
                </w:rPr>
                <m:t>.</m:t>
              </m:r>
            </m:oMath>
            <w:r w:rsidR="00073F3D">
              <w:rPr>
                <w:b/>
                <w:bCs/>
                <w:color w:val="202122"/>
                <w:sz w:val="21"/>
                <w:szCs w:val="21"/>
                <w:shd w:val="clear" w:color="auto" w:fill="FFFFFF"/>
                <w:lang w:val="sk-SK"/>
              </w:rPr>
              <w:t xml:space="preserve"> </w:t>
            </w:r>
          </w:p>
        </w:tc>
        <w:tc>
          <w:tcPr>
            <w:tcW w:w="968" w:type="dxa"/>
            <w:shd w:val="clear" w:color="auto" w:fill="auto"/>
          </w:tcPr>
          <w:p w14:paraId="1182C7CF" w14:textId="77777777" w:rsidR="00073F3D" w:rsidRDefault="00073F3D" w:rsidP="00F62AD0">
            <w:pPr>
              <w:jc w:val="right"/>
            </w:pPr>
            <w:r>
              <w:t>(9)</w:t>
            </w:r>
          </w:p>
          <w:p w14:paraId="65F6F5DF" w14:textId="6F40517B" w:rsidR="00073F3D" w:rsidRPr="00A94774" w:rsidRDefault="00073F3D" w:rsidP="00585334">
            <w:pPr>
              <w:pStyle w:val="Els-body-text"/>
              <w:spacing w:before="120" w:after="120"/>
              <w:jc w:val="right"/>
              <w:rPr>
                <w:lang w:val="en-GB"/>
              </w:rPr>
            </w:pPr>
          </w:p>
        </w:tc>
      </w:tr>
    </w:tbl>
    <w:p w14:paraId="0FB51088" w14:textId="1C79984E" w:rsidR="00073F3D" w:rsidRPr="0011019D" w:rsidRDefault="00073F3D" w:rsidP="00585334">
      <w:pPr>
        <w:pStyle w:val="Els-body-text"/>
        <w:spacing w:after="40"/>
        <w:rPr>
          <w:lang w:val="en-GB"/>
        </w:rPr>
      </w:pPr>
      <w:r w:rsidRPr="00073F3D">
        <w:rPr>
          <w:b/>
          <w:bCs/>
          <w:lang w:val="en-GB"/>
        </w:rPr>
        <w:t>Principal Component Regression (PCR).</w:t>
      </w:r>
      <w:r w:rsidRPr="00073F3D">
        <w:rPr>
          <w:lang w:val="en-GB"/>
        </w:rPr>
        <w:t xml:space="preserve"> Principal Component Analysis (PCA) proves valuable in enhancing the interpretability of large, multi-dimensional datasets (Pearson, 1901). By generating new uncorrelated variables, PCA maximizes variance, reducing data dimensionality while minimizing information loss. Subsequently, OLS or LASSO can be employed to learn </w:t>
      </w:r>
      <w:r w:rsidR="0023585F">
        <w:rPr>
          <w:lang w:val="en-GB"/>
        </w:rPr>
        <w:t xml:space="preserve">the </w:t>
      </w:r>
      <w:r w:rsidRPr="00073F3D">
        <w:rPr>
          <w:lang w:val="en-GB"/>
        </w:rPr>
        <w:t>model in the latent space. The synergistic application of PCA and LASSO, denoted as PCA+LASSO, harnesses the strengths of both methods.</w:t>
      </w:r>
    </w:p>
    <w:p w14:paraId="144DE6A1" w14:textId="04D9ADE8" w:rsidR="008D2649" w:rsidRPr="0011019D" w:rsidRDefault="00A5467B" w:rsidP="00585334">
      <w:pPr>
        <w:pStyle w:val="Els-1storder-head"/>
        <w:spacing w:after="120" w:line="240" w:lineRule="auto"/>
        <w:rPr>
          <w:lang w:val="en-GB"/>
        </w:rPr>
      </w:pPr>
      <w:r>
        <w:rPr>
          <w:lang w:val="en-GB"/>
        </w:rPr>
        <w:t>Case Study</w:t>
      </w:r>
    </w:p>
    <w:p w14:paraId="161BC1AD" w14:textId="2633095E" w:rsidR="00217402" w:rsidRDefault="00A5467B" w:rsidP="00585334">
      <w:pPr>
        <w:pStyle w:val="Els-body-text"/>
        <w:spacing w:after="120"/>
        <w:rPr>
          <w:lang w:val="en-GB"/>
        </w:rPr>
      </w:pPr>
      <w:r w:rsidRPr="00A5467B">
        <w:rPr>
          <w:lang w:val="en-GB"/>
        </w:rPr>
        <w:t xml:space="preserve">The current industrial norm relies heavily on manual processes and lab sampling for anomaly detection. Incorporating an automated algorithm would ease this burden, </w:t>
      </w:r>
      <w:r w:rsidRPr="00A5467B">
        <w:rPr>
          <w:lang w:val="en-GB"/>
        </w:rPr>
        <w:lastRenderedPageBreak/>
        <w:t>notifying operators only when an outlier is detected. Our investigation involves a comprehensive industrial dataset</w:t>
      </w:r>
      <w:r w:rsidR="00A06F48">
        <w:rPr>
          <w:lang w:val="en-GB"/>
        </w:rPr>
        <w:t xml:space="preserve"> </w:t>
      </w:r>
      <w:r w:rsidR="00A06F48" w:rsidRPr="00073F3D">
        <w:rPr>
          <w:lang w:val="en-GB"/>
        </w:rPr>
        <w:t>(</w:t>
      </w:r>
      <w:r w:rsidR="00A06F48">
        <w:rPr>
          <w:lang w:val="en-GB"/>
        </w:rPr>
        <w:t>F</w:t>
      </w:r>
      <w:r w:rsidR="00A06F48">
        <w:rPr>
          <w:lang w:val="sk-SK"/>
        </w:rPr>
        <w:t>áber</w:t>
      </w:r>
      <w:r w:rsidR="00A06F48" w:rsidRPr="00073F3D">
        <w:rPr>
          <w:lang w:val="en-GB"/>
        </w:rPr>
        <w:t xml:space="preserve"> </w:t>
      </w:r>
      <w:r w:rsidR="00A06F48">
        <w:rPr>
          <w:lang w:val="en-GB"/>
        </w:rPr>
        <w:t>et al.</w:t>
      </w:r>
      <w:r w:rsidR="00A06F48" w:rsidRPr="00073F3D">
        <w:rPr>
          <w:lang w:val="en-GB"/>
        </w:rPr>
        <w:t xml:space="preserve">, </w:t>
      </w:r>
      <w:r w:rsidR="00A06F48">
        <w:rPr>
          <w:lang w:val="en-GB"/>
        </w:rPr>
        <w:t>2023</w:t>
      </w:r>
      <w:r w:rsidR="00A06F48" w:rsidRPr="00073F3D">
        <w:rPr>
          <w:lang w:val="en-GB"/>
        </w:rPr>
        <w:t>)</w:t>
      </w:r>
      <w:r w:rsidRPr="00A5467B">
        <w:rPr>
          <w:lang w:val="en-GB"/>
        </w:rPr>
        <w:t xml:space="preserve"> with </w:t>
      </w:r>
      <w:r>
        <w:rPr>
          <w:lang w:val="en-GB"/>
        </w:rPr>
        <w:t>&gt;</w:t>
      </w:r>
      <w:r w:rsidRPr="00A5467B">
        <w:rPr>
          <w:lang w:val="en-GB"/>
        </w:rPr>
        <w:t>500 process variables. After preprocessing, we selected 377 entities with 15,90</w:t>
      </w:r>
      <w:r w:rsidR="00151836">
        <w:rPr>
          <w:lang w:val="en-GB"/>
        </w:rPr>
        <w:t>7</w:t>
      </w:r>
      <w:r w:rsidRPr="00A5467B">
        <w:rPr>
          <w:lang w:val="en-GB"/>
        </w:rPr>
        <w:t xml:space="preserve"> measurements </w:t>
      </w:r>
      <w:r w:rsidRPr="00300DDA">
        <w:rPr>
          <w:rFonts w:eastAsia="Arial"/>
        </w:rPr>
        <w:t>(</w:t>
      </w:r>
      <m:oMath>
        <m:r>
          <m:rPr>
            <m:sty m:val="bi"/>
          </m:rPr>
          <w:rPr>
            <w:rFonts w:ascii="Cambria Math" w:eastAsia="Arial" w:hAnsi="Cambria Math"/>
          </w:rPr>
          <m:t>X∈</m:t>
        </m:r>
        <m:sSup>
          <m:sSupPr>
            <m:ctrlPr>
              <w:rPr>
                <w:rFonts w:ascii="Cambria Math" w:eastAsia="Arial" w:hAnsi="Cambria Math"/>
                <w:b/>
                <w:i/>
              </w:rPr>
            </m:ctrlPr>
          </m:sSupPr>
          <m:e>
            <m:r>
              <m:rPr>
                <m:scr m:val="double-struck"/>
                <m:sty m:val="bi"/>
              </m:rPr>
              <w:rPr>
                <w:rFonts w:ascii="Cambria Math" w:eastAsia="Arial" w:hAnsi="Cambria Math"/>
              </w:rPr>
              <m:t>R</m:t>
            </m:r>
          </m:e>
          <m:sup>
            <m:r>
              <m:rPr>
                <m:sty m:val="p"/>
              </m:rPr>
              <w:rPr>
                <w:rFonts w:ascii="Cambria Math" w:eastAsia="Arial" w:hAnsi="Cambria Math"/>
                <w:vertAlign w:val="superscript"/>
              </w:rPr>
              <m:t>377×15,907</m:t>
            </m:r>
          </m:sup>
        </m:sSup>
      </m:oMath>
      <w:r w:rsidRPr="00300DDA">
        <w:rPr>
          <w:rFonts w:eastAsia="Arial"/>
        </w:rPr>
        <w:t>)</w:t>
      </w:r>
      <w:r w:rsidRPr="00A5467B">
        <w:rPr>
          <w:lang w:val="en-GB"/>
        </w:rPr>
        <w:t xml:space="preserve">. The monitored variable, </w:t>
      </w:r>
      <m:oMath>
        <m:r>
          <w:rPr>
            <w:rFonts w:ascii="Cambria Math" w:eastAsia="Arial" w:hAnsi="Cambria Math"/>
          </w:rPr>
          <m:t>y(t)</m:t>
        </m:r>
      </m:oMath>
      <w:r w:rsidRPr="00A5467B">
        <w:rPr>
          <w:lang w:val="en-GB"/>
        </w:rPr>
        <w:t>, represents isobutane concentration, measured every 15 minutes. Within the dataset, we identify three outlier types: level shifts, slow drifts, and additive outliers. Level shifts cause an instant change</w:t>
      </w:r>
      <w:r w:rsidR="00576EFD">
        <w:rPr>
          <w:lang w:val="en-GB"/>
        </w:rPr>
        <w:t>. The</w:t>
      </w:r>
      <w:r w:rsidR="00A06F48">
        <w:rPr>
          <w:lang w:val="en-GB"/>
        </w:rPr>
        <w:t xml:space="preserve"> </w:t>
      </w:r>
      <w:r w:rsidR="00A06F48" w:rsidRPr="00A5467B">
        <w:rPr>
          <w:lang w:val="en-GB"/>
        </w:rPr>
        <w:t>dataset</w:t>
      </w:r>
      <w:r w:rsidR="00A06F48">
        <w:rPr>
          <w:lang w:val="en-GB"/>
        </w:rPr>
        <w:t xml:space="preserve"> is</w:t>
      </w:r>
      <w:r w:rsidRPr="00A5467B">
        <w:rPr>
          <w:lang w:val="en-GB"/>
        </w:rPr>
        <w:t xml:space="preserve"> affect</w:t>
      </w:r>
      <w:r w:rsidR="00A06F48">
        <w:rPr>
          <w:lang w:val="en-GB"/>
        </w:rPr>
        <w:t>ed</w:t>
      </w:r>
      <w:r w:rsidRPr="00A5467B">
        <w:rPr>
          <w:lang w:val="en-GB"/>
        </w:rPr>
        <w:t xml:space="preserve"> </w:t>
      </w:r>
      <w:r w:rsidR="00A06F48" w:rsidRPr="00A5467B">
        <w:rPr>
          <w:lang w:val="en-GB"/>
        </w:rPr>
        <w:t>significant</w:t>
      </w:r>
      <w:r w:rsidR="00A06F48">
        <w:rPr>
          <w:lang w:val="en-GB"/>
        </w:rPr>
        <w:t>ly</w:t>
      </w:r>
      <w:r w:rsidRPr="00A5467B">
        <w:rPr>
          <w:lang w:val="en-GB"/>
        </w:rPr>
        <w:t xml:space="preserve"> with values potentially returning to the previous level. Drifts gradually deviate, forming challenging-to-detect outliers. Additive anomalies result in unusual values for a single observation, with subsequent points unaffected. The</w:t>
      </w:r>
      <w:r>
        <w:rPr>
          <w:lang w:val="en-GB"/>
        </w:rPr>
        <w:t xml:space="preserve"> </w:t>
      </w:r>
      <w:r w:rsidRPr="00A5467B">
        <w:rPr>
          <w:lang w:val="en-GB"/>
        </w:rPr>
        <w:t>difference between an outlier and anomaly lies in time duration</w:t>
      </w:r>
      <w:r>
        <w:rPr>
          <w:lang w:val="en-GB"/>
        </w:rPr>
        <w:t xml:space="preserve">, deviation on short (hours) time scale stands for </w:t>
      </w:r>
      <w:r w:rsidRPr="00A5467B">
        <w:rPr>
          <w:lang w:val="en-GB"/>
        </w:rPr>
        <w:t xml:space="preserve">an outlier; if </w:t>
      </w:r>
      <w:r>
        <w:rPr>
          <w:lang w:val="en-GB"/>
        </w:rPr>
        <w:t>the deviation lasts l</w:t>
      </w:r>
      <w:r w:rsidRPr="00A5467B">
        <w:rPr>
          <w:lang w:val="en-GB"/>
        </w:rPr>
        <w:t>ong</w:t>
      </w:r>
      <w:r>
        <w:rPr>
          <w:lang w:val="en-GB"/>
        </w:rPr>
        <w:t>er</w:t>
      </w:r>
      <w:r w:rsidRPr="00A5467B">
        <w:rPr>
          <w:lang w:val="en-GB"/>
        </w:rPr>
        <w:t xml:space="preserve"> and </w:t>
      </w:r>
      <w:r w:rsidR="00A06F48">
        <w:rPr>
          <w:lang w:val="en-GB"/>
        </w:rPr>
        <w:t xml:space="preserve">requires </w:t>
      </w:r>
      <w:r w:rsidRPr="00A5467B">
        <w:rPr>
          <w:lang w:val="en-GB"/>
        </w:rPr>
        <w:t>manual calibration, we classify it as an anomaly.</w:t>
      </w:r>
    </w:p>
    <w:p w14:paraId="26680D50" w14:textId="1C7E11BA" w:rsidR="00A5467B" w:rsidRPr="0011019D" w:rsidRDefault="00A5467B" w:rsidP="00585334">
      <w:pPr>
        <w:pStyle w:val="Els-1storder-head"/>
        <w:spacing w:after="120" w:line="240" w:lineRule="auto"/>
        <w:rPr>
          <w:lang w:val="en-GB"/>
        </w:rPr>
      </w:pPr>
      <w:r>
        <w:rPr>
          <w:lang w:val="en-GB"/>
        </w:rPr>
        <w:t>Results</w:t>
      </w:r>
    </w:p>
    <w:p w14:paraId="7E314115" w14:textId="2573AB7A" w:rsidR="00A5467B" w:rsidRDefault="00A5467B" w:rsidP="00585334">
      <w:pPr>
        <w:pStyle w:val="Els-body-text"/>
        <w:spacing w:after="120"/>
        <w:rPr>
          <w:rFonts w:eastAsia="Arial"/>
        </w:rPr>
      </w:pPr>
      <w:r w:rsidRPr="00B5567F">
        <w:rPr>
          <w:rFonts w:eastAsia="Arial"/>
        </w:rPr>
        <w:t>Accurately evaluating anomaly detection methods relies on the presence of anomalies in the dataset. However, even plant operators may struggle to identify anomalies reliably in historical data. To address this, we construct ground truth (GT) labels using a seventh-order SYMA, as shown in (6). This method identified 306 outliers among 15,90</w:t>
      </w:r>
      <w:r w:rsidR="00151836">
        <w:rPr>
          <w:rFonts w:eastAsia="Arial"/>
        </w:rPr>
        <w:t>7</w:t>
      </w:r>
      <w:r w:rsidRPr="00B5567F">
        <w:rPr>
          <w:rFonts w:eastAsia="Arial"/>
        </w:rPr>
        <w:t xml:space="preserve"> measurements. It</w:t>
      </w:r>
      <w:r>
        <w:rPr>
          <w:rFonts w:eastAsia="Arial"/>
        </w:rPr>
        <w:t xml:space="preserve"> i</w:t>
      </w:r>
      <w:r w:rsidRPr="00B5567F">
        <w:rPr>
          <w:rFonts w:eastAsia="Arial"/>
        </w:rPr>
        <w:t>s important to note that some outliers in the data</w:t>
      </w:r>
      <w:r>
        <w:rPr>
          <w:rFonts w:eastAsia="Arial"/>
        </w:rPr>
        <w:t>set</w:t>
      </w:r>
      <w:r w:rsidRPr="00B5567F">
        <w:rPr>
          <w:rFonts w:eastAsia="Arial"/>
        </w:rPr>
        <w:t xml:space="preserve"> might not be captured in the GT labels due to missing information from other process variables </w:t>
      </w:r>
      <m:oMath>
        <m:r>
          <m:rPr>
            <m:sty m:val="bi"/>
          </m:rPr>
          <w:rPr>
            <w:rFonts w:ascii="Cambria Math" w:eastAsia="Arial" w:hAnsi="Cambria Math"/>
          </w:rPr>
          <m:t>X</m:t>
        </m:r>
        <m:r>
          <w:rPr>
            <w:rFonts w:ascii="Cambria Math" w:eastAsia="Arial" w:hAnsi="Cambria Math"/>
          </w:rPr>
          <m:t>(t)</m:t>
        </m:r>
      </m:oMath>
      <w:r w:rsidRPr="00B5567F">
        <w:rPr>
          <w:rFonts w:eastAsia="Arial"/>
        </w:rPr>
        <w:t>.</w:t>
      </w:r>
    </w:p>
    <w:p w14:paraId="3AECB853" w14:textId="667CAFE1" w:rsidR="00A5467B" w:rsidRDefault="00A5467B" w:rsidP="00585334">
      <w:pPr>
        <w:pStyle w:val="Els-body-text"/>
        <w:spacing w:after="120"/>
        <w:rPr>
          <w:rFonts w:eastAsia="Arial"/>
        </w:rPr>
      </w:pPr>
      <w:r w:rsidRPr="00B5567F">
        <w:rPr>
          <w:rFonts w:eastAsia="Arial"/>
        </w:rPr>
        <w:t xml:space="preserve">In our evaluation of filter-based approaches, we tested various filter orders and determined that order 7 was the most effective. This choice was validated on a training set of 1,881 measurements, aligning closely with laboratory samples and resulting in the detection of approximately 7.07% </w:t>
      </w:r>
      <w:r>
        <w:rPr>
          <w:rFonts w:eastAsia="Arial"/>
        </w:rPr>
        <w:t xml:space="preserve">of </w:t>
      </w:r>
      <w:r w:rsidRPr="00B5567F">
        <w:rPr>
          <w:rFonts w:eastAsia="Arial"/>
        </w:rPr>
        <w:t xml:space="preserve">outliers. Subsequent </w:t>
      </w:r>
      <w:r>
        <w:rPr>
          <w:rFonts w:eastAsia="Arial"/>
        </w:rPr>
        <w:t>testing</w:t>
      </w:r>
      <w:r w:rsidRPr="00B5567F">
        <w:rPr>
          <w:rFonts w:eastAsia="Arial"/>
        </w:rPr>
        <w:t xml:space="preserve"> on a 750-measurement </w:t>
      </w:r>
      <w:r>
        <w:rPr>
          <w:rFonts w:eastAsia="Arial"/>
        </w:rPr>
        <w:t>data</w:t>
      </w:r>
      <w:r w:rsidRPr="00B5567F">
        <w:rPr>
          <w:rFonts w:eastAsia="Arial"/>
        </w:rPr>
        <w:t>set identified around 7.87% outliers. The inclusion of a higher number of past data points, compared to the SYMA (6), highlights the substantial noise present in the data.</w:t>
      </w:r>
    </w:p>
    <w:p w14:paraId="503B1546" w14:textId="7DC88FA3" w:rsidR="00A5467B" w:rsidRDefault="00A5467B" w:rsidP="00585334">
      <w:pPr>
        <w:jc w:val="both"/>
        <w:rPr>
          <w:rFonts w:eastAsia="Arial"/>
        </w:rPr>
      </w:pPr>
      <w:r w:rsidRPr="00B5567F">
        <w:rPr>
          <w:rFonts w:eastAsia="Arial"/>
        </w:rPr>
        <w:t>In regression analysis, models were trained to predict both isobutane conc</w:t>
      </w:r>
      <w:r>
        <w:rPr>
          <w:rFonts w:eastAsia="Arial"/>
        </w:rPr>
        <w:t>entration</w:t>
      </w:r>
      <w:r w:rsidRPr="00B5567F">
        <w:rPr>
          <w:rFonts w:eastAsia="Arial"/>
        </w:rPr>
        <w:t xml:space="preserve"> </w:t>
      </w:r>
      <m:oMath>
        <m:acc>
          <m:accPr>
            <m:ctrlPr>
              <w:rPr>
                <w:rFonts w:ascii="Cambria Math" w:eastAsia="Arial" w:hAnsi="Cambria Math"/>
                <w:i/>
              </w:rPr>
            </m:ctrlPr>
          </m:accPr>
          <m:e>
            <m:r>
              <w:rPr>
                <w:rFonts w:ascii="Cambria Math" w:eastAsia="Arial" w:hAnsi="Cambria Math"/>
              </w:rPr>
              <m:t>y</m:t>
            </m:r>
          </m:e>
        </m:acc>
        <m:r>
          <w:rPr>
            <w:rFonts w:ascii="Cambria Math" w:eastAsia="Arial" w:hAnsi="Cambria Math"/>
          </w:rPr>
          <m:t>(t)=</m:t>
        </m:r>
        <m:sSup>
          <m:sSupPr>
            <m:ctrlPr>
              <w:rPr>
                <w:rFonts w:ascii="Cambria Math" w:eastAsia="Arial" w:hAnsi="Cambria Math"/>
                <w:i/>
              </w:rPr>
            </m:ctrlPr>
          </m:sSupPr>
          <m:e>
            <m:r>
              <m:rPr>
                <m:sty m:val="bi"/>
              </m:rPr>
              <w:rPr>
                <w:rFonts w:ascii="Cambria Math" w:eastAsia="Arial" w:hAnsi="Cambria Math"/>
              </w:rPr>
              <m:t>β</m:t>
            </m:r>
          </m:e>
          <m:sup>
            <m:r>
              <w:rPr>
                <w:rFonts w:ascii="Cambria Math" w:eastAsia="Arial" w:hAnsi="Cambria Math"/>
              </w:rPr>
              <m:t>T</m:t>
            </m:r>
          </m:sup>
        </m:sSup>
        <m:r>
          <m:rPr>
            <m:sty m:val="bi"/>
          </m:rPr>
          <w:rPr>
            <w:rFonts w:ascii="Cambria Math" w:eastAsia="Arial" w:hAnsi="Cambria Math"/>
          </w:rPr>
          <m:t>x</m:t>
        </m:r>
        <m:r>
          <w:rPr>
            <w:rFonts w:ascii="Cambria Math" w:eastAsia="Arial" w:hAnsi="Cambria Math"/>
          </w:rPr>
          <m:t>(t)</m:t>
        </m:r>
      </m:oMath>
      <w:r>
        <w:rPr>
          <w:rFonts w:eastAsia="Arial"/>
        </w:rPr>
        <w:t xml:space="preserve"> </w:t>
      </w:r>
      <w:r w:rsidRPr="00B5567F">
        <w:rPr>
          <w:rFonts w:eastAsia="Arial"/>
        </w:rPr>
        <w:t xml:space="preserve">and the backward time difference of isobutane concentration </w:t>
      </w:r>
      <m:oMath>
        <m:acc>
          <m:accPr>
            <m:ctrlPr>
              <w:rPr>
                <w:rFonts w:ascii="Cambria Math" w:eastAsia="Arial" w:hAnsi="Cambria Math"/>
                <w:i/>
              </w:rPr>
            </m:ctrlPr>
          </m:accPr>
          <m:e>
            <m:r>
              <w:rPr>
                <w:rFonts w:ascii="Cambria Math" w:eastAsia="Arial" w:hAnsi="Cambria Math"/>
              </w:rPr>
              <m:t>y</m:t>
            </m:r>
          </m:e>
        </m:acc>
        <m:r>
          <w:rPr>
            <w:rFonts w:ascii="Cambria Math" w:eastAsia="Arial" w:hAnsi="Cambria Math"/>
          </w:rPr>
          <m:t>(t)=</m:t>
        </m:r>
        <m:sSubSup>
          <m:sSubSupPr>
            <m:ctrlPr>
              <w:rPr>
                <w:rFonts w:ascii="Cambria Math" w:eastAsia="Arial" w:hAnsi="Cambria Math"/>
                <w:i/>
              </w:rPr>
            </m:ctrlPr>
          </m:sSubSupPr>
          <m:e>
            <m:r>
              <m:rPr>
                <m:sty m:val="bi"/>
              </m:rPr>
              <w:rPr>
                <w:rFonts w:ascii="Cambria Math" w:eastAsia="Arial" w:hAnsi="Cambria Math"/>
              </w:rPr>
              <m:t>β</m:t>
            </m:r>
          </m:e>
          <m:sub>
            <m:r>
              <w:rPr>
                <w:rFonts w:ascii="Cambria Math" w:eastAsia="Arial" w:hAnsi="Cambria Math"/>
              </w:rPr>
              <m:t>∆</m:t>
            </m:r>
          </m:sub>
          <m:sup>
            <m:r>
              <w:rPr>
                <w:rFonts w:ascii="Cambria Math" w:eastAsia="Arial" w:hAnsi="Cambria Math"/>
              </w:rPr>
              <m:t>T</m:t>
            </m:r>
          </m:sup>
        </m:sSubSup>
        <m:r>
          <m:rPr>
            <m:sty m:val="bi"/>
          </m:rPr>
          <w:rPr>
            <w:rFonts w:ascii="Cambria Math" w:eastAsia="Arial" w:hAnsi="Cambria Math"/>
          </w:rPr>
          <m:t>x</m:t>
        </m:r>
        <m:r>
          <w:rPr>
            <w:rFonts w:ascii="Cambria Math" w:eastAsia="Arial" w:hAnsi="Cambria Math"/>
          </w:rPr>
          <m:t>(t)</m:t>
        </m:r>
      </m:oMath>
      <w:r>
        <w:rPr>
          <w:rFonts w:eastAsia="Arial"/>
        </w:rPr>
        <w:t xml:space="preserve"> </w:t>
      </w:r>
      <w:r w:rsidRPr="00B5567F">
        <w:rPr>
          <w:rFonts w:eastAsia="Arial"/>
        </w:rPr>
        <w:t xml:space="preserve">using methodology from Section 2.3. Before applying the algorithms, a preprocessing step utilized the MCD method to remove outliers from </w:t>
      </w:r>
      <m:oMath>
        <m:r>
          <m:rPr>
            <m:sty m:val="bi"/>
          </m:rPr>
          <w:rPr>
            <w:rFonts w:ascii="Cambria Math" w:eastAsia="Arial" w:hAnsi="Cambria Math"/>
          </w:rPr>
          <m:t>X</m:t>
        </m:r>
      </m:oMath>
      <w:r w:rsidRPr="00B5567F">
        <w:rPr>
          <w:rFonts w:eastAsia="Arial"/>
        </w:rPr>
        <w:t xml:space="preserve"> (Section 2.1). The dataset was randomly split into training and testing sets (80/20 ratio) for model learning and evaluation. Efficacy was assessed using the Root Mean Square Error (RMSE), with deviations indicating potential outliers:</w:t>
      </w:r>
    </w:p>
    <w:tbl>
      <w:tblPr>
        <w:tblW w:w="7087" w:type="dxa"/>
        <w:tblLook w:val="04A0" w:firstRow="1" w:lastRow="0" w:firstColumn="1" w:lastColumn="0" w:noHBand="0" w:noVBand="1"/>
      </w:tblPr>
      <w:tblGrid>
        <w:gridCol w:w="6123"/>
        <w:gridCol w:w="964"/>
      </w:tblGrid>
      <w:tr w:rsidR="003F1632" w:rsidRPr="00A94774" w14:paraId="495F8BE6" w14:textId="77777777" w:rsidTr="00FA77D7">
        <w:tc>
          <w:tcPr>
            <w:tcW w:w="6123" w:type="dxa"/>
            <w:shd w:val="clear" w:color="auto" w:fill="auto"/>
          </w:tcPr>
          <w:p w14:paraId="39042492" w14:textId="1A1DBF33" w:rsidR="003F1632" w:rsidRPr="00F36FA5" w:rsidRDefault="003F1632" w:rsidP="00585334">
            <w:pPr>
              <w:pStyle w:val="Els-body-text"/>
              <w:spacing w:before="120" w:after="120"/>
              <w:jc w:val="left"/>
              <w:rPr>
                <w:lang w:val="en-GB"/>
              </w:rPr>
            </w:pPr>
            <w:r w:rsidRPr="003F1632">
              <w:rPr>
                <w:rFonts w:eastAsia="Arial"/>
                <w:iCs/>
              </w:rPr>
              <w:t xml:space="preserve">    </w:t>
            </w:r>
            <m:oMath>
              <m:r>
                <m:rPr>
                  <m:sty m:val="p"/>
                </m:rPr>
                <w:rPr>
                  <w:rFonts w:ascii="Cambria Math" w:eastAsia="Arial" w:hAnsi="Cambria Math"/>
                </w:rPr>
                <m:t>RMSE</m:t>
              </m:r>
              <m:r>
                <w:rPr>
                  <w:rFonts w:ascii="Cambria Math" w:eastAsia="Arial" w:hAnsi="Cambria Math"/>
                </w:rPr>
                <m:t>=</m:t>
              </m:r>
              <m:rad>
                <m:radPr>
                  <m:degHide m:val="1"/>
                  <m:ctrlPr>
                    <w:rPr>
                      <w:rFonts w:ascii="Cambria Math" w:eastAsia="Arial" w:hAnsi="Cambria Math"/>
                      <w:i/>
                    </w:rPr>
                  </m:ctrlPr>
                </m:radPr>
                <m:deg/>
                <m:e>
                  <m:f>
                    <m:fPr>
                      <m:ctrlPr>
                        <w:rPr>
                          <w:rFonts w:ascii="Cambria Math" w:eastAsia="Arial" w:hAnsi="Cambria Math"/>
                          <w:i/>
                        </w:rPr>
                      </m:ctrlPr>
                    </m:fPr>
                    <m:num>
                      <m:r>
                        <w:rPr>
                          <w:rFonts w:ascii="Cambria Math" w:eastAsia="Arial" w:hAnsi="Cambria Math"/>
                        </w:rPr>
                        <m:t>1</m:t>
                      </m:r>
                    </m:num>
                    <m:den>
                      <m:r>
                        <w:rPr>
                          <w:rFonts w:ascii="Cambria Math" w:eastAsia="Arial" w:hAnsi="Cambria Math"/>
                        </w:rPr>
                        <m:t>N</m:t>
                      </m:r>
                    </m:den>
                  </m:f>
                  <m:nary>
                    <m:naryPr>
                      <m:chr m:val="∑"/>
                      <m:limLoc m:val="subSup"/>
                      <m:ctrlPr>
                        <w:rPr>
                          <w:rFonts w:ascii="Cambria Math" w:eastAsia="Arial" w:hAnsi="Cambria Math"/>
                          <w:i/>
                        </w:rPr>
                      </m:ctrlPr>
                    </m:naryPr>
                    <m:sub>
                      <m:r>
                        <w:rPr>
                          <w:rFonts w:ascii="Cambria Math" w:eastAsia="Arial" w:hAnsi="Cambria Math"/>
                        </w:rPr>
                        <m:t>i=1</m:t>
                      </m:r>
                    </m:sub>
                    <m:sup>
                      <m:r>
                        <w:rPr>
                          <w:rFonts w:ascii="Cambria Math" w:eastAsia="Arial" w:hAnsi="Cambria Math"/>
                        </w:rPr>
                        <m:t>N</m:t>
                      </m:r>
                    </m:sup>
                    <m:e>
                      <m:r>
                        <w:rPr>
                          <w:rFonts w:ascii="Cambria Math" w:eastAsia="Arial" w:hAnsi="Cambria Math"/>
                        </w:rPr>
                        <m:t>(y(</m:t>
                      </m:r>
                      <m:sSub>
                        <m:sSubPr>
                          <m:ctrlPr>
                            <w:rPr>
                              <w:rFonts w:ascii="Cambria Math" w:eastAsia="Arial" w:hAnsi="Cambria Math"/>
                              <w:i/>
                            </w:rPr>
                          </m:ctrlPr>
                        </m:sSubPr>
                        <m:e>
                          <m:r>
                            <w:rPr>
                              <w:rFonts w:ascii="Cambria Math" w:eastAsia="Arial" w:hAnsi="Cambria Math"/>
                            </w:rPr>
                            <m:t>t</m:t>
                          </m:r>
                        </m:e>
                        <m:sub>
                          <m:r>
                            <w:rPr>
                              <w:rFonts w:ascii="Cambria Math" w:eastAsia="Arial" w:hAnsi="Cambria Math"/>
                            </w:rPr>
                            <m:t>i</m:t>
                          </m:r>
                        </m:sub>
                      </m:sSub>
                      <m:r>
                        <w:rPr>
                          <w:rFonts w:ascii="Cambria Math" w:eastAsia="Arial" w:hAnsi="Cambria Math"/>
                        </w:rPr>
                        <m:t>)-</m:t>
                      </m:r>
                      <m:sSup>
                        <m:sSupPr>
                          <m:ctrlPr>
                            <w:rPr>
                              <w:rFonts w:ascii="Cambria Math" w:hAnsi="Cambria Math"/>
                              <w:i/>
                            </w:rPr>
                          </m:ctrlPr>
                        </m:sSupPr>
                        <m:e>
                          <m:sSup>
                            <m:sSupPr>
                              <m:ctrlPr>
                                <w:rPr>
                                  <w:rFonts w:ascii="Cambria Math" w:hAnsi="Cambria Math"/>
                                  <w:i/>
                                </w:rPr>
                              </m:ctrlPr>
                            </m:sSupPr>
                            <m:e>
                              <m:r>
                                <m:rPr>
                                  <m:sty m:val="bi"/>
                                </m:rPr>
                                <w:rPr>
                                  <w:rFonts w:ascii="Cambria Math" w:hAnsi="Cambria Math"/>
                                </w:rPr>
                                <m:t>β</m:t>
                              </m:r>
                            </m:e>
                            <m:sup>
                              <m:r>
                                <w:rPr>
                                  <w:rFonts w:ascii="Cambria Math" w:hAnsi="Cambria Math"/>
                                </w:rPr>
                                <m:t>T</m:t>
                              </m:r>
                            </m:sup>
                          </m:sSup>
                          <m:r>
                            <m:rPr>
                              <m:sty m:val="bi"/>
                            </m:rP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e>
                        <m:sup>
                          <m:r>
                            <w:rPr>
                              <w:rFonts w:ascii="Cambria Math" w:hAnsi="Cambria Math"/>
                            </w:rPr>
                            <m:t>2</m:t>
                          </m:r>
                        </m:sup>
                      </m:sSup>
                      <m:r>
                        <w:rPr>
                          <w:rFonts w:ascii="Cambria Math" w:eastAsia="Arial" w:hAnsi="Cambria Math"/>
                        </w:rPr>
                        <m:t>,</m:t>
                      </m:r>
                    </m:e>
                  </m:nary>
                </m:e>
              </m:rad>
            </m:oMath>
          </w:p>
        </w:tc>
        <w:tc>
          <w:tcPr>
            <w:tcW w:w="964" w:type="dxa"/>
            <w:shd w:val="clear" w:color="auto" w:fill="auto"/>
            <w:vAlign w:val="center"/>
          </w:tcPr>
          <w:p w14:paraId="6EFBB51A" w14:textId="4067B173" w:rsidR="003F1632" w:rsidRPr="00A94774" w:rsidRDefault="003F1632" w:rsidP="00585334">
            <w:pPr>
              <w:pStyle w:val="Els-body-text"/>
              <w:spacing w:before="120" w:after="120"/>
              <w:jc w:val="right"/>
              <w:rPr>
                <w:lang w:val="en-GB"/>
              </w:rPr>
            </w:pPr>
            <w:r>
              <w:rPr>
                <w:rFonts w:eastAsia="Arial"/>
              </w:rPr>
              <w:t>(10)</w:t>
            </w:r>
          </w:p>
        </w:tc>
      </w:tr>
    </w:tbl>
    <w:p w14:paraId="58815233" w14:textId="0B28F9AD" w:rsidR="003F1632" w:rsidRDefault="003F1632" w:rsidP="00585334">
      <w:pPr>
        <w:jc w:val="both"/>
      </w:pPr>
      <w:r>
        <w:t xml:space="preserve">where </w:t>
      </w:r>
      <w:r w:rsidRPr="003F1632">
        <w:rPr>
          <w:i/>
          <w:iCs/>
        </w:rPr>
        <w:t>N</w:t>
      </w:r>
      <w:r>
        <w:t xml:space="preserve"> is the number of training points. Specifically, we considered the ±2×RMSE confidence interval over ±3×RMSE due to challenges in capturing dataset variability, especially in the presence of outliers among independent variables.</w:t>
      </w:r>
    </w:p>
    <w:p w14:paraId="12FFCCEC" w14:textId="77777777" w:rsidR="0023585F" w:rsidRDefault="003F1632" w:rsidP="00585334">
      <w:pPr>
        <w:jc w:val="both"/>
      </w:pPr>
      <w:r>
        <w:t xml:space="preserve">We chose the first seven principal components for PCA-trained models, explaining approximately 62% of the overall variance using the elbow method. Additional components made minimal contributions, indicating saturation in capturing dataset variability. Similarly, for LASSO and the PMA, we applied thresholds of 0.08 and 0.8, respectively, to select relevant coefficients. This ensures that only impactful coefficients are retained, allowing for a more interpretable and effective regression outcome. The prediction model achieved RMSE values ranging from 0.4031 (LASSO) to 0.6655 (PCA+LASSO), all within ±5% of isobutane concentration, meeting the industry-standard confidence region. Variable selection by LASSO, OLS, and PCA provided insights into crucial features. LASSO identified n-butane concentration, olefin feed </w:t>
      </w:r>
    </w:p>
    <w:tbl>
      <w:tblPr>
        <w:tblpPr w:leftFromText="180" w:rightFromText="180" w:vertAnchor="text" w:horzAnchor="margin" w:tblpXSpec="center" w:tblpY="79"/>
        <w:tblW w:w="0" w:type="auto"/>
        <w:tblLayout w:type="fixed"/>
        <w:tblCellMar>
          <w:left w:w="0" w:type="dxa"/>
          <w:right w:w="0" w:type="dxa"/>
        </w:tblCellMar>
        <w:tblLook w:val="04A0" w:firstRow="1" w:lastRow="0" w:firstColumn="1" w:lastColumn="0" w:noHBand="0" w:noVBand="1"/>
      </w:tblPr>
      <w:tblGrid>
        <w:gridCol w:w="3077"/>
        <w:gridCol w:w="1035"/>
        <w:gridCol w:w="774"/>
        <w:gridCol w:w="774"/>
        <w:gridCol w:w="948"/>
      </w:tblGrid>
      <w:tr w:rsidR="0023585F" w:rsidRPr="00B5567F" w14:paraId="14E654EA" w14:textId="77777777" w:rsidTr="0023585F">
        <w:trPr>
          <w:trHeight w:val="281"/>
        </w:trPr>
        <w:tc>
          <w:tcPr>
            <w:tcW w:w="6608" w:type="dxa"/>
            <w:gridSpan w:val="5"/>
            <w:shd w:val="clear" w:color="auto" w:fill="auto"/>
            <w:vAlign w:val="bottom"/>
          </w:tcPr>
          <w:p w14:paraId="7A65226B" w14:textId="33416048" w:rsidR="0023585F" w:rsidRPr="00B5567F" w:rsidRDefault="0023585F" w:rsidP="0023585F">
            <w:pPr>
              <w:ind w:left="180"/>
              <w:jc w:val="center"/>
              <w:rPr>
                <w:rFonts w:eastAsia="Arial"/>
              </w:rPr>
            </w:pPr>
            <w:r w:rsidRPr="007B5275">
              <w:rPr>
                <w:rFonts w:eastAsia="Arial"/>
                <w:sz w:val="18"/>
                <w:szCs w:val="18"/>
              </w:rPr>
              <w:lastRenderedPageBreak/>
              <w:t>Table 1: Confusion matrix entries for implemented outlier detection methods.</w:t>
            </w:r>
          </w:p>
        </w:tc>
      </w:tr>
      <w:tr w:rsidR="0023585F" w:rsidRPr="00B5567F" w14:paraId="362BCDB9" w14:textId="77777777" w:rsidTr="0023585F">
        <w:trPr>
          <w:trHeight w:val="281"/>
        </w:trPr>
        <w:tc>
          <w:tcPr>
            <w:tcW w:w="3077" w:type="dxa"/>
            <w:tcBorders>
              <w:bottom w:val="single" w:sz="4" w:space="0" w:color="auto"/>
            </w:tcBorders>
            <w:shd w:val="clear" w:color="auto" w:fill="auto"/>
            <w:vAlign w:val="bottom"/>
          </w:tcPr>
          <w:p w14:paraId="63545A2A" w14:textId="77777777" w:rsidR="0023585F" w:rsidRPr="00B5567F" w:rsidRDefault="0023585F" w:rsidP="0023585F">
            <w:pPr>
              <w:ind w:left="120"/>
            </w:pPr>
            <w:r w:rsidRPr="00B5567F">
              <w:rPr>
                <w:rFonts w:eastAsia="Arial"/>
              </w:rPr>
              <w:t>Method</w:t>
            </w:r>
          </w:p>
        </w:tc>
        <w:tc>
          <w:tcPr>
            <w:tcW w:w="1035" w:type="dxa"/>
            <w:tcBorders>
              <w:bottom w:val="single" w:sz="4" w:space="0" w:color="auto"/>
            </w:tcBorders>
            <w:shd w:val="clear" w:color="auto" w:fill="auto"/>
            <w:vAlign w:val="bottom"/>
          </w:tcPr>
          <w:p w14:paraId="3613F033" w14:textId="169B75A9" w:rsidR="0023585F" w:rsidRPr="00B5567F" w:rsidRDefault="00DF3027" w:rsidP="00DF3027">
            <w:pPr>
              <w:jc w:val="center"/>
            </w:pPr>
            <w:r w:rsidRPr="00B5567F">
              <w:rPr>
                <w:rFonts w:eastAsia="Arial"/>
              </w:rPr>
              <w:t>T</w:t>
            </w:r>
            <w:r>
              <w:rPr>
                <w:rFonts w:eastAsia="Arial"/>
              </w:rPr>
              <w:t>P</w:t>
            </w:r>
          </w:p>
        </w:tc>
        <w:tc>
          <w:tcPr>
            <w:tcW w:w="774" w:type="dxa"/>
            <w:tcBorders>
              <w:bottom w:val="single" w:sz="4" w:space="0" w:color="auto"/>
            </w:tcBorders>
            <w:shd w:val="clear" w:color="auto" w:fill="auto"/>
            <w:vAlign w:val="bottom"/>
          </w:tcPr>
          <w:p w14:paraId="35F2A06E" w14:textId="77777777" w:rsidR="0023585F" w:rsidRPr="00B5567F" w:rsidRDefault="0023585F" w:rsidP="00DF3027">
            <w:pPr>
              <w:ind w:left="140"/>
              <w:jc w:val="center"/>
            </w:pPr>
            <w:r w:rsidRPr="00B5567F">
              <w:rPr>
                <w:rFonts w:eastAsia="Arial"/>
              </w:rPr>
              <w:t>TN</w:t>
            </w:r>
          </w:p>
        </w:tc>
        <w:tc>
          <w:tcPr>
            <w:tcW w:w="774" w:type="dxa"/>
            <w:tcBorders>
              <w:bottom w:val="single" w:sz="4" w:space="0" w:color="auto"/>
            </w:tcBorders>
            <w:shd w:val="clear" w:color="auto" w:fill="auto"/>
            <w:vAlign w:val="bottom"/>
          </w:tcPr>
          <w:p w14:paraId="380175E0" w14:textId="77777777" w:rsidR="0023585F" w:rsidRPr="00B5567F" w:rsidRDefault="0023585F" w:rsidP="00DF3027">
            <w:pPr>
              <w:ind w:left="160"/>
              <w:jc w:val="center"/>
            </w:pPr>
            <w:r w:rsidRPr="00B5567F">
              <w:rPr>
                <w:rFonts w:eastAsia="Arial"/>
              </w:rPr>
              <w:t>FP</w:t>
            </w:r>
          </w:p>
        </w:tc>
        <w:tc>
          <w:tcPr>
            <w:tcW w:w="948" w:type="dxa"/>
            <w:tcBorders>
              <w:bottom w:val="single" w:sz="4" w:space="0" w:color="auto"/>
            </w:tcBorders>
            <w:shd w:val="clear" w:color="auto" w:fill="auto"/>
            <w:vAlign w:val="bottom"/>
          </w:tcPr>
          <w:p w14:paraId="2B13EB04" w14:textId="7EECFF94" w:rsidR="0023585F" w:rsidRPr="00B5567F" w:rsidRDefault="00DF3027" w:rsidP="00DF3027">
            <w:pPr>
              <w:ind w:left="180"/>
              <w:jc w:val="center"/>
            </w:pPr>
            <w:r>
              <w:rPr>
                <w:rFonts w:eastAsia="Arial"/>
              </w:rPr>
              <w:t>F</w:t>
            </w:r>
            <w:r w:rsidRPr="00B5567F">
              <w:rPr>
                <w:rFonts w:eastAsia="Arial"/>
              </w:rPr>
              <w:t>N</w:t>
            </w:r>
          </w:p>
        </w:tc>
      </w:tr>
      <w:tr w:rsidR="00151836" w:rsidRPr="00B5567F" w14:paraId="41FCB826" w14:textId="77777777" w:rsidTr="00151836">
        <w:trPr>
          <w:trHeight w:val="236"/>
        </w:trPr>
        <w:tc>
          <w:tcPr>
            <w:tcW w:w="3077" w:type="dxa"/>
            <w:tcBorders>
              <w:top w:val="single" w:sz="4" w:space="0" w:color="auto"/>
            </w:tcBorders>
            <w:shd w:val="clear" w:color="auto" w:fill="auto"/>
            <w:vAlign w:val="bottom"/>
          </w:tcPr>
          <w:p w14:paraId="498000CE" w14:textId="77777777" w:rsidR="00151836" w:rsidRPr="00DF3027" w:rsidRDefault="00151836" w:rsidP="00151836">
            <w:pPr>
              <w:ind w:left="120"/>
            </w:pPr>
            <w:r w:rsidRPr="00DF3027">
              <w:rPr>
                <w:rFonts w:eastAsia="Arial"/>
              </w:rPr>
              <w:t>Statistical Mean (SM)</w:t>
            </w:r>
          </w:p>
        </w:tc>
        <w:tc>
          <w:tcPr>
            <w:tcW w:w="1035" w:type="dxa"/>
            <w:tcBorders>
              <w:top w:val="single" w:sz="4" w:space="0" w:color="auto"/>
            </w:tcBorders>
            <w:shd w:val="clear" w:color="auto" w:fill="auto"/>
          </w:tcPr>
          <w:p w14:paraId="4EABCD6E" w14:textId="6839A54D" w:rsidR="00151836" w:rsidRPr="00151836" w:rsidRDefault="00151836" w:rsidP="00151836">
            <w:pPr>
              <w:jc w:val="center"/>
            </w:pPr>
            <w:r w:rsidRPr="00151836">
              <w:rPr>
                <w:rFonts w:eastAsiaTheme="minorEastAsia"/>
                <w:lang w:val="en-US"/>
              </w:rPr>
              <w:t>15601</w:t>
            </w:r>
          </w:p>
        </w:tc>
        <w:tc>
          <w:tcPr>
            <w:tcW w:w="774" w:type="dxa"/>
            <w:tcBorders>
              <w:top w:val="single" w:sz="4" w:space="0" w:color="auto"/>
            </w:tcBorders>
            <w:shd w:val="clear" w:color="auto" w:fill="auto"/>
          </w:tcPr>
          <w:p w14:paraId="2FF4D2B3" w14:textId="47D6E67D" w:rsidR="00151836" w:rsidRPr="00151836" w:rsidRDefault="00151836" w:rsidP="00151836">
            <w:pPr>
              <w:jc w:val="center"/>
            </w:pPr>
            <w:r w:rsidRPr="00151836">
              <w:rPr>
                <w:rFonts w:eastAsiaTheme="minorEastAsia"/>
                <w:lang w:val="en-US"/>
              </w:rPr>
              <w:t>0</w:t>
            </w:r>
          </w:p>
        </w:tc>
        <w:tc>
          <w:tcPr>
            <w:tcW w:w="774" w:type="dxa"/>
            <w:tcBorders>
              <w:top w:val="single" w:sz="4" w:space="0" w:color="auto"/>
            </w:tcBorders>
            <w:shd w:val="clear" w:color="auto" w:fill="auto"/>
          </w:tcPr>
          <w:p w14:paraId="5E43D96B" w14:textId="15A01C36" w:rsidR="00151836" w:rsidRPr="00151836" w:rsidRDefault="00151836" w:rsidP="00151836">
            <w:pPr>
              <w:ind w:left="120"/>
              <w:jc w:val="center"/>
            </w:pPr>
            <w:r w:rsidRPr="00151836">
              <w:rPr>
                <w:rFonts w:eastAsiaTheme="minorEastAsia"/>
                <w:lang w:val="en-US"/>
              </w:rPr>
              <w:t>306</w:t>
            </w:r>
          </w:p>
        </w:tc>
        <w:tc>
          <w:tcPr>
            <w:tcW w:w="948" w:type="dxa"/>
            <w:tcBorders>
              <w:top w:val="single" w:sz="4" w:space="0" w:color="auto"/>
            </w:tcBorders>
            <w:shd w:val="clear" w:color="auto" w:fill="auto"/>
          </w:tcPr>
          <w:p w14:paraId="6BF8C725" w14:textId="29E5FD5D" w:rsidR="00151836" w:rsidRPr="00151836" w:rsidRDefault="00151836" w:rsidP="00151836">
            <w:pPr>
              <w:jc w:val="center"/>
            </w:pPr>
            <w:r w:rsidRPr="00151836">
              <w:rPr>
                <w:rFonts w:eastAsiaTheme="minorEastAsia"/>
                <w:lang w:val="en-US"/>
              </w:rPr>
              <w:t>0</w:t>
            </w:r>
          </w:p>
        </w:tc>
      </w:tr>
      <w:tr w:rsidR="00151836" w:rsidRPr="00B5567F" w14:paraId="5DA58F7E" w14:textId="77777777" w:rsidTr="00E32ECE">
        <w:trPr>
          <w:trHeight w:val="263"/>
        </w:trPr>
        <w:tc>
          <w:tcPr>
            <w:tcW w:w="3077" w:type="dxa"/>
            <w:shd w:val="clear" w:color="auto" w:fill="auto"/>
            <w:vAlign w:val="bottom"/>
          </w:tcPr>
          <w:p w14:paraId="17315E40" w14:textId="77777777" w:rsidR="00151836" w:rsidRPr="00DF3027" w:rsidRDefault="00151836" w:rsidP="00151836">
            <w:pPr>
              <w:ind w:left="120"/>
            </w:pPr>
            <w:r w:rsidRPr="00DF3027">
              <w:rPr>
                <w:rFonts w:eastAsia="Arial"/>
              </w:rPr>
              <w:t>Temporal Mean (TM)</w:t>
            </w:r>
          </w:p>
        </w:tc>
        <w:tc>
          <w:tcPr>
            <w:tcW w:w="1035" w:type="dxa"/>
            <w:shd w:val="clear" w:color="auto" w:fill="auto"/>
          </w:tcPr>
          <w:p w14:paraId="5BF98BEC" w14:textId="77230FE3" w:rsidR="00151836" w:rsidRPr="00151836" w:rsidRDefault="00151836" w:rsidP="00151836">
            <w:pPr>
              <w:jc w:val="center"/>
            </w:pPr>
            <w:r w:rsidRPr="00151836">
              <w:rPr>
                <w:rFonts w:eastAsiaTheme="minorEastAsia"/>
                <w:lang w:val="en-US"/>
              </w:rPr>
              <w:t>15431</w:t>
            </w:r>
          </w:p>
        </w:tc>
        <w:tc>
          <w:tcPr>
            <w:tcW w:w="774" w:type="dxa"/>
            <w:shd w:val="clear" w:color="auto" w:fill="auto"/>
          </w:tcPr>
          <w:p w14:paraId="0F79D24D" w14:textId="51F6603C" w:rsidR="00151836" w:rsidRPr="00151836" w:rsidRDefault="00151836" w:rsidP="00151836">
            <w:pPr>
              <w:jc w:val="center"/>
            </w:pPr>
            <w:r w:rsidRPr="00151836">
              <w:rPr>
                <w:rFonts w:eastAsiaTheme="minorEastAsia"/>
                <w:lang w:val="en-US"/>
              </w:rPr>
              <w:t>61</w:t>
            </w:r>
          </w:p>
        </w:tc>
        <w:tc>
          <w:tcPr>
            <w:tcW w:w="774" w:type="dxa"/>
            <w:shd w:val="clear" w:color="auto" w:fill="auto"/>
          </w:tcPr>
          <w:p w14:paraId="4F858739" w14:textId="1F71F3BB" w:rsidR="00151836" w:rsidRPr="00151836" w:rsidRDefault="00151836" w:rsidP="00151836">
            <w:pPr>
              <w:ind w:left="120"/>
              <w:jc w:val="center"/>
            </w:pPr>
            <w:r w:rsidRPr="00151836">
              <w:rPr>
                <w:rFonts w:eastAsiaTheme="minorEastAsia"/>
                <w:lang w:val="en-US"/>
              </w:rPr>
              <w:t>245</w:t>
            </w:r>
          </w:p>
        </w:tc>
        <w:tc>
          <w:tcPr>
            <w:tcW w:w="948" w:type="dxa"/>
            <w:shd w:val="clear" w:color="auto" w:fill="auto"/>
          </w:tcPr>
          <w:p w14:paraId="50A178D6" w14:textId="5D892A0B" w:rsidR="00151836" w:rsidRPr="00151836" w:rsidRDefault="00151836" w:rsidP="00151836">
            <w:pPr>
              <w:jc w:val="center"/>
            </w:pPr>
            <w:r w:rsidRPr="00151836">
              <w:rPr>
                <w:rFonts w:eastAsiaTheme="minorEastAsia"/>
                <w:lang w:val="en-US"/>
              </w:rPr>
              <w:t>170</w:t>
            </w:r>
          </w:p>
        </w:tc>
      </w:tr>
      <w:tr w:rsidR="00151836" w:rsidRPr="00B5567F" w14:paraId="56380A2C" w14:textId="77777777" w:rsidTr="00E32ECE">
        <w:trPr>
          <w:trHeight w:val="263"/>
        </w:trPr>
        <w:tc>
          <w:tcPr>
            <w:tcW w:w="3077" w:type="dxa"/>
            <w:shd w:val="clear" w:color="auto" w:fill="auto"/>
            <w:vAlign w:val="bottom"/>
          </w:tcPr>
          <w:p w14:paraId="337EC83D" w14:textId="77777777" w:rsidR="00151836" w:rsidRPr="00DF3027" w:rsidRDefault="00151836" w:rsidP="00151836">
            <w:pPr>
              <w:ind w:left="120"/>
            </w:pPr>
            <w:r w:rsidRPr="00DF3027">
              <w:rPr>
                <w:rFonts w:eastAsia="Arial"/>
              </w:rPr>
              <w:t>Simple Moving Average (SIMA)</w:t>
            </w:r>
          </w:p>
        </w:tc>
        <w:tc>
          <w:tcPr>
            <w:tcW w:w="1035" w:type="dxa"/>
            <w:shd w:val="clear" w:color="auto" w:fill="auto"/>
          </w:tcPr>
          <w:p w14:paraId="21D4A27B" w14:textId="78707B37" w:rsidR="00151836" w:rsidRPr="00151836" w:rsidRDefault="00151836" w:rsidP="00151836">
            <w:pPr>
              <w:jc w:val="center"/>
            </w:pPr>
            <w:r w:rsidRPr="00151836">
              <w:rPr>
                <w:rFonts w:eastAsiaTheme="minorEastAsia"/>
                <w:lang w:val="en-US"/>
              </w:rPr>
              <w:t>14553</w:t>
            </w:r>
          </w:p>
        </w:tc>
        <w:tc>
          <w:tcPr>
            <w:tcW w:w="774" w:type="dxa"/>
            <w:shd w:val="clear" w:color="auto" w:fill="auto"/>
          </w:tcPr>
          <w:p w14:paraId="756A05BF" w14:textId="1329AD88" w:rsidR="00151836" w:rsidRPr="00151836" w:rsidRDefault="00151836" w:rsidP="00151836">
            <w:pPr>
              <w:jc w:val="center"/>
            </w:pPr>
            <w:r w:rsidRPr="00151836">
              <w:rPr>
                <w:rFonts w:eastAsiaTheme="minorEastAsia"/>
                <w:lang w:val="en-US"/>
              </w:rPr>
              <w:t>122</w:t>
            </w:r>
          </w:p>
        </w:tc>
        <w:tc>
          <w:tcPr>
            <w:tcW w:w="774" w:type="dxa"/>
            <w:shd w:val="clear" w:color="auto" w:fill="auto"/>
          </w:tcPr>
          <w:p w14:paraId="7F6B7202" w14:textId="267B1CEF" w:rsidR="00151836" w:rsidRPr="00151836" w:rsidRDefault="00151836" w:rsidP="00151836">
            <w:pPr>
              <w:ind w:left="120"/>
              <w:jc w:val="center"/>
            </w:pPr>
            <w:r w:rsidRPr="00151836">
              <w:rPr>
                <w:rFonts w:eastAsiaTheme="minorEastAsia"/>
                <w:lang w:val="en-US"/>
              </w:rPr>
              <w:t>184</w:t>
            </w:r>
          </w:p>
        </w:tc>
        <w:tc>
          <w:tcPr>
            <w:tcW w:w="948" w:type="dxa"/>
            <w:shd w:val="clear" w:color="auto" w:fill="auto"/>
          </w:tcPr>
          <w:p w14:paraId="5801C038" w14:textId="233DE68D" w:rsidR="00151836" w:rsidRPr="00151836" w:rsidRDefault="00151836" w:rsidP="00151836">
            <w:pPr>
              <w:jc w:val="center"/>
            </w:pPr>
            <w:r w:rsidRPr="00151836">
              <w:rPr>
                <w:rFonts w:eastAsiaTheme="minorEastAsia"/>
                <w:lang w:val="en-US"/>
              </w:rPr>
              <w:t>1048</w:t>
            </w:r>
          </w:p>
        </w:tc>
      </w:tr>
      <w:tr w:rsidR="00151836" w:rsidRPr="00B5567F" w14:paraId="053423B4" w14:textId="77777777" w:rsidTr="00E32ECE">
        <w:trPr>
          <w:trHeight w:val="263"/>
        </w:trPr>
        <w:tc>
          <w:tcPr>
            <w:tcW w:w="3077" w:type="dxa"/>
            <w:shd w:val="clear" w:color="auto" w:fill="auto"/>
            <w:vAlign w:val="bottom"/>
          </w:tcPr>
          <w:p w14:paraId="3EEB0E0E" w14:textId="77777777" w:rsidR="00151836" w:rsidRPr="00DF3027" w:rsidRDefault="00151836" w:rsidP="00151836">
            <w:pPr>
              <w:ind w:left="120"/>
            </w:pPr>
            <w:r w:rsidRPr="00DF3027">
              <w:rPr>
                <w:rFonts w:eastAsia="Arial"/>
              </w:rPr>
              <w:t>Predictive Moving Average (PMA)</w:t>
            </w:r>
          </w:p>
        </w:tc>
        <w:tc>
          <w:tcPr>
            <w:tcW w:w="1035" w:type="dxa"/>
            <w:shd w:val="clear" w:color="auto" w:fill="auto"/>
          </w:tcPr>
          <w:p w14:paraId="5A870148" w14:textId="42B9C53A" w:rsidR="00151836" w:rsidRPr="00151836" w:rsidRDefault="00151836" w:rsidP="00151836">
            <w:pPr>
              <w:jc w:val="center"/>
            </w:pPr>
            <w:r w:rsidRPr="00151836">
              <w:rPr>
                <w:rFonts w:eastAsiaTheme="minorEastAsia"/>
                <w:lang w:val="en-US"/>
              </w:rPr>
              <w:t>14590</w:t>
            </w:r>
          </w:p>
        </w:tc>
        <w:tc>
          <w:tcPr>
            <w:tcW w:w="774" w:type="dxa"/>
            <w:shd w:val="clear" w:color="auto" w:fill="auto"/>
          </w:tcPr>
          <w:p w14:paraId="08490AF7" w14:textId="43717F34" w:rsidR="00151836" w:rsidRPr="00151836" w:rsidRDefault="00151836" w:rsidP="00151836">
            <w:pPr>
              <w:jc w:val="center"/>
            </w:pPr>
            <w:r w:rsidRPr="00151836">
              <w:rPr>
                <w:rFonts w:eastAsiaTheme="minorEastAsia"/>
                <w:lang w:val="en-US"/>
              </w:rPr>
              <w:t>125</w:t>
            </w:r>
          </w:p>
        </w:tc>
        <w:tc>
          <w:tcPr>
            <w:tcW w:w="774" w:type="dxa"/>
            <w:shd w:val="clear" w:color="auto" w:fill="auto"/>
          </w:tcPr>
          <w:p w14:paraId="7536571B" w14:textId="2FD8B24C" w:rsidR="00151836" w:rsidRPr="00151836" w:rsidRDefault="00151836" w:rsidP="00151836">
            <w:pPr>
              <w:ind w:left="120"/>
              <w:jc w:val="center"/>
            </w:pPr>
            <w:r w:rsidRPr="00151836">
              <w:rPr>
                <w:rFonts w:eastAsiaTheme="minorEastAsia"/>
                <w:lang w:val="en-US"/>
              </w:rPr>
              <w:t>181</w:t>
            </w:r>
          </w:p>
        </w:tc>
        <w:tc>
          <w:tcPr>
            <w:tcW w:w="948" w:type="dxa"/>
            <w:shd w:val="clear" w:color="auto" w:fill="auto"/>
          </w:tcPr>
          <w:p w14:paraId="40B89B8C" w14:textId="773C9D12" w:rsidR="00151836" w:rsidRPr="00151836" w:rsidRDefault="00151836" w:rsidP="00151836">
            <w:pPr>
              <w:jc w:val="center"/>
            </w:pPr>
            <w:r w:rsidRPr="00151836">
              <w:rPr>
                <w:rFonts w:eastAsiaTheme="minorEastAsia"/>
                <w:lang w:val="en-US"/>
              </w:rPr>
              <w:t>1011</w:t>
            </w:r>
          </w:p>
        </w:tc>
      </w:tr>
      <w:tr w:rsidR="00151836" w:rsidRPr="00B5567F" w14:paraId="3AEDD4AC" w14:textId="77777777" w:rsidTr="00E32ECE">
        <w:trPr>
          <w:trHeight w:val="281"/>
        </w:trPr>
        <w:tc>
          <w:tcPr>
            <w:tcW w:w="3077" w:type="dxa"/>
            <w:tcBorders>
              <w:bottom w:val="single" w:sz="4" w:space="0" w:color="auto"/>
            </w:tcBorders>
            <w:shd w:val="clear" w:color="auto" w:fill="auto"/>
            <w:vAlign w:val="bottom"/>
          </w:tcPr>
          <w:p w14:paraId="3C4A5BB3" w14:textId="77777777" w:rsidR="00151836" w:rsidRPr="00DF3027" w:rsidRDefault="00151836" w:rsidP="00151836">
            <w:pPr>
              <w:ind w:left="120"/>
            </w:pPr>
            <w:r w:rsidRPr="00DF3027">
              <w:rPr>
                <w:rFonts w:eastAsia="Arial"/>
              </w:rPr>
              <w:t>Regression model</w:t>
            </w:r>
          </w:p>
        </w:tc>
        <w:tc>
          <w:tcPr>
            <w:tcW w:w="1035" w:type="dxa"/>
            <w:tcBorders>
              <w:bottom w:val="single" w:sz="4" w:space="0" w:color="auto"/>
            </w:tcBorders>
            <w:shd w:val="clear" w:color="auto" w:fill="auto"/>
          </w:tcPr>
          <w:p w14:paraId="0BACBB6C" w14:textId="10BD6827" w:rsidR="00151836" w:rsidRPr="00151836" w:rsidRDefault="00151836" w:rsidP="00151836">
            <w:pPr>
              <w:jc w:val="center"/>
            </w:pPr>
            <w:r w:rsidRPr="00151836">
              <w:rPr>
                <w:rFonts w:eastAsiaTheme="minorEastAsia"/>
                <w:lang w:val="en-US"/>
              </w:rPr>
              <w:t>15175</w:t>
            </w:r>
          </w:p>
        </w:tc>
        <w:tc>
          <w:tcPr>
            <w:tcW w:w="774" w:type="dxa"/>
            <w:tcBorders>
              <w:bottom w:val="single" w:sz="4" w:space="0" w:color="auto"/>
            </w:tcBorders>
            <w:shd w:val="clear" w:color="auto" w:fill="auto"/>
          </w:tcPr>
          <w:p w14:paraId="7C9EC618" w14:textId="0219A006" w:rsidR="00151836" w:rsidRPr="00151836" w:rsidRDefault="00151836" w:rsidP="00151836">
            <w:pPr>
              <w:jc w:val="center"/>
            </w:pPr>
            <w:r w:rsidRPr="00151836">
              <w:rPr>
                <w:rFonts w:eastAsiaTheme="minorEastAsia"/>
                <w:lang w:val="en-US"/>
              </w:rPr>
              <w:t>15</w:t>
            </w:r>
          </w:p>
        </w:tc>
        <w:tc>
          <w:tcPr>
            <w:tcW w:w="774" w:type="dxa"/>
            <w:tcBorders>
              <w:bottom w:val="single" w:sz="4" w:space="0" w:color="auto"/>
            </w:tcBorders>
            <w:shd w:val="clear" w:color="auto" w:fill="auto"/>
          </w:tcPr>
          <w:p w14:paraId="722278D5" w14:textId="66263CD8" w:rsidR="00151836" w:rsidRPr="00151836" w:rsidRDefault="00151836" w:rsidP="00151836">
            <w:pPr>
              <w:ind w:left="120"/>
              <w:jc w:val="center"/>
            </w:pPr>
            <w:r w:rsidRPr="00151836">
              <w:rPr>
                <w:rFonts w:eastAsiaTheme="minorEastAsia"/>
                <w:lang w:val="en-US"/>
              </w:rPr>
              <w:t>291</w:t>
            </w:r>
          </w:p>
        </w:tc>
        <w:tc>
          <w:tcPr>
            <w:tcW w:w="948" w:type="dxa"/>
            <w:tcBorders>
              <w:bottom w:val="single" w:sz="4" w:space="0" w:color="auto"/>
            </w:tcBorders>
            <w:shd w:val="clear" w:color="auto" w:fill="auto"/>
          </w:tcPr>
          <w:p w14:paraId="2F8275CC" w14:textId="461F75E4" w:rsidR="00151836" w:rsidRPr="00151836" w:rsidRDefault="00151836" w:rsidP="00151836">
            <w:pPr>
              <w:jc w:val="center"/>
            </w:pPr>
            <w:r w:rsidRPr="00151836">
              <w:rPr>
                <w:rFonts w:eastAsiaTheme="minorEastAsia"/>
                <w:lang w:val="en-US"/>
              </w:rPr>
              <w:t>426</w:t>
            </w:r>
          </w:p>
        </w:tc>
      </w:tr>
    </w:tbl>
    <w:p w14:paraId="15CF454D" w14:textId="6515C2E2" w:rsidR="003F1632" w:rsidRDefault="0023585F" w:rsidP="009702ED">
      <w:pPr>
        <w:jc w:val="both"/>
      </w:pPr>
      <w:r>
        <w:t>c</w:t>
      </w:r>
      <w:r w:rsidR="003F1632">
        <w:t xml:space="preserve">oncentration, and pressures of olefin and recycle streams. OLS also demonstrated reasonable variable selection, focusing on pressures at the </w:t>
      </w:r>
      <w:proofErr w:type="spellStart"/>
      <w:r w:rsidR="003F1632">
        <w:t>deisobutanizer</w:t>
      </w:r>
      <w:proofErr w:type="spellEnd"/>
      <w:r w:rsidR="003F1632">
        <w:t xml:space="preserve"> accumulator inlet/outlet. However, PCA exhibited less </w:t>
      </w:r>
      <w:proofErr w:type="spellStart"/>
      <w:r w:rsidR="003F1632">
        <w:t>favorable</w:t>
      </w:r>
      <w:proofErr w:type="spellEnd"/>
      <w:r w:rsidR="003F1632">
        <w:t xml:space="preserve"> outcomes, selecting compressor discharge, vibrations, and ventilation. Discussions with our industrial partner deemed this variable selection as unsuitable. When </w:t>
      </w:r>
      <w:proofErr w:type="spellStart"/>
      <w:r w:rsidR="003F1632">
        <w:t>analyzing</w:t>
      </w:r>
      <w:proofErr w:type="spellEnd"/>
      <w:r w:rsidR="003F1632">
        <w:t xml:space="preserve"> the prediction models, we observe a   notable alignment between the fit by LASSO and laboratory measurements, prompting consideration of further investigation in future research.</w:t>
      </w:r>
    </w:p>
    <w:p w14:paraId="25C4AA6B" w14:textId="75B76E69" w:rsidR="003F1632" w:rsidRPr="0011019D" w:rsidRDefault="003F1632" w:rsidP="0023585F">
      <w:pPr>
        <w:jc w:val="both"/>
      </w:pPr>
      <w:r>
        <w:t>In predicting output differences, LASSO yielded the lowest RMSE (0.037) among</w:t>
      </w:r>
      <w:r w:rsidR="0023585F">
        <w:t xml:space="preserve"> </w:t>
      </w:r>
      <w:r>
        <w:t>regression methods, closely followed by OLS and PCA+LASSO (RMSE = 0.038). PCR, on the other hand, yielded a higher RMSE = 0.178. Selected variables coincide with those identified by regression models, substituting some with pressure/temperature differences.</w:t>
      </w:r>
    </w:p>
    <w:p w14:paraId="02D2908A" w14:textId="66554FFD" w:rsidR="00A91631" w:rsidRDefault="00D63E69" w:rsidP="00585334">
      <w:pPr>
        <w:pStyle w:val="Els-body-text"/>
        <w:spacing w:before="120" w:after="120"/>
        <w:rPr>
          <w:lang w:val="en-GB"/>
        </w:rPr>
      </w:pPr>
      <w:r>
        <w:rPr>
          <w:noProof/>
          <w:lang w:val="en-GB"/>
        </w:rPr>
        <w:drawing>
          <wp:anchor distT="0" distB="0" distL="114300" distR="114300" simplePos="0" relativeHeight="251658240" behindDoc="0" locked="0" layoutInCell="1" allowOverlap="1" wp14:anchorId="41218AE0" wp14:editId="3BC7BDAB">
            <wp:simplePos x="0" y="0"/>
            <wp:positionH relativeFrom="margin">
              <wp:align>left</wp:align>
            </wp:positionH>
            <wp:positionV relativeFrom="paragraph">
              <wp:posOffset>76200</wp:posOffset>
            </wp:positionV>
            <wp:extent cx="2933700" cy="2591435"/>
            <wp:effectExtent l="0" t="0" r="0" b="0"/>
            <wp:wrapSquare wrapText="bothSides"/>
            <wp:docPr id="238619632" name="Picture 1" descr="A graph of a graph of a graph of a graph of a graph of a graph of a graph of a graph of a graph of a graph of a graph of a graph of a graph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19632" name="Picture 1" descr="A graph of a graph of a graph of a graph of a graph of a graph of a graph of a graph of a graph of a graph of a graph of a graph of a graph of&#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040" cy="2600736"/>
                    </a:xfrm>
                    <a:prstGeom prst="rect">
                      <a:avLst/>
                    </a:prstGeom>
                  </pic:spPr>
                </pic:pic>
              </a:graphicData>
            </a:graphic>
            <wp14:sizeRelH relativeFrom="margin">
              <wp14:pctWidth>0</wp14:pctWidth>
            </wp14:sizeRelH>
            <wp14:sizeRelV relativeFrom="margin">
              <wp14:pctHeight>0</wp14:pctHeight>
            </wp14:sizeRelV>
          </wp:anchor>
        </w:drawing>
      </w:r>
      <w:r w:rsidR="003F1632" w:rsidRPr="003F1632">
        <w:rPr>
          <w:lang w:val="en-GB"/>
        </w:rPr>
        <w:t xml:space="preserve">We </w:t>
      </w:r>
      <w:proofErr w:type="spellStart"/>
      <w:r w:rsidR="003F1632" w:rsidRPr="003F1632">
        <w:rPr>
          <w:lang w:val="en-GB"/>
        </w:rPr>
        <w:t>analyze</w:t>
      </w:r>
      <w:proofErr w:type="spellEnd"/>
      <w:r w:rsidR="003F1632" w:rsidRPr="003F1632">
        <w:rPr>
          <w:lang w:val="en-GB"/>
        </w:rPr>
        <w:t xml:space="preserve"> the performance of each method using confusion matrices derived from the predefined GT. True positives (TP) </w:t>
      </w:r>
      <w:r w:rsidR="00A91631">
        <w:rPr>
          <w:lang w:val="en-GB"/>
        </w:rPr>
        <w:t xml:space="preserve">and </w:t>
      </w:r>
      <w:r w:rsidR="00A91631" w:rsidRPr="003F1632">
        <w:rPr>
          <w:lang w:val="en-GB"/>
        </w:rPr>
        <w:t>false positives (FP)</w:t>
      </w:r>
      <w:r w:rsidR="00A91631">
        <w:rPr>
          <w:lang w:val="en-GB"/>
        </w:rPr>
        <w:t xml:space="preserve"> </w:t>
      </w:r>
      <w:r w:rsidR="003F1632" w:rsidRPr="003F1632">
        <w:rPr>
          <w:lang w:val="en-GB"/>
        </w:rPr>
        <w:t>represent correctly</w:t>
      </w:r>
      <w:r w:rsidR="00DB42E7">
        <w:rPr>
          <w:lang w:val="en-GB"/>
        </w:rPr>
        <w:t xml:space="preserve"> </w:t>
      </w:r>
      <w:r w:rsidR="00151836">
        <w:rPr>
          <w:lang w:val="en-GB"/>
        </w:rPr>
        <w:t xml:space="preserve">and </w:t>
      </w:r>
      <w:r w:rsidR="00DB42E7">
        <w:rPr>
          <w:lang w:val="en-GB"/>
        </w:rPr>
        <w:t>incorrec</w:t>
      </w:r>
      <w:r w:rsidR="00A91631">
        <w:rPr>
          <w:lang w:val="en-GB"/>
        </w:rPr>
        <w:t xml:space="preserve">tly </w:t>
      </w:r>
      <w:r w:rsidR="003F1632" w:rsidRPr="003F1632">
        <w:rPr>
          <w:lang w:val="en-GB"/>
        </w:rPr>
        <w:t>classified</w:t>
      </w:r>
      <w:r w:rsidR="00560E35">
        <w:rPr>
          <w:lang w:val="en-GB"/>
        </w:rPr>
        <w:t xml:space="preserve"> </w:t>
      </w:r>
      <w:r w:rsidR="003F1632" w:rsidRPr="003F1632">
        <w:rPr>
          <w:lang w:val="en-GB"/>
        </w:rPr>
        <w:t xml:space="preserve">non-anomalous measurements, </w:t>
      </w:r>
      <w:r w:rsidR="00A91631">
        <w:rPr>
          <w:lang w:val="en-GB"/>
        </w:rPr>
        <w:t>respectively</w:t>
      </w:r>
      <w:r w:rsidR="003F1632" w:rsidRPr="003F1632">
        <w:rPr>
          <w:lang w:val="en-GB"/>
        </w:rPr>
        <w:t xml:space="preserve">. True negatives (TN) and false negatives (FN) </w:t>
      </w:r>
      <w:r w:rsidR="00A91631">
        <w:rPr>
          <w:lang w:val="en-GB"/>
        </w:rPr>
        <w:t>denote</w:t>
      </w:r>
      <w:r w:rsidR="003F1632" w:rsidRPr="003F1632">
        <w:rPr>
          <w:lang w:val="en-GB"/>
        </w:rPr>
        <w:t xml:space="preserve"> </w:t>
      </w:r>
      <w:r w:rsidR="00A91631" w:rsidRPr="003F1632">
        <w:rPr>
          <w:lang w:val="en-GB"/>
        </w:rPr>
        <w:t xml:space="preserve">correctly </w:t>
      </w:r>
      <w:r w:rsidR="00A91631">
        <w:rPr>
          <w:lang w:val="en-GB"/>
        </w:rPr>
        <w:t xml:space="preserve">and incorrectly </w:t>
      </w:r>
      <w:r w:rsidR="00A91631" w:rsidRPr="003F1632">
        <w:rPr>
          <w:lang w:val="en-GB"/>
        </w:rPr>
        <w:t>identified outliers</w:t>
      </w:r>
      <w:r w:rsidR="00A91631">
        <w:rPr>
          <w:lang w:val="en-GB"/>
        </w:rPr>
        <w:t xml:space="preserve">, </w:t>
      </w:r>
      <w:r w:rsidR="00560E35">
        <w:rPr>
          <w:lang w:val="en-GB"/>
        </w:rPr>
        <w:t>respect</w:t>
      </w:r>
      <w:r w:rsidR="00151836">
        <w:rPr>
          <w:lang w:val="en-GB"/>
        </w:rPr>
        <w:t>-</w:t>
      </w:r>
      <w:proofErr w:type="spellStart"/>
      <w:r w:rsidR="00A91631">
        <w:rPr>
          <w:lang w:val="en-GB"/>
        </w:rPr>
        <w:t>ively</w:t>
      </w:r>
      <w:proofErr w:type="spellEnd"/>
      <w:r w:rsidR="003F1632" w:rsidRPr="003F1632">
        <w:rPr>
          <w:lang w:val="en-GB"/>
        </w:rPr>
        <w:t xml:space="preserve">. </w:t>
      </w:r>
      <w:r w:rsidR="00151836">
        <w:rPr>
          <w:lang w:val="en-GB"/>
        </w:rPr>
        <w:t xml:space="preserve">Results are shown in </w:t>
      </w:r>
      <w:r w:rsidR="003F1632" w:rsidRPr="003F1632">
        <w:rPr>
          <w:lang w:val="en-GB"/>
        </w:rPr>
        <w:t>Tab</w:t>
      </w:r>
      <w:r w:rsidR="00A91631">
        <w:rPr>
          <w:lang w:val="en-GB"/>
        </w:rPr>
        <w:t>le</w:t>
      </w:r>
      <w:r w:rsidR="00DB42E7">
        <w:rPr>
          <w:lang w:val="en-GB"/>
        </w:rPr>
        <w:t> </w:t>
      </w:r>
      <w:r w:rsidR="003F1632" w:rsidRPr="003F1632">
        <w:rPr>
          <w:lang w:val="en-GB"/>
        </w:rPr>
        <w:t xml:space="preserve">1. The </w:t>
      </w:r>
      <w:r w:rsidR="00A91631">
        <w:rPr>
          <w:lang w:val="en-GB"/>
        </w:rPr>
        <w:t>SM</w:t>
      </w:r>
      <w:r w:rsidR="003F1632" w:rsidRPr="003F1632">
        <w:rPr>
          <w:lang w:val="en-GB"/>
        </w:rPr>
        <w:t xml:space="preserve"> approach yielded poor results, </w:t>
      </w:r>
      <w:proofErr w:type="spellStart"/>
      <w:r w:rsidR="003F1632" w:rsidRPr="003F1632">
        <w:rPr>
          <w:lang w:val="en-GB"/>
        </w:rPr>
        <w:t>dete</w:t>
      </w:r>
      <w:r w:rsidR="00151836">
        <w:rPr>
          <w:lang w:val="en-GB"/>
        </w:rPr>
        <w:t>-</w:t>
      </w:r>
      <w:r w:rsidR="003F1632" w:rsidRPr="003F1632">
        <w:rPr>
          <w:lang w:val="en-GB"/>
        </w:rPr>
        <w:t>cting</w:t>
      </w:r>
      <w:proofErr w:type="spellEnd"/>
      <w:r w:rsidR="003F1632" w:rsidRPr="003F1632">
        <w:rPr>
          <w:lang w:val="en-GB"/>
        </w:rPr>
        <w:t xml:space="preserve"> no outliers (TN = 0), which was expected given the varying isobutane concentration range across different operation points. T</w:t>
      </w:r>
      <w:r w:rsidR="00A91631">
        <w:rPr>
          <w:lang w:val="en-GB"/>
        </w:rPr>
        <w:t>M</w:t>
      </w:r>
      <w:r w:rsidR="003F1632" w:rsidRPr="003F1632">
        <w:rPr>
          <w:lang w:val="en-GB"/>
        </w:rPr>
        <w:t xml:space="preserve"> performed better, correctly identifying 97% of normal operation points (TP = 15,431) </w:t>
      </w:r>
      <w:r w:rsidR="00A91631">
        <w:rPr>
          <w:lang w:val="en-GB"/>
        </w:rPr>
        <w:t xml:space="preserve">yet </w:t>
      </w:r>
      <w:r w:rsidR="003F1632" w:rsidRPr="003F1632">
        <w:rPr>
          <w:lang w:val="en-GB"/>
        </w:rPr>
        <w:t xml:space="preserve">struggled with over 80% of outliers (TN = 61). SIMA detected 40% of overall outliers (TN = 122), with no foresight into upcoming measurements. PMA improved outlier detection compared to SIMA, reducing false predictions (FP from 1,048 to 1,011; FN from 184 to 181) and enhancing overall accuracy. The TP and TN </w:t>
      </w:r>
      <w:r w:rsidR="00A91631">
        <w:rPr>
          <w:lang w:val="en-GB"/>
        </w:rPr>
        <w:t>rates</w:t>
      </w:r>
      <w:r w:rsidR="003F1632" w:rsidRPr="003F1632">
        <w:rPr>
          <w:lang w:val="en-GB"/>
        </w:rPr>
        <w:t xml:space="preserve"> improved as well (TP from 14,553 to 14,590; TN from 122 to 125). These adjustments </w:t>
      </w:r>
      <w:r w:rsidR="00151836">
        <w:rPr>
          <w:lang w:val="en-GB"/>
        </w:rPr>
        <w:t>yielde</w:t>
      </w:r>
      <w:r w:rsidR="003F1632" w:rsidRPr="003F1632">
        <w:rPr>
          <w:lang w:val="en-GB"/>
        </w:rPr>
        <w:t xml:space="preserve">d the best distribution of correctly classified </w:t>
      </w:r>
      <w:r w:rsidR="00585334" w:rsidRPr="003F1632">
        <w:rPr>
          <w:lang w:val="en-GB"/>
        </w:rPr>
        <w:t>data and</w:t>
      </w:r>
      <w:r w:rsidR="003F1632" w:rsidRPr="003F1632">
        <w:rPr>
          <w:lang w:val="en-GB"/>
        </w:rPr>
        <w:t xml:space="preserve"> reflect the improved </w:t>
      </w:r>
      <w:r w:rsidR="00151836">
        <w:rPr>
          <w:lang w:val="en-GB"/>
        </w:rPr>
        <w:t>use</w:t>
      </w:r>
      <w:r w:rsidR="003F1632" w:rsidRPr="003F1632">
        <w:rPr>
          <w:lang w:val="en-GB"/>
        </w:rPr>
        <w:t xml:space="preserve"> of latent information.</w:t>
      </w:r>
    </w:p>
    <w:p w14:paraId="6CDB24E9" w14:textId="0F6170E8" w:rsidR="00585334" w:rsidRDefault="003F1632" w:rsidP="00560E35">
      <w:pPr>
        <w:pStyle w:val="Els-body-text"/>
        <w:spacing w:before="120" w:after="120"/>
        <w:rPr>
          <w:lang w:val="en-GB"/>
        </w:rPr>
      </w:pPr>
      <w:r w:rsidRPr="003F1632">
        <w:rPr>
          <w:lang w:val="en-GB"/>
        </w:rPr>
        <w:t xml:space="preserve">We assessed the regression model (LASSO) using the ±2 × RMSE metric, and identified 15 outliers (TN), showcasing its unique perspective on anomalies beyond the expected range of the dependent variable. These outliers (TN+FN) signify slow, gradual drifts </w:t>
      </w:r>
      <w:r w:rsidRPr="003F1632">
        <w:rPr>
          <w:lang w:val="en-GB"/>
        </w:rPr>
        <w:lastRenderedPageBreak/>
        <w:t>requiring calibration. We illustrate the performance of the SIMA and PMA in Fig.</w:t>
      </w:r>
      <w:r w:rsidR="00585334">
        <w:rPr>
          <w:lang w:val="en-GB"/>
        </w:rPr>
        <w:t> </w:t>
      </w:r>
      <w:r w:rsidRPr="003F1632">
        <w:rPr>
          <w:lang w:val="en-GB"/>
        </w:rPr>
        <w:t>2 (left graph) using a selected period from testing measurements over multiple days.</w:t>
      </w:r>
      <w:r w:rsidR="00585334">
        <w:rPr>
          <w:lang w:val="en-GB"/>
        </w:rPr>
        <w:t xml:space="preserve"> </w:t>
      </w:r>
      <w:r w:rsidRPr="003F1632">
        <w:rPr>
          <w:lang w:val="en-GB"/>
        </w:rPr>
        <w:t xml:space="preserve">The fit in the latter approach enhances the mean value to better capture changes in the </w:t>
      </w:r>
      <w:r w:rsidR="0023585F">
        <w:rPr>
          <w:lang w:val="en-GB"/>
        </w:rPr>
        <w:t>plant</w:t>
      </w:r>
      <w:r w:rsidRPr="003F1632">
        <w:rPr>
          <w:lang w:val="en-GB"/>
        </w:rPr>
        <w:t>. The comparison reveals differences in outlier detection (red crosses vs. black squares), with the PMA offering additional information for more accurate predictions. While the</w:t>
      </w:r>
      <w:r w:rsidR="0023585F">
        <w:rPr>
          <w:lang w:val="en-GB"/>
        </w:rPr>
        <w:t xml:space="preserve"> </w:t>
      </w:r>
      <w:r w:rsidRPr="003F1632">
        <w:rPr>
          <w:lang w:val="en-GB"/>
        </w:rPr>
        <w:t xml:space="preserve">approach may lead to a higher count of FN (identifying normal instances as outliers) concerning the GT (green circles), it simultaneously emphasizes accurately predicted instances. This method holds the potential to identify outliers that escaped detection by the SYMA, which lacked information about other independent variables </w:t>
      </w:r>
      <m:oMath>
        <m:r>
          <m:rPr>
            <m:sty m:val="bi"/>
          </m:rPr>
          <w:rPr>
            <w:rFonts w:ascii="Cambria Math" w:eastAsia="Arial" w:hAnsi="Cambria Math"/>
          </w:rPr>
          <m:t>X</m:t>
        </m:r>
      </m:oMath>
      <w:r w:rsidRPr="003F1632">
        <w:rPr>
          <w:lang w:val="en-GB"/>
        </w:rPr>
        <w:t>.</w:t>
      </w:r>
    </w:p>
    <w:p w14:paraId="144DE6BA" w14:textId="77777777" w:rsidR="008D2649" w:rsidRPr="0011019D" w:rsidRDefault="008D2649" w:rsidP="00585334">
      <w:pPr>
        <w:pStyle w:val="Els-1storder-head"/>
        <w:spacing w:after="120" w:line="240" w:lineRule="auto"/>
        <w:rPr>
          <w:lang w:val="en-GB"/>
        </w:rPr>
      </w:pPr>
      <w:r w:rsidRPr="0011019D">
        <w:rPr>
          <w:lang w:val="en-GB"/>
        </w:rPr>
        <w:t>Conclusions</w:t>
      </w:r>
    </w:p>
    <w:p w14:paraId="5715FCE9" w14:textId="577A1F51" w:rsidR="00EF36CD" w:rsidRPr="0011019D" w:rsidRDefault="00560E35" w:rsidP="00585334">
      <w:pPr>
        <w:pStyle w:val="Els-body-text"/>
        <w:spacing w:after="120"/>
        <w:rPr>
          <w:lang w:val="en-GB"/>
        </w:rPr>
      </w:pPr>
      <w:r>
        <w:rPr>
          <w:lang w:val="en-GB"/>
        </w:rPr>
        <w:t>We</w:t>
      </w:r>
      <w:r w:rsidR="00585334" w:rsidRPr="00585334">
        <w:rPr>
          <w:lang w:val="en-GB"/>
        </w:rPr>
        <w:t xml:space="preserve"> stud</w:t>
      </w:r>
      <w:r>
        <w:rPr>
          <w:lang w:val="en-GB"/>
        </w:rPr>
        <w:t xml:space="preserve">ied </w:t>
      </w:r>
      <w:r w:rsidR="00585334" w:rsidRPr="00585334">
        <w:rPr>
          <w:lang w:val="en-GB"/>
        </w:rPr>
        <w:t>outlier detection in the process variable</w:t>
      </w:r>
      <w:r>
        <w:rPr>
          <w:lang w:val="en-GB"/>
        </w:rPr>
        <w:t>s</w:t>
      </w:r>
      <w:r w:rsidR="00585334" w:rsidRPr="00585334">
        <w:rPr>
          <w:lang w:val="en-GB"/>
        </w:rPr>
        <w:t>. We employ moving-horizon filters and integrate regression-based prediction into our approach. Notably, th</w:t>
      </w:r>
      <w:r>
        <w:rPr>
          <w:lang w:val="en-GB"/>
        </w:rPr>
        <w:t>is</w:t>
      </w:r>
      <w:r w:rsidR="00585334">
        <w:rPr>
          <w:lang w:val="en-GB"/>
        </w:rPr>
        <w:t xml:space="preserve"> </w:t>
      </w:r>
      <w:r w:rsidR="00585334" w:rsidRPr="00585334">
        <w:rPr>
          <w:lang w:val="en-GB"/>
        </w:rPr>
        <w:t xml:space="preserve">method successfully identifies 40% of the outliers while reducing </w:t>
      </w:r>
      <w:r>
        <w:rPr>
          <w:lang w:val="en-GB"/>
        </w:rPr>
        <w:t>false</w:t>
      </w:r>
      <w:r w:rsidR="00585334" w:rsidRPr="00585334">
        <w:rPr>
          <w:lang w:val="en-GB"/>
        </w:rPr>
        <w:t xml:space="preserve"> detections. Conversely, regression models, despite exhibiting lower outlier</w:t>
      </w:r>
      <w:r w:rsidR="00EF36CD" w:rsidRPr="0011019D">
        <w:rPr>
          <w:lang w:val="en-GB"/>
        </w:rPr>
        <w:t xml:space="preserve"> </w:t>
      </w:r>
      <w:r w:rsidR="00585334" w:rsidRPr="00585334">
        <w:rPr>
          <w:lang w:val="en-GB"/>
        </w:rPr>
        <w:t>detection efficacy, provide a means to detect long-term anomalies. The overall fit of the models to the dependent variable, assessed through the computed RMSE criterion, falls within the approved process tolerance. In our future research, we aim to investigate the efficacy of regression approaches for detecting anomalous measurements, mainly slow gradual shifts. Our focus will extend to exploring non-linear transformations and dynamic sensor characteristics</w:t>
      </w:r>
      <w:r>
        <w:rPr>
          <w:lang w:val="en-GB"/>
        </w:rPr>
        <w:t xml:space="preserve"> and</w:t>
      </w:r>
      <w:r w:rsidR="00585334" w:rsidRPr="00585334">
        <w:rPr>
          <w:lang w:val="en-GB"/>
        </w:rPr>
        <w:t xml:space="preserve"> to the development of a comprehensive and robust anomaly detection framework.</w:t>
      </w:r>
    </w:p>
    <w:p w14:paraId="144DE6BF" w14:textId="608D0AD6" w:rsidR="008D2649" w:rsidRPr="0011019D" w:rsidRDefault="008D2649" w:rsidP="00585334">
      <w:pPr>
        <w:pStyle w:val="Els-reference-head"/>
        <w:rPr>
          <w:lang w:val="en-GB"/>
        </w:rPr>
      </w:pPr>
      <w:r w:rsidRPr="0011019D">
        <w:rPr>
          <w:lang w:val="en-GB"/>
        </w:rPr>
        <w:t>References</w:t>
      </w:r>
    </w:p>
    <w:p w14:paraId="01112680" w14:textId="77777777" w:rsidR="00585334" w:rsidRDefault="00585334" w:rsidP="00585334">
      <w:pPr>
        <w:pStyle w:val="Els-referenceno-number"/>
      </w:pPr>
      <w:r>
        <w:t>D. O. Afanasyev, E. A. Fedorova, 2019. On the impact of outlier filtering on the electricity price</w:t>
      </w:r>
    </w:p>
    <w:p w14:paraId="09FEA8B6" w14:textId="77777777" w:rsidR="00585334" w:rsidRDefault="00585334" w:rsidP="00585334">
      <w:pPr>
        <w:pStyle w:val="Els-referenceno-number"/>
      </w:pPr>
      <w:r>
        <w:t xml:space="preserve">       forecasting accuracy. Applied Energy 236, 196–210.</w:t>
      </w:r>
    </w:p>
    <w:p w14:paraId="067ED3F8" w14:textId="51B37001" w:rsidR="00585334" w:rsidRDefault="00585334" w:rsidP="00560E35">
      <w:pPr>
        <w:pStyle w:val="Els-referenceno-number"/>
      </w:pPr>
      <w:r>
        <w:t>A. Blázquez-García, A. Conde, U. Mori, J. A. Lozano, 2021. A review on outlier/anomaly detection in time series data. ACM Comput. Surv. 54 (3).</w:t>
      </w:r>
    </w:p>
    <w:p w14:paraId="4A967339" w14:textId="77777777" w:rsidR="00585334" w:rsidRDefault="00585334" w:rsidP="00585334">
      <w:pPr>
        <w:pStyle w:val="Els-referenceno-number"/>
      </w:pPr>
      <w:r>
        <w:t>K. M. Carter, W. W. Streilein, 2012. Probabilistic reasoning for streaming anomaly detection. In: 2012 IEEE Statistical Signal Processing Workshop (SSP). pp. 377–380.</w:t>
      </w:r>
    </w:p>
    <w:p w14:paraId="1023ABDC" w14:textId="59679525" w:rsidR="00585334" w:rsidRDefault="00585334" w:rsidP="00585334">
      <w:pPr>
        <w:pStyle w:val="Els-referenceno-number"/>
      </w:pPr>
      <w:r>
        <w:t>A. V. Oppenheim, 1999. Discrete-time signal processing. Pearson Education India.</w:t>
      </w:r>
    </w:p>
    <w:p w14:paraId="4384CB72" w14:textId="77777777" w:rsidR="00585334" w:rsidRDefault="00585334" w:rsidP="00585334">
      <w:pPr>
        <w:pStyle w:val="Els-referenceno-number"/>
      </w:pPr>
      <w:r>
        <w:t>IBM Corporation, 2021. SPSS Modeler 18.1.0, Outliers. URL https://www.ibm.com/docs/en/s-</w:t>
      </w:r>
    </w:p>
    <w:p w14:paraId="587DBAEA" w14:textId="77777777" w:rsidR="00585334" w:rsidRDefault="00585334" w:rsidP="00585334">
      <w:pPr>
        <w:pStyle w:val="Els-referenceno-number"/>
      </w:pPr>
      <w:r>
        <w:t xml:space="preserve">        pss-modeler/18.1.0?topic=series-outliers</w:t>
      </w:r>
    </w:p>
    <w:p w14:paraId="6A788F6D" w14:textId="0C18AFCD" w:rsidR="00585334" w:rsidRDefault="00585334" w:rsidP="00585334">
      <w:pPr>
        <w:pStyle w:val="Els-referenceno-number"/>
      </w:pPr>
      <w:r>
        <w:t xml:space="preserve">Z. Jin, J. Zhao, L. Ding, S. Chakrabarti, E. Gryazina, V. Terzija, 2022. Power system anomaly detection using innovation reduction properties of iterated extended </w:t>
      </w:r>
      <w:r w:rsidR="00560E35">
        <w:t>K</w:t>
      </w:r>
      <w:r>
        <w:t>alman filter. International Journal of Electrical Power &amp; Energy Systems 136, 107613.</w:t>
      </w:r>
    </w:p>
    <w:p w14:paraId="2E23426F" w14:textId="77777777" w:rsidR="00585334" w:rsidRDefault="00585334" w:rsidP="00585334">
      <w:pPr>
        <w:pStyle w:val="Els-referenceno-number"/>
      </w:pPr>
      <w:r>
        <w:t>A. V. Oppenheim, 1999. Discrete-time signal processing. Pearson Education India.</w:t>
      </w:r>
    </w:p>
    <w:p w14:paraId="50D9E620" w14:textId="4BF8975A" w:rsidR="00585334" w:rsidRDefault="00585334" w:rsidP="00560E35">
      <w:pPr>
        <w:pStyle w:val="Els-referenceno-number"/>
      </w:pPr>
      <w:r>
        <w:t>F. Santosa, W. W. Symes, 1986. Linear inversion of band-limited reflection seismograms.</w:t>
      </w:r>
      <w:r w:rsidR="00560E35">
        <w:t xml:space="preserve"> </w:t>
      </w:r>
      <w:r>
        <w:t>SIAM Journal on Scientific and Statistical Computing 7 (4), 1307–1330.</w:t>
      </w:r>
    </w:p>
    <w:p w14:paraId="525E2E5E" w14:textId="77777777" w:rsidR="00585334" w:rsidRDefault="00585334" w:rsidP="00585334">
      <w:pPr>
        <w:pStyle w:val="Els-referenceno-number"/>
      </w:pPr>
      <w:r>
        <w:t>T. Tziolas, K. Papageorgiou, T. Theodosiou, E. Papageorgiou, T. Mastos, A. Papadopoulos, 2022. Autoencoders for anomaly detection in an industrial multivariate time series dataset. Engineering Proceedings 18 (1).</w:t>
      </w:r>
    </w:p>
    <w:p w14:paraId="0225B6B3" w14:textId="1D371AD8" w:rsidR="00585334" w:rsidRDefault="00585334" w:rsidP="00585334">
      <w:pPr>
        <w:pStyle w:val="Els-referenceno-number"/>
      </w:pPr>
      <w:r>
        <w:t>Y. S. Yoon, W. Jeong, J. Kim, M. Seok, J. Park, J. Bae, K. Lee, J. H. Lee, 2022. Development of inferential sensor and real-time optimizer for a vacuum distillation unit by recurrent neural network modeling of time series data. Computers &amp; Chemical Eng</w:t>
      </w:r>
      <w:r w:rsidR="00F96276">
        <w:t>ineering</w:t>
      </w:r>
      <w:r>
        <w:t xml:space="preserve"> 168, 108039</w:t>
      </w:r>
    </w:p>
    <w:p w14:paraId="7BDEAFBD" w14:textId="77777777" w:rsidR="00585334" w:rsidRDefault="00585334" w:rsidP="00585334">
      <w:pPr>
        <w:pStyle w:val="Els-referenceno-number"/>
      </w:pPr>
      <w:r>
        <w:t>S. W. Roberts, Aug. 1959. Control chart tests based on geometric moving averages. Technometrics 1 (3), 239–250.</w:t>
      </w:r>
    </w:p>
    <w:p w14:paraId="2908E724" w14:textId="77777777" w:rsidR="00585334" w:rsidRDefault="00585334" w:rsidP="00585334">
      <w:pPr>
        <w:pStyle w:val="Els-referenceno-number"/>
      </w:pPr>
      <w:r>
        <w:t>K. Pearson, 1901. Liii. on lines and planes of closest fit to systems of points in space. The London, Edinburgh, and Dublin Phil. Magazine and Journal of Science 2 (11), 559–572.</w:t>
      </w:r>
    </w:p>
    <w:p w14:paraId="144DE6C3" w14:textId="25BB3C2D" w:rsidR="008D2649" w:rsidRDefault="00585334" w:rsidP="00560E35">
      <w:pPr>
        <w:pStyle w:val="Els-referenceno-number"/>
      </w:pPr>
      <w:r>
        <w:t>P. Rousseeuw, K. Driessen, 08 1999. A fast algorithm for the minimum covariance determinant</w:t>
      </w:r>
      <w:r w:rsidR="00560E35">
        <w:t xml:space="preserve"> </w:t>
      </w:r>
      <w:r>
        <w:t>estimator. Technometrics 41, 212–223.</w:t>
      </w:r>
    </w:p>
    <w:p w14:paraId="7670769E" w14:textId="0C64F973" w:rsidR="00DB42E7" w:rsidRPr="0011019D" w:rsidRDefault="00DB42E7" w:rsidP="00560E35">
      <w:pPr>
        <w:pStyle w:val="Els-referenceno-number"/>
      </w:pPr>
      <w:r w:rsidRPr="00DB42E7">
        <w:t>R. Fáber</w:t>
      </w:r>
      <w:r>
        <w:t>,</w:t>
      </w:r>
      <w:r w:rsidRPr="00DB42E7">
        <w:t xml:space="preserve"> </w:t>
      </w:r>
      <w:r>
        <w:t>K</w:t>
      </w:r>
      <w:r w:rsidRPr="00DB42E7">
        <w:t>. Ľubušký</w:t>
      </w:r>
      <w:r>
        <w:t>,</w:t>
      </w:r>
      <w:r w:rsidRPr="00DB42E7">
        <w:t xml:space="preserve"> R. Paulen</w:t>
      </w:r>
      <w:r>
        <w:t>, 2023.</w:t>
      </w:r>
      <w:r w:rsidRPr="00DB42E7">
        <w:t xml:space="preserve"> Machine Learning-based Classification of Online Industrial Datasets. 2023 24th Int</w:t>
      </w:r>
      <w:r w:rsidR="00A92F40">
        <w:t>.</w:t>
      </w:r>
      <w:r w:rsidRPr="00DB42E7">
        <w:t xml:space="preserve"> Conf</w:t>
      </w:r>
      <w:r w:rsidR="00A92F40">
        <w:t>.</w:t>
      </w:r>
      <w:r w:rsidRPr="00DB42E7">
        <w:t xml:space="preserve"> on Process Control, 132</w:t>
      </w:r>
      <w:r w:rsidR="00A92F40">
        <w:t>–</w:t>
      </w:r>
      <w:r w:rsidRPr="00DB42E7">
        <w:t>137.</w:t>
      </w:r>
    </w:p>
    <w:sectPr w:rsidR="00DB42E7" w:rsidRPr="0011019D" w:rsidSect="008B0184">
      <w:headerReference w:type="even" r:id="rId9"/>
      <w:headerReference w:type="default" r:id="rId10"/>
      <w:headerReference w:type="first" r:id="rId11"/>
      <w:foot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25E5D" w14:textId="77777777" w:rsidR="00EE20B7" w:rsidRDefault="00EE20B7">
      <w:r>
        <w:separator/>
      </w:r>
    </w:p>
  </w:endnote>
  <w:endnote w:type="continuationSeparator" w:id="0">
    <w:p w14:paraId="3AEC958B" w14:textId="77777777" w:rsidR="00EE20B7" w:rsidRDefault="00EE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5639" w14:textId="7E7710E3" w:rsidR="00455CE5" w:rsidRPr="00B530DC" w:rsidRDefault="00455CE5" w:rsidP="00455CE5">
    <w:pPr>
      <w:pStyle w:val="Pidipagina"/>
      <w:rPr>
        <w:sz w:val="14"/>
        <w:szCs w:val="14"/>
      </w:rPr>
    </w:pPr>
    <w:r w:rsidRPr="00B530DC">
      <w:rPr>
        <w:sz w:val="14"/>
        <w:szCs w:val="14"/>
      </w:rPr>
      <w:t>Acknowledgements: This work is funded by the Slovak Research and Development Agency (project no. APVV-21-0019), by the Scientific Grant Agency of the Slovak Republic (grant no. 1/0691/21), and by the European Commission (grant no. 101079342, Fostering Opportunities Towards Slovak Excellence in Advanced Control for Smart Industries).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0D76" w14:textId="77777777" w:rsidR="00EE20B7" w:rsidRDefault="00EE20B7">
      <w:r>
        <w:separator/>
      </w:r>
    </w:p>
  </w:footnote>
  <w:footnote w:type="continuationSeparator" w:id="0">
    <w:p w14:paraId="3F2D2D01" w14:textId="77777777" w:rsidR="00EE20B7" w:rsidRDefault="00EE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2928C72" w:rsidR="00DD3D9E" w:rsidRDefault="00DD3D9E">
    <w:pPr>
      <w:pStyle w:val="Intestazione"/>
      <w:tabs>
        <w:tab w:val="clear" w:pos="7200"/>
        <w:tab w:val="right" w:pos="7088"/>
      </w:tabs>
    </w:pPr>
    <w:r>
      <w:rPr>
        <w:rStyle w:val="Numeropagina"/>
      </w:rPr>
      <w:tab/>
    </w:r>
    <w:r>
      <w:rPr>
        <w:rStyle w:val="Numeropagina"/>
        <w:i/>
      </w:rPr>
      <w:tab/>
    </w:r>
    <w:r w:rsidR="00E65685">
      <w:rPr>
        <w:rStyle w:val="Numeropagina"/>
        <w:i/>
      </w:rPr>
      <w:t>R</w:t>
    </w:r>
    <w:r w:rsidR="00EF36CD" w:rsidRPr="00EF36CD">
      <w:rPr>
        <w:rStyle w:val="Numeropagina"/>
        <w:i/>
      </w:rPr>
      <w:t xml:space="preserve">. </w:t>
    </w:r>
    <w:r w:rsidR="00E65685">
      <w:rPr>
        <w:rStyle w:val="Numeropagina"/>
        <w:i/>
        <w:lang w:val="sk-SK"/>
      </w:rPr>
      <w:t>Fáber</w:t>
    </w:r>
    <w:r w:rsidR="00EF36CD" w:rsidRPr="00EF36CD">
      <w:rPr>
        <w:rStyle w:val="Numeropagina"/>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B28813C" w:rsidR="00DD3D9E" w:rsidRPr="000820D6" w:rsidRDefault="00585334" w:rsidP="000820D6">
    <w:pPr>
      <w:pStyle w:val="Intestazione"/>
      <w:tabs>
        <w:tab w:val="clear" w:pos="7200"/>
        <w:tab w:val="right" w:pos="7088"/>
      </w:tabs>
      <w:jc w:val="right"/>
      <w:rPr>
        <w:i/>
      </w:rPr>
    </w:pPr>
    <w:r w:rsidRPr="00585334">
      <w:rPr>
        <w:i/>
      </w:rPr>
      <w:t>Data-driven Anomaly Detection Techniques in Industrial Settings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7250C"/>
    <w:rsid w:val="00073F3D"/>
    <w:rsid w:val="000820D6"/>
    <w:rsid w:val="000D3D9B"/>
    <w:rsid w:val="0011019D"/>
    <w:rsid w:val="00151836"/>
    <w:rsid w:val="0016032F"/>
    <w:rsid w:val="001879F6"/>
    <w:rsid w:val="001C0148"/>
    <w:rsid w:val="001C757E"/>
    <w:rsid w:val="0020390F"/>
    <w:rsid w:val="00217402"/>
    <w:rsid w:val="0023585F"/>
    <w:rsid w:val="00264926"/>
    <w:rsid w:val="0027334F"/>
    <w:rsid w:val="0028296C"/>
    <w:rsid w:val="00285836"/>
    <w:rsid w:val="003D1582"/>
    <w:rsid w:val="003D7E4C"/>
    <w:rsid w:val="003E41C2"/>
    <w:rsid w:val="003F06CB"/>
    <w:rsid w:val="003F1632"/>
    <w:rsid w:val="00455CE5"/>
    <w:rsid w:val="004811F2"/>
    <w:rsid w:val="00487A11"/>
    <w:rsid w:val="0049772C"/>
    <w:rsid w:val="004C7793"/>
    <w:rsid w:val="004F548F"/>
    <w:rsid w:val="00552EEB"/>
    <w:rsid w:val="00560E35"/>
    <w:rsid w:val="00576EFD"/>
    <w:rsid w:val="00585334"/>
    <w:rsid w:val="005E4909"/>
    <w:rsid w:val="006340F2"/>
    <w:rsid w:val="006846B9"/>
    <w:rsid w:val="006A69BF"/>
    <w:rsid w:val="006A7E86"/>
    <w:rsid w:val="006B15AB"/>
    <w:rsid w:val="00711DF4"/>
    <w:rsid w:val="007D70A1"/>
    <w:rsid w:val="008132E8"/>
    <w:rsid w:val="00823407"/>
    <w:rsid w:val="008B0184"/>
    <w:rsid w:val="008C5D02"/>
    <w:rsid w:val="008D2649"/>
    <w:rsid w:val="008D2BB9"/>
    <w:rsid w:val="0090568D"/>
    <w:rsid w:val="009125C9"/>
    <w:rsid w:val="00913879"/>
    <w:rsid w:val="00917661"/>
    <w:rsid w:val="00963524"/>
    <w:rsid w:val="009702ED"/>
    <w:rsid w:val="00970E5D"/>
    <w:rsid w:val="0097701C"/>
    <w:rsid w:val="00980A65"/>
    <w:rsid w:val="00A06F48"/>
    <w:rsid w:val="00A25E70"/>
    <w:rsid w:val="00A33765"/>
    <w:rsid w:val="00A5467B"/>
    <w:rsid w:val="00A63269"/>
    <w:rsid w:val="00A91631"/>
    <w:rsid w:val="00A92377"/>
    <w:rsid w:val="00A92F40"/>
    <w:rsid w:val="00AA3421"/>
    <w:rsid w:val="00AB29ED"/>
    <w:rsid w:val="00AE4BD8"/>
    <w:rsid w:val="00B4388F"/>
    <w:rsid w:val="00B530DC"/>
    <w:rsid w:val="00B63237"/>
    <w:rsid w:val="00C14E18"/>
    <w:rsid w:val="00C8077E"/>
    <w:rsid w:val="00C87011"/>
    <w:rsid w:val="00C960DC"/>
    <w:rsid w:val="00D02C75"/>
    <w:rsid w:val="00D10E22"/>
    <w:rsid w:val="00D13D2C"/>
    <w:rsid w:val="00D63E69"/>
    <w:rsid w:val="00DA10D4"/>
    <w:rsid w:val="00DB42E7"/>
    <w:rsid w:val="00DC2F94"/>
    <w:rsid w:val="00DD3D9E"/>
    <w:rsid w:val="00DD7908"/>
    <w:rsid w:val="00DF3027"/>
    <w:rsid w:val="00E259C2"/>
    <w:rsid w:val="00E65685"/>
    <w:rsid w:val="00E8077F"/>
    <w:rsid w:val="00E82297"/>
    <w:rsid w:val="00EE20B7"/>
    <w:rsid w:val="00EF25A6"/>
    <w:rsid w:val="00EF36CD"/>
    <w:rsid w:val="00EF39FD"/>
    <w:rsid w:val="00F06842"/>
    <w:rsid w:val="00F107FD"/>
    <w:rsid w:val="00F36FA5"/>
    <w:rsid w:val="00F62AD0"/>
    <w:rsid w:val="00F96276"/>
    <w:rsid w:val="00FB64A8"/>
    <w:rsid w:val="00FF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27334F"/>
    <w:rPr>
      <w:color w:val="666666"/>
    </w:rPr>
  </w:style>
  <w:style w:type="table" w:styleId="Grigliatabella">
    <w:name w:val="Table Grid"/>
    <w:basedOn w:val="Tabellanormale"/>
    <w:uiPriority w:val="59"/>
    <w:rsid w:val="00E65685"/>
    <w:rPr>
      <w:rFonts w:eastAsiaTheme="minorEastAs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Carpredefinitoparagrafo"/>
    <w:rsid w:val="00E6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A5C3-EA76-40BC-8B18-4177D42C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2856</Words>
  <Characters>16282</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2024-01-10T10:10:00Z</cp:lastPrinted>
  <dcterms:created xsi:type="dcterms:W3CDTF">2024-01-11T12:20:00Z</dcterms:created>
  <dcterms:modified xsi:type="dcterms:W3CDTF">2024-01-11T12:20:00Z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