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ECA7B89" w:rsidR="00DD3D9E" w:rsidRPr="0033737B" w:rsidRDefault="002062DA">
      <w:pPr>
        <w:pStyle w:val="Els-Title"/>
        <w:rPr>
          <w:color w:val="000000" w:themeColor="text1"/>
          <w:lang w:val="en-GB"/>
        </w:rPr>
      </w:pPr>
      <w:bookmarkStart w:id="0" w:name="_Hlk152199502"/>
      <w:bookmarkEnd w:id="0"/>
      <w:r w:rsidRPr="0033737B">
        <w:rPr>
          <w:color w:val="000000" w:themeColor="text1"/>
          <w:lang w:val="en-GB"/>
        </w:rPr>
        <w:t>Digital Twins for Process Monitoring and Anomaly Detection</w:t>
      </w:r>
    </w:p>
    <w:p w14:paraId="144DE680" w14:textId="30B8D276" w:rsidR="00DD3D9E" w:rsidRPr="00CF3450" w:rsidRDefault="0000135A">
      <w:pPr>
        <w:pStyle w:val="Els-Author"/>
      </w:pPr>
      <w:r w:rsidRPr="0033737B">
        <w:t>Anziel Malandri</w:t>
      </w:r>
      <w:r w:rsidR="008416C2" w:rsidRPr="0033737B">
        <w:t>,</w:t>
      </w:r>
      <w:r w:rsidR="008416C2" w:rsidRPr="0033737B">
        <w:rPr>
          <w:vertAlign w:val="superscript"/>
        </w:rPr>
        <w:t>a</w:t>
      </w:r>
      <w:r w:rsidR="008416C2" w:rsidRPr="0033737B">
        <w:t xml:space="preserve"> Mehmet Mercang</w:t>
      </w:r>
      <w:r w:rsidR="00893B24" w:rsidRPr="0033737B">
        <w:t>öz</w:t>
      </w:r>
      <w:r w:rsidR="00135DB1" w:rsidRPr="0033737B">
        <w:rPr>
          <w:vertAlign w:val="superscript"/>
        </w:rPr>
        <w:t>b</w:t>
      </w:r>
      <w:r w:rsidR="00CF3450">
        <w:t>*</w:t>
      </w:r>
    </w:p>
    <w:p w14:paraId="144DE681" w14:textId="2693958B" w:rsidR="00DD3D9E" w:rsidRPr="0033737B" w:rsidRDefault="000A42A5">
      <w:pPr>
        <w:pStyle w:val="Els-Affiliation"/>
      </w:pPr>
      <w:r w:rsidRPr="0033737B">
        <w:rPr>
          <w:vertAlign w:val="superscript"/>
        </w:rPr>
        <w:t>a</w:t>
      </w:r>
      <w:r w:rsidRPr="0033737B">
        <w:t>Fluor Corporation</w:t>
      </w:r>
      <w:r w:rsidR="00FA50FB" w:rsidRPr="0033737B">
        <w:t xml:space="preserve">, </w:t>
      </w:r>
      <w:r w:rsidR="00CB5FDD" w:rsidRPr="0033737B">
        <w:t>140 Pinehurst Road, Farnborough</w:t>
      </w:r>
      <w:r w:rsidR="00386260" w:rsidRPr="0033737B">
        <w:t xml:space="preserve"> GU14 7BF, United Kingdom</w:t>
      </w:r>
    </w:p>
    <w:p w14:paraId="144DE682" w14:textId="4C4A2AEF" w:rsidR="00DD3D9E" w:rsidRPr="0033737B" w:rsidRDefault="00386260">
      <w:pPr>
        <w:pStyle w:val="Els-Affiliation"/>
      </w:pPr>
      <w:r w:rsidRPr="0033737B">
        <w:rPr>
          <w:vertAlign w:val="superscript"/>
        </w:rPr>
        <w:t>b</w:t>
      </w:r>
      <w:r w:rsidR="0080320D" w:rsidRPr="0033737B">
        <w:t xml:space="preserve">Imperial College London, </w:t>
      </w:r>
      <w:r w:rsidR="00B72F44" w:rsidRPr="0033737B">
        <w:t>Imperial College Rd, London SW7 2AZ</w:t>
      </w:r>
      <w:r w:rsidR="00856261">
        <w:t>, United Kingdom</w:t>
      </w:r>
    </w:p>
    <w:p w14:paraId="144DE683" w14:textId="7D2DDCEA" w:rsidR="008D2649" w:rsidRPr="0033737B" w:rsidRDefault="00980A27" w:rsidP="008D2649">
      <w:pPr>
        <w:pStyle w:val="Els-Affiliation"/>
        <w:spacing w:after="120"/>
      </w:pPr>
      <w:r w:rsidRPr="0033737B">
        <w:t>m.mercangoz@imperial.ac.uk</w:t>
      </w:r>
    </w:p>
    <w:p w14:paraId="144DE684" w14:textId="77777777" w:rsidR="008D2649" w:rsidRPr="0033737B" w:rsidRDefault="008D2649" w:rsidP="005909BE">
      <w:pPr>
        <w:pStyle w:val="Els-Abstract"/>
        <w:spacing w:after="120"/>
        <w:rPr>
          <w:lang w:val="en-GB"/>
        </w:rPr>
      </w:pPr>
      <w:r w:rsidRPr="0033737B">
        <w:rPr>
          <w:lang w:val="en-GB"/>
        </w:rPr>
        <w:t>Abstract</w:t>
      </w:r>
    </w:p>
    <w:p w14:paraId="144DE686" w14:textId="3779C31E" w:rsidR="008D2649" w:rsidRPr="0033737B" w:rsidRDefault="00BE5309" w:rsidP="005909BE">
      <w:pPr>
        <w:pStyle w:val="Els-body-text"/>
        <w:spacing w:after="120"/>
        <w:rPr>
          <w:lang w:val="en-GB"/>
        </w:rPr>
      </w:pPr>
      <w:r w:rsidRPr="0033737B">
        <w:rPr>
          <w:lang w:val="en-GB"/>
        </w:rPr>
        <w:t>As industrial processes become more intricate over time, data-driven process monitoring has emerged as an effective approach for detecting faults within these complex systems. However, the requirement for large volumes of historical data poses a challenge when implementing data-driven process monitoring in greenfield plants lacking such data. This paper introduces a novel solution by proposing the utilisation of digital twins for the implementation of data-driven process monitoring, specifically based on principal component analysis (PCA). By employing simulation</w:t>
      </w:r>
      <w:r w:rsidR="004756D0">
        <w:rPr>
          <w:lang w:val="en-GB"/>
        </w:rPr>
        <w:t>s used</w:t>
      </w:r>
      <w:r w:rsidRPr="0033737B">
        <w:rPr>
          <w:lang w:val="en-GB"/>
        </w:rPr>
        <w:t xml:space="preserve"> during the design stage, </w:t>
      </w:r>
      <w:r w:rsidR="004756D0">
        <w:rPr>
          <w:lang w:val="en-GB"/>
        </w:rPr>
        <w:t>synthetic</w:t>
      </w:r>
      <w:r w:rsidRPr="0033737B">
        <w:rPr>
          <w:lang w:val="en-GB"/>
        </w:rPr>
        <w:t xml:space="preserve"> training data can be generated to emulate the behaviour and correlations observed in the real process. Th</w:t>
      </w:r>
      <w:r w:rsidR="004756D0">
        <w:rPr>
          <w:lang w:val="en-GB"/>
        </w:rPr>
        <w:t>e</w:t>
      </w:r>
      <w:r w:rsidRPr="0033737B">
        <w:rPr>
          <w:lang w:val="en-GB"/>
        </w:rPr>
        <w:t xml:space="preserve"> </w:t>
      </w:r>
      <w:r w:rsidR="004756D0">
        <w:rPr>
          <w:lang w:val="en-GB"/>
        </w:rPr>
        <w:t>synthetic</w:t>
      </w:r>
      <w:r w:rsidRPr="0033737B">
        <w:rPr>
          <w:lang w:val="en-GB"/>
        </w:rPr>
        <w:t xml:space="preserve"> data can be used to train a PCA model, eliminating the need for an extensive data set to achieve reliable results. Consequently, this approach expedites the implementation of data-driven process monitoring. The effectiveness of th</w:t>
      </w:r>
      <w:r w:rsidR="00AF635F">
        <w:rPr>
          <w:lang w:val="en-GB"/>
        </w:rPr>
        <w:t>i</w:t>
      </w:r>
      <w:r w:rsidRPr="0033737B">
        <w:rPr>
          <w:lang w:val="en-GB"/>
        </w:rPr>
        <w:t xml:space="preserve">s method is </w:t>
      </w:r>
      <w:r w:rsidR="00DB0B5C">
        <w:rPr>
          <w:lang w:val="en-GB"/>
        </w:rPr>
        <w:t>shown</w:t>
      </w:r>
      <w:r w:rsidRPr="0033737B">
        <w:rPr>
          <w:lang w:val="en-GB"/>
        </w:rPr>
        <w:t xml:space="preserve"> through case studies involving a </w:t>
      </w:r>
      <w:r w:rsidR="00606B54">
        <w:rPr>
          <w:lang w:val="en-GB"/>
        </w:rPr>
        <w:t xml:space="preserve">reactive </w:t>
      </w:r>
      <w:r w:rsidR="00606B54" w:rsidRPr="0033737B">
        <w:rPr>
          <w:lang w:val="en-GB"/>
        </w:rPr>
        <w:t>absorp</w:t>
      </w:r>
      <w:r w:rsidR="00606B54">
        <w:rPr>
          <w:lang w:val="en-GB"/>
        </w:rPr>
        <w:t xml:space="preserve">tion </w:t>
      </w:r>
      <w:r w:rsidRPr="0033737B">
        <w:rPr>
          <w:lang w:val="en-GB"/>
        </w:rPr>
        <w:t>process. The results show that</w:t>
      </w:r>
      <w:r w:rsidR="008E62BF">
        <w:rPr>
          <w:lang w:val="en-GB"/>
        </w:rPr>
        <w:t xml:space="preserve"> some </w:t>
      </w:r>
      <w:r w:rsidR="004756D0">
        <w:rPr>
          <w:lang w:val="en-GB"/>
        </w:rPr>
        <w:t xml:space="preserve">amount of </w:t>
      </w:r>
      <w:r w:rsidR="006B60DF">
        <w:rPr>
          <w:lang w:val="en-GB"/>
        </w:rPr>
        <w:t xml:space="preserve">actual process </w:t>
      </w:r>
      <w:r w:rsidR="004756D0">
        <w:rPr>
          <w:lang w:val="en-GB"/>
        </w:rPr>
        <w:t>data</w:t>
      </w:r>
      <w:r w:rsidR="006B60DF">
        <w:rPr>
          <w:lang w:val="en-GB"/>
        </w:rPr>
        <w:t xml:space="preserve"> is still required for </w:t>
      </w:r>
      <w:r w:rsidR="008E62BF">
        <w:rPr>
          <w:lang w:val="en-GB"/>
        </w:rPr>
        <w:t>recalibration,</w:t>
      </w:r>
      <w:r w:rsidR="006B60DF">
        <w:rPr>
          <w:lang w:val="en-GB"/>
        </w:rPr>
        <w:t xml:space="preserve"> but the proposed approach can be built with</w:t>
      </w:r>
      <w:r w:rsidRPr="0033737B">
        <w:rPr>
          <w:lang w:val="en-GB"/>
        </w:rPr>
        <w:t xml:space="preserve"> </w:t>
      </w:r>
      <w:r w:rsidR="00214785">
        <w:rPr>
          <w:lang w:val="en-GB"/>
        </w:rPr>
        <w:t>75%</w:t>
      </w:r>
      <w:r w:rsidRPr="0033737B">
        <w:rPr>
          <w:lang w:val="en-GB"/>
        </w:rPr>
        <w:t xml:space="preserve"> fewer samples</w:t>
      </w:r>
      <w:r w:rsidR="008E62BF">
        <w:rPr>
          <w:lang w:val="en-GB"/>
        </w:rPr>
        <w:t xml:space="preserve"> compared to a method</w:t>
      </w:r>
      <w:r w:rsidR="00F2271F">
        <w:rPr>
          <w:lang w:val="en-GB"/>
        </w:rPr>
        <w:t xml:space="preserve"> based purely on process data</w:t>
      </w:r>
      <w:r w:rsidRPr="0033737B">
        <w:rPr>
          <w:lang w:val="en-GB"/>
        </w:rPr>
        <w:t xml:space="preserve"> to operate</w:t>
      </w:r>
      <w:r w:rsidR="008E62BF">
        <w:rPr>
          <w:lang w:val="en-GB"/>
        </w:rPr>
        <w:t xml:space="preserve"> with equivalent or better performance.</w:t>
      </w:r>
    </w:p>
    <w:p w14:paraId="144DE687" w14:textId="0CA9208B" w:rsidR="008D2649" w:rsidRPr="0033737B" w:rsidRDefault="008D2649" w:rsidP="005909BE">
      <w:pPr>
        <w:pStyle w:val="Els-body-text"/>
        <w:spacing w:after="120"/>
        <w:rPr>
          <w:lang w:val="en-GB"/>
        </w:rPr>
      </w:pPr>
      <w:r w:rsidRPr="0033737B">
        <w:rPr>
          <w:b/>
          <w:bCs/>
          <w:lang w:val="en-GB"/>
        </w:rPr>
        <w:t>Keywords</w:t>
      </w:r>
      <w:r w:rsidRPr="0033737B">
        <w:rPr>
          <w:lang w:val="en-GB"/>
        </w:rPr>
        <w:t xml:space="preserve">: </w:t>
      </w:r>
      <w:r w:rsidR="005B32BB" w:rsidRPr="0033737B">
        <w:rPr>
          <w:lang w:val="en-GB"/>
        </w:rPr>
        <w:t xml:space="preserve">PCA, Digital Twins, Fault Detection, </w:t>
      </w:r>
      <w:r w:rsidR="002B4564">
        <w:rPr>
          <w:lang w:val="en-GB"/>
        </w:rPr>
        <w:t>Transfer Learning</w:t>
      </w:r>
    </w:p>
    <w:p w14:paraId="144DE689" w14:textId="7303E09F" w:rsidR="008D2649" w:rsidRPr="0033737B" w:rsidRDefault="00A45927" w:rsidP="005909BE">
      <w:pPr>
        <w:pStyle w:val="Els-1storder-head"/>
        <w:spacing w:after="120"/>
        <w:rPr>
          <w:lang w:val="en-GB"/>
        </w:rPr>
      </w:pPr>
      <w:r>
        <w:rPr>
          <w:lang w:val="en-GB"/>
        </w:rPr>
        <w:t>Introduction</w:t>
      </w:r>
    </w:p>
    <w:p w14:paraId="1118D30C" w14:textId="12178350" w:rsidR="006739C9" w:rsidRDefault="00251705" w:rsidP="005909BE">
      <w:pPr>
        <w:pStyle w:val="Els-body-text"/>
        <w:spacing w:after="120"/>
        <w:rPr>
          <w:lang w:val="en-GB"/>
        </w:rPr>
      </w:pPr>
      <w:r w:rsidRPr="0033737B">
        <w:rPr>
          <w:lang w:val="en-GB"/>
        </w:rPr>
        <w:t>Industrial processes become progressively more complex as they expand. This growing complexity makes it increasingly impractical to depend solely on human operators to identify and manage faults and emergencies.</w:t>
      </w:r>
      <w:r w:rsidR="00C57C3F">
        <w:rPr>
          <w:lang w:val="en-GB"/>
        </w:rPr>
        <w:t xml:space="preserve"> </w:t>
      </w:r>
      <w:r w:rsidRPr="0033737B">
        <w:rPr>
          <w:lang w:val="en-GB"/>
        </w:rPr>
        <w:t xml:space="preserve">Neglecting to spot faulty conditions promptly can result in substantial safety, environmental, and financial problems. Consequently, there is a need for the creation of automated process monitoring techniques to aid operators in addressing faulty conditions </w:t>
      </w:r>
      <w:r w:rsidR="00AD1630" w:rsidRPr="0033737B">
        <w:rPr>
          <w:lang w:val="en-GB"/>
        </w:rPr>
        <w:fldChar w:fldCharType="begin" w:fldLock="1"/>
      </w:r>
      <w:r w:rsidR="0033737B">
        <w:rPr>
          <w:lang w:val="en-GB"/>
        </w:rPr>
        <w:instrText>ADDIN CSL_CITATION {"citationItems":[{"id":"ITEM-1","itemData":{"DOI":"10.1016/B978-0-12-819365-5.00007-3","ISBN":"978-0-12-819365-5","author":[{"dropping-particle":"","family":"Harrou","given":"Fouzi","non-dropping-particle":"","parse-names":false,"suffix":""},{"dropping-particle":"","family":"Sun","given":"Ying","non-dropping-particle":"","parse-names":false,"suffix":""},{"dropping-particle":"","family":"Hering","given":"Amanda S","non-dropping-particle":"","parse-names":false,"suffix":""},{"dropping-particle":"","family":"Madakyaru","given":"Muddu","non-dropping-particle":"","parse-names":false,"suffix":""},{"dropping-particle":"","family":"Dairi","given":"Abdelkader","non-dropping-particle":"","parse-names":false,"suffix":""}],"container-title":"Statistical Process Monitoring Using Advanced Data-Driven and Deep Learning Approaches","editor":[{"dropping-particle":"","family":"Harrou","given":"Fouzi","non-dropping-particle":"","parse-names":false,"suffix":""},{"dropping-particle":"","family":"Sun","given":"Ying","non-dropping-particle":"","parse-names":false,"suffix":""},{"dropping-particle":"","family":"Hering","given":"Amanda S","non-dropping-particle":"","parse-names":false,"suffix":""},{"dropping-particle":"","family":"Madakyaru","given":"Muddu","non-dropping-particle":"","parse-names":false,"suffix":""},{"dropping-particle":"","family":"Dairi","given":"Abdelkader","non-dropping-particle":"","parse-names":false,"suffix":""}],"id":"ITEM-1","issued":{"date-parts":[["2021"]]},"number-of-pages":"1-17","publisher":"Elsevier","title":"Statistical Process Monitoring Using Advanced Data-Driven and Deep Learning Approaches","type":"book"},"uris":["http://www.mendeley.com/documents/?uuid=fa57d385-efca-4f40-8531-05c85f5ba1ea"]}],"mendeley":{"formattedCitation":"(Harrou et al., 2021)","plainTextFormattedCitation":"(Harrou et al., 2021)","previouslyFormattedCitation":"(Harrou et al., 2021)"},"properties":{"noteIndex":0},"schema":"https://github.com/citation-style-language/schema/raw/master/csl-citation.json"}</w:instrText>
      </w:r>
      <w:r w:rsidR="00AD1630" w:rsidRPr="0033737B">
        <w:rPr>
          <w:lang w:val="en-GB"/>
        </w:rPr>
        <w:fldChar w:fldCharType="separate"/>
      </w:r>
      <w:r w:rsidR="009A07A1" w:rsidRPr="0033737B">
        <w:rPr>
          <w:noProof/>
          <w:lang w:val="en-GB"/>
        </w:rPr>
        <w:t>(Harrou et al., 2021)</w:t>
      </w:r>
      <w:r w:rsidR="00AD1630" w:rsidRPr="0033737B">
        <w:rPr>
          <w:lang w:val="en-GB"/>
        </w:rPr>
        <w:fldChar w:fldCharType="end"/>
      </w:r>
      <w:r w:rsidRPr="0033737B">
        <w:rPr>
          <w:lang w:val="en-GB"/>
        </w:rPr>
        <w:t>.</w:t>
      </w:r>
      <w:r w:rsidR="00606B54">
        <w:rPr>
          <w:lang w:val="en-GB"/>
        </w:rPr>
        <w:t xml:space="preserve"> </w:t>
      </w:r>
      <w:r w:rsidR="0033737B" w:rsidRPr="0033737B">
        <w:rPr>
          <w:lang w:val="en-GB"/>
        </w:rPr>
        <w:t xml:space="preserve">To accomplish this goal, </w:t>
      </w:r>
      <w:r w:rsidR="008E62BF">
        <w:rPr>
          <w:lang w:val="en-GB"/>
        </w:rPr>
        <w:t xml:space="preserve">many </w:t>
      </w:r>
      <w:r w:rsidR="00F55A86">
        <w:rPr>
          <w:lang w:val="en-GB"/>
        </w:rPr>
        <w:t xml:space="preserve">data-driven </w:t>
      </w:r>
      <w:r w:rsidR="008E62BF">
        <w:rPr>
          <w:lang w:val="en-GB"/>
        </w:rPr>
        <w:t xml:space="preserve">process monitoring and fault detection </w:t>
      </w:r>
      <w:r w:rsidR="00F55A86">
        <w:rPr>
          <w:lang w:val="en-GB"/>
        </w:rPr>
        <w:t>methods</w:t>
      </w:r>
      <w:r w:rsidR="00082465">
        <w:rPr>
          <w:lang w:val="en-GB"/>
        </w:rPr>
        <w:t xml:space="preserve"> were formulated</w:t>
      </w:r>
      <w:r w:rsidR="00C52EE4">
        <w:rPr>
          <w:lang w:val="en-GB"/>
        </w:rPr>
        <w:t xml:space="preserve"> </w:t>
      </w:r>
      <w:r w:rsidR="00C52EE4">
        <w:rPr>
          <w:lang w:val="en-GB"/>
        </w:rPr>
        <w:fldChar w:fldCharType="begin" w:fldLock="1"/>
      </w:r>
      <w:r w:rsidR="00870345">
        <w:rPr>
          <w:lang w:val="en-GB"/>
        </w:rPr>
        <w:instrText>ADDIN CSL_CITATION {"citationItems":[{"id":"ITEM-1","itemData":{"DOI":"10.1021/acs.iecr.9b02391","abstract":"Process monitoring is crucial for maintaining favorable operating conditions and has received considerable attention in previous decades. Currently, a plant-wide process generally consists of multiple operational units and a large number of measured variables. The correlation among the variables and units is complex and results in the imperative but challenging monitoring of such plant-wide processes. With the rapid advancement of industrial sensing techniques, process data with meaningful process information are collected. Data-driven multivariate statistical plant-wide process monitoring (DMSPPM) has become popular. The key idea of DMSPPM is first decomposing a plant-wide process into multiple subprocesses and then establishing a data-driven model for monitoring the process, in which process variable decomposition is important for guaranteeing the monitoring performance. In the current review, we first introduce the basics of multivariate statistical process monitoring and highlight the necessity of designing a distributed monitoring scheme. Then state-of-the-art DMSPPM methods are revisited. Finally, opportunities of and challenges to the DMSPPM methods are discussed.","author":[{"dropping-particle":"","family":"Jiang","given":"Qingchao","non-dropping-particle":"","parse-names":false,"suffix":""},{"dropping-particle":"","family":"Yan","given":"Xuefeng","non-dropping-particle":"","parse-names":false,"suffix":""},{"dropping-particle":"","family":"Huang","given":"Biao","non-dropping-particle":"","parse-names":false,"suffix":""}],"container-title":"Industrial &amp; Engineering Chemistry Research","id":"ITEM-1","issue":"29","issued":{"date-parts":[["2019"]]},"page":"12899-12912","title":"Review and Perspectives of Data-Driven Distributed Monitoring for Industrial Plant-Wide Processes","type":"article-journal","volume":"58"},"uris":["http://www.mendeley.com/documents/?uuid=c9a5779d-9e9b-4796-b89b-0f5ebac499f8"]}],"mendeley":{"formattedCitation":"(Jiang et al., 2019)","plainTextFormattedCitation":"(Jiang et al., 2019)","previouslyFormattedCitation":"(Jiang et al., 2019)"},"properties":{"noteIndex":0},"schema":"https://github.com/citation-style-language/schema/raw/master/csl-citation.json"}</w:instrText>
      </w:r>
      <w:r w:rsidR="00C52EE4">
        <w:rPr>
          <w:lang w:val="en-GB"/>
        </w:rPr>
        <w:fldChar w:fldCharType="separate"/>
      </w:r>
      <w:r w:rsidR="00C52EE4" w:rsidRPr="00C52EE4">
        <w:rPr>
          <w:noProof/>
          <w:lang w:val="en-GB"/>
        </w:rPr>
        <w:t>(Jiang et al., 2019)</w:t>
      </w:r>
      <w:r w:rsidR="00C52EE4">
        <w:rPr>
          <w:lang w:val="en-GB"/>
        </w:rPr>
        <w:fldChar w:fldCharType="end"/>
      </w:r>
      <w:r w:rsidR="00C52EE4">
        <w:rPr>
          <w:lang w:val="en-GB"/>
        </w:rPr>
        <w:t>.</w:t>
      </w:r>
      <w:r w:rsidR="00606B54">
        <w:rPr>
          <w:lang w:val="en-GB"/>
        </w:rPr>
        <w:t xml:space="preserve"> </w:t>
      </w:r>
      <w:r w:rsidR="006739C9" w:rsidRPr="006739C9">
        <w:rPr>
          <w:lang w:val="en-GB"/>
        </w:rPr>
        <w:t>Nevertheless, the demand for a substantial amount of historical data presents a significant hurdle for data-driven models</w:t>
      </w:r>
      <w:r w:rsidR="008E62BF">
        <w:rPr>
          <w:lang w:val="en-GB"/>
        </w:rPr>
        <w:t xml:space="preserve"> </w:t>
      </w:r>
      <w:r w:rsidR="007A1E03">
        <w:rPr>
          <w:lang w:val="en-GB"/>
        </w:rPr>
        <w:t xml:space="preserve">for </w:t>
      </w:r>
      <w:r w:rsidR="006739C9" w:rsidRPr="006739C9">
        <w:rPr>
          <w:lang w:val="en-GB"/>
        </w:rPr>
        <w:t>greenfield chemical plants, where data may be scarce or utterly absent if the plant has not yet been commissioned.</w:t>
      </w:r>
      <w:r w:rsidR="00606B54">
        <w:rPr>
          <w:lang w:val="en-GB"/>
        </w:rPr>
        <w:t xml:space="preserve"> </w:t>
      </w:r>
      <w:r w:rsidR="006739C9" w:rsidRPr="006739C9">
        <w:rPr>
          <w:lang w:val="en-GB"/>
        </w:rPr>
        <w:t>To address this issue, the present paper proposes leveraging digital twins based on design-stage model</w:t>
      </w:r>
      <w:r w:rsidR="008E62BF">
        <w:rPr>
          <w:lang w:val="en-GB"/>
        </w:rPr>
        <w:t>s</w:t>
      </w:r>
      <w:r w:rsidR="006739C9" w:rsidRPr="006739C9">
        <w:rPr>
          <w:lang w:val="en-GB"/>
        </w:rPr>
        <w:t xml:space="preserve"> to generate </w:t>
      </w:r>
      <w:r w:rsidR="004756D0">
        <w:rPr>
          <w:lang w:val="en-GB"/>
        </w:rPr>
        <w:t>synthetic</w:t>
      </w:r>
      <w:r w:rsidR="006739C9" w:rsidRPr="006739C9">
        <w:rPr>
          <w:lang w:val="en-GB"/>
        </w:rPr>
        <w:t xml:space="preserve"> data. Said data is used to train a data-driven process monitoring method based on principal component analysis (PCA). </w:t>
      </w:r>
    </w:p>
    <w:p w14:paraId="06DE7CBB" w14:textId="33175A38" w:rsidR="00C52EE4" w:rsidRDefault="00ED5DDF" w:rsidP="005909BE">
      <w:pPr>
        <w:pStyle w:val="Els-body-text"/>
        <w:spacing w:after="120"/>
        <w:rPr>
          <w:lang w:val="en-GB"/>
        </w:rPr>
      </w:pPr>
      <w:r w:rsidRPr="00ED5DDF">
        <w:rPr>
          <w:lang w:val="en-GB"/>
        </w:rPr>
        <w:t>The contribution of this paper i</w:t>
      </w:r>
      <w:r w:rsidR="00606B54">
        <w:rPr>
          <w:lang w:val="en-GB"/>
        </w:rPr>
        <w:t xml:space="preserve">s </w:t>
      </w:r>
      <w:r w:rsidR="008E62BF">
        <w:rPr>
          <w:lang w:val="en-GB"/>
        </w:rPr>
        <w:t xml:space="preserve">the </w:t>
      </w:r>
      <w:r w:rsidR="00606B54">
        <w:rPr>
          <w:lang w:val="en-GB"/>
        </w:rPr>
        <w:t>invest</w:t>
      </w:r>
      <w:r w:rsidR="008E62BF">
        <w:rPr>
          <w:lang w:val="en-GB"/>
        </w:rPr>
        <w:t>igation of</w:t>
      </w:r>
      <w:r w:rsidR="00606B54">
        <w:rPr>
          <w:lang w:val="en-GB"/>
        </w:rPr>
        <w:t xml:space="preserve"> </w:t>
      </w:r>
      <w:r w:rsidRPr="00ED5DDF">
        <w:rPr>
          <w:lang w:val="en-GB"/>
        </w:rPr>
        <w:t>digital twins to expedite the implementation of data-driven process monitoring methods</w:t>
      </w:r>
      <w:r w:rsidR="00606B54">
        <w:rPr>
          <w:lang w:val="en-GB"/>
        </w:rPr>
        <w:t xml:space="preserve"> when plant data is scarce or not available</w:t>
      </w:r>
      <w:r w:rsidR="008E62BF">
        <w:rPr>
          <w:lang w:val="en-GB"/>
        </w:rPr>
        <w:t xml:space="preserve"> – and the demonstration of this approach on an experimental facility. </w:t>
      </w:r>
      <w:r w:rsidRPr="00ED5DDF">
        <w:rPr>
          <w:lang w:val="en-GB"/>
        </w:rPr>
        <w:t xml:space="preserve">The remaining sections of the paper are organised in the following manner: The </w:t>
      </w:r>
      <w:r w:rsidR="00AE3EF3">
        <w:rPr>
          <w:lang w:val="en-GB"/>
        </w:rPr>
        <w:t>background</w:t>
      </w:r>
      <w:r w:rsidRPr="00ED5DDF">
        <w:rPr>
          <w:lang w:val="en-GB"/>
        </w:rPr>
        <w:t xml:space="preserve"> </w:t>
      </w:r>
      <w:r w:rsidRPr="00ED5DDF">
        <w:rPr>
          <w:lang w:val="en-GB"/>
        </w:rPr>
        <w:lastRenderedPageBreak/>
        <w:t xml:space="preserve">is presented in section 2. Section 3 describes the methodology </w:t>
      </w:r>
      <w:r w:rsidR="00AE3EF3">
        <w:rPr>
          <w:lang w:val="en-GB"/>
        </w:rPr>
        <w:t>of this implementation</w:t>
      </w:r>
      <w:r w:rsidRPr="00ED5DDF">
        <w:rPr>
          <w:lang w:val="en-GB"/>
        </w:rPr>
        <w:t>. Section 4 will illustrate and discuss the results of implementing the proposed method. Finally, section 5 provides conclusions and prospects for future work.</w:t>
      </w:r>
    </w:p>
    <w:p w14:paraId="144DE699" w14:textId="17D6B2F9" w:rsidR="008D2649" w:rsidRDefault="002B6C1E" w:rsidP="005909BE">
      <w:pPr>
        <w:pStyle w:val="Els-1storder-head"/>
        <w:spacing w:after="120"/>
        <w:rPr>
          <w:lang w:val="en-GB"/>
        </w:rPr>
      </w:pPr>
      <w:r>
        <w:rPr>
          <w:lang w:val="en-GB"/>
        </w:rPr>
        <w:t>Background</w:t>
      </w:r>
    </w:p>
    <w:p w14:paraId="721F6098" w14:textId="412DC94B" w:rsidR="002B6C1E" w:rsidRPr="002B6C1E" w:rsidRDefault="007E6A1C" w:rsidP="005909BE">
      <w:pPr>
        <w:pStyle w:val="Els-body-text"/>
        <w:spacing w:after="120"/>
        <w:rPr>
          <w:lang w:val="en-GB"/>
        </w:rPr>
      </w:pPr>
      <w:r w:rsidRPr="007E6A1C">
        <w:rPr>
          <w:lang w:val="en-GB"/>
        </w:rPr>
        <w:t>This section overviews principal component analysis, the monitoring statistics to be used alongside PCA, and the Sobol sequence.</w:t>
      </w:r>
    </w:p>
    <w:p w14:paraId="144DE69A" w14:textId="5E161334" w:rsidR="008D2649" w:rsidRPr="0033737B" w:rsidRDefault="00CF3E09" w:rsidP="005909BE">
      <w:pPr>
        <w:pStyle w:val="Els-2ndorder-head"/>
        <w:spacing w:after="120"/>
        <w:rPr>
          <w:lang w:val="en-GB"/>
        </w:rPr>
      </w:pPr>
      <w:r>
        <w:rPr>
          <w:lang w:val="en-GB"/>
        </w:rPr>
        <w:t>Principal Component Analysis (PCA)</w:t>
      </w:r>
    </w:p>
    <w:p w14:paraId="49155EA4" w14:textId="70D8416A" w:rsidR="004A06D6" w:rsidRDefault="00870345" w:rsidP="00AB00BE">
      <w:pPr>
        <w:pStyle w:val="Els-body-text"/>
        <w:rPr>
          <w:lang w:val="en-GB"/>
        </w:rPr>
      </w:pPr>
      <w:r w:rsidRPr="00870345">
        <w:rPr>
          <w:lang w:val="en-GB"/>
        </w:rPr>
        <w:t>PCA is a dimensionality reduction method that can discover underlying features and correlations within a multivariate dataset</w:t>
      </w:r>
      <w:r w:rsidR="00F55A86">
        <w:rPr>
          <w:lang w:val="en-GB"/>
        </w:rPr>
        <w:t xml:space="preserve">. </w:t>
      </w:r>
      <w:r w:rsidRPr="00870345">
        <w:rPr>
          <w:lang w:val="en-GB"/>
        </w:rPr>
        <w:t>It projects the dataset into a lower dimensional subspace using singular value decomposition (SVD)</w:t>
      </w:r>
      <w:r w:rsidR="005522DA">
        <w:rPr>
          <w:lang w:val="en-GB"/>
        </w:rPr>
        <w:t xml:space="preserve"> </w:t>
      </w:r>
      <w:r w:rsidR="005522DA">
        <w:rPr>
          <w:lang w:val="en-GB"/>
        </w:rPr>
        <w:fldChar w:fldCharType="begin" w:fldLock="1"/>
      </w:r>
      <w:r w:rsidR="00541D1D">
        <w:rPr>
          <w:lang w:val="en-GB"/>
        </w:rPr>
        <w:instrText>ADDIN CSL_CITATION {"citationItems":[{"id":"ITEM-1","itemData":{"author":[{"dropping-particle":"","family":"Abdi","given":"H","non-dropping-particle":"","parse-names":false,"suffix":""},{"dropping-particle":"","family":"Williams","given":"L J","non-dropping-particle":"","parse-names":false,"suffix":""}],"id":"ITEM-1","issued":{"date-parts":[["2010"]]},"title":"Principal component analysis. WIREs Comp Stat 2: 433--459","type":"article"},"uris":["http://www.mendeley.com/documents/?uuid=d76c53d6-aeed-4cb1-8734-8829f7d14051"]}],"mendeley":{"formattedCitation":"(Abdi and Williams, 2010)","plainTextFormattedCitation":"(Abdi and Williams, 2010)","previouslyFormattedCitation":"(Abdi and Williams, 2010)"},"properties":{"noteIndex":0},"schema":"https://github.com/citation-style-language/schema/raw/master/csl-citation.json"}</w:instrText>
      </w:r>
      <w:r w:rsidR="005522DA">
        <w:rPr>
          <w:lang w:val="en-GB"/>
        </w:rPr>
        <w:fldChar w:fldCharType="separate"/>
      </w:r>
      <w:r w:rsidR="005522DA" w:rsidRPr="005522DA">
        <w:rPr>
          <w:noProof/>
          <w:lang w:val="en-GB"/>
        </w:rPr>
        <w:t>(Abdi and Williams, 2010)</w:t>
      </w:r>
      <w:r w:rsidR="005522DA">
        <w:rPr>
          <w:lang w:val="en-GB"/>
        </w:rPr>
        <w:fldChar w:fldCharType="end"/>
      </w:r>
      <w:r w:rsidR="005522DA">
        <w:rPr>
          <w:lang w:val="en-GB"/>
        </w:rPr>
        <w:t xml:space="preserve">. </w:t>
      </w:r>
      <w:r w:rsidR="0022726F">
        <w:rPr>
          <w:lang w:val="en-GB"/>
        </w:rPr>
        <w:t xml:space="preserve">Before SVD is applied, the input dataset </w:t>
      </w:r>
      <m:oMath>
        <m:r>
          <m:rPr>
            <m:sty m:val="p"/>
          </m:rPr>
          <w:rPr>
            <w:rFonts w:ascii="Cambria Math" w:hAnsi="Cambria Math"/>
            <w:lang w:val="en-GB"/>
          </w:rPr>
          <m:t>X</m:t>
        </m:r>
        <m:r>
          <w:rPr>
            <w:rFonts w:ascii="Cambria Math" w:hAnsi="Cambria Math"/>
            <w:lang w:val="en-GB"/>
          </w:rPr>
          <m:t>=</m:t>
        </m:r>
        <m:d>
          <m:dPr>
            <m:begChr m:val="["/>
            <m:endChr m:val="]"/>
            <m:ctrlPr>
              <w:rPr>
                <w:rFonts w:ascii="Cambria Math" w:hAnsi="Cambria Math"/>
                <w:i/>
                <w:lang w:val="en-GB"/>
              </w:rPr>
            </m:ctrlPr>
          </m:dPr>
          <m:e>
            <m:sSubSup>
              <m:sSubSupPr>
                <m:ctrlPr>
                  <w:rPr>
                    <w:rFonts w:ascii="Cambria Math" w:hAnsi="Cambria Math"/>
                    <w:i/>
                    <w:lang w:val="en-GB"/>
                  </w:rPr>
                </m:ctrlPr>
              </m:sSubSupPr>
              <m:e>
                <m:r>
                  <m:rPr>
                    <m:sty m:val="p"/>
                  </m:rPr>
                  <w:rPr>
                    <w:rFonts w:ascii="Cambria Math" w:hAnsi="Cambria Math"/>
                    <w:lang w:val="en-GB"/>
                  </w:rPr>
                  <m:t>x</m:t>
                </m:r>
              </m:e>
              <m:sub>
                <m:r>
                  <w:rPr>
                    <w:rFonts w:ascii="Cambria Math" w:hAnsi="Cambria Math"/>
                    <w:lang w:val="en-GB"/>
                  </w:rPr>
                  <m:t>1</m:t>
                </m:r>
              </m:sub>
              <m:sup>
                <m:r>
                  <m:rPr>
                    <m:sty m:val="p"/>
                  </m:rPr>
                  <w:rPr>
                    <w:rFonts w:ascii="Cambria Math" w:hAnsi="Cambria Math"/>
                    <w:lang w:val="en-GB"/>
                  </w:rPr>
                  <m:t>T</m:t>
                </m:r>
              </m:sup>
            </m:sSubSup>
            <m: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x</m:t>
                </m:r>
              </m:e>
              <m:sub>
                <m:r>
                  <m:rPr>
                    <m:sty m:val="p"/>
                  </m:rPr>
                  <w:rPr>
                    <w:rFonts w:ascii="Cambria Math" w:hAnsi="Cambria Math"/>
                    <w:lang w:val="en-GB"/>
                  </w:rPr>
                  <m:t>n</m:t>
                </m:r>
              </m:sub>
              <m:sup>
                <m:r>
                  <m:rPr>
                    <m:sty m:val="p"/>
                  </m:rPr>
                  <w:rPr>
                    <w:rFonts w:ascii="Cambria Math" w:hAnsi="Cambria Math"/>
                    <w:lang w:val="en-GB"/>
                  </w:rPr>
                  <m:t>T</m:t>
                </m:r>
              </m:sup>
            </m:sSubSup>
          </m:e>
        </m:d>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n</m:t>
            </m:r>
            <m:r>
              <m:rPr>
                <m:sty m:val="p"/>
              </m:rPr>
              <w:rPr>
                <w:rFonts w:ascii="Cambria Math" w:hAnsi="Cambria Math"/>
                <w:lang w:val="en-GB"/>
              </w:rPr>
              <m:t>×</m:t>
            </m:r>
            <m:r>
              <w:rPr>
                <w:rFonts w:ascii="Cambria Math" w:hAnsi="Cambria Math"/>
                <w:lang w:val="en-GB"/>
              </w:rPr>
              <m:t>m</m:t>
            </m:r>
          </m:sup>
        </m:sSup>
      </m:oMath>
      <w:r w:rsidR="00545523">
        <w:rPr>
          <w:lang w:val="en-GB"/>
        </w:rPr>
        <w:t>, is first standardised</w:t>
      </w:r>
      <w:r w:rsidR="00FE578E">
        <w:rPr>
          <w:lang w:val="en-GB"/>
        </w:rPr>
        <w:t xml:space="preserve"> using its mean and variance.</w:t>
      </w:r>
      <w:r w:rsidR="0073683A">
        <w:rPr>
          <w:lang w:val="en-GB"/>
        </w:rPr>
        <w:t xml:space="preserve"> </w:t>
      </w:r>
      <w:r w:rsidR="003D2F13" w:rsidRPr="003D2F13">
        <w:rPr>
          <w:lang w:val="en-GB"/>
        </w:rPr>
        <w:t>From</w:t>
      </w:r>
      <w:r w:rsidR="00AB00BE">
        <w:rPr>
          <w:lang w:val="en-GB"/>
        </w:rPr>
        <w:t xml:space="preserve"> </w:t>
      </w:r>
      <w:r w:rsidR="003D2F13" w:rsidRPr="003D2F13">
        <w:rPr>
          <w:lang w:val="en-GB"/>
        </w:rPr>
        <w:t xml:space="preserve">here on, </w:t>
      </w:r>
      <m:oMath>
        <m:r>
          <w:rPr>
            <w:rFonts w:ascii="Cambria Math" w:hAnsi="Cambria Math"/>
            <w:lang w:val="en-GB"/>
          </w:rPr>
          <m:t>X</m:t>
        </m:r>
      </m:oMath>
      <w:r w:rsidR="003D2F13" w:rsidRPr="003D2F13">
        <w:rPr>
          <w:lang w:val="en-GB"/>
        </w:rPr>
        <w:t xml:space="preserve"> refers to the standardised data. After which, a covariance matrix </w:t>
      </w:r>
      <m:oMath>
        <m:r>
          <w:rPr>
            <w:rFonts w:ascii="Cambria Math" w:hAnsi="Cambria Math"/>
            <w:lang w:val="en-GB"/>
          </w:rPr>
          <m:t>S</m:t>
        </m:r>
      </m:oMath>
      <w:r w:rsidR="003D2F13" w:rsidRPr="003D2F13">
        <w:rPr>
          <w:lang w:val="en-GB"/>
        </w:rPr>
        <w:t xml:space="preserve"> is calculated to obtain the loading matrix </w:t>
      </w:r>
      <m:oMath>
        <m:r>
          <w:rPr>
            <w:rFonts w:ascii="Cambria Math" w:hAnsi="Cambria Math"/>
            <w:lang w:val="en-GB"/>
          </w:rPr>
          <m:t>W</m:t>
        </m:r>
      </m:oMath>
      <w:r w:rsidR="003D2F13" w:rsidRPr="003D2F13">
        <w:rPr>
          <w:lang w:val="en-GB"/>
        </w:rPr>
        <w:t xml:space="preserve"> and </w:t>
      </w:r>
      <m:oMath>
        <m:r>
          <m:rPr>
            <m:sty m:val="p"/>
          </m:rPr>
          <w:rPr>
            <w:rFonts w:ascii="Cambria Math" w:hAnsi="Cambria Math"/>
            <w:lang w:val="en-GB"/>
          </w:rPr>
          <m:t>Λ</m:t>
        </m:r>
      </m:oMath>
      <w:r w:rsidR="003D2F13" w:rsidRPr="003D2F13">
        <w:rPr>
          <w:lang w:val="en-GB"/>
        </w:rPr>
        <w:t xml:space="preserve"> using</w:t>
      </w:r>
      <w:r w:rsidR="00813FBC">
        <w:rPr>
          <w:lang w:val="en-GB"/>
        </w:rPr>
        <w:t xml:space="preserve"> Eq. (2).</w:t>
      </w:r>
    </w:p>
    <w:tbl>
      <w:tblPr>
        <w:tblW w:w="7087" w:type="dxa"/>
        <w:tblLook w:val="04A0" w:firstRow="1" w:lastRow="0" w:firstColumn="1" w:lastColumn="0" w:noHBand="0" w:noVBand="1"/>
      </w:tblPr>
      <w:tblGrid>
        <w:gridCol w:w="6123"/>
        <w:gridCol w:w="964"/>
      </w:tblGrid>
      <w:tr w:rsidR="00813FBC" w:rsidRPr="0033737B" w14:paraId="67D503C9" w14:textId="77777777" w:rsidTr="00EE73CE">
        <w:tc>
          <w:tcPr>
            <w:tcW w:w="6123" w:type="dxa"/>
            <w:shd w:val="clear" w:color="auto" w:fill="auto"/>
            <w:vAlign w:val="center"/>
          </w:tcPr>
          <w:p w14:paraId="5AD5C808" w14:textId="11460D81" w:rsidR="00813FBC" w:rsidRPr="002354EF" w:rsidRDefault="0037182A" w:rsidP="005909BE">
            <w:pPr>
              <w:pStyle w:val="Els-body-text"/>
              <w:spacing w:before="120" w:after="120" w:line="264" w:lineRule="auto"/>
              <w:rPr>
                <w:lang w:val="en-GB"/>
              </w:rPr>
            </w:pPr>
            <m:oMathPara>
              <m:oMathParaPr>
                <m:jc m:val="left"/>
              </m:oMathParaPr>
              <m:oMath>
                <m:r>
                  <w:rPr>
                    <w:rFonts w:ascii="Cambria Math" w:hAnsi="Cambria Math"/>
                    <w:lang w:val="en-GB"/>
                  </w:rPr>
                  <m:t>S=</m:t>
                </m:r>
                <m:f>
                  <m:fPr>
                    <m:ctrlPr>
                      <w:rPr>
                        <w:rFonts w:ascii="Cambria Math" w:hAnsi="Cambria Math"/>
                        <w:lang w:val="en-GB"/>
                      </w:rPr>
                    </m:ctrlPr>
                  </m:fPr>
                  <m:num>
                    <m:r>
                      <w:rPr>
                        <w:rFonts w:ascii="Cambria Math" w:hAnsi="Cambria Math"/>
                        <w:lang w:val="en-GB"/>
                      </w:rPr>
                      <m:t>1</m:t>
                    </m:r>
                    <m:ctrlPr>
                      <w:rPr>
                        <w:rFonts w:ascii="Cambria Math" w:hAnsi="Cambria Math"/>
                        <w:i/>
                        <w:lang w:val="en-GB"/>
                      </w:rPr>
                    </m:ctrlPr>
                  </m:num>
                  <m:den>
                    <m:r>
                      <w:rPr>
                        <w:rFonts w:ascii="Cambria Math" w:hAnsi="Cambria Math"/>
                        <w:lang w:val="en-GB"/>
                      </w:rPr>
                      <m:t>n-1</m:t>
                    </m:r>
                    <m:ctrlPr>
                      <w:rPr>
                        <w:rFonts w:ascii="Cambria Math" w:hAnsi="Cambria Math"/>
                        <w:i/>
                        <w:lang w:val="en-GB"/>
                      </w:rPr>
                    </m:ctrlPr>
                  </m:den>
                </m:f>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T</m:t>
                    </m:r>
                  </m:sup>
                </m:sSup>
                <m:r>
                  <w:rPr>
                    <w:rFonts w:ascii="Cambria Math" w:hAnsi="Cambria Math"/>
                    <w:lang w:val="en-GB"/>
                  </w:rPr>
                  <m:t>X=W</m:t>
                </m:r>
                <m:r>
                  <m:rPr>
                    <m:sty m:val="p"/>
                  </m:rPr>
                  <w:rPr>
                    <w:rFonts w:ascii="Cambria Math" w:hAnsi="Cambria Math"/>
                    <w:lang w:val="en-GB"/>
                  </w:rPr>
                  <m:t>Λ</m:t>
                </m:r>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T</m:t>
                    </m:r>
                  </m:sup>
                </m:sSup>
              </m:oMath>
            </m:oMathPara>
          </w:p>
        </w:tc>
        <w:tc>
          <w:tcPr>
            <w:tcW w:w="964" w:type="dxa"/>
            <w:shd w:val="clear" w:color="auto" w:fill="auto"/>
            <w:vAlign w:val="center"/>
          </w:tcPr>
          <w:p w14:paraId="5667D14B" w14:textId="64EF41DF" w:rsidR="00813FBC" w:rsidRPr="0033737B" w:rsidRDefault="00813FBC" w:rsidP="005909BE">
            <w:pPr>
              <w:pStyle w:val="Els-body-text"/>
              <w:spacing w:before="120" w:after="120" w:line="264" w:lineRule="auto"/>
              <w:jc w:val="right"/>
              <w:rPr>
                <w:lang w:val="en-GB"/>
              </w:rPr>
            </w:pPr>
            <w:r w:rsidRPr="0033737B">
              <w:rPr>
                <w:lang w:val="en-GB"/>
              </w:rPr>
              <w:t>(</w:t>
            </w:r>
            <w:r w:rsidR="0037182A">
              <w:rPr>
                <w:lang w:val="en-GB"/>
              </w:rPr>
              <w:t>2</w:t>
            </w:r>
            <w:r w:rsidRPr="0033737B">
              <w:rPr>
                <w:lang w:val="en-GB"/>
              </w:rPr>
              <w:t>)</w:t>
            </w:r>
          </w:p>
        </w:tc>
      </w:tr>
    </w:tbl>
    <w:p w14:paraId="5C1D053F" w14:textId="6BAD8DD9" w:rsidR="00AE47FD" w:rsidRDefault="00AE47FD" w:rsidP="005909BE">
      <w:pPr>
        <w:pStyle w:val="Els-body-text"/>
        <w:spacing w:after="120"/>
        <w:rPr>
          <w:lang w:val="en-GB"/>
        </w:rPr>
      </w:pPr>
      <w:r w:rsidRPr="00AE47FD">
        <w:rPr>
          <w:lang w:val="en-GB"/>
        </w:rPr>
        <w:t xml:space="preserve">where </w:t>
      </w:r>
      <m:oMath>
        <m:r>
          <m:rPr>
            <m:sty m:val="p"/>
          </m:rPr>
          <w:rPr>
            <w:rFonts w:ascii="Cambria Math" w:hAnsi="Cambria Math"/>
            <w:lang w:val="en-GB"/>
          </w:rPr>
          <m:t>Λ</m:t>
        </m:r>
        <m:r>
          <w:rPr>
            <w:rFonts w:ascii="Cambria Math" w:hAnsi="Cambria Math"/>
            <w:lang w:val="en-GB"/>
          </w:rPr>
          <m:t>=diag</m:t>
        </m:r>
        <m:d>
          <m:dPr>
            <m:ctrlPr>
              <w:rPr>
                <w:rFonts w:ascii="Cambria Math" w:hAnsi="Cambria Math"/>
                <w:i/>
                <w:lang w:val="en-GB"/>
              </w:rPr>
            </m:ctrlPr>
          </m:dPr>
          <m:e>
            <m:sSubSup>
              <m:sSubSupPr>
                <m:ctrlPr>
                  <w:rPr>
                    <w:rFonts w:ascii="Cambria Math" w:hAnsi="Cambria Math"/>
                    <w:i/>
                    <w:lang w:val="en-GB"/>
                  </w:rPr>
                </m:ctrlPr>
              </m:sSubSupPr>
              <m:e>
                <m:r>
                  <m:rPr>
                    <m:sty m:val="p"/>
                  </m:rPr>
                  <w:rPr>
                    <w:rFonts w:ascii="Cambria Math" w:hAnsi="Cambria Math"/>
                    <w:lang w:val="en-GB"/>
                  </w:rPr>
                  <m:t>λ</m:t>
                </m:r>
              </m:e>
              <m:sub>
                <m:r>
                  <w:rPr>
                    <w:rFonts w:ascii="Cambria Math" w:hAnsi="Cambria Math"/>
                    <w:lang w:val="en-GB"/>
                  </w:rPr>
                  <m:t>1</m:t>
                </m:r>
              </m:sub>
              <m:sup>
                <m:r>
                  <w:rPr>
                    <w:rFonts w:ascii="Cambria Math" w:hAnsi="Cambria Math"/>
                    <w:lang w:val="en-GB"/>
                  </w:rPr>
                  <m:t>2</m:t>
                </m:r>
              </m:sup>
            </m:sSubSup>
            <m: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λ</m:t>
                </m:r>
              </m:e>
              <m:sub>
                <m:r>
                  <w:rPr>
                    <w:rFonts w:ascii="Cambria Math" w:hAnsi="Cambria Math"/>
                    <w:lang w:val="en-GB"/>
                  </w:rPr>
                  <m:t>m</m:t>
                </m:r>
              </m:sub>
              <m:sup>
                <m:r>
                  <w:rPr>
                    <w:rFonts w:ascii="Cambria Math" w:hAnsi="Cambria Math"/>
                    <w:lang w:val="en-GB"/>
                  </w:rPr>
                  <m:t>2</m:t>
                </m:r>
              </m:sup>
            </m:sSubSup>
          </m:e>
        </m:d>
      </m:oMath>
      <w:r w:rsidRPr="00AE47FD">
        <w:rPr>
          <w:lang w:val="en-GB"/>
        </w:rPr>
        <w:t xml:space="preserve"> is a </w:t>
      </w:r>
      <w:r w:rsidR="0073683A">
        <w:rPr>
          <w:lang w:val="en-GB"/>
        </w:rPr>
        <w:t>contains</w:t>
      </w:r>
      <w:r w:rsidRPr="00AE47FD">
        <w:rPr>
          <w:lang w:val="en-GB"/>
        </w:rPr>
        <w:t xml:space="preserve"> the eigenvalues of the covariance matrix. The eigenvalues are equivalent to the variance of each </w:t>
      </w:r>
      <w:r w:rsidR="00F607A4" w:rsidRPr="00AE47FD">
        <w:rPr>
          <w:lang w:val="en-GB"/>
        </w:rPr>
        <w:t>principal</w:t>
      </w:r>
      <w:r w:rsidRPr="00AE47FD">
        <w:rPr>
          <w:lang w:val="en-GB"/>
        </w:rPr>
        <w:t xml:space="preserve"> component. Typically, only the first </w:t>
      </w:r>
      <m:oMath>
        <m:r>
          <w:rPr>
            <w:rFonts w:ascii="Cambria Math" w:hAnsi="Cambria Math"/>
            <w:lang w:val="en-GB"/>
          </w:rPr>
          <m:t>k</m:t>
        </m:r>
      </m:oMath>
      <w:r w:rsidRPr="00AE47FD">
        <w:rPr>
          <w:lang w:val="en-GB"/>
        </w:rPr>
        <w:t xml:space="preserve"> </w:t>
      </w:r>
      <w:r w:rsidR="00F607A4" w:rsidRPr="00AE47FD">
        <w:rPr>
          <w:lang w:val="en-GB"/>
        </w:rPr>
        <w:t>principal</w:t>
      </w:r>
      <w:r w:rsidRPr="00AE47FD">
        <w:rPr>
          <w:lang w:val="en-GB"/>
        </w:rPr>
        <w:t xml:space="preserve"> components (</w:t>
      </w:r>
      <m:oMath>
        <m:r>
          <w:rPr>
            <w:rFonts w:ascii="Cambria Math" w:hAnsi="Cambria Math"/>
            <w:lang w:val="en-GB"/>
          </w:rPr>
          <m:t>k&lt;m</m:t>
        </m:r>
      </m:oMath>
      <w:r w:rsidRPr="00AE47FD">
        <w:rPr>
          <w:lang w:val="en-GB"/>
        </w:rPr>
        <w:t>) are used to construct the PCA model.</w:t>
      </w:r>
    </w:p>
    <w:p w14:paraId="39C55EAD" w14:textId="77777777" w:rsidR="00967E9A" w:rsidRDefault="00967E9A" w:rsidP="005909BE">
      <w:pPr>
        <w:pStyle w:val="Els-2ndorder-head"/>
        <w:spacing w:after="120"/>
        <w:rPr>
          <w:lang w:val="en-GB"/>
        </w:rPr>
      </w:pPr>
      <w:r>
        <w:rPr>
          <w:lang w:val="en-GB"/>
        </w:rPr>
        <w:t>Monitoring Statistics</w:t>
      </w:r>
    </w:p>
    <w:p w14:paraId="144DE69D" w14:textId="0AD7BB64" w:rsidR="008D2649" w:rsidRPr="00967E9A" w:rsidRDefault="00967E9A" w:rsidP="005909BE">
      <w:pPr>
        <w:pStyle w:val="Els-2ndorder-head"/>
        <w:numPr>
          <w:ilvl w:val="0"/>
          <w:numId w:val="0"/>
        </w:numPr>
        <w:spacing w:after="120"/>
        <w:rPr>
          <w:i w:val="0"/>
          <w:iCs/>
          <w:lang w:val="en-GB"/>
        </w:rPr>
      </w:pPr>
      <w:r w:rsidRPr="00967E9A">
        <w:rPr>
          <w:i w:val="0"/>
          <w:iCs/>
          <w:lang w:val="en-GB"/>
        </w:rPr>
        <w:t xml:space="preserve">This subsection will describe the monitoring statistics </w:t>
      </w:r>
      <m:oMath>
        <m:sSup>
          <m:sSupPr>
            <m:ctrlPr>
              <w:rPr>
                <w:rFonts w:ascii="Cambria Math" w:hAnsi="Cambria Math"/>
                <w:i w:val="0"/>
                <w:iCs/>
                <w:lang w:val="en-GB"/>
              </w:rPr>
            </m:ctrlPr>
          </m:sSupPr>
          <m:e>
            <m:r>
              <w:rPr>
                <w:rFonts w:ascii="Cambria Math" w:hAnsi="Cambria Math"/>
                <w:lang w:val="en-GB"/>
              </w:rPr>
              <m:t>T</m:t>
            </m:r>
          </m:e>
          <m:sup>
            <m:r>
              <w:rPr>
                <w:rFonts w:ascii="Cambria Math" w:hAnsi="Cambria Math"/>
                <w:lang w:val="en-GB"/>
              </w:rPr>
              <m:t>2</m:t>
            </m:r>
          </m:sup>
        </m:sSup>
      </m:oMath>
      <w:r w:rsidRPr="00967E9A">
        <w:rPr>
          <w:i w:val="0"/>
          <w:iCs/>
          <w:lang w:val="en-GB"/>
        </w:rPr>
        <w:t>, SPE, and</w:t>
      </w:r>
      <w:r w:rsidR="002B4564">
        <w:rPr>
          <w:i w:val="0"/>
          <w:iCs/>
          <w:lang w:val="en-GB"/>
        </w:rPr>
        <w:t xml:space="preserve"> </w:t>
      </w:r>
      <w:r w:rsidR="002B4564" w:rsidRPr="002B4564">
        <w:rPr>
          <w:i w:val="0"/>
          <w:iCs/>
          <w:lang w:val="en-GB"/>
        </w:rPr>
        <w:t>One Class Support Vector Machines (</w:t>
      </w:r>
      <w:r w:rsidR="002B4564">
        <w:rPr>
          <w:i w:val="0"/>
          <w:iCs/>
          <w:lang w:val="en-GB"/>
        </w:rPr>
        <w:t>OC</w:t>
      </w:r>
      <w:r w:rsidR="002B4564" w:rsidRPr="002B4564">
        <w:rPr>
          <w:i w:val="0"/>
          <w:iCs/>
          <w:lang w:val="en-GB"/>
        </w:rPr>
        <w:t>SVMs)</w:t>
      </w:r>
      <w:r w:rsidRPr="00967E9A">
        <w:rPr>
          <w:i w:val="0"/>
          <w:iCs/>
          <w:lang w:val="en-GB"/>
        </w:rPr>
        <w:t>.</w:t>
      </w:r>
      <w:r w:rsidR="006024A8">
        <w:rPr>
          <w:i w:val="0"/>
          <w:iCs/>
          <w:lang w:val="en-GB"/>
        </w:rPr>
        <w:t xml:space="preserve"> PCA also provides a means to isolate the detected </w:t>
      </w:r>
      <w:r w:rsidR="00765201">
        <w:rPr>
          <w:i w:val="0"/>
          <w:iCs/>
          <w:lang w:val="en-GB"/>
        </w:rPr>
        <w:t>faults,</w:t>
      </w:r>
      <w:r w:rsidR="006024A8">
        <w:rPr>
          <w:i w:val="0"/>
          <w:iCs/>
          <w:lang w:val="en-GB"/>
        </w:rPr>
        <w:t xml:space="preserve"> but this will be outside the scope of the presented work.</w:t>
      </w:r>
    </w:p>
    <w:p w14:paraId="144DE69E" w14:textId="1510018C" w:rsidR="008D2649" w:rsidRDefault="00992235" w:rsidP="005909BE">
      <w:pPr>
        <w:pStyle w:val="Els-3rdorder-head"/>
        <w:spacing w:after="120"/>
        <w:rPr>
          <w:lang w:val="en-GB"/>
        </w:rPr>
      </w:pPr>
      <w:r>
        <w:rPr>
          <w:lang w:val="en-GB"/>
        </w:rPr>
        <w:t xml:space="preserve">Hotelling </w:t>
      </w:r>
      <m:oMath>
        <m:sSup>
          <m:sSupPr>
            <m:ctrlPr>
              <w:rPr>
                <w:rFonts w:ascii="Cambria Math" w:hAnsi="Cambria Math"/>
                <w:lang w:val="en-GB"/>
              </w:rPr>
            </m:ctrlPr>
          </m:sSupPr>
          <m:e>
            <m:r>
              <w:rPr>
                <w:rFonts w:ascii="Cambria Math" w:hAnsi="Cambria Math"/>
                <w:lang w:val="en-GB"/>
              </w:rPr>
              <m:t>T</m:t>
            </m:r>
          </m:e>
          <m:sup>
            <m:r>
              <w:rPr>
                <w:rFonts w:ascii="Cambria Math" w:hAnsi="Cambria Math"/>
                <w:lang w:val="en-GB"/>
              </w:rPr>
              <m:t>2</m:t>
            </m:r>
          </m:sup>
        </m:sSup>
      </m:oMath>
    </w:p>
    <w:p w14:paraId="2D7964F2" w14:textId="49DBA9F0" w:rsidR="00992235" w:rsidRDefault="008448E1" w:rsidP="00AB00BE">
      <w:pPr>
        <w:pStyle w:val="Els-body-text"/>
        <w:rPr>
          <w:iCs/>
          <w:lang w:val="en-GB"/>
        </w:rPr>
      </w:pPr>
      <w:r w:rsidRPr="008448E1">
        <w:rPr>
          <w:iCs/>
          <w:lang w:val="en-GB"/>
        </w:rPr>
        <w:t xml:space="preserve">The </w:t>
      </w:r>
      <m:oMath>
        <m:sSup>
          <m:sSupPr>
            <m:ctrlPr>
              <w:rPr>
                <w:rFonts w:ascii="Cambria Math" w:hAnsi="Cambria Math"/>
                <w:i/>
                <w:iCs/>
                <w:lang w:val="en-GB"/>
              </w:rPr>
            </m:ctrlPr>
          </m:sSupPr>
          <m:e>
            <m:r>
              <w:rPr>
                <w:rFonts w:ascii="Cambria Math" w:hAnsi="Cambria Math"/>
                <w:lang w:val="en-GB"/>
              </w:rPr>
              <m:t>T</m:t>
            </m:r>
          </m:e>
          <m:sup>
            <m:r>
              <w:rPr>
                <w:rFonts w:ascii="Cambria Math" w:hAnsi="Cambria Math"/>
                <w:lang w:val="en-GB"/>
              </w:rPr>
              <m:t>2</m:t>
            </m:r>
          </m:sup>
        </m:sSup>
      </m:oMath>
      <w:r w:rsidRPr="008448E1">
        <w:rPr>
          <w:iCs/>
          <w:lang w:val="en-GB"/>
        </w:rPr>
        <w:t xml:space="preserve"> statistic calculates the variations solely within the PC values at each time point. Specifically, the </w:t>
      </w:r>
      <m:oMath>
        <m:sSup>
          <m:sSupPr>
            <m:ctrlPr>
              <w:rPr>
                <w:rFonts w:ascii="Cambria Math" w:hAnsi="Cambria Math"/>
                <w:i/>
                <w:iCs/>
                <w:lang w:val="en-GB"/>
              </w:rPr>
            </m:ctrlPr>
          </m:sSupPr>
          <m:e>
            <m:r>
              <w:rPr>
                <w:rFonts w:ascii="Cambria Math" w:hAnsi="Cambria Math"/>
                <w:lang w:val="en-GB"/>
              </w:rPr>
              <m:t>T</m:t>
            </m:r>
          </m:e>
          <m:sup>
            <m:r>
              <w:rPr>
                <w:rFonts w:ascii="Cambria Math" w:hAnsi="Cambria Math"/>
                <w:lang w:val="en-GB"/>
              </w:rPr>
              <m:t>2</m:t>
            </m:r>
          </m:sup>
        </m:sSup>
      </m:oMath>
      <w:r w:rsidRPr="008448E1">
        <w:rPr>
          <w:iCs/>
          <w:lang w:val="en-GB"/>
        </w:rPr>
        <w:t xml:space="preserve"> value is determined by summing the squares of the retained PC scores and dividing this sum by the corresponding eigenvalue derived from non-faulty data</w:t>
      </w:r>
      <w:r w:rsidR="005357B6">
        <w:rPr>
          <w:iCs/>
          <w:lang w:val="en-GB"/>
        </w:rPr>
        <w:t xml:space="preserve"> as seen in Eq. (</w:t>
      </w:r>
      <w:r w:rsidR="009530F0">
        <w:rPr>
          <w:iCs/>
          <w:lang w:val="en-GB"/>
        </w:rPr>
        <w:t>3</w:t>
      </w:r>
      <w:r w:rsidR="005357B6">
        <w:rPr>
          <w:iCs/>
          <w:lang w:val="en-GB"/>
        </w:rPr>
        <w:t>)</w:t>
      </w:r>
      <w:r>
        <w:rPr>
          <w:iCs/>
          <w:lang w:val="en-GB"/>
        </w:rPr>
        <w:t xml:space="preserve"> </w:t>
      </w:r>
      <w:r w:rsidR="008E527F">
        <w:rPr>
          <w:iCs/>
          <w:lang w:val="en-GB"/>
        </w:rPr>
        <w:fldChar w:fldCharType="begin" w:fldLock="1"/>
      </w:r>
      <w:r w:rsidR="00A00554">
        <w:rPr>
          <w:iCs/>
          <w:lang w:val="en-GB"/>
        </w:rPr>
        <w:instrText>ADDIN CSL_CITATION {"citationItems":[{"id":"ITEM-1","itemData":{"author":[{"dropping-particle":"","family":"Hotelling","given":"Harold","non-dropping-particle":"","parse-names":false,"suffix":""}],"container-title":"Journal of educational psychology","id":"ITEM-1","issue":"6","issued":{"date-parts":[["1933"]]},"page":"417","publisher":"Warwick &amp; York","title":"Analysis of a complex of statistical variables into principal components.","type":"article-journal","volume":"24"},"uris":["http://www.mendeley.com/documents/?uuid=50055bae-ce1c-4dfd-b8ea-d7a366f353c4"]}],"mendeley":{"formattedCitation":"(Hotelling, 1933)","plainTextFormattedCitation":"(Hotelling, 1933)","previouslyFormattedCitation":"(Hotelling, 1933)"},"properties":{"noteIndex":0},"schema":"https://github.com/citation-style-language/schema/raw/master/csl-citation.json"}</w:instrText>
      </w:r>
      <w:r w:rsidR="008E527F">
        <w:rPr>
          <w:iCs/>
          <w:lang w:val="en-GB"/>
        </w:rPr>
        <w:fldChar w:fldCharType="separate"/>
      </w:r>
      <w:r w:rsidR="008E527F" w:rsidRPr="008E527F">
        <w:rPr>
          <w:iCs/>
          <w:noProof/>
          <w:lang w:val="en-GB"/>
        </w:rPr>
        <w:t>(Hotelling, 1933)</w:t>
      </w:r>
      <w:r w:rsidR="008E527F">
        <w:rPr>
          <w:iCs/>
          <w:lang w:val="en-GB"/>
        </w:rPr>
        <w:fldChar w:fldCharType="end"/>
      </w:r>
      <w:r w:rsidR="008E527F">
        <w:rPr>
          <w:iCs/>
          <w:lang w:val="en-GB"/>
        </w:rPr>
        <w:t>.</w:t>
      </w:r>
    </w:p>
    <w:tbl>
      <w:tblPr>
        <w:tblW w:w="7087" w:type="dxa"/>
        <w:tblLook w:val="04A0" w:firstRow="1" w:lastRow="0" w:firstColumn="1" w:lastColumn="0" w:noHBand="0" w:noVBand="1"/>
      </w:tblPr>
      <w:tblGrid>
        <w:gridCol w:w="6123"/>
        <w:gridCol w:w="964"/>
      </w:tblGrid>
      <w:tr w:rsidR="009530F0" w:rsidRPr="0033737B" w14:paraId="745C6F39" w14:textId="77777777" w:rsidTr="00EE73CE">
        <w:tc>
          <w:tcPr>
            <w:tcW w:w="6123" w:type="dxa"/>
            <w:shd w:val="clear" w:color="auto" w:fill="auto"/>
            <w:vAlign w:val="center"/>
          </w:tcPr>
          <w:p w14:paraId="38DE1568" w14:textId="525E0622" w:rsidR="009530F0" w:rsidRPr="002354EF" w:rsidRDefault="002250C6" w:rsidP="005909BE">
            <w:pPr>
              <w:pStyle w:val="Els-body-text"/>
              <w:spacing w:before="120" w:after="120" w:line="264" w:lineRule="auto"/>
              <w:rPr>
                <w:lang w:val="en-GB"/>
              </w:rPr>
            </w:pPr>
            <m:oMathPara>
              <m:oMathParaPr>
                <m:jc m:val="left"/>
              </m:oMathParaPr>
              <m:oMath>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T</m:t>
                    </m:r>
                  </m:sup>
                </m:sSup>
                <m:acc>
                  <m:accPr>
                    <m:ctrlPr>
                      <w:rPr>
                        <w:rFonts w:ascii="Cambria Math" w:hAnsi="Cambria Math"/>
                        <w:lang w:val="en-GB"/>
                      </w:rPr>
                    </m:ctrlPr>
                  </m:accPr>
                  <m:e>
                    <m:r>
                      <w:rPr>
                        <w:rFonts w:ascii="Cambria Math" w:hAnsi="Cambria Math"/>
                        <w:lang w:val="en-GB"/>
                      </w:rPr>
                      <m:t>W</m:t>
                    </m:r>
                  </m:e>
                </m:acc>
                <m:sSup>
                  <m:sSupPr>
                    <m:ctrlPr>
                      <w:rPr>
                        <w:rFonts w:ascii="Cambria Math" w:hAnsi="Cambria Math"/>
                        <w:i/>
                        <w:lang w:val="en-GB"/>
                      </w:rPr>
                    </m:ctrlPr>
                  </m:sSupPr>
                  <m:e>
                    <m:acc>
                      <m:accPr>
                        <m:ctrlPr>
                          <w:rPr>
                            <w:rFonts w:ascii="Cambria Math" w:hAnsi="Cambria Math"/>
                            <w:lang w:val="en-GB"/>
                          </w:rPr>
                        </m:ctrlPr>
                      </m:accPr>
                      <m:e>
                        <m:r>
                          <m:rPr>
                            <m:sty m:val="p"/>
                          </m:rPr>
                          <w:rPr>
                            <w:rFonts w:ascii="Cambria Math" w:hAnsi="Cambria Math"/>
                            <w:lang w:val="en-GB"/>
                          </w:rPr>
                          <m:t>Λ</m:t>
                        </m:r>
                      </m:e>
                    </m:acc>
                  </m:e>
                  <m:sup>
                    <m:r>
                      <w:rPr>
                        <w:rFonts w:ascii="Cambria Math" w:hAnsi="Cambria Math"/>
                        <w:lang w:val="en-GB"/>
                      </w:rPr>
                      <m:t>-1</m:t>
                    </m:r>
                  </m:sup>
                </m:sSup>
                <m:sSup>
                  <m:sSupPr>
                    <m:ctrlPr>
                      <w:rPr>
                        <w:rFonts w:ascii="Cambria Math" w:hAnsi="Cambria Math"/>
                        <w:i/>
                        <w:lang w:val="en-GB"/>
                      </w:rPr>
                    </m:ctrlPr>
                  </m:sSupPr>
                  <m:e>
                    <m:acc>
                      <m:accPr>
                        <m:ctrlPr>
                          <w:rPr>
                            <w:rFonts w:ascii="Cambria Math" w:hAnsi="Cambria Math"/>
                            <w:lang w:val="en-GB"/>
                          </w:rPr>
                        </m:ctrlPr>
                      </m:accPr>
                      <m:e>
                        <m:r>
                          <w:rPr>
                            <w:rFonts w:ascii="Cambria Math" w:hAnsi="Cambria Math"/>
                            <w:lang w:val="en-GB"/>
                          </w:rPr>
                          <m:t>W</m:t>
                        </m:r>
                      </m:e>
                    </m:acc>
                  </m:e>
                  <m:sup>
                    <m:r>
                      <w:rPr>
                        <w:rFonts w:ascii="Cambria Math" w:hAnsi="Cambria Math"/>
                        <w:lang w:val="en-GB"/>
                      </w:rPr>
                      <m:t>T</m:t>
                    </m:r>
                  </m:sup>
                </m:sSup>
                <m:r>
                  <w:rPr>
                    <w:rFonts w:ascii="Cambria Math" w:hAnsi="Cambria Math"/>
                    <w:lang w:val="en-GB"/>
                  </w:rPr>
                  <m:t>x</m:t>
                </m:r>
                <m:r>
                  <w:rPr>
                    <w:rFonts w:ascii="Cambria Math" w:hAnsi="Cambria Math"/>
                    <w:lang w:val="en-GB"/>
                  </w:rPr>
                  <m:t>=</m:t>
                </m:r>
                <m:nary>
                  <m:naryPr>
                    <m:chr m:val="∑"/>
                    <m:ctrlPr>
                      <w:rPr>
                        <w:rFonts w:ascii="Cambria Math" w:hAnsi="Cambria Math"/>
                        <w:lang w:val="en-GB"/>
                      </w:rPr>
                    </m:ctrlPr>
                  </m:naryPr>
                  <m:sub>
                    <m:r>
                      <w:rPr>
                        <w:rFonts w:ascii="Cambria Math" w:hAnsi="Cambria Math"/>
                        <w:lang w:val="en-GB"/>
                      </w:rPr>
                      <m:t>i</m:t>
                    </m:r>
                    <m:r>
                      <w:rPr>
                        <w:rFonts w:ascii="Cambria Math" w:hAnsi="Cambria Math"/>
                        <w:lang w:val="en-GB"/>
                      </w:rPr>
                      <m:t>=1</m:t>
                    </m:r>
                    <m:ctrlPr>
                      <w:rPr>
                        <w:rFonts w:ascii="Cambria Math" w:hAnsi="Cambria Math"/>
                        <w:i/>
                        <w:lang w:val="en-GB"/>
                      </w:rPr>
                    </m:ctrlPr>
                  </m:sub>
                  <m:sup>
                    <m:r>
                      <w:rPr>
                        <w:rFonts w:ascii="Cambria Math" w:hAnsi="Cambria Math"/>
                        <w:lang w:val="en-GB"/>
                      </w:rPr>
                      <m:t>k</m:t>
                    </m:r>
                    <m:ctrlPr>
                      <w:rPr>
                        <w:rFonts w:ascii="Cambria Math" w:hAnsi="Cambria Math"/>
                        <w:i/>
                        <w:lang w:val="en-GB"/>
                      </w:rPr>
                    </m:ctrlPr>
                  </m:sup>
                  <m:e>
                    <m:f>
                      <m:fPr>
                        <m:ctrlPr>
                          <w:rPr>
                            <w:rFonts w:ascii="Cambria Math" w:hAnsi="Cambria Math"/>
                            <w:lang w:val="en-GB"/>
                          </w:rPr>
                        </m:ctrlPr>
                      </m:fPr>
                      <m:num>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i</m:t>
                            </m:r>
                          </m:sub>
                          <m:sup>
                            <m:r>
                              <w:rPr>
                                <w:rFonts w:ascii="Cambria Math" w:hAnsi="Cambria Math"/>
                                <w:lang w:val="en-GB"/>
                              </w:rPr>
                              <m:t>2</m:t>
                            </m:r>
                          </m:sup>
                        </m:sSubSup>
                        <m:ctrlPr>
                          <w:rPr>
                            <w:rFonts w:ascii="Cambria Math" w:hAnsi="Cambria Math"/>
                            <w:i/>
                            <w:lang w:val="en-GB"/>
                          </w:rPr>
                        </m:ctrlPr>
                      </m:num>
                      <m:den>
                        <m:sSub>
                          <m:sSubPr>
                            <m:ctrlPr>
                              <w:rPr>
                                <w:rFonts w:ascii="Cambria Math" w:hAnsi="Cambria Math"/>
                                <w:i/>
                                <w:lang w:val="en-GB"/>
                              </w:rPr>
                            </m:ctrlPr>
                          </m:sSubPr>
                          <m:e>
                            <m:r>
                              <m:rPr>
                                <m:sty m:val="p"/>
                              </m:rPr>
                              <w:rPr>
                                <w:rFonts w:ascii="Cambria Math" w:hAnsi="Cambria Math"/>
                                <w:lang w:val="en-GB"/>
                              </w:rPr>
                              <m:t>λ</m:t>
                            </m:r>
                          </m:e>
                          <m:sub>
                            <m:r>
                              <w:rPr>
                                <w:rFonts w:ascii="Cambria Math" w:hAnsi="Cambria Math"/>
                                <w:lang w:val="en-GB"/>
                              </w:rPr>
                              <m:t>i</m:t>
                            </m:r>
                          </m:sub>
                        </m:sSub>
                        <m:ctrlPr>
                          <w:rPr>
                            <w:rFonts w:ascii="Cambria Math" w:hAnsi="Cambria Math"/>
                            <w:i/>
                            <w:lang w:val="en-GB"/>
                          </w:rPr>
                        </m:ctrlPr>
                      </m:den>
                    </m:f>
                  </m:e>
                </m:nary>
              </m:oMath>
            </m:oMathPara>
          </w:p>
        </w:tc>
        <w:tc>
          <w:tcPr>
            <w:tcW w:w="964" w:type="dxa"/>
            <w:shd w:val="clear" w:color="auto" w:fill="auto"/>
            <w:vAlign w:val="center"/>
          </w:tcPr>
          <w:p w14:paraId="3AE81438" w14:textId="7A9A5F7D" w:rsidR="009530F0" w:rsidRPr="0033737B" w:rsidRDefault="009530F0" w:rsidP="005909BE">
            <w:pPr>
              <w:pStyle w:val="Els-body-text"/>
              <w:spacing w:before="120" w:after="120" w:line="264" w:lineRule="auto"/>
              <w:jc w:val="right"/>
              <w:rPr>
                <w:lang w:val="en-GB"/>
              </w:rPr>
            </w:pPr>
            <w:r w:rsidRPr="0033737B">
              <w:rPr>
                <w:lang w:val="en-GB"/>
              </w:rPr>
              <w:t>(</w:t>
            </w:r>
            <w:r w:rsidR="00ED3952">
              <w:rPr>
                <w:lang w:val="en-GB"/>
              </w:rPr>
              <w:t>3</w:t>
            </w:r>
            <w:r w:rsidRPr="0033737B">
              <w:rPr>
                <w:lang w:val="en-GB"/>
              </w:rPr>
              <w:t>)</w:t>
            </w:r>
          </w:p>
        </w:tc>
      </w:tr>
    </w:tbl>
    <w:p w14:paraId="63512D59" w14:textId="058CFD1D" w:rsidR="00383BA2" w:rsidRPr="0048628B" w:rsidRDefault="00DB4E65" w:rsidP="005909BE">
      <w:pPr>
        <w:pStyle w:val="Els-body-text"/>
        <w:spacing w:after="120"/>
        <w:rPr>
          <w:lang w:val="en-GB"/>
        </w:rPr>
      </w:pPr>
      <w:r w:rsidRPr="00DB4E65">
        <w:rPr>
          <w:lang w:val="en-GB"/>
        </w:rPr>
        <w:t xml:space="preserve">Where </w:t>
      </w:r>
      <m:oMath>
        <m:acc>
          <m:accPr>
            <m:ctrlPr>
              <w:rPr>
                <w:rFonts w:ascii="Cambria Math" w:hAnsi="Cambria Math"/>
                <w:lang w:val="en-GB"/>
              </w:rPr>
            </m:ctrlPr>
          </m:accPr>
          <m:e>
            <m:r>
              <w:rPr>
                <w:rFonts w:ascii="Cambria Math" w:hAnsi="Cambria Math"/>
                <w:lang w:val="en-GB"/>
              </w:rPr>
              <m:t>W</m:t>
            </m:r>
          </m:e>
        </m:acc>
      </m:oMath>
      <w:r w:rsidRPr="00DB4E65">
        <w:rPr>
          <w:lang w:val="en-GB"/>
        </w:rPr>
        <w:t xml:space="preserve"> and </w:t>
      </w:r>
      <m:oMath>
        <m:acc>
          <m:accPr>
            <m:ctrlPr>
              <w:rPr>
                <w:rFonts w:ascii="Cambria Math" w:hAnsi="Cambria Math"/>
                <w:lang w:val="en-GB"/>
              </w:rPr>
            </m:ctrlPr>
          </m:accPr>
          <m:e>
            <m:r>
              <m:rPr>
                <m:sty m:val="p"/>
              </m:rPr>
              <w:rPr>
                <w:rFonts w:ascii="Cambria Math" w:hAnsi="Cambria Math"/>
                <w:lang w:val="en-GB"/>
              </w:rPr>
              <m:t>Λ</m:t>
            </m:r>
          </m:e>
        </m:acc>
      </m:oMath>
      <w:r w:rsidRPr="00DB4E65">
        <w:rPr>
          <w:lang w:val="en-GB"/>
        </w:rPr>
        <w:t xml:space="preserve"> are the retained loading matrix and eigenvalues of the PCA model.</w:t>
      </w:r>
    </w:p>
    <w:p w14:paraId="3C458E6B" w14:textId="756FD6D8" w:rsidR="00383BA2" w:rsidRDefault="00383BA2" w:rsidP="005909BE">
      <w:pPr>
        <w:pStyle w:val="Els-3rdorder-head"/>
        <w:spacing w:after="120"/>
        <w:rPr>
          <w:lang w:val="en-GB"/>
        </w:rPr>
      </w:pPr>
      <w:r>
        <w:rPr>
          <w:lang w:val="en-GB"/>
        </w:rPr>
        <w:t>SPE</w:t>
      </w:r>
    </w:p>
    <w:p w14:paraId="2229F4DC" w14:textId="131A195C" w:rsidR="00383BA2" w:rsidRPr="00383BA2" w:rsidRDefault="00133EE6" w:rsidP="00AB00BE">
      <w:pPr>
        <w:pStyle w:val="Els-body-text"/>
        <w:rPr>
          <w:lang w:val="en-GB"/>
        </w:rPr>
      </w:pPr>
      <w:r w:rsidRPr="00133EE6">
        <w:rPr>
          <w:lang w:val="en-GB"/>
        </w:rPr>
        <w:t>The SPE, or Q metric, is used to detect faults within the reconstruction space</w:t>
      </w:r>
      <w:r w:rsidR="009E69C5">
        <w:rPr>
          <w:lang w:val="en-GB"/>
        </w:rPr>
        <w:t>, SPE is calculated by Eq. (5)</w:t>
      </w:r>
      <w:r>
        <w:rPr>
          <w:lang w:val="en-GB"/>
        </w:rPr>
        <w:t xml:space="preserve"> </w:t>
      </w:r>
      <w:r>
        <w:rPr>
          <w:lang w:val="en-GB"/>
        </w:rPr>
        <w:fldChar w:fldCharType="begin" w:fldLock="1"/>
      </w:r>
      <w:r w:rsidR="004A547C">
        <w:rPr>
          <w:lang w:val="en-GB"/>
        </w:rPr>
        <w:instrText>ADDIN CSL_CITATION {"citationItems":[{"id":"ITEM-1","itemData":{"author":[{"dropping-particle":"","family":"Joe Qin","given":"S","non-dropping-particle":"","parse-names":false,"suffix":""}],"container-title":"Journal of Chemometrics: A Journal of the Chemometrics Society","id":"ITEM-1","issue":"8-9","issued":{"date-parts":[["2003"]]},"page":"480-502","publisher":"Wiley Online Library","title":"Statistical process monitoring: basics and beyond","type":"article-journal","volume":"17"},"uris":["http://www.mendeley.com/documents/?uuid=10a096e8-f67a-4d25-be78-e256908ed04f"]}],"mendeley":{"formattedCitation":"(Joe Qin, 2003)","plainTextFormattedCitation":"(Joe Qin, 2003)","previouslyFormattedCitation":"(Joe Qin, 2003)"},"properties":{"noteIndex":0},"schema":"https://github.com/citation-style-language/schema/raw/master/csl-citation.json"}</w:instrText>
      </w:r>
      <w:r>
        <w:rPr>
          <w:lang w:val="en-GB"/>
        </w:rPr>
        <w:fldChar w:fldCharType="separate"/>
      </w:r>
      <w:r w:rsidRPr="00133EE6">
        <w:rPr>
          <w:noProof/>
          <w:lang w:val="en-GB"/>
        </w:rPr>
        <w:t>(Joe Qin, 2003)</w:t>
      </w:r>
      <w:r>
        <w:rPr>
          <w:lang w:val="en-GB"/>
        </w:rPr>
        <w:fldChar w:fldCharType="end"/>
      </w:r>
      <w:r w:rsidR="000470A5">
        <w:rPr>
          <w:lang w:val="en-GB"/>
        </w:rPr>
        <w:t>.</w:t>
      </w:r>
    </w:p>
    <w:tbl>
      <w:tblPr>
        <w:tblW w:w="7087" w:type="dxa"/>
        <w:tblLook w:val="04A0" w:firstRow="1" w:lastRow="0" w:firstColumn="1" w:lastColumn="0" w:noHBand="0" w:noVBand="1"/>
      </w:tblPr>
      <w:tblGrid>
        <w:gridCol w:w="6123"/>
        <w:gridCol w:w="964"/>
      </w:tblGrid>
      <w:tr w:rsidR="009E69C5" w:rsidRPr="0033737B" w14:paraId="041FED55" w14:textId="77777777" w:rsidTr="00EE73CE">
        <w:tc>
          <w:tcPr>
            <w:tcW w:w="6123" w:type="dxa"/>
            <w:shd w:val="clear" w:color="auto" w:fill="auto"/>
            <w:vAlign w:val="center"/>
          </w:tcPr>
          <w:p w14:paraId="34529079" w14:textId="2EB84E7B" w:rsidR="009E69C5" w:rsidRPr="002354EF" w:rsidRDefault="005A3EEA" w:rsidP="005909BE">
            <w:pPr>
              <w:pStyle w:val="Els-body-text"/>
              <w:spacing w:before="120" w:after="120" w:line="264" w:lineRule="auto"/>
              <w:rPr>
                <w:lang w:val="en-GB"/>
              </w:rPr>
            </w:pPr>
            <m:oMathPara>
              <m:oMathParaPr>
                <m:jc m:val="left"/>
              </m:oMathParaPr>
              <m:oMath>
                <m:r>
                  <w:rPr>
                    <w:rFonts w:ascii="Cambria Math" w:hAnsi="Cambria Math"/>
                    <w:lang w:val="en-GB"/>
                  </w:rPr>
                  <m:t>SPE=</m:t>
                </m:r>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hAnsi="Cambria Math"/>
                            <w:lang w:val="en-GB"/>
                          </w:rPr>
                          <m:t>X-</m:t>
                        </m:r>
                        <m:acc>
                          <m:accPr>
                            <m:ctrlPr>
                              <w:rPr>
                                <w:rFonts w:ascii="Cambria Math" w:hAnsi="Cambria Math"/>
                                <w:lang w:val="en-GB"/>
                              </w:rPr>
                            </m:ctrlPr>
                          </m:accPr>
                          <m:e>
                            <m:r>
                              <w:rPr>
                                <w:rFonts w:ascii="Cambria Math" w:hAnsi="Cambria Math"/>
                                <w:lang w:val="en-GB"/>
                              </w:rPr>
                              <m:t>X</m:t>
                            </m:r>
                          </m:e>
                        </m:acc>
                      </m:e>
                    </m:d>
                  </m:e>
                  <m:sup>
                    <m:r>
                      <w:rPr>
                        <w:rFonts w:ascii="Cambria Math" w:hAnsi="Cambria Math"/>
                        <w:lang w:val="en-GB"/>
                      </w:rPr>
                      <m:t>T</m:t>
                    </m:r>
                  </m:sup>
                </m:sSup>
                <m:d>
                  <m:dPr>
                    <m:begChr m:val="["/>
                    <m:endChr m:val="]"/>
                    <m:ctrlPr>
                      <w:rPr>
                        <w:rFonts w:ascii="Cambria Math" w:hAnsi="Cambria Math"/>
                        <w:i/>
                        <w:lang w:val="en-GB"/>
                      </w:rPr>
                    </m:ctrlPr>
                  </m:dPr>
                  <m:e>
                    <m:r>
                      <w:rPr>
                        <w:rFonts w:ascii="Cambria Math" w:hAnsi="Cambria Math"/>
                        <w:lang w:val="en-GB"/>
                      </w:rPr>
                      <m:t>X-</m:t>
                    </m:r>
                    <m:acc>
                      <m:accPr>
                        <m:ctrlPr>
                          <w:rPr>
                            <w:rFonts w:ascii="Cambria Math" w:hAnsi="Cambria Math"/>
                            <w:lang w:val="en-GB"/>
                          </w:rPr>
                        </m:ctrlPr>
                      </m:accPr>
                      <m:e>
                        <m:r>
                          <w:rPr>
                            <w:rFonts w:ascii="Cambria Math" w:hAnsi="Cambria Math"/>
                            <w:lang w:val="en-GB"/>
                          </w:rPr>
                          <m:t>X</m:t>
                        </m:r>
                      </m:e>
                    </m:acc>
                  </m:e>
                </m:d>
              </m:oMath>
            </m:oMathPara>
          </w:p>
        </w:tc>
        <w:tc>
          <w:tcPr>
            <w:tcW w:w="964" w:type="dxa"/>
            <w:shd w:val="clear" w:color="auto" w:fill="auto"/>
            <w:vAlign w:val="center"/>
          </w:tcPr>
          <w:p w14:paraId="5E7D3325" w14:textId="03E54B5C" w:rsidR="009E69C5" w:rsidRPr="0033737B" w:rsidRDefault="009E69C5" w:rsidP="005909BE">
            <w:pPr>
              <w:pStyle w:val="Els-body-text"/>
              <w:spacing w:before="120" w:after="120" w:line="264" w:lineRule="auto"/>
              <w:jc w:val="right"/>
              <w:rPr>
                <w:lang w:val="en-GB"/>
              </w:rPr>
            </w:pPr>
            <w:r w:rsidRPr="0033737B">
              <w:rPr>
                <w:lang w:val="en-GB"/>
              </w:rPr>
              <w:t>(</w:t>
            </w:r>
            <w:r w:rsidR="005A3EEA">
              <w:rPr>
                <w:lang w:val="en-GB"/>
              </w:rPr>
              <w:t>5</w:t>
            </w:r>
            <w:r w:rsidRPr="0033737B">
              <w:rPr>
                <w:lang w:val="en-GB"/>
              </w:rPr>
              <w:t>)</w:t>
            </w:r>
          </w:p>
        </w:tc>
      </w:tr>
    </w:tbl>
    <w:p w14:paraId="3CFA6D4C" w14:textId="30BFABA4" w:rsidR="00E0536A" w:rsidRPr="00E0536A" w:rsidRDefault="005A3EEA" w:rsidP="005909BE">
      <w:pPr>
        <w:pStyle w:val="Els-body-text"/>
        <w:spacing w:after="120"/>
        <w:rPr>
          <w:lang w:val="en-GB"/>
        </w:rPr>
      </w:pPr>
      <w:r>
        <w:rPr>
          <w:lang w:val="en-GB"/>
        </w:rPr>
        <w:t>W</w:t>
      </w:r>
      <w:r w:rsidRPr="005A3EEA">
        <w:rPr>
          <w:lang w:val="en-GB"/>
        </w:rPr>
        <w:t xml:space="preserve">here </w:t>
      </w:r>
      <m:oMath>
        <m:acc>
          <m:accPr>
            <m:ctrlPr>
              <w:rPr>
                <w:rFonts w:ascii="Cambria Math" w:hAnsi="Cambria Math"/>
                <w:lang w:val="en-GB"/>
              </w:rPr>
            </m:ctrlPr>
          </m:accPr>
          <m:e>
            <m:r>
              <w:rPr>
                <w:rFonts w:ascii="Cambria Math" w:hAnsi="Cambria Math"/>
                <w:lang w:val="en-GB"/>
              </w:rPr>
              <m:t>X</m:t>
            </m:r>
          </m:e>
        </m:acc>
      </m:oMath>
      <w:r w:rsidRPr="005A3EEA">
        <w:rPr>
          <w:lang w:val="en-GB"/>
        </w:rPr>
        <w:t xml:space="preserve"> is the reconstructed value of the input </w:t>
      </w:r>
      <m:oMath>
        <m:r>
          <w:rPr>
            <w:rFonts w:ascii="Cambria Math" w:hAnsi="Cambria Math"/>
            <w:lang w:val="en-GB"/>
          </w:rPr>
          <m:t>X</m:t>
        </m:r>
      </m:oMath>
      <w:r w:rsidRPr="005A3EEA">
        <w:rPr>
          <w:lang w:val="en-GB"/>
        </w:rPr>
        <w:t>.</w:t>
      </w:r>
    </w:p>
    <w:p w14:paraId="5FE07350" w14:textId="7E120F59" w:rsidR="00E0536A" w:rsidRDefault="00E0536A" w:rsidP="005909BE">
      <w:pPr>
        <w:pStyle w:val="Els-3rdorder-head"/>
        <w:spacing w:after="120"/>
        <w:rPr>
          <w:lang w:val="en-GB"/>
        </w:rPr>
      </w:pPr>
      <w:r>
        <w:rPr>
          <w:lang w:val="en-GB"/>
        </w:rPr>
        <w:t>OCSVM</w:t>
      </w:r>
    </w:p>
    <w:p w14:paraId="359FE126" w14:textId="2DC60482" w:rsidR="009A02D4" w:rsidRDefault="009D62AB" w:rsidP="005909BE">
      <w:pPr>
        <w:pStyle w:val="Els-body-text"/>
        <w:spacing w:after="120"/>
        <w:rPr>
          <w:lang w:val="en-GB"/>
        </w:rPr>
      </w:pPr>
      <w:r w:rsidRPr="009D62AB">
        <w:rPr>
          <w:lang w:val="en-GB"/>
        </w:rPr>
        <w:t xml:space="preserve">OCSVM is a method </w:t>
      </w:r>
      <w:r w:rsidR="00E22D3B">
        <w:rPr>
          <w:lang w:val="en-GB"/>
        </w:rPr>
        <w:t>that classifies data into groups based on a kernel function</w:t>
      </w:r>
      <w:r w:rsidR="00AB00BE">
        <w:rPr>
          <w:lang w:val="en-GB"/>
        </w:rPr>
        <w:t>.</w:t>
      </w:r>
      <w:r w:rsidR="00893158">
        <w:rPr>
          <w:lang w:val="en-GB"/>
        </w:rPr>
        <w:t xml:space="preserve"> </w:t>
      </w:r>
      <w:r w:rsidR="00893158">
        <w:rPr>
          <w:lang w:val="en-GB"/>
        </w:rPr>
        <w:fldChar w:fldCharType="begin" w:fldLock="1"/>
      </w:r>
      <w:r w:rsidR="002C5E73">
        <w:rPr>
          <w:lang w:val="en-GB"/>
        </w:rPr>
        <w:instrText>ADDIN CSL_CITATION {"citationItems":[{"id":"ITEM-1","itemData":{"author":[{"dropping-particle":"","family":"Wang","given":"Defeng","non-dropping-particle":"","parse-names":false,"suffix":""},{"dropping-particle":"","family":"Yeung","given":"Daniel S","non-dropping-particle":"","parse-names":false,"suffix":""},{"dropping-particle":"","family":"Tsang","given":"Eric C C","non-dropping-particle":"","parse-names":false,"suffix":""}],"container-title":"IEEE Transactions on Systems, Man, and Cybernetics, Part B (Cybernetics)","id":"ITEM-1","issue":"6","issued":{"date-parts":[["2006"]]},"page":"1283-1295","publisher":"IEEE","title":"Structured one-class classification","type":"article-journal","volume":"36"},"uris":["http://www.mendeley.com/documents/?uuid=7027b57d-5c77-4b6d-b0d2-b9e9fd944c0e"]}],"mendeley":{"formattedCitation":"(Wang et al., 2006)","plainTextFormattedCitation":"(Wang et al., 2006)","previouslyFormattedCitation":"(Wang et al., 2006)"},"properties":{"noteIndex":0},"schema":"https://github.com/citation-style-language/schema/raw/master/csl-citation.json"}</w:instrText>
      </w:r>
      <w:r w:rsidR="00893158">
        <w:rPr>
          <w:lang w:val="en-GB"/>
        </w:rPr>
        <w:fldChar w:fldCharType="separate"/>
      </w:r>
      <w:r w:rsidR="002C5E73" w:rsidRPr="002C5E73">
        <w:rPr>
          <w:noProof/>
          <w:lang w:val="en-GB"/>
        </w:rPr>
        <w:t>(Wang et al., 2006)</w:t>
      </w:r>
      <w:r w:rsidR="00893158">
        <w:rPr>
          <w:lang w:val="en-GB"/>
        </w:rPr>
        <w:fldChar w:fldCharType="end"/>
      </w:r>
      <w:r w:rsidR="000C271A">
        <w:rPr>
          <w:lang w:val="en-GB"/>
        </w:rPr>
        <w:t xml:space="preserve">. </w:t>
      </w:r>
      <w:r w:rsidR="00613724" w:rsidRPr="00613724">
        <w:rPr>
          <w:lang w:val="en-GB"/>
        </w:rPr>
        <w:t xml:space="preserve">In broad terms, the OCSVM procedure typically employs a kernel function to </w:t>
      </w:r>
      <w:r w:rsidR="00613724" w:rsidRPr="00613724">
        <w:rPr>
          <w:lang w:val="en-GB"/>
        </w:rPr>
        <w:lastRenderedPageBreak/>
        <w:t>map input data points into a higher-dimensional feature space. The differentiation between normal and anomalous data becomes more distinct and manageable in this elevated feature space.</w:t>
      </w:r>
    </w:p>
    <w:p w14:paraId="71AFE303" w14:textId="16E784A8" w:rsidR="00A32402" w:rsidRDefault="00A32402" w:rsidP="005909BE">
      <w:pPr>
        <w:pStyle w:val="Els-2ndorder-head"/>
        <w:spacing w:after="120"/>
        <w:rPr>
          <w:lang w:val="en-GB"/>
        </w:rPr>
      </w:pPr>
      <w:r>
        <w:rPr>
          <w:lang w:val="en-GB"/>
        </w:rPr>
        <w:t>Sobol Sequence</w:t>
      </w:r>
    </w:p>
    <w:p w14:paraId="5A4B0DD1" w14:textId="3F74EF78" w:rsidR="00393012" w:rsidRDefault="0068419B" w:rsidP="005909BE">
      <w:pPr>
        <w:pStyle w:val="Els-body-text"/>
        <w:spacing w:after="120"/>
        <w:rPr>
          <w:lang w:val="en-GB"/>
        </w:rPr>
      </w:pPr>
      <w:r w:rsidRPr="0068419B">
        <w:rPr>
          <w:lang w:val="en-GB"/>
        </w:rPr>
        <w:t>The Sobol sequence is a type of quasi-random, low-discrepancy sequence frequently employed in Monte Carlo simulations for conducting sensitivity analyses. The objective of Monte Carlo simulations itself is to comprehensively explore the entire input space using a reasonably sized sample</w:t>
      </w:r>
      <w:r>
        <w:rPr>
          <w:lang w:val="en-GB"/>
        </w:rPr>
        <w:t xml:space="preserve"> </w:t>
      </w:r>
      <w:r>
        <w:rPr>
          <w:lang w:val="en-GB"/>
        </w:rPr>
        <w:fldChar w:fldCharType="begin" w:fldLock="1"/>
      </w:r>
      <w:r w:rsidR="00393012">
        <w:rPr>
          <w:lang w:val="en-GB"/>
        </w:rPr>
        <w:instrText>ADDIN CSL_CITATION {"citationItems":[{"id":"ITEM-1","itemData":{"author":[{"dropping-particle":"","family":"Burhenne","given":"Sebastian","non-dropping-particle":"","parse-names":false,"suffix":""},{"dropping-particle":"","family":"Jacob","given":"Dirk","non-dropping-particle":"","parse-names":false,"suffix":""},{"dropping-particle":"","family":"Henze","given":"Gregor P","non-dropping-particle":"","parse-names":false,"suffix":""},{"dropping-particle":"","family":"others","given":"","non-dropping-particle":"","parse-names":false,"suffix":""}],"container-title":"Proc. Int. Conf. Build. Simulat","id":"ITEM-1","issued":{"date-parts":[["2011"]]},"page":"1816-1823","title":"Sampling based on Sobol’sequences for Monte Carlo techniques applied to building simulations","type":"paper-conference"},"uris":["http://www.mendeley.com/documents/?uuid=7bd774c1-4294-4814-9a1a-1f7f65508d8b"]}],"mendeley":{"formattedCitation":"(Burhenne et al., 2011)","plainTextFormattedCitation":"(Burhenne et al., 2011)","previouslyFormattedCitation":"(Burhenne et al., 2011)"},"properties":{"noteIndex":0},"schema":"https://github.com/citation-style-language/schema/raw/master/csl-citation.json"}</w:instrText>
      </w:r>
      <w:r>
        <w:rPr>
          <w:lang w:val="en-GB"/>
        </w:rPr>
        <w:fldChar w:fldCharType="separate"/>
      </w:r>
      <w:r w:rsidRPr="0068419B">
        <w:rPr>
          <w:noProof/>
          <w:lang w:val="en-GB"/>
        </w:rPr>
        <w:t>(Burhenne et al., 2011)</w:t>
      </w:r>
      <w:r>
        <w:rPr>
          <w:lang w:val="en-GB"/>
        </w:rPr>
        <w:fldChar w:fldCharType="end"/>
      </w:r>
      <w:r>
        <w:rPr>
          <w:lang w:val="en-GB"/>
        </w:rPr>
        <w:t>.</w:t>
      </w:r>
    </w:p>
    <w:p w14:paraId="6BE55714" w14:textId="18CD6C34" w:rsidR="003C1E9D" w:rsidRPr="00980FC2" w:rsidRDefault="008D2649" w:rsidP="005909BE">
      <w:pPr>
        <w:pStyle w:val="Els-1storder-head"/>
        <w:spacing w:after="120"/>
        <w:rPr>
          <w:lang w:val="en-GB"/>
        </w:rPr>
      </w:pPr>
      <w:r w:rsidRPr="0033737B">
        <w:rPr>
          <w:lang w:val="en-GB"/>
        </w:rPr>
        <w:t>M</w:t>
      </w:r>
      <w:r w:rsidR="00C82A95">
        <w:rPr>
          <w:lang w:val="en-GB"/>
        </w:rPr>
        <w:t>ethodology</w:t>
      </w:r>
    </w:p>
    <w:p w14:paraId="56B890CA" w14:textId="72B11BC1" w:rsidR="003C1E9D" w:rsidRPr="007902CC" w:rsidRDefault="00606B54" w:rsidP="005909BE">
      <w:pPr>
        <w:pStyle w:val="Els-2ndorder-head"/>
        <w:spacing w:after="120"/>
        <w:rPr>
          <w:lang w:val="en-GB"/>
        </w:rPr>
      </w:pPr>
      <w:r>
        <w:rPr>
          <w:lang w:val="en-GB"/>
        </w:rPr>
        <w:t xml:space="preserve">Experiments on the Reactive Absorption Process </w:t>
      </w:r>
    </w:p>
    <w:p w14:paraId="423AB9E9" w14:textId="0F32B0B7" w:rsidR="001B4132" w:rsidRPr="00F73BD9" w:rsidRDefault="004266D1" w:rsidP="001B4132">
      <w:pPr>
        <w:pStyle w:val="Els-body-text"/>
        <w:spacing w:after="120"/>
        <w:rPr>
          <w:lang w:val="en-GB"/>
        </w:rPr>
      </w:pPr>
      <w:r w:rsidRPr="004266D1">
        <w:rPr>
          <w:lang w:val="en-GB"/>
        </w:rPr>
        <w:t xml:space="preserve">The real data is generated via experiments using </w:t>
      </w:r>
      <w:r w:rsidR="00606B54">
        <w:rPr>
          <w:lang w:val="en-GB"/>
        </w:rPr>
        <w:t>a</w:t>
      </w:r>
      <w:r w:rsidR="008E62BF">
        <w:rPr>
          <w:lang w:val="en-GB"/>
        </w:rPr>
        <w:t xml:space="preserve">n experimental </w:t>
      </w:r>
      <w:r w:rsidR="00224D1B">
        <w:rPr>
          <w:lang w:val="en-GB"/>
        </w:rPr>
        <w:t xml:space="preserve">reactive </w:t>
      </w:r>
      <w:r w:rsidRPr="004266D1">
        <w:rPr>
          <w:lang w:val="en-GB"/>
        </w:rPr>
        <w:t>absorption</w:t>
      </w:r>
      <w:r w:rsidR="00606B54">
        <w:rPr>
          <w:lang w:val="en-GB"/>
        </w:rPr>
        <w:t xml:space="preserve"> </w:t>
      </w:r>
      <w:r w:rsidRPr="004266D1">
        <w:rPr>
          <w:lang w:val="en-GB"/>
        </w:rPr>
        <w:t>process</w:t>
      </w:r>
      <w:r w:rsidR="00224D1B">
        <w:rPr>
          <w:lang w:val="en-GB"/>
        </w:rPr>
        <w:t xml:space="preserve"> for </w:t>
      </w:r>
      <w:r w:rsidR="00224D1B" w:rsidRPr="004266D1">
        <w:rPr>
          <w:lang w:val="en-GB"/>
        </w:rPr>
        <w:t>CO</w:t>
      </w:r>
      <w:r w:rsidR="00224D1B" w:rsidRPr="00FC7BCB">
        <w:rPr>
          <w:vertAlign w:val="subscript"/>
          <w:lang w:val="en-GB"/>
        </w:rPr>
        <w:t>2</w:t>
      </w:r>
      <w:r w:rsidRPr="004266D1">
        <w:rPr>
          <w:lang w:val="en-GB"/>
        </w:rPr>
        <w:t xml:space="preserve">. The normal samples are compiled from many </w:t>
      </w:r>
      <w:r w:rsidR="00ED40BC">
        <w:rPr>
          <w:lang w:val="en-GB"/>
        </w:rPr>
        <w:t>runs</w:t>
      </w:r>
      <w:r w:rsidR="008E62BF">
        <w:rPr>
          <w:lang w:val="en-GB"/>
        </w:rPr>
        <w:t xml:space="preserve"> with variations within a specific operating </w:t>
      </w:r>
      <w:r w:rsidR="00224D1B">
        <w:rPr>
          <w:lang w:val="en-GB"/>
        </w:rPr>
        <w:t>protocol</w:t>
      </w:r>
      <w:r w:rsidRPr="004266D1">
        <w:rPr>
          <w:lang w:val="en-GB"/>
        </w:rPr>
        <w:t xml:space="preserve">. Faulty conditions are generated by (1) </w:t>
      </w:r>
      <w:r w:rsidR="00224D1B">
        <w:rPr>
          <w:lang w:val="en-GB"/>
        </w:rPr>
        <w:t xml:space="preserve">substantially </w:t>
      </w:r>
      <w:r w:rsidRPr="004266D1">
        <w:rPr>
          <w:lang w:val="en-GB"/>
        </w:rPr>
        <w:t>increasing the CO</w:t>
      </w:r>
      <w:r w:rsidR="00FC7BCB" w:rsidRPr="00FC7BCB">
        <w:rPr>
          <w:vertAlign w:val="subscript"/>
          <w:lang w:val="en-GB"/>
        </w:rPr>
        <w:t>2</w:t>
      </w:r>
      <w:r w:rsidRPr="004266D1">
        <w:rPr>
          <w:lang w:val="en-GB"/>
        </w:rPr>
        <w:t xml:space="preserve"> flow rate and decreasing the air flow rate, (2) </w:t>
      </w:r>
      <w:r w:rsidR="00224D1B">
        <w:rPr>
          <w:lang w:val="en-GB"/>
        </w:rPr>
        <w:t xml:space="preserve">External cooling of </w:t>
      </w:r>
      <w:r w:rsidRPr="004266D1">
        <w:rPr>
          <w:lang w:val="en-GB"/>
        </w:rPr>
        <w:t xml:space="preserve">the feed gas inlet of the </w:t>
      </w:r>
      <w:r w:rsidR="008B3500">
        <w:rPr>
          <w:lang w:val="en-GB"/>
        </w:rPr>
        <w:t>absorber</w:t>
      </w:r>
      <w:r w:rsidRPr="004266D1">
        <w:rPr>
          <w:lang w:val="en-GB"/>
        </w:rPr>
        <w:t xml:space="preserve"> column, (3) </w:t>
      </w:r>
      <w:r w:rsidR="00224D1B">
        <w:rPr>
          <w:lang w:val="en-GB"/>
        </w:rPr>
        <w:t>Induced</w:t>
      </w:r>
      <w:r w:rsidRPr="004266D1">
        <w:rPr>
          <w:lang w:val="en-GB"/>
        </w:rPr>
        <w:t xml:space="preserve"> failure</w:t>
      </w:r>
      <w:r w:rsidR="00224D1B">
        <w:rPr>
          <w:lang w:val="en-GB"/>
        </w:rPr>
        <w:t>s</w:t>
      </w:r>
      <w:r w:rsidRPr="004266D1">
        <w:rPr>
          <w:lang w:val="en-GB"/>
        </w:rPr>
        <w:t xml:space="preserve"> of the column outlet pump, causing flooding to occur within the column. </w:t>
      </w:r>
      <w:r w:rsidR="004F749C">
        <w:rPr>
          <w:lang w:val="en-GB"/>
        </w:rPr>
        <w:t>Additionally</w:t>
      </w:r>
      <w:r w:rsidRPr="004266D1">
        <w:rPr>
          <w:lang w:val="en-GB"/>
        </w:rPr>
        <w:t>, occasional sensor failures cause faults to occur</w:t>
      </w:r>
      <w:r w:rsidR="00224D1B">
        <w:rPr>
          <w:lang w:val="en-GB"/>
        </w:rPr>
        <w:t xml:space="preserve"> within </w:t>
      </w:r>
      <w:r w:rsidR="00E04E26">
        <w:rPr>
          <w:lang w:val="en-GB"/>
        </w:rPr>
        <w:t xml:space="preserve">the </w:t>
      </w:r>
      <w:r w:rsidR="00224D1B">
        <w:rPr>
          <w:lang w:val="en-GB"/>
        </w:rPr>
        <w:t>normal operation</w:t>
      </w:r>
      <w:r w:rsidR="00E04E26">
        <w:rPr>
          <w:lang w:val="en-GB"/>
        </w:rPr>
        <w:t xml:space="preserve"> protocol</w:t>
      </w:r>
      <w:r w:rsidR="00224D1B">
        <w:rPr>
          <w:lang w:val="en-GB"/>
        </w:rPr>
        <w:t xml:space="preserve"> as well</w:t>
      </w:r>
      <w:r>
        <w:rPr>
          <w:lang w:val="en-GB"/>
        </w:rPr>
        <w:t>.</w:t>
      </w:r>
    </w:p>
    <w:p w14:paraId="61FB0672" w14:textId="77777777" w:rsidR="001B4132" w:rsidRPr="00C62CB8" w:rsidRDefault="001B4132" w:rsidP="001B4132">
      <w:pPr>
        <w:pStyle w:val="Els-2ndorder-head"/>
        <w:spacing w:after="120"/>
        <w:rPr>
          <w:lang w:val="en-GB"/>
        </w:rPr>
      </w:pPr>
      <w:r>
        <w:rPr>
          <w:lang w:val="en-GB"/>
        </w:rPr>
        <w:t>Absorption Rig Model</w:t>
      </w:r>
    </w:p>
    <w:p w14:paraId="1B5C627B" w14:textId="45741CB8" w:rsidR="001B4132" w:rsidRPr="008666BB" w:rsidRDefault="001B4132" w:rsidP="005909BE">
      <w:pPr>
        <w:pStyle w:val="Els-body-text"/>
        <w:spacing w:after="120"/>
        <w:rPr>
          <w:b/>
          <w:bCs/>
          <w:lang w:val="en-GB"/>
        </w:rPr>
      </w:pPr>
      <w:r w:rsidRPr="00BA0C5A">
        <w:rPr>
          <w:lang w:val="en-GB"/>
        </w:rPr>
        <w:t>The process is modelled using Aspen Plus</w:t>
      </w:r>
      <w:r>
        <w:rPr>
          <w:lang w:val="en-GB"/>
        </w:rPr>
        <w:t xml:space="preserve"> V11</w:t>
      </w:r>
      <w:r w:rsidRPr="00BA0C5A">
        <w:rPr>
          <w:lang w:val="en-GB"/>
        </w:rPr>
        <w:t xml:space="preserve">. The input variables used are based on the </w:t>
      </w:r>
      <w:r w:rsidR="002B4564">
        <w:rPr>
          <w:lang w:val="en-GB"/>
        </w:rPr>
        <w:t>controllable</w:t>
      </w:r>
      <w:r w:rsidRPr="00BA0C5A">
        <w:rPr>
          <w:lang w:val="en-GB"/>
        </w:rPr>
        <w:t xml:space="preserve"> value</w:t>
      </w:r>
      <w:r w:rsidR="002B4564">
        <w:rPr>
          <w:lang w:val="en-GB"/>
        </w:rPr>
        <w:t>s</w:t>
      </w:r>
      <w:r w:rsidRPr="00BA0C5A">
        <w:rPr>
          <w:lang w:val="en-GB"/>
        </w:rPr>
        <w:t xml:space="preserve"> of the process. The specifications of the absorption column are based on the equipment's design data to replicate the design stage's fidelity. The heat exchangers are modelled by specifying a constant heat flow to replicate the effect of instantaneous fluctuations in flow rate. The schematic of the model is illustrated in</w:t>
      </w:r>
      <w:r>
        <w:rPr>
          <w:lang w:val="en-GB"/>
        </w:rPr>
        <w:t xml:space="preserve"> Figure </w:t>
      </w:r>
      <w:r w:rsidR="00AB00BE">
        <w:rPr>
          <w:lang w:val="en-GB"/>
        </w:rPr>
        <w:t>1</w:t>
      </w:r>
      <w:r>
        <w:rPr>
          <w:b/>
          <w:bCs/>
          <w:lang w:val="en-GB"/>
        </w:rPr>
        <w:t>.</w:t>
      </w:r>
    </w:p>
    <w:p w14:paraId="2D530902" w14:textId="19861332" w:rsidR="00BA0C5A" w:rsidRDefault="00082F08" w:rsidP="005909BE">
      <w:pPr>
        <w:pStyle w:val="Els-body-text"/>
        <w:spacing w:after="120"/>
        <w:rPr>
          <w:lang w:val="en-GB"/>
        </w:rPr>
      </w:pPr>
      <w:r>
        <w:rPr>
          <w:noProof/>
          <w:lang w:val="en-GB"/>
        </w:rPr>
        <w:drawing>
          <wp:inline distT="0" distB="0" distL="0" distR="0" wp14:anchorId="479B17E4" wp14:editId="715C20CB">
            <wp:extent cx="4488180" cy="1684020"/>
            <wp:effectExtent l="0" t="0" r="7620" b="0"/>
            <wp:docPr id="1266898912" name="Picture 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98912" name="Picture 2" descr="A diagram of a machine&#10;&#10;Description automatically generated"/>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4488180" cy="1684020"/>
                    </a:xfrm>
                    <a:prstGeom prst="rect">
                      <a:avLst/>
                    </a:prstGeom>
                    <a:noFill/>
                    <a:ln>
                      <a:noFill/>
                    </a:ln>
                  </pic:spPr>
                </pic:pic>
              </a:graphicData>
            </a:graphic>
          </wp:inline>
        </w:drawing>
      </w:r>
    </w:p>
    <w:p w14:paraId="17DA0DDD" w14:textId="09BDF34E" w:rsidR="004A3F4F" w:rsidRPr="003228FC" w:rsidRDefault="00F73BD9" w:rsidP="008666BB">
      <w:pPr>
        <w:pStyle w:val="Els-body-text"/>
        <w:spacing w:after="120"/>
        <w:jc w:val="center"/>
        <w:rPr>
          <w:sz w:val="18"/>
          <w:szCs w:val="18"/>
          <w:lang w:val="en-GB"/>
        </w:rPr>
      </w:pPr>
      <w:r w:rsidRPr="003228FC">
        <w:rPr>
          <w:sz w:val="18"/>
          <w:szCs w:val="18"/>
          <w:lang w:val="en-GB"/>
        </w:rPr>
        <w:t xml:space="preserve">Figure </w:t>
      </w:r>
      <w:r w:rsidR="00AB00BE" w:rsidRPr="003228FC">
        <w:rPr>
          <w:sz w:val="18"/>
          <w:szCs w:val="18"/>
          <w:lang w:val="en-GB"/>
        </w:rPr>
        <w:t>1</w:t>
      </w:r>
      <w:r w:rsidRPr="003228FC">
        <w:rPr>
          <w:sz w:val="18"/>
          <w:szCs w:val="18"/>
          <w:lang w:val="en-GB"/>
        </w:rPr>
        <w:t>. A</w:t>
      </w:r>
      <w:r w:rsidR="0035392D" w:rsidRPr="003228FC">
        <w:rPr>
          <w:sz w:val="18"/>
          <w:szCs w:val="18"/>
          <w:lang w:val="en-GB"/>
        </w:rPr>
        <w:t>spen Plus model schematic</w:t>
      </w:r>
    </w:p>
    <w:p w14:paraId="105EB116" w14:textId="00D577F2" w:rsidR="00BA0C5A" w:rsidRPr="00980FC2" w:rsidRDefault="004756D0" w:rsidP="005909BE">
      <w:pPr>
        <w:pStyle w:val="Els-2ndorder-head"/>
        <w:spacing w:after="120"/>
        <w:rPr>
          <w:lang w:val="en-GB"/>
        </w:rPr>
      </w:pPr>
      <w:r>
        <w:rPr>
          <w:lang w:val="en-GB"/>
        </w:rPr>
        <w:t>Synthetic</w:t>
      </w:r>
      <w:r w:rsidR="007316C2">
        <w:rPr>
          <w:lang w:val="en-GB"/>
        </w:rPr>
        <w:t xml:space="preserve"> Data Generation</w:t>
      </w:r>
    </w:p>
    <w:p w14:paraId="0A25858E" w14:textId="5BB244E2" w:rsidR="00980FC2" w:rsidRDefault="0007608D" w:rsidP="00B43102">
      <w:pPr>
        <w:pStyle w:val="Els-body-text"/>
        <w:spacing w:after="120"/>
        <w:rPr>
          <w:lang w:val="en-GB"/>
        </w:rPr>
      </w:pPr>
      <w:r w:rsidRPr="0007608D">
        <w:rPr>
          <w:lang w:val="en-GB"/>
        </w:rPr>
        <w:t xml:space="preserve">Based on the available measurements, eight variables are chosen as listed in </w:t>
      </w:r>
      <w:r w:rsidR="00980FC2">
        <w:rPr>
          <w:lang w:val="en-GB"/>
        </w:rPr>
        <w:t>T</w:t>
      </w:r>
      <w:r w:rsidRPr="00980FC2">
        <w:rPr>
          <w:lang w:val="en-GB"/>
        </w:rPr>
        <w:t>able</w:t>
      </w:r>
      <w:r w:rsidR="00980FC2">
        <w:rPr>
          <w:lang w:val="en-GB"/>
        </w:rPr>
        <w:t xml:space="preserve"> </w:t>
      </w:r>
      <w:r w:rsidR="00AB00BE">
        <w:rPr>
          <w:lang w:val="en-GB"/>
        </w:rPr>
        <w:t>1</w:t>
      </w:r>
      <w:r>
        <w:rPr>
          <w:lang w:val="en-GB"/>
        </w:rPr>
        <w:t>.</w:t>
      </w:r>
      <w:r w:rsidRPr="0007608D">
        <w:rPr>
          <w:lang w:val="en-GB"/>
        </w:rPr>
        <w:t xml:space="preserve"> Measurements 1-5 are input variables, whereas 6-8 are the output variables within the Aspen Plus model. As such, five variables must be varied for the </w:t>
      </w:r>
      <w:r w:rsidR="004756D0">
        <w:rPr>
          <w:lang w:val="en-GB"/>
        </w:rPr>
        <w:t>synthetic</w:t>
      </w:r>
      <w:r w:rsidRPr="0007608D">
        <w:rPr>
          <w:lang w:val="en-GB"/>
        </w:rPr>
        <w:t xml:space="preserve"> data generation. Using the Sobol sequence, 2048 data points are generated with the lower and upper bounds specified according to a 95</w:t>
      </w:r>
      <w:r w:rsidR="00082F08">
        <w:rPr>
          <w:lang w:val="en-GB"/>
        </w:rPr>
        <w:t>%</w:t>
      </w:r>
      <w:r w:rsidRPr="0007608D">
        <w:rPr>
          <w:lang w:val="en-GB"/>
        </w:rPr>
        <w:t xml:space="preserve"> confidence interval of the actual measurements.</w:t>
      </w:r>
    </w:p>
    <w:p w14:paraId="61098018" w14:textId="77777777" w:rsidR="00224D1B" w:rsidRPr="00B43102" w:rsidRDefault="00224D1B" w:rsidP="00B43102">
      <w:pPr>
        <w:pStyle w:val="Els-body-text"/>
        <w:spacing w:after="120"/>
        <w:rPr>
          <w:lang w:val="en-GB"/>
        </w:rPr>
      </w:pPr>
    </w:p>
    <w:p w14:paraId="324AE407" w14:textId="44840B6F" w:rsidR="00CC1BD2" w:rsidRDefault="00A41D41" w:rsidP="00224D1B">
      <w:pPr>
        <w:pStyle w:val="Els-body-text"/>
        <w:tabs>
          <w:tab w:val="left" w:pos="851"/>
        </w:tabs>
        <w:spacing w:after="120"/>
        <w:jc w:val="center"/>
        <w:rPr>
          <w:lang w:val="en-GB"/>
        </w:rPr>
      </w:pPr>
      <w:r>
        <w:rPr>
          <w:lang w:val="en-GB"/>
        </w:rPr>
        <w:lastRenderedPageBreak/>
        <w:t>Table 1.</w:t>
      </w:r>
      <w:r w:rsidR="00764DCA">
        <w:rPr>
          <w:lang w:val="en-GB"/>
        </w:rPr>
        <w:t xml:space="preserve"> Chosen measurements.</w:t>
      </w:r>
    </w:p>
    <w:tbl>
      <w:tblPr>
        <w:tblStyle w:val="TableGrid"/>
        <w:tblW w:w="0" w:type="auto"/>
        <w:jc w:val="center"/>
        <w:tblLook w:val="04A0" w:firstRow="1" w:lastRow="0" w:firstColumn="1" w:lastColumn="0" w:noHBand="0" w:noVBand="1"/>
      </w:tblPr>
      <w:tblGrid>
        <w:gridCol w:w="511"/>
        <w:gridCol w:w="1272"/>
        <w:gridCol w:w="1238"/>
        <w:gridCol w:w="2327"/>
      </w:tblGrid>
      <w:tr w:rsidR="00CD61AC" w:rsidRPr="00CD61AC" w14:paraId="4E2F37D1" w14:textId="77777777" w:rsidTr="00012D5B">
        <w:trPr>
          <w:trHeight w:val="113"/>
          <w:jc w:val="center"/>
        </w:trPr>
        <w:tc>
          <w:tcPr>
            <w:tcW w:w="0" w:type="auto"/>
            <w:hideMark/>
          </w:tcPr>
          <w:p w14:paraId="31186267" w14:textId="77777777" w:rsidR="00CD61AC" w:rsidRPr="00CD61AC" w:rsidRDefault="00CD61AC" w:rsidP="00012D5B">
            <w:pPr>
              <w:rPr>
                <w:b/>
                <w:bCs/>
                <w:lang w:val="en-US" w:eastAsia="ja-JP"/>
              </w:rPr>
            </w:pPr>
            <w:r w:rsidRPr="00CD61AC">
              <w:rPr>
                <w:b/>
                <w:bCs/>
                <w:lang w:val="en-US" w:eastAsia="ja-JP"/>
              </w:rPr>
              <w:t>No.</w:t>
            </w:r>
          </w:p>
        </w:tc>
        <w:tc>
          <w:tcPr>
            <w:tcW w:w="0" w:type="auto"/>
            <w:hideMark/>
          </w:tcPr>
          <w:p w14:paraId="0F83DBD8" w14:textId="77777777" w:rsidR="00CD61AC" w:rsidRPr="00CD61AC" w:rsidRDefault="00CD61AC" w:rsidP="00012D5B">
            <w:pPr>
              <w:rPr>
                <w:b/>
                <w:bCs/>
                <w:lang w:val="en-US" w:eastAsia="ja-JP"/>
              </w:rPr>
            </w:pPr>
            <w:r w:rsidRPr="00CD61AC">
              <w:rPr>
                <w:b/>
                <w:bCs/>
                <w:lang w:val="en-US" w:eastAsia="ja-JP"/>
              </w:rPr>
              <w:t>Stream/Unit</w:t>
            </w:r>
          </w:p>
        </w:tc>
        <w:tc>
          <w:tcPr>
            <w:tcW w:w="0" w:type="auto"/>
            <w:hideMark/>
          </w:tcPr>
          <w:p w14:paraId="50959973" w14:textId="77777777" w:rsidR="00CD61AC" w:rsidRPr="00CD61AC" w:rsidRDefault="00CD61AC" w:rsidP="00012D5B">
            <w:pPr>
              <w:jc w:val="center"/>
              <w:rPr>
                <w:b/>
                <w:bCs/>
                <w:lang w:val="en-US" w:eastAsia="ja-JP"/>
              </w:rPr>
            </w:pPr>
            <w:r w:rsidRPr="00CD61AC">
              <w:rPr>
                <w:b/>
                <w:bCs/>
                <w:lang w:val="en-US" w:eastAsia="ja-JP"/>
              </w:rPr>
              <w:t>Variable</w:t>
            </w:r>
          </w:p>
        </w:tc>
        <w:tc>
          <w:tcPr>
            <w:tcW w:w="0" w:type="auto"/>
            <w:hideMark/>
          </w:tcPr>
          <w:p w14:paraId="162CC285" w14:textId="77777777" w:rsidR="00CD61AC" w:rsidRPr="00CD61AC" w:rsidRDefault="00CD61AC" w:rsidP="00012D5B">
            <w:pPr>
              <w:jc w:val="center"/>
              <w:rPr>
                <w:b/>
                <w:bCs/>
                <w:lang w:val="en-US" w:eastAsia="ja-JP"/>
              </w:rPr>
            </w:pPr>
            <w:r w:rsidRPr="00CD61AC">
              <w:rPr>
                <w:b/>
                <w:bCs/>
                <w:lang w:val="en-US" w:eastAsia="ja-JP"/>
              </w:rPr>
              <w:t>Description</w:t>
            </w:r>
          </w:p>
        </w:tc>
      </w:tr>
      <w:tr w:rsidR="00CD61AC" w:rsidRPr="00CD61AC" w14:paraId="0BC182F3" w14:textId="77777777" w:rsidTr="00012D5B">
        <w:trPr>
          <w:trHeight w:val="113"/>
          <w:jc w:val="center"/>
        </w:trPr>
        <w:tc>
          <w:tcPr>
            <w:tcW w:w="0" w:type="auto"/>
            <w:hideMark/>
          </w:tcPr>
          <w:p w14:paraId="047D1C0E" w14:textId="77777777" w:rsidR="00CD61AC" w:rsidRPr="00CD61AC" w:rsidRDefault="00CD61AC" w:rsidP="00012D5B">
            <w:pPr>
              <w:rPr>
                <w:lang w:val="en-US" w:eastAsia="ja-JP"/>
              </w:rPr>
            </w:pPr>
            <w:r w:rsidRPr="00CD61AC">
              <w:rPr>
                <w:lang w:val="en-US" w:eastAsia="ja-JP"/>
              </w:rPr>
              <w:t>1</w:t>
            </w:r>
          </w:p>
        </w:tc>
        <w:tc>
          <w:tcPr>
            <w:tcW w:w="0" w:type="auto"/>
            <w:hideMark/>
          </w:tcPr>
          <w:p w14:paraId="4EA9F15E" w14:textId="77777777" w:rsidR="00CD61AC" w:rsidRPr="00CD61AC" w:rsidRDefault="00CD61AC" w:rsidP="00012D5B">
            <w:pPr>
              <w:rPr>
                <w:lang w:val="en-US" w:eastAsia="ja-JP"/>
              </w:rPr>
            </w:pPr>
            <w:r w:rsidRPr="00CD61AC">
              <w:rPr>
                <w:lang w:val="en-US" w:eastAsia="ja-JP"/>
              </w:rPr>
              <w:t>WATER-IN</w:t>
            </w:r>
          </w:p>
        </w:tc>
        <w:tc>
          <w:tcPr>
            <w:tcW w:w="0" w:type="auto"/>
            <w:hideMark/>
          </w:tcPr>
          <w:p w14:paraId="689D8A66" w14:textId="77777777" w:rsidR="00CD61AC" w:rsidRPr="00CD61AC" w:rsidRDefault="00CD61AC" w:rsidP="00012D5B">
            <w:pPr>
              <w:rPr>
                <w:lang w:val="en-US" w:eastAsia="ja-JP"/>
              </w:rPr>
            </w:pPr>
            <w:r w:rsidRPr="00CD61AC">
              <w:rPr>
                <w:lang w:val="en-US" w:eastAsia="ja-JP"/>
              </w:rPr>
              <w:t>Temperature</w:t>
            </w:r>
          </w:p>
        </w:tc>
        <w:tc>
          <w:tcPr>
            <w:tcW w:w="0" w:type="auto"/>
            <w:hideMark/>
          </w:tcPr>
          <w:p w14:paraId="7ED3506E" w14:textId="77777777" w:rsidR="00CD61AC" w:rsidRPr="00CD61AC" w:rsidRDefault="00CD61AC" w:rsidP="00012D5B">
            <w:pPr>
              <w:rPr>
                <w:lang w:val="en-US" w:eastAsia="ja-JP"/>
              </w:rPr>
            </w:pPr>
            <w:r w:rsidRPr="00CD61AC">
              <w:rPr>
                <w:lang w:val="en-US" w:eastAsia="ja-JP"/>
              </w:rPr>
              <w:t>Process water temperature</w:t>
            </w:r>
          </w:p>
        </w:tc>
      </w:tr>
      <w:tr w:rsidR="00CD61AC" w:rsidRPr="00CD61AC" w14:paraId="07E36A66" w14:textId="77777777" w:rsidTr="00012D5B">
        <w:trPr>
          <w:trHeight w:val="113"/>
          <w:jc w:val="center"/>
        </w:trPr>
        <w:tc>
          <w:tcPr>
            <w:tcW w:w="0" w:type="auto"/>
            <w:hideMark/>
          </w:tcPr>
          <w:p w14:paraId="19C968D7" w14:textId="77777777" w:rsidR="00CD61AC" w:rsidRPr="00CD61AC" w:rsidRDefault="00CD61AC" w:rsidP="00012D5B">
            <w:pPr>
              <w:rPr>
                <w:lang w:val="en-US" w:eastAsia="ja-JP"/>
              </w:rPr>
            </w:pPr>
            <w:r w:rsidRPr="00CD61AC">
              <w:rPr>
                <w:lang w:val="en-US" w:eastAsia="ja-JP"/>
              </w:rPr>
              <w:t>2</w:t>
            </w:r>
          </w:p>
        </w:tc>
        <w:tc>
          <w:tcPr>
            <w:tcW w:w="0" w:type="auto"/>
            <w:hideMark/>
          </w:tcPr>
          <w:p w14:paraId="5EC7BB4C" w14:textId="77777777" w:rsidR="00CD61AC" w:rsidRPr="00CD61AC" w:rsidRDefault="00CD61AC" w:rsidP="00012D5B">
            <w:pPr>
              <w:rPr>
                <w:lang w:val="en-US" w:eastAsia="ja-JP"/>
              </w:rPr>
            </w:pPr>
            <w:r w:rsidRPr="00CD61AC">
              <w:rPr>
                <w:lang w:val="en-US" w:eastAsia="ja-JP"/>
              </w:rPr>
              <w:t>CO2</w:t>
            </w:r>
          </w:p>
        </w:tc>
        <w:tc>
          <w:tcPr>
            <w:tcW w:w="0" w:type="auto"/>
            <w:hideMark/>
          </w:tcPr>
          <w:p w14:paraId="2F693F7B" w14:textId="77777777" w:rsidR="00CD61AC" w:rsidRPr="00CD61AC" w:rsidRDefault="00CD61AC" w:rsidP="00012D5B">
            <w:pPr>
              <w:rPr>
                <w:lang w:val="en-US" w:eastAsia="ja-JP"/>
              </w:rPr>
            </w:pPr>
            <w:r w:rsidRPr="00CD61AC">
              <w:rPr>
                <w:lang w:val="en-US" w:eastAsia="ja-JP"/>
              </w:rPr>
              <w:t>Flow rate</w:t>
            </w:r>
          </w:p>
        </w:tc>
        <w:tc>
          <w:tcPr>
            <w:tcW w:w="0" w:type="auto"/>
            <w:hideMark/>
          </w:tcPr>
          <w:p w14:paraId="73B52899" w14:textId="77777777" w:rsidR="00CD61AC" w:rsidRPr="00CD61AC" w:rsidRDefault="00CD61AC" w:rsidP="00012D5B">
            <w:pPr>
              <w:rPr>
                <w:lang w:val="en-US" w:eastAsia="ja-JP"/>
              </w:rPr>
            </w:pPr>
            <w:r w:rsidRPr="00CD61AC">
              <w:rPr>
                <w:lang w:val="en-US" w:eastAsia="ja-JP"/>
              </w:rPr>
              <w:t>CO2 flow rate</w:t>
            </w:r>
          </w:p>
        </w:tc>
      </w:tr>
      <w:tr w:rsidR="00CD61AC" w:rsidRPr="00CD61AC" w14:paraId="56F6B9AD" w14:textId="77777777" w:rsidTr="00012D5B">
        <w:trPr>
          <w:trHeight w:val="113"/>
          <w:jc w:val="center"/>
        </w:trPr>
        <w:tc>
          <w:tcPr>
            <w:tcW w:w="0" w:type="auto"/>
            <w:hideMark/>
          </w:tcPr>
          <w:p w14:paraId="3A75856D" w14:textId="77777777" w:rsidR="00CD61AC" w:rsidRPr="00CD61AC" w:rsidRDefault="00CD61AC" w:rsidP="00012D5B">
            <w:pPr>
              <w:rPr>
                <w:lang w:val="en-US" w:eastAsia="ja-JP"/>
              </w:rPr>
            </w:pPr>
            <w:r w:rsidRPr="00CD61AC">
              <w:rPr>
                <w:lang w:val="en-US" w:eastAsia="ja-JP"/>
              </w:rPr>
              <w:t>3</w:t>
            </w:r>
          </w:p>
        </w:tc>
        <w:tc>
          <w:tcPr>
            <w:tcW w:w="0" w:type="auto"/>
            <w:hideMark/>
          </w:tcPr>
          <w:p w14:paraId="498C6D2E" w14:textId="77777777" w:rsidR="00CD61AC" w:rsidRPr="00CD61AC" w:rsidRDefault="00CD61AC" w:rsidP="00012D5B">
            <w:pPr>
              <w:rPr>
                <w:lang w:val="en-US" w:eastAsia="ja-JP"/>
              </w:rPr>
            </w:pPr>
            <w:r w:rsidRPr="00CD61AC">
              <w:rPr>
                <w:lang w:val="en-US" w:eastAsia="ja-JP"/>
              </w:rPr>
              <w:t>AIR</w:t>
            </w:r>
          </w:p>
        </w:tc>
        <w:tc>
          <w:tcPr>
            <w:tcW w:w="0" w:type="auto"/>
            <w:hideMark/>
          </w:tcPr>
          <w:p w14:paraId="2B455B99" w14:textId="77777777" w:rsidR="00CD61AC" w:rsidRPr="00CD61AC" w:rsidRDefault="00CD61AC" w:rsidP="00012D5B">
            <w:pPr>
              <w:rPr>
                <w:lang w:val="en-US" w:eastAsia="ja-JP"/>
              </w:rPr>
            </w:pPr>
            <w:r w:rsidRPr="00CD61AC">
              <w:rPr>
                <w:lang w:val="en-US" w:eastAsia="ja-JP"/>
              </w:rPr>
              <w:t>Flow rate</w:t>
            </w:r>
          </w:p>
        </w:tc>
        <w:tc>
          <w:tcPr>
            <w:tcW w:w="0" w:type="auto"/>
            <w:hideMark/>
          </w:tcPr>
          <w:p w14:paraId="1ED7C6EA" w14:textId="77777777" w:rsidR="00CD61AC" w:rsidRPr="00CD61AC" w:rsidRDefault="00CD61AC" w:rsidP="00012D5B">
            <w:pPr>
              <w:rPr>
                <w:lang w:val="en-US" w:eastAsia="ja-JP"/>
              </w:rPr>
            </w:pPr>
            <w:r w:rsidRPr="00CD61AC">
              <w:rPr>
                <w:lang w:val="en-US" w:eastAsia="ja-JP"/>
              </w:rPr>
              <w:t>Air flow rate</w:t>
            </w:r>
          </w:p>
        </w:tc>
      </w:tr>
      <w:tr w:rsidR="00CD61AC" w:rsidRPr="00CD61AC" w14:paraId="7D7358E4" w14:textId="77777777" w:rsidTr="00012D5B">
        <w:trPr>
          <w:trHeight w:val="113"/>
          <w:jc w:val="center"/>
        </w:trPr>
        <w:tc>
          <w:tcPr>
            <w:tcW w:w="0" w:type="auto"/>
            <w:hideMark/>
          </w:tcPr>
          <w:p w14:paraId="523E044D" w14:textId="77777777" w:rsidR="00CD61AC" w:rsidRPr="00CD61AC" w:rsidRDefault="00CD61AC" w:rsidP="00012D5B">
            <w:pPr>
              <w:rPr>
                <w:lang w:val="en-US" w:eastAsia="ja-JP"/>
              </w:rPr>
            </w:pPr>
            <w:r w:rsidRPr="00CD61AC">
              <w:rPr>
                <w:lang w:val="en-US" w:eastAsia="ja-JP"/>
              </w:rPr>
              <w:t>4</w:t>
            </w:r>
          </w:p>
        </w:tc>
        <w:tc>
          <w:tcPr>
            <w:tcW w:w="0" w:type="auto"/>
            <w:hideMark/>
          </w:tcPr>
          <w:p w14:paraId="3037F1BD" w14:textId="77777777" w:rsidR="00CD61AC" w:rsidRPr="00CD61AC" w:rsidRDefault="00CD61AC" w:rsidP="00012D5B">
            <w:pPr>
              <w:rPr>
                <w:lang w:val="en-US" w:eastAsia="ja-JP"/>
              </w:rPr>
            </w:pPr>
            <w:r w:rsidRPr="00CD61AC">
              <w:rPr>
                <w:lang w:val="en-US" w:eastAsia="ja-JP"/>
              </w:rPr>
              <w:t>GAS-COLD</w:t>
            </w:r>
          </w:p>
        </w:tc>
        <w:tc>
          <w:tcPr>
            <w:tcW w:w="0" w:type="auto"/>
            <w:hideMark/>
          </w:tcPr>
          <w:p w14:paraId="6D41AB7C" w14:textId="77777777" w:rsidR="00CD61AC" w:rsidRPr="00CD61AC" w:rsidRDefault="00CD61AC" w:rsidP="00012D5B">
            <w:pPr>
              <w:rPr>
                <w:lang w:val="en-US" w:eastAsia="ja-JP"/>
              </w:rPr>
            </w:pPr>
            <w:r w:rsidRPr="00CD61AC">
              <w:rPr>
                <w:lang w:val="en-US" w:eastAsia="ja-JP"/>
              </w:rPr>
              <w:t>Pressure</w:t>
            </w:r>
          </w:p>
        </w:tc>
        <w:tc>
          <w:tcPr>
            <w:tcW w:w="0" w:type="auto"/>
            <w:hideMark/>
          </w:tcPr>
          <w:p w14:paraId="0B5CAD5C" w14:textId="77777777" w:rsidR="00CD61AC" w:rsidRPr="00CD61AC" w:rsidRDefault="00CD61AC" w:rsidP="00012D5B">
            <w:pPr>
              <w:rPr>
                <w:lang w:val="en-US" w:eastAsia="ja-JP"/>
              </w:rPr>
            </w:pPr>
            <w:r w:rsidRPr="00CD61AC">
              <w:rPr>
                <w:lang w:val="en-US" w:eastAsia="ja-JP"/>
              </w:rPr>
              <w:t>Feed gas pressure</w:t>
            </w:r>
          </w:p>
        </w:tc>
      </w:tr>
      <w:tr w:rsidR="00CD61AC" w:rsidRPr="00CD61AC" w14:paraId="531E77AC" w14:textId="77777777" w:rsidTr="00012D5B">
        <w:trPr>
          <w:trHeight w:val="113"/>
          <w:jc w:val="center"/>
        </w:trPr>
        <w:tc>
          <w:tcPr>
            <w:tcW w:w="0" w:type="auto"/>
            <w:hideMark/>
          </w:tcPr>
          <w:p w14:paraId="4D26250E" w14:textId="77777777" w:rsidR="00CD61AC" w:rsidRPr="00CD61AC" w:rsidRDefault="00CD61AC" w:rsidP="00012D5B">
            <w:pPr>
              <w:rPr>
                <w:lang w:val="en-US" w:eastAsia="ja-JP"/>
              </w:rPr>
            </w:pPr>
            <w:r w:rsidRPr="00CD61AC">
              <w:rPr>
                <w:lang w:val="en-US" w:eastAsia="ja-JP"/>
              </w:rPr>
              <w:t>5</w:t>
            </w:r>
          </w:p>
        </w:tc>
        <w:tc>
          <w:tcPr>
            <w:tcW w:w="0" w:type="auto"/>
            <w:hideMark/>
          </w:tcPr>
          <w:p w14:paraId="4B68583C" w14:textId="77777777" w:rsidR="00CD61AC" w:rsidRPr="00CD61AC" w:rsidRDefault="00CD61AC" w:rsidP="00012D5B">
            <w:pPr>
              <w:rPr>
                <w:lang w:val="en-US" w:eastAsia="ja-JP"/>
              </w:rPr>
            </w:pPr>
            <w:r w:rsidRPr="00CD61AC">
              <w:rPr>
                <w:lang w:val="en-US" w:eastAsia="ja-JP"/>
              </w:rPr>
              <w:t>LEANIN</w:t>
            </w:r>
          </w:p>
        </w:tc>
        <w:tc>
          <w:tcPr>
            <w:tcW w:w="0" w:type="auto"/>
            <w:hideMark/>
          </w:tcPr>
          <w:p w14:paraId="7D0DE0F1" w14:textId="77777777" w:rsidR="00CD61AC" w:rsidRPr="00CD61AC" w:rsidRDefault="00CD61AC" w:rsidP="00012D5B">
            <w:pPr>
              <w:rPr>
                <w:lang w:val="en-US" w:eastAsia="ja-JP"/>
              </w:rPr>
            </w:pPr>
            <w:r w:rsidRPr="00CD61AC">
              <w:rPr>
                <w:lang w:val="en-US" w:eastAsia="ja-JP"/>
              </w:rPr>
              <w:t>pH</w:t>
            </w:r>
          </w:p>
        </w:tc>
        <w:tc>
          <w:tcPr>
            <w:tcW w:w="0" w:type="auto"/>
            <w:hideMark/>
          </w:tcPr>
          <w:p w14:paraId="187B7404" w14:textId="77777777" w:rsidR="00CD61AC" w:rsidRPr="00CD61AC" w:rsidRDefault="00CD61AC" w:rsidP="00012D5B">
            <w:pPr>
              <w:rPr>
                <w:lang w:val="en-US" w:eastAsia="ja-JP"/>
              </w:rPr>
            </w:pPr>
            <w:r w:rsidRPr="00CD61AC">
              <w:rPr>
                <w:lang w:val="en-US" w:eastAsia="ja-JP"/>
              </w:rPr>
              <w:t>Lean solvent pH</w:t>
            </w:r>
          </w:p>
        </w:tc>
      </w:tr>
      <w:tr w:rsidR="00CD61AC" w:rsidRPr="00CD61AC" w14:paraId="4F30CEEB" w14:textId="77777777" w:rsidTr="00012D5B">
        <w:trPr>
          <w:trHeight w:val="113"/>
          <w:jc w:val="center"/>
        </w:trPr>
        <w:tc>
          <w:tcPr>
            <w:tcW w:w="0" w:type="auto"/>
            <w:hideMark/>
          </w:tcPr>
          <w:p w14:paraId="52E1E07E" w14:textId="77777777" w:rsidR="00CD61AC" w:rsidRPr="00CD61AC" w:rsidRDefault="00CD61AC" w:rsidP="00012D5B">
            <w:pPr>
              <w:rPr>
                <w:lang w:val="en-US" w:eastAsia="ja-JP"/>
              </w:rPr>
            </w:pPr>
            <w:r w:rsidRPr="00CD61AC">
              <w:rPr>
                <w:lang w:val="en-US" w:eastAsia="ja-JP"/>
              </w:rPr>
              <w:t>6</w:t>
            </w:r>
          </w:p>
        </w:tc>
        <w:tc>
          <w:tcPr>
            <w:tcW w:w="0" w:type="auto"/>
            <w:hideMark/>
          </w:tcPr>
          <w:p w14:paraId="3E6E27E7" w14:textId="77777777" w:rsidR="00CD61AC" w:rsidRPr="00CD61AC" w:rsidRDefault="00CD61AC" w:rsidP="00012D5B">
            <w:pPr>
              <w:rPr>
                <w:lang w:val="en-US" w:eastAsia="ja-JP"/>
              </w:rPr>
            </w:pPr>
            <w:r w:rsidRPr="00CD61AC">
              <w:rPr>
                <w:lang w:val="en-US" w:eastAsia="ja-JP"/>
              </w:rPr>
              <w:t>RICHOUT</w:t>
            </w:r>
          </w:p>
        </w:tc>
        <w:tc>
          <w:tcPr>
            <w:tcW w:w="0" w:type="auto"/>
            <w:hideMark/>
          </w:tcPr>
          <w:p w14:paraId="22FD9280" w14:textId="77777777" w:rsidR="00CD61AC" w:rsidRPr="00CD61AC" w:rsidRDefault="00CD61AC" w:rsidP="00012D5B">
            <w:pPr>
              <w:rPr>
                <w:lang w:val="en-US" w:eastAsia="ja-JP"/>
              </w:rPr>
            </w:pPr>
            <w:r w:rsidRPr="00CD61AC">
              <w:rPr>
                <w:lang w:val="en-US" w:eastAsia="ja-JP"/>
              </w:rPr>
              <w:t>pH</w:t>
            </w:r>
          </w:p>
        </w:tc>
        <w:tc>
          <w:tcPr>
            <w:tcW w:w="0" w:type="auto"/>
            <w:hideMark/>
          </w:tcPr>
          <w:p w14:paraId="74E9FA36" w14:textId="77777777" w:rsidR="00CD61AC" w:rsidRPr="00CD61AC" w:rsidRDefault="00CD61AC" w:rsidP="00012D5B">
            <w:pPr>
              <w:rPr>
                <w:lang w:val="en-US" w:eastAsia="ja-JP"/>
              </w:rPr>
            </w:pPr>
            <w:r w:rsidRPr="00CD61AC">
              <w:rPr>
                <w:lang w:val="en-US" w:eastAsia="ja-JP"/>
              </w:rPr>
              <w:t>Rich solvent pH</w:t>
            </w:r>
          </w:p>
        </w:tc>
      </w:tr>
      <w:tr w:rsidR="00CD61AC" w:rsidRPr="00CD61AC" w14:paraId="50AED101" w14:textId="77777777" w:rsidTr="00012D5B">
        <w:trPr>
          <w:trHeight w:val="113"/>
          <w:jc w:val="center"/>
        </w:trPr>
        <w:tc>
          <w:tcPr>
            <w:tcW w:w="0" w:type="auto"/>
            <w:hideMark/>
          </w:tcPr>
          <w:p w14:paraId="1E7EFD64" w14:textId="77777777" w:rsidR="00CD61AC" w:rsidRPr="00CD61AC" w:rsidRDefault="00CD61AC" w:rsidP="00012D5B">
            <w:pPr>
              <w:rPr>
                <w:lang w:val="en-US" w:eastAsia="ja-JP"/>
              </w:rPr>
            </w:pPr>
            <w:r w:rsidRPr="00CD61AC">
              <w:rPr>
                <w:lang w:val="en-US" w:eastAsia="ja-JP"/>
              </w:rPr>
              <w:t>7</w:t>
            </w:r>
          </w:p>
        </w:tc>
        <w:tc>
          <w:tcPr>
            <w:tcW w:w="0" w:type="auto"/>
            <w:hideMark/>
          </w:tcPr>
          <w:p w14:paraId="08CBAE03" w14:textId="77777777" w:rsidR="00CD61AC" w:rsidRPr="00CD61AC" w:rsidRDefault="00CD61AC" w:rsidP="00012D5B">
            <w:pPr>
              <w:rPr>
                <w:lang w:val="en-US" w:eastAsia="ja-JP"/>
              </w:rPr>
            </w:pPr>
            <w:r w:rsidRPr="00CD61AC">
              <w:rPr>
                <w:lang w:val="en-US" w:eastAsia="ja-JP"/>
              </w:rPr>
              <w:t>C1</w:t>
            </w:r>
          </w:p>
        </w:tc>
        <w:tc>
          <w:tcPr>
            <w:tcW w:w="0" w:type="auto"/>
            <w:hideMark/>
          </w:tcPr>
          <w:p w14:paraId="08DF63EA" w14:textId="77777777" w:rsidR="00CD61AC" w:rsidRPr="00CD61AC" w:rsidRDefault="00CD61AC" w:rsidP="00012D5B">
            <w:pPr>
              <w:rPr>
                <w:lang w:val="en-US" w:eastAsia="ja-JP"/>
              </w:rPr>
            </w:pPr>
            <w:r w:rsidRPr="00CD61AC">
              <w:rPr>
                <w:lang w:val="en-US" w:eastAsia="ja-JP"/>
              </w:rPr>
              <w:t>Level</w:t>
            </w:r>
          </w:p>
        </w:tc>
        <w:tc>
          <w:tcPr>
            <w:tcW w:w="0" w:type="auto"/>
            <w:hideMark/>
          </w:tcPr>
          <w:p w14:paraId="7D08ABAC" w14:textId="77777777" w:rsidR="00CD61AC" w:rsidRPr="00CD61AC" w:rsidRDefault="00CD61AC" w:rsidP="00012D5B">
            <w:pPr>
              <w:rPr>
                <w:lang w:val="en-US" w:eastAsia="ja-JP"/>
              </w:rPr>
            </w:pPr>
            <w:r w:rsidRPr="00CD61AC">
              <w:rPr>
                <w:lang w:val="en-US" w:eastAsia="ja-JP"/>
              </w:rPr>
              <w:t>Column liquid level</w:t>
            </w:r>
          </w:p>
        </w:tc>
      </w:tr>
      <w:tr w:rsidR="00CD61AC" w:rsidRPr="00CD61AC" w14:paraId="45F48E22" w14:textId="77777777" w:rsidTr="00012D5B">
        <w:trPr>
          <w:trHeight w:val="113"/>
          <w:jc w:val="center"/>
        </w:trPr>
        <w:tc>
          <w:tcPr>
            <w:tcW w:w="0" w:type="auto"/>
            <w:hideMark/>
          </w:tcPr>
          <w:p w14:paraId="5D950660" w14:textId="77777777" w:rsidR="00CD61AC" w:rsidRPr="00CD61AC" w:rsidRDefault="00CD61AC" w:rsidP="00012D5B">
            <w:pPr>
              <w:rPr>
                <w:lang w:val="en-US" w:eastAsia="ja-JP"/>
              </w:rPr>
            </w:pPr>
            <w:r w:rsidRPr="00CD61AC">
              <w:rPr>
                <w:lang w:val="en-US" w:eastAsia="ja-JP"/>
              </w:rPr>
              <w:t>8</w:t>
            </w:r>
          </w:p>
        </w:tc>
        <w:tc>
          <w:tcPr>
            <w:tcW w:w="0" w:type="auto"/>
            <w:hideMark/>
          </w:tcPr>
          <w:p w14:paraId="39228A1C" w14:textId="77777777" w:rsidR="00CD61AC" w:rsidRPr="00CD61AC" w:rsidRDefault="00CD61AC" w:rsidP="00012D5B">
            <w:pPr>
              <w:rPr>
                <w:lang w:val="en-US" w:eastAsia="ja-JP"/>
              </w:rPr>
            </w:pPr>
            <w:r w:rsidRPr="00CD61AC">
              <w:rPr>
                <w:lang w:val="en-US" w:eastAsia="ja-JP"/>
              </w:rPr>
              <w:t>GAS-HOT</w:t>
            </w:r>
          </w:p>
        </w:tc>
        <w:tc>
          <w:tcPr>
            <w:tcW w:w="0" w:type="auto"/>
            <w:hideMark/>
          </w:tcPr>
          <w:p w14:paraId="7D1929F6" w14:textId="77777777" w:rsidR="00CD61AC" w:rsidRPr="00CD61AC" w:rsidRDefault="00CD61AC" w:rsidP="00012D5B">
            <w:pPr>
              <w:rPr>
                <w:lang w:val="en-US" w:eastAsia="ja-JP"/>
              </w:rPr>
            </w:pPr>
            <w:r w:rsidRPr="00CD61AC">
              <w:rPr>
                <w:lang w:val="en-US" w:eastAsia="ja-JP"/>
              </w:rPr>
              <w:t>Temperature</w:t>
            </w:r>
          </w:p>
        </w:tc>
        <w:tc>
          <w:tcPr>
            <w:tcW w:w="0" w:type="auto"/>
            <w:hideMark/>
          </w:tcPr>
          <w:p w14:paraId="496BC1BF" w14:textId="77777777" w:rsidR="00CD61AC" w:rsidRPr="00CD61AC" w:rsidRDefault="00CD61AC" w:rsidP="00012D5B">
            <w:pPr>
              <w:rPr>
                <w:lang w:val="en-US" w:eastAsia="ja-JP"/>
              </w:rPr>
            </w:pPr>
            <w:r w:rsidRPr="00CD61AC">
              <w:rPr>
                <w:lang w:val="en-US" w:eastAsia="ja-JP"/>
              </w:rPr>
              <w:t>Feed gas temperature</w:t>
            </w:r>
          </w:p>
        </w:tc>
      </w:tr>
    </w:tbl>
    <w:p w14:paraId="008EF904" w14:textId="44424E06" w:rsidR="00CC1BD2" w:rsidRPr="007902CC" w:rsidRDefault="004756D0" w:rsidP="005909BE">
      <w:pPr>
        <w:pStyle w:val="Els-2ndorder-head"/>
        <w:spacing w:after="120"/>
        <w:rPr>
          <w:lang w:val="en-GB"/>
        </w:rPr>
      </w:pPr>
      <w:r>
        <w:rPr>
          <w:lang w:val="en-GB"/>
        </w:rPr>
        <w:t>Synthetic</w:t>
      </w:r>
      <w:r w:rsidR="00D77885">
        <w:rPr>
          <w:lang w:val="en-GB"/>
        </w:rPr>
        <w:t xml:space="preserve"> Data Generation</w:t>
      </w:r>
    </w:p>
    <w:p w14:paraId="18DFF343" w14:textId="23EDB597" w:rsidR="00FA7A55" w:rsidRDefault="00D77885" w:rsidP="005909BE">
      <w:pPr>
        <w:pStyle w:val="Els-body-text"/>
        <w:spacing w:after="120"/>
        <w:rPr>
          <w:lang w:val="en-GB"/>
        </w:rPr>
      </w:pPr>
      <w:r w:rsidRPr="00D77885">
        <w:rPr>
          <w:lang w:val="en-GB"/>
        </w:rPr>
        <w:t>The training procedure begins by standardising the data using its mean and variance. The PCA</w:t>
      </w:r>
      <w:r w:rsidR="00DE6A57">
        <w:rPr>
          <w:lang w:val="en-GB"/>
        </w:rPr>
        <w:t xml:space="preserve"> model</w:t>
      </w:r>
      <w:r w:rsidRPr="00D77885">
        <w:rPr>
          <w:lang w:val="en-GB"/>
        </w:rPr>
        <w:t xml:space="preserve"> is then </w:t>
      </w:r>
      <w:r w:rsidR="00DE6A57">
        <w:rPr>
          <w:lang w:val="en-GB"/>
        </w:rPr>
        <w:t>computed</w:t>
      </w:r>
      <w:r w:rsidRPr="00D77885">
        <w:rPr>
          <w:lang w:val="en-GB"/>
        </w:rPr>
        <w:t xml:space="preserve"> using the </w:t>
      </w:r>
      <w:r w:rsidR="00A56F99">
        <w:rPr>
          <w:lang w:val="en-GB"/>
        </w:rPr>
        <w:t>SVD</w:t>
      </w:r>
      <w:r w:rsidRPr="00D77885">
        <w:rPr>
          <w:lang w:val="en-GB"/>
        </w:rPr>
        <w:t xml:space="preserve"> method to obtain each principal component's loading matrix and eigenvalues. The eigenvalues are then normalised and sorted in descending order to obtain the explained variance ratio of each principal component.</w:t>
      </w:r>
      <w:r w:rsidR="00066932">
        <w:rPr>
          <w:lang w:val="en-GB"/>
        </w:rPr>
        <w:t xml:space="preserve"> </w:t>
      </w:r>
      <w:r w:rsidRPr="00D77885">
        <w:rPr>
          <w:lang w:val="en-GB"/>
        </w:rPr>
        <w:t xml:space="preserve">Typically, the number of principal components </w:t>
      </w:r>
      <w:r w:rsidR="00B16648">
        <w:rPr>
          <w:lang w:val="en-GB"/>
        </w:rPr>
        <w:t>retained</w:t>
      </w:r>
      <w:r w:rsidRPr="00D77885">
        <w:rPr>
          <w:lang w:val="en-GB"/>
        </w:rPr>
        <w:t xml:space="preserve"> corresponds with a cumulative explained variance ratio of 95%. However, </w:t>
      </w:r>
      <w:r w:rsidR="00DE6A57">
        <w:rPr>
          <w:lang w:val="en-GB"/>
        </w:rPr>
        <w:t xml:space="preserve">for this study </w:t>
      </w:r>
      <w:r w:rsidRPr="00D77885">
        <w:rPr>
          <w:lang w:val="en-GB"/>
        </w:rPr>
        <w:t xml:space="preserve">only the first </w:t>
      </w:r>
      <w:r w:rsidR="00DE6A57">
        <w:rPr>
          <w:lang w:val="en-GB"/>
        </w:rPr>
        <w:t>two</w:t>
      </w:r>
      <w:r w:rsidRPr="00D77885">
        <w:rPr>
          <w:lang w:val="en-GB"/>
        </w:rPr>
        <w:t xml:space="preserve"> principal components</w:t>
      </w:r>
      <w:r w:rsidR="00DE6A57">
        <w:rPr>
          <w:lang w:val="en-GB"/>
        </w:rPr>
        <w:t xml:space="preserve"> with a lower cumulative explained variance</w:t>
      </w:r>
      <w:r w:rsidRPr="00D77885">
        <w:rPr>
          <w:lang w:val="en-GB"/>
        </w:rPr>
        <w:t xml:space="preserve"> are selected for ease of analysis. Afterwards, the training data is </w:t>
      </w:r>
      <w:r w:rsidR="00A56F99">
        <w:rPr>
          <w:lang w:val="en-GB"/>
        </w:rPr>
        <w:t xml:space="preserve">used </w:t>
      </w:r>
      <w:r w:rsidRPr="00D77885">
        <w:rPr>
          <w:lang w:val="en-GB"/>
        </w:rPr>
        <w:t>to obtain the feature and reconstruction space values used to calculate the T</w:t>
      </w:r>
      <w:r w:rsidR="00FA7A55" w:rsidRPr="00FA7A55">
        <w:rPr>
          <w:vertAlign w:val="superscript"/>
          <w:lang w:val="en-GB"/>
        </w:rPr>
        <w:t>2</w:t>
      </w:r>
      <w:r w:rsidR="00745142">
        <w:rPr>
          <w:vertAlign w:val="superscript"/>
          <w:lang w:val="en-GB"/>
        </w:rPr>
        <w:t xml:space="preserve"> </w:t>
      </w:r>
      <w:r w:rsidRPr="00D77885">
        <w:rPr>
          <w:lang w:val="en-GB"/>
        </w:rPr>
        <w:t>and SPE thresholds and train the OCSVM.</w:t>
      </w:r>
    </w:p>
    <w:p w14:paraId="1C2CF1BD" w14:textId="7094EFF6" w:rsidR="001B553B" w:rsidRDefault="001B553B" w:rsidP="001B553B">
      <w:pPr>
        <w:pStyle w:val="Els-2ndorder-head"/>
        <w:spacing w:after="120"/>
        <w:rPr>
          <w:lang w:val="en-GB"/>
        </w:rPr>
      </w:pPr>
      <w:r>
        <w:rPr>
          <w:lang w:val="en-GB"/>
        </w:rPr>
        <w:t>Recalibration</w:t>
      </w:r>
    </w:p>
    <w:p w14:paraId="03428FFE" w14:textId="2A2F3B12" w:rsidR="001B553B" w:rsidRDefault="00BF4497" w:rsidP="001B553B">
      <w:pPr>
        <w:pStyle w:val="Els-body-text"/>
        <w:spacing w:after="120"/>
        <w:rPr>
          <w:lang w:val="en-GB"/>
        </w:rPr>
      </w:pPr>
      <w:r>
        <w:rPr>
          <w:lang w:val="en-GB"/>
        </w:rPr>
        <w:t xml:space="preserve">To address </w:t>
      </w:r>
      <w:r w:rsidR="00224D1B">
        <w:rPr>
          <w:lang w:val="en-GB"/>
        </w:rPr>
        <w:t xml:space="preserve">the mismatch in the </w:t>
      </w:r>
      <w:r w:rsidR="00765201">
        <w:rPr>
          <w:lang w:val="en-GB"/>
        </w:rPr>
        <w:t>c</w:t>
      </w:r>
      <w:r w:rsidR="00765201" w:rsidRPr="00224D1B">
        <w:rPr>
          <w:lang w:val="en-GB"/>
        </w:rPr>
        <w:t>entring</w:t>
      </w:r>
      <w:r w:rsidR="00224D1B" w:rsidRPr="00224D1B">
        <w:rPr>
          <w:lang w:val="en-GB"/>
        </w:rPr>
        <w:t xml:space="preserve"> </w:t>
      </w:r>
      <w:r w:rsidR="00224D1B">
        <w:rPr>
          <w:lang w:val="en-GB"/>
        </w:rPr>
        <w:t xml:space="preserve">of the operating points of the data and the </w:t>
      </w:r>
      <w:r w:rsidR="001D02DC">
        <w:rPr>
          <w:lang w:val="en-GB"/>
        </w:rPr>
        <w:t xml:space="preserve">simulation, the PCA </w:t>
      </w:r>
      <w:r w:rsidR="001B553B" w:rsidRPr="000317B1">
        <w:rPr>
          <w:lang w:val="en-GB"/>
        </w:rPr>
        <w:t>needs to be recalibrated using incremental amounts of the actual data set over time.</w:t>
      </w:r>
      <w:r w:rsidR="00745142">
        <w:rPr>
          <w:lang w:val="en-GB"/>
        </w:rPr>
        <w:t xml:space="preserve"> </w:t>
      </w:r>
      <w:r w:rsidR="00BB716F">
        <w:rPr>
          <w:lang w:val="en-GB"/>
        </w:rPr>
        <w:t>While previous studies recalibrate by updating the digital twin (</w:t>
      </w:r>
      <w:proofErr w:type="spellStart"/>
      <w:r w:rsidR="00BB716F">
        <w:rPr>
          <w:lang w:val="en-GB"/>
        </w:rPr>
        <w:t>Kubosawa</w:t>
      </w:r>
      <w:proofErr w:type="spellEnd"/>
      <w:r w:rsidR="00BB716F">
        <w:rPr>
          <w:lang w:val="en-GB"/>
        </w:rPr>
        <w:t xml:space="preserve"> et al., 2022). This study opts to </w:t>
      </w:r>
      <w:r w:rsidR="00A56F99">
        <w:rPr>
          <w:lang w:val="en-GB"/>
        </w:rPr>
        <w:t>recalibrate by directly updating the PCA model.</w:t>
      </w:r>
    </w:p>
    <w:p w14:paraId="3F1A3CE3" w14:textId="18B77EB0" w:rsidR="000317B1" w:rsidRDefault="000317B1" w:rsidP="002A6934">
      <w:pPr>
        <w:pStyle w:val="Els-body-text"/>
        <w:spacing w:after="120"/>
        <w:rPr>
          <w:lang w:val="en-GB"/>
        </w:rPr>
      </w:pPr>
      <w:r w:rsidRPr="000317B1">
        <w:rPr>
          <w:lang w:val="en-GB"/>
        </w:rPr>
        <w:t xml:space="preserve">The PCA is recalibrated by first recalculating the mean and variance of the data, </w:t>
      </w:r>
      <w:r w:rsidR="00B94197">
        <w:rPr>
          <w:lang w:val="en-GB"/>
        </w:rPr>
        <w:t>for standardisation</w:t>
      </w:r>
      <w:r w:rsidRPr="000317B1">
        <w:rPr>
          <w:lang w:val="en-GB"/>
        </w:rPr>
        <w:t xml:space="preserve">. </w:t>
      </w:r>
      <w:r w:rsidR="00154FE0">
        <w:rPr>
          <w:lang w:val="en-GB"/>
        </w:rPr>
        <w:t>The PCA is then retrained</w:t>
      </w:r>
      <w:r w:rsidRPr="000317B1">
        <w:rPr>
          <w:lang w:val="en-GB"/>
        </w:rPr>
        <w:t xml:space="preserve"> </w:t>
      </w:r>
      <w:r w:rsidR="00C27D2E">
        <w:rPr>
          <w:lang w:val="en-GB"/>
        </w:rPr>
        <w:t xml:space="preserve">and </w:t>
      </w:r>
      <w:r w:rsidR="002A6934">
        <w:rPr>
          <w:lang w:val="en-GB"/>
        </w:rPr>
        <w:t>thresholds for T</w:t>
      </w:r>
      <w:r w:rsidR="002A6934">
        <w:rPr>
          <w:vertAlign w:val="superscript"/>
          <w:lang w:val="en-GB"/>
        </w:rPr>
        <w:t>2</w:t>
      </w:r>
      <w:r w:rsidR="002A6934">
        <w:rPr>
          <w:lang w:val="en-GB"/>
        </w:rPr>
        <w:t xml:space="preserve"> and SPE are recalculated. </w:t>
      </w:r>
      <w:r w:rsidR="002A6934" w:rsidRPr="000317B1">
        <w:rPr>
          <w:lang w:val="en-GB"/>
        </w:rPr>
        <w:t>Another method is to retrain the OCSVM</w:t>
      </w:r>
      <w:r w:rsidR="002A6934">
        <w:rPr>
          <w:lang w:val="en-GB"/>
        </w:rPr>
        <w:t xml:space="preserve"> without updating the mean and variance.</w:t>
      </w:r>
    </w:p>
    <w:p w14:paraId="6E370DAE" w14:textId="117FF6F2" w:rsidR="000317B1" w:rsidRDefault="000317B1" w:rsidP="00AB00BE">
      <w:pPr>
        <w:pStyle w:val="Els-body-text"/>
        <w:rPr>
          <w:lang w:val="en-GB"/>
        </w:rPr>
      </w:pPr>
      <w:r w:rsidRPr="000317B1">
        <w:rPr>
          <w:lang w:val="en-GB"/>
        </w:rPr>
        <w:t xml:space="preserve">To measure the impact of recalibration, the false alarm rate (FAR) metric is used as described in </w:t>
      </w:r>
      <w:r>
        <w:rPr>
          <w:lang w:val="en-GB"/>
        </w:rPr>
        <w:t>Eq. (7)</w:t>
      </w:r>
      <w:r w:rsidRPr="000317B1">
        <w:rPr>
          <w:lang w:val="en-GB"/>
        </w:rPr>
        <w:t>. The entire real data on normal conditions are fed through the PCA, classifying the data as faulty or otherwise.</w:t>
      </w:r>
    </w:p>
    <w:tbl>
      <w:tblPr>
        <w:tblW w:w="7087" w:type="dxa"/>
        <w:tblLook w:val="04A0" w:firstRow="1" w:lastRow="0" w:firstColumn="1" w:lastColumn="0" w:noHBand="0" w:noVBand="1"/>
      </w:tblPr>
      <w:tblGrid>
        <w:gridCol w:w="6123"/>
        <w:gridCol w:w="964"/>
      </w:tblGrid>
      <w:tr w:rsidR="000317B1" w:rsidRPr="0033737B" w14:paraId="48975025" w14:textId="77777777" w:rsidTr="00EE73CE">
        <w:tc>
          <w:tcPr>
            <w:tcW w:w="6123" w:type="dxa"/>
            <w:shd w:val="clear" w:color="auto" w:fill="auto"/>
            <w:vAlign w:val="center"/>
          </w:tcPr>
          <w:p w14:paraId="1705D3FC" w14:textId="2C6C4C38" w:rsidR="000317B1" w:rsidRPr="0098692A" w:rsidRDefault="0072460D" w:rsidP="005909BE">
            <w:pPr>
              <w:pStyle w:val="Els-body-text"/>
              <w:spacing w:before="120" w:after="120" w:line="264" w:lineRule="auto"/>
              <w:rPr>
                <w:rFonts w:ascii="Cambria Math" w:hAnsi="Cambria Math"/>
                <w:lang w:val="en-GB"/>
                <w:oMath/>
              </w:rPr>
            </w:pPr>
            <m:oMathPara>
              <m:oMathParaPr>
                <m:jc m:val="left"/>
              </m:oMathParaPr>
              <m:oMath>
                <m:r>
                  <w:rPr>
                    <w:rFonts w:ascii="Cambria Math" w:hAnsi="Cambria Math"/>
                    <w:lang w:val="en-GB"/>
                  </w:rPr>
                  <m:t>FAR=</m:t>
                </m:r>
                <m:f>
                  <m:fPr>
                    <m:ctrlPr>
                      <w:rPr>
                        <w:rFonts w:ascii="Cambria Math" w:hAnsi="Cambria Math"/>
                        <w:iCs/>
                        <w:lang w:val="en-GB"/>
                      </w:rPr>
                    </m:ctrlPr>
                  </m:fPr>
                  <m:num>
                    <m:r>
                      <m:rPr>
                        <m:sty m:val="p"/>
                      </m:rPr>
                      <w:rPr>
                        <w:rFonts w:ascii="Cambria Math" w:hAnsi="Cambria Math"/>
                        <w:lang w:val="en-GB"/>
                      </w:rPr>
                      <m:t>number of false positives</m:t>
                    </m:r>
                  </m:num>
                  <m:den>
                    <m:r>
                      <m:rPr>
                        <m:sty m:val="p"/>
                      </m:rPr>
                      <w:rPr>
                        <w:rFonts w:ascii="Cambria Math" w:hAnsi="Cambria Math"/>
                        <w:lang w:val="en-GB"/>
                      </w:rPr>
                      <m:t>number of data points</m:t>
                    </m:r>
                  </m:den>
                </m:f>
              </m:oMath>
            </m:oMathPara>
          </w:p>
        </w:tc>
        <w:tc>
          <w:tcPr>
            <w:tcW w:w="964" w:type="dxa"/>
            <w:shd w:val="clear" w:color="auto" w:fill="auto"/>
            <w:vAlign w:val="center"/>
          </w:tcPr>
          <w:p w14:paraId="55A225F7" w14:textId="2019D237" w:rsidR="000317B1" w:rsidRPr="0033737B" w:rsidRDefault="000317B1" w:rsidP="005909BE">
            <w:pPr>
              <w:pStyle w:val="Els-body-text"/>
              <w:spacing w:before="120" w:after="120" w:line="264" w:lineRule="auto"/>
              <w:jc w:val="right"/>
              <w:rPr>
                <w:lang w:val="en-GB"/>
              </w:rPr>
            </w:pPr>
            <w:r w:rsidRPr="0033737B">
              <w:rPr>
                <w:lang w:val="en-GB"/>
              </w:rPr>
              <w:t>(</w:t>
            </w:r>
            <w:r w:rsidR="003813F5">
              <w:rPr>
                <w:lang w:val="en-GB"/>
              </w:rPr>
              <w:t>7</w:t>
            </w:r>
            <w:r w:rsidRPr="0033737B">
              <w:rPr>
                <w:lang w:val="en-GB"/>
              </w:rPr>
              <w:t>)</w:t>
            </w:r>
          </w:p>
        </w:tc>
      </w:tr>
    </w:tbl>
    <w:p w14:paraId="58FAD46C" w14:textId="1CF6EEF0" w:rsidR="00650ACA" w:rsidRPr="00650ACA" w:rsidRDefault="00082F08" w:rsidP="005909BE">
      <w:pPr>
        <w:pStyle w:val="Els-1storder-head"/>
        <w:spacing w:after="120"/>
        <w:rPr>
          <w:lang w:val="en-GB"/>
        </w:rPr>
      </w:pPr>
      <w:r>
        <w:rPr>
          <w:lang w:val="en-GB"/>
        </w:rPr>
        <w:t>Results and Discussion</w:t>
      </w:r>
    </w:p>
    <w:p w14:paraId="29B41FA8" w14:textId="38F7BB0E" w:rsidR="00650ACA" w:rsidRDefault="004756D0" w:rsidP="005909BE">
      <w:pPr>
        <w:pStyle w:val="Els-2ndorder-head"/>
        <w:spacing w:after="120"/>
        <w:rPr>
          <w:lang w:val="en-GB"/>
        </w:rPr>
      </w:pPr>
      <w:r>
        <w:rPr>
          <w:lang w:val="en-GB"/>
        </w:rPr>
        <w:t>Synthetic</w:t>
      </w:r>
      <w:r w:rsidR="00650ACA">
        <w:rPr>
          <w:lang w:val="en-GB"/>
        </w:rPr>
        <w:t xml:space="preserve"> PCA Performance</w:t>
      </w:r>
    </w:p>
    <w:p w14:paraId="6F719623" w14:textId="07B5C540" w:rsidR="00F607A4" w:rsidRDefault="003675B3" w:rsidP="00F607A4">
      <w:pPr>
        <w:pStyle w:val="Els-body-text"/>
        <w:spacing w:after="120"/>
        <w:rPr>
          <w:lang w:val="en-GB"/>
        </w:rPr>
      </w:pPr>
      <w:r w:rsidRPr="003675B3">
        <w:rPr>
          <w:lang w:val="en-GB"/>
        </w:rPr>
        <w:t xml:space="preserve">The model is tested using real data sets on normal and anomalous conditions to analyse the </w:t>
      </w:r>
      <w:r w:rsidR="004756D0">
        <w:rPr>
          <w:lang w:val="en-GB"/>
        </w:rPr>
        <w:t>synthetic</w:t>
      </w:r>
      <w:r w:rsidRPr="003675B3">
        <w:rPr>
          <w:lang w:val="en-GB"/>
        </w:rPr>
        <w:t xml:space="preserve"> PCA's performance. The results are illustrated in</w:t>
      </w:r>
      <w:r w:rsidR="0085314C">
        <w:rPr>
          <w:lang w:val="en-GB"/>
        </w:rPr>
        <w:t xml:space="preserve"> Figure </w:t>
      </w:r>
      <w:r w:rsidR="005939BD">
        <w:rPr>
          <w:lang w:val="en-GB"/>
        </w:rPr>
        <w:t>2</w:t>
      </w:r>
      <w:r w:rsidRPr="003675B3">
        <w:rPr>
          <w:lang w:val="en-GB"/>
        </w:rPr>
        <w:t xml:space="preserve">. </w:t>
      </w:r>
      <w:r w:rsidR="00DA023F">
        <w:rPr>
          <w:lang w:val="en-GB"/>
        </w:rPr>
        <w:t>The T</w:t>
      </w:r>
      <w:r w:rsidR="00E72360" w:rsidRPr="00E72360">
        <w:rPr>
          <w:vertAlign w:val="superscript"/>
          <w:lang w:val="en-GB"/>
        </w:rPr>
        <w:t>2</w:t>
      </w:r>
      <w:r w:rsidR="00E72360">
        <w:rPr>
          <w:lang w:val="en-GB"/>
        </w:rPr>
        <w:t xml:space="preserve"> performance is rather poor, </w:t>
      </w:r>
      <w:r w:rsidR="00E72360" w:rsidRPr="003675B3">
        <w:rPr>
          <w:lang w:val="en-GB"/>
        </w:rPr>
        <w:t>where some data points in the anomalous region have lower T</w:t>
      </w:r>
      <w:r w:rsidR="00E72360" w:rsidRPr="0040286A">
        <w:rPr>
          <w:vertAlign w:val="superscript"/>
          <w:lang w:val="en-GB"/>
        </w:rPr>
        <w:t>2</w:t>
      </w:r>
      <w:r w:rsidR="00E72360" w:rsidRPr="003675B3">
        <w:rPr>
          <w:lang w:val="en-GB"/>
        </w:rPr>
        <w:t xml:space="preserve"> values than the normal region</w:t>
      </w:r>
      <w:r w:rsidR="00E72360">
        <w:rPr>
          <w:lang w:val="en-GB"/>
        </w:rPr>
        <w:t>.</w:t>
      </w:r>
      <w:r w:rsidR="00852AA3">
        <w:rPr>
          <w:lang w:val="en-GB"/>
        </w:rPr>
        <w:t xml:space="preserve"> </w:t>
      </w:r>
      <w:r w:rsidR="00852AA3" w:rsidRPr="003675B3">
        <w:rPr>
          <w:lang w:val="en-GB"/>
        </w:rPr>
        <w:t>On the other hand, The SPE metric distinguishes faulty conditions rather well.</w:t>
      </w:r>
      <w:r w:rsidR="003228FC">
        <w:rPr>
          <w:lang w:val="en-GB"/>
        </w:rPr>
        <w:t xml:space="preserve"> </w:t>
      </w:r>
      <w:r w:rsidR="008850F6">
        <w:rPr>
          <w:lang w:val="en-GB"/>
        </w:rPr>
        <w:t>This issue</w:t>
      </w:r>
      <w:r w:rsidR="00F607A4" w:rsidRPr="003675B3">
        <w:rPr>
          <w:lang w:val="en-GB"/>
        </w:rPr>
        <w:t xml:space="preserve"> may arise from the inherent errors of the Aspen model's calculations and the lack of statistical information from the real data set. The latter appears more significant since the data is standardised using mean and variance. Therefore, </w:t>
      </w:r>
      <w:r w:rsidR="00F607A4" w:rsidRPr="003675B3">
        <w:rPr>
          <w:lang w:val="en-GB"/>
        </w:rPr>
        <w:lastRenderedPageBreak/>
        <w:t>having different means will shift the PC score's centre.</w:t>
      </w:r>
      <w:r w:rsidR="005B4634">
        <w:rPr>
          <w:lang w:val="en-GB"/>
        </w:rPr>
        <w:t xml:space="preserve"> </w:t>
      </w:r>
      <w:r w:rsidR="00A0484F">
        <w:rPr>
          <w:lang w:val="en-GB"/>
        </w:rPr>
        <w:t>And because</w:t>
      </w:r>
      <w:r w:rsidR="00280014">
        <w:rPr>
          <w:lang w:val="en-GB"/>
        </w:rPr>
        <w:t xml:space="preserve"> the T</w:t>
      </w:r>
      <w:r w:rsidR="00280014">
        <w:rPr>
          <w:vertAlign w:val="superscript"/>
          <w:lang w:val="en-GB"/>
        </w:rPr>
        <w:t>2</w:t>
      </w:r>
      <w:r w:rsidR="00280014">
        <w:rPr>
          <w:lang w:val="en-GB"/>
        </w:rPr>
        <w:t xml:space="preserve"> metric measures deviations in PC values away from 0, </w:t>
      </w:r>
      <w:r w:rsidR="00094293">
        <w:rPr>
          <w:lang w:val="en-GB"/>
        </w:rPr>
        <w:t>the T</w:t>
      </w:r>
      <w:r w:rsidR="00094293">
        <w:rPr>
          <w:vertAlign w:val="superscript"/>
          <w:lang w:val="en-GB"/>
        </w:rPr>
        <w:t>2</w:t>
      </w:r>
      <w:r w:rsidR="00094293">
        <w:rPr>
          <w:lang w:val="en-GB"/>
        </w:rPr>
        <w:t xml:space="preserve"> </w:t>
      </w:r>
      <w:r w:rsidR="008850F6">
        <w:rPr>
          <w:lang w:val="en-GB"/>
        </w:rPr>
        <w:t>evaluation will be inaccurate.</w:t>
      </w:r>
      <w:r w:rsidR="00F607A4" w:rsidRPr="003675B3">
        <w:rPr>
          <w:lang w:val="en-GB"/>
        </w:rPr>
        <w:t xml:space="preserve"> Another issue arising from a lack of statistical information is that there is no reliable way of determining the monitoring statistic's thresholds, as the 99.5</w:t>
      </w:r>
      <w:r w:rsidR="00F607A4">
        <w:rPr>
          <w:lang w:val="en-GB"/>
        </w:rPr>
        <w:t>%</w:t>
      </w:r>
      <w:r w:rsidR="00F607A4" w:rsidRPr="003675B3">
        <w:rPr>
          <w:lang w:val="en-GB"/>
        </w:rPr>
        <w:t xml:space="preserve"> confidence intervals are a property of the real data set</w:t>
      </w:r>
      <w:r w:rsidR="00F607A4">
        <w:rPr>
          <w:lang w:val="en-GB"/>
        </w:rPr>
        <w:t>.</w:t>
      </w:r>
    </w:p>
    <w:p w14:paraId="15E231A1" w14:textId="77777777" w:rsidR="00F607A4" w:rsidRPr="003C1E9D" w:rsidRDefault="00F607A4" w:rsidP="00F607A4">
      <w:pPr>
        <w:pStyle w:val="Els-body-text"/>
        <w:spacing w:after="120"/>
        <w:rPr>
          <w:lang w:val="en-GB"/>
        </w:rPr>
      </w:pPr>
      <w:r w:rsidRPr="00CE7E99">
        <w:rPr>
          <w:lang w:val="en-GB"/>
        </w:rPr>
        <w:t>As the lack of statistical information is inherent at the design stage, a method is required to recalibrate the data set and determine thresholds.</w:t>
      </w:r>
    </w:p>
    <w:p w14:paraId="16982C05" w14:textId="75DD6726" w:rsidR="003675B3" w:rsidRDefault="00082F08" w:rsidP="005909BE">
      <w:pPr>
        <w:pStyle w:val="Els-body-text"/>
        <w:spacing w:after="120"/>
        <w:jc w:val="center"/>
        <w:rPr>
          <w:noProof/>
          <w:lang w:val="en-GB"/>
        </w:rPr>
      </w:pPr>
      <w:r>
        <w:rPr>
          <w:noProof/>
          <w:lang w:val="en-GB"/>
        </w:rPr>
        <w:drawing>
          <wp:inline distT="0" distB="0" distL="0" distR="0" wp14:anchorId="016CD5D2" wp14:editId="138ACE7A">
            <wp:extent cx="2160000" cy="1614508"/>
            <wp:effectExtent l="0" t="0" r="0" b="5080"/>
            <wp:docPr id="991103831" name="Picture 5" descr="A graph with orange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03831" name="Picture 5" descr="A graph with orange and blue lines&#10;&#10;Description automatically generated"/>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160000" cy="1614508"/>
                    </a:xfrm>
                    <a:prstGeom prst="rect">
                      <a:avLst/>
                    </a:prstGeom>
                    <a:noFill/>
                    <a:ln>
                      <a:noFill/>
                    </a:ln>
                  </pic:spPr>
                </pic:pic>
              </a:graphicData>
            </a:graphic>
          </wp:inline>
        </w:drawing>
      </w:r>
      <w:r>
        <w:rPr>
          <w:noProof/>
          <w:lang w:val="en-GB"/>
        </w:rPr>
        <w:drawing>
          <wp:inline distT="0" distB="0" distL="0" distR="0" wp14:anchorId="05F86506" wp14:editId="1B25027E">
            <wp:extent cx="2133524" cy="1612800"/>
            <wp:effectExtent l="0" t="0" r="635" b="6985"/>
            <wp:docPr id="833708481" name="Picture 6" descr="A graph of a graph showing a blue and orang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08481" name="Picture 6" descr="A graph of a graph showing a blue and orange line&#10;&#10;Description automatically generated"/>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133524" cy="1612800"/>
                    </a:xfrm>
                    <a:prstGeom prst="rect">
                      <a:avLst/>
                    </a:prstGeom>
                    <a:noFill/>
                    <a:ln>
                      <a:noFill/>
                    </a:ln>
                  </pic:spPr>
                </pic:pic>
              </a:graphicData>
            </a:graphic>
          </wp:inline>
        </w:drawing>
      </w:r>
    </w:p>
    <w:p w14:paraId="425A8FBA" w14:textId="09774EDB" w:rsidR="00082F08" w:rsidRPr="003228FC" w:rsidRDefault="00E15757" w:rsidP="005909BE">
      <w:pPr>
        <w:pStyle w:val="Els-body-text"/>
        <w:spacing w:after="120"/>
        <w:jc w:val="center"/>
        <w:rPr>
          <w:noProof/>
          <w:sz w:val="18"/>
          <w:szCs w:val="18"/>
          <w:lang w:val="en-GB"/>
        </w:rPr>
      </w:pPr>
      <w:r w:rsidRPr="003228FC">
        <w:rPr>
          <w:sz w:val="18"/>
          <w:szCs w:val="18"/>
        </w:rPr>
        <w:t xml:space="preserve">Figure </w:t>
      </w:r>
      <w:r w:rsidR="005939BD" w:rsidRPr="003228FC">
        <w:rPr>
          <w:sz w:val="18"/>
          <w:szCs w:val="18"/>
        </w:rPr>
        <w:t>2</w:t>
      </w:r>
      <w:r w:rsidRPr="003228FC">
        <w:rPr>
          <w:sz w:val="18"/>
          <w:szCs w:val="18"/>
        </w:rPr>
        <w:t xml:space="preserve">. </w:t>
      </w:r>
      <w:r w:rsidR="004756D0" w:rsidRPr="003228FC">
        <w:rPr>
          <w:sz w:val="18"/>
          <w:szCs w:val="18"/>
        </w:rPr>
        <w:t>Synthetic</w:t>
      </w:r>
      <w:r w:rsidRPr="003228FC">
        <w:rPr>
          <w:sz w:val="18"/>
          <w:szCs w:val="18"/>
        </w:rPr>
        <w:t xml:space="preserve"> PCA </w:t>
      </w:r>
      <w:r w:rsidR="00DE4194" w:rsidRPr="003228FC">
        <w:rPr>
          <w:sz w:val="18"/>
          <w:szCs w:val="18"/>
        </w:rPr>
        <w:t>SPE (left) and T</w:t>
      </w:r>
      <w:r w:rsidR="00DE4194" w:rsidRPr="003228FC">
        <w:rPr>
          <w:sz w:val="18"/>
          <w:szCs w:val="18"/>
          <w:vertAlign w:val="superscript"/>
        </w:rPr>
        <w:t>2</w:t>
      </w:r>
      <w:r w:rsidR="00DE4194" w:rsidRPr="003228FC">
        <w:rPr>
          <w:sz w:val="18"/>
          <w:szCs w:val="18"/>
        </w:rPr>
        <w:t xml:space="preserve"> (right) values</w:t>
      </w:r>
      <w:r w:rsidR="00BA1CF0" w:rsidRPr="003228FC">
        <w:rPr>
          <w:sz w:val="18"/>
          <w:szCs w:val="18"/>
        </w:rPr>
        <w:t>.</w:t>
      </w:r>
    </w:p>
    <w:p w14:paraId="32D9CD19" w14:textId="4FB3404E" w:rsidR="003675B3" w:rsidRPr="00C62CB8" w:rsidRDefault="004756D0" w:rsidP="005909BE">
      <w:pPr>
        <w:pStyle w:val="Els-2ndorder-head"/>
        <w:spacing w:after="120"/>
        <w:rPr>
          <w:lang w:val="en-GB"/>
        </w:rPr>
      </w:pPr>
      <w:r>
        <w:rPr>
          <w:lang w:val="en-GB"/>
        </w:rPr>
        <w:t>Synthetic</w:t>
      </w:r>
      <w:r w:rsidR="00CE7E99">
        <w:rPr>
          <w:lang w:val="en-GB"/>
        </w:rPr>
        <w:t xml:space="preserve">-PCA </w:t>
      </w:r>
      <w:r w:rsidR="003675B3">
        <w:rPr>
          <w:lang w:val="en-GB"/>
        </w:rPr>
        <w:t>Recalibration</w:t>
      </w:r>
    </w:p>
    <w:p w14:paraId="0B84B2A0" w14:textId="47F26D15" w:rsidR="00F607A4" w:rsidRDefault="00186C6A" w:rsidP="00F607A4">
      <w:pPr>
        <w:pStyle w:val="Els-body-text"/>
        <w:spacing w:after="120"/>
        <w:rPr>
          <w:lang w:val="en-GB"/>
        </w:rPr>
      </w:pPr>
      <w:r w:rsidRPr="00186C6A">
        <w:rPr>
          <w:lang w:val="en-GB"/>
        </w:rPr>
        <w:t xml:space="preserve">Recalibration is conducted over increments of 1000 data points of the actual data set on normal conditions. As a comparison, a PCA trained over the actual data set is also </w:t>
      </w:r>
      <w:r w:rsidR="00224D1B">
        <w:rPr>
          <w:lang w:val="en-GB"/>
        </w:rPr>
        <w:t>constructed</w:t>
      </w:r>
      <w:r w:rsidRPr="00186C6A">
        <w:rPr>
          <w:lang w:val="en-GB"/>
        </w:rPr>
        <w:t xml:space="preserve">. The FAR values of this incremental recalibration are illustrated in </w:t>
      </w:r>
      <w:r w:rsidR="00BA1CF0">
        <w:rPr>
          <w:lang w:val="en-GB"/>
        </w:rPr>
        <w:t xml:space="preserve">Figure </w:t>
      </w:r>
      <w:r w:rsidR="005939BD">
        <w:rPr>
          <w:lang w:val="en-GB"/>
        </w:rPr>
        <w:t>3</w:t>
      </w:r>
      <w:r w:rsidR="00BA1CF0">
        <w:rPr>
          <w:lang w:val="en-GB"/>
        </w:rPr>
        <w:t>.</w:t>
      </w:r>
      <w:r w:rsidR="004756D0">
        <w:rPr>
          <w:lang w:val="en-GB"/>
        </w:rPr>
        <w:t xml:space="preserve"> </w:t>
      </w:r>
      <w:r w:rsidR="001B553B" w:rsidRPr="00186C6A">
        <w:rPr>
          <w:lang w:val="en-GB"/>
        </w:rPr>
        <w:t>The results show that the FAR values for the T</w:t>
      </w:r>
      <w:r w:rsidR="001B553B" w:rsidRPr="005939BD">
        <w:rPr>
          <w:vertAlign w:val="superscript"/>
          <w:lang w:val="en-GB"/>
        </w:rPr>
        <w:t>2</w:t>
      </w:r>
      <w:r w:rsidR="001B553B" w:rsidRPr="00186C6A">
        <w:rPr>
          <w:lang w:val="en-GB"/>
        </w:rPr>
        <w:t xml:space="preserve"> and SPE recalibration drop the fastest, requiring only 15000 data points to achieve a 0.5</w:t>
      </w:r>
      <w:r w:rsidR="001B553B">
        <w:rPr>
          <w:lang w:val="en-GB"/>
        </w:rPr>
        <w:t>%</w:t>
      </w:r>
      <w:r w:rsidR="001B553B" w:rsidRPr="00186C6A">
        <w:rPr>
          <w:lang w:val="en-GB"/>
        </w:rPr>
        <w:t xml:space="preserve"> FAR. At the same time, the OCSVM achieves 0.5</w:t>
      </w:r>
      <w:r w:rsidR="001B553B">
        <w:rPr>
          <w:lang w:val="en-GB"/>
        </w:rPr>
        <w:t>%</w:t>
      </w:r>
      <w:r w:rsidR="001B553B" w:rsidRPr="00186C6A">
        <w:rPr>
          <w:lang w:val="en-GB"/>
        </w:rPr>
        <w:t xml:space="preserve"> FAR by using all the actual data and the true PCA using around 20000 data points.</w:t>
      </w:r>
      <w:r w:rsidR="004756D0">
        <w:rPr>
          <w:lang w:val="en-GB"/>
        </w:rPr>
        <w:t xml:space="preserve"> </w:t>
      </w:r>
      <w:r w:rsidR="001B553B" w:rsidRPr="00186C6A">
        <w:rPr>
          <w:lang w:val="en-GB"/>
        </w:rPr>
        <w:t>The discrepancy between the T</w:t>
      </w:r>
      <w:r w:rsidR="001B553B" w:rsidRPr="00082F08">
        <w:rPr>
          <w:vertAlign w:val="superscript"/>
          <w:lang w:val="en-GB"/>
        </w:rPr>
        <w:t>2</w:t>
      </w:r>
      <w:r w:rsidR="001B553B" w:rsidRPr="00186C6A">
        <w:rPr>
          <w:lang w:val="en-GB"/>
        </w:rPr>
        <w:t xml:space="preserve"> and SPE with OCSVM may arise because the threshold calculation for T</w:t>
      </w:r>
      <w:r w:rsidR="001B553B" w:rsidRPr="00082F08">
        <w:rPr>
          <w:vertAlign w:val="superscript"/>
          <w:lang w:val="en-GB"/>
        </w:rPr>
        <w:t>2</w:t>
      </w:r>
      <w:r w:rsidR="001B553B" w:rsidRPr="00186C6A">
        <w:rPr>
          <w:lang w:val="en-GB"/>
        </w:rPr>
        <w:t xml:space="preserve"> and SPE uses the F and normal distributions, respectively. In contrast, OCSVM approximates a kernel map, thus creating a tighter confidence interval than T</w:t>
      </w:r>
      <w:r w:rsidR="001B553B" w:rsidRPr="00082F08">
        <w:rPr>
          <w:vertAlign w:val="superscript"/>
          <w:lang w:val="en-GB"/>
        </w:rPr>
        <w:t>2</w:t>
      </w:r>
      <w:r w:rsidR="001B553B" w:rsidRPr="00186C6A">
        <w:rPr>
          <w:lang w:val="en-GB"/>
        </w:rPr>
        <w:t xml:space="preserve"> and SPE.  Regarding the discrepancy between the </w:t>
      </w:r>
      <w:r w:rsidR="004756D0">
        <w:rPr>
          <w:lang w:val="en-GB"/>
        </w:rPr>
        <w:t>synthetic</w:t>
      </w:r>
      <w:r w:rsidR="001B553B" w:rsidRPr="00186C6A">
        <w:rPr>
          <w:lang w:val="en-GB"/>
        </w:rPr>
        <w:t xml:space="preserve"> and non-</w:t>
      </w:r>
      <w:r w:rsidR="004756D0">
        <w:rPr>
          <w:lang w:val="en-GB"/>
        </w:rPr>
        <w:t>synthetic</w:t>
      </w:r>
      <w:r w:rsidR="001B553B" w:rsidRPr="00186C6A">
        <w:rPr>
          <w:lang w:val="en-GB"/>
        </w:rPr>
        <w:t xml:space="preserve"> PCA, it may arise due to random errors within the actual data set skewing the PCA fit. Whereas the </w:t>
      </w:r>
      <w:r w:rsidR="004756D0">
        <w:rPr>
          <w:lang w:val="en-GB"/>
        </w:rPr>
        <w:t>synthetic</w:t>
      </w:r>
      <w:r w:rsidR="001B553B" w:rsidRPr="00186C6A">
        <w:rPr>
          <w:lang w:val="en-GB"/>
        </w:rPr>
        <w:t xml:space="preserve"> data set provides a clear correlation with a much smaller error.</w:t>
      </w:r>
      <w:r w:rsidR="004756D0">
        <w:rPr>
          <w:lang w:val="en-GB"/>
        </w:rPr>
        <w:t xml:space="preserve"> </w:t>
      </w:r>
      <w:r w:rsidR="00F607A4" w:rsidRPr="004866A7">
        <w:rPr>
          <w:lang w:val="en-GB"/>
        </w:rPr>
        <w:t xml:space="preserve">To further illustrate the recalibration's performance, a </w:t>
      </w:r>
      <w:r w:rsidR="004756D0">
        <w:rPr>
          <w:lang w:val="en-GB"/>
        </w:rPr>
        <w:t>synthetic</w:t>
      </w:r>
      <w:r w:rsidR="00F607A4" w:rsidRPr="004866A7">
        <w:rPr>
          <w:lang w:val="en-GB"/>
        </w:rPr>
        <w:t xml:space="preserve"> PCA recalibrated with 15000 data points are</w:t>
      </w:r>
      <w:r w:rsidR="00F607A4">
        <w:rPr>
          <w:lang w:val="en-GB"/>
        </w:rPr>
        <w:t xml:space="preserve"> </w:t>
      </w:r>
      <w:r w:rsidR="00F607A4" w:rsidRPr="004866A7">
        <w:rPr>
          <w:lang w:val="en-GB"/>
        </w:rPr>
        <w:t xml:space="preserve">tested and shown in </w:t>
      </w:r>
      <w:r w:rsidR="00F607A4">
        <w:rPr>
          <w:lang w:val="en-GB"/>
        </w:rPr>
        <w:t xml:space="preserve">Figure </w:t>
      </w:r>
      <w:r w:rsidR="005939BD">
        <w:rPr>
          <w:lang w:val="en-GB"/>
        </w:rPr>
        <w:t>4</w:t>
      </w:r>
      <w:r w:rsidR="00F607A4" w:rsidRPr="004866A7">
        <w:rPr>
          <w:lang w:val="en-GB"/>
        </w:rPr>
        <w:t xml:space="preserve">. This model can have low FAR while still detecting the faults within the anomalous data set. Therefore, using </w:t>
      </w:r>
      <w:r w:rsidR="004756D0">
        <w:rPr>
          <w:lang w:val="en-GB"/>
        </w:rPr>
        <w:t>synthetic</w:t>
      </w:r>
      <w:r w:rsidR="00F607A4" w:rsidRPr="004866A7">
        <w:rPr>
          <w:lang w:val="en-GB"/>
        </w:rPr>
        <w:t xml:space="preserve"> PCA with </w:t>
      </w:r>
      <w:r w:rsidR="00F607A4" w:rsidRPr="00186C6A">
        <w:rPr>
          <w:lang w:val="en-GB"/>
        </w:rPr>
        <w:t>T</w:t>
      </w:r>
      <w:r w:rsidR="00F607A4" w:rsidRPr="00082F08">
        <w:rPr>
          <w:vertAlign w:val="superscript"/>
          <w:lang w:val="en-GB"/>
        </w:rPr>
        <w:t>2</w:t>
      </w:r>
      <w:r w:rsidR="00F607A4" w:rsidRPr="004866A7">
        <w:rPr>
          <w:lang w:val="en-GB"/>
        </w:rPr>
        <w:t xml:space="preserve"> and SPE appears to be optimal</w:t>
      </w:r>
      <w:r w:rsidR="00F607A4">
        <w:rPr>
          <w:lang w:val="en-GB"/>
        </w:rPr>
        <w:t>.</w:t>
      </w:r>
      <w:r w:rsidR="00EE0C66">
        <w:rPr>
          <w:lang w:val="en-GB"/>
        </w:rPr>
        <w:t xml:space="preserve"> Not shown in the paper is an alternative approach where the input process data were fed to the Aspen model and the Aspen model outputs were compared with actual output process data to generate an error metric analogous to an SPE value. This approach did not perform very well as it cannot account for large deviations, which are compatible with model predictions.  </w:t>
      </w:r>
    </w:p>
    <w:p w14:paraId="144DE6BA" w14:textId="77777777" w:rsidR="008D2649" w:rsidRPr="0033737B" w:rsidRDefault="008D2649" w:rsidP="005909BE">
      <w:pPr>
        <w:pStyle w:val="Els-1storder-head"/>
        <w:spacing w:after="120"/>
        <w:rPr>
          <w:lang w:val="en-GB"/>
        </w:rPr>
      </w:pPr>
      <w:r w:rsidRPr="0033737B">
        <w:rPr>
          <w:lang w:val="en-GB"/>
        </w:rPr>
        <w:t>Conclusions</w:t>
      </w:r>
    </w:p>
    <w:p w14:paraId="144DE6BE" w14:textId="0449A2CE" w:rsidR="008D2649" w:rsidRDefault="00045BB1" w:rsidP="005909BE">
      <w:pPr>
        <w:pStyle w:val="Els-body-text"/>
        <w:spacing w:after="120"/>
        <w:rPr>
          <w:lang w:val="en-GB"/>
        </w:rPr>
      </w:pPr>
      <w:r>
        <w:rPr>
          <w:lang w:val="en-GB"/>
        </w:rPr>
        <w:t>This study introduced</w:t>
      </w:r>
      <w:r w:rsidR="00E04E26">
        <w:rPr>
          <w:lang w:val="en-GB"/>
        </w:rPr>
        <w:t xml:space="preserve"> a concept for </w:t>
      </w:r>
      <w:r w:rsidR="004866A7" w:rsidRPr="004866A7">
        <w:rPr>
          <w:lang w:val="en-GB"/>
        </w:rPr>
        <w:t xml:space="preserve">leveraging </w:t>
      </w:r>
      <w:r w:rsidR="004756D0">
        <w:rPr>
          <w:lang w:val="en-GB"/>
        </w:rPr>
        <w:t>synthetic</w:t>
      </w:r>
      <w:r w:rsidR="004866A7" w:rsidRPr="004866A7">
        <w:rPr>
          <w:lang w:val="en-GB"/>
        </w:rPr>
        <w:t xml:space="preserve"> training data for</w:t>
      </w:r>
      <w:r w:rsidR="001807E0">
        <w:rPr>
          <w:lang w:val="en-GB"/>
        </w:rPr>
        <w:t xml:space="preserve"> a</w:t>
      </w:r>
      <w:r w:rsidR="004866A7" w:rsidRPr="004866A7">
        <w:rPr>
          <w:lang w:val="en-GB"/>
        </w:rPr>
        <w:t xml:space="preserve"> PCA-based process monitoring</w:t>
      </w:r>
      <w:r w:rsidR="00E04E26">
        <w:rPr>
          <w:lang w:val="en-GB"/>
        </w:rPr>
        <w:t xml:space="preserve"> approach</w:t>
      </w:r>
      <w:r w:rsidR="004866A7" w:rsidRPr="004866A7">
        <w:rPr>
          <w:lang w:val="en-GB"/>
        </w:rPr>
        <w:t xml:space="preserve">. </w:t>
      </w:r>
      <w:r w:rsidR="004756D0">
        <w:rPr>
          <w:lang w:val="en-GB"/>
        </w:rPr>
        <w:t>Synthetic</w:t>
      </w:r>
      <w:r w:rsidR="004866A7" w:rsidRPr="004866A7">
        <w:rPr>
          <w:lang w:val="en-GB"/>
        </w:rPr>
        <w:t xml:space="preserve"> training data allows data-driven process monitoring methods to be trained on minimal real data. The proposed method was validated by testing the PCA on real data, both normal and faulty.</w:t>
      </w:r>
      <w:r w:rsidR="00D462ED">
        <w:rPr>
          <w:lang w:val="en-GB"/>
        </w:rPr>
        <w:t xml:space="preserve"> </w:t>
      </w:r>
      <w:r w:rsidR="004866A7" w:rsidRPr="004866A7">
        <w:rPr>
          <w:lang w:val="en-GB"/>
        </w:rPr>
        <w:t xml:space="preserve">Upon recalibration, the </w:t>
      </w:r>
      <w:r w:rsidR="004756D0">
        <w:rPr>
          <w:lang w:val="en-GB"/>
        </w:rPr>
        <w:t>synthetic</w:t>
      </w:r>
      <w:r w:rsidR="004866A7" w:rsidRPr="004866A7">
        <w:rPr>
          <w:lang w:val="en-GB"/>
        </w:rPr>
        <w:t>-trained PCA could perform</w:t>
      </w:r>
      <w:r w:rsidR="00E04E26">
        <w:rPr>
          <w:lang w:val="en-GB"/>
        </w:rPr>
        <w:t xml:space="preserve"> on-par or better compared to a PCA using real data</w:t>
      </w:r>
      <w:r w:rsidR="004866A7" w:rsidRPr="004866A7">
        <w:rPr>
          <w:lang w:val="en-GB"/>
        </w:rPr>
        <w:t xml:space="preserve"> </w:t>
      </w:r>
      <w:r w:rsidR="004866A7" w:rsidRPr="004866A7">
        <w:rPr>
          <w:lang w:val="en-GB"/>
        </w:rPr>
        <w:lastRenderedPageBreak/>
        <w:t xml:space="preserve">with </w:t>
      </w:r>
      <w:r w:rsidR="00D462ED">
        <w:rPr>
          <w:lang w:val="en-GB"/>
        </w:rPr>
        <w:t>75% less training</w:t>
      </w:r>
      <w:r w:rsidR="00E04E26">
        <w:rPr>
          <w:lang w:val="en-GB"/>
        </w:rPr>
        <w:t xml:space="preserve"> samples</w:t>
      </w:r>
      <w:r w:rsidR="004866A7" w:rsidRPr="004866A7">
        <w:rPr>
          <w:lang w:val="en-GB"/>
        </w:rPr>
        <w:t>.</w:t>
      </w:r>
      <w:r w:rsidR="003228FC">
        <w:rPr>
          <w:lang w:val="en-GB"/>
        </w:rPr>
        <w:t xml:space="preserve"> </w:t>
      </w:r>
      <w:r w:rsidR="004866A7" w:rsidRPr="004866A7">
        <w:rPr>
          <w:lang w:val="en-GB"/>
        </w:rPr>
        <w:t xml:space="preserve">This method can be extended by using higher fidelity design </w:t>
      </w:r>
      <w:r w:rsidR="00EE0C66">
        <w:rPr>
          <w:lang w:val="en-GB"/>
        </w:rPr>
        <w:t>information</w:t>
      </w:r>
      <w:r w:rsidR="004866A7" w:rsidRPr="004866A7">
        <w:rPr>
          <w:lang w:val="en-GB"/>
        </w:rPr>
        <w:t xml:space="preserve"> such as detailed heat exchangers and valve models. </w:t>
      </w:r>
      <w:r w:rsidR="00E04E26">
        <w:rPr>
          <w:lang w:val="en-GB"/>
        </w:rPr>
        <w:t>More complex models such as adversarial auto-encoders can also be used to generate SPE values to account for the nonlinearity in the process.</w:t>
      </w:r>
      <w:r w:rsidR="003228FC">
        <w:rPr>
          <w:lang w:val="en-GB"/>
        </w:rPr>
        <w:t xml:space="preserve"> It is well-known that </w:t>
      </w:r>
      <w:r w:rsidR="00F2271F">
        <w:rPr>
          <w:lang w:val="en-GB"/>
        </w:rPr>
        <w:t>closed-loop controller</w:t>
      </w:r>
      <w:r w:rsidR="003228FC">
        <w:rPr>
          <w:lang w:val="en-GB"/>
        </w:rPr>
        <w:t>s influence the distribution of process data</w:t>
      </w:r>
      <w:r w:rsidR="00F2271F">
        <w:rPr>
          <w:lang w:val="en-GB"/>
        </w:rPr>
        <w:t>. Replicating the control architecture in the simulations to generate closed-loop data and analysing the impact of synthetic closed-loop data on the performance of the proposed approach</w:t>
      </w:r>
      <w:r w:rsidR="003228FC">
        <w:rPr>
          <w:lang w:val="en-GB"/>
        </w:rPr>
        <w:t xml:space="preserve"> is a direction for future work.</w:t>
      </w:r>
    </w:p>
    <w:p w14:paraId="5005DA5F" w14:textId="77777777" w:rsidR="0073683A" w:rsidRDefault="0073683A" w:rsidP="0073683A">
      <w:pPr>
        <w:pStyle w:val="Els-body-text"/>
        <w:spacing w:after="120"/>
        <w:rPr>
          <w:lang w:val="en-GB"/>
        </w:rPr>
      </w:pPr>
      <w:r>
        <w:rPr>
          <w:noProof/>
          <w:lang w:val="en-GB"/>
        </w:rPr>
        <w:drawing>
          <wp:inline distT="0" distB="0" distL="0" distR="0" wp14:anchorId="1371E462" wp14:editId="13534DA2">
            <wp:extent cx="1440000" cy="1090933"/>
            <wp:effectExtent l="0" t="0" r="8255" b="0"/>
            <wp:docPr id="1657884860" name="Picture 10" descr="A graph of a number of samp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84860" name="Picture 10" descr="A graph of a number of samples&#10;&#10;Description automatically generated"/>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40000" cy="1090933"/>
                    </a:xfrm>
                    <a:prstGeom prst="rect">
                      <a:avLst/>
                    </a:prstGeom>
                    <a:noFill/>
                    <a:ln>
                      <a:noFill/>
                    </a:ln>
                  </pic:spPr>
                </pic:pic>
              </a:graphicData>
            </a:graphic>
          </wp:inline>
        </w:drawing>
      </w:r>
      <w:r>
        <w:rPr>
          <w:noProof/>
          <w:lang w:val="en-GB"/>
        </w:rPr>
        <w:drawing>
          <wp:inline distT="0" distB="0" distL="0" distR="0" wp14:anchorId="7DD60502" wp14:editId="168B10AB">
            <wp:extent cx="1440000" cy="1098305"/>
            <wp:effectExtent l="0" t="0" r="8255" b="6985"/>
            <wp:docPr id="1479150635" name="Picture 12"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50635" name="Picture 12" descr="A graph with blue and orange lines&#10;&#10;Description automatically generated"/>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40000" cy="1098305"/>
                    </a:xfrm>
                    <a:prstGeom prst="rect">
                      <a:avLst/>
                    </a:prstGeom>
                    <a:noFill/>
                    <a:ln>
                      <a:noFill/>
                    </a:ln>
                  </pic:spPr>
                </pic:pic>
              </a:graphicData>
            </a:graphic>
          </wp:inline>
        </w:drawing>
      </w:r>
      <w:r>
        <w:rPr>
          <w:noProof/>
          <w:lang w:val="en-GB"/>
        </w:rPr>
        <w:drawing>
          <wp:inline distT="0" distB="0" distL="0" distR="0" wp14:anchorId="700B3C2C" wp14:editId="7A104BD5">
            <wp:extent cx="1440000" cy="1098083"/>
            <wp:effectExtent l="0" t="0" r="8255" b="6985"/>
            <wp:docPr id="1949600379" name="Picture 1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00379" name="Picture 11" descr="A graph of a graph&#10;&#10;Description automatically generated"/>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440000" cy="1098083"/>
                    </a:xfrm>
                    <a:prstGeom prst="rect">
                      <a:avLst/>
                    </a:prstGeom>
                    <a:noFill/>
                    <a:ln>
                      <a:noFill/>
                    </a:ln>
                  </pic:spPr>
                </pic:pic>
              </a:graphicData>
            </a:graphic>
          </wp:inline>
        </w:drawing>
      </w:r>
    </w:p>
    <w:p w14:paraId="0B9753D1" w14:textId="7CA4FDD2" w:rsidR="0073683A" w:rsidRPr="003228FC" w:rsidRDefault="0073683A" w:rsidP="0073683A">
      <w:pPr>
        <w:pStyle w:val="Els-body-text"/>
        <w:spacing w:after="120"/>
        <w:jc w:val="center"/>
        <w:rPr>
          <w:sz w:val="18"/>
          <w:szCs w:val="18"/>
          <w:lang w:val="en-GB"/>
        </w:rPr>
      </w:pPr>
      <w:r w:rsidRPr="003228FC">
        <w:rPr>
          <w:sz w:val="18"/>
          <w:szCs w:val="18"/>
        </w:rPr>
        <w:t xml:space="preserve">Figure </w:t>
      </w:r>
      <w:r w:rsidR="005939BD" w:rsidRPr="003228FC">
        <w:rPr>
          <w:sz w:val="18"/>
          <w:szCs w:val="18"/>
        </w:rPr>
        <w:t>3</w:t>
      </w:r>
      <w:r w:rsidRPr="003228FC">
        <w:rPr>
          <w:sz w:val="18"/>
          <w:szCs w:val="18"/>
        </w:rPr>
        <w:t>. FAR values for recalibrating T</w:t>
      </w:r>
      <w:r w:rsidRPr="003228FC">
        <w:rPr>
          <w:sz w:val="18"/>
          <w:szCs w:val="18"/>
          <w:vertAlign w:val="superscript"/>
        </w:rPr>
        <w:t>2</w:t>
      </w:r>
      <w:r w:rsidRPr="003228FC">
        <w:rPr>
          <w:sz w:val="18"/>
          <w:szCs w:val="18"/>
        </w:rPr>
        <w:t xml:space="preserve"> and SPE (left), OCSVM (</w:t>
      </w:r>
      <w:proofErr w:type="spellStart"/>
      <w:r w:rsidRPr="003228FC">
        <w:rPr>
          <w:sz w:val="18"/>
          <w:szCs w:val="18"/>
        </w:rPr>
        <w:t>centre</w:t>
      </w:r>
      <w:proofErr w:type="spellEnd"/>
      <w:r w:rsidRPr="003228FC">
        <w:rPr>
          <w:sz w:val="18"/>
          <w:szCs w:val="18"/>
        </w:rPr>
        <w:t>), and non-artificial (right) PCA.</w:t>
      </w:r>
    </w:p>
    <w:p w14:paraId="47774295" w14:textId="77777777" w:rsidR="0073683A" w:rsidRDefault="0073683A" w:rsidP="0073683A">
      <w:pPr>
        <w:pStyle w:val="Els-body-text"/>
        <w:spacing w:after="120"/>
        <w:jc w:val="center"/>
        <w:rPr>
          <w:lang w:val="en-GB"/>
        </w:rPr>
      </w:pPr>
      <w:r>
        <w:rPr>
          <w:noProof/>
          <w:lang w:val="en-GB"/>
        </w:rPr>
        <w:drawing>
          <wp:inline distT="0" distB="0" distL="0" distR="0" wp14:anchorId="5E3A214A" wp14:editId="771BF7E9">
            <wp:extent cx="2160000" cy="1612917"/>
            <wp:effectExtent l="0" t="0" r="0" b="6350"/>
            <wp:docPr id="1588262077" name="Picture 8" descr="A graph of a number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62077" name="Picture 8" descr="A graph of a number of different colored lines&#10;&#10;Description automatically generated with medium confidence"/>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160000" cy="1612917"/>
                    </a:xfrm>
                    <a:prstGeom prst="rect">
                      <a:avLst/>
                    </a:prstGeom>
                    <a:noFill/>
                    <a:ln>
                      <a:noFill/>
                    </a:ln>
                  </pic:spPr>
                </pic:pic>
              </a:graphicData>
            </a:graphic>
          </wp:inline>
        </w:drawing>
      </w:r>
      <w:r>
        <w:rPr>
          <w:noProof/>
          <w:lang w:val="en-GB"/>
        </w:rPr>
        <w:drawing>
          <wp:inline distT="0" distB="0" distL="0" distR="0" wp14:anchorId="0702924B" wp14:editId="08B30969">
            <wp:extent cx="2160000" cy="1652208"/>
            <wp:effectExtent l="0" t="0" r="0" b="5715"/>
            <wp:docPr id="1691337040" name="Picture 9"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7040" name="Picture 9" descr="A graph of different colored lines&#10;&#10;Description automatically generated"/>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160000" cy="1652208"/>
                    </a:xfrm>
                    <a:prstGeom prst="rect">
                      <a:avLst/>
                    </a:prstGeom>
                    <a:noFill/>
                    <a:ln>
                      <a:noFill/>
                    </a:ln>
                  </pic:spPr>
                </pic:pic>
              </a:graphicData>
            </a:graphic>
          </wp:inline>
        </w:drawing>
      </w:r>
    </w:p>
    <w:p w14:paraId="34377EBD" w14:textId="42B000D8" w:rsidR="0073683A" w:rsidRPr="003228FC" w:rsidRDefault="0073683A" w:rsidP="0073683A">
      <w:pPr>
        <w:pStyle w:val="Els-body-text"/>
        <w:spacing w:after="120"/>
        <w:jc w:val="center"/>
        <w:rPr>
          <w:sz w:val="18"/>
          <w:szCs w:val="18"/>
          <w:lang w:val="en-GB"/>
        </w:rPr>
      </w:pPr>
      <w:r w:rsidRPr="003228FC">
        <w:rPr>
          <w:sz w:val="18"/>
          <w:szCs w:val="18"/>
        </w:rPr>
        <w:t xml:space="preserve">Figure </w:t>
      </w:r>
      <w:r w:rsidR="005939BD" w:rsidRPr="003228FC">
        <w:rPr>
          <w:sz w:val="18"/>
          <w:szCs w:val="18"/>
        </w:rPr>
        <w:t>4</w:t>
      </w:r>
      <w:r w:rsidRPr="003228FC">
        <w:rPr>
          <w:sz w:val="18"/>
          <w:szCs w:val="18"/>
        </w:rPr>
        <w:t>. SPE (left) and T</w:t>
      </w:r>
      <w:r w:rsidRPr="003228FC">
        <w:rPr>
          <w:sz w:val="18"/>
          <w:szCs w:val="18"/>
          <w:vertAlign w:val="superscript"/>
        </w:rPr>
        <w:t xml:space="preserve">2 </w:t>
      </w:r>
      <w:r w:rsidRPr="003228FC">
        <w:rPr>
          <w:sz w:val="18"/>
          <w:szCs w:val="18"/>
        </w:rPr>
        <w:t xml:space="preserve">(right) values for </w:t>
      </w:r>
      <w:r w:rsidR="00E04E26" w:rsidRPr="003228FC">
        <w:rPr>
          <w:sz w:val="18"/>
          <w:szCs w:val="18"/>
        </w:rPr>
        <w:t xml:space="preserve">Synthetic </w:t>
      </w:r>
      <w:r w:rsidRPr="003228FC">
        <w:rPr>
          <w:sz w:val="18"/>
          <w:szCs w:val="18"/>
        </w:rPr>
        <w:t>PCA updated with 15000 samples.</w:t>
      </w:r>
    </w:p>
    <w:p w14:paraId="144DE6BF" w14:textId="608D0AD6" w:rsidR="008D2649" w:rsidRDefault="008D2649" w:rsidP="008D2649">
      <w:pPr>
        <w:pStyle w:val="Els-reference-head"/>
        <w:rPr>
          <w:lang w:val="en-GB"/>
        </w:rPr>
      </w:pPr>
      <w:r w:rsidRPr="0033737B">
        <w:rPr>
          <w:lang w:val="en-GB"/>
        </w:rPr>
        <w:t>References</w:t>
      </w:r>
    </w:p>
    <w:p w14:paraId="42BE0DE9" w14:textId="4AE47450" w:rsidR="00D07EFD" w:rsidRPr="00D07EFD" w:rsidRDefault="00D07EFD" w:rsidP="00D07EFD">
      <w:pPr>
        <w:widowControl w:val="0"/>
        <w:autoSpaceDE w:val="0"/>
        <w:autoSpaceDN w:val="0"/>
        <w:adjustRightInd w:val="0"/>
        <w:ind w:left="480" w:hanging="480"/>
        <w:rPr>
          <w:noProof/>
          <w:sz w:val="18"/>
          <w:szCs w:val="24"/>
        </w:rPr>
      </w:pPr>
      <w:r>
        <w:fldChar w:fldCharType="begin" w:fldLock="1"/>
      </w:r>
      <w:r>
        <w:instrText xml:space="preserve">ADDIN Mendeley Bibliography CSL_BIBLIOGRAPHY </w:instrText>
      </w:r>
      <w:r>
        <w:fldChar w:fldCharType="separate"/>
      </w:r>
      <w:r w:rsidRPr="00D07EFD">
        <w:rPr>
          <w:noProof/>
          <w:sz w:val="18"/>
          <w:szCs w:val="24"/>
        </w:rPr>
        <w:t>Abdi, H., Williams, L.J., 2010. Principal component analysis. WIREs Comp Stat 2: 433--459.</w:t>
      </w:r>
    </w:p>
    <w:p w14:paraId="102869B5" w14:textId="77777777" w:rsidR="00D07EFD" w:rsidRPr="00D07EFD" w:rsidRDefault="00D07EFD" w:rsidP="00D07EFD">
      <w:pPr>
        <w:widowControl w:val="0"/>
        <w:autoSpaceDE w:val="0"/>
        <w:autoSpaceDN w:val="0"/>
        <w:adjustRightInd w:val="0"/>
        <w:ind w:left="480" w:hanging="480"/>
        <w:rPr>
          <w:noProof/>
          <w:sz w:val="18"/>
          <w:szCs w:val="24"/>
        </w:rPr>
      </w:pPr>
      <w:r w:rsidRPr="00D07EFD">
        <w:rPr>
          <w:noProof/>
          <w:sz w:val="18"/>
          <w:szCs w:val="24"/>
        </w:rPr>
        <w:t>Burhenne, S., Jacob, D., Henze, G.P., others, 2011. Sampling based on Sobol’sequences for Monte Carlo techniques applied to building simulations, in: Proc. Int. Conf. Build. Simulat. pp. 1816–1823.</w:t>
      </w:r>
    </w:p>
    <w:p w14:paraId="796BF1DC" w14:textId="12EE9EC9" w:rsidR="00D07EFD" w:rsidRPr="00D07EFD" w:rsidRDefault="00D07EFD" w:rsidP="00D07EFD">
      <w:pPr>
        <w:widowControl w:val="0"/>
        <w:autoSpaceDE w:val="0"/>
        <w:autoSpaceDN w:val="0"/>
        <w:adjustRightInd w:val="0"/>
        <w:ind w:left="480" w:hanging="480"/>
        <w:rPr>
          <w:noProof/>
          <w:sz w:val="18"/>
          <w:szCs w:val="24"/>
        </w:rPr>
      </w:pPr>
      <w:r w:rsidRPr="00D07EFD">
        <w:rPr>
          <w:noProof/>
          <w:sz w:val="18"/>
          <w:szCs w:val="24"/>
        </w:rPr>
        <w:t xml:space="preserve">Harrou, F., Sun, Y., Hering, A.S., Madakyaru, M., Dairi, A., 2021. Statistical Process Monitoring Using Advanced Data-Driven and Deep Learning Approaches, Statistical Process Monitoring Using Advanced Data-Driven and Deep Learning Approaches. Elsevier. </w:t>
      </w:r>
    </w:p>
    <w:p w14:paraId="3D2A6C19" w14:textId="77777777" w:rsidR="00D07EFD" w:rsidRPr="00D07EFD" w:rsidRDefault="00D07EFD" w:rsidP="00D07EFD">
      <w:pPr>
        <w:widowControl w:val="0"/>
        <w:autoSpaceDE w:val="0"/>
        <w:autoSpaceDN w:val="0"/>
        <w:adjustRightInd w:val="0"/>
        <w:ind w:left="480" w:hanging="480"/>
        <w:rPr>
          <w:noProof/>
          <w:sz w:val="18"/>
          <w:szCs w:val="24"/>
        </w:rPr>
      </w:pPr>
      <w:r w:rsidRPr="00D07EFD">
        <w:rPr>
          <w:noProof/>
          <w:sz w:val="18"/>
          <w:szCs w:val="24"/>
        </w:rPr>
        <w:t>Hotelling, H., 1933. Analysis of a complex of statistical variables into principal components. J. Educ. Psychol. 24, 417.</w:t>
      </w:r>
    </w:p>
    <w:p w14:paraId="1F81D992" w14:textId="692148D6" w:rsidR="00D07EFD" w:rsidRPr="00D07EFD" w:rsidRDefault="00D07EFD" w:rsidP="00D07EFD">
      <w:pPr>
        <w:widowControl w:val="0"/>
        <w:autoSpaceDE w:val="0"/>
        <w:autoSpaceDN w:val="0"/>
        <w:adjustRightInd w:val="0"/>
        <w:ind w:left="480" w:hanging="480"/>
        <w:rPr>
          <w:noProof/>
          <w:sz w:val="18"/>
          <w:szCs w:val="24"/>
        </w:rPr>
      </w:pPr>
      <w:r w:rsidRPr="00D07EFD">
        <w:rPr>
          <w:noProof/>
          <w:sz w:val="18"/>
          <w:szCs w:val="24"/>
        </w:rPr>
        <w:t xml:space="preserve">Jiang, Q., Yan, X., Huang, B., 2019. Review and Perspectives of Data-Driven Distributed Monitoring for Industrial Plant-Wide Processes. Ind. Eng. Chem. Res. 58, 12899–12912. </w:t>
      </w:r>
    </w:p>
    <w:p w14:paraId="53846B63" w14:textId="77777777" w:rsidR="00D07EFD" w:rsidRDefault="00D07EFD" w:rsidP="00D07EFD">
      <w:pPr>
        <w:widowControl w:val="0"/>
        <w:autoSpaceDE w:val="0"/>
        <w:autoSpaceDN w:val="0"/>
        <w:adjustRightInd w:val="0"/>
        <w:ind w:left="480" w:hanging="480"/>
        <w:rPr>
          <w:noProof/>
          <w:sz w:val="18"/>
          <w:szCs w:val="24"/>
        </w:rPr>
      </w:pPr>
      <w:r w:rsidRPr="00D07EFD">
        <w:rPr>
          <w:noProof/>
          <w:sz w:val="18"/>
          <w:szCs w:val="24"/>
        </w:rPr>
        <w:t>Joe Qin, S., 2003. Statistical process monitoring: basics and beyond. J. Chemom. A J. Chemom. Soc. 17, 480–502.</w:t>
      </w:r>
    </w:p>
    <w:p w14:paraId="299E501C" w14:textId="1102B553" w:rsidR="00BB716F" w:rsidRPr="00BB716F" w:rsidRDefault="00BB716F" w:rsidP="00BB716F">
      <w:pPr>
        <w:widowControl w:val="0"/>
        <w:autoSpaceDE w:val="0"/>
        <w:autoSpaceDN w:val="0"/>
        <w:adjustRightInd w:val="0"/>
        <w:ind w:left="480" w:hanging="480"/>
        <w:rPr>
          <w:sz w:val="18"/>
          <w:szCs w:val="18"/>
        </w:rPr>
      </w:pPr>
      <w:r w:rsidRPr="00BB716F">
        <w:rPr>
          <w:sz w:val="18"/>
          <w:szCs w:val="18"/>
        </w:rPr>
        <w:t>Kubosawa, S., Onishi, T. and Tsuruoka, Y., 2022. Sim-to-real transfer in reinforcement learning-based, non-steady-state control for chemical plants. SICE Journal of Control, Measurement, and System Integration, 15, 10-23.</w:t>
      </w:r>
    </w:p>
    <w:p w14:paraId="12EE4943" w14:textId="6CFE829E" w:rsidR="00A56F99" w:rsidRDefault="00D07EFD" w:rsidP="00A56F99">
      <w:pPr>
        <w:widowControl w:val="0"/>
        <w:autoSpaceDE w:val="0"/>
        <w:autoSpaceDN w:val="0"/>
        <w:adjustRightInd w:val="0"/>
        <w:ind w:left="480" w:hanging="480"/>
      </w:pPr>
      <w:r w:rsidRPr="00D07EFD">
        <w:rPr>
          <w:noProof/>
          <w:sz w:val="18"/>
          <w:szCs w:val="24"/>
        </w:rPr>
        <w:t>Wang, D., Yeung, D.S., Tsang, E.C.C., 2006. Structured one-class classification. IEEE Trans. Syst. Man, Cybern. Part B 36, 1283–1295.</w:t>
      </w:r>
      <w:r>
        <w:fldChar w:fldCharType="end"/>
      </w:r>
    </w:p>
    <w:sectPr w:rsidR="00A56F99" w:rsidSect="008B0184">
      <w:headerReference w:type="even" r:id="rId19"/>
      <w:headerReference w:type="default" r:id="rId20"/>
      <w:head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143F" w14:textId="77777777" w:rsidR="00ED38DF" w:rsidRDefault="00ED38DF">
      <w:r>
        <w:separator/>
      </w:r>
    </w:p>
  </w:endnote>
  <w:endnote w:type="continuationSeparator" w:id="0">
    <w:p w14:paraId="3C6D4501" w14:textId="77777777" w:rsidR="00ED38DF" w:rsidRDefault="00ED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gency FB"/>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9C2B" w14:textId="77777777" w:rsidR="00ED38DF" w:rsidRDefault="00ED38DF">
      <w:r>
        <w:separator/>
      </w:r>
    </w:p>
  </w:footnote>
  <w:footnote w:type="continuationSeparator" w:id="0">
    <w:p w14:paraId="7ADB96A3" w14:textId="77777777" w:rsidR="00ED38DF" w:rsidRDefault="00ED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D926D9B" w:rsidR="00DD3D9E" w:rsidRPr="008740D8" w:rsidRDefault="00820E9A" w:rsidP="00820E9A">
    <w:pPr>
      <w:pStyle w:val="Header"/>
      <w:tabs>
        <w:tab w:val="clear" w:pos="7200"/>
        <w:tab w:val="right" w:pos="7088"/>
      </w:tabs>
      <w:rPr>
        <w:i/>
        <w:iCs/>
      </w:rPr>
    </w:pPr>
    <w:r w:rsidRPr="00820E9A">
      <w:rPr>
        <w:i/>
      </w:rPr>
      <w:tab/>
    </w:r>
    <w:r w:rsidRPr="00820E9A">
      <w:rPr>
        <w:i/>
      </w:rPr>
      <w:tab/>
    </w:r>
    <w:r w:rsidRPr="008740D8">
      <w:rPr>
        <w:i/>
        <w:iCs/>
      </w:rPr>
      <w:t xml:space="preserve">A. </w:t>
    </w:r>
    <w:r w:rsidR="00572D41" w:rsidRPr="008740D8">
      <w:rPr>
        <w:i/>
        <w:iCs/>
      </w:rPr>
      <w:t>Malandri and M. Mercang</w:t>
    </w:r>
    <w:r w:rsidR="008740D8" w:rsidRPr="008740D8">
      <w:rPr>
        <w:rFonts w:hint="eastAsia"/>
        <w:i/>
        <w:iCs/>
      </w:rPr>
      <w:t>ö</w:t>
    </w:r>
    <w:r w:rsidR="008740D8" w:rsidRPr="008740D8">
      <w:rPr>
        <w:i/>
        <w:iCs/>
      </w:rPr>
      <w: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A69301D" w:rsidR="00DD3D9E" w:rsidRDefault="00606B54">
    <w:pPr>
      <w:pStyle w:val="Header"/>
      <w:tabs>
        <w:tab w:val="clear" w:pos="7200"/>
        <w:tab w:val="right" w:pos="7088"/>
      </w:tabs>
      <w:jc w:val="right"/>
      <w:rPr>
        <w:sz w:val="24"/>
      </w:rPr>
    </w:pPr>
    <w:r>
      <w:rPr>
        <w:i/>
      </w:rPr>
      <w:t>D</w:t>
    </w:r>
    <w:r w:rsidR="00E71143">
      <w:rPr>
        <w:i/>
      </w:rPr>
      <w:t>igital Twins for Process Monitoring and Anomaly Detection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A12EC6"/>
    <w:multiLevelType w:val="hybridMultilevel"/>
    <w:tmpl w:val="2F7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7773C"/>
    <w:multiLevelType w:val="hybridMultilevel"/>
    <w:tmpl w:val="41BC16E8"/>
    <w:lvl w:ilvl="0" w:tplc="212A8AF4">
      <w:start w:val="1"/>
      <w:numFmt w:val="upperLetter"/>
      <w:lvlText w:val="%1."/>
      <w:lvlJc w:val="left"/>
      <w:pPr>
        <w:ind w:left="7284" w:hanging="360"/>
      </w:pPr>
      <w:rPr>
        <w:rFonts w:hint="default"/>
        <w:i/>
      </w:rPr>
    </w:lvl>
    <w:lvl w:ilvl="1" w:tplc="04090019" w:tentative="1">
      <w:start w:val="1"/>
      <w:numFmt w:val="lowerLetter"/>
      <w:lvlText w:val="%2."/>
      <w:lvlJc w:val="left"/>
      <w:pPr>
        <w:ind w:left="8004" w:hanging="360"/>
      </w:pPr>
    </w:lvl>
    <w:lvl w:ilvl="2" w:tplc="0409001B" w:tentative="1">
      <w:start w:val="1"/>
      <w:numFmt w:val="lowerRoman"/>
      <w:lvlText w:val="%3."/>
      <w:lvlJc w:val="right"/>
      <w:pPr>
        <w:ind w:left="8724" w:hanging="180"/>
      </w:pPr>
    </w:lvl>
    <w:lvl w:ilvl="3" w:tplc="0409000F" w:tentative="1">
      <w:start w:val="1"/>
      <w:numFmt w:val="decimal"/>
      <w:lvlText w:val="%4."/>
      <w:lvlJc w:val="left"/>
      <w:pPr>
        <w:ind w:left="9444" w:hanging="360"/>
      </w:pPr>
    </w:lvl>
    <w:lvl w:ilvl="4" w:tplc="04090019" w:tentative="1">
      <w:start w:val="1"/>
      <w:numFmt w:val="lowerLetter"/>
      <w:lvlText w:val="%5."/>
      <w:lvlJc w:val="left"/>
      <w:pPr>
        <w:ind w:left="10164" w:hanging="360"/>
      </w:pPr>
    </w:lvl>
    <w:lvl w:ilvl="5" w:tplc="0409001B" w:tentative="1">
      <w:start w:val="1"/>
      <w:numFmt w:val="lowerRoman"/>
      <w:lvlText w:val="%6."/>
      <w:lvlJc w:val="right"/>
      <w:pPr>
        <w:ind w:left="10884" w:hanging="180"/>
      </w:pPr>
    </w:lvl>
    <w:lvl w:ilvl="6" w:tplc="0409000F" w:tentative="1">
      <w:start w:val="1"/>
      <w:numFmt w:val="decimal"/>
      <w:lvlText w:val="%7."/>
      <w:lvlJc w:val="left"/>
      <w:pPr>
        <w:ind w:left="11604" w:hanging="360"/>
      </w:pPr>
    </w:lvl>
    <w:lvl w:ilvl="7" w:tplc="04090019" w:tentative="1">
      <w:start w:val="1"/>
      <w:numFmt w:val="lowerLetter"/>
      <w:lvlText w:val="%8."/>
      <w:lvlJc w:val="left"/>
      <w:pPr>
        <w:ind w:left="12324" w:hanging="360"/>
      </w:pPr>
    </w:lvl>
    <w:lvl w:ilvl="8" w:tplc="0409001B" w:tentative="1">
      <w:start w:val="1"/>
      <w:numFmt w:val="lowerRoman"/>
      <w:lvlText w:val="%9."/>
      <w:lvlJc w:val="right"/>
      <w:pPr>
        <w:ind w:left="13044" w:hanging="180"/>
      </w:p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346717359">
    <w:abstractNumId w:val="16"/>
  </w:num>
  <w:num w:numId="20" w16cid:durableId="1982886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35A"/>
    <w:rsid w:val="00012D5B"/>
    <w:rsid w:val="000205BE"/>
    <w:rsid w:val="00025B3D"/>
    <w:rsid w:val="000317B1"/>
    <w:rsid w:val="00033044"/>
    <w:rsid w:val="00042818"/>
    <w:rsid w:val="00044896"/>
    <w:rsid w:val="00045BB1"/>
    <w:rsid w:val="000464BB"/>
    <w:rsid w:val="000470A5"/>
    <w:rsid w:val="00066932"/>
    <w:rsid w:val="00075DBF"/>
    <w:rsid w:val="0007608D"/>
    <w:rsid w:val="00081A7F"/>
    <w:rsid w:val="00082465"/>
    <w:rsid w:val="00082F08"/>
    <w:rsid w:val="00087287"/>
    <w:rsid w:val="00090D57"/>
    <w:rsid w:val="00093572"/>
    <w:rsid w:val="00094293"/>
    <w:rsid w:val="000A42A5"/>
    <w:rsid w:val="000B24A4"/>
    <w:rsid w:val="000C271A"/>
    <w:rsid w:val="000D3D9B"/>
    <w:rsid w:val="00115C7C"/>
    <w:rsid w:val="00130BF9"/>
    <w:rsid w:val="00133EE6"/>
    <w:rsid w:val="00135DB1"/>
    <w:rsid w:val="00147237"/>
    <w:rsid w:val="00154FE0"/>
    <w:rsid w:val="0016032F"/>
    <w:rsid w:val="001807E0"/>
    <w:rsid w:val="00186C6A"/>
    <w:rsid w:val="001879F6"/>
    <w:rsid w:val="001A4DAE"/>
    <w:rsid w:val="001B4132"/>
    <w:rsid w:val="001B553B"/>
    <w:rsid w:val="001B6AE3"/>
    <w:rsid w:val="001C0148"/>
    <w:rsid w:val="001C15A8"/>
    <w:rsid w:val="001C757E"/>
    <w:rsid w:val="001D02DC"/>
    <w:rsid w:val="001D2E79"/>
    <w:rsid w:val="001D34DF"/>
    <w:rsid w:val="0020390F"/>
    <w:rsid w:val="00205AD9"/>
    <w:rsid w:val="002062DA"/>
    <w:rsid w:val="00214785"/>
    <w:rsid w:val="00223830"/>
    <w:rsid w:val="00224D1B"/>
    <w:rsid w:val="002250C6"/>
    <w:rsid w:val="0022726F"/>
    <w:rsid w:val="002354EF"/>
    <w:rsid w:val="00251705"/>
    <w:rsid w:val="00253D03"/>
    <w:rsid w:val="00257D0D"/>
    <w:rsid w:val="00264926"/>
    <w:rsid w:val="002732D4"/>
    <w:rsid w:val="00280014"/>
    <w:rsid w:val="0029074C"/>
    <w:rsid w:val="002A6934"/>
    <w:rsid w:val="002B4564"/>
    <w:rsid w:val="002B6C1E"/>
    <w:rsid w:val="002C5E73"/>
    <w:rsid w:val="002C602D"/>
    <w:rsid w:val="002E629D"/>
    <w:rsid w:val="002F27C8"/>
    <w:rsid w:val="003118DE"/>
    <w:rsid w:val="003228FC"/>
    <w:rsid w:val="0033737B"/>
    <w:rsid w:val="0035392D"/>
    <w:rsid w:val="003622A0"/>
    <w:rsid w:val="003675B3"/>
    <w:rsid w:val="0037182A"/>
    <w:rsid w:val="003813F5"/>
    <w:rsid w:val="00383BA2"/>
    <w:rsid w:val="00386260"/>
    <w:rsid w:val="00393012"/>
    <w:rsid w:val="003C08C8"/>
    <w:rsid w:val="003C1E9D"/>
    <w:rsid w:val="003C276B"/>
    <w:rsid w:val="003D1582"/>
    <w:rsid w:val="003D2F13"/>
    <w:rsid w:val="003D7E4C"/>
    <w:rsid w:val="003E41C2"/>
    <w:rsid w:val="003F0440"/>
    <w:rsid w:val="003F5957"/>
    <w:rsid w:val="0040243D"/>
    <w:rsid w:val="0040286A"/>
    <w:rsid w:val="004266D1"/>
    <w:rsid w:val="004756D0"/>
    <w:rsid w:val="00476677"/>
    <w:rsid w:val="0048628B"/>
    <w:rsid w:val="004866A7"/>
    <w:rsid w:val="0049772C"/>
    <w:rsid w:val="004A06D6"/>
    <w:rsid w:val="004A3F4F"/>
    <w:rsid w:val="004A547C"/>
    <w:rsid w:val="004B1BDA"/>
    <w:rsid w:val="004F6AC5"/>
    <w:rsid w:val="004F749C"/>
    <w:rsid w:val="005012ED"/>
    <w:rsid w:val="00503776"/>
    <w:rsid w:val="0051681B"/>
    <w:rsid w:val="0052453D"/>
    <w:rsid w:val="005357B6"/>
    <w:rsid w:val="00541D1D"/>
    <w:rsid w:val="00545523"/>
    <w:rsid w:val="005522DA"/>
    <w:rsid w:val="00552EEB"/>
    <w:rsid w:val="00554539"/>
    <w:rsid w:val="00572D41"/>
    <w:rsid w:val="005806A9"/>
    <w:rsid w:val="00584FA5"/>
    <w:rsid w:val="0058563D"/>
    <w:rsid w:val="005909BE"/>
    <w:rsid w:val="005939BD"/>
    <w:rsid w:val="005A3EEA"/>
    <w:rsid w:val="005B32BB"/>
    <w:rsid w:val="005B4634"/>
    <w:rsid w:val="005D48AD"/>
    <w:rsid w:val="005F0AF4"/>
    <w:rsid w:val="006024A8"/>
    <w:rsid w:val="00605939"/>
    <w:rsid w:val="00606B54"/>
    <w:rsid w:val="006120E1"/>
    <w:rsid w:val="00613724"/>
    <w:rsid w:val="006148F9"/>
    <w:rsid w:val="0064137E"/>
    <w:rsid w:val="0064259C"/>
    <w:rsid w:val="00650ACA"/>
    <w:rsid w:val="006729A7"/>
    <w:rsid w:val="006739C9"/>
    <w:rsid w:val="0068419B"/>
    <w:rsid w:val="00687DE0"/>
    <w:rsid w:val="00691D57"/>
    <w:rsid w:val="006A69BF"/>
    <w:rsid w:val="006B02E7"/>
    <w:rsid w:val="006B60DF"/>
    <w:rsid w:val="006E26AB"/>
    <w:rsid w:val="00711DF4"/>
    <w:rsid w:val="007176E2"/>
    <w:rsid w:val="0072460D"/>
    <w:rsid w:val="007316C2"/>
    <w:rsid w:val="0073683A"/>
    <w:rsid w:val="00740CFF"/>
    <w:rsid w:val="00743734"/>
    <w:rsid w:val="00744D64"/>
    <w:rsid w:val="00745142"/>
    <w:rsid w:val="00764DCA"/>
    <w:rsid w:val="00765201"/>
    <w:rsid w:val="007902CC"/>
    <w:rsid w:val="007A1E03"/>
    <w:rsid w:val="007D4745"/>
    <w:rsid w:val="007D54F7"/>
    <w:rsid w:val="007D70A1"/>
    <w:rsid w:val="007E6A1C"/>
    <w:rsid w:val="007E7C87"/>
    <w:rsid w:val="0080320D"/>
    <w:rsid w:val="0080597A"/>
    <w:rsid w:val="008132E8"/>
    <w:rsid w:val="00813FBC"/>
    <w:rsid w:val="00820E9A"/>
    <w:rsid w:val="00823407"/>
    <w:rsid w:val="00823E09"/>
    <w:rsid w:val="00831249"/>
    <w:rsid w:val="00840DA4"/>
    <w:rsid w:val="008416C2"/>
    <w:rsid w:val="008448E1"/>
    <w:rsid w:val="00852AA3"/>
    <w:rsid w:val="0085314C"/>
    <w:rsid w:val="00856261"/>
    <w:rsid w:val="008666BB"/>
    <w:rsid w:val="00870345"/>
    <w:rsid w:val="008740D8"/>
    <w:rsid w:val="008850F6"/>
    <w:rsid w:val="00893158"/>
    <w:rsid w:val="00893B24"/>
    <w:rsid w:val="008B0184"/>
    <w:rsid w:val="008B3500"/>
    <w:rsid w:val="008C5D02"/>
    <w:rsid w:val="008D2649"/>
    <w:rsid w:val="008E527F"/>
    <w:rsid w:val="008E62BF"/>
    <w:rsid w:val="008F5CCD"/>
    <w:rsid w:val="009054DF"/>
    <w:rsid w:val="0090568D"/>
    <w:rsid w:val="009125C9"/>
    <w:rsid w:val="00913879"/>
    <w:rsid w:val="00917661"/>
    <w:rsid w:val="00924CFE"/>
    <w:rsid w:val="009305D5"/>
    <w:rsid w:val="009530F0"/>
    <w:rsid w:val="00967E9A"/>
    <w:rsid w:val="00970E5D"/>
    <w:rsid w:val="00974760"/>
    <w:rsid w:val="0097701C"/>
    <w:rsid w:val="00980A27"/>
    <w:rsid w:val="00980A65"/>
    <w:rsid w:val="00980FC2"/>
    <w:rsid w:val="0098692A"/>
    <w:rsid w:val="00992235"/>
    <w:rsid w:val="00995C66"/>
    <w:rsid w:val="009A02D4"/>
    <w:rsid w:val="009A07A1"/>
    <w:rsid w:val="009A58A0"/>
    <w:rsid w:val="009B5492"/>
    <w:rsid w:val="009B574D"/>
    <w:rsid w:val="009D62AB"/>
    <w:rsid w:val="009E69C5"/>
    <w:rsid w:val="00A00554"/>
    <w:rsid w:val="00A0484F"/>
    <w:rsid w:val="00A25E70"/>
    <w:rsid w:val="00A32402"/>
    <w:rsid w:val="00A33765"/>
    <w:rsid w:val="00A400C3"/>
    <w:rsid w:val="00A41D41"/>
    <w:rsid w:val="00A45927"/>
    <w:rsid w:val="00A56F99"/>
    <w:rsid w:val="00A61083"/>
    <w:rsid w:val="00A63269"/>
    <w:rsid w:val="00A80A5C"/>
    <w:rsid w:val="00A92377"/>
    <w:rsid w:val="00A95CBF"/>
    <w:rsid w:val="00AA732A"/>
    <w:rsid w:val="00AB00BE"/>
    <w:rsid w:val="00AB29ED"/>
    <w:rsid w:val="00AC15FC"/>
    <w:rsid w:val="00AD1630"/>
    <w:rsid w:val="00AD22CE"/>
    <w:rsid w:val="00AE3EF3"/>
    <w:rsid w:val="00AE47FD"/>
    <w:rsid w:val="00AE4BD8"/>
    <w:rsid w:val="00AF635F"/>
    <w:rsid w:val="00B04118"/>
    <w:rsid w:val="00B16648"/>
    <w:rsid w:val="00B43102"/>
    <w:rsid w:val="00B4388F"/>
    <w:rsid w:val="00B55A71"/>
    <w:rsid w:val="00B63237"/>
    <w:rsid w:val="00B65761"/>
    <w:rsid w:val="00B72F44"/>
    <w:rsid w:val="00B94197"/>
    <w:rsid w:val="00BA0C5A"/>
    <w:rsid w:val="00BA1CF0"/>
    <w:rsid w:val="00BB716F"/>
    <w:rsid w:val="00BE5309"/>
    <w:rsid w:val="00BF3CDC"/>
    <w:rsid w:val="00BF4497"/>
    <w:rsid w:val="00C12A88"/>
    <w:rsid w:val="00C27D2E"/>
    <w:rsid w:val="00C43035"/>
    <w:rsid w:val="00C52EE4"/>
    <w:rsid w:val="00C57C3F"/>
    <w:rsid w:val="00C62CB8"/>
    <w:rsid w:val="00C82A95"/>
    <w:rsid w:val="00C834A8"/>
    <w:rsid w:val="00C85DDF"/>
    <w:rsid w:val="00C872E6"/>
    <w:rsid w:val="00C960DC"/>
    <w:rsid w:val="00CA461D"/>
    <w:rsid w:val="00CA6994"/>
    <w:rsid w:val="00CB5AB0"/>
    <w:rsid w:val="00CB5FDD"/>
    <w:rsid w:val="00CC1BD2"/>
    <w:rsid w:val="00CD61AC"/>
    <w:rsid w:val="00CE7E99"/>
    <w:rsid w:val="00CF0024"/>
    <w:rsid w:val="00CF3450"/>
    <w:rsid w:val="00CF3E09"/>
    <w:rsid w:val="00D02C75"/>
    <w:rsid w:val="00D07EFD"/>
    <w:rsid w:val="00D10E22"/>
    <w:rsid w:val="00D13D2C"/>
    <w:rsid w:val="00D25CF6"/>
    <w:rsid w:val="00D304FF"/>
    <w:rsid w:val="00D33CC3"/>
    <w:rsid w:val="00D33F89"/>
    <w:rsid w:val="00D370AC"/>
    <w:rsid w:val="00D45604"/>
    <w:rsid w:val="00D462ED"/>
    <w:rsid w:val="00D47B3A"/>
    <w:rsid w:val="00D5395E"/>
    <w:rsid w:val="00D735E8"/>
    <w:rsid w:val="00D765BB"/>
    <w:rsid w:val="00D77885"/>
    <w:rsid w:val="00D84B8E"/>
    <w:rsid w:val="00D86B39"/>
    <w:rsid w:val="00D95359"/>
    <w:rsid w:val="00DA023F"/>
    <w:rsid w:val="00DB0B5C"/>
    <w:rsid w:val="00DB4E65"/>
    <w:rsid w:val="00DC2F94"/>
    <w:rsid w:val="00DD3D9E"/>
    <w:rsid w:val="00DD7908"/>
    <w:rsid w:val="00DE2ED5"/>
    <w:rsid w:val="00DE4194"/>
    <w:rsid w:val="00DE6A57"/>
    <w:rsid w:val="00DF2B6B"/>
    <w:rsid w:val="00E04E26"/>
    <w:rsid w:val="00E0536A"/>
    <w:rsid w:val="00E107A5"/>
    <w:rsid w:val="00E15757"/>
    <w:rsid w:val="00E219A5"/>
    <w:rsid w:val="00E22D3B"/>
    <w:rsid w:val="00E63137"/>
    <w:rsid w:val="00E71143"/>
    <w:rsid w:val="00E72360"/>
    <w:rsid w:val="00E82297"/>
    <w:rsid w:val="00EA0B54"/>
    <w:rsid w:val="00EB3892"/>
    <w:rsid w:val="00ED1945"/>
    <w:rsid w:val="00ED31BA"/>
    <w:rsid w:val="00ED38DF"/>
    <w:rsid w:val="00ED3952"/>
    <w:rsid w:val="00ED40BC"/>
    <w:rsid w:val="00ED5DDF"/>
    <w:rsid w:val="00ED65D7"/>
    <w:rsid w:val="00EE0C66"/>
    <w:rsid w:val="00EE5C1C"/>
    <w:rsid w:val="00EF15A0"/>
    <w:rsid w:val="00EF39FD"/>
    <w:rsid w:val="00EF437E"/>
    <w:rsid w:val="00F06842"/>
    <w:rsid w:val="00F107FD"/>
    <w:rsid w:val="00F2271F"/>
    <w:rsid w:val="00F32019"/>
    <w:rsid w:val="00F55A86"/>
    <w:rsid w:val="00F607A4"/>
    <w:rsid w:val="00F73BD9"/>
    <w:rsid w:val="00F878E8"/>
    <w:rsid w:val="00F91D88"/>
    <w:rsid w:val="00FA12ED"/>
    <w:rsid w:val="00FA50FB"/>
    <w:rsid w:val="00FA7A55"/>
    <w:rsid w:val="00FB64A8"/>
    <w:rsid w:val="00FC66E7"/>
    <w:rsid w:val="00FC7BCB"/>
    <w:rsid w:val="00FE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7B1"/>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687DE0"/>
    <w:rPr>
      <w:color w:val="666666"/>
    </w:rPr>
  </w:style>
  <w:style w:type="table" w:styleId="TableGrid">
    <w:name w:val="Table Grid"/>
    <w:basedOn w:val="TableNormal"/>
    <w:rsid w:val="007E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61AC"/>
    <w:pPr>
      <w:spacing w:before="100" w:beforeAutospacing="1" w:after="100" w:afterAutospacing="1"/>
    </w:pPr>
    <w:rPr>
      <w:sz w:val="24"/>
      <w:szCs w:val="24"/>
      <w:lang w:val="en-US" w:eastAsia="ja-JP"/>
    </w:rPr>
  </w:style>
  <w:style w:type="paragraph" w:styleId="Revision">
    <w:name w:val="Revision"/>
    <w:hidden/>
    <w:uiPriority w:val="99"/>
    <w:semiHidden/>
    <w:rsid w:val="00BB71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6609">
      <w:bodyDiv w:val="1"/>
      <w:marLeft w:val="0"/>
      <w:marRight w:val="0"/>
      <w:marTop w:val="0"/>
      <w:marBottom w:val="0"/>
      <w:divBdr>
        <w:top w:val="none" w:sz="0" w:space="0" w:color="auto"/>
        <w:left w:val="none" w:sz="0" w:space="0" w:color="auto"/>
        <w:bottom w:val="none" w:sz="0" w:space="0" w:color="auto"/>
        <w:right w:val="none" w:sz="0" w:space="0" w:color="auto"/>
      </w:divBdr>
      <w:divsChild>
        <w:div w:id="401099905">
          <w:marLeft w:val="0"/>
          <w:marRight w:val="0"/>
          <w:marTop w:val="0"/>
          <w:marBottom w:val="0"/>
          <w:divBdr>
            <w:top w:val="none" w:sz="0" w:space="0" w:color="auto"/>
            <w:left w:val="none" w:sz="0" w:space="0" w:color="auto"/>
            <w:bottom w:val="none" w:sz="0" w:space="0" w:color="auto"/>
            <w:right w:val="none" w:sz="0" w:space="0" w:color="auto"/>
          </w:divBdr>
          <w:divsChild>
            <w:div w:id="1380862181">
              <w:marLeft w:val="75"/>
              <w:marRight w:val="75"/>
              <w:marTop w:val="150"/>
              <w:marBottom w:val="150"/>
              <w:divBdr>
                <w:top w:val="none" w:sz="0" w:space="0" w:color="auto"/>
                <w:left w:val="none" w:sz="0" w:space="0" w:color="auto"/>
                <w:bottom w:val="none" w:sz="0" w:space="0" w:color="auto"/>
                <w:right w:val="none" w:sz="0" w:space="0" w:color="auto"/>
              </w:divBdr>
            </w:div>
          </w:divsChild>
        </w:div>
        <w:div w:id="208995459">
          <w:marLeft w:val="0"/>
          <w:marRight w:val="0"/>
          <w:marTop w:val="0"/>
          <w:marBottom w:val="0"/>
          <w:divBdr>
            <w:top w:val="none" w:sz="0" w:space="0" w:color="auto"/>
            <w:left w:val="none" w:sz="0" w:space="0" w:color="auto"/>
            <w:bottom w:val="none" w:sz="0" w:space="0" w:color="auto"/>
            <w:right w:val="none" w:sz="0" w:space="0" w:color="auto"/>
          </w:divBdr>
          <w:divsChild>
            <w:div w:id="480922499">
              <w:marLeft w:val="75"/>
              <w:marRight w:val="75"/>
              <w:marTop w:val="150"/>
              <w:marBottom w:val="150"/>
              <w:divBdr>
                <w:top w:val="none" w:sz="0" w:space="0" w:color="auto"/>
                <w:left w:val="none" w:sz="0" w:space="0" w:color="auto"/>
                <w:bottom w:val="none" w:sz="0" w:space="0" w:color="auto"/>
                <w:right w:val="none" w:sz="0" w:space="0" w:color="auto"/>
              </w:divBdr>
            </w:div>
          </w:divsChild>
        </w:div>
        <w:div w:id="832183989">
          <w:marLeft w:val="0"/>
          <w:marRight w:val="0"/>
          <w:marTop w:val="0"/>
          <w:marBottom w:val="0"/>
          <w:divBdr>
            <w:top w:val="none" w:sz="0" w:space="0" w:color="auto"/>
            <w:left w:val="none" w:sz="0" w:space="0" w:color="auto"/>
            <w:bottom w:val="none" w:sz="0" w:space="0" w:color="auto"/>
            <w:right w:val="none" w:sz="0" w:space="0" w:color="auto"/>
          </w:divBdr>
          <w:divsChild>
            <w:div w:id="240136880">
              <w:marLeft w:val="75"/>
              <w:marRight w:val="75"/>
              <w:marTop w:val="150"/>
              <w:marBottom w:val="150"/>
              <w:divBdr>
                <w:top w:val="none" w:sz="0" w:space="0" w:color="auto"/>
                <w:left w:val="none" w:sz="0" w:space="0" w:color="auto"/>
                <w:bottom w:val="none" w:sz="0" w:space="0" w:color="auto"/>
                <w:right w:val="none" w:sz="0" w:space="0" w:color="auto"/>
              </w:divBdr>
            </w:div>
          </w:divsChild>
        </w:div>
        <w:div w:id="172499683">
          <w:marLeft w:val="0"/>
          <w:marRight w:val="0"/>
          <w:marTop w:val="0"/>
          <w:marBottom w:val="0"/>
          <w:divBdr>
            <w:top w:val="none" w:sz="0" w:space="0" w:color="auto"/>
            <w:left w:val="none" w:sz="0" w:space="0" w:color="auto"/>
            <w:bottom w:val="none" w:sz="0" w:space="0" w:color="auto"/>
            <w:right w:val="none" w:sz="0" w:space="0" w:color="auto"/>
          </w:divBdr>
          <w:divsChild>
            <w:div w:id="188295708">
              <w:marLeft w:val="75"/>
              <w:marRight w:val="75"/>
              <w:marTop w:val="150"/>
              <w:marBottom w:val="150"/>
              <w:divBdr>
                <w:top w:val="none" w:sz="0" w:space="0" w:color="auto"/>
                <w:left w:val="none" w:sz="0" w:space="0" w:color="auto"/>
                <w:bottom w:val="none" w:sz="0" w:space="0" w:color="auto"/>
                <w:right w:val="none" w:sz="0" w:space="0" w:color="auto"/>
              </w:divBdr>
            </w:div>
          </w:divsChild>
        </w:div>
        <w:div w:id="631717183">
          <w:marLeft w:val="0"/>
          <w:marRight w:val="0"/>
          <w:marTop w:val="0"/>
          <w:marBottom w:val="0"/>
          <w:divBdr>
            <w:top w:val="none" w:sz="0" w:space="0" w:color="auto"/>
            <w:left w:val="none" w:sz="0" w:space="0" w:color="auto"/>
            <w:bottom w:val="none" w:sz="0" w:space="0" w:color="auto"/>
            <w:right w:val="none" w:sz="0" w:space="0" w:color="auto"/>
          </w:divBdr>
          <w:divsChild>
            <w:div w:id="1959219590">
              <w:marLeft w:val="75"/>
              <w:marRight w:val="75"/>
              <w:marTop w:val="150"/>
              <w:marBottom w:val="150"/>
              <w:divBdr>
                <w:top w:val="none" w:sz="0" w:space="0" w:color="auto"/>
                <w:left w:val="none" w:sz="0" w:space="0" w:color="auto"/>
                <w:bottom w:val="none" w:sz="0" w:space="0" w:color="auto"/>
                <w:right w:val="none" w:sz="0" w:space="0" w:color="auto"/>
              </w:divBdr>
            </w:div>
          </w:divsChild>
        </w:div>
        <w:div w:id="1845044641">
          <w:marLeft w:val="0"/>
          <w:marRight w:val="0"/>
          <w:marTop w:val="0"/>
          <w:marBottom w:val="0"/>
          <w:divBdr>
            <w:top w:val="none" w:sz="0" w:space="0" w:color="auto"/>
            <w:left w:val="none" w:sz="0" w:space="0" w:color="auto"/>
            <w:bottom w:val="none" w:sz="0" w:space="0" w:color="auto"/>
            <w:right w:val="none" w:sz="0" w:space="0" w:color="auto"/>
          </w:divBdr>
          <w:divsChild>
            <w:div w:id="904992662">
              <w:marLeft w:val="75"/>
              <w:marRight w:val="75"/>
              <w:marTop w:val="150"/>
              <w:marBottom w:val="150"/>
              <w:divBdr>
                <w:top w:val="none" w:sz="0" w:space="0" w:color="auto"/>
                <w:left w:val="none" w:sz="0" w:space="0" w:color="auto"/>
                <w:bottom w:val="none" w:sz="0" w:space="0" w:color="auto"/>
                <w:right w:val="none" w:sz="0" w:space="0" w:color="auto"/>
              </w:divBdr>
            </w:div>
          </w:divsChild>
        </w:div>
        <w:div w:id="1185900978">
          <w:marLeft w:val="0"/>
          <w:marRight w:val="0"/>
          <w:marTop w:val="0"/>
          <w:marBottom w:val="0"/>
          <w:divBdr>
            <w:top w:val="none" w:sz="0" w:space="0" w:color="auto"/>
            <w:left w:val="none" w:sz="0" w:space="0" w:color="auto"/>
            <w:bottom w:val="none" w:sz="0" w:space="0" w:color="auto"/>
            <w:right w:val="none" w:sz="0" w:space="0" w:color="auto"/>
          </w:divBdr>
          <w:divsChild>
            <w:div w:id="636301227">
              <w:marLeft w:val="75"/>
              <w:marRight w:val="75"/>
              <w:marTop w:val="150"/>
              <w:marBottom w:val="150"/>
              <w:divBdr>
                <w:top w:val="none" w:sz="0" w:space="0" w:color="auto"/>
                <w:left w:val="none" w:sz="0" w:space="0" w:color="auto"/>
                <w:bottom w:val="none" w:sz="0" w:space="0" w:color="auto"/>
                <w:right w:val="none" w:sz="0" w:space="0" w:color="auto"/>
              </w:divBdr>
            </w:div>
          </w:divsChild>
        </w:div>
        <w:div w:id="86921857">
          <w:marLeft w:val="0"/>
          <w:marRight w:val="0"/>
          <w:marTop w:val="0"/>
          <w:marBottom w:val="0"/>
          <w:divBdr>
            <w:top w:val="none" w:sz="0" w:space="0" w:color="auto"/>
            <w:left w:val="none" w:sz="0" w:space="0" w:color="auto"/>
            <w:bottom w:val="none" w:sz="0" w:space="0" w:color="auto"/>
            <w:right w:val="none" w:sz="0" w:space="0" w:color="auto"/>
          </w:divBdr>
          <w:divsChild>
            <w:div w:id="1719667663">
              <w:marLeft w:val="75"/>
              <w:marRight w:val="75"/>
              <w:marTop w:val="150"/>
              <w:marBottom w:val="150"/>
              <w:divBdr>
                <w:top w:val="none" w:sz="0" w:space="0" w:color="auto"/>
                <w:left w:val="none" w:sz="0" w:space="0" w:color="auto"/>
                <w:bottom w:val="none" w:sz="0" w:space="0" w:color="auto"/>
                <w:right w:val="none" w:sz="0" w:space="0" w:color="auto"/>
              </w:divBdr>
            </w:div>
          </w:divsChild>
        </w:div>
        <w:div w:id="857305430">
          <w:marLeft w:val="0"/>
          <w:marRight w:val="0"/>
          <w:marTop w:val="0"/>
          <w:marBottom w:val="0"/>
          <w:divBdr>
            <w:top w:val="none" w:sz="0" w:space="0" w:color="auto"/>
            <w:left w:val="none" w:sz="0" w:space="0" w:color="auto"/>
            <w:bottom w:val="none" w:sz="0" w:space="0" w:color="auto"/>
            <w:right w:val="none" w:sz="0" w:space="0" w:color="auto"/>
          </w:divBdr>
          <w:divsChild>
            <w:div w:id="1343048634">
              <w:marLeft w:val="75"/>
              <w:marRight w:val="75"/>
              <w:marTop w:val="150"/>
              <w:marBottom w:val="150"/>
              <w:divBdr>
                <w:top w:val="none" w:sz="0" w:space="0" w:color="auto"/>
                <w:left w:val="none" w:sz="0" w:space="0" w:color="auto"/>
                <w:bottom w:val="none" w:sz="0" w:space="0" w:color="auto"/>
                <w:right w:val="none" w:sz="0" w:space="0" w:color="auto"/>
              </w:divBdr>
            </w:div>
          </w:divsChild>
        </w:div>
        <w:div w:id="1453985767">
          <w:marLeft w:val="0"/>
          <w:marRight w:val="0"/>
          <w:marTop w:val="0"/>
          <w:marBottom w:val="0"/>
          <w:divBdr>
            <w:top w:val="none" w:sz="0" w:space="0" w:color="auto"/>
            <w:left w:val="none" w:sz="0" w:space="0" w:color="auto"/>
            <w:bottom w:val="none" w:sz="0" w:space="0" w:color="auto"/>
            <w:right w:val="none" w:sz="0" w:space="0" w:color="auto"/>
          </w:divBdr>
          <w:divsChild>
            <w:div w:id="540828594">
              <w:marLeft w:val="75"/>
              <w:marRight w:val="75"/>
              <w:marTop w:val="150"/>
              <w:marBottom w:val="150"/>
              <w:divBdr>
                <w:top w:val="none" w:sz="0" w:space="0" w:color="auto"/>
                <w:left w:val="none" w:sz="0" w:space="0" w:color="auto"/>
                <w:bottom w:val="none" w:sz="0" w:space="0" w:color="auto"/>
                <w:right w:val="none" w:sz="0" w:space="0" w:color="auto"/>
              </w:divBdr>
            </w:div>
          </w:divsChild>
        </w:div>
        <w:div w:id="799228562">
          <w:marLeft w:val="0"/>
          <w:marRight w:val="0"/>
          <w:marTop w:val="0"/>
          <w:marBottom w:val="0"/>
          <w:divBdr>
            <w:top w:val="none" w:sz="0" w:space="0" w:color="auto"/>
            <w:left w:val="none" w:sz="0" w:space="0" w:color="auto"/>
            <w:bottom w:val="none" w:sz="0" w:space="0" w:color="auto"/>
            <w:right w:val="none" w:sz="0" w:space="0" w:color="auto"/>
          </w:divBdr>
          <w:divsChild>
            <w:div w:id="681006361">
              <w:marLeft w:val="75"/>
              <w:marRight w:val="75"/>
              <w:marTop w:val="150"/>
              <w:marBottom w:val="150"/>
              <w:divBdr>
                <w:top w:val="none" w:sz="0" w:space="0" w:color="auto"/>
                <w:left w:val="none" w:sz="0" w:space="0" w:color="auto"/>
                <w:bottom w:val="none" w:sz="0" w:space="0" w:color="auto"/>
                <w:right w:val="none" w:sz="0" w:space="0" w:color="auto"/>
              </w:divBdr>
            </w:div>
          </w:divsChild>
        </w:div>
        <w:div w:id="1080637530">
          <w:marLeft w:val="0"/>
          <w:marRight w:val="0"/>
          <w:marTop w:val="0"/>
          <w:marBottom w:val="0"/>
          <w:divBdr>
            <w:top w:val="none" w:sz="0" w:space="0" w:color="auto"/>
            <w:left w:val="none" w:sz="0" w:space="0" w:color="auto"/>
            <w:bottom w:val="none" w:sz="0" w:space="0" w:color="auto"/>
            <w:right w:val="none" w:sz="0" w:space="0" w:color="auto"/>
          </w:divBdr>
          <w:divsChild>
            <w:div w:id="2028631246">
              <w:marLeft w:val="75"/>
              <w:marRight w:val="75"/>
              <w:marTop w:val="150"/>
              <w:marBottom w:val="150"/>
              <w:divBdr>
                <w:top w:val="none" w:sz="0" w:space="0" w:color="auto"/>
                <w:left w:val="none" w:sz="0" w:space="0" w:color="auto"/>
                <w:bottom w:val="none" w:sz="0" w:space="0" w:color="auto"/>
                <w:right w:val="none" w:sz="0" w:space="0" w:color="auto"/>
              </w:divBdr>
            </w:div>
          </w:divsChild>
        </w:div>
        <w:div w:id="455635166">
          <w:marLeft w:val="0"/>
          <w:marRight w:val="0"/>
          <w:marTop w:val="0"/>
          <w:marBottom w:val="0"/>
          <w:divBdr>
            <w:top w:val="none" w:sz="0" w:space="0" w:color="auto"/>
            <w:left w:val="none" w:sz="0" w:space="0" w:color="auto"/>
            <w:bottom w:val="none" w:sz="0" w:space="0" w:color="auto"/>
            <w:right w:val="none" w:sz="0" w:space="0" w:color="auto"/>
          </w:divBdr>
          <w:divsChild>
            <w:div w:id="1729839599">
              <w:marLeft w:val="75"/>
              <w:marRight w:val="75"/>
              <w:marTop w:val="150"/>
              <w:marBottom w:val="150"/>
              <w:divBdr>
                <w:top w:val="none" w:sz="0" w:space="0" w:color="auto"/>
                <w:left w:val="none" w:sz="0" w:space="0" w:color="auto"/>
                <w:bottom w:val="none" w:sz="0" w:space="0" w:color="auto"/>
                <w:right w:val="none" w:sz="0" w:space="0" w:color="auto"/>
              </w:divBdr>
            </w:div>
          </w:divsChild>
        </w:div>
        <w:div w:id="2051606156">
          <w:marLeft w:val="0"/>
          <w:marRight w:val="0"/>
          <w:marTop w:val="0"/>
          <w:marBottom w:val="0"/>
          <w:divBdr>
            <w:top w:val="none" w:sz="0" w:space="0" w:color="auto"/>
            <w:left w:val="none" w:sz="0" w:space="0" w:color="auto"/>
            <w:bottom w:val="none" w:sz="0" w:space="0" w:color="auto"/>
            <w:right w:val="none" w:sz="0" w:space="0" w:color="auto"/>
          </w:divBdr>
          <w:divsChild>
            <w:div w:id="557477639">
              <w:marLeft w:val="75"/>
              <w:marRight w:val="75"/>
              <w:marTop w:val="150"/>
              <w:marBottom w:val="150"/>
              <w:divBdr>
                <w:top w:val="none" w:sz="0" w:space="0" w:color="auto"/>
                <w:left w:val="none" w:sz="0" w:space="0" w:color="auto"/>
                <w:bottom w:val="none" w:sz="0" w:space="0" w:color="auto"/>
                <w:right w:val="none" w:sz="0" w:space="0" w:color="auto"/>
              </w:divBdr>
            </w:div>
          </w:divsChild>
        </w:div>
        <w:div w:id="1127965269">
          <w:marLeft w:val="0"/>
          <w:marRight w:val="0"/>
          <w:marTop w:val="0"/>
          <w:marBottom w:val="0"/>
          <w:divBdr>
            <w:top w:val="none" w:sz="0" w:space="0" w:color="auto"/>
            <w:left w:val="none" w:sz="0" w:space="0" w:color="auto"/>
            <w:bottom w:val="none" w:sz="0" w:space="0" w:color="auto"/>
            <w:right w:val="none" w:sz="0" w:space="0" w:color="auto"/>
          </w:divBdr>
          <w:divsChild>
            <w:div w:id="655694451">
              <w:marLeft w:val="75"/>
              <w:marRight w:val="75"/>
              <w:marTop w:val="150"/>
              <w:marBottom w:val="150"/>
              <w:divBdr>
                <w:top w:val="none" w:sz="0" w:space="0" w:color="auto"/>
                <w:left w:val="none" w:sz="0" w:space="0" w:color="auto"/>
                <w:bottom w:val="none" w:sz="0" w:space="0" w:color="auto"/>
                <w:right w:val="none" w:sz="0" w:space="0" w:color="auto"/>
              </w:divBdr>
            </w:div>
          </w:divsChild>
        </w:div>
        <w:div w:id="1886721115">
          <w:marLeft w:val="0"/>
          <w:marRight w:val="0"/>
          <w:marTop w:val="0"/>
          <w:marBottom w:val="0"/>
          <w:divBdr>
            <w:top w:val="none" w:sz="0" w:space="0" w:color="auto"/>
            <w:left w:val="none" w:sz="0" w:space="0" w:color="auto"/>
            <w:bottom w:val="none" w:sz="0" w:space="0" w:color="auto"/>
            <w:right w:val="none" w:sz="0" w:space="0" w:color="auto"/>
          </w:divBdr>
          <w:divsChild>
            <w:div w:id="1973320192">
              <w:marLeft w:val="75"/>
              <w:marRight w:val="75"/>
              <w:marTop w:val="150"/>
              <w:marBottom w:val="150"/>
              <w:divBdr>
                <w:top w:val="none" w:sz="0" w:space="0" w:color="auto"/>
                <w:left w:val="none" w:sz="0" w:space="0" w:color="auto"/>
                <w:bottom w:val="none" w:sz="0" w:space="0" w:color="auto"/>
                <w:right w:val="none" w:sz="0" w:space="0" w:color="auto"/>
              </w:divBdr>
            </w:div>
          </w:divsChild>
        </w:div>
        <w:div w:id="1396781248">
          <w:marLeft w:val="0"/>
          <w:marRight w:val="0"/>
          <w:marTop w:val="0"/>
          <w:marBottom w:val="0"/>
          <w:divBdr>
            <w:top w:val="none" w:sz="0" w:space="0" w:color="auto"/>
            <w:left w:val="none" w:sz="0" w:space="0" w:color="auto"/>
            <w:bottom w:val="none" w:sz="0" w:space="0" w:color="auto"/>
            <w:right w:val="none" w:sz="0" w:space="0" w:color="auto"/>
          </w:divBdr>
          <w:divsChild>
            <w:div w:id="118887107">
              <w:marLeft w:val="75"/>
              <w:marRight w:val="75"/>
              <w:marTop w:val="150"/>
              <w:marBottom w:val="150"/>
              <w:divBdr>
                <w:top w:val="none" w:sz="0" w:space="0" w:color="auto"/>
                <w:left w:val="none" w:sz="0" w:space="0" w:color="auto"/>
                <w:bottom w:val="none" w:sz="0" w:space="0" w:color="auto"/>
                <w:right w:val="none" w:sz="0" w:space="0" w:color="auto"/>
              </w:divBdr>
            </w:div>
          </w:divsChild>
        </w:div>
        <w:div w:id="1353265045">
          <w:marLeft w:val="0"/>
          <w:marRight w:val="0"/>
          <w:marTop w:val="0"/>
          <w:marBottom w:val="0"/>
          <w:divBdr>
            <w:top w:val="none" w:sz="0" w:space="0" w:color="auto"/>
            <w:left w:val="none" w:sz="0" w:space="0" w:color="auto"/>
            <w:bottom w:val="none" w:sz="0" w:space="0" w:color="auto"/>
            <w:right w:val="none" w:sz="0" w:space="0" w:color="auto"/>
          </w:divBdr>
          <w:divsChild>
            <w:div w:id="1059330509">
              <w:marLeft w:val="75"/>
              <w:marRight w:val="75"/>
              <w:marTop w:val="150"/>
              <w:marBottom w:val="150"/>
              <w:divBdr>
                <w:top w:val="none" w:sz="0" w:space="0" w:color="auto"/>
                <w:left w:val="none" w:sz="0" w:space="0" w:color="auto"/>
                <w:bottom w:val="none" w:sz="0" w:space="0" w:color="auto"/>
                <w:right w:val="none" w:sz="0" w:space="0" w:color="auto"/>
              </w:divBdr>
            </w:div>
          </w:divsChild>
        </w:div>
        <w:div w:id="1507600227">
          <w:marLeft w:val="0"/>
          <w:marRight w:val="0"/>
          <w:marTop w:val="0"/>
          <w:marBottom w:val="0"/>
          <w:divBdr>
            <w:top w:val="none" w:sz="0" w:space="0" w:color="auto"/>
            <w:left w:val="none" w:sz="0" w:space="0" w:color="auto"/>
            <w:bottom w:val="none" w:sz="0" w:space="0" w:color="auto"/>
            <w:right w:val="none" w:sz="0" w:space="0" w:color="auto"/>
          </w:divBdr>
          <w:divsChild>
            <w:div w:id="202326023">
              <w:marLeft w:val="75"/>
              <w:marRight w:val="75"/>
              <w:marTop w:val="150"/>
              <w:marBottom w:val="150"/>
              <w:divBdr>
                <w:top w:val="none" w:sz="0" w:space="0" w:color="auto"/>
                <w:left w:val="none" w:sz="0" w:space="0" w:color="auto"/>
                <w:bottom w:val="none" w:sz="0" w:space="0" w:color="auto"/>
                <w:right w:val="none" w:sz="0" w:space="0" w:color="auto"/>
              </w:divBdr>
            </w:div>
          </w:divsChild>
        </w:div>
        <w:div w:id="169636529">
          <w:marLeft w:val="0"/>
          <w:marRight w:val="0"/>
          <w:marTop w:val="0"/>
          <w:marBottom w:val="0"/>
          <w:divBdr>
            <w:top w:val="none" w:sz="0" w:space="0" w:color="auto"/>
            <w:left w:val="none" w:sz="0" w:space="0" w:color="auto"/>
            <w:bottom w:val="none" w:sz="0" w:space="0" w:color="auto"/>
            <w:right w:val="none" w:sz="0" w:space="0" w:color="auto"/>
          </w:divBdr>
          <w:divsChild>
            <w:div w:id="218633354">
              <w:marLeft w:val="75"/>
              <w:marRight w:val="75"/>
              <w:marTop w:val="150"/>
              <w:marBottom w:val="150"/>
              <w:divBdr>
                <w:top w:val="none" w:sz="0" w:space="0" w:color="auto"/>
                <w:left w:val="none" w:sz="0" w:space="0" w:color="auto"/>
                <w:bottom w:val="none" w:sz="0" w:space="0" w:color="auto"/>
                <w:right w:val="none" w:sz="0" w:space="0" w:color="auto"/>
              </w:divBdr>
            </w:div>
          </w:divsChild>
        </w:div>
        <w:div w:id="1496726664">
          <w:marLeft w:val="0"/>
          <w:marRight w:val="0"/>
          <w:marTop w:val="0"/>
          <w:marBottom w:val="0"/>
          <w:divBdr>
            <w:top w:val="none" w:sz="0" w:space="0" w:color="auto"/>
            <w:left w:val="none" w:sz="0" w:space="0" w:color="auto"/>
            <w:bottom w:val="none" w:sz="0" w:space="0" w:color="auto"/>
            <w:right w:val="none" w:sz="0" w:space="0" w:color="auto"/>
          </w:divBdr>
          <w:divsChild>
            <w:div w:id="554119477">
              <w:marLeft w:val="75"/>
              <w:marRight w:val="75"/>
              <w:marTop w:val="150"/>
              <w:marBottom w:val="150"/>
              <w:divBdr>
                <w:top w:val="none" w:sz="0" w:space="0" w:color="auto"/>
                <w:left w:val="none" w:sz="0" w:space="0" w:color="auto"/>
                <w:bottom w:val="none" w:sz="0" w:space="0" w:color="auto"/>
                <w:right w:val="none" w:sz="0" w:space="0" w:color="auto"/>
              </w:divBdr>
            </w:div>
          </w:divsChild>
        </w:div>
        <w:div w:id="729114297">
          <w:marLeft w:val="0"/>
          <w:marRight w:val="0"/>
          <w:marTop w:val="0"/>
          <w:marBottom w:val="0"/>
          <w:divBdr>
            <w:top w:val="none" w:sz="0" w:space="0" w:color="auto"/>
            <w:left w:val="none" w:sz="0" w:space="0" w:color="auto"/>
            <w:bottom w:val="none" w:sz="0" w:space="0" w:color="auto"/>
            <w:right w:val="none" w:sz="0" w:space="0" w:color="auto"/>
          </w:divBdr>
          <w:divsChild>
            <w:div w:id="1397970884">
              <w:marLeft w:val="75"/>
              <w:marRight w:val="75"/>
              <w:marTop w:val="150"/>
              <w:marBottom w:val="150"/>
              <w:divBdr>
                <w:top w:val="none" w:sz="0" w:space="0" w:color="auto"/>
                <w:left w:val="none" w:sz="0" w:space="0" w:color="auto"/>
                <w:bottom w:val="none" w:sz="0" w:space="0" w:color="auto"/>
                <w:right w:val="none" w:sz="0" w:space="0" w:color="auto"/>
              </w:divBdr>
            </w:div>
          </w:divsChild>
        </w:div>
        <w:div w:id="2116367531">
          <w:marLeft w:val="0"/>
          <w:marRight w:val="0"/>
          <w:marTop w:val="0"/>
          <w:marBottom w:val="0"/>
          <w:divBdr>
            <w:top w:val="none" w:sz="0" w:space="0" w:color="auto"/>
            <w:left w:val="none" w:sz="0" w:space="0" w:color="auto"/>
            <w:bottom w:val="none" w:sz="0" w:space="0" w:color="auto"/>
            <w:right w:val="none" w:sz="0" w:space="0" w:color="auto"/>
          </w:divBdr>
          <w:divsChild>
            <w:div w:id="2004435345">
              <w:marLeft w:val="75"/>
              <w:marRight w:val="75"/>
              <w:marTop w:val="150"/>
              <w:marBottom w:val="150"/>
              <w:divBdr>
                <w:top w:val="none" w:sz="0" w:space="0" w:color="auto"/>
                <w:left w:val="none" w:sz="0" w:space="0" w:color="auto"/>
                <w:bottom w:val="none" w:sz="0" w:space="0" w:color="auto"/>
                <w:right w:val="none" w:sz="0" w:space="0" w:color="auto"/>
              </w:divBdr>
            </w:div>
          </w:divsChild>
        </w:div>
        <w:div w:id="50270379">
          <w:marLeft w:val="0"/>
          <w:marRight w:val="0"/>
          <w:marTop w:val="0"/>
          <w:marBottom w:val="0"/>
          <w:divBdr>
            <w:top w:val="none" w:sz="0" w:space="0" w:color="auto"/>
            <w:left w:val="none" w:sz="0" w:space="0" w:color="auto"/>
            <w:bottom w:val="none" w:sz="0" w:space="0" w:color="auto"/>
            <w:right w:val="none" w:sz="0" w:space="0" w:color="auto"/>
          </w:divBdr>
          <w:divsChild>
            <w:div w:id="382219328">
              <w:marLeft w:val="75"/>
              <w:marRight w:val="75"/>
              <w:marTop w:val="150"/>
              <w:marBottom w:val="150"/>
              <w:divBdr>
                <w:top w:val="none" w:sz="0" w:space="0" w:color="auto"/>
                <w:left w:val="none" w:sz="0" w:space="0" w:color="auto"/>
                <w:bottom w:val="none" w:sz="0" w:space="0" w:color="auto"/>
                <w:right w:val="none" w:sz="0" w:space="0" w:color="auto"/>
              </w:divBdr>
            </w:div>
          </w:divsChild>
        </w:div>
        <w:div w:id="1422331336">
          <w:marLeft w:val="0"/>
          <w:marRight w:val="0"/>
          <w:marTop w:val="0"/>
          <w:marBottom w:val="0"/>
          <w:divBdr>
            <w:top w:val="none" w:sz="0" w:space="0" w:color="auto"/>
            <w:left w:val="none" w:sz="0" w:space="0" w:color="auto"/>
            <w:bottom w:val="none" w:sz="0" w:space="0" w:color="auto"/>
            <w:right w:val="none" w:sz="0" w:space="0" w:color="auto"/>
          </w:divBdr>
          <w:divsChild>
            <w:div w:id="192379895">
              <w:marLeft w:val="75"/>
              <w:marRight w:val="75"/>
              <w:marTop w:val="150"/>
              <w:marBottom w:val="150"/>
              <w:divBdr>
                <w:top w:val="none" w:sz="0" w:space="0" w:color="auto"/>
                <w:left w:val="none" w:sz="0" w:space="0" w:color="auto"/>
                <w:bottom w:val="none" w:sz="0" w:space="0" w:color="auto"/>
                <w:right w:val="none" w:sz="0" w:space="0" w:color="auto"/>
              </w:divBdr>
            </w:div>
          </w:divsChild>
        </w:div>
        <w:div w:id="314532860">
          <w:marLeft w:val="0"/>
          <w:marRight w:val="0"/>
          <w:marTop w:val="0"/>
          <w:marBottom w:val="0"/>
          <w:divBdr>
            <w:top w:val="none" w:sz="0" w:space="0" w:color="auto"/>
            <w:left w:val="none" w:sz="0" w:space="0" w:color="auto"/>
            <w:bottom w:val="none" w:sz="0" w:space="0" w:color="auto"/>
            <w:right w:val="none" w:sz="0" w:space="0" w:color="auto"/>
          </w:divBdr>
          <w:divsChild>
            <w:div w:id="933513442">
              <w:marLeft w:val="75"/>
              <w:marRight w:val="75"/>
              <w:marTop w:val="150"/>
              <w:marBottom w:val="150"/>
              <w:divBdr>
                <w:top w:val="none" w:sz="0" w:space="0" w:color="auto"/>
                <w:left w:val="none" w:sz="0" w:space="0" w:color="auto"/>
                <w:bottom w:val="none" w:sz="0" w:space="0" w:color="auto"/>
                <w:right w:val="none" w:sz="0" w:space="0" w:color="auto"/>
              </w:divBdr>
            </w:div>
          </w:divsChild>
        </w:div>
        <w:div w:id="741683887">
          <w:marLeft w:val="0"/>
          <w:marRight w:val="0"/>
          <w:marTop w:val="0"/>
          <w:marBottom w:val="0"/>
          <w:divBdr>
            <w:top w:val="none" w:sz="0" w:space="0" w:color="auto"/>
            <w:left w:val="none" w:sz="0" w:space="0" w:color="auto"/>
            <w:bottom w:val="none" w:sz="0" w:space="0" w:color="auto"/>
            <w:right w:val="none" w:sz="0" w:space="0" w:color="auto"/>
          </w:divBdr>
          <w:divsChild>
            <w:div w:id="1783069716">
              <w:marLeft w:val="75"/>
              <w:marRight w:val="75"/>
              <w:marTop w:val="150"/>
              <w:marBottom w:val="150"/>
              <w:divBdr>
                <w:top w:val="none" w:sz="0" w:space="0" w:color="auto"/>
                <w:left w:val="none" w:sz="0" w:space="0" w:color="auto"/>
                <w:bottom w:val="none" w:sz="0" w:space="0" w:color="auto"/>
                <w:right w:val="none" w:sz="0" w:space="0" w:color="auto"/>
              </w:divBdr>
            </w:div>
          </w:divsChild>
        </w:div>
        <w:div w:id="1966041960">
          <w:marLeft w:val="0"/>
          <w:marRight w:val="0"/>
          <w:marTop w:val="0"/>
          <w:marBottom w:val="0"/>
          <w:divBdr>
            <w:top w:val="none" w:sz="0" w:space="0" w:color="auto"/>
            <w:left w:val="none" w:sz="0" w:space="0" w:color="auto"/>
            <w:bottom w:val="none" w:sz="0" w:space="0" w:color="auto"/>
            <w:right w:val="none" w:sz="0" w:space="0" w:color="auto"/>
          </w:divBdr>
          <w:divsChild>
            <w:div w:id="157306538">
              <w:marLeft w:val="75"/>
              <w:marRight w:val="75"/>
              <w:marTop w:val="150"/>
              <w:marBottom w:val="150"/>
              <w:divBdr>
                <w:top w:val="none" w:sz="0" w:space="0" w:color="auto"/>
                <w:left w:val="none" w:sz="0" w:space="0" w:color="auto"/>
                <w:bottom w:val="none" w:sz="0" w:space="0" w:color="auto"/>
                <w:right w:val="none" w:sz="0" w:space="0" w:color="auto"/>
              </w:divBdr>
            </w:div>
          </w:divsChild>
        </w:div>
        <w:div w:id="1308901819">
          <w:marLeft w:val="0"/>
          <w:marRight w:val="0"/>
          <w:marTop w:val="0"/>
          <w:marBottom w:val="0"/>
          <w:divBdr>
            <w:top w:val="none" w:sz="0" w:space="0" w:color="auto"/>
            <w:left w:val="none" w:sz="0" w:space="0" w:color="auto"/>
            <w:bottom w:val="none" w:sz="0" w:space="0" w:color="auto"/>
            <w:right w:val="none" w:sz="0" w:space="0" w:color="auto"/>
          </w:divBdr>
          <w:divsChild>
            <w:div w:id="376440050">
              <w:marLeft w:val="75"/>
              <w:marRight w:val="75"/>
              <w:marTop w:val="150"/>
              <w:marBottom w:val="150"/>
              <w:divBdr>
                <w:top w:val="none" w:sz="0" w:space="0" w:color="auto"/>
                <w:left w:val="none" w:sz="0" w:space="0" w:color="auto"/>
                <w:bottom w:val="none" w:sz="0" w:space="0" w:color="auto"/>
                <w:right w:val="none" w:sz="0" w:space="0" w:color="auto"/>
              </w:divBdr>
            </w:div>
          </w:divsChild>
        </w:div>
        <w:div w:id="2111850113">
          <w:marLeft w:val="0"/>
          <w:marRight w:val="0"/>
          <w:marTop w:val="0"/>
          <w:marBottom w:val="0"/>
          <w:divBdr>
            <w:top w:val="none" w:sz="0" w:space="0" w:color="auto"/>
            <w:left w:val="none" w:sz="0" w:space="0" w:color="auto"/>
            <w:bottom w:val="none" w:sz="0" w:space="0" w:color="auto"/>
            <w:right w:val="none" w:sz="0" w:space="0" w:color="auto"/>
          </w:divBdr>
          <w:divsChild>
            <w:div w:id="775562896">
              <w:marLeft w:val="75"/>
              <w:marRight w:val="75"/>
              <w:marTop w:val="150"/>
              <w:marBottom w:val="150"/>
              <w:divBdr>
                <w:top w:val="none" w:sz="0" w:space="0" w:color="auto"/>
                <w:left w:val="none" w:sz="0" w:space="0" w:color="auto"/>
                <w:bottom w:val="none" w:sz="0" w:space="0" w:color="auto"/>
                <w:right w:val="none" w:sz="0" w:space="0" w:color="auto"/>
              </w:divBdr>
            </w:div>
          </w:divsChild>
        </w:div>
        <w:div w:id="1789935534">
          <w:marLeft w:val="0"/>
          <w:marRight w:val="0"/>
          <w:marTop w:val="0"/>
          <w:marBottom w:val="0"/>
          <w:divBdr>
            <w:top w:val="none" w:sz="0" w:space="0" w:color="auto"/>
            <w:left w:val="none" w:sz="0" w:space="0" w:color="auto"/>
            <w:bottom w:val="none" w:sz="0" w:space="0" w:color="auto"/>
            <w:right w:val="none" w:sz="0" w:space="0" w:color="auto"/>
          </w:divBdr>
          <w:divsChild>
            <w:div w:id="1848640688">
              <w:marLeft w:val="75"/>
              <w:marRight w:val="75"/>
              <w:marTop w:val="150"/>
              <w:marBottom w:val="150"/>
              <w:divBdr>
                <w:top w:val="none" w:sz="0" w:space="0" w:color="auto"/>
                <w:left w:val="none" w:sz="0" w:space="0" w:color="auto"/>
                <w:bottom w:val="none" w:sz="0" w:space="0" w:color="auto"/>
                <w:right w:val="none" w:sz="0" w:space="0" w:color="auto"/>
              </w:divBdr>
            </w:div>
          </w:divsChild>
        </w:div>
        <w:div w:id="1620409124">
          <w:marLeft w:val="0"/>
          <w:marRight w:val="0"/>
          <w:marTop w:val="0"/>
          <w:marBottom w:val="0"/>
          <w:divBdr>
            <w:top w:val="none" w:sz="0" w:space="0" w:color="auto"/>
            <w:left w:val="none" w:sz="0" w:space="0" w:color="auto"/>
            <w:bottom w:val="none" w:sz="0" w:space="0" w:color="auto"/>
            <w:right w:val="none" w:sz="0" w:space="0" w:color="auto"/>
          </w:divBdr>
          <w:divsChild>
            <w:div w:id="568349327">
              <w:marLeft w:val="75"/>
              <w:marRight w:val="75"/>
              <w:marTop w:val="150"/>
              <w:marBottom w:val="150"/>
              <w:divBdr>
                <w:top w:val="none" w:sz="0" w:space="0" w:color="auto"/>
                <w:left w:val="none" w:sz="0" w:space="0" w:color="auto"/>
                <w:bottom w:val="none" w:sz="0" w:space="0" w:color="auto"/>
                <w:right w:val="none" w:sz="0" w:space="0" w:color="auto"/>
              </w:divBdr>
            </w:div>
          </w:divsChild>
        </w:div>
        <w:div w:id="689337086">
          <w:marLeft w:val="0"/>
          <w:marRight w:val="0"/>
          <w:marTop w:val="0"/>
          <w:marBottom w:val="0"/>
          <w:divBdr>
            <w:top w:val="none" w:sz="0" w:space="0" w:color="auto"/>
            <w:left w:val="none" w:sz="0" w:space="0" w:color="auto"/>
            <w:bottom w:val="none" w:sz="0" w:space="0" w:color="auto"/>
            <w:right w:val="none" w:sz="0" w:space="0" w:color="auto"/>
          </w:divBdr>
          <w:divsChild>
            <w:div w:id="1015426299">
              <w:marLeft w:val="75"/>
              <w:marRight w:val="75"/>
              <w:marTop w:val="150"/>
              <w:marBottom w:val="150"/>
              <w:divBdr>
                <w:top w:val="none" w:sz="0" w:space="0" w:color="auto"/>
                <w:left w:val="none" w:sz="0" w:space="0" w:color="auto"/>
                <w:bottom w:val="none" w:sz="0" w:space="0" w:color="auto"/>
                <w:right w:val="none" w:sz="0" w:space="0" w:color="auto"/>
              </w:divBdr>
            </w:div>
          </w:divsChild>
        </w:div>
        <w:div w:id="1553344433">
          <w:marLeft w:val="0"/>
          <w:marRight w:val="0"/>
          <w:marTop w:val="0"/>
          <w:marBottom w:val="0"/>
          <w:divBdr>
            <w:top w:val="none" w:sz="0" w:space="0" w:color="auto"/>
            <w:left w:val="none" w:sz="0" w:space="0" w:color="auto"/>
            <w:bottom w:val="none" w:sz="0" w:space="0" w:color="auto"/>
            <w:right w:val="none" w:sz="0" w:space="0" w:color="auto"/>
          </w:divBdr>
          <w:divsChild>
            <w:div w:id="825047056">
              <w:marLeft w:val="75"/>
              <w:marRight w:val="75"/>
              <w:marTop w:val="150"/>
              <w:marBottom w:val="150"/>
              <w:divBdr>
                <w:top w:val="none" w:sz="0" w:space="0" w:color="auto"/>
                <w:left w:val="none" w:sz="0" w:space="0" w:color="auto"/>
                <w:bottom w:val="none" w:sz="0" w:space="0" w:color="auto"/>
                <w:right w:val="none" w:sz="0" w:space="0" w:color="auto"/>
              </w:divBdr>
            </w:div>
          </w:divsChild>
        </w:div>
        <w:div w:id="134688304">
          <w:marLeft w:val="0"/>
          <w:marRight w:val="0"/>
          <w:marTop w:val="0"/>
          <w:marBottom w:val="0"/>
          <w:divBdr>
            <w:top w:val="none" w:sz="0" w:space="0" w:color="auto"/>
            <w:left w:val="none" w:sz="0" w:space="0" w:color="auto"/>
            <w:bottom w:val="none" w:sz="0" w:space="0" w:color="auto"/>
            <w:right w:val="none" w:sz="0" w:space="0" w:color="auto"/>
          </w:divBdr>
          <w:divsChild>
            <w:div w:id="1376126516">
              <w:marLeft w:val="75"/>
              <w:marRight w:val="75"/>
              <w:marTop w:val="150"/>
              <w:marBottom w:val="150"/>
              <w:divBdr>
                <w:top w:val="none" w:sz="0" w:space="0" w:color="auto"/>
                <w:left w:val="none" w:sz="0" w:space="0" w:color="auto"/>
                <w:bottom w:val="none" w:sz="0" w:space="0" w:color="auto"/>
                <w:right w:val="none" w:sz="0" w:space="0" w:color="auto"/>
              </w:divBdr>
            </w:div>
          </w:divsChild>
        </w:div>
        <w:div w:id="209341846">
          <w:marLeft w:val="0"/>
          <w:marRight w:val="0"/>
          <w:marTop w:val="0"/>
          <w:marBottom w:val="0"/>
          <w:divBdr>
            <w:top w:val="none" w:sz="0" w:space="0" w:color="auto"/>
            <w:left w:val="none" w:sz="0" w:space="0" w:color="auto"/>
            <w:bottom w:val="none" w:sz="0" w:space="0" w:color="auto"/>
            <w:right w:val="none" w:sz="0" w:space="0" w:color="auto"/>
          </w:divBdr>
          <w:divsChild>
            <w:div w:id="13645408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1506164973">
      <w:bodyDiv w:val="1"/>
      <w:marLeft w:val="0"/>
      <w:marRight w:val="0"/>
      <w:marTop w:val="0"/>
      <w:marBottom w:val="0"/>
      <w:divBdr>
        <w:top w:val="none" w:sz="0" w:space="0" w:color="auto"/>
        <w:left w:val="none" w:sz="0" w:space="0" w:color="auto"/>
        <w:bottom w:val="none" w:sz="0" w:space="0" w:color="auto"/>
        <w:right w:val="none" w:sz="0" w:space="0" w:color="auto"/>
      </w:divBdr>
    </w:div>
    <w:div w:id="1965886815">
      <w:bodyDiv w:val="1"/>
      <w:marLeft w:val="0"/>
      <w:marRight w:val="0"/>
      <w:marTop w:val="0"/>
      <w:marBottom w:val="0"/>
      <w:divBdr>
        <w:top w:val="none" w:sz="0" w:space="0" w:color="auto"/>
        <w:left w:val="none" w:sz="0" w:space="0" w:color="auto"/>
        <w:bottom w:val="none" w:sz="0" w:space="0" w:color="auto"/>
        <w:right w:val="none" w:sz="0" w:space="0" w:color="auto"/>
      </w:divBdr>
      <w:divsChild>
        <w:div w:id="1429154982">
          <w:marLeft w:val="0"/>
          <w:marRight w:val="0"/>
          <w:marTop w:val="0"/>
          <w:marBottom w:val="0"/>
          <w:divBdr>
            <w:top w:val="none" w:sz="0" w:space="0" w:color="auto"/>
            <w:left w:val="none" w:sz="0" w:space="0" w:color="auto"/>
            <w:bottom w:val="none" w:sz="0" w:space="0" w:color="auto"/>
            <w:right w:val="none" w:sz="0" w:space="0" w:color="auto"/>
          </w:divBdr>
          <w:divsChild>
            <w:div w:id="772170578">
              <w:marLeft w:val="75"/>
              <w:marRight w:val="75"/>
              <w:marTop w:val="150"/>
              <w:marBottom w:val="150"/>
              <w:divBdr>
                <w:top w:val="none" w:sz="0" w:space="0" w:color="auto"/>
                <w:left w:val="none" w:sz="0" w:space="0" w:color="auto"/>
                <w:bottom w:val="none" w:sz="0" w:space="0" w:color="auto"/>
                <w:right w:val="none" w:sz="0" w:space="0" w:color="auto"/>
              </w:divBdr>
            </w:div>
          </w:divsChild>
        </w:div>
        <w:div w:id="1117606645">
          <w:marLeft w:val="0"/>
          <w:marRight w:val="0"/>
          <w:marTop w:val="0"/>
          <w:marBottom w:val="0"/>
          <w:divBdr>
            <w:top w:val="none" w:sz="0" w:space="0" w:color="auto"/>
            <w:left w:val="none" w:sz="0" w:space="0" w:color="auto"/>
            <w:bottom w:val="none" w:sz="0" w:space="0" w:color="auto"/>
            <w:right w:val="none" w:sz="0" w:space="0" w:color="auto"/>
          </w:divBdr>
          <w:divsChild>
            <w:div w:id="1693921852">
              <w:marLeft w:val="75"/>
              <w:marRight w:val="75"/>
              <w:marTop w:val="150"/>
              <w:marBottom w:val="150"/>
              <w:divBdr>
                <w:top w:val="none" w:sz="0" w:space="0" w:color="auto"/>
                <w:left w:val="none" w:sz="0" w:space="0" w:color="auto"/>
                <w:bottom w:val="none" w:sz="0" w:space="0" w:color="auto"/>
                <w:right w:val="none" w:sz="0" w:space="0" w:color="auto"/>
              </w:divBdr>
            </w:div>
          </w:divsChild>
        </w:div>
        <w:div w:id="1131557716">
          <w:marLeft w:val="0"/>
          <w:marRight w:val="0"/>
          <w:marTop w:val="0"/>
          <w:marBottom w:val="0"/>
          <w:divBdr>
            <w:top w:val="none" w:sz="0" w:space="0" w:color="auto"/>
            <w:left w:val="none" w:sz="0" w:space="0" w:color="auto"/>
            <w:bottom w:val="none" w:sz="0" w:space="0" w:color="auto"/>
            <w:right w:val="none" w:sz="0" w:space="0" w:color="auto"/>
          </w:divBdr>
          <w:divsChild>
            <w:div w:id="280113737">
              <w:marLeft w:val="75"/>
              <w:marRight w:val="75"/>
              <w:marTop w:val="150"/>
              <w:marBottom w:val="150"/>
              <w:divBdr>
                <w:top w:val="none" w:sz="0" w:space="0" w:color="auto"/>
                <w:left w:val="none" w:sz="0" w:space="0" w:color="auto"/>
                <w:bottom w:val="none" w:sz="0" w:space="0" w:color="auto"/>
                <w:right w:val="none" w:sz="0" w:space="0" w:color="auto"/>
              </w:divBdr>
            </w:div>
          </w:divsChild>
        </w:div>
        <w:div w:id="1171599747">
          <w:marLeft w:val="0"/>
          <w:marRight w:val="0"/>
          <w:marTop w:val="0"/>
          <w:marBottom w:val="0"/>
          <w:divBdr>
            <w:top w:val="none" w:sz="0" w:space="0" w:color="auto"/>
            <w:left w:val="none" w:sz="0" w:space="0" w:color="auto"/>
            <w:bottom w:val="none" w:sz="0" w:space="0" w:color="auto"/>
            <w:right w:val="none" w:sz="0" w:space="0" w:color="auto"/>
          </w:divBdr>
          <w:divsChild>
            <w:div w:id="565529977">
              <w:marLeft w:val="75"/>
              <w:marRight w:val="75"/>
              <w:marTop w:val="150"/>
              <w:marBottom w:val="150"/>
              <w:divBdr>
                <w:top w:val="none" w:sz="0" w:space="0" w:color="auto"/>
                <w:left w:val="none" w:sz="0" w:space="0" w:color="auto"/>
                <w:bottom w:val="none" w:sz="0" w:space="0" w:color="auto"/>
                <w:right w:val="none" w:sz="0" w:space="0" w:color="auto"/>
              </w:divBdr>
            </w:div>
          </w:divsChild>
        </w:div>
        <w:div w:id="424036021">
          <w:marLeft w:val="0"/>
          <w:marRight w:val="0"/>
          <w:marTop w:val="0"/>
          <w:marBottom w:val="0"/>
          <w:divBdr>
            <w:top w:val="none" w:sz="0" w:space="0" w:color="auto"/>
            <w:left w:val="none" w:sz="0" w:space="0" w:color="auto"/>
            <w:bottom w:val="none" w:sz="0" w:space="0" w:color="auto"/>
            <w:right w:val="none" w:sz="0" w:space="0" w:color="auto"/>
          </w:divBdr>
          <w:divsChild>
            <w:div w:id="1943880536">
              <w:marLeft w:val="75"/>
              <w:marRight w:val="75"/>
              <w:marTop w:val="150"/>
              <w:marBottom w:val="150"/>
              <w:divBdr>
                <w:top w:val="none" w:sz="0" w:space="0" w:color="auto"/>
                <w:left w:val="none" w:sz="0" w:space="0" w:color="auto"/>
                <w:bottom w:val="none" w:sz="0" w:space="0" w:color="auto"/>
                <w:right w:val="none" w:sz="0" w:space="0" w:color="auto"/>
              </w:divBdr>
            </w:div>
          </w:divsChild>
        </w:div>
        <w:div w:id="799615922">
          <w:marLeft w:val="0"/>
          <w:marRight w:val="0"/>
          <w:marTop w:val="0"/>
          <w:marBottom w:val="0"/>
          <w:divBdr>
            <w:top w:val="none" w:sz="0" w:space="0" w:color="auto"/>
            <w:left w:val="none" w:sz="0" w:space="0" w:color="auto"/>
            <w:bottom w:val="none" w:sz="0" w:space="0" w:color="auto"/>
            <w:right w:val="none" w:sz="0" w:space="0" w:color="auto"/>
          </w:divBdr>
          <w:divsChild>
            <w:div w:id="994341270">
              <w:marLeft w:val="75"/>
              <w:marRight w:val="75"/>
              <w:marTop w:val="150"/>
              <w:marBottom w:val="150"/>
              <w:divBdr>
                <w:top w:val="none" w:sz="0" w:space="0" w:color="auto"/>
                <w:left w:val="none" w:sz="0" w:space="0" w:color="auto"/>
                <w:bottom w:val="none" w:sz="0" w:space="0" w:color="auto"/>
                <w:right w:val="none" w:sz="0" w:space="0" w:color="auto"/>
              </w:divBdr>
            </w:div>
          </w:divsChild>
        </w:div>
        <w:div w:id="607935516">
          <w:marLeft w:val="0"/>
          <w:marRight w:val="0"/>
          <w:marTop w:val="0"/>
          <w:marBottom w:val="0"/>
          <w:divBdr>
            <w:top w:val="none" w:sz="0" w:space="0" w:color="auto"/>
            <w:left w:val="none" w:sz="0" w:space="0" w:color="auto"/>
            <w:bottom w:val="none" w:sz="0" w:space="0" w:color="auto"/>
            <w:right w:val="none" w:sz="0" w:space="0" w:color="auto"/>
          </w:divBdr>
          <w:divsChild>
            <w:div w:id="1607420887">
              <w:marLeft w:val="75"/>
              <w:marRight w:val="75"/>
              <w:marTop w:val="150"/>
              <w:marBottom w:val="150"/>
              <w:divBdr>
                <w:top w:val="none" w:sz="0" w:space="0" w:color="auto"/>
                <w:left w:val="none" w:sz="0" w:space="0" w:color="auto"/>
                <w:bottom w:val="none" w:sz="0" w:space="0" w:color="auto"/>
                <w:right w:val="none" w:sz="0" w:space="0" w:color="auto"/>
              </w:divBdr>
            </w:div>
          </w:divsChild>
        </w:div>
        <w:div w:id="1671058225">
          <w:marLeft w:val="0"/>
          <w:marRight w:val="0"/>
          <w:marTop w:val="0"/>
          <w:marBottom w:val="0"/>
          <w:divBdr>
            <w:top w:val="none" w:sz="0" w:space="0" w:color="auto"/>
            <w:left w:val="none" w:sz="0" w:space="0" w:color="auto"/>
            <w:bottom w:val="none" w:sz="0" w:space="0" w:color="auto"/>
            <w:right w:val="none" w:sz="0" w:space="0" w:color="auto"/>
          </w:divBdr>
          <w:divsChild>
            <w:div w:id="1252931330">
              <w:marLeft w:val="75"/>
              <w:marRight w:val="75"/>
              <w:marTop w:val="150"/>
              <w:marBottom w:val="150"/>
              <w:divBdr>
                <w:top w:val="none" w:sz="0" w:space="0" w:color="auto"/>
                <w:left w:val="none" w:sz="0" w:space="0" w:color="auto"/>
                <w:bottom w:val="none" w:sz="0" w:space="0" w:color="auto"/>
                <w:right w:val="none" w:sz="0" w:space="0" w:color="auto"/>
              </w:divBdr>
            </w:div>
          </w:divsChild>
        </w:div>
        <w:div w:id="1758207097">
          <w:marLeft w:val="0"/>
          <w:marRight w:val="0"/>
          <w:marTop w:val="0"/>
          <w:marBottom w:val="0"/>
          <w:divBdr>
            <w:top w:val="none" w:sz="0" w:space="0" w:color="auto"/>
            <w:left w:val="none" w:sz="0" w:space="0" w:color="auto"/>
            <w:bottom w:val="none" w:sz="0" w:space="0" w:color="auto"/>
            <w:right w:val="none" w:sz="0" w:space="0" w:color="auto"/>
          </w:divBdr>
          <w:divsChild>
            <w:div w:id="285356378">
              <w:marLeft w:val="75"/>
              <w:marRight w:val="75"/>
              <w:marTop w:val="150"/>
              <w:marBottom w:val="150"/>
              <w:divBdr>
                <w:top w:val="none" w:sz="0" w:space="0" w:color="auto"/>
                <w:left w:val="none" w:sz="0" w:space="0" w:color="auto"/>
                <w:bottom w:val="none" w:sz="0" w:space="0" w:color="auto"/>
                <w:right w:val="none" w:sz="0" w:space="0" w:color="auto"/>
              </w:divBdr>
            </w:div>
          </w:divsChild>
        </w:div>
        <w:div w:id="558133792">
          <w:marLeft w:val="0"/>
          <w:marRight w:val="0"/>
          <w:marTop w:val="0"/>
          <w:marBottom w:val="0"/>
          <w:divBdr>
            <w:top w:val="none" w:sz="0" w:space="0" w:color="auto"/>
            <w:left w:val="none" w:sz="0" w:space="0" w:color="auto"/>
            <w:bottom w:val="none" w:sz="0" w:space="0" w:color="auto"/>
            <w:right w:val="none" w:sz="0" w:space="0" w:color="auto"/>
          </w:divBdr>
          <w:divsChild>
            <w:div w:id="1672875824">
              <w:marLeft w:val="75"/>
              <w:marRight w:val="75"/>
              <w:marTop w:val="150"/>
              <w:marBottom w:val="150"/>
              <w:divBdr>
                <w:top w:val="none" w:sz="0" w:space="0" w:color="auto"/>
                <w:left w:val="none" w:sz="0" w:space="0" w:color="auto"/>
                <w:bottom w:val="none" w:sz="0" w:space="0" w:color="auto"/>
                <w:right w:val="none" w:sz="0" w:space="0" w:color="auto"/>
              </w:divBdr>
            </w:div>
          </w:divsChild>
        </w:div>
        <w:div w:id="472529054">
          <w:marLeft w:val="0"/>
          <w:marRight w:val="0"/>
          <w:marTop w:val="0"/>
          <w:marBottom w:val="0"/>
          <w:divBdr>
            <w:top w:val="none" w:sz="0" w:space="0" w:color="auto"/>
            <w:left w:val="none" w:sz="0" w:space="0" w:color="auto"/>
            <w:bottom w:val="none" w:sz="0" w:space="0" w:color="auto"/>
            <w:right w:val="none" w:sz="0" w:space="0" w:color="auto"/>
          </w:divBdr>
          <w:divsChild>
            <w:div w:id="1451507964">
              <w:marLeft w:val="75"/>
              <w:marRight w:val="75"/>
              <w:marTop w:val="150"/>
              <w:marBottom w:val="150"/>
              <w:divBdr>
                <w:top w:val="none" w:sz="0" w:space="0" w:color="auto"/>
                <w:left w:val="none" w:sz="0" w:space="0" w:color="auto"/>
                <w:bottom w:val="none" w:sz="0" w:space="0" w:color="auto"/>
                <w:right w:val="none" w:sz="0" w:space="0" w:color="auto"/>
              </w:divBdr>
            </w:div>
          </w:divsChild>
        </w:div>
        <w:div w:id="1156527679">
          <w:marLeft w:val="0"/>
          <w:marRight w:val="0"/>
          <w:marTop w:val="0"/>
          <w:marBottom w:val="0"/>
          <w:divBdr>
            <w:top w:val="none" w:sz="0" w:space="0" w:color="auto"/>
            <w:left w:val="none" w:sz="0" w:space="0" w:color="auto"/>
            <w:bottom w:val="none" w:sz="0" w:space="0" w:color="auto"/>
            <w:right w:val="none" w:sz="0" w:space="0" w:color="auto"/>
          </w:divBdr>
          <w:divsChild>
            <w:div w:id="421728152">
              <w:marLeft w:val="75"/>
              <w:marRight w:val="75"/>
              <w:marTop w:val="150"/>
              <w:marBottom w:val="150"/>
              <w:divBdr>
                <w:top w:val="none" w:sz="0" w:space="0" w:color="auto"/>
                <w:left w:val="none" w:sz="0" w:space="0" w:color="auto"/>
                <w:bottom w:val="none" w:sz="0" w:space="0" w:color="auto"/>
                <w:right w:val="none" w:sz="0" w:space="0" w:color="auto"/>
              </w:divBdr>
            </w:div>
          </w:divsChild>
        </w:div>
        <w:div w:id="120735179">
          <w:marLeft w:val="0"/>
          <w:marRight w:val="0"/>
          <w:marTop w:val="0"/>
          <w:marBottom w:val="0"/>
          <w:divBdr>
            <w:top w:val="none" w:sz="0" w:space="0" w:color="auto"/>
            <w:left w:val="none" w:sz="0" w:space="0" w:color="auto"/>
            <w:bottom w:val="none" w:sz="0" w:space="0" w:color="auto"/>
            <w:right w:val="none" w:sz="0" w:space="0" w:color="auto"/>
          </w:divBdr>
          <w:divsChild>
            <w:div w:id="603071404">
              <w:marLeft w:val="75"/>
              <w:marRight w:val="75"/>
              <w:marTop w:val="150"/>
              <w:marBottom w:val="150"/>
              <w:divBdr>
                <w:top w:val="none" w:sz="0" w:space="0" w:color="auto"/>
                <w:left w:val="none" w:sz="0" w:space="0" w:color="auto"/>
                <w:bottom w:val="none" w:sz="0" w:space="0" w:color="auto"/>
                <w:right w:val="none" w:sz="0" w:space="0" w:color="auto"/>
              </w:divBdr>
            </w:div>
          </w:divsChild>
        </w:div>
        <w:div w:id="2079132559">
          <w:marLeft w:val="0"/>
          <w:marRight w:val="0"/>
          <w:marTop w:val="0"/>
          <w:marBottom w:val="0"/>
          <w:divBdr>
            <w:top w:val="none" w:sz="0" w:space="0" w:color="auto"/>
            <w:left w:val="none" w:sz="0" w:space="0" w:color="auto"/>
            <w:bottom w:val="none" w:sz="0" w:space="0" w:color="auto"/>
            <w:right w:val="none" w:sz="0" w:space="0" w:color="auto"/>
          </w:divBdr>
          <w:divsChild>
            <w:div w:id="669721365">
              <w:marLeft w:val="75"/>
              <w:marRight w:val="75"/>
              <w:marTop w:val="150"/>
              <w:marBottom w:val="150"/>
              <w:divBdr>
                <w:top w:val="none" w:sz="0" w:space="0" w:color="auto"/>
                <w:left w:val="none" w:sz="0" w:space="0" w:color="auto"/>
                <w:bottom w:val="none" w:sz="0" w:space="0" w:color="auto"/>
                <w:right w:val="none" w:sz="0" w:space="0" w:color="auto"/>
              </w:divBdr>
            </w:div>
          </w:divsChild>
        </w:div>
        <w:div w:id="944116301">
          <w:marLeft w:val="0"/>
          <w:marRight w:val="0"/>
          <w:marTop w:val="0"/>
          <w:marBottom w:val="0"/>
          <w:divBdr>
            <w:top w:val="none" w:sz="0" w:space="0" w:color="auto"/>
            <w:left w:val="none" w:sz="0" w:space="0" w:color="auto"/>
            <w:bottom w:val="none" w:sz="0" w:space="0" w:color="auto"/>
            <w:right w:val="none" w:sz="0" w:space="0" w:color="auto"/>
          </w:divBdr>
          <w:divsChild>
            <w:div w:id="17127101">
              <w:marLeft w:val="75"/>
              <w:marRight w:val="75"/>
              <w:marTop w:val="150"/>
              <w:marBottom w:val="150"/>
              <w:divBdr>
                <w:top w:val="none" w:sz="0" w:space="0" w:color="auto"/>
                <w:left w:val="none" w:sz="0" w:space="0" w:color="auto"/>
                <w:bottom w:val="none" w:sz="0" w:space="0" w:color="auto"/>
                <w:right w:val="none" w:sz="0" w:space="0" w:color="auto"/>
              </w:divBdr>
            </w:div>
          </w:divsChild>
        </w:div>
        <w:div w:id="1632831586">
          <w:marLeft w:val="0"/>
          <w:marRight w:val="0"/>
          <w:marTop w:val="0"/>
          <w:marBottom w:val="0"/>
          <w:divBdr>
            <w:top w:val="none" w:sz="0" w:space="0" w:color="auto"/>
            <w:left w:val="none" w:sz="0" w:space="0" w:color="auto"/>
            <w:bottom w:val="none" w:sz="0" w:space="0" w:color="auto"/>
            <w:right w:val="none" w:sz="0" w:space="0" w:color="auto"/>
          </w:divBdr>
          <w:divsChild>
            <w:div w:id="682786534">
              <w:marLeft w:val="75"/>
              <w:marRight w:val="75"/>
              <w:marTop w:val="150"/>
              <w:marBottom w:val="150"/>
              <w:divBdr>
                <w:top w:val="none" w:sz="0" w:space="0" w:color="auto"/>
                <w:left w:val="none" w:sz="0" w:space="0" w:color="auto"/>
                <w:bottom w:val="none" w:sz="0" w:space="0" w:color="auto"/>
                <w:right w:val="none" w:sz="0" w:space="0" w:color="auto"/>
              </w:divBdr>
            </w:div>
          </w:divsChild>
        </w:div>
        <w:div w:id="1509254446">
          <w:marLeft w:val="0"/>
          <w:marRight w:val="0"/>
          <w:marTop w:val="0"/>
          <w:marBottom w:val="0"/>
          <w:divBdr>
            <w:top w:val="none" w:sz="0" w:space="0" w:color="auto"/>
            <w:left w:val="none" w:sz="0" w:space="0" w:color="auto"/>
            <w:bottom w:val="none" w:sz="0" w:space="0" w:color="auto"/>
            <w:right w:val="none" w:sz="0" w:space="0" w:color="auto"/>
          </w:divBdr>
          <w:divsChild>
            <w:div w:id="643120018">
              <w:marLeft w:val="75"/>
              <w:marRight w:val="75"/>
              <w:marTop w:val="150"/>
              <w:marBottom w:val="150"/>
              <w:divBdr>
                <w:top w:val="none" w:sz="0" w:space="0" w:color="auto"/>
                <w:left w:val="none" w:sz="0" w:space="0" w:color="auto"/>
                <w:bottom w:val="none" w:sz="0" w:space="0" w:color="auto"/>
                <w:right w:val="none" w:sz="0" w:space="0" w:color="auto"/>
              </w:divBdr>
            </w:div>
          </w:divsChild>
        </w:div>
        <w:div w:id="1326085727">
          <w:marLeft w:val="0"/>
          <w:marRight w:val="0"/>
          <w:marTop w:val="0"/>
          <w:marBottom w:val="0"/>
          <w:divBdr>
            <w:top w:val="none" w:sz="0" w:space="0" w:color="auto"/>
            <w:left w:val="none" w:sz="0" w:space="0" w:color="auto"/>
            <w:bottom w:val="none" w:sz="0" w:space="0" w:color="auto"/>
            <w:right w:val="none" w:sz="0" w:space="0" w:color="auto"/>
          </w:divBdr>
          <w:divsChild>
            <w:div w:id="759059290">
              <w:marLeft w:val="75"/>
              <w:marRight w:val="75"/>
              <w:marTop w:val="150"/>
              <w:marBottom w:val="150"/>
              <w:divBdr>
                <w:top w:val="none" w:sz="0" w:space="0" w:color="auto"/>
                <w:left w:val="none" w:sz="0" w:space="0" w:color="auto"/>
                <w:bottom w:val="none" w:sz="0" w:space="0" w:color="auto"/>
                <w:right w:val="none" w:sz="0" w:space="0" w:color="auto"/>
              </w:divBdr>
            </w:div>
          </w:divsChild>
        </w:div>
        <w:div w:id="1582789806">
          <w:marLeft w:val="0"/>
          <w:marRight w:val="0"/>
          <w:marTop w:val="0"/>
          <w:marBottom w:val="0"/>
          <w:divBdr>
            <w:top w:val="none" w:sz="0" w:space="0" w:color="auto"/>
            <w:left w:val="none" w:sz="0" w:space="0" w:color="auto"/>
            <w:bottom w:val="none" w:sz="0" w:space="0" w:color="auto"/>
            <w:right w:val="none" w:sz="0" w:space="0" w:color="auto"/>
          </w:divBdr>
          <w:divsChild>
            <w:div w:id="918445051">
              <w:marLeft w:val="75"/>
              <w:marRight w:val="75"/>
              <w:marTop w:val="150"/>
              <w:marBottom w:val="150"/>
              <w:divBdr>
                <w:top w:val="none" w:sz="0" w:space="0" w:color="auto"/>
                <w:left w:val="none" w:sz="0" w:space="0" w:color="auto"/>
                <w:bottom w:val="none" w:sz="0" w:space="0" w:color="auto"/>
                <w:right w:val="none" w:sz="0" w:space="0" w:color="auto"/>
              </w:divBdr>
            </w:div>
          </w:divsChild>
        </w:div>
        <w:div w:id="1911161013">
          <w:marLeft w:val="0"/>
          <w:marRight w:val="0"/>
          <w:marTop w:val="0"/>
          <w:marBottom w:val="0"/>
          <w:divBdr>
            <w:top w:val="none" w:sz="0" w:space="0" w:color="auto"/>
            <w:left w:val="none" w:sz="0" w:space="0" w:color="auto"/>
            <w:bottom w:val="none" w:sz="0" w:space="0" w:color="auto"/>
            <w:right w:val="none" w:sz="0" w:space="0" w:color="auto"/>
          </w:divBdr>
          <w:divsChild>
            <w:div w:id="1434740936">
              <w:marLeft w:val="75"/>
              <w:marRight w:val="75"/>
              <w:marTop w:val="150"/>
              <w:marBottom w:val="150"/>
              <w:divBdr>
                <w:top w:val="none" w:sz="0" w:space="0" w:color="auto"/>
                <w:left w:val="none" w:sz="0" w:space="0" w:color="auto"/>
                <w:bottom w:val="none" w:sz="0" w:space="0" w:color="auto"/>
                <w:right w:val="none" w:sz="0" w:space="0" w:color="auto"/>
              </w:divBdr>
            </w:div>
          </w:divsChild>
        </w:div>
        <w:div w:id="1622959592">
          <w:marLeft w:val="0"/>
          <w:marRight w:val="0"/>
          <w:marTop w:val="0"/>
          <w:marBottom w:val="0"/>
          <w:divBdr>
            <w:top w:val="none" w:sz="0" w:space="0" w:color="auto"/>
            <w:left w:val="none" w:sz="0" w:space="0" w:color="auto"/>
            <w:bottom w:val="none" w:sz="0" w:space="0" w:color="auto"/>
            <w:right w:val="none" w:sz="0" w:space="0" w:color="auto"/>
          </w:divBdr>
          <w:divsChild>
            <w:div w:id="491682340">
              <w:marLeft w:val="75"/>
              <w:marRight w:val="75"/>
              <w:marTop w:val="150"/>
              <w:marBottom w:val="150"/>
              <w:divBdr>
                <w:top w:val="none" w:sz="0" w:space="0" w:color="auto"/>
                <w:left w:val="none" w:sz="0" w:space="0" w:color="auto"/>
                <w:bottom w:val="none" w:sz="0" w:space="0" w:color="auto"/>
                <w:right w:val="none" w:sz="0" w:space="0" w:color="auto"/>
              </w:divBdr>
            </w:div>
          </w:divsChild>
        </w:div>
        <w:div w:id="1519150262">
          <w:marLeft w:val="0"/>
          <w:marRight w:val="0"/>
          <w:marTop w:val="0"/>
          <w:marBottom w:val="0"/>
          <w:divBdr>
            <w:top w:val="none" w:sz="0" w:space="0" w:color="auto"/>
            <w:left w:val="none" w:sz="0" w:space="0" w:color="auto"/>
            <w:bottom w:val="none" w:sz="0" w:space="0" w:color="auto"/>
            <w:right w:val="none" w:sz="0" w:space="0" w:color="auto"/>
          </w:divBdr>
          <w:divsChild>
            <w:div w:id="347803438">
              <w:marLeft w:val="75"/>
              <w:marRight w:val="75"/>
              <w:marTop w:val="150"/>
              <w:marBottom w:val="150"/>
              <w:divBdr>
                <w:top w:val="none" w:sz="0" w:space="0" w:color="auto"/>
                <w:left w:val="none" w:sz="0" w:space="0" w:color="auto"/>
                <w:bottom w:val="none" w:sz="0" w:space="0" w:color="auto"/>
                <w:right w:val="none" w:sz="0" w:space="0" w:color="auto"/>
              </w:divBdr>
            </w:div>
          </w:divsChild>
        </w:div>
        <w:div w:id="1318339424">
          <w:marLeft w:val="0"/>
          <w:marRight w:val="0"/>
          <w:marTop w:val="0"/>
          <w:marBottom w:val="0"/>
          <w:divBdr>
            <w:top w:val="none" w:sz="0" w:space="0" w:color="auto"/>
            <w:left w:val="none" w:sz="0" w:space="0" w:color="auto"/>
            <w:bottom w:val="none" w:sz="0" w:space="0" w:color="auto"/>
            <w:right w:val="none" w:sz="0" w:space="0" w:color="auto"/>
          </w:divBdr>
          <w:divsChild>
            <w:div w:id="1301955781">
              <w:marLeft w:val="75"/>
              <w:marRight w:val="75"/>
              <w:marTop w:val="150"/>
              <w:marBottom w:val="150"/>
              <w:divBdr>
                <w:top w:val="none" w:sz="0" w:space="0" w:color="auto"/>
                <w:left w:val="none" w:sz="0" w:space="0" w:color="auto"/>
                <w:bottom w:val="none" w:sz="0" w:space="0" w:color="auto"/>
                <w:right w:val="none" w:sz="0" w:space="0" w:color="auto"/>
              </w:divBdr>
            </w:div>
          </w:divsChild>
        </w:div>
        <w:div w:id="695009708">
          <w:marLeft w:val="0"/>
          <w:marRight w:val="0"/>
          <w:marTop w:val="0"/>
          <w:marBottom w:val="0"/>
          <w:divBdr>
            <w:top w:val="none" w:sz="0" w:space="0" w:color="auto"/>
            <w:left w:val="none" w:sz="0" w:space="0" w:color="auto"/>
            <w:bottom w:val="none" w:sz="0" w:space="0" w:color="auto"/>
            <w:right w:val="none" w:sz="0" w:space="0" w:color="auto"/>
          </w:divBdr>
          <w:divsChild>
            <w:div w:id="1252200467">
              <w:marLeft w:val="75"/>
              <w:marRight w:val="75"/>
              <w:marTop w:val="150"/>
              <w:marBottom w:val="150"/>
              <w:divBdr>
                <w:top w:val="none" w:sz="0" w:space="0" w:color="auto"/>
                <w:left w:val="none" w:sz="0" w:space="0" w:color="auto"/>
                <w:bottom w:val="none" w:sz="0" w:space="0" w:color="auto"/>
                <w:right w:val="none" w:sz="0" w:space="0" w:color="auto"/>
              </w:divBdr>
            </w:div>
          </w:divsChild>
        </w:div>
        <w:div w:id="220411669">
          <w:marLeft w:val="0"/>
          <w:marRight w:val="0"/>
          <w:marTop w:val="0"/>
          <w:marBottom w:val="0"/>
          <w:divBdr>
            <w:top w:val="none" w:sz="0" w:space="0" w:color="auto"/>
            <w:left w:val="none" w:sz="0" w:space="0" w:color="auto"/>
            <w:bottom w:val="none" w:sz="0" w:space="0" w:color="auto"/>
            <w:right w:val="none" w:sz="0" w:space="0" w:color="auto"/>
          </w:divBdr>
          <w:divsChild>
            <w:div w:id="882716666">
              <w:marLeft w:val="75"/>
              <w:marRight w:val="75"/>
              <w:marTop w:val="150"/>
              <w:marBottom w:val="150"/>
              <w:divBdr>
                <w:top w:val="none" w:sz="0" w:space="0" w:color="auto"/>
                <w:left w:val="none" w:sz="0" w:space="0" w:color="auto"/>
                <w:bottom w:val="none" w:sz="0" w:space="0" w:color="auto"/>
                <w:right w:val="none" w:sz="0" w:space="0" w:color="auto"/>
              </w:divBdr>
            </w:div>
          </w:divsChild>
        </w:div>
        <w:div w:id="436877244">
          <w:marLeft w:val="0"/>
          <w:marRight w:val="0"/>
          <w:marTop w:val="0"/>
          <w:marBottom w:val="0"/>
          <w:divBdr>
            <w:top w:val="none" w:sz="0" w:space="0" w:color="auto"/>
            <w:left w:val="none" w:sz="0" w:space="0" w:color="auto"/>
            <w:bottom w:val="none" w:sz="0" w:space="0" w:color="auto"/>
            <w:right w:val="none" w:sz="0" w:space="0" w:color="auto"/>
          </w:divBdr>
          <w:divsChild>
            <w:div w:id="1082608993">
              <w:marLeft w:val="75"/>
              <w:marRight w:val="75"/>
              <w:marTop w:val="150"/>
              <w:marBottom w:val="150"/>
              <w:divBdr>
                <w:top w:val="none" w:sz="0" w:space="0" w:color="auto"/>
                <w:left w:val="none" w:sz="0" w:space="0" w:color="auto"/>
                <w:bottom w:val="none" w:sz="0" w:space="0" w:color="auto"/>
                <w:right w:val="none" w:sz="0" w:space="0" w:color="auto"/>
              </w:divBdr>
            </w:div>
          </w:divsChild>
        </w:div>
        <w:div w:id="1507013584">
          <w:marLeft w:val="0"/>
          <w:marRight w:val="0"/>
          <w:marTop w:val="0"/>
          <w:marBottom w:val="0"/>
          <w:divBdr>
            <w:top w:val="none" w:sz="0" w:space="0" w:color="auto"/>
            <w:left w:val="none" w:sz="0" w:space="0" w:color="auto"/>
            <w:bottom w:val="none" w:sz="0" w:space="0" w:color="auto"/>
            <w:right w:val="none" w:sz="0" w:space="0" w:color="auto"/>
          </w:divBdr>
          <w:divsChild>
            <w:div w:id="1244414653">
              <w:marLeft w:val="75"/>
              <w:marRight w:val="75"/>
              <w:marTop w:val="150"/>
              <w:marBottom w:val="150"/>
              <w:divBdr>
                <w:top w:val="none" w:sz="0" w:space="0" w:color="auto"/>
                <w:left w:val="none" w:sz="0" w:space="0" w:color="auto"/>
                <w:bottom w:val="none" w:sz="0" w:space="0" w:color="auto"/>
                <w:right w:val="none" w:sz="0" w:space="0" w:color="auto"/>
              </w:divBdr>
            </w:div>
          </w:divsChild>
        </w:div>
        <w:div w:id="189027303">
          <w:marLeft w:val="0"/>
          <w:marRight w:val="0"/>
          <w:marTop w:val="0"/>
          <w:marBottom w:val="0"/>
          <w:divBdr>
            <w:top w:val="none" w:sz="0" w:space="0" w:color="auto"/>
            <w:left w:val="none" w:sz="0" w:space="0" w:color="auto"/>
            <w:bottom w:val="none" w:sz="0" w:space="0" w:color="auto"/>
            <w:right w:val="none" w:sz="0" w:space="0" w:color="auto"/>
          </w:divBdr>
          <w:divsChild>
            <w:div w:id="1209806825">
              <w:marLeft w:val="75"/>
              <w:marRight w:val="75"/>
              <w:marTop w:val="150"/>
              <w:marBottom w:val="150"/>
              <w:divBdr>
                <w:top w:val="none" w:sz="0" w:space="0" w:color="auto"/>
                <w:left w:val="none" w:sz="0" w:space="0" w:color="auto"/>
                <w:bottom w:val="none" w:sz="0" w:space="0" w:color="auto"/>
                <w:right w:val="none" w:sz="0" w:space="0" w:color="auto"/>
              </w:divBdr>
            </w:div>
          </w:divsChild>
        </w:div>
        <w:div w:id="2029599450">
          <w:marLeft w:val="0"/>
          <w:marRight w:val="0"/>
          <w:marTop w:val="0"/>
          <w:marBottom w:val="0"/>
          <w:divBdr>
            <w:top w:val="none" w:sz="0" w:space="0" w:color="auto"/>
            <w:left w:val="none" w:sz="0" w:space="0" w:color="auto"/>
            <w:bottom w:val="none" w:sz="0" w:space="0" w:color="auto"/>
            <w:right w:val="none" w:sz="0" w:space="0" w:color="auto"/>
          </w:divBdr>
          <w:divsChild>
            <w:div w:id="1399743788">
              <w:marLeft w:val="75"/>
              <w:marRight w:val="75"/>
              <w:marTop w:val="150"/>
              <w:marBottom w:val="150"/>
              <w:divBdr>
                <w:top w:val="none" w:sz="0" w:space="0" w:color="auto"/>
                <w:left w:val="none" w:sz="0" w:space="0" w:color="auto"/>
                <w:bottom w:val="none" w:sz="0" w:space="0" w:color="auto"/>
                <w:right w:val="none" w:sz="0" w:space="0" w:color="auto"/>
              </w:divBdr>
            </w:div>
          </w:divsChild>
        </w:div>
        <w:div w:id="1063480476">
          <w:marLeft w:val="0"/>
          <w:marRight w:val="0"/>
          <w:marTop w:val="0"/>
          <w:marBottom w:val="0"/>
          <w:divBdr>
            <w:top w:val="none" w:sz="0" w:space="0" w:color="auto"/>
            <w:left w:val="none" w:sz="0" w:space="0" w:color="auto"/>
            <w:bottom w:val="none" w:sz="0" w:space="0" w:color="auto"/>
            <w:right w:val="none" w:sz="0" w:space="0" w:color="auto"/>
          </w:divBdr>
          <w:divsChild>
            <w:div w:id="1344085643">
              <w:marLeft w:val="75"/>
              <w:marRight w:val="75"/>
              <w:marTop w:val="150"/>
              <w:marBottom w:val="150"/>
              <w:divBdr>
                <w:top w:val="none" w:sz="0" w:space="0" w:color="auto"/>
                <w:left w:val="none" w:sz="0" w:space="0" w:color="auto"/>
                <w:bottom w:val="none" w:sz="0" w:space="0" w:color="auto"/>
                <w:right w:val="none" w:sz="0" w:space="0" w:color="auto"/>
              </w:divBdr>
            </w:div>
          </w:divsChild>
        </w:div>
        <w:div w:id="2138065773">
          <w:marLeft w:val="0"/>
          <w:marRight w:val="0"/>
          <w:marTop w:val="0"/>
          <w:marBottom w:val="0"/>
          <w:divBdr>
            <w:top w:val="none" w:sz="0" w:space="0" w:color="auto"/>
            <w:left w:val="none" w:sz="0" w:space="0" w:color="auto"/>
            <w:bottom w:val="none" w:sz="0" w:space="0" w:color="auto"/>
            <w:right w:val="none" w:sz="0" w:space="0" w:color="auto"/>
          </w:divBdr>
          <w:divsChild>
            <w:div w:id="1145779404">
              <w:marLeft w:val="75"/>
              <w:marRight w:val="75"/>
              <w:marTop w:val="150"/>
              <w:marBottom w:val="150"/>
              <w:divBdr>
                <w:top w:val="none" w:sz="0" w:space="0" w:color="auto"/>
                <w:left w:val="none" w:sz="0" w:space="0" w:color="auto"/>
                <w:bottom w:val="none" w:sz="0" w:space="0" w:color="auto"/>
                <w:right w:val="none" w:sz="0" w:space="0" w:color="auto"/>
              </w:divBdr>
            </w:div>
          </w:divsChild>
        </w:div>
        <w:div w:id="2051344033">
          <w:marLeft w:val="0"/>
          <w:marRight w:val="0"/>
          <w:marTop w:val="0"/>
          <w:marBottom w:val="0"/>
          <w:divBdr>
            <w:top w:val="none" w:sz="0" w:space="0" w:color="auto"/>
            <w:left w:val="none" w:sz="0" w:space="0" w:color="auto"/>
            <w:bottom w:val="none" w:sz="0" w:space="0" w:color="auto"/>
            <w:right w:val="none" w:sz="0" w:space="0" w:color="auto"/>
          </w:divBdr>
          <w:divsChild>
            <w:div w:id="1113596633">
              <w:marLeft w:val="75"/>
              <w:marRight w:val="75"/>
              <w:marTop w:val="150"/>
              <w:marBottom w:val="150"/>
              <w:divBdr>
                <w:top w:val="none" w:sz="0" w:space="0" w:color="auto"/>
                <w:left w:val="none" w:sz="0" w:space="0" w:color="auto"/>
                <w:bottom w:val="none" w:sz="0" w:space="0" w:color="auto"/>
                <w:right w:val="none" w:sz="0" w:space="0" w:color="auto"/>
              </w:divBdr>
            </w:div>
          </w:divsChild>
        </w:div>
        <w:div w:id="1853567201">
          <w:marLeft w:val="0"/>
          <w:marRight w:val="0"/>
          <w:marTop w:val="0"/>
          <w:marBottom w:val="0"/>
          <w:divBdr>
            <w:top w:val="none" w:sz="0" w:space="0" w:color="auto"/>
            <w:left w:val="none" w:sz="0" w:space="0" w:color="auto"/>
            <w:bottom w:val="none" w:sz="0" w:space="0" w:color="auto"/>
            <w:right w:val="none" w:sz="0" w:space="0" w:color="auto"/>
          </w:divBdr>
          <w:divsChild>
            <w:div w:id="1285968257">
              <w:marLeft w:val="75"/>
              <w:marRight w:val="75"/>
              <w:marTop w:val="150"/>
              <w:marBottom w:val="150"/>
              <w:divBdr>
                <w:top w:val="none" w:sz="0" w:space="0" w:color="auto"/>
                <w:left w:val="none" w:sz="0" w:space="0" w:color="auto"/>
                <w:bottom w:val="none" w:sz="0" w:space="0" w:color="auto"/>
                <w:right w:val="none" w:sz="0" w:space="0" w:color="auto"/>
              </w:divBdr>
            </w:div>
          </w:divsChild>
        </w:div>
        <w:div w:id="1414473806">
          <w:marLeft w:val="0"/>
          <w:marRight w:val="0"/>
          <w:marTop w:val="0"/>
          <w:marBottom w:val="0"/>
          <w:divBdr>
            <w:top w:val="none" w:sz="0" w:space="0" w:color="auto"/>
            <w:left w:val="none" w:sz="0" w:space="0" w:color="auto"/>
            <w:bottom w:val="none" w:sz="0" w:space="0" w:color="auto"/>
            <w:right w:val="none" w:sz="0" w:space="0" w:color="auto"/>
          </w:divBdr>
          <w:divsChild>
            <w:div w:id="1346319439">
              <w:marLeft w:val="75"/>
              <w:marRight w:val="75"/>
              <w:marTop w:val="150"/>
              <w:marBottom w:val="150"/>
              <w:divBdr>
                <w:top w:val="none" w:sz="0" w:space="0" w:color="auto"/>
                <w:left w:val="none" w:sz="0" w:space="0" w:color="auto"/>
                <w:bottom w:val="none" w:sz="0" w:space="0" w:color="auto"/>
                <w:right w:val="none" w:sz="0" w:space="0" w:color="auto"/>
              </w:divBdr>
            </w:div>
          </w:divsChild>
        </w:div>
        <w:div w:id="18699663">
          <w:marLeft w:val="0"/>
          <w:marRight w:val="0"/>
          <w:marTop w:val="0"/>
          <w:marBottom w:val="0"/>
          <w:divBdr>
            <w:top w:val="none" w:sz="0" w:space="0" w:color="auto"/>
            <w:left w:val="none" w:sz="0" w:space="0" w:color="auto"/>
            <w:bottom w:val="none" w:sz="0" w:space="0" w:color="auto"/>
            <w:right w:val="none" w:sz="0" w:space="0" w:color="auto"/>
          </w:divBdr>
          <w:divsChild>
            <w:div w:id="1064790140">
              <w:marLeft w:val="75"/>
              <w:marRight w:val="75"/>
              <w:marTop w:val="150"/>
              <w:marBottom w:val="150"/>
              <w:divBdr>
                <w:top w:val="none" w:sz="0" w:space="0" w:color="auto"/>
                <w:left w:val="none" w:sz="0" w:space="0" w:color="auto"/>
                <w:bottom w:val="none" w:sz="0" w:space="0" w:color="auto"/>
                <w:right w:val="none" w:sz="0" w:space="0" w:color="auto"/>
              </w:divBdr>
            </w:div>
          </w:divsChild>
        </w:div>
        <w:div w:id="1453938367">
          <w:marLeft w:val="0"/>
          <w:marRight w:val="0"/>
          <w:marTop w:val="0"/>
          <w:marBottom w:val="0"/>
          <w:divBdr>
            <w:top w:val="none" w:sz="0" w:space="0" w:color="auto"/>
            <w:left w:val="none" w:sz="0" w:space="0" w:color="auto"/>
            <w:bottom w:val="none" w:sz="0" w:space="0" w:color="auto"/>
            <w:right w:val="none" w:sz="0" w:space="0" w:color="auto"/>
          </w:divBdr>
          <w:divsChild>
            <w:div w:id="212704488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31ca6f-a420-4110-83c9-86d53b847abf">
      <Terms xmlns="http://schemas.microsoft.com/office/infopath/2007/PartnerControls"/>
    </lcf76f155ced4ddcb4097134ff3c332f>
    <TaxCatchAll xmlns="ff68a9a3-b49b-47d4-b6d5-d25af8a701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12FB2C402A804BB8837EC496101909" ma:contentTypeVersion="16" ma:contentTypeDescription="Create a new document." ma:contentTypeScope="" ma:versionID="dcf84a402aa90875f753d77921cdf060">
  <xsd:schema xmlns:xsd="http://www.w3.org/2001/XMLSchema" xmlns:xs="http://www.w3.org/2001/XMLSchema" xmlns:p="http://schemas.microsoft.com/office/2006/metadata/properties" xmlns:ns2="a831ca6f-a420-4110-83c9-86d53b847abf" xmlns:ns3="ff68a9a3-b49b-47d4-b6d5-d25af8a701f2" targetNamespace="http://schemas.microsoft.com/office/2006/metadata/properties" ma:root="true" ma:fieldsID="71e27e74206a24a252698288b3099881" ns2:_="" ns3:_="">
    <xsd:import namespace="a831ca6f-a420-4110-83c9-86d53b847abf"/>
    <xsd:import namespace="ff68a9a3-b49b-47d4-b6d5-d25af8a701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ca6f-a420-4110-83c9-86d53b847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8a9a3-b49b-47d4-b6d5-d25af8a701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f117b3-5a86-4e27-82b6-0f7a6360ed95}" ma:internalName="TaxCatchAll" ma:showField="CatchAllData" ma:web="ff68a9a3-b49b-47d4-b6d5-d25af8a70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5D051-026A-49BC-893A-C5DE2D7DABC3}">
  <ds:schemaRefs>
    <ds:schemaRef ds:uri="http://schemas.microsoft.com/sharepoint/v3/contenttype/forms"/>
  </ds:schemaRefs>
</ds:datastoreItem>
</file>

<file path=customXml/itemProps2.xml><?xml version="1.0" encoding="utf-8"?>
<ds:datastoreItem xmlns:ds="http://schemas.openxmlformats.org/officeDocument/2006/customXml" ds:itemID="{089D063B-1A2D-4F8B-9929-E36EB8F6909A}">
  <ds:schemaRefs>
    <ds:schemaRef ds:uri="a831ca6f-a420-4110-83c9-86d53b847abf"/>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f68a9a3-b49b-47d4-b6d5-d25af8a701f2"/>
    <ds:schemaRef ds:uri="http://www.w3.org/XML/1998/namespace"/>
    <ds:schemaRef ds:uri="http://purl.org/dc/dcmitype/"/>
  </ds:schemaRefs>
</ds:datastoreItem>
</file>

<file path=customXml/itemProps3.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4.xml><?xml version="1.0" encoding="utf-8"?>
<ds:datastoreItem xmlns:ds="http://schemas.openxmlformats.org/officeDocument/2006/customXml" ds:itemID="{793D6E4E-1FF8-41AB-ABC8-28EE7B8A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ca6f-a420-4110-83c9-86d53b847abf"/>
    <ds:schemaRef ds:uri="ff68a9a3-b49b-47d4-b6d5-d25af8a7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2313</Words>
  <Characters>22096</Characters>
  <Application>Microsoft Office Word</Application>
  <DocSecurity>0</DocSecurity>
  <Lines>184</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Anziel Malandri</cp:lastModifiedBy>
  <cp:revision>2</cp:revision>
  <cp:lastPrinted>2004-12-17T09:20:00Z</cp:lastPrinted>
  <dcterms:created xsi:type="dcterms:W3CDTF">2024-01-03T13:15:00Z</dcterms:created>
  <dcterms:modified xsi:type="dcterms:W3CDTF">2024-01-03T13:15:00Z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0x0101008C12FB2C402A804BB8837EC496101909</vt:lpwstr>
  </property>
  <property fmtid="{D5CDD505-2E9C-101B-9397-08002B2CF9AE}" pid="11" name="Mendeley Document_1">
    <vt:lpwstr>True</vt:lpwstr>
  </property>
  <property fmtid="{D5CDD505-2E9C-101B-9397-08002B2CF9AE}" pid="12" name="Mendeley Unique User Id_1">
    <vt:lpwstr>174443d8-aa38-3f2e-a8ab-fbabb066b831</vt:lpwstr>
  </property>
  <property fmtid="{D5CDD505-2E9C-101B-9397-08002B2CF9AE}" pid="13" name="Mendeley Citation Style_1">
    <vt:lpwstr>http://www.zotero.org/styles/computers-and-chemical-engineering</vt:lpwstr>
  </property>
  <property fmtid="{D5CDD505-2E9C-101B-9397-08002B2CF9AE}" pid="14" name="Mendeley Recent Style Id 0_1">
    <vt:lpwstr>http://www.zotero.org/styles/apa</vt:lpwstr>
  </property>
  <property fmtid="{D5CDD505-2E9C-101B-9397-08002B2CF9AE}" pid="15" name="Mendeley Recent Style Name 0_1">
    <vt:lpwstr>American Psychological Association 6th edition</vt:lpwstr>
  </property>
  <property fmtid="{D5CDD505-2E9C-101B-9397-08002B2CF9AE}" pid="16" name="Mendeley Recent Style Id 1_1">
    <vt:lpwstr>http://www.zotero.org/styles/american-sociological-association</vt:lpwstr>
  </property>
  <property fmtid="{D5CDD505-2E9C-101B-9397-08002B2CF9AE}" pid="17" name="Mendeley Recent Style Name 1_1">
    <vt:lpwstr>American Sociological Association</vt:lpwstr>
  </property>
  <property fmtid="{D5CDD505-2E9C-101B-9397-08002B2CF9AE}" pid="18" name="Mendeley Recent Style Id 2_1">
    <vt:lpwstr>http://www.zotero.org/styles/chicago-author-date</vt:lpwstr>
  </property>
  <property fmtid="{D5CDD505-2E9C-101B-9397-08002B2CF9AE}" pid="19" name="Mendeley Recent Style Name 2_1">
    <vt:lpwstr>Chicago Manual of Style 17th edition (author-date)</vt:lpwstr>
  </property>
  <property fmtid="{D5CDD505-2E9C-101B-9397-08002B2CF9AE}" pid="20" name="Mendeley Recent Style Id 3_1">
    <vt:lpwstr>http://www.zotero.org/styles/harvard-cite-them-right</vt:lpwstr>
  </property>
  <property fmtid="{D5CDD505-2E9C-101B-9397-08002B2CF9AE}" pid="21" name="Mendeley Recent Style Name 3_1">
    <vt:lpwstr>Cite Them Right 10th edition - Harvard</vt:lpwstr>
  </property>
  <property fmtid="{D5CDD505-2E9C-101B-9397-08002B2CF9AE}" pid="22" name="Mendeley Recent Style Id 4_1">
    <vt:lpwstr>http://www.zotero.org/styles/computers-and-chemical-engineering</vt:lpwstr>
  </property>
  <property fmtid="{D5CDD505-2E9C-101B-9397-08002B2CF9AE}" pid="23" name="Mendeley Recent Style Name 4_1">
    <vt:lpwstr>Computers and Chemical Engineering</vt:lpwstr>
  </property>
  <property fmtid="{D5CDD505-2E9C-101B-9397-08002B2CF9AE}" pid="24" name="Mendeley Recent Style Id 5_1">
    <vt:lpwstr>http://www.zotero.org/styles/ieee</vt:lpwstr>
  </property>
  <property fmtid="{D5CDD505-2E9C-101B-9397-08002B2CF9AE}" pid="25" name="Mendeley Recent Style Name 5_1">
    <vt:lpwstr>IEEE</vt:lpwstr>
  </property>
  <property fmtid="{D5CDD505-2E9C-101B-9397-08002B2CF9AE}" pid="26" name="Mendeley Recent Style Id 6_1">
    <vt:lpwstr>http://www.zotero.org/styles/modern-humanities-research-association</vt:lpwstr>
  </property>
  <property fmtid="{D5CDD505-2E9C-101B-9397-08002B2CF9AE}" pid="27" name="Mendeley Recent Style Name 6_1">
    <vt:lpwstr>Modern Humanities Research Association 3rd edition (note with bibliography)</vt:lpwstr>
  </property>
  <property fmtid="{D5CDD505-2E9C-101B-9397-08002B2CF9AE}" pid="28" name="Mendeley Recent Style Id 7_1">
    <vt:lpwstr>http://www.zotero.org/styles/modern-language-association</vt:lpwstr>
  </property>
  <property fmtid="{D5CDD505-2E9C-101B-9397-08002B2CF9AE}" pid="29" name="Mendeley Recent Style Name 7_1">
    <vt:lpwstr>Modern Language Association 8th edition</vt:lpwstr>
  </property>
  <property fmtid="{D5CDD505-2E9C-101B-9397-08002B2CF9AE}" pid="30" name="Mendeley Recent Style Id 8_1">
    <vt:lpwstr>http://www.zotero.org/styles/nature</vt:lpwstr>
  </property>
  <property fmtid="{D5CDD505-2E9C-101B-9397-08002B2CF9AE}" pid="31" name="Mendeley Recent Style Name 8_1">
    <vt:lpwstr>Nature</vt:lpwstr>
  </property>
  <property fmtid="{D5CDD505-2E9C-101B-9397-08002B2CF9AE}" pid="32" name="Mendeley Recent Style Id 9_1">
    <vt:lpwstr>http://csl.mendeley.com/styles/509160001/institut-teknologi-bandung-tk4092-jurnal</vt:lpwstr>
  </property>
  <property fmtid="{D5CDD505-2E9C-101B-9397-08002B2CF9AE}" pid="33" name="Mendeley Recent Style Name 9_1">
    <vt:lpwstr>TK4092 - Penelitian I - Jurnal</vt:lpwstr>
  </property>
  <property fmtid="{D5CDD505-2E9C-101B-9397-08002B2CF9AE}" pid="34" name="MediaServiceImageTags">
    <vt:lpwstr/>
  </property>
  <property fmtid="{D5CDD505-2E9C-101B-9397-08002B2CF9AE}" pid="35" name="MSIP_Label_e9d746c0-3369-42be-bf83-6862f3f56ae7_Enabled">
    <vt:lpwstr>true</vt:lpwstr>
  </property>
  <property fmtid="{D5CDD505-2E9C-101B-9397-08002B2CF9AE}" pid="36" name="MSIP_Label_e9d746c0-3369-42be-bf83-6862f3f56ae7_SetDate">
    <vt:lpwstr>2023-12-20T15:46:41Z</vt:lpwstr>
  </property>
  <property fmtid="{D5CDD505-2E9C-101B-9397-08002B2CF9AE}" pid="37" name="MSIP_Label_e9d746c0-3369-42be-bf83-6862f3f56ae7_Method">
    <vt:lpwstr>Standard</vt:lpwstr>
  </property>
  <property fmtid="{D5CDD505-2E9C-101B-9397-08002B2CF9AE}" pid="38" name="MSIP_Label_e9d746c0-3369-42be-bf83-6862f3f56ae7_Name">
    <vt:lpwstr>Fluor General</vt:lpwstr>
  </property>
  <property fmtid="{D5CDD505-2E9C-101B-9397-08002B2CF9AE}" pid="39" name="MSIP_Label_e9d746c0-3369-42be-bf83-6862f3f56ae7_SiteId">
    <vt:lpwstr>75864cfe-f26d-419c-b69d-c638695b5533</vt:lpwstr>
  </property>
  <property fmtid="{D5CDD505-2E9C-101B-9397-08002B2CF9AE}" pid="40" name="MSIP_Label_e9d746c0-3369-42be-bf83-6862f3f56ae7_ActionId">
    <vt:lpwstr>c82a5a57-3a4d-44ae-b119-7826ce08365f</vt:lpwstr>
  </property>
  <property fmtid="{D5CDD505-2E9C-101B-9397-08002B2CF9AE}" pid="41" name="MSIP_Label_e9d746c0-3369-42be-bf83-6862f3f56ae7_ContentBits">
    <vt:lpwstr>0</vt:lpwstr>
  </property>
</Properties>
</file>