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1756E" w14:textId="77777777" w:rsidR="009B5E7A" w:rsidRPr="00F872B4" w:rsidRDefault="009B5E7A" w:rsidP="009B5E7A">
      <w:pPr>
        <w:pStyle w:val="Els-Title"/>
        <w:rPr>
          <w:color w:val="000000" w:themeColor="text1"/>
        </w:rPr>
      </w:pPr>
      <w:r w:rsidRPr="00820371">
        <w:rPr>
          <w:color w:val="000000" w:themeColor="text1"/>
        </w:rPr>
        <w:t>A Deep Reinforcement Learning Approach to Slug Flow Control in Oil and Gas Applications</w:t>
      </w:r>
    </w:p>
    <w:p w14:paraId="3952FA9E" w14:textId="7D283E30" w:rsidR="009B5E7A" w:rsidRPr="00F63B34" w:rsidRDefault="009B5E7A" w:rsidP="009B5E7A">
      <w:pPr>
        <w:pStyle w:val="Els-Affiliation"/>
        <w:rPr>
          <w:i w:val="0"/>
          <w:iCs/>
          <w:sz w:val="22"/>
          <w:szCs w:val="22"/>
          <w:lang w:val="pt-BR"/>
        </w:rPr>
      </w:pPr>
      <w:r w:rsidRPr="00F63B34">
        <w:rPr>
          <w:i w:val="0"/>
          <w:iCs/>
          <w:sz w:val="22"/>
          <w:szCs w:val="22"/>
          <w:lang w:val="pt-BR"/>
        </w:rPr>
        <w:t>José R. T. Neto</w:t>
      </w:r>
      <w:r w:rsidRPr="00F63B34">
        <w:rPr>
          <w:i w:val="0"/>
          <w:iCs/>
          <w:sz w:val="22"/>
          <w:szCs w:val="22"/>
          <w:vertAlign w:val="superscript"/>
          <w:lang w:val="pt-BR"/>
        </w:rPr>
        <w:t xml:space="preserve"> a,*</w:t>
      </w:r>
      <w:r w:rsidRPr="00F63B34">
        <w:rPr>
          <w:i w:val="0"/>
          <w:iCs/>
          <w:sz w:val="22"/>
          <w:szCs w:val="22"/>
          <w:lang w:val="pt-BR"/>
        </w:rPr>
        <w:t>, Bruno D. O. Capron</w:t>
      </w:r>
      <w:r w:rsidRPr="00F63B34">
        <w:rPr>
          <w:i w:val="0"/>
          <w:iCs/>
          <w:sz w:val="22"/>
          <w:szCs w:val="22"/>
          <w:vertAlign w:val="superscript"/>
          <w:lang w:val="pt-BR"/>
        </w:rPr>
        <w:t xml:space="preserve"> a</w:t>
      </w:r>
      <w:r w:rsidRPr="00F63B34">
        <w:rPr>
          <w:i w:val="0"/>
          <w:iCs/>
          <w:sz w:val="22"/>
          <w:szCs w:val="22"/>
          <w:lang w:val="pt-BR"/>
        </w:rPr>
        <w:t>, Argimiro R. Secchi</w:t>
      </w:r>
      <w:r w:rsidRPr="00F63B34">
        <w:rPr>
          <w:i w:val="0"/>
          <w:iCs/>
          <w:sz w:val="22"/>
          <w:szCs w:val="22"/>
          <w:vertAlign w:val="superscript"/>
          <w:lang w:val="pt-BR"/>
        </w:rPr>
        <w:t xml:space="preserve"> a,b</w:t>
      </w:r>
      <w:r w:rsidRPr="00F63B34">
        <w:rPr>
          <w:i w:val="0"/>
          <w:iCs/>
          <w:sz w:val="22"/>
          <w:szCs w:val="22"/>
          <w:lang w:val="pt-BR"/>
        </w:rPr>
        <w:t>, Antonio D</w:t>
      </w:r>
      <w:r w:rsidR="003C0CB4">
        <w:rPr>
          <w:i w:val="0"/>
          <w:iCs/>
          <w:sz w:val="22"/>
          <w:szCs w:val="22"/>
          <w:lang w:val="pt-BR"/>
        </w:rPr>
        <w:t xml:space="preserve">el </w:t>
      </w:r>
      <w:r w:rsidRPr="00F63B34">
        <w:rPr>
          <w:i w:val="0"/>
          <w:iCs/>
          <w:sz w:val="22"/>
          <w:szCs w:val="22"/>
          <w:lang w:val="pt-BR"/>
        </w:rPr>
        <w:t>R</w:t>
      </w:r>
      <w:r w:rsidR="003C0CB4">
        <w:rPr>
          <w:i w:val="0"/>
          <w:iCs/>
          <w:sz w:val="22"/>
          <w:szCs w:val="22"/>
          <w:lang w:val="pt-BR"/>
        </w:rPr>
        <w:t>io</w:t>
      </w:r>
      <w:bookmarkStart w:id="0" w:name="_GoBack"/>
      <w:bookmarkEnd w:id="0"/>
      <w:r w:rsidRPr="00F63B34">
        <w:rPr>
          <w:i w:val="0"/>
          <w:iCs/>
          <w:sz w:val="22"/>
          <w:szCs w:val="22"/>
          <w:lang w:val="pt-BR"/>
        </w:rPr>
        <w:t xml:space="preserve"> Chanona</w:t>
      </w:r>
      <w:r w:rsidRPr="00F63B34">
        <w:rPr>
          <w:i w:val="0"/>
          <w:iCs/>
          <w:sz w:val="22"/>
          <w:szCs w:val="22"/>
          <w:vertAlign w:val="superscript"/>
          <w:lang w:val="pt-BR"/>
        </w:rPr>
        <w:t>c</w:t>
      </w:r>
    </w:p>
    <w:p w14:paraId="3F654A67" w14:textId="7E66DEB2" w:rsidR="009B5E7A" w:rsidRPr="00F63B34" w:rsidRDefault="009B5E7A" w:rsidP="009B5E7A">
      <w:pPr>
        <w:pStyle w:val="Els-Affiliation"/>
        <w:rPr>
          <w:lang w:val="pt-BR"/>
        </w:rPr>
      </w:pPr>
      <w:r w:rsidRPr="00F63B34">
        <w:rPr>
          <w:vertAlign w:val="superscript"/>
          <w:lang w:val="pt-BR"/>
        </w:rPr>
        <w:t>a</w:t>
      </w:r>
      <w:r w:rsidR="00DE2C75" w:rsidRPr="007D3EE9">
        <w:rPr>
          <w:lang w:val="pt-BR"/>
        </w:rPr>
        <w:t xml:space="preserve">Department of Chemical Engineering/School of Chemistry, </w:t>
      </w:r>
      <w:r w:rsidR="007B3599" w:rsidRPr="007D3EE9">
        <w:rPr>
          <w:lang w:val="pt-BR"/>
        </w:rPr>
        <w:t>Federal University of</w:t>
      </w:r>
      <w:r w:rsidR="00DE2C75" w:rsidRPr="007D3EE9">
        <w:rPr>
          <w:lang w:val="pt-BR"/>
        </w:rPr>
        <w:t> Rio de Janeiro, 149 Athos da Silveira Ramos Avenue, Rio de Janeiro, RJ, 21941-909, Brazil</w:t>
      </w:r>
    </w:p>
    <w:p w14:paraId="2BE42471" w14:textId="5E4D380C" w:rsidR="009B5E7A" w:rsidRPr="00F63B34" w:rsidRDefault="009B5E7A" w:rsidP="009B5E7A">
      <w:pPr>
        <w:pStyle w:val="Els-Affiliation"/>
        <w:rPr>
          <w:lang w:val="pt-BR"/>
        </w:rPr>
      </w:pPr>
      <w:r w:rsidRPr="00F63B34">
        <w:rPr>
          <w:vertAlign w:val="superscript"/>
          <w:lang w:val="pt-BR"/>
        </w:rPr>
        <w:t>b</w:t>
      </w:r>
      <w:r w:rsidR="00DE2C75" w:rsidRPr="007D3EE9">
        <w:rPr>
          <w:lang w:val="pt-BR"/>
        </w:rPr>
        <w:t xml:space="preserve">Chemical Engineering Program/COPPE, </w:t>
      </w:r>
      <w:r w:rsidR="007B3599" w:rsidRPr="007D3EE9">
        <w:rPr>
          <w:lang w:val="pt-BR"/>
        </w:rPr>
        <w:t>Federal University of </w:t>
      </w:r>
      <w:r w:rsidR="00DE2C75" w:rsidRPr="007D3EE9">
        <w:rPr>
          <w:lang w:val="pt-BR"/>
        </w:rPr>
        <w:t xml:space="preserve">Rio de Janeiro, 149 Athos da Silveira Ramos Avenue, Rio de Janeiro, RJ, </w:t>
      </w:r>
      <w:r w:rsidR="00DE2C75" w:rsidRPr="00F63B34">
        <w:rPr>
          <w:lang w:val="pt-BR"/>
        </w:rPr>
        <w:t>21941-972</w:t>
      </w:r>
      <w:r w:rsidR="00DE2C75" w:rsidRPr="007D3EE9">
        <w:rPr>
          <w:lang w:val="pt-BR"/>
        </w:rPr>
        <w:t>, Brazil</w:t>
      </w:r>
    </w:p>
    <w:p w14:paraId="1D2099A5" w14:textId="77777777" w:rsidR="009B5E7A" w:rsidRDefault="009B5E7A" w:rsidP="009B5E7A">
      <w:pPr>
        <w:pStyle w:val="Els-Affiliation"/>
      </w:pPr>
      <w:r w:rsidRPr="00F872B4">
        <w:rPr>
          <w:vertAlign w:val="superscript"/>
        </w:rPr>
        <w:t>c</w:t>
      </w:r>
      <w:r w:rsidRPr="00F872B4">
        <w:t>Department of Chemical Engineering, Imperial College London, South Kensington Campus, London</w:t>
      </w:r>
      <w:r>
        <w:t>,</w:t>
      </w:r>
      <w:r w:rsidRPr="00F872B4">
        <w:t xml:space="preserve"> SW7 2AZ, United Kingdom</w:t>
      </w:r>
    </w:p>
    <w:p w14:paraId="06B32171" w14:textId="77777777" w:rsidR="009B5E7A" w:rsidRPr="00A94774" w:rsidRDefault="003C0CB4" w:rsidP="009B5E7A">
      <w:pPr>
        <w:pStyle w:val="Els-Affiliation"/>
        <w:spacing w:after="120"/>
      </w:pPr>
      <w:hyperlink r:id="rId8" w:history="1">
        <w:r w:rsidR="009B5E7A" w:rsidRPr="00121DEC">
          <w:rPr>
            <w:rStyle w:val="Collegamentoipertestuale"/>
          </w:rPr>
          <w:t>joseneto@eq.ufrj.br</w:t>
        </w:r>
      </w:hyperlink>
    </w:p>
    <w:p w14:paraId="6D8C0E4B" w14:textId="77777777" w:rsidR="00921DD8" w:rsidRDefault="008D2649" w:rsidP="00921DD8">
      <w:pPr>
        <w:pStyle w:val="Els-Abstract"/>
      </w:pPr>
      <w:r>
        <w:t>Abstract</w:t>
      </w:r>
    </w:p>
    <w:p w14:paraId="7277D51D" w14:textId="305FD39C" w:rsidR="00715474" w:rsidRPr="00921DD8" w:rsidRDefault="00715474" w:rsidP="00715474">
      <w:pPr>
        <w:pStyle w:val="Els-Abstract"/>
        <w:spacing w:before="0" w:line="240" w:lineRule="auto"/>
      </w:pPr>
      <w:r w:rsidRPr="00AB58FA">
        <w:rPr>
          <w:b w:val="0"/>
          <w:sz w:val="20"/>
          <w:lang w:val="en-GB"/>
        </w:rPr>
        <w:t>In deep water oil extraction, supervisory control is</w:t>
      </w:r>
      <w:r>
        <w:rPr>
          <w:b w:val="0"/>
          <w:sz w:val="20"/>
          <w:lang w:val="en-GB"/>
        </w:rPr>
        <w:t xml:space="preserve"> often</w:t>
      </w:r>
      <w:r w:rsidRPr="00AB58FA">
        <w:rPr>
          <w:b w:val="0"/>
          <w:sz w:val="20"/>
          <w:lang w:val="en-GB"/>
        </w:rPr>
        <w:t xml:space="preserve"> challenged by the oscillatory nature of slug flow</w:t>
      </w:r>
      <w:r>
        <w:rPr>
          <w:b w:val="0"/>
          <w:sz w:val="20"/>
          <w:lang w:val="en-GB"/>
        </w:rPr>
        <w:t>.</w:t>
      </w:r>
      <w:r w:rsidRPr="00AB58FA">
        <w:rPr>
          <w:b w:val="0"/>
          <w:sz w:val="20"/>
          <w:lang w:val="en-GB"/>
        </w:rPr>
        <w:t xml:space="preserve"> This </w:t>
      </w:r>
      <w:r>
        <w:rPr>
          <w:b w:val="0"/>
          <w:sz w:val="20"/>
          <w:lang w:val="en-GB"/>
        </w:rPr>
        <w:t>work</w:t>
      </w:r>
      <w:r w:rsidRPr="00AB58FA">
        <w:rPr>
          <w:b w:val="0"/>
          <w:sz w:val="20"/>
          <w:lang w:val="en-GB"/>
        </w:rPr>
        <w:t xml:space="preserve"> introduces an adaptive anti-slug control mechanism using the Proximal Policy Optimization (PPO) algorithm, a Deep Reinforcement Learning (DRL) approach that dynamically adjusts to the complexities of slug flow. The proposed strategy </w:t>
      </w:r>
      <w:r>
        <w:rPr>
          <w:b w:val="0"/>
          <w:sz w:val="20"/>
          <w:lang w:val="en-GB"/>
        </w:rPr>
        <w:t>involves the control of the</w:t>
      </w:r>
      <w:r w:rsidRPr="00AB58FA">
        <w:rPr>
          <w:b w:val="0"/>
          <w:sz w:val="20"/>
          <w:lang w:val="en-GB"/>
        </w:rPr>
        <w:t xml:space="preserve"> </w:t>
      </w:r>
      <w:r w:rsidR="00D63B8E">
        <w:rPr>
          <w:b w:val="0"/>
          <w:sz w:val="20"/>
          <w:lang w:val="en-GB"/>
        </w:rPr>
        <w:t>Permanent Downhole Gauge (</w:t>
      </w:r>
      <w:r w:rsidRPr="00AB58FA">
        <w:rPr>
          <w:b w:val="0"/>
          <w:sz w:val="20"/>
          <w:lang w:val="en-GB"/>
        </w:rPr>
        <w:t>PDG</w:t>
      </w:r>
      <w:r w:rsidR="00D63B8E">
        <w:rPr>
          <w:b w:val="0"/>
          <w:sz w:val="20"/>
          <w:lang w:val="en-GB"/>
        </w:rPr>
        <w:t>)</w:t>
      </w:r>
      <w:r w:rsidRPr="00AB58FA">
        <w:rPr>
          <w:b w:val="0"/>
          <w:sz w:val="20"/>
          <w:lang w:val="en-GB"/>
        </w:rPr>
        <w:t xml:space="preserve"> pressure through two variables: choke valve opening and gas lift flow rate</w:t>
      </w:r>
      <w:r w:rsidR="00D63B8E">
        <w:rPr>
          <w:b w:val="0"/>
          <w:sz w:val="20"/>
          <w:lang w:val="en-GB"/>
        </w:rPr>
        <w:t xml:space="preserve">, </w:t>
      </w:r>
      <w:r w:rsidR="00D63B8E" w:rsidRPr="00D63B8E">
        <w:rPr>
          <w:b w:val="0"/>
          <w:sz w:val="20"/>
          <w:lang w:val="en-GB"/>
        </w:rPr>
        <w:t>representing real-world extraction challenges</w:t>
      </w:r>
      <w:r>
        <w:rPr>
          <w:b w:val="0"/>
          <w:sz w:val="20"/>
          <w:lang w:val="en-GB"/>
        </w:rPr>
        <w:t xml:space="preserve">. </w:t>
      </w:r>
      <w:r w:rsidRPr="005F65B7">
        <w:rPr>
          <w:b w:val="0"/>
          <w:sz w:val="20"/>
          <w:lang w:val="en-GB"/>
        </w:rPr>
        <w:t xml:space="preserve">The methodology </w:t>
      </w:r>
      <w:r>
        <w:rPr>
          <w:b w:val="0"/>
          <w:sz w:val="20"/>
          <w:lang w:val="en-GB"/>
        </w:rPr>
        <w:t>was based</w:t>
      </w:r>
      <w:r w:rsidRPr="005F65B7">
        <w:rPr>
          <w:b w:val="0"/>
          <w:sz w:val="20"/>
          <w:lang w:val="en-GB"/>
        </w:rPr>
        <w:t xml:space="preserve"> on a simulation-based learning approach, utilizing the Fast Oil and Water Model (FOWM</w:t>
      </w:r>
      <w:r w:rsidRPr="00D061DE">
        <w:rPr>
          <w:b w:val="0"/>
          <w:sz w:val="20"/>
          <w:lang w:val="en-GB"/>
        </w:rPr>
        <w:t xml:space="preserve">). </w:t>
      </w:r>
      <w:r w:rsidRPr="00921DD8">
        <w:rPr>
          <w:b w:val="0"/>
          <w:sz w:val="20"/>
          <w:lang w:val="en-GB"/>
        </w:rPr>
        <w:t>The</w:t>
      </w:r>
      <w:r>
        <w:rPr>
          <w:b w:val="0"/>
          <w:sz w:val="20"/>
          <w:lang w:val="en-GB"/>
        </w:rPr>
        <w:t xml:space="preserve"> work</w:t>
      </w:r>
      <w:r w:rsidRPr="00921DD8">
        <w:rPr>
          <w:b w:val="0"/>
          <w:sz w:val="20"/>
          <w:lang w:val="en-GB"/>
        </w:rPr>
        <w:t xml:space="preserve"> compares a baseline PPO model (PPO-base) with a modified </w:t>
      </w:r>
      <w:r w:rsidR="00D63B8E" w:rsidRPr="00921DD8">
        <w:rPr>
          <w:b w:val="0"/>
          <w:sz w:val="20"/>
          <w:lang w:val="en-GB"/>
        </w:rPr>
        <w:t xml:space="preserve">version </w:t>
      </w:r>
      <w:r w:rsidR="00D63B8E" w:rsidRPr="00D63B8E">
        <w:rPr>
          <w:b w:val="0"/>
          <w:sz w:val="20"/>
          <w:lang w:val="en-GB"/>
        </w:rPr>
        <w:t>that incorporates penalties on control actions and for violations of state constraints (PPO-pen).</w:t>
      </w:r>
      <w:r w:rsidRPr="00921DD8">
        <w:rPr>
          <w:b w:val="0"/>
          <w:sz w:val="20"/>
          <w:lang w:val="en-GB"/>
        </w:rPr>
        <w:t xml:space="preserve"> </w:t>
      </w:r>
      <w:r>
        <w:rPr>
          <w:b w:val="0"/>
          <w:sz w:val="20"/>
          <w:lang w:val="en-GB"/>
        </w:rPr>
        <w:t>Results show that</w:t>
      </w:r>
      <w:r w:rsidRPr="00921DD8">
        <w:rPr>
          <w:b w:val="0"/>
          <w:sz w:val="20"/>
          <w:lang w:val="en-GB"/>
        </w:rPr>
        <w:t xml:space="preserve"> PPO-</w:t>
      </w:r>
      <w:r>
        <w:rPr>
          <w:b w:val="0"/>
          <w:sz w:val="20"/>
          <w:lang w:val="en-GB"/>
        </w:rPr>
        <w:t>pen</w:t>
      </w:r>
      <w:r w:rsidR="005126F7">
        <w:rPr>
          <w:b w:val="0"/>
          <w:sz w:val="20"/>
          <w:lang w:val="en-GB"/>
        </w:rPr>
        <w:t xml:space="preserve"> </w:t>
      </w:r>
      <w:r w:rsidRPr="00921DD8">
        <w:rPr>
          <w:b w:val="0"/>
          <w:sz w:val="20"/>
          <w:lang w:val="en-GB"/>
        </w:rPr>
        <w:t xml:space="preserve">surpasses PPO-base in </w:t>
      </w:r>
      <w:r>
        <w:rPr>
          <w:b w:val="0"/>
          <w:sz w:val="20"/>
          <w:lang w:val="en-GB"/>
        </w:rPr>
        <w:t xml:space="preserve">key </w:t>
      </w:r>
      <w:r w:rsidRPr="00921DD8">
        <w:rPr>
          <w:b w:val="0"/>
          <w:sz w:val="20"/>
          <w:lang w:val="en-GB"/>
        </w:rPr>
        <w:t xml:space="preserve">training metrics, indicating that moderate penalties can enhance control effectiveness </w:t>
      </w:r>
      <w:r>
        <w:rPr>
          <w:b w:val="0"/>
          <w:sz w:val="20"/>
          <w:lang w:val="en-GB"/>
        </w:rPr>
        <w:t xml:space="preserve">and give more </w:t>
      </w:r>
      <w:r w:rsidRPr="00921DD8">
        <w:rPr>
          <w:b w:val="0"/>
          <w:sz w:val="20"/>
          <w:lang w:val="en-GB"/>
        </w:rPr>
        <w:t>adherence to operational constraints.</w:t>
      </w:r>
      <w:r>
        <w:rPr>
          <w:b w:val="0"/>
          <w:sz w:val="20"/>
          <w:lang w:val="en-GB"/>
        </w:rPr>
        <w:t xml:space="preserve"> </w:t>
      </w:r>
      <w:r w:rsidRPr="00921DD8">
        <w:rPr>
          <w:b w:val="0"/>
          <w:sz w:val="20"/>
          <w:lang w:val="en-GB"/>
        </w:rPr>
        <w:t xml:space="preserve">Testing </w:t>
      </w:r>
      <w:r>
        <w:rPr>
          <w:b w:val="0"/>
          <w:sz w:val="20"/>
          <w:lang w:val="en-GB"/>
        </w:rPr>
        <w:t xml:space="preserve">also </w:t>
      </w:r>
      <w:r w:rsidRPr="00921DD8">
        <w:rPr>
          <w:b w:val="0"/>
          <w:sz w:val="20"/>
          <w:lang w:val="en-GB"/>
        </w:rPr>
        <w:t xml:space="preserve">reveals that </w:t>
      </w:r>
      <w:r>
        <w:rPr>
          <w:b w:val="0"/>
          <w:sz w:val="20"/>
          <w:lang w:val="en-GB"/>
        </w:rPr>
        <w:t xml:space="preserve">policies from </w:t>
      </w:r>
      <w:r w:rsidRPr="00921DD8">
        <w:rPr>
          <w:b w:val="0"/>
          <w:sz w:val="20"/>
          <w:lang w:val="en-GB"/>
        </w:rPr>
        <w:t>PPO-</w:t>
      </w:r>
      <w:r>
        <w:rPr>
          <w:b w:val="0"/>
          <w:sz w:val="20"/>
          <w:lang w:val="en-GB"/>
        </w:rPr>
        <w:t>pen</w:t>
      </w:r>
      <w:r w:rsidRPr="00921DD8">
        <w:rPr>
          <w:b w:val="0"/>
          <w:sz w:val="20"/>
          <w:lang w:val="en-GB"/>
        </w:rPr>
        <w:t xml:space="preserve"> </w:t>
      </w:r>
      <w:r>
        <w:rPr>
          <w:b w:val="0"/>
          <w:sz w:val="20"/>
          <w:lang w:val="en-GB"/>
        </w:rPr>
        <w:t>are</w:t>
      </w:r>
      <w:r w:rsidRPr="00921DD8">
        <w:rPr>
          <w:b w:val="0"/>
          <w:sz w:val="20"/>
          <w:lang w:val="en-GB"/>
        </w:rPr>
        <w:t xml:space="preserve"> more efficient than PPO-base, indicating a strategy that is resource-efficient and effective in maintaining critical operational parameters. </w:t>
      </w:r>
      <w:r>
        <w:rPr>
          <w:b w:val="0"/>
          <w:sz w:val="20"/>
          <w:lang w:val="en-GB"/>
        </w:rPr>
        <w:t>Furthermore</w:t>
      </w:r>
      <w:r w:rsidRPr="00921DD8">
        <w:rPr>
          <w:b w:val="0"/>
          <w:sz w:val="20"/>
          <w:lang w:val="en-GB"/>
        </w:rPr>
        <w:t>, PPO-</w:t>
      </w:r>
      <w:r>
        <w:rPr>
          <w:b w:val="0"/>
          <w:sz w:val="20"/>
          <w:lang w:val="en-GB"/>
        </w:rPr>
        <w:t>pen</w:t>
      </w:r>
      <w:r w:rsidRPr="00921DD8">
        <w:rPr>
          <w:b w:val="0"/>
          <w:sz w:val="20"/>
          <w:lang w:val="en-GB"/>
        </w:rPr>
        <w:t xml:space="preserve"> achieves a lower </w:t>
      </w:r>
      <w:r>
        <w:rPr>
          <w:b w:val="0"/>
          <w:sz w:val="20"/>
          <w:lang w:val="en-GB"/>
        </w:rPr>
        <w:t>i</w:t>
      </w:r>
      <w:r w:rsidRPr="00921DD8">
        <w:rPr>
          <w:b w:val="0"/>
          <w:sz w:val="20"/>
          <w:lang w:val="en-GB"/>
        </w:rPr>
        <w:t xml:space="preserve">ntegral </w:t>
      </w:r>
      <w:r>
        <w:rPr>
          <w:b w:val="0"/>
          <w:sz w:val="20"/>
          <w:lang w:val="en-GB"/>
        </w:rPr>
        <w:t>t</w:t>
      </w:r>
      <w:r w:rsidRPr="00921DD8">
        <w:rPr>
          <w:b w:val="0"/>
          <w:sz w:val="20"/>
          <w:lang w:val="en-GB"/>
        </w:rPr>
        <w:t xml:space="preserve">ime-weighted </w:t>
      </w:r>
      <w:r>
        <w:rPr>
          <w:b w:val="0"/>
          <w:sz w:val="20"/>
          <w:lang w:val="en-GB"/>
        </w:rPr>
        <w:t>a</w:t>
      </w:r>
      <w:r w:rsidRPr="00921DD8">
        <w:rPr>
          <w:b w:val="0"/>
          <w:sz w:val="20"/>
          <w:lang w:val="en-GB"/>
        </w:rPr>
        <w:t xml:space="preserve">bsolute </w:t>
      </w:r>
      <w:r>
        <w:rPr>
          <w:b w:val="0"/>
          <w:sz w:val="20"/>
          <w:lang w:val="en-GB"/>
        </w:rPr>
        <w:t>e</w:t>
      </w:r>
      <w:r w:rsidRPr="00921DD8">
        <w:rPr>
          <w:b w:val="0"/>
          <w:sz w:val="20"/>
          <w:lang w:val="en-GB"/>
        </w:rPr>
        <w:t xml:space="preserve">rror (ITAE), highlighting its </w:t>
      </w:r>
      <w:r>
        <w:rPr>
          <w:b w:val="0"/>
          <w:sz w:val="20"/>
          <w:lang w:val="en-GB"/>
        </w:rPr>
        <w:t>accuracy</w:t>
      </w:r>
      <w:r w:rsidRPr="00921DD8">
        <w:rPr>
          <w:b w:val="0"/>
          <w:sz w:val="20"/>
          <w:lang w:val="en-GB"/>
        </w:rPr>
        <w:t xml:space="preserve"> in control and error minimization.</w:t>
      </w:r>
      <w:r>
        <w:rPr>
          <w:b w:val="0"/>
          <w:sz w:val="20"/>
          <w:lang w:val="en-GB"/>
        </w:rPr>
        <w:t xml:space="preserve"> </w:t>
      </w:r>
      <w:r w:rsidRPr="00921DD8">
        <w:rPr>
          <w:b w:val="0"/>
          <w:sz w:val="20"/>
          <w:lang w:val="en-GB"/>
        </w:rPr>
        <w:t xml:space="preserve">The findings demonstrate the potential of </w:t>
      </w:r>
      <w:r>
        <w:rPr>
          <w:b w:val="0"/>
          <w:sz w:val="20"/>
          <w:lang w:val="en-GB"/>
        </w:rPr>
        <w:t>DRL</w:t>
      </w:r>
      <w:r w:rsidRPr="00921DD8">
        <w:rPr>
          <w:b w:val="0"/>
          <w:sz w:val="20"/>
          <w:lang w:val="en-GB"/>
        </w:rPr>
        <w:t xml:space="preserve">, particularly PPO with calibrated penalty parameters, in refining control strategies for complex processes like </w:t>
      </w:r>
      <w:r>
        <w:rPr>
          <w:b w:val="0"/>
          <w:sz w:val="20"/>
          <w:lang w:val="en-GB"/>
        </w:rPr>
        <w:t>deep water</w:t>
      </w:r>
      <w:r w:rsidRPr="00921DD8">
        <w:rPr>
          <w:b w:val="0"/>
          <w:sz w:val="20"/>
          <w:lang w:val="en-GB"/>
        </w:rPr>
        <w:t xml:space="preserve"> oil extraction.</w:t>
      </w:r>
    </w:p>
    <w:p w14:paraId="6A56C06A" w14:textId="53A1FCA5" w:rsidR="00DB44B1" w:rsidRPr="0021450D" w:rsidRDefault="0021450D" w:rsidP="0021450D">
      <w:pPr>
        <w:pStyle w:val="Els-body-text"/>
        <w:rPr>
          <w:lang w:val="en-GB"/>
        </w:rPr>
      </w:pPr>
      <w:r w:rsidRPr="00D11A41">
        <w:rPr>
          <w:b/>
          <w:bCs/>
          <w:lang w:val="en-GB"/>
        </w:rPr>
        <w:t>Keywo</w:t>
      </w:r>
      <w:r w:rsidR="00D11A41" w:rsidRPr="00D11A41">
        <w:rPr>
          <w:b/>
          <w:bCs/>
          <w:lang w:val="en-GB"/>
        </w:rPr>
        <w:t>r</w:t>
      </w:r>
      <w:r w:rsidRPr="00D11A41">
        <w:rPr>
          <w:b/>
          <w:bCs/>
          <w:lang w:val="en-GB"/>
        </w:rPr>
        <w:t>ds:</w:t>
      </w:r>
      <w:r>
        <w:rPr>
          <w:lang w:val="en-GB"/>
        </w:rPr>
        <w:t xml:space="preserve"> </w:t>
      </w:r>
      <w:r w:rsidRPr="0021450D">
        <w:rPr>
          <w:lang w:val="en-GB"/>
        </w:rPr>
        <w:t xml:space="preserve">Multiphase Flow </w:t>
      </w:r>
      <w:r>
        <w:rPr>
          <w:lang w:val="en-GB"/>
        </w:rPr>
        <w:t>Control</w:t>
      </w:r>
      <w:r w:rsidRPr="0021450D">
        <w:rPr>
          <w:lang w:val="en-GB"/>
        </w:rPr>
        <w:t>, Subsea Control Systems, Operational Stability</w:t>
      </w:r>
      <w:r>
        <w:rPr>
          <w:lang w:val="en-GB"/>
        </w:rPr>
        <w:t>.</w:t>
      </w:r>
    </w:p>
    <w:p w14:paraId="2898B607" w14:textId="77777777" w:rsidR="008D2649" w:rsidRDefault="007F0D98" w:rsidP="008D2649">
      <w:pPr>
        <w:pStyle w:val="Els-1storder-head"/>
      </w:pPr>
      <w:r>
        <w:t>Introduction</w:t>
      </w:r>
    </w:p>
    <w:p w14:paraId="76BF3BDC" w14:textId="40CA712B" w:rsidR="00D30656" w:rsidRPr="00D30656" w:rsidRDefault="00B356E5" w:rsidP="00D30656">
      <w:pPr>
        <w:pStyle w:val="Els-1storder-head"/>
        <w:numPr>
          <w:ilvl w:val="0"/>
          <w:numId w:val="0"/>
        </w:numPr>
        <w:spacing w:before="0" w:line="240" w:lineRule="auto"/>
        <w:rPr>
          <w:b w:val="0"/>
          <w:sz w:val="20"/>
        </w:rPr>
      </w:pPr>
      <w:r w:rsidRPr="00B356E5">
        <w:rPr>
          <w:b w:val="0"/>
          <w:sz w:val="20"/>
        </w:rPr>
        <w:t xml:space="preserve">Deep water extraction is increasingly vital for the oil and gas industry as </w:t>
      </w:r>
      <w:r w:rsidRPr="007F0D98">
        <w:rPr>
          <w:b w:val="0"/>
          <w:sz w:val="20"/>
        </w:rPr>
        <w:t>hydrocarbon sources deplete</w:t>
      </w:r>
      <w:r w:rsidRPr="00B356E5">
        <w:rPr>
          <w:b w:val="0"/>
          <w:sz w:val="20"/>
        </w:rPr>
        <w:t xml:space="preserve">. </w:t>
      </w:r>
      <w:r>
        <w:rPr>
          <w:b w:val="0"/>
          <w:sz w:val="20"/>
        </w:rPr>
        <w:t>This process</w:t>
      </w:r>
      <w:r w:rsidRPr="00B356E5">
        <w:rPr>
          <w:b w:val="0"/>
          <w:sz w:val="20"/>
        </w:rPr>
        <w:t xml:space="preserve"> involves extracting hydrocarbons from subsea wells and transporting them to surface platforms via flowlines, manifolds, and risers, followed by export to shore for refining.</w:t>
      </w:r>
      <w:r w:rsidR="007F0D98" w:rsidRPr="007F0D98">
        <w:rPr>
          <w:b w:val="0"/>
          <w:sz w:val="20"/>
        </w:rPr>
        <w:t xml:space="preserve"> </w:t>
      </w:r>
      <w:r w:rsidRPr="00B356E5">
        <w:rPr>
          <w:b w:val="0"/>
          <w:sz w:val="20"/>
        </w:rPr>
        <w:t xml:space="preserve">A primary challenge </w:t>
      </w:r>
      <w:r>
        <w:rPr>
          <w:b w:val="0"/>
          <w:sz w:val="20"/>
        </w:rPr>
        <w:t>within the production line</w:t>
      </w:r>
      <w:r w:rsidRPr="00B356E5">
        <w:rPr>
          <w:b w:val="0"/>
          <w:sz w:val="20"/>
        </w:rPr>
        <w:t xml:space="preserve"> is managing slug flow, which can cause significant operational issues</w:t>
      </w:r>
      <w:r w:rsidRPr="00BB4281">
        <w:rPr>
          <w:b w:val="0"/>
          <w:sz w:val="20"/>
        </w:rPr>
        <w:t xml:space="preserve">, including the overflow of inlet separators in </w:t>
      </w:r>
      <w:r>
        <w:rPr>
          <w:b w:val="0"/>
          <w:sz w:val="20"/>
        </w:rPr>
        <w:t>offshore</w:t>
      </w:r>
      <w:r w:rsidRPr="00BB4281">
        <w:rPr>
          <w:b w:val="0"/>
          <w:sz w:val="20"/>
        </w:rPr>
        <w:t xml:space="preserve"> oil fields</w:t>
      </w:r>
      <w:r>
        <w:rPr>
          <w:b w:val="0"/>
          <w:sz w:val="20"/>
        </w:rPr>
        <w:t xml:space="preserve"> (</w:t>
      </w:r>
      <w:proofErr w:type="spellStart"/>
      <w:r w:rsidRPr="00BB4281">
        <w:rPr>
          <w:b w:val="0"/>
          <w:sz w:val="20"/>
        </w:rPr>
        <w:t>Taitel</w:t>
      </w:r>
      <w:proofErr w:type="spellEnd"/>
      <w:r>
        <w:rPr>
          <w:b w:val="0"/>
          <w:sz w:val="20"/>
        </w:rPr>
        <w:t xml:space="preserve">, </w:t>
      </w:r>
      <w:r w:rsidRPr="00BB4281">
        <w:rPr>
          <w:b w:val="0"/>
          <w:sz w:val="20"/>
        </w:rPr>
        <w:t>1986</w:t>
      </w:r>
      <w:r>
        <w:rPr>
          <w:b w:val="0"/>
          <w:sz w:val="20"/>
        </w:rPr>
        <w:t>).</w:t>
      </w:r>
      <w:r w:rsidR="00D11A41">
        <w:rPr>
          <w:b w:val="0"/>
          <w:sz w:val="20"/>
        </w:rPr>
        <w:t xml:space="preserve"> </w:t>
      </w:r>
      <w:r w:rsidR="00E31419" w:rsidRPr="00E31419">
        <w:rPr>
          <w:b w:val="0"/>
          <w:sz w:val="20"/>
        </w:rPr>
        <w:t>For control design,</w:t>
      </w:r>
      <w:r w:rsidR="00457362">
        <w:rPr>
          <w:b w:val="0"/>
          <w:sz w:val="20"/>
        </w:rPr>
        <w:t xml:space="preserve"> complex</w:t>
      </w:r>
      <w:r w:rsidR="00E31419" w:rsidRPr="00E31419">
        <w:rPr>
          <w:b w:val="0"/>
          <w:sz w:val="20"/>
        </w:rPr>
        <w:t xml:space="preserve"> process models, like those in the OLGA® simulator (</w:t>
      </w:r>
      <w:proofErr w:type="spellStart"/>
      <w:r w:rsidR="00E31419" w:rsidRPr="00E31419">
        <w:rPr>
          <w:b w:val="0"/>
          <w:sz w:val="20"/>
        </w:rPr>
        <w:t>Bendlksen</w:t>
      </w:r>
      <w:proofErr w:type="spellEnd"/>
      <w:r w:rsidR="000D2296">
        <w:rPr>
          <w:b w:val="0"/>
          <w:sz w:val="20"/>
        </w:rPr>
        <w:t xml:space="preserve"> et al.</w:t>
      </w:r>
      <w:r w:rsidR="00E31419" w:rsidRPr="00E31419">
        <w:rPr>
          <w:b w:val="0"/>
          <w:sz w:val="20"/>
        </w:rPr>
        <w:t>, 1991),</w:t>
      </w:r>
      <w:r w:rsidR="00457362">
        <w:rPr>
          <w:b w:val="0"/>
          <w:sz w:val="20"/>
        </w:rPr>
        <w:t xml:space="preserve"> are</w:t>
      </w:r>
      <w:r w:rsidR="00E31419" w:rsidRPr="00E31419">
        <w:rPr>
          <w:b w:val="0"/>
          <w:sz w:val="20"/>
        </w:rPr>
        <w:t xml:space="preserve"> </w:t>
      </w:r>
      <w:r w:rsidR="00457362" w:rsidRPr="00457362">
        <w:rPr>
          <w:b w:val="0"/>
          <w:sz w:val="20"/>
        </w:rPr>
        <w:t>computationally expensive.</w:t>
      </w:r>
      <w:r w:rsidR="00DB5F99">
        <w:rPr>
          <w:b w:val="0"/>
          <w:sz w:val="20"/>
        </w:rPr>
        <w:t xml:space="preserve"> </w:t>
      </w:r>
      <w:r w:rsidR="00E31419" w:rsidRPr="00DB5F99">
        <w:rPr>
          <w:b w:val="0"/>
          <w:sz w:val="20"/>
        </w:rPr>
        <w:t xml:space="preserve">Instead, this work </w:t>
      </w:r>
      <w:r w:rsidR="00F644C6" w:rsidRPr="00DB5F99">
        <w:rPr>
          <w:b w:val="0"/>
          <w:sz w:val="20"/>
        </w:rPr>
        <w:t>adopts</w:t>
      </w:r>
      <w:r w:rsidR="00E31419" w:rsidRPr="00DB5F99">
        <w:rPr>
          <w:b w:val="0"/>
          <w:sz w:val="20"/>
        </w:rPr>
        <w:t xml:space="preserve"> a simplified, yet effective model called Fast Offshore Wells Model (FOWM) (Diehl</w:t>
      </w:r>
      <w:r w:rsidR="000D2296" w:rsidRPr="00DB5F99">
        <w:rPr>
          <w:b w:val="0"/>
          <w:sz w:val="20"/>
        </w:rPr>
        <w:t xml:space="preserve"> et al.</w:t>
      </w:r>
      <w:r w:rsidR="00E31419" w:rsidRPr="00DB5F99">
        <w:rPr>
          <w:b w:val="0"/>
          <w:sz w:val="20"/>
        </w:rPr>
        <w:t>, 2017)</w:t>
      </w:r>
      <w:r w:rsidR="00C5699B">
        <w:rPr>
          <w:b w:val="0"/>
          <w:sz w:val="20"/>
        </w:rPr>
        <w:t xml:space="preserve">, </w:t>
      </w:r>
      <w:r w:rsidR="00C5699B" w:rsidRPr="00DB5F99">
        <w:rPr>
          <w:b w:val="0"/>
          <w:sz w:val="20"/>
        </w:rPr>
        <w:t>effectively capturing the critical dynamics of casing heading and slugging in both terrain and riser</w:t>
      </w:r>
      <w:r w:rsidR="00E31419" w:rsidRPr="00DB5F99">
        <w:rPr>
          <w:b w:val="0"/>
          <w:sz w:val="20"/>
        </w:rPr>
        <w:t>.</w:t>
      </w:r>
      <w:r w:rsidR="00D30656" w:rsidRPr="00D30656">
        <w:rPr>
          <w:b w:val="0"/>
          <w:sz w:val="20"/>
        </w:rPr>
        <w:t xml:space="preserve"> Traditionally, the industry has relied on Proportional-Integral-Derivative (PID) control strategie</w:t>
      </w:r>
      <w:r w:rsidR="00D30656">
        <w:rPr>
          <w:b w:val="0"/>
          <w:sz w:val="20"/>
        </w:rPr>
        <w:t>s</w:t>
      </w:r>
      <w:r w:rsidR="00D30656" w:rsidRPr="00D30656">
        <w:rPr>
          <w:b w:val="0"/>
          <w:sz w:val="20"/>
        </w:rPr>
        <w:t xml:space="preserve">. </w:t>
      </w:r>
      <w:r w:rsidR="00D30656">
        <w:rPr>
          <w:b w:val="0"/>
          <w:sz w:val="20"/>
        </w:rPr>
        <w:t>Several</w:t>
      </w:r>
      <w:r w:rsidR="00D30656" w:rsidRPr="00D30656">
        <w:rPr>
          <w:b w:val="0"/>
          <w:sz w:val="20"/>
        </w:rPr>
        <w:t xml:space="preserve"> studies have focused </w:t>
      </w:r>
      <w:r w:rsidR="00D30656" w:rsidRPr="00D30656">
        <w:rPr>
          <w:b w:val="0"/>
          <w:sz w:val="20"/>
        </w:rPr>
        <w:lastRenderedPageBreak/>
        <w:t xml:space="preserve">on the effectiveness of PID control in slug flow management, exemplified by works like Di </w:t>
      </w:r>
      <w:proofErr w:type="spellStart"/>
      <w:r w:rsidR="00D30656" w:rsidRPr="00D30656">
        <w:rPr>
          <w:b w:val="0"/>
          <w:sz w:val="20"/>
        </w:rPr>
        <w:t>Meglio</w:t>
      </w:r>
      <w:proofErr w:type="spellEnd"/>
      <w:r w:rsidR="00D30656" w:rsidRPr="00D30656">
        <w:rPr>
          <w:b w:val="0"/>
          <w:sz w:val="20"/>
        </w:rPr>
        <w:t xml:space="preserve"> et al. (2012a), </w:t>
      </w:r>
      <w:proofErr w:type="spellStart"/>
      <w:r w:rsidR="00D30656" w:rsidRPr="00D30656">
        <w:rPr>
          <w:b w:val="0"/>
          <w:sz w:val="20"/>
        </w:rPr>
        <w:t>Storkaas</w:t>
      </w:r>
      <w:proofErr w:type="spellEnd"/>
      <w:r w:rsidR="00D30656" w:rsidRPr="00D30656">
        <w:rPr>
          <w:b w:val="0"/>
          <w:sz w:val="20"/>
        </w:rPr>
        <w:t xml:space="preserve"> and </w:t>
      </w:r>
      <w:proofErr w:type="spellStart"/>
      <w:r w:rsidR="00D30656" w:rsidRPr="00D30656">
        <w:rPr>
          <w:b w:val="0"/>
          <w:sz w:val="20"/>
        </w:rPr>
        <w:t>Skogestad</w:t>
      </w:r>
      <w:proofErr w:type="spellEnd"/>
      <w:r w:rsidR="00D30656" w:rsidRPr="00D30656">
        <w:rPr>
          <w:b w:val="0"/>
          <w:sz w:val="20"/>
        </w:rPr>
        <w:t xml:space="preserve"> (2008), and </w:t>
      </w:r>
      <w:proofErr w:type="spellStart"/>
      <w:r w:rsidR="00D30656" w:rsidRPr="00D30656">
        <w:rPr>
          <w:b w:val="0"/>
          <w:sz w:val="20"/>
        </w:rPr>
        <w:t>Jahanshahi</w:t>
      </w:r>
      <w:proofErr w:type="spellEnd"/>
      <w:r w:rsidR="00D30656" w:rsidRPr="00D30656">
        <w:rPr>
          <w:b w:val="0"/>
          <w:sz w:val="20"/>
        </w:rPr>
        <w:t xml:space="preserve"> (201</w:t>
      </w:r>
      <w:r w:rsidR="00FA0E49">
        <w:rPr>
          <w:b w:val="0"/>
          <w:sz w:val="20"/>
        </w:rPr>
        <w:t>3</w:t>
      </w:r>
      <w:r w:rsidR="00D30656" w:rsidRPr="00D30656">
        <w:rPr>
          <w:b w:val="0"/>
          <w:sz w:val="20"/>
        </w:rPr>
        <w:t>). The PID approach, due to its practicality, has been a focal point in research, with significant efforts dedicated to optimizing its tuning for anti-slug control</w:t>
      </w:r>
      <w:r w:rsidR="00236624">
        <w:rPr>
          <w:b w:val="0"/>
          <w:sz w:val="20"/>
        </w:rPr>
        <w:t xml:space="preserve"> </w:t>
      </w:r>
      <w:r w:rsidR="005B04E1">
        <w:rPr>
          <w:b w:val="0"/>
          <w:sz w:val="20"/>
        </w:rPr>
        <w:t>(</w:t>
      </w:r>
      <w:r w:rsidR="005B04E1" w:rsidRPr="00D30656">
        <w:rPr>
          <w:b w:val="0"/>
          <w:sz w:val="20"/>
        </w:rPr>
        <w:t>Pedersen et al.</w:t>
      </w:r>
      <w:r w:rsidR="005B04E1">
        <w:rPr>
          <w:b w:val="0"/>
          <w:sz w:val="20"/>
        </w:rPr>
        <w:t xml:space="preserve">, </w:t>
      </w:r>
      <w:r w:rsidR="005B04E1" w:rsidRPr="00D30656">
        <w:rPr>
          <w:b w:val="0"/>
          <w:sz w:val="20"/>
        </w:rPr>
        <w:t>2014</w:t>
      </w:r>
      <w:r w:rsidR="005B04E1">
        <w:rPr>
          <w:b w:val="0"/>
          <w:sz w:val="20"/>
        </w:rPr>
        <w:t>)</w:t>
      </w:r>
      <w:r w:rsidR="00D30656" w:rsidRPr="00D30656">
        <w:rPr>
          <w:b w:val="0"/>
          <w:sz w:val="20"/>
        </w:rPr>
        <w:t xml:space="preserve">, as seen in the methods proposed by </w:t>
      </w:r>
      <w:proofErr w:type="spellStart"/>
      <w:r w:rsidR="00D30656" w:rsidRPr="00D30656">
        <w:rPr>
          <w:b w:val="0"/>
          <w:sz w:val="20"/>
        </w:rPr>
        <w:t>Godhavn</w:t>
      </w:r>
      <w:proofErr w:type="spellEnd"/>
      <w:r w:rsidR="00D30656" w:rsidRPr="00D30656">
        <w:rPr>
          <w:b w:val="0"/>
          <w:sz w:val="20"/>
        </w:rPr>
        <w:t xml:space="preserve"> et al. (2005).</w:t>
      </w:r>
      <w:r w:rsidR="00D30656">
        <w:rPr>
          <w:b w:val="0"/>
          <w:sz w:val="20"/>
        </w:rPr>
        <w:t xml:space="preserve"> </w:t>
      </w:r>
      <w:r w:rsidR="00500ED2" w:rsidRPr="00500ED2">
        <w:rPr>
          <w:b w:val="0"/>
          <w:sz w:val="20"/>
        </w:rPr>
        <w:t xml:space="preserve">This </w:t>
      </w:r>
      <w:r w:rsidR="00500ED2">
        <w:rPr>
          <w:b w:val="0"/>
          <w:sz w:val="20"/>
        </w:rPr>
        <w:t>work</w:t>
      </w:r>
      <w:r w:rsidR="00500ED2" w:rsidRPr="00500ED2">
        <w:rPr>
          <w:b w:val="0"/>
          <w:sz w:val="20"/>
        </w:rPr>
        <w:t xml:space="preserve"> introduces a novel approach to slug flow </w:t>
      </w:r>
      <w:r w:rsidR="00500ED2">
        <w:rPr>
          <w:b w:val="0"/>
          <w:sz w:val="20"/>
        </w:rPr>
        <w:t>control</w:t>
      </w:r>
      <w:r w:rsidR="00500ED2" w:rsidRPr="00500ED2">
        <w:rPr>
          <w:b w:val="0"/>
          <w:sz w:val="20"/>
        </w:rPr>
        <w:t xml:space="preserve"> in oil and gas operations, transitioning from traditional PID controller tuning to the application of Deep Reinforcement Learning (DRL). The primary objective is to explore and establish the effectiveness of DRL as a supervisory control method that can adaptively and dynamically handle the complex, fluctuating conditions characteristic of slug flow. This shift represents </w:t>
      </w:r>
      <w:r w:rsidR="00500ED2">
        <w:rPr>
          <w:b w:val="0"/>
          <w:sz w:val="20"/>
        </w:rPr>
        <w:t xml:space="preserve">a </w:t>
      </w:r>
      <w:r w:rsidR="00500ED2" w:rsidRPr="00500ED2">
        <w:rPr>
          <w:b w:val="0"/>
          <w:sz w:val="20"/>
        </w:rPr>
        <w:t xml:space="preserve">potentially more robust solution for scenarios where traditional control strategies </w:t>
      </w:r>
      <w:r w:rsidR="00500ED2">
        <w:rPr>
          <w:b w:val="0"/>
          <w:sz w:val="20"/>
        </w:rPr>
        <w:t xml:space="preserve">might </w:t>
      </w:r>
      <w:r w:rsidR="00500ED2" w:rsidRPr="00500ED2">
        <w:rPr>
          <w:b w:val="0"/>
          <w:sz w:val="20"/>
        </w:rPr>
        <w:t>struggle to maintain stability and efficiency.</w:t>
      </w:r>
    </w:p>
    <w:p w14:paraId="7DD10A66" w14:textId="3028CB33" w:rsidR="0063353D" w:rsidRPr="004F4877" w:rsidRDefault="004F4877" w:rsidP="0063353D">
      <w:pPr>
        <w:pStyle w:val="Els-1storder-head"/>
      </w:pPr>
      <w:r>
        <w:t>Methodology</w:t>
      </w:r>
    </w:p>
    <w:p w14:paraId="0ACB87A6" w14:textId="2F7BC35E" w:rsidR="0063353D" w:rsidRPr="0063353D" w:rsidRDefault="0063353D" w:rsidP="0063353D">
      <w:pPr>
        <w:pStyle w:val="Els-2ndorder-head"/>
      </w:pPr>
      <w:r>
        <w:t>Slug Flow Model</w:t>
      </w:r>
    </w:p>
    <w:p w14:paraId="67829352" w14:textId="769DAEDA" w:rsidR="007D3EE9" w:rsidRDefault="007D3EE9" w:rsidP="00457362">
      <w:pPr>
        <w:pStyle w:val="Els-body-text"/>
      </w:pPr>
      <w:r>
        <w:t xml:space="preserve">FOWM is </w:t>
      </w:r>
      <w:r w:rsidRPr="00DB5F99">
        <w:t>a composite model that divides the production system into three segments: the reservoir and wellbore, the gas lift, and the production line, which includes both the flowline and riser</w:t>
      </w:r>
      <w:r>
        <w:t xml:space="preserve"> </w:t>
      </w:r>
      <w:r w:rsidRPr="00DB5F99">
        <w:t xml:space="preserve">(Figure 1). </w:t>
      </w:r>
    </w:p>
    <w:p w14:paraId="7B2E4EFF" w14:textId="77777777" w:rsidR="007D3EE9" w:rsidRDefault="007D3EE9" w:rsidP="007D3EE9">
      <w:pPr>
        <w:pStyle w:val="Els-body-text"/>
        <w:keepNext/>
        <w:spacing w:before="240"/>
        <w:jc w:val="center"/>
      </w:pPr>
      <w:r>
        <w:rPr>
          <w:noProof/>
        </w:rPr>
        <w:drawing>
          <wp:inline distT="0" distB="0" distL="0" distR="0" wp14:anchorId="2FE5240B" wp14:editId="4BE03DC0">
            <wp:extent cx="3247402" cy="234000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7402" cy="2340000"/>
                    </a:xfrm>
                    <a:prstGeom prst="rect">
                      <a:avLst/>
                    </a:prstGeom>
                  </pic:spPr>
                </pic:pic>
              </a:graphicData>
            </a:graphic>
          </wp:inline>
        </w:drawing>
      </w:r>
    </w:p>
    <w:p w14:paraId="0B594810" w14:textId="7FCD4503" w:rsidR="007D3EE9" w:rsidRDefault="007D3EE9" w:rsidP="00691749">
      <w:pPr>
        <w:pStyle w:val="Didascalia"/>
        <w:jc w:val="center"/>
      </w:pPr>
      <w:bookmarkStart w:id="1" w:name="_Hlk151738707"/>
      <w:r>
        <w:t xml:space="preserve">Figure </w:t>
      </w:r>
      <w:r>
        <w:fldChar w:fldCharType="begin"/>
      </w:r>
      <w:r>
        <w:instrText xml:space="preserve"> SEQ Figure \* ARABIC </w:instrText>
      </w:r>
      <w:r>
        <w:fldChar w:fldCharType="separate"/>
      </w:r>
      <w:r>
        <w:rPr>
          <w:noProof/>
        </w:rPr>
        <w:t>1</w:t>
      </w:r>
      <w:r>
        <w:fldChar w:fldCharType="end"/>
      </w:r>
      <w:bookmarkEnd w:id="1"/>
      <w:r>
        <w:t xml:space="preserve">: </w:t>
      </w:r>
      <w:r w:rsidRPr="004E1DB7">
        <w:t>FOWM model for oil and gas production simulation</w:t>
      </w:r>
      <w:r>
        <w:t xml:space="preserve"> (Adapted from Diehl et al., 2017)</w:t>
      </w:r>
      <w:r w:rsidRPr="00573612">
        <w:t>.</w:t>
      </w:r>
    </w:p>
    <w:p w14:paraId="57CF632F" w14:textId="4A86C817" w:rsidR="007D3EE9" w:rsidRPr="007A2635" w:rsidRDefault="007D3EE9" w:rsidP="00457362">
      <w:pPr>
        <w:pStyle w:val="Els-body-text"/>
      </w:pPr>
      <w:r w:rsidRPr="00DB5F99">
        <w:t>This trisection is articulated through a system of ordinary differential equations (ODEs),</w:t>
      </w:r>
      <w:r w:rsidR="00C5699B">
        <w:t xml:space="preserve"> </w:t>
      </w:r>
      <w:r w:rsidR="00BA666E" w:rsidRPr="00BA666E">
        <w:t xml:space="preserve">based on conservation of mass equations that represent the masses of gas and </w:t>
      </w:r>
      <w:r w:rsidR="00457362" w:rsidRPr="00BA666E">
        <w:t>liquid in different sections of the system</w:t>
      </w:r>
      <w:r w:rsidR="00236624">
        <w:t xml:space="preserve">. </w:t>
      </w:r>
      <w:r w:rsidRPr="00D31A6E">
        <w:t xml:space="preserve">The parameter set from Rodrigues </w:t>
      </w:r>
      <w:r>
        <w:t xml:space="preserve">et al. </w:t>
      </w:r>
      <w:r w:rsidRPr="00D31A6E">
        <w:t xml:space="preserve">(2018) was selected for characterizing FOWM in this </w:t>
      </w:r>
      <w:r>
        <w:t>work</w:t>
      </w:r>
      <w:r w:rsidRPr="00D31A6E">
        <w:t xml:space="preserve"> due to its </w:t>
      </w:r>
      <w:r>
        <w:t>good</w:t>
      </w:r>
      <w:r w:rsidRPr="00D31A6E">
        <w:t xml:space="preserve"> alignment with the specific region and initial conditions under consideration, particularly in cases of severe slugging.</w:t>
      </w:r>
    </w:p>
    <w:p w14:paraId="68C53C2D" w14:textId="4B49D53A" w:rsidR="00646C4B" w:rsidRDefault="00646C4B" w:rsidP="005B728E">
      <w:pPr>
        <w:pStyle w:val="Els-2ndorder-head"/>
      </w:pPr>
      <w:r>
        <w:t>Proximal Policy Optimization</w:t>
      </w:r>
    </w:p>
    <w:p w14:paraId="01A6237C" w14:textId="405377F0" w:rsidR="006B6552" w:rsidRDefault="00E17C4D" w:rsidP="0001264C">
      <w:pPr>
        <w:pStyle w:val="Els-body-text"/>
      </w:pPr>
      <w:r w:rsidRPr="00E17C4D">
        <w:t xml:space="preserve">This </w:t>
      </w:r>
      <w:r>
        <w:t>work</w:t>
      </w:r>
      <w:r w:rsidRPr="00E17C4D">
        <w:t xml:space="preserve"> employs</w:t>
      </w:r>
      <w:r>
        <w:t xml:space="preserve"> the </w:t>
      </w:r>
      <w:r w:rsidR="00122E81">
        <w:t>Proximal Policy Optimization (PPO) algorithm</w:t>
      </w:r>
      <w:r w:rsidR="0063353D">
        <w:t xml:space="preserve"> (Schulman</w:t>
      </w:r>
      <w:r w:rsidR="005052EA">
        <w:t xml:space="preserve"> et al.</w:t>
      </w:r>
      <w:r w:rsidR="0063353D">
        <w:t>, 2017)</w:t>
      </w:r>
      <w:r w:rsidR="00122E81">
        <w:t xml:space="preserve">, </w:t>
      </w:r>
      <w:r w:rsidRPr="00E17C4D">
        <w:t>an on-policy DRL algorithm known for balancing the complexity of policy gradient methods with the stability of trust region methods. PPO restricts policy updates through a clipped surrogate objective function, creating a trust region to ensure stable and moderate changes in the policy. The algorithm uses both a policy network (actor) and a value network (critic), with the latter aiding in stabilizing training by estimating the value function. The advantage function,</w:t>
      </w:r>
      <w:r>
        <w:t xml:space="preserve"> </w:t>
      </w:r>
      <m:oMath>
        <m:r>
          <w:rPr>
            <w:rFonts w:ascii="Cambria Math" w:hAnsi="Cambria Math"/>
          </w:rPr>
          <m:t>A(s,a)</m:t>
        </m:r>
      </m:oMath>
      <w:r>
        <w:t>,</w:t>
      </w:r>
      <w:r w:rsidRPr="00E17C4D">
        <w:t xml:space="preserve"> critical for directing the policy towards more </w:t>
      </w:r>
      <w:r w:rsidRPr="00E17C4D">
        <w:lastRenderedPageBreak/>
        <w:t>beneficial actions, is calculated using Generalized Advantage Estimation (GAE)</w:t>
      </w:r>
      <w:r>
        <w:t xml:space="preserve"> (Schulman et al., 2015)</w:t>
      </w:r>
      <w:r w:rsidRPr="00E17C4D">
        <w:t>.</w:t>
      </w:r>
      <w:r w:rsidR="00FB12EE">
        <w:t xml:space="preserve"> </w:t>
      </w:r>
      <w:r w:rsidR="002A46C9">
        <w:t>The general hyperparameters</w:t>
      </w:r>
      <w:r w:rsidR="006B6552">
        <w:t xml:space="preserve"> for the PPO implementation can be found on </w:t>
      </w:r>
      <w:r w:rsidR="00CD2A0A">
        <w:t>Table</w:t>
      </w:r>
      <w:r w:rsidR="00DD6379">
        <w:t xml:space="preserve"> 1</w:t>
      </w:r>
      <w:r w:rsidR="00457362">
        <w:t>.</w:t>
      </w:r>
    </w:p>
    <w:p w14:paraId="1DC0EE2B" w14:textId="5ABB139A" w:rsidR="006B6552" w:rsidRDefault="006B6552" w:rsidP="006B6552">
      <w:pPr>
        <w:pStyle w:val="Didascalia"/>
        <w:keepNext/>
      </w:pPr>
      <w:r>
        <w:t xml:space="preserve">Table </w:t>
      </w:r>
      <w:r>
        <w:fldChar w:fldCharType="begin"/>
      </w:r>
      <w:r>
        <w:instrText xml:space="preserve"> SEQ Table \* ARABIC </w:instrText>
      </w:r>
      <w:r>
        <w:fldChar w:fldCharType="separate"/>
      </w:r>
      <w:r w:rsidR="00CF0167">
        <w:rPr>
          <w:noProof/>
        </w:rPr>
        <w:t>1</w:t>
      </w:r>
      <w:r>
        <w:fldChar w:fldCharType="end"/>
      </w:r>
      <w:r>
        <w:t xml:space="preserve">: </w:t>
      </w:r>
      <w:r w:rsidRPr="009E72EB">
        <w:t>PPO Hyperparameters</w:t>
      </w:r>
    </w:p>
    <w:tbl>
      <w:tblPr>
        <w:tblW w:w="7186" w:type="dxa"/>
        <w:tblCellMar>
          <w:top w:w="15" w:type="dxa"/>
          <w:left w:w="15" w:type="dxa"/>
          <w:bottom w:w="15" w:type="dxa"/>
          <w:right w:w="15" w:type="dxa"/>
        </w:tblCellMar>
        <w:tblLook w:val="04A0" w:firstRow="1" w:lastRow="0" w:firstColumn="1" w:lastColumn="0" w:noHBand="0" w:noVBand="1"/>
      </w:tblPr>
      <w:tblGrid>
        <w:gridCol w:w="1679"/>
        <w:gridCol w:w="787"/>
        <w:gridCol w:w="4720"/>
      </w:tblGrid>
      <w:tr w:rsidR="006B6552" w:rsidRPr="006B6552" w14:paraId="6B10908F" w14:textId="77777777" w:rsidTr="00343C9F">
        <w:trPr>
          <w:trHeight w:val="220"/>
          <w:tblHeader/>
        </w:trPr>
        <w:tc>
          <w:tcPr>
            <w:tcW w:w="0" w:type="auto"/>
            <w:tcBorders>
              <w:top w:val="single" w:sz="4" w:space="0" w:color="auto"/>
              <w:bottom w:val="single" w:sz="4" w:space="0" w:color="auto"/>
            </w:tcBorders>
            <w:shd w:val="clear" w:color="auto" w:fill="auto"/>
            <w:vAlign w:val="bottom"/>
            <w:hideMark/>
          </w:tcPr>
          <w:p w14:paraId="08410C18" w14:textId="77777777" w:rsidR="006B6552" w:rsidRPr="006B6552" w:rsidRDefault="006B6552" w:rsidP="006B6552">
            <w:pPr>
              <w:pStyle w:val="Els-body-text"/>
              <w:rPr>
                <w:lang w:val="en-GB"/>
              </w:rPr>
            </w:pPr>
            <w:r w:rsidRPr="006B6552">
              <w:rPr>
                <w:lang w:val="en-GB"/>
              </w:rPr>
              <w:t>Parameter</w:t>
            </w:r>
          </w:p>
        </w:tc>
        <w:tc>
          <w:tcPr>
            <w:tcW w:w="0" w:type="auto"/>
            <w:tcBorders>
              <w:top w:val="single" w:sz="4" w:space="0" w:color="auto"/>
              <w:bottom w:val="single" w:sz="4" w:space="0" w:color="auto"/>
            </w:tcBorders>
            <w:shd w:val="clear" w:color="auto" w:fill="auto"/>
            <w:vAlign w:val="bottom"/>
            <w:hideMark/>
          </w:tcPr>
          <w:p w14:paraId="4279B59B" w14:textId="77777777" w:rsidR="006B6552" w:rsidRPr="006B6552" w:rsidRDefault="006B6552" w:rsidP="006B6552">
            <w:pPr>
              <w:pStyle w:val="Els-body-text"/>
              <w:rPr>
                <w:lang w:val="en-GB"/>
              </w:rPr>
            </w:pPr>
            <w:r w:rsidRPr="006B6552">
              <w:rPr>
                <w:lang w:val="en-GB"/>
              </w:rPr>
              <w:t>Value</w:t>
            </w:r>
          </w:p>
        </w:tc>
        <w:tc>
          <w:tcPr>
            <w:tcW w:w="0" w:type="auto"/>
            <w:tcBorders>
              <w:top w:val="single" w:sz="4" w:space="0" w:color="auto"/>
              <w:bottom w:val="single" w:sz="4" w:space="0" w:color="auto"/>
            </w:tcBorders>
            <w:shd w:val="clear" w:color="auto" w:fill="auto"/>
            <w:vAlign w:val="bottom"/>
            <w:hideMark/>
          </w:tcPr>
          <w:p w14:paraId="5238E0B0" w14:textId="77777777" w:rsidR="006B6552" w:rsidRPr="006B6552" w:rsidRDefault="006B6552" w:rsidP="006B6552">
            <w:pPr>
              <w:pStyle w:val="Els-body-text"/>
              <w:rPr>
                <w:lang w:val="en-GB"/>
              </w:rPr>
            </w:pPr>
            <w:r w:rsidRPr="006B6552">
              <w:rPr>
                <w:lang w:val="en-GB"/>
              </w:rPr>
              <w:t>Definition</w:t>
            </w:r>
          </w:p>
        </w:tc>
      </w:tr>
      <w:tr w:rsidR="006B6552" w:rsidRPr="006B6552" w14:paraId="3A22BA8A" w14:textId="77777777" w:rsidTr="00343C9F">
        <w:trPr>
          <w:trHeight w:val="220"/>
        </w:trPr>
        <w:tc>
          <w:tcPr>
            <w:tcW w:w="0" w:type="auto"/>
            <w:tcBorders>
              <w:top w:val="single" w:sz="4" w:space="0" w:color="auto"/>
            </w:tcBorders>
            <w:shd w:val="clear" w:color="auto" w:fill="auto"/>
            <w:vAlign w:val="bottom"/>
            <w:hideMark/>
          </w:tcPr>
          <w:p w14:paraId="7586A8DE" w14:textId="77777777" w:rsidR="006B6552" w:rsidRPr="006B6552" w:rsidRDefault="006B6552" w:rsidP="006B6552">
            <w:pPr>
              <w:pStyle w:val="Els-body-text"/>
              <w:rPr>
                <w:lang w:val="en-GB"/>
              </w:rPr>
            </w:pPr>
            <w:r w:rsidRPr="006B6552">
              <w:rPr>
                <w:lang w:val="en-GB"/>
              </w:rPr>
              <w:t>dt</w:t>
            </w:r>
          </w:p>
        </w:tc>
        <w:tc>
          <w:tcPr>
            <w:tcW w:w="0" w:type="auto"/>
            <w:tcBorders>
              <w:top w:val="single" w:sz="4" w:space="0" w:color="auto"/>
            </w:tcBorders>
            <w:shd w:val="clear" w:color="auto" w:fill="auto"/>
            <w:vAlign w:val="bottom"/>
            <w:hideMark/>
          </w:tcPr>
          <w:p w14:paraId="4A0954A5" w14:textId="77777777" w:rsidR="006B6552" w:rsidRPr="006B6552" w:rsidRDefault="006B6552" w:rsidP="006B6552">
            <w:pPr>
              <w:pStyle w:val="Els-body-text"/>
              <w:rPr>
                <w:lang w:val="en-GB"/>
              </w:rPr>
            </w:pPr>
            <w:r w:rsidRPr="006B6552">
              <w:rPr>
                <w:lang w:val="en-GB"/>
              </w:rPr>
              <w:t>200</w:t>
            </w:r>
          </w:p>
        </w:tc>
        <w:tc>
          <w:tcPr>
            <w:tcW w:w="0" w:type="auto"/>
            <w:tcBorders>
              <w:top w:val="single" w:sz="4" w:space="0" w:color="auto"/>
            </w:tcBorders>
            <w:shd w:val="clear" w:color="auto" w:fill="auto"/>
            <w:vAlign w:val="bottom"/>
            <w:hideMark/>
          </w:tcPr>
          <w:p w14:paraId="63010B7E" w14:textId="7EAA6DD2" w:rsidR="006B6552" w:rsidRPr="006B6552" w:rsidRDefault="006B6552" w:rsidP="006B6552">
            <w:pPr>
              <w:pStyle w:val="Els-body-text"/>
              <w:rPr>
                <w:lang w:val="en-GB"/>
              </w:rPr>
            </w:pPr>
            <w:r w:rsidRPr="006B6552">
              <w:rPr>
                <w:lang w:val="en-GB"/>
              </w:rPr>
              <w:t>Simulation time</w:t>
            </w:r>
            <w:r w:rsidR="00D061DE">
              <w:rPr>
                <w:lang w:val="en-GB"/>
              </w:rPr>
              <w:t xml:space="preserve"> </w:t>
            </w:r>
            <w:r w:rsidRPr="006B6552">
              <w:rPr>
                <w:lang w:val="en-GB"/>
              </w:rPr>
              <w:t>step (seconds)</w:t>
            </w:r>
          </w:p>
        </w:tc>
      </w:tr>
      <w:tr w:rsidR="006B6552" w:rsidRPr="006B6552" w14:paraId="6342FC94" w14:textId="77777777" w:rsidTr="00343C9F">
        <w:trPr>
          <w:trHeight w:val="220"/>
        </w:trPr>
        <w:tc>
          <w:tcPr>
            <w:tcW w:w="0" w:type="auto"/>
            <w:shd w:val="clear" w:color="auto" w:fill="auto"/>
            <w:vAlign w:val="bottom"/>
            <w:hideMark/>
          </w:tcPr>
          <w:p w14:paraId="615B0AD6" w14:textId="77777777" w:rsidR="006B6552" w:rsidRPr="006B6552" w:rsidRDefault="006B6552" w:rsidP="006B6552">
            <w:pPr>
              <w:pStyle w:val="Els-body-text"/>
              <w:rPr>
                <w:lang w:val="en-GB"/>
              </w:rPr>
            </w:pPr>
            <w:proofErr w:type="spellStart"/>
            <w:r w:rsidRPr="006B6552">
              <w:rPr>
                <w:lang w:val="en-GB"/>
              </w:rPr>
              <w:t>max_timestep</w:t>
            </w:r>
            <w:proofErr w:type="spellEnd"/>
          </w:p>
        </w:tc>
        <w:tc>
          <w:tcPr>
            <w:tcW w:w="0" w:type="auto"/>
            <w:shd w:val="clear" w:color="auto" w:fill="auto"/>
            <w:vAlign w:val="bottom"/>
            <w:hideMark/>
          </w:tcPr>
          <w:p w14:paraId="7CBB9140" w14:textId="54C2A242" w:rsidR="006B6552" w:rsidRPr="006B6552" w:rsidRDefault="00D9009B" w:rsidP="006B6552">
            <w:pPr>
              <w:pStyle w:val="Els-body-text"/>
              <w:rPr>
                <w:vertAlign w:val="superscript"/>
                <w:lang w:val="en-GB"/>
              </w:rPr>
            </w:pPr>
            <w:r w:rsidRPr="00D9009B">
              <w:rPr>
                <w:lang w:val="en-GB"/>
              </w:rPr>
              <w:t>4320</w:t>
            </w:r>
          </w:p>
        </w:tc>
        <w:tc>
          <w:tcPr>
            <w:tcW w:w="0" w:type="auto"/>
            <w:shd w:val="clear" w:color="auto" w:fill="auto"/>
            <w:vAlign w:val="bottom"/>
            <w:hideMark/>
          </w:tcPr>
          <w:p w14:paraId="42C03877" w14:textId="77777777" w:rsidR="006B6552" w:rsidRPr="006B6552" w:rsidRDefault="006B6552" w:rsidP="006B6552">
            <w:pPr>
              <w:pStyle w:val="Els-body-text"/>
              <w:rPr>
                <w:lang w:val="en-GB"/>
              </w:rPr>
            </w:pPr>
            <w:r w:rsidRPr="006B6552">
              <w:rPr>
                <w:lang w:val="en-GB"/>
              </w:rPr>
              <w:t>Max time steps per episode (10 days)</w:t>
            </w:r>
          </w:p>
        </w:tc>
      </w:tr>
      <w:tr w:rsidR="006B6552" w:rsidRPr="006B6552" w14:paraId="780EB77B" w14:textId="77777777" w:rsidTr="00343C9F">
        <w:trPr>
          <w:trHeight w:val="220"/>
        </w:trPr>
        <w:tc>
          <w:tcPr>
            <w:tcW w:w="0" w:type="auto"/>
            <w:shd w:val="clear" w:color="auto" w:fill="auto"/>
            <w:vAlign w:val="bottom"/>
            <w:hideMark/>
          </w:tcPr>
          <w:p w14:paraId="43EA21C5" w14:textId="77777777" w:rsidR="006B6552" w:rsidRPr="006B6552" w:rsidRDefault="006B6552" w:rsidP="006B6552">
            <w:pPr>
              <w:pStyle w:val="Els-body-text"/>
              <w:rPr>
                <w:lang w:val="en-GB"/>
              </w:rPr>
            </w:pPr>
            <w:proofErr w:type="spellStart"/>
            <w:r w:rsidRPr="006B6552">
              <w:rPr>
                <w:lang w:val="en-GB"/>
              </w:rPr>
              <w:t>learning_rate</w:t>
            </w:r>
            <w:proofErr w:type="spellEnd"/>
          </w:p>
        </w:tc>
        <w:tc>
          <w:tcPr>
            <w:tcW w:w="0" w:type="auto"/>
            <w:shd w:val="clear" w:color="auto" w:fill="auto"/>
            <w:vAlign w:val="bottom"/>
            <w:hideMark/>
          </w:tcPr>
          <w:p w14:paraId="081E5A63" w14:textId="65B71A69" w:rsidR="006B6552" w:rsidRPr="006B6552" w:rsidRDefault="00BD2BF7" w:rsidP="006B6552">
            <w:pPr>
              <w:pStyle w:val="Els-body-text"/>
              <w:rPr>
                <w:lang w:val="en-GB"/>
              </w:rPr>
            </w:pPr>
            <w:r>
              <w:rPr>
                <w:lang w:val="en-GB"/>
              </w:rPr>
              <w:t>5</w:t>
            </w:r>
            <w:r w:rsidR="006B6552" w:rsidRPr="006B6552">
              <w:rPr>
                <w:lang w:val="en-GB"/>
              </w:rPr>
              <w:t>×10</w:t>
            </w:r>
            <w:r w:rsidR="006B6552" w:rsidRPr="006B6552">
              <w:rPr>
                <w:vertAlign w:val="superscript"/>
                <w:lang w:val="en-GB"/>
              </w:rPr>
              <w:t>−4</w:t>
            </w:r>
          </w:p>
        </w:tc>
        <w:tc>
          <w:tcPr>
            <w:tcW w:w="0" w:type="auto"/>
            <w:shd w:val="clear" w:color="auto" w:fill="auto"/>
            <w:vAlign w:val="bottom"/>
            <w:hideMark/>
          </w:tcPr>
          <w:p w14:paraId="0F7E36F3" w14:textId="77777777" w:rsidR="006B6552" w:rsidRPr="006B6552" w:rsidRDefault="006B6552" w:rsidP="006B6552">
            <w:pPr>
              <w:pStyle w:val="Els-body-text"/>
              <w:rPr>
                <w:lang w:val="en-GB"/>
              </w:rPr>
            </w:pPr>
            <w:r w:rsidRPr="006B6552">
              <w:rPr>
                <w:lang w:val="en-GB"/>
              </w:rPr>
              <w:t>Learning rate for optimization</w:t>
            </w:r>
          </w:p>
        </w:tc>
      </w:tr>
      <w:tr w:rsidR="006B6552" w:rsidRPr="006B6552" w14:paraId="76FCB41E" w14:textId="77777777" w:rsidTr="00343C9F">
        <w:trPr>
          <w:trHeight w:val="220"/>
        </w:trPr>
        <w:tc>
          <w:tcPr>
            <w:tcW w:w="0" w:type="auto"/>
            <w:shd w:val="clear" w:color="auto" w:fill="auto"/>
            <w:vAlign w:val="bottom"/>
            <w:hideMark/>
          </w:tcPr>
          <w:p w14:paraId="67A1D428" w14:textId="77777777" w:rsidR="006B6552" w:rsidRPr="006B6552" w:rsidRDefault="006B6552" w:rsidP="006B6552">
            <w:pPr>
              <w:pStyle w:val="Els-body-text"/>
              <w:rPr>
                <w:lang w:val="en-GB"/>
              </w:rPr>
            </w:pPr>
            <w:proofErr w:type="spellStart"/>
            <w:r w:rsidRPr="006B6552">
              <w:rPr>
                <w:lang w:val="en-GB"/>
              </w:rPr>
              <w:t>clip_range</w:t>
            </w:r>
            <w:proofErr w:type="spellEnd"/>
          </w:p>
        </w:tc>
        <w:tc>
          <w:tcPr>
            <w:tcW w:w="0" w:type="auto"/>
            <w:shd w:val="clear" w:color="auto" w:fill="auto"/>
            <w:vAlign w:val="bottom"/>
            <w:hideMark/>
          </w:tcPr>
          <w:p w14:paraId="4654E0B7" w14:textId="77777777" w:rsidR="006B6552" w:rsidRPr="006B6552" w:rsidRDefault="006B6552" w:rsidP="006B6552">
            <w:pPr>
              <w:pStyle w:val="Els-body-text"/>
              <w:rPr>
                <w:lang w:val="en-GB"/>
              </w:rPr>
            </w:pPr>
            <w:r w:rsidRPr="006B6552">
              <w:rPr>
                <w:lang w:val="en-GB"/>
              </w:rPr>
              <w:t>0.2</w:t>
            </w:r>
          </w:p>
        </w:tc>
        <w:tc>
          <w:tcPr>
            <w:tcW w:w="0" w:type="auto"/>
            <w:shd w:val="clear" w:color="auto" w:fill="auto"/>
            <w:vAlign w:val="bottom"/>
            <w:hideMark/>
          </w:tcPr>
          <w:p w14:paraId="413DB2AF" w14:textId="77777777" w:rsidR="006B6552" w:rsidRPr="006B6552" w:rsidRDefault="006B6552" w:rsidP="006B6552">
            <w:pPr>
              <w:pStyle w:val="Els-body-text"/>
              <w:rPr>
                <w:lang w:val="en-GB"/>
              </w:rPr>
            </w:pPr>
            <w:r w:rsidRPr="006B6552">
              <w:rPr>
                <w:lang w:val="en-GB"/>
              </w:rPr>
              <w:t>Range for clipping policy updates</w:t>
            </w:r>
          </w:p>
        </w:tc>
      </w:tr>
      <w:tr w:rsidR="006B6552" w:rsidRPr="006B6552" w14:paraId="6DC51A43" w14:textId="77777777" w:rsidTr="00343C9F">
        <w:trPr>
          <w:trHeight w:val="220"/>
        </w:trPr>
        <w:tc>
          <w:tcPr>
            <w:tcW w:w="0" w:type="auto"/>
            <w:shd w:val="clear" w:color="auto" w:fill="auto"/>
            <w:vAlign w:val="bottom"/>
            <w:hideMark/>
          </w:tcPr>
          <w:p w14:paraId="5796ED37" w14:textId="77777777" w:rsidR="006B6552" w:rsidRPr="006B6552" w:rsidRDefault="006B6552" w:rsidP="006B6552">
            <w:pPr>
              <w:pStyle w:val="Els-body-text"/>
              <w:rPr>
                <w:lang w:val="en-GB"/>
              </w:rPr>
            </w:pPr>
            <w:proofErr w:type="spellStart"/>
            <w:r w:rsidRPr="006B6552">
              <w:rPr>
                <w:lang w:val="en-GB"/>
              </w:rPr>
              <w:t>clip_range_vf</w:t>
            </w:r>
            <w:proofErr w:type="spellEnd"/>
          </w:p>
        </w:tc>
        <w:tc>
          <w:tcPr>
            <w:tcW w:w="0" w:type="auto"/>
            <w:shd w:val="clear" w:color="auto" w:fill="auto"/>
            <w:vAlign w:val="bottom"/>
            <w:hideMark/>
          </w:tcPr>
          <w:p w14:paraId="54173CCF" w14:textId="77777777" w:rsidR="006B6552" w:rsidRPr="006B6552" w:rsidRDefault="006B6552" w:rsidP="006B6552">
            <w:pPr>
              <w:pStyle w:val="Els-body-text"/>
              <w:rPr>
                <w:lang w:val="en-GB"/>
              </w:rPr>
            </w:pPr>
            <w:r w:rsidRPr="006B6552">
              <w:rPr>
                <w:lang w:val="en-GB"/>
              </w:rPr>
              <w:t>0.2</w:t>
            </w:r>
          </w:p>
        </w:tc>
        <w:tc>
          <w:tcPr>
            <w:tcW w:w="0" w:type="auto"/>
            <w:shd w:val="clear" w:color="auto" w:fill="auto"/>
            <w:vAlign w:val="bottom"/>
            <w:hideMark/>
          </w:tcPr>
          <w:p w14:paraId="1A84A545" w14:textId="77777777" w:rsidR="006B6552" w:rsidRPr="006B6552" w:rsidRDefault="006B6552" w:rsidP="006B6552">
            <w:pPr>
              <w:pStyle w:val="Els-body-text"/>
              <w:rPr>
                <w:lang w:val="en-GB"/>
              </w:rPr>
            </w:pPr>
            <w:r w:rsidRPr="006B6552">
              <w:rPr>
                <w:lang w:val="en-GB"/>
              </w:rPr>
              <w:t>Clipping range for value function updates</w:t>
            </w:r>
          </w:p>
        </w:tc>
      </w:tr>
      <w:tr w:rsidR="006B6552" w:rsidRPr="006B6552" w14:paraId="5BD3859D" w14:textId="77777777" w:rsidTr="00343C9F">
        <w:trPr>
          <w:trHeight w:val="220"/>
        </w:trPr>
        <w:tc>
          <w:tcPr>
            <w:tcW w:w="0" w:type="auto"/>
            <w:shd w:val="clear" w:color="auto" w:fill="auto"/>
            <w:vAlign w:val="bottom"/>
            <w:hideMark/>
          </w:tcPr>
          <w:p w14:paraId="3D8D6025" w14:textId="77777777" w:rsidR="006B6552" w:rsidRPr="006B6552" w:rsidRDefault="006B6552" w:rsidP="006B6552">
            <w:pPr>
              <w:pStyle w:val="Els-body-text"/>
              <w:rPr>
                <w:lang w:val="en-GB"/>
              </w:rPr>
            </w:pPr>
            <w:proofErr w:type="spellStart"/>
            <w:r w:rsidRPr="006B6552">
              <w:rPr>
                <w:lang w:val="en-GB"/>
              </w:rPr>
              <w:t>total_timesteps</w:t>
            </w:r>
            <w:proofErr w:type="spellEnd"/>
          </w:p>
        </w:tc>
        <w:tc>
          <w:tcPr>
            <w:tcW w:w="0" w:type="auto"/>
            <w:shd w:val="clear" w:color="auto" w:fill="auto"/>
            <w:vAlign w:val="bottom"/>
            <w:hideMark/>
          </w:tcPr>
          <w:p w14:paraId="73AE432E" w14:textId="63C39BED" w:rsidR="006B6552" w:rsidRPr="006B6552" w:rsidRDefault="006B6552" w:rsidP="006B6552">
            <w:pPr>
              <w:pStyle w:val="Els-body-text"/>
              <w:rPr>
                <w:lang w:val="en-GB"/>
              </w:rPr>
            </w:pPr>
            <w:r w:rsidRPr="006B6552">
              <w:rPr>
                <w:lang w:val="en-GB"/>
              </w:rPr>
              <w:t>1×10</w:t>
            </w:r>
            <w:r w:rsidR="00D9009B">
              <w:rPr>
                <w:vertAlign w:val="superscript"/>
                <w:lang w:val="en-GB"/>
              </w:rPr>
              <w:t>7</w:t>
            </w:r>
          </w:p>
        </w:tc>
        <w:tc>
          <w:tcPr>
            <w:tcW w:w="0" w:type="auto"/>
            <w:shd w:val="clear" w:color="auto" w:fill="auto"/>
            <w:vAlign w:val="bottom"/>
            <w:hideMark/>
          </w:tcPr>
          <w:p w14:paraId="7F543072" w14:textId="7D67A0C6" w:rsidR="006B6552" w:rsidRPr="006B6552" w:rsidRDefault="006B6552" w:rsidP="006B6552">
            <w:pPr>
              <w:pStyle w:val="Els-body-text"/>
              <w:rPr>
                <w:lang w:val="en-GB"/>
              </w:rPr>
            </w:pPr>
            <w:r w:rsidRPr="006B6552">
              <w:rPr>
                <w:lang w:val="en-GB"/>
              </w:rPr>
              <w:t>Total training time</w:t>
            </w:r>
            <w:r w:rsidR="00D061DE">
              <w:rPr>
                <w:lang w:val="en-GB"/>
              </w:rPr>
              <w:t xml:space="preserve"> </w:t>
            </w:r>
            <w:r w:rsidRPr="006B6552">
              <w:rPr>
                <w:lang w:val="en-GB"/>
              </w:rPr>
              <w:t>steps</w:t>
            </w:r>
          </w:p>
        </w:tc>
      </w:tr>
      <w:tr w:rsidR="006B6552" w:rsidRPr="006B6552" w14:paraId="08D346E5" w14:textId="77777777" w:rsidTr="00343C9F">
        <w:trPr>
          <w:trHeight w:val="220"/>
        </w:trPr>
        <w:tc>
          <w:tcPr>
            <w:tcW w:w="0" w:type="auto"/>
            <w:shd w:val="clear" w:color="auto" w:fill="auto"/>
            <w:vAlign w:val="bottom"/>
            <w:hideMark/>
          </w:tcPr>
          <w:p w14:paraId="5CB9D025" w14:textId="77777777" w:rsidR="006B6552" w:rsidRPr="006B6552" w:rsidRDefault="006B6552" w:rsidP="006B6552">
            <w:pPr>
              <w:pStyle w:val="Els-body-text"/>
              <w:rPr>
                <w:lang w:val="en-GB"/>
              </w:rPr>
            </w:pPr>
            <w:r w:rsidRPr="006B6552">
              <w:rPr>
                <w:lang w:val="en-GB"/>
              </w:rPr>
              <w:t>gamma</w:t>
            </w:r>
          </w:p>
        </w:tc>
        <w:tc>
          <w:tcPr>
            <w:tcW w:w="0" w:type="auto"/>
            <w:shd w:val="clear" w:color="auto" w:fill="auto"/>
            <w:vAlign w:val="bottom"/>
            <w:hideMark/>
          </w:tcPr>
          <w:p w14:paraId="5F72FBCC" w14:textId="77777777" w:rsidR="006B6552" w:rsidRPr="006B6552" w:rsidRDefault="006B6552" w:rsidP="006B6552">
            <w:pPr>
              <w:pStyle w:val="Els-body-text"/>
              <w:rPr>
                <w:lang w:val="en-GB"/>
              </w:rPr>
            </w:pPr>
            <w:r w:rsidRPr="006B6552">
              <w:rPr>
                <w:lang w:val="en-GB"/>
              </w:rPr>
              <w:t>0.99</w:t>
            </w:r>
          </w:p>
        </w:tc>
        <w:tc>
          <w:tcPr>
            <w:tcW w:w="0" w:type="auto"/>
            <w:shd w:val="clear" w:color="auto" w:fill="auto"/>
            <w:vAlign w:val="bottom"/>
            <w:hideMark/>
          </w:tcPr>
          <w:p w14:paraId="5932B193" w14:textId="77777777" w:rsidR="006B6552" w:rsidRPr="006B6552" w:rsidRDefault="006B6552" w:rsidP="006B6552">
            <w:pPr>
              <w:pStyle w:val="Els-body-text"/>
              <w:rPr>
                <w:lang w:val="en-GB"/>
              </w:rPr>
            </w:pPr>
            <w:r w:rsidRPr="006B6552">
              <w:rPr>
                <w:lang w:val="en-GB"/>
              </w:rPr>
              <w:t>Discount factor for future rewards</w:t>
            </w:r>
          </w:p>
        </w:tc>
      </w:tr>
      <w:tr w:rsidR="006B6552" w:rsidRPr="006B6552" w14:paraId="07CCC9B8" w14:textId="77777777" w:rsidTr="00343C9F">
        <w:trPr>
          <w:trHeight w:val="220"/>
        </w:trPr>
        <w:tc>
          <w:tcPr>
            <w:tcW w:w="0" w:type="auto"/>
            <w:shd w:val="clear" w:color="auto" w:fill="auto"/>
            <w:vAlign w:val="bottom"/>
            <w:hideMark/>
          </w:tcPr>
          <w:p w14:paraId="2C5387A6" w14:textId="77777777" w:rsidR="006B6552" w:rsidRPr="006B6552" w:rsidRDefault="006B6552" w:rsidP="006B6552">
            <w:pPr>
              <w:pStyle w:val="Els-body-text"/>
              <w:rPr>
                <w:lang w:val="en-GB"/>
              </w:rPr>
            </w:pPr>
            <w:proofErr w:type="spellStart"/>
            <w:r w:rsidRPr="006B6552">
              <w:rPr>
                <w:lang w:val="en-GB"/>
              </w:rPr>
              <w:t>gae_lambda</w:t>
            </w:r>
            <w:proofErr w:type="spellEnd"/>
          </w:p>
        </w:tc>
        <w:tc>
          <w:tcPr>
            <w:tcW w:w="0" w:type="auto"/>
            <w:shd w:val="clear" w:color="auto" w:fill="auto"/>
            <w:vAlign w:val="bottom"/>
            <w:hideMark/>
          </w:tcPr>
          <w:p w14:paraId="1B87B796" w14:textId="77777777" w:rsidR="006B6552" w:rsidRPr="006B6552" w:rsidRDefault="006B6552" w:rsidP="006B6552">
            <w:pPr>
              <w:pStyle w:val="Els-body-text"/>
              <w:rPr>
                <w:lang w:val="en-GB"/>
              </w:rPr>
            </w:pPr>
            <w:r w:rsidRPr="006B6552">
              <w:rPr>
                <w:lang w:val="en-GB"/>
              </w:rPr>
              <w:t>0.99</w:t>
            </w:r>
          </w:p>
        </w:tc>
        <w:tc>
          <w:tcPr>
            <w:tcW w:w="0" w:type="auto"/>
            <w:shd w:val="clear" w:color="auto" w:fill="auto"/>
            <w:vAlign w:val="bottom"/>
            <w:hideMark/>
          </w:tcPr>
          <w:p w14:paraId="409AA586" w14:textId="77777777" w:rsidR="006B6552" w:rsidRPr="006B6552" w:rsidRDefault="006B6552" w:rsidP="006B6552">
            <w:pPr>
              <w:pStyle w:val="Els-body-text"/>
              <w:rPr>
                <w:lang w:val="en-GB"/>
              </w:rPr>
            </w:pPr>
            <w:r w:rsidRPr="006B6552">
              <w:rPr>
                <w:lang w:val="en-GB"/>
              </w:rPr>
              <w:t>GAE parameter for bias-variance trade-off</w:t>
            </w:r>
          </w:p>
        </w:tc>
      </w:tr>
      <w:tr w:rsidR="006B6552" w:rsidRPr="006B6552" w14:paraId="0ED07CE8" w14:textId="77777777" w:rsidTr="00343C9F">
        <w:trPr>
          <w:trHeight w:val="220"/>
        </w:trPr>
        <w:tc>
          <w:tcPr>
            <w:tcW w:w="0" w:type="auto"/>
            <w:shd w:val="clear" w:color="auto" w:fill="auto"/>
            <w:vAlign w:val="bottom"/>
            <w:hideMark/>
          </w:tcPr>
          <w:p w14:paraId="5663489F" w14:textId="77777777" w:rsidR="006B6552" w:rsidRPr="006B6552" w:rsidRDefault="006B6552" w:rsidP="006B6552">
            <w:pPr>
              <w:pStyle w:val="Els-body-text"/>
              <w:rPr>
                <w:lang w:val="en-GB"/>
              </w:rPr>
            </w:pPr>
            <w:proofErr w:type="spellStart"/>
            <w:r w:rsidRPr="006B6552">
              <w:rPr>
                <w:lang w:val="en-GB"/>
              </w:rPr>
              <w:t>ent_coef</w:t>
            </w:r>
            <w:proofErr w:type="spellEnd"/>
          </w:p>
        </w:tc>
        <w:tc>
          <w:tcPr>
            <w:tcW w:w="0" w:type="auto"/>
            <w:shd w:val="clear" w:color="auto" w:fill="auto"/>
            <w:vAlign w:val="bottom"/>
            <w:hideMark/>
          </w:tcPr>
          <w:p w14:paraId="39E5DF1E" w14:textId="04F87893" w:rsidR="006B6552" w:rsidRPr="006B6552" w:rsidRDefault="00BD2BF7" w:rsidP="006B6552">
            <w:pPr>
              <w:pStyle w:val="Els-body-text"/>
              <w:rPr>
                <w:lang w:val="en-GB"/>
              </w:rPr>
            </w:pPr>
            <w:r>
              <w:rPr>
                <w:lang w:val="en-GB"/>
              </w:rPr>
              <w:t>5</w:t>
            </w:r>
            <w:r w:rsidR="006B6552" w:rsidRPr="006B6552">
              <w:rPr>
                <w:lang w:val="en-GB"/>
              </w:rPr>
              <w:t>×10</w:t>
            </w:r>
            <w:r w:rsidR="006B6552" w:rsidRPr="006B6552">
              <w:rPr>
                <w:vertAlign w:val="superscript"/>
                <w:lang w:val="en-GB"/>
              </w:rPr>
              <w:t>−3</w:t>
            </w:r>
          </w:p>
        </w:tc>
        <w:tc>
          <w:tcPr>
            <w:tcW w:w="0" w:type="auto"/>
            <w:shd w:val="clear" w:color="auto" w:fill="auto"/>
            <w:vAlign w:val="bottom"/>
            <w:hideMark/>
          </w:tcPr>
          <w:p w14:paraId="42AD5631" w14:textId="77777777" w:rsidR="006B6552" w:rsidRPr="006B6552" w:rsidRDefault="006B6552" w:rsidP="006B6552">
            <w:pPr>
              <w:pStyle w:val="Els-body-text"/>
              <w:rPr>
                <w:lang w:val="en-GB"/>
              </w:rPr>
            </w:pPr>
            <w:r w:rsidRPr="006B6552">
              <w:rPr>
                <w:lang w:val="en-GB"/>
              </w:rPr>
              <w:t>Entropy term coefficient in loss calculation</w:t>
            </w:r>
          </w:p>
        </w:tc>
      </w:tr>
      <w:tr w:rsidR="006B6552" w:rsidRPr="006B6552" w14:paraId="512517A4" w14:textId="77777777" w:rsidTr="00343C9F">
        <w:trPr>
          <w:trHeight w:val="220"/>
        </w:trPr>
        <w:tc>
          <w:tcPr>
            <w:tcW w:w="0" w:type="auto"/>
            <w:shd w:val="clear" w:color="auto" w:fill="auto"/>
            <w:vAlign w:val="bottom"/>
            <w:hideMark/>
          </w:tcPr>
          <w:p w14:paraId="6F54815B" w14:textId="77777777" w:rsidR="006B6552" w:rsidRPr="006B6552" w:rsidRDefault="006B6552" w:rsidP="006B6552">
            <w:pPr>
              <w:pStyle w:val="Els-body-text"/>
              <w:rPr>
                <w:lang w:val="en-GB"/>
              </w:rPr>
            </w:pPr>
            <w:proofErr w:type="spellStart"/>
            <w:r w:rsidRPr="006B6552">
              <w:rPr>
                <w:lang w:val="en-GB"/>
              </w:rPr>
              <w:t>batch_size</w:t>
            </w:r>
            <w:proofErr w:type="spellEnd"/>
          </w:p>
        </w:tc>
        <w:tc>
          <w:tcPr>
            <w:tcW w:w="0" w:type="auto"/>
            <w:shd w:val="clear" w:color="auto" w:fill="auto"/>
            <w:vAlign w:val="bottom"/>
            <w:hideMark/>
          </w:tcPr>
          <w:p w14:paraId="17F37F4A" w14:textId="77777777" w:rsidR="006B6552" w:rsidRPr="006B6552" w:rsidRDefault="006B6552" w:rsidP="006B6552">
            <w:pPr>
              <w:pStyle w:val="Els-body-text"/>
              <w:rPr>
                <w:lang w:val="en-GB"/>
              </w:rPr>
            </w:pPr>
            <w:r w:rsidRPr="006B6552">
              <w:rPr>
                <w:lang w:val="en-GB"/>
              </w:rPr>
              <w:t>240</w:t>
            </w:r>
          </w:p>
        </w:tc>
        <w:tc>
          <w:tcPr>
            <w:tcW w:w="0" w:type="auto"/>
            <w:shd w:val="clear" w:color="auto" w:fill="auto"/>
            <w:vAlign w:val="bottom"/>
            <w:hideMark/>
          </w:tcPr>
          <w:p w14:paraId="7366FDD7" w14:textId="77777777" w:rsidR="006B6552" w:rsidRPr="006B6552" w:rsidRDefault="006B6552" w:rsidP="006B6552">
            <w:pPr>
              <w:pStyle w:val="Els-body-text"/>
              <w:rPr>
                <w:lang w:val="en-GB"/>
              </w:rPr>
            </w:pPr>
            <w:r w:rsidRPr="006B6552">
              <w:rPr>
                <w:lang w:val="en-GB"/>
              </w:rPr>
              <w:t>Batch size for gradient updates</w:t>
            </w:r>
          </w:p>
        </w:tc>
      </w:tr>
      <w:tr w:rsidR="006B6552" w:rsidRPr="006B6552" w14:paraId="38F76300" w14:textId="77777777" w:rsidTr="00343C9F">
        <w:trPr>
          <w:trHeight w:val="220"/>
        </w:trPr>
        <w:tc>
          <w:tcPr>
            <w:tcW w:w="0" w:type="auto"/>
            <w:shd w:val="clear" w:color="auto" w:fill="auto"/>
            <w:vAlign w:val="bottom"/>
            <w:hideMark/>
          </w:tcPr>
          <w:p w14:paraId="1708D635" w14:textId="77777777" w:rsidR="006B6552" w:rsidRPr="006B6552" w:rsidRDefault="006B6552" w:rsidP="006B6552">
            <w:pPr>
              <w:pStyle w:val="Els-body-text"/>
              <w:rPr>
                <w:lang w:val="en-GB"/>
              </w:rPr>
            </w:pPr>
            <w:proofErr w:type="spellStart"/>
            <w:r w:rsidRPr="006B6552">
              <w:rPr>
                <w:lang w:val="en-GB"/>
              </w:rPr>
              <w:t>n_steps</w:t>
            </w:r>
            <w:proofErr w:type="spellEnd"/>
          </w:p>
        </w:tc>
        <w:tc>
          <w:tcPr>
            <w:tcW w:w="0" w:type="auto"/>
            <w:shd w:val="clear" w:color="auto" w:fill="auto"/>
            <w:vAlign w:val="bottom"/>
            <w:hideMark/>
          </w:tcPr>
          <w:p w14:paraId="490E6ABF" w14:textId="77777777" w:rsidR="006B6552" w:rsidRPr="006B6552" w:rsidRDefault="006B6552" w:rsidP="006B6552">
            <w:pPr>
              <w:pStyle w:val="Els-body-text"/>
              <w:rPr>
                <w:lang w:val="en-GB"/>
              </w:rPr>
            </w:pPr>
            <w:r w:rsidRPr="006B6552">
              <w:rPr>
                <w:lang w:val="en-GB"/>
              </w:rPr>
              <w:t>480</w:t>
            </w:r>
          </w:p>
        </w:tc>
        <w:tc>
          <w:tcPr>
            <w:tcW w:w="0" w:type="auto"/>
            <w:shd w:val="clear" w:color="auto" w:fill="auto"/>
            <w:vAlign w:val="bottom"/>
            <w:hideMark/>
          </w:tcPr>
          <w:p w14:paraId="492203C4" w14:textId="77777777" w:rsidR="006B6552" w:rsidRPr="006B6552" w:rsidRDefault="006B6552" w:rsidP="006B6552">
            <w:pPr>
              <w:pStyle w:val="Els-body-text"/>
              <w:rPr>
                <w:lang w:val="en-GB"/>
              </w:rPr>
            </w:pPr>
            <w:r w:rsidRPr="006B6552">
              <w:rPr>
                <w:lang w:val="en-GB"/>
              </w:rPr>
              <w:t>Steps collected before each update</w:t>
            </w:r>
          </w:p>
        </w:tc>
      </w:tr>
      <w:tr w:rsidR="006B6552" w:rsidRPr="006B6552" w14:paraId="3F45ED09" w14:textId="77777777" w:rsidTr="00D061DE">
        <w:trPr>
          <w:trHeight w:val="220"/>
        </w:trPr>
        <w:tc>
          <w:tcPr>
            <w:tcW w:w="0" w:type="auto"/>
            <w:shd w:val="clear" w:color="auto" w:fill="auto"/>
            <w:vAlign w:val="bottom"/>
            <w:hideMark/>
          </w:tcPr>
          <w:p w14:paraId="059DC6F4" w14:textId="62DCCFD1" w:rsidR="006B6552" w:rsidRPr="006B6552" w:rsidRDefault="006B6552" w:rsidP="006B6552">
            <w:pPr>
              <w:pStyle w:val="Els-body-text"/>
              <w:rPr>
                <w:lang w:val="en-GB"/>
              </w:rPr>
            </w:pPr>
            <w:proofErr w:type="spellStart"/>
            <w:r w:rsidRPr="006B6552">
              <w:rPr>
                <w:lang w:val="en-GB"/>
              </w:rPr>
              <w:t>n</w:t>
            </w:r>
            <w:r w:rsidR="00283D47">
              <w:rPr>
                <w:lang w:val="en-GB"/>
              </w:rPr>
              <w:t>_</w:t>
            </w:r>
            <w:r w:rsidRPr="006B6552">
              <w:rPr>
                <w:lang w:val="en-GB"/>
              </w:rPr>
              <w:t>epochs</w:t>
            </w:r>
            <w:proofErr w:type="spellEnd"/>
          </w:p>
        </w:tc>
        <w:tc>
          <w:tcPr>
            <w:tcW w:w="0" w:type="auto"/>
            <w:shd w:val="clear" w:color="auto" w:fill="auto"/>
            <w:vAlign w:val="bottom"/>
            <w:hideMark/>
          </w:tcPr>
          <w:p w14:paraId="10E62ADA" w14:textId="77777777" w:rsidR="006B6552" w:rsidRPr="006B6552" w:rsidRDefault="006B6552" w:rsidP="006B6552">
            <w:pPr>
              <w:pStyle w:val="Els-body-text"/>
              <w:rPr>
                <w:lang w:val="en-GB"/>
              </w:rPr>
            </w:pPr>
            <w:r w:rsidRPr="006B6552">
              <w:rPr>
                <w:lang w:val="en-GB"/>
              </w:rPr>
              <w:t>10</w:t>
            </w:r>
          </w:p>
        </w:tc>
        <w:tc>
          <w:tcPr>
            <w:tcW w:w="0" w:type="auto"/>
            <w:shd w:val="clear" w:color="auto" w:fill="auto"/>
            <w:vAlign w:val="bottom"/>
            <w:hideMark/>
          </w:tcPr>
          <w:p w14:paraId="6906A71D" w14:textId="77777777" w:rsidR="006B6552" w:rsidRPr="006B6552" w:rsidRDefault="006B6552" w:rsidP="006B6552">
            <w:pPr>
              <w:pStyle w:val="Els-body-text"/>
              <w:rPr>
                <w:lang w:val="en-GB"/>
              </w:rPr>
            </w:pPr>
            <w:r w:rsidRPr="006B6552">
              <w:rPr>
                <w:lang w:val="en-GB"/>
              </w:rPr>
              <w:t>Number of passes over each batch of steps</w:t>
            </w:r>
          </w:p>
        </w:tc>
      </w:tr>
      <w:tr w:rsidR="006B6552" w:rsidRPr="006B6552" w14:paraId="29C53DF0" w14:textId="77777777" w:rsidTr="00D061DE">
        <w:trPr>
          <w:trHeight w:val="220"/>
        </w:trPr>
        <w:tc>
          <w:tcPr>
            <w:tcW w:w="0" w:type="auto"/>
            <w:tcBorders>
              <w:bottom w:val="single" w:sz="4" w:space="0" w:color="auto"/>
            </w:tcBorders>
            <w:shd w:val="clear" w:color="auto" w:fill="auto"/>
            <w:vAlign w:val="bottom"/>
            <w:hideMark/>
          </w:tcPr>
          <w:p w14:paraId="78A34284" w14:textId="77777777" w:rsidR="006B6552" w:rsidRPr="006B6552" w:rsidRDefault="006B6552" w:rsidP="006B6552">
            <w:pPr>
              <w:pStyle w:val="Els-body-text"/>
              <w:rPr>
                <w:lang w:val="en-GB"/>
              </w:rPr>
            </w:pPr>
            <w:r w:rsidRPr="006B6552">
              <w:rPr>
                <w:lang w:val="en-GB"/>
              </w:rPr>
              <w:t>seed</w:t>
            </w:r>
          </w:p>
        </w:tc>
        <w:tc>
          <w:tcPr>
            <w:tcW w:w="0" w:type="auto"/>
            <w:tcBorders>
              <w:bottom w:val="single" w:sz="4" w:space="0" w:color="auto"/>
            </w:tcBorders>
            <w:shd w:val="clear" w:color="auto" w:fill="auto"/>
            <w:vAlign w:val="bottom"/>
            <w:hideMark/>
          </w:tcPr>
          <w:p w14:paraId="2A3BB066" w14:textId="77777777" w:rsidR="006B6552" w:rsidRPr="006B6552" w:rsidRDefault="006B6552" w:rsidP="006B6552">
            <w:pPr>
              <w:pStyle w:val="Els-body-text"/>
              <w:rPr>
                <w:lang w:val="en-GB"/>
              </w:rPr>
            </w:pPr>
            <w:r w:rsidRPr="006B6552">
              <w:rPr>
                <w:lang w:val="en-GB"/>
              </w:rPr>
              <w:t>1990</w:t>
            </w:r>
          </w:p>
        </w:tc>
        <w:tc>
          <w:tcPr>
            <w:tcW w:w="0" w:type="auto"/>
            <w:tcBorders>
              <w:bottom w:val="single" w:sz="4" w:space="0" w:color="auto"/>
            </w:tcBorders>
            <w:shd w:val="clear" w:color="auto" w:fill="auto"/>
            <w:vAlign w:val="bottom"/>
            <w:hideMark/>
          </w:tcPr>
          <w:p w14:paraId="4EEB0901" w14:textId="77777777" w:rsidR="006B6552" w:rsidRPr="006B6552" w:rsidRDefault="006B6552" w:rsidP="006B6552">
            <w:pPr>
              <w:pStyle w:val="Els-body-text"/>
              <w:rPr>
                <w:lang w:val="en-GB"/>
              </w:rPr>
            </w:pPr>
            <w:r w:rsidRPr="006B6552">
              <w:rPr>
                <w:lang w:val="en-GB"/>
              </w:rPr>
              <w:t>Seed for random number generation</w:t>
            </w:r>
          </w:p>
        </w:tc>
      </w:tr>
    </w:tbl>
    <w:p w14:paraId="70E5AEEF" w14:textId="1F18D834" w:rsidR="006B6552" w:rsidRDefault="006B6552" w:rsidP="0001264C">
      <w:pPr>
        <w:pStyle w:val="Els-body-text"/>
      </w:pPr>
    </w:p>
    <w:p w14:paraId="74713A6B" w14:textId="6B5955F9" w:rsidR="00457362" w:rsidRDefault="00CB63ED" w:rsidP="00FB12EE">
      <w:pPr>
        <w:pStyle w:val="Els-body-text"/>
      </w:pPr>
      <w:r w:rsidRPr="00CB63ED">
        <w:t xml:space="preserve">The </w:t>
      </w:r>
      <w:r w:rsidR="00D9009B" w:rsidRPr="00CF0167">
        <w:t xml:space="preserve">neural network architecture for </w:t>
      </w:r>
      <w:r w:rsidR="00D9009B">
        <w:t>the</w:t>
      </w:r>
      <w:r w:rsidR="00D9009B" w:rsidRPr="00CF0167">
        <w:t xml:space="preserve"> PPO model</w:t>
      </w:r>
      <w:r w:rsidRPr="00CB63ED">
        <w:t xml:space="preserve"> was determined through a heuristic</w:t>
      </w:r>
      <w:r w:rsidR="00D9009B">
        <w:t xml:space="preserve"> exploratory </w:t>
      </w:r>
      <w:r w:rsidRPr="00CB63ED">
        <w:t>process</w:t>
      </w:r>
      <w:r w:rsidR="005F228F">
        <w:t>, similar to Lee (2020)</w:t>
      </w:r>
      <w:r w:rsidRPr="00CB63ED">
        <w:t>. Initially, a range of neural network structures and activation functions were trialed, leading to the selection of the Mish activation function</w:t>
      </w:r>
      <w:r w:rsidR="004836B0">
        <w:t xml:space="preserve"> (</w:t>
      </w:r>
      <w:proofErr w:type="spellStart"/>
      <w:r w:rsidR="004836B0" w:rsidRPr="00CB63ED">
        <w:t>Misra</w:t>
      </w:r>
      <w:proofErr w:type="spellEnd"/>
      <w:r w:rsidR="004836B0" w:rsidRPr="00CB63ED">
        <w:t xml:space="preserve"> 20</w:t>
      </w:r>
      <w:r w:rsidR="004836B0">
        <w:t xml:space="preserve">20), </w:t>
      </w:r>
      <w:r w:rsidR="004836B0" w:rsidRPr="004836B0">
        <w:t>defined as f</w:t>
      </w:r>
      <m:oMath>
        <m:r>
          <w:rPr>
            <w:rFonts w:ascii="Cambria Math" w:hAnsi="Cambria Math"/>
          </w:rPr>
          <m:t xml:space="preserve">(x) = x </m:t>
        </m:r>
        <m:r>
          <m:rPr>
            <m:sty m:val="p"/>
          </m:rPr>
          <w:rPr>
            <w:rFonts w:ascii="Cambria Math" w:hAnsi="Cambria Math"/>
          </w:rPr>
          <m:t>tanh</m:t>
        </m:r>
        <m:r>
          <w:rPr>
            <w:rFonts w:ascii="Cambria Math" w:hAnsi="Cambria Math"/>
          </w:rPr>
          <m:t>(softplus(x))</m:t>
        </m:r>
      </m:oMath>
      <w:r w:rsidR="004836B0" w:rsidRPr="004836B0">
        <w:t xml:space="preserve">, where </w:t>
      </w:r>
      <m:oMath>
        <m:r>
          <w:rPr>
            <w:rFonts w:ascii="Cambria Math" w:hAnsi="Cambria Math"/>
          </w:rPr>
          <m:t>softplus(x)</m:t>
        </m:r>
      </m:oMath>
      <w:r w:rsidR="004836B0" w:rsidRPr="004836B0">
        <w:t xml:space="preserve"> is </w:t>
      </w:r>
      <m:oMath>
        <m:r>
          <w:rPr>
            <w:rFonts w:ascii="Cambria Math" w:hAnsi="Cambria Math"/>
          </w:rPr>
          <m:t>log(1 + exp(x))</m:t>
        </m:r>
      </m:oMath>
      <w:r w:rsidR="004836B0">
        <w:t>. Mish was selected</w:t>
      </w:r>
      <w:r w:rsidRPr="00CB63ED">
        <w:t xml:space="preserve"> for its stability and superior performance metrics, </w:t>
      </w:r>
      <w:r w:rsidR="00D9009B">
        <w:t xml:space="preserve">trained using the </w:t>
      </w:r>
      <w:r w:rsidR="00D9009B" w:rsidRPr="00FB12EE">
        <w:t>Adam optimizer</w:t>
      </w:r>
      <w:r w:rsidRPr="00CB63ED">
        <w:t xml:space="preserve">. The final architecture, featuring two fully connected layers with </w:t>
      </w:r>
      <w:r w:rsidR="00D61620">
        <w:t>16</w:t>
      </w:r>
      <w:r w:rsidRPr="00CB63ED">
        <w:t xml:space="preserve"> neurons each for both </w:t>
      </w:r>
      <w:r w:rsidR="00D9009B" w:rsidRPr="00CF0167">
        <w:t xml:space="preserve">policy (actor) </w:t>
      </w:r>
      <w:r w:rsidR="00D9009B" w:rsidRPr="00CB63ED">
        <w:t>and</w:t>
      </w:r>
      <w:r w:rsidRPr="00CB63ED">
        <w:t xml:space="preserve"> </w:t>
      </w:r>
      <w:r w:rsidR="00D9009B" w:rsidRPr="00CF0167">
        <w:t xml:space="preserve">value (critic) </w:t>
      </w:r>
      <w:r w:rsidRPr="00CB63ED">
        <w:t>networks, was chosen for its simplicity and computational efficiency. The architecture's effectiveness was validated in deterministic policy evaluations, prioritizing average reward and episode mean length as key performance metrics.</w:t>
      </w:r>
    </w:p>
    <w:p w14:paraId="20E330BF" w14:textId="66C64E96" w:rsidR="008D2649" w:rsidRDefault="0063353D" w:rsidP="0063353D">
      <w:pPr>
        <w:pStyle w:val="Els-2ndorder-head"/>
      </w:pPr>
      <w:r>
        <w:t>C</w:t>
      </w:r>
      <w:r w:rsidR="00C12F0A">
        <w:t>ase Study</w:t>
      </w:r>
    </w:p>
    <w:p w14:paraId="63798251" w14:textId="6ADD0A8E" w:rsidR="00457362" w:rsidRPr="00457362" w:rsidRDefault="002B4746" w:rsidP="00806547">
      <w:pPr>
        <w:pStyle w:val="Els-body-text"/>
      </w:pPr>
      <w:r>
        <w:t>The study's slugging process control environment was developed using the Gym toolkit (Brockman</w:t>
      </w:r>
      <w:r w:rsidR="005052EA">
        <w:t xml:space="preserve"> et al.</w:t>
      </w:r>
      <w:r>
        <w:t>, 2016</w:t>
      </w:r>
      <w:r w:rsidR="0019429E">
        <w:t>).</w:t>
      </w:r>
      <w:r>
        <w:t xml:space="preserve"> The </w:t>
      </w:r>
      <w:r w:rsidR="00457362">
        <w:t>p</w:t>
      </w:r>
      <w:r w:rsidR="00E559FE">
        <w:t xml:space="preserve">ermanent </w:t>
      </w:r>
      <w:r w:rsidR="00457362">
        <w:t>d</w:t>
      </w:r>
      <w:r>
        <w:t xml:space="preserve">ownhole </w:t>
      </w:r>
      <w:r w:rsidR="00457362">
        <w:t>g</w:t>
      </w:r>
      <w:r>
        <w:t>auge pressure (PDG) was selected as the controlled variable for its precision in capturing well dynamics and its direct impact on production rates. A lower PDG is typically associated with higher production, due to the increased pressure differential with the reservoir.</w:t>
      </w:r>
      <w:r w:rsidR="0019429E">
        <w:t xml:space="preserve"> </w:t>
      </w:r>
      <w:r w:rsidR="000C661F" w:rsidRPr="000C661F">
        <w:t xml:space="preserve">The choke valve position </w:t>
      </w:r>
      <m:oMath>
        <m:r>
          <w:rPr>
            <w:rFonts w:ascii="Cambria Math" w:hAnsi="Cambria Math"/>
          </w:rPr>
          <m:t>(z)</m:t>
        </m:r>
      </m:oMath>
      <w:r w:rsidR="000C661F" w:rsidRPr="000C661F">
        <w:t xml:space="preserve"> and the gas lift flow rate </w:t>
      </w:r>
      <m:oMath>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gc</m:t>
                </m:r>
              </m:sub>
            </m:sSub>
          </m:e>
        </m:d>
      </m:oMath>
      <w:r w:rsidR="000C661F">
        <w:t xml:space="preserve"> w</w:t>
      </w:r>
      <w:r w:rsidR="000C661F" w:rsidRPr="000C661F">
        <w:t>ere selected as manipulated variables. The choke valve adjusts the well's output, while the gas lift enhances oil recovery by lightening the fluid column in the well.</w:t>
      </w:r>
      <w:r w:rsidR="00A85389">
        <w:t xml:space="preserve"> </w:t>
      </w:r>
      <w:r w:rsidR="000C661F" w:rsidRPr="000C661F">
        <w:t xml:space="preserve">The observation space consists of a set of variables critical for assessing the </w:t>
      </w:r>
      <w:r w:rsidR="006258D7">
        <w:t>well’s states</w:t>
      </w:r>
      <w:r w:rsidR="000C661F" w:rsidRPr="000C661F">
        <w:t xml:space="preserve"> (Table </w:t>
      </w:r>
      <w:r w:rsidR="00DD6379">
        <w:t>2</w:t>
      </w:r>
      <w:r w:rsidR="000C661F" w:rsidRPr="000C661F">
        <w:t>)</w:t>
      </w:r>
      <w:r w:rsidR="00457362">
        <w:t>.</w:t>
      </w:r>
    </w:p>
    <w:p w14:paraId="1EE5B411" w14:textId="4D52AB4D" w:rsidR="00093A0B" w:rsidRDefault="00093A0B" w:rsidP="000C661F">
      <w:pPr>
        <w:pStyle w:val="Didascalia"/>
        <w:keepNext/>
      </w:pPr>
      <w:r>
        <w:t xml:space="preserve">Table </w:t>
      </w:r>
      <w:r>
        <w:fldChar w:fldCharType="begin"/>
      </w:r>
      <w:r>
        <w:instrText xml:space="preserve"> SEQ Table \* ARABIC </w:instrText>
      </w:r>
      <w:r>
        <w:fldChar w:fldCharType="separate"/>
      </w:r>
      <w:r w:rsidR="00DD6379">
        <w:rPr>
          <w:noProof/>
        </w:rPr>
        <w:t>2</w:t>
      </w:r>
      <w:r>
        <w:fldChar w:fldCharType="end"/>
      </w:r>
      <w:r>
        <w:t>: Observation Space</w:t>
      </w:r>
    </w:p>
    <w:tbl>
      <w:tblPr>
        <w:tblStyle w:val="Grigliatabella"/>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6060"/>
      </w:tblGrid>
      <w:tr w:rsidR="00974BB1" w14:paraId="058D2A87" w14:textId="77777777" w:rsidTr="00093A0B">
        <w:tc>
          <w:tcPr>
            <w:tcW w:w="1027" w:type="dxa"/>
            <w:tcBorders>
              <w:top w:val="single" w:sz="4" w:space="0" w:color="auto"/>
              <w:bottom w:val="single" w:sz="4" w:space="0" w:color="auto"/>
            </w:tcBorders>
          </w:tcPr>
          <w:p w14:paraId="299D8F9C" w14:textId="10CCA1DB" w:rsidR="00974BB1" w:rsidRDefault="00974BB1" w:rsidP="002B4746">
            <w:pPr>
              <w:pStyle w:val="Els-body-text"/>
            </w:pPr>
            <w:r>
              <w:t>Parameter</w:t>
            </w:r>
          </w:p>
        </w:tc>
        <w:tc>
          <w:tcPr>
            <w:tcW w:w="6060" w:type="dxa"/>
            <w:tcBorders>
              <w:top w:val="single" w:sz="4" w:space="0" w:color="auto"/>
              <w:bottom w:val="single" w:sz="4" w:space="0" w:color="auto"/>
            </w:tcBorders>
          </w:tcPr>
          <w:p w14:paraId="1C9B1BFB" w14:textId="02872DB7" w:rsidR="00974BB1" w:rsidRDefault="00974BB1" w:rsidP="002B4746">
            <w:pPr>
              <w:pStyle w:val="Els-body-text"/>
            </w:pPr>
            <w:r>
              <w:t>Definition</w:t>
            </w:r>
          </w:p>
        </w:tc>
      </w:tr>
      <w:tr w:rsidR="00974BB1" w14:paraId="152F4F4E" w14:textId="77777777" w:rsidTr="009C626B">
        <w:tc>
          <w:tcPr>
            <w:tcW w:w="1027" w:type="dxa"/>
            <w:tcBorders>
              <w:top w:val="single" w:sz="4" w:space="0" w:color="auto"/>
            </w:tcBorders>
            <w:vAlign w:val="center"/>
          </w:tcPr>
          <w:p w14:paraId="13A53551" w14:textId="3CF89FC3" w:rsidR="00974BB1" w:rsidRPr="009C626B" w:rsidRDefault="003C0CB4" w:rsidP="009C626B">
            <w:pPr>
              <w:pStyle w:val="Els-body-text"/>
              <w:jc w:val="left"/>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rt</m:t>
                    </m:r>
                  </m:sub>
                </m:sSub>
              </m:oMath>
            </m:oMathPara>
          </w:p>
        </w:tc>
        <w:tc>
          <w:tcPr>
            <w:tcW w:w="6060" w:type="dxa"/>
            <w:tcBorders>
              <w:top w:val="single" w:sz="4" w:space="0" w:color="auto"/>
            </w:tcBorders>
            <w:vAlign w:val="center"/>
          </w:tcPr>
          <w:p w14:paraId="43FB27B6" w14:textId="2B121C9C" w:rsidR="00974BB1" w:rsidRDefault="00974BB1" w:rsidP="009C626B">
            <w:pPr>
              <w:pStyle w:val="Els-body-text"/>
              <w:jc w:val="left"/>
            </w:pPr>
            <w:r>
              <w:t xml:space="preserve">The pressure at the top region of the </w:t>
            </w:r>
            <w:r w:rsidR="00ED682B">
              <w:t>riser</w:t>
            </w:r>
          </w:p>
        </w:tc>
      </w:tr>
      <w:tr w:rsidR="00974BB1" w14:paraId="35E24626" w14:textId="77777777" w:rsidTr="009C626B">
        <w:tc>
          <w:tcPr>
            <w:tcW w:w="1027" w:type="dxa"/>
            <w:vAlign w:val="center"/>
          </w:tcPr>
          <w:p w14:paraId="5302232D" w14:textId="290F493B" w:rsidR="00974BB1" w:rsidRPr="009C626B" w:rsidRDefault="003C0CB4" w:rsidP="009C626B">
            <w:pPr>
              <w:pStyle w:val="Els-body-text"/>
              <w:jc w:val="left"/>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rb</m:t>
                    </m:r>
                  </m:sub>
                </m:sSub>
              </m:oMath>
            </m:oMathPara>
          </w:p>
        </w:tc>
        <w:tc>
          <w:tcPr>
            <w:tcW w:w="6060" w:type="dxa"/>
            <w:vAlign w:val="center"/>
          </w:tcPr>
          <w:p w14:paraId="140C45E6" w14:textId="3E0546E5" w:rsidR="00974BB1" w:rsidRDefault="00974BB1" w:rsidP="009C626B">
            <w:pPr>
              <w:pStyle w:val="Els-body-text"/>
              <w:jc w:val="left"/>
            </w:pPr>
            <w:r>
              <w:t xml:space="preserve">The pressure at the </w:t>
            </w:r>
            <w:r w:rsidR="00ED682B">
              <w:t xml:space="preserve">flowline before </w:t>
            </w:r>
            <w:r>
              <w:t xml:space="preserve">the </w:t>
            </w:r>
            <w:r w:rsidR="00ED682B">
              <w:t>bubble</w:t>
            </w:r>
          </w:p>
        </w:tc>
      </w:tr>
      <w:tr w:rsidR="00974BB1" w14:paraId="3A54F321" w14:textId="77777777" w:rsidTr="009C626B">
        <w:tc>
          <w:tcPr>
            <w:tcW w:w="1027" w:type="dxa"/>
            <w:vAlign w:val="center"/>
          </w:tcPr>
          <w:p w14:paraId="44A9DF1E" w14:textId="65B42892" w:rsidR="00974BB1" w:rsidRPr="009C626B" w:rsidRDefault="003C0CB4" w:rsidP="009C626B">
            <w:pPr>
              <w:pStyle w:val="Els-body-text"/>
              <w:jc w:val="left"/>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pdg</m:t>
                    </m:r>
                  </m:sub>
                </m:sSub>
              </m:oMath>
            </m:oMathPara>
          </w:p>
        </w:tc>
        <w:tc>
          <w:tcPr>
            <w:tcW w:w="6060" w:type="dxa"/>
            <w:vAlign w:val="center"/>
          </w:tcPr>
          <w:p w14:paraId="43E16E65" w14:textId="6B7D9030" w:rsidR="00974BB1" w:rsidRDefault="00974BB1" w:rsidP="009C626B">
            <w:pPr>
              <w:pStyle w:val="Els-body-text"/>
              <w:jc w:val="left"/>
            </w:pPr>
            <w:r>
              <w:t>The controlled pressure at PDG</w:t>
            </w:r>
          </w:p>
        </w:tc>
      </w:tr>
      <w:tr w:rsidR="00974BB1" w14:paraId="37CAB9E1" w14:textId="77777777" w:rsidTr="009C626B">
        <w:tc>
          <w:tcPr>
            <w:tcW w:w="1027" w:type="dxa"/>
            <w:vAlign w:val="center"/>
          </w:tcPr>
          <w:p w14:paraId="68001C0B" w14:textId="785FD7B0" w:rsidR="00974BB1" w:rsidRPr="009C626B" w:rsidRDefault="003C0CB4" w:rsidP="009C626B">
            <w:pPr>
              <w:pStyle w:val="Els-body-text"/>
              <w:jc w:val="left"/>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tt</m:t>
                    </m:r>
                  </m:sub>
                </m:sSub>
              </m:oMath>
            </m:oMathPara>
          </w:p>
        </w:tc>
        <w:tc>
          <w:tcPr>
            <w:tcW w:w="6060" w:type="dxa"/>
            <w:vAlign w:val="center"/>
          </w:tcPr>
          <w:p w14:paraId="6740B0C7" w14:textId="4B1168D7" w:rsidR="00974BB1" w:rsidRDefault="00974BB1" w:rsidP="009C626B">
            <w:pPr>
              <w:pStyle w:val="Els-body-text"/>
              <w:jc w:val="left"/>
            </w:pPr>
            <w:r>
              <w:t>The pressure at the top of the tube</w:t>
            </w:r>
          </w:p>
        </w:tc>
      </w:tr>
      <w:tr w:rsidR="00974BB1" w14:paraId="1C7B38EA" w14:textId="77777777" w:rsidTr="009C626B">
        <w:tc>
          <w:tcPr>
            <w:tcW w:w="1027" w:type="dxa"/>
            <w:vAlign w:val="center"/>
          </w:tcPr>
          <w:p w14:paraId="7749C2AE" w14:textId="611C3390" w:rsidR="00974BB1" w:rsidRPr="009C626B" w:rsidRDefault="003C0CB4" w:rsidP="009C626B">
            <w:pPr>
              <w:pStyle w:val="Els-body-text"/>
              <w:jc w:val="left"/>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tb</m:t>
                    </m:r>
                  </m:sub>
                </m:sSub>
              </m:oMath>
            </m:oMathPara>
          </w:p>
        </w:tc>
        <w:tc>
          <w:tcPr>
            <w:tcW w:w="6060" w:type="dxa"/>
            <w:vAlign w:val="center"/>
          </w:tcPr>
          <w:p w14:paraId="63BE7429" w14:textId="75EFCD0E" w:rsidR="00974BB1" w:rsidRDefault="00974BB1" w:rsidP="009C626B">
            <w:pPr>
              <w:pStyle w:val="Els-body-text"/>
              <w:jc w:val="left"/>
            </w:pPr>
            <w:r>
              <w:t>The pressure at the bottom of the tube</w:t>
            </w:r>
          </w:p>
        </w:tc>
      </w:tr>
      <w:tr w:rsidR="00974BB1" w14:paraId="58E8854A" w14:textId="77777777" w:rsidTr="009C626B">
        <w:tc>
          <w:tcPr>
            <w:tcW w:w="1027" w:type="dxa"/>
            <w:vAlign w:val="center"/>
          </w:tcPr>
          <w:p w14:paraId="3E4331B0" w14:textId="73FF0CDD" w:rsidR="00974BB1" w:rsidRPr="009C626B" w:rsidRDefault="003C0CB4" w:rsidP="009C626B">
            <w:pPr>
              <w:pStyle w:val="Els-body-text"/>
              <w:jc w:val="left"/>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bh</m:t>
                    </m:r>
                  </m:sub>
                </m:sSub>
              </m:oMath>
            </m:oMathPara>
          </w:p>
        </w:tc>
        <w:tc>
          <w:tcPr>
            <w:tcW w:w="6060" w:type="dxa"/>
            <w:vAlign w:val="center"/>
          </w:tcPr>
          <w:p w14:paraId="32D60E1F" w14:textId="0B9A80D5" w:rsidR="00974BB1" w:rsidRDefault="00974BB1" w:rsidP="009C626B">
            <w:pPr>
              <w:pStyle w:val="Els-body-text"/>
              <w:jc w:val="left"/>
            </w:pPr>
            <w:r>
              <w:t>The pressure at the base of the well</w:t>
            </w:r>
          </w:p>
        </w:tc>
      </w:tr>
      <w:tr w:rsidR="00974BB1" w14:paraId="2BBC5A7A" w14:textId="77777777" w:rsidTr="009C626B">
        <w:tc>
          <w:tcPr>
            <w:tcW w:w="1027" w:type="dxa"/>
            <w:vAlign w:val="center"/>
          </w:tcPr>
          <w:p w14:paraId="6B4E5367" w14:textId="5892CB0A" w:rsidR="00974BB1" w:rsidRPr="009C626B" w:rsidRDefault="003C0CB4" w:rsidP="009C626B">
            <w:pPr>
              <w:pStyle w:val="Els-body-text"/>
              <w:jc w:val="left"/>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lout</m:t>
                    </m:r>
                  </m:sub>
                </m:sSub>
              </m:oMath>
            </m:oMathPara>
          </w:p>
        </w:tc>
        <w:tc>
          <w:tcPr>
            <w:tcW w:w="6060" w:type="dxa"/>
            <w:vAlign w:val="center"/>
          </w:tcPr>
          <w:p w14:paraId="36E2895C" w14:textId="414D30D6" w:rsidR="00974BB1" w:rsidRDefault="00974BB1" w:rsidP="009C626B">
            <w:pPr>
              <w:pStyle w:val="Els-body-text"/>
              <w:jc w:val="left"/>
            </w:pPr>
            <w:r>
              <w:t>The mass flow rate of the liquid exiting the system</w:t>
            </w:r>
          </w:p>
        </w:tc>
      </w:tr>
      <w:tr w:rsidR="00974BB1" w14:paraId="40B83EA2" w14:textId="77777777" w:rsidTr="009C626B">
        <w:tc>
          <w:tcPr>
            <w:tcW w:w="1027" w:type="dxa"/>
            <w:tcBorders>
              <w:bottom w:val="single" w:sz="4" w:space="0" w:color="auto"/>
            </w:tcBorders>
            <w:vAlign w:val="center"/>
          </w:tcPr>
          <w:p w14:paraId="2A404272" w14:textId="15455327" w:rsidR="00974BB1" w:rsidRPr="009C626B" w:rsidRDefault="003C0CB4" w:rsidP="009C626B">
            <w:pPr>
              <w:pStyle w:val="Els-body-text"/>
              <w:jc w:val="left"/>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gout</m:t>
                    </m:r>
                  </m:sub>
                </m:sSub>
              </m:oMath>
            </m:oMathPara>
          </w:p>
        </w:tc>
        <w:tc>
          <w:tcPr>
            <w:tcW w:w="6060" w:type="dxa"/>
            <w:tcBorders>
              <w:bottom w:val="single" w:sz="4" w:space="0" w:color="auto"/>
            </w:tcBorders>
            <w:vAlign w:val="center"/>
          </w:tcPr>
          <w:p w14:paraId="7E41E341" w14:textId="49576A31" w:rsidR="00974BB1" w:rsidRDefault="00974BB1" w:rsidP="009C626B">
            <w:pPr>
              <w:pStyle w:val="Els-body-text"/>
              <w:jc w:val="left"/>
            </w:pPr>
            <w:r>
              <w:t>The mass flow rate of the gas exiting the system</w:t>
            </w:r>
          </w:p>
        </w:tc>
      </w:tr>
    </w:tbl>
    <w:p w14:paraId="6F188571" w14:textId="77777777" w:rsidR="00A71DAE" w:rsidRDefault="00A71DAE" w:rsidP="00A71DAE">
      <w:pPr>
        <w:pStyle w:val="Els-body-text"/>
      </w:pPr>
    </w:p>
    <w:p w14:paraId="744F6176" w14:textId="5E38109D" w:rsidR="00A71DAE" w:rsidRDefault="00C51C19" w:rsidP="00A71DAE">
      <w:pPr>
        <w:pStyle w:val="Els-body-text"/>
      </w:pPr>
      <w:r>
        <w:t>The</w:t>
      </w:r>
      <w:r w:rsidR="00A71DAE">
        <w:t xml:space="preserve"> </w:t>
      </w:r>
      <w:r w:rsidR="00831493">
        <w:t>case study</w:t>
      </w:r>
      <w:r>
        <w:t xml:space="preserve"> was </w:t>
      </w:r>
      <w:r w:rsidR="00831493">
        <w:t>derived by</w:t>
      </w:r>
      <w:r w:rsidR="00A71DAE">
        <w:t xml:space="preserve"> data from a real-world oil and gas well, referred to as well A (Diehl</w:t>
      </w:r>
      <w:r w:rsidR="005052EA">
        <w:t xml:space="preserve"> et al.</w:t>
      </w:r>
      <w:r w:rsidR="00A71DAE">
        <w:t>, 2017)</w:t>
      </w:r>
      <w:r w:rsidR="007C2FD3">
        <w:t xml:space="preserve">, illustrated by Figure </w:t>
      </w:r>
      <w:r w:rsidR="00DD6379">
        <w:t>2</w:t>
      </w:r>
      <w:r w:rsidR="00A71DAE">
        <w:t xml:space="preserve">. This well was chosen for its stable limit cycles and controllable gas lift system, providing a rich dataset for </w:t>
      </w:r>
      <w:r>
        <w:t>DRL</w:t>
      </w:r>
      <w:r w:rsidR="00DB5F99">
        <w:t xml:space="preserve"> training.</w:t>
      </w:r>
    </w:p>
    <w:p w14:paraId="4EADEB69" w14:textId="77777777" w:rsidR="007C2FD3" w:rsidRDefault="007C2FD3" w:rsidP="00A71DAE">
      <w:pPr>
        <w:pStyle w:val="Els-body-text"/>
      </w:pPr>
    </w:p>
    <w:p w14:paraId="0650C68C" w14:textId="77777777" w:rsidR="00983132" w:rsidRDefault="00983132" w:rsidP="00831493">
      <w:pPr>
        <w:pStyle w:val="Els-body-text"/>
        <w:keepNext/>
        <w:jc w:val="center"/>
      </w:pPr>
      <w:r>
        <w:rPr>
          <w:noProof/>
        </w:rPr>
        <w:drawing>
          <wp:inline distT="0" distB="0" distL="0" distR="0" wp14:anchorId="0A648EC3" wp14:editId="4D678767">
            <wp:extent cx="1775816" cy="1440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5816" cy="1440000"/>
                    </a:xfrm>
                    <a:prstGeom prst="rect">
                      <a:avLst/>
                    </a:prstGeom>
                  </pic:spPr>
                </pic:pic>
              </a:graphicData>
            </a:graphic>
          </wp:inline>
        </w:drawing>
      </w:r>
    </w:p>
    <w:p w14:paraId="62CFAF86" w14:textId="62512DE2" w:rsidR="00E45B7F" w:rsidRDefault="00983132" w:rsidP="0000655E">
      <w:pPr>
        <w:pStyle w:val="Didascalia"/>
        <w:jc w:val="center"/>
      </w:pPr>
      <w:r>
        <w:t xml:space="preserve">Figure </w:t>
      </w:r>
      <w:r>
        <w:fldChar w:fldCharType="begin"/>
      </w:r>
      <w:r>
        <w:instrText xml:space="preserve"> SEQ Figure \* ARABIC </w:instrText>
      </w:r>
      <w:r>
        <w:fldChar w:fldCharType="separate"/>
      </w:r>
      <w:r w:rsidR="00CD2A0A">
        <w:rPr>
          <w:noProof/>
        </w:rPr>
        <w:t>2</w:t>
      </w:r>
      <w:r>
        <w:fldChar w:fldCharType="end"/>
      </w:r>
      <w:r>
        <w:t xml:space="preserve">: </w:t>
      </w:r>
      <w:r w:rsidRPr="00017C44">
        <w:t>Schematic representation of the case study: well A.</w:t>
      </w:r>
    </w:p>
    <w:p w14:paraId="7FF8F3D2" w14:textId="621FEE38" w:rsidR="00827348" w:rsidRDefault="007B21CD" w:rsidP="00827348">
      <w:pPr>
        <w:pStyle w:val="Els-body-text"/>
      </w:pPr>
      <w:r w:rsidRPr="008618D1">
        <w:t xml:space="preserve">In the control environment, </w:t>
      </w:r>
      <w:r w:rsidR="006651C8">
        <w:t>the</w:t>
      </w:r>
      <w:r>
        <w:t xml:space="preserve"> initial conditions were selected as </w:t>
      </w:r>
      <w:r w:rsidRPr="007B21CD">
        <w:t>conditions that could induce slug flow if</w:t>
      </w:r>
      <w:r>
        <w:t xml:space="preserve"> the system</w:t>
      </w:r>
      <w:r w:rsidR="0051607C">
        <w:t xml:space="preserve"> was</w:t>
      </w:r>
      <w:r w:rsidRPr="007B21CD">
        <w:t xml:space="preserve"> left uncontrolled</w:t>
      </w:r>
      <w:r>
        <w:t>.</w:t>
      </w:r>
      <w:r w:rsidRPr="008618D1">
        <w:t xml:space="preserve"> </w:t>
      </w:r>
      <w:r w:rsidR="00A85389">
        <w:t>A conservative control strategy, as suggested by Diehl et al. (2018), was adopted, allowing only minor adjustments at each</w:t>
      </w:r>
      <w:r w:rsidR="006651C8">
        <w:t xml:space="preserve"> </w:t>
      </w:r>
      <w:r w:rsidR="00A85389">
        <w:t xml:space="preserve">simulation step, </w:t>
      </w:r>
      <w:r w:rsidR="00A85389" w:rsidRPr="00C8787C">
        <w:t>of about ±0.</w:t>
      </w:r>
      <w:r w:rsidR="00A85389">
        <w:t>0</w:t>
      </w:r>
      <w:r w:rsidR="00A85389" w:rsidRPr="00C8787C">
        <w:t>48</w:t>
      </w:r>
      <w:r w:rsidR="00DB5F99">
        <w:t xml:space="preserve"> </w:t>
      </w:r>
      <w:r w:rsidR="00A85389" w:rsidRPr="00C8787C">
        <w:t xml:space="preserve">% for </w:t>
      </w:r>
      <w:r w:rsidR="006651C8" w:rsidRPr="00C8787C">
        <w:t xml:space="preserve">choke </w:t>
      </w:r>
      <w:r w:rsidR="006651C8">
        <w:t xml:space="preserve">valve opening </w:t>
      </w:r>
      <w:r w:rsidR="00A85389" w:rsidRPr="00C8787C">
        <w:t>and ±</w:t>
      </w:r>
      <w:r w:rsidR="00A85389" w:rsidRPr="00EB5564">
        <w:t>4</w:t>
      </w:r>
      <w:r w:rsidR="00A85389">
        <w:t>.</w:t>
      </w:r>
      <w:r w:rsidR="00A85389" w:rsidRPr="00EB5564">
        <w:t>762 Sm³/</w:t>
      </w:r>
      <w:r w:rsidR="00A85389">
        <w:t>10³</w:t>
      </w:r>
      <w:r w:rsidR="003C12CE">
        <w:t xml:space="preserve"> </w:t>
      </w:r>
      <w:r w:rsidR="00A85389" w:rsidRPr="00EB5564">
        <w:t>d</w:t>
      </w:r>
      <w:r w:rsidR="00A85389" w:rsidRPr="00C8787C">
        <w:t xml:space="preserve"> for </w:t>
      </w:r>
      <w:r w:rsidR="006651C8" w:rsidRPr="00C8787C">
        <w:t>gas injection rate</w:t>
      </w:r>
      <w:r w:rsidR="00A85389">
        <w:t xml:space="preserve">. </w:t>
      </w:r>
      <w:r w:rsidR="00E9459E" w:rsidRPr="000F48C6">
        <w:t xml:space="preserve">The PDG </w:t>
      </w:r>
      <w:r w:rsidR="00E9459E">
        <w:t xml:space="preserve">setpoint was systematically varied over four stages within each episode, aligned with the episode's length. Each stage spanned a quarter of the maximum time steps, with the setpoint starting at 210 bar and gradually decreasing to 203 </w:t>
      </w:r>
      <w:proofErr w:type="gramStart"/>
      <w:r w:rsidR="00E9459E">
        <w:t>bar</w:t>
      </w:r>
      <w:proofErr w:type="gramEnd"/>
      <w:r w:rsidR="00E9459E">
        <w:t xml:space="preserve">. This approach was specifically designed to test the controller's adaptability to setpoint transitions within the slug flow region, starting at an initial setpoint already within the slug flow conditions. </w:t>
      </w:r>
      <w:r w:rsidR="00A85389">
        <w:t xml:space="preserve">In the PPO model, the reward function </w:t>
      </w:r>
      <w:r w:rsidR="000F48C6" w:rsidRPr="000F48C6">
        <w:t xml:space="preserve">aimed to maintain the PDG pressure setpoint and ensure control stability, calculating the error between current and reference pressures </w:t>
      </w:r>
      <w:r w:rsidR="000F48C6">
        <w:t>with</w:t>
      </w:r>
      <w:r w:rsidR="000F48C6" w:rsidRPr="000F48C6">
        <w:t xml:space="preserve"> </w:t>
      </w:r>
      <w:r w:rsidR="00457362">
        <w:t>i</w:t>
      </w:r>
      <w:r w:rsidR="000F48C6" w:rsidRPr="000F48C6">
        <w:t xml:space="preserve">ntegral </w:t>
      </w:r>
      <w:r w:rsidR="00457362">
        <w:t>t</w:t>
      </w:r>
      <w:r w:rsidR="000F48C6" w:rsidRPr="000F48C6">
        <w:t xml:space="preserve">ime-weighted </w:t>
      </w:r>
      <w:r w:rsidR="00457362">
        <w:t>a</w:t>
      </w:r>
      <w:r w:rsidR="000F48C6" w:rsidRPr="000F48C6">
        <w:t xml:space="preserve">bsolute </w:t>
      </w:r>
      <w:r w:rsidR="00457362">
        <w:t>e</w:t>
      </w:r>
      <w:r w:rsidR="000F48C6" w:rsidRPr="000F48C6">
        <w:t>rror (ITAE)</w:t>
      </w:r>
      <w:r w:rsidR="000F48C6">
        <w:t xml:space="preserve">, </w:t>
      </w:r>
      <w:r w:rsidR="00A85389">
        <w:t>to emphasize the duration and magnitude of deviations.</w:t>
      </w:r>
      <w:r w:rsidR="008F1A95">
        <w:t xml:space="preserve"> </w:t>
      </w:r>
      <w:r w:rsidR="00DF7DF7" w:rsidRPr="00DF7DF7">
        <w:t xml:space="preserve">The reward </w:t>
      </w:r>
      <w:r w:rsidR="00DF7DF7">
        <w:t xml:space="preserve">bonus </w:t>
      </w:r>
      <w:r w:rsidR="00DF7DF7" w:rsidRPr="00DF7DF7">
        <w:t xml:space="preserve">scaled according to error proximity to three tolerance zones, with higher rewards for smaller deviations. </w:t>
      </w:r>
      <w:r w:rsidR="00745D52">
        <w:t xml:space="preserve">The reward function also incorporates penalties for variance and mean absolute changes in </w:t>
      </w:r>
      <w:r w:rsidR="003C12CE">
        <w:t>the control actions</w:t>
      </w:r>
      <w:r w:rsidR="00745D52">
        <w:t xml:space="preserve">, aimed at promoting smoother operations. </w:t>
      </w:r>
      <w:r w:rsidR="00827348">
        <w:t>The cumulative reward at each time step is computed using the following formulation:</w:t>
      </w:r>
    </w:p>
    <w:tbl>
      <w:tblPr>
        <w:tblW w:w="0" w:type="auto"/>
        <w:tblLook w:val="04A0" w:firstRow="1" w:lastRow="0" w:firstColumn="1" w:lastColumn="0" w:noHBand="0" w:noVBand="1"/>
      </w:tblPr>
      <w:tblGrid>
        <w:gridCol w:w="6124"/>
        <w:gridCol w:w="963"/>
      </w:tblGrid>
      <w:tr w:rsidR="00827348" w:rsidRPr="00A94774" w14:paraId="6CB77D9A" w14:textId="77777777" w:rsidTr="002B6EEB">
        <w:tc>
          <w:tcPr>
            <w:tcW w:w="6317" w:type="dxa"/>
            <w:vAlign w:val="center"/>
          </w:tcPr>
          <w:p w14:paraId="0CAEAE69" w14:textId="6C21493E" w:rsidR="00827348" w:rsidRPr="003C4CF1" w:rsidRDefault="00827348" w:rsidP="002B6EEB">
            <w:pPr>
              <w:pStyle w:val="Els-body-text"/>
              <w:spacing w:before="120" w:after="120" w:line="264" w:lineRule="auto"/>
              <w:rPr>
                <w:lang w:val="en-GB"/>
              </w:rPr>
            </w:pPr>
            <m:oMathPara>
              <m:oMathParaPr>
                <m:jc m:val="left"/>
              </m:oMathParaPr>
              <m:oMath>
                <m:r>
                  <w:rPr>
                    <w:rFonts w:ascii="Cambria Math" w:hAnsi="Cambria Math"/>
                    <w:lang w:val="en-GB"/>
                  </w:rPr>
                  <m:t>r=</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tol</m:t>
                    </m:r>
                  </m:sub>
                </m:sSub>
                <m:r>
                  <w:rPr>
                    <w:rFonts w:ascii="Cambria Math" w:hAnsi="Cambria Math"/>
                    <w:lang w:val="en-GB"/>
                  </w:rPr>
                  <m:t>-</m:t>
                </m:r>
                <m:sSub>
                  <m:sSubPr>
                    <m:ctrlPr>
                      <w:rPr>
                        <w:rFonts w:ascii="Cambria Math" w:hAnsi="Cambria Math"/>
                        <w:i/>
                      </w:rPr>
                    </m:ctrlPr>
                  </m:sSubPr>
                  <m:e>
                    <m:r>
                      <w:rPr>
                        <w:rFonts w:ascii="Cambria Math" w:hAnsi="Cambria Math"/>
                      </w:rPr>
                      <m:t>ζ</m:t>
                    </m:r>
                  </m:e>
                  <m:sub>
                    <m:r>
                      <w:rPr>
                        <w:rFonts w:ascii="Cambria Math" w:hAnsi="Cambria Math"/>
                      </w:rPr>
                      <m:t>1</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var</m:t>
                        </m:r>
                      </m:e>
                      <m:sub>
                        <m:r>
                          <w:rPr>
                            <w:rFonts w:ascii="Cambria Math" w:hAnsi="Cambria Math"/>
                            <w:lang w:val="en-GB"/>
                          </w:rPr>
                          <m:t>z</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var</m:t>
                        </m:r>
                      </m:e>
                      <m:sub>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gc</m:t>
                            </m:r>
                          </m:sub>
                        </m:sSub>
                      </m:sub>
                    </m:sSub>
                  </m:e>
                </m:d>
                <m:r>
                  <w:rPr>
                    <w:rFonts w:ascii="Cambria Math" w:hAnsi="Cambria Math"/>
                    <w:lang w:val="en-GB"/>
                  </w:rPr>
                  <m:t>-</m:t>
                </m:r>
                <m:sSub>
                  <m:sSubPr>
                    <m:ctrlPr>
                      <w:rPr>
                        <w:rFonts w:ascii="Cambria Math" w:hAnsi="Cambria Math"/>
                        <w:i/>
                      </w:rPr>
                    </m:ctrlPr>
                  </m:sSubPr>
                  <m:e>
                    <m:r>
                      <w:rPr>
                        <w:rFonts w:ascii="Cambria Math" w:hAnsi="Cambria Math"/>
                      </w:rPr>
                      <m:t>ζ</m:t>
                    </m:r>
                  </m:e>
                  <m:sub>
                    <m:r>
                      <w:rPr>
                        <w:rFonts w:ascii="Cambria Math" w:hAnsi="Cambria Math"/>
                      </w:rPr>
                      <m:t>2</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mean_dif</m:t>
                        </m:r>
                      </m:e>
                      <m:sub>
                        <m:r>
                          <w:rPr>
                            <w:rFonts w:ascii="Cambria Math" w:hAnsi="Cambria Math"/>
                            <w:lang w:val="en-GB"/>
                          </w:rPr>
                          <m:t>z</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mean_dif</m:t>
                        </m:r>
                      </m:e>
                      <m:sub>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gc</m:t>
                            </m:r>
                          </m:sub>
                        </m:sSub>
                      </m:sub>
                    </m:sSub>
                  </m:e>
                </m:d>
                <m:r>
                  <w:rPr>
                    <w:rFonts w:ascii="Cambria Math" w:hAnsi="Cambria Math"/>
                    <w:lang w:val="en-GB"/>
                  </w:rPr>
                  <m:t>-ω</m:t>
                </m:r>
              </m:oMath>
            </m:oMathPara>
          </w:p>
        </w:tc>
        <w:tc>
          <w:tcPr>
            <w:tcW w:w="985" w:type="dxa"/>
            <w:vAlign w:val="center"/>
          </w:tcPr>
          <w:p w14:paraId="2465B402" w14:textId="77777777" w:rsidR="00827348" w:rsidRPr="00A94774" w:rsidRDefault="00827348" w:rsidP="002B6EEB">
            <w:pPr>
              <w:pStyle w:val="Els-body-text"/>
              <w:spacing w:before="120" w:after="120" w:line="264" w:lineRule="auto"/>
              <w:jc w:val="right"/>
              <w:rPr>
                <w:lang w:val="en-GB"/>
              </w:rPr>
            </w:pPr>
            <w:r w:rsidRPr="00A94774">
              <w:rPr>
                <w:lang w:val="en-GB"/>
              </w:rPr>
              <w:t>(</w:t>
            </w:r>
            <w:r>
              <w:rPr>
                <w:lang w:val="en-GB"/>
              </w:rPr>
              <w:t>7</w:t>
            </w:r>
            <w:r w:rsidRPr="00A94774">
              <w:rPr>
                <w:lang w:val="en-GB"/>
              </w:rPr>
              <w:t>)</w:t>
            </w:r>
          </w:p>
        </w:tc>
      </w:tr>
    </w:tbl>
    <w:p w14:paraId="75BEA6BE" w14:textId="5403B8A6" w:rsidR="00745D52" w:rsidRDefault="00827348" w:rsidP="00745D52">
      <w:pPr>
        <w:pStyle w:val="Els-body-text"/>
      </w:pPr>
      <w:r>
        <w:t xml:space="preserve">In this formula,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tol</m:t>
            </m:r>
          </m:sub>
        </m:sSub>
      </m:oMath>
      <w:r>
        <w:t xml:space="preserve"> is determined by the normalized error’s alignment with the tolerance zones, </w:t>
      </w:r>
      <m:oMath>
        <m:r>
          <w:rPr>
            <w:rFonts w:ascii="Cambria Math" w:hAnsi="Cambria Math"/>
            <w:lang w:val="en-GB"/>
          </w:rPr>
          <m:t>var</m:t>
        </m:r>
      </m:oMath>
      <w:r>
        <w:rPr>
          <w:lang w:val="en-GB"/>
        </w:rPr>
        <w:t xml:space="preserve"> is the variance for each control action, and </w:t>
      </w:r>
      <m:oMath>
        <m:r>
          <w:rPr>
            <w:rFonts w:ascii="Cambria Math" w:hAnsi="Cambria Math"/>
            <w:lang w:val="en-GB"/>
          </w:rPr>
          <m:t>mean_dif</m:t>
        </m:r>
      </m:oMath>
      <w:r>
        <w:rPr>
          <w:lang w:val="en-GB"/>
        </w:rPr>
        <w:t xml:space="preserve"> is the </w:t>
      </w:r>
      <w:r>
        <w:t>mean absolute change.</w:t>
      </w:r>
      <w:r w:rsidR="00DB5F99">
        <w:t xml:space="preserve"> </w:t>
      </w:r>
      <w:r w:rsidR="00745D52">
        <w:t xml:space="preserve">Furthermore, constraint handling was implemented during training to guide the learning process. This involves terminating a simulation episode and applying a penalty </w:t>
      </w:r>
      <m:oMath>
        <m:r>
          <w:rPr>
            <w:rFonts w:ascii="Cambria Math" w:hAnsi="Cambria Math"/>
          </w:rPr>
          <m:t>(</m:t>
        </m:r>
        <m:r>
          <w:rPr>
            <w:rFonts w:ascii="Cambria Math" w:hAnsi="Cambria Math"/>
            <w:lang w:val="en-GB"/>
          </w:rPr>
          <m:t>ω)</m:t>
        </m:r>
      </m:oMath>
      <w:r>
        <w:t xml:space="preserve"> </w:t>
      </w:r>
      <w:r w:rsidR="00745D52">
        <w:t>if state variables exceed</w:t>
      </w:r>
      <w:r w:rsidR="005C4079">
        <w:t xml:space="preserve"> the</w:t>
      </w:r>
      <w:r w:rsidR="00745D52">
        <w:t xml:space="preserve"> predefined bounds. This mechanism, primarily a training tool, </w:t>
      </w:r>
      <w:r w:rsidR="00542E41">
        <w:t>encourages</w:t>
      </w:r>
      <w:r w:rsidR="00745D52">
        <w:t xml:space="preserve"> the </w:t>
      </w:r>
      <w:r w:rsidR="00542E41">
        <w:t>agent</w:t>
      </w:r>
      <w:r w:rsidR="00745D52">
        <w:t xml:space="preserve"> to </w:t>
      </w:r>
      <w:r w:rsidR="00542E41">
        <w:t xml:space="preserve">adhere to </w:t>
      </w:r>
      <w:r w:rsidR="00745D52">
        <w:t>operational limits</w:t>
      </w:r>
      <w:r w:rsidR="007000C2">
        <w:t>.</w:t>
      </w:r>
      <w:r w:rsidR="00745D52">
        <w:t xml:space="preserve"> </w:t>
      </w:r>
    </w:p>
    <w:p w14:paraId="509BF7BA" w14:textId="54EE6F8A" w:rsidR="00DD4D0A" w:rsidRPr="005C4079" w:rsidRDefault="00CF0167" w:rsidP="00DD4D0A">
      <w:pPr>
        <w:pStyle w:val="Els-1storder-head"/>
        <w:rPr>
          <w:lang w:val="en-GB"/>
        </w:rPr>
      </w:pPr>
      <w:r>
        <w:rPr>
          <w:lang w:val="en-GB"/>
        </w:rPr>
        <w:lastRenderedPageBreak/>
        <w:t>Results and Discussion</w:t>
      </w:r>
    </w:p>
    <w:p w14:paraId="0E7DB133" w14:textId="75A90FD2" w:rsidR="00A808EC" w:rsidRDefault="00A808EC" w:rsidP="00A808EC">
      <w:pPr>
        <w:pStyle w:val="Els-body-text"/>
        <w:rPr>
          <w:lang w:val="en-GB"/>
        </w:rPr>
      </w:pPr>
      <w:r w:rsidRPr="00A808EC">
        <w:rPr>
          <w:lang w:val="en-GB"/>
        </w:rPr>
        <w:t>Th</w:t>
      </w:r>
      <w:r>
        <w:rPr>
          <w:lang w:val="en-GB"/>
        </w:rPr>
        <w:t xml:space="preserve">is section compares </w:t>
      </w:r>
      <w:r w:rsidRPr="00A808EC">
        <w:rPr>
          <w:lang w:val="en-GB"/>
        </w:rPr>
        <w:t>two simulation tests: PPO-base with no penalties (</w:t>
      </w:r>
      <m:oMath>
        <m:sSub>
          <m:sSubPr>
            <m:ctrlPr>
              <w:rPr>
                <w:rFonts w:ascii="Cambria Math" w:hAnsi="Cambria Math"/>
                <w:i/>
              </w:rPr>
            </m:ctrlPr>
          </m:sSubPr>
          <m:e>
            <m:r>
              <w:rPr>
                <w:rFonts w:ascii="Cambria Math" w:hAnsi="Cambria Math"/>
              </w:rPr>
              <m:t>ζ</m:t>
            </m:r>
          </m:e>
          <m:sub>
            <m:r>
              <w:rPr>
                <w:rFonts w:ascii="Cambria Math" w:hAnsi="Cambria Math"/>
              </w:rPr>
              <m:t>1</m:t>
            </m:r>
          </m:sub>
        </m:sSub>
      </m:oMath>
      <w:r w:rsidRPr="00A808EC">
        <w:rPr>
          <w:lang w:val="en-GB"/>
        </w:rPr>
        <w:t xml:space="preserve">, </w:t>
      </w:r>
      <m:oMath>
        <m:sSub>
          <m:sSubPr>
            <m:ctrlPr>
              <w:rPr>
                <w:rFonts w:ascii="Cambria Math" w:hAnsi="Cambria Math"/>
                <w:i/>
              </w:rPr>
            </m:ctrlPr>
          </m:sSubPr>
          <m:e>
            <m:r>
              <w:rPr>
                <w:rFonts w:ascii="Cambria Math" w:hAnsi="Cambria Math"/>
              </w:rPr>
              <m:t>ζ</m:t>
            </m:r>
          </m:e>
          <m:sub>
            <m:r>
              <w:rPr>
                <w:rFonts w:ascii="Cambria Math" w:hAnsi="Cambria Math"/>
              </w:rPr>
              <m:t>2</m:t>
            </m:r>
          </m:sub>
        </m:sSub>
      </m:oMath>
      <w:r w:rsidRPr="00A808EC">
        <w:rPr>
          <w:lang w:val="en-GB"/>
        </w:rPr>
        <w:t xml:space="preserve">, and </w:t>
      </w:r>
      <m:oMath>
        <m:r>
          <w:rPr>
            <w:rFonts w:ascii="Cambria Math" w:hAnsi="Cambria Math"/>
            <w:lang w:val="en-GB"/>
          </w:rPr>
          <m:t>ω</m:t>
        </m:r>
      </m:oMath>
      <w:r w:rsidRPr="00A808EC">
        <w:rPr>
          <w:lang w:val="en-GB"/>
        </w:rPr>
        <w:t xml:space="preserve"> set to 0) and PPO-pen with penalties </w:t>
      </w:r>
      <m:oMath>
        <m:sSub>
          <m:sSubPr>
            <m:ctrlPr>
              <w:rPr>
                <w:rFonts w:ascii="Cambria Math" w:hAnsi="Cambria Math"/>
                <w:i/>
              </w:rPr>
            </m:ctrlPr>
          </m:sSubPr>
          <m:e>
            <m:r>
              <w:rPr>
                <w:rFonts w:ascii="Cambria Math" w:hAnsi="Cambria Math"/>
              </w:rPr>
              <m:t>ζ</m:t>
            </m:r>
          </m:e>
          <m:sub>
            <m:r>
              <w:rPr>
                <w:rFonts w:ascii="Cambria Math" w:hAnsi="Cambria Math"/>
              </w:rPr>
              <m:t>1</m:t>
            </m:r>
          </m:sub>
        </m:sSub>
      </m:oMath>
      <w:r w:rsidR="00A84DDE" w:rsidRPr="00A808EC">
        <w:rPr>
          <w:lang w:val="en-GB"/>
        </w:rPr>
        <w:t xml:space="preserve">, </w:t>
      </w:r>
      <m:oMath>
        <m:sSub>
          <m:sSubPr>
            <m:ctrlPr>
              <w:rPr>
                <w:rFonts w:ascii="Cambria Math" w:hAnsi="Cambria Math"/>
                <w:i/>
              </w:rPr>
            </m:ctrlPr>
          </m:sSubPr>
          <m:e>
            <m:r>
              <w:rPr>
                <w:rFonts w:ascii="Cambria Math" w:hAnsi="Cambria Math"/>
              </w:rPr>
              <m:t>ζ</m:t>
            </m:r>
          </m:e>
          <m:sub>
            <m:r>
              <w:rPr>
                <w:rFonts w:ascii="Cambria Math" w:hAnsi="Cambria Math"/>
              </w:rPr>
              <m:t>2</m:t>
            </m:r>
          </m:sub>
        </m:sSub>
      </m:oMath>
      <w:r w:rsidR="00A84DDE" w:rsidRPr="00A808EC">
        <w:rPr>
          <w:lang w:val="en-GB"/>
        </w:rPr>
        <w:t xml:space="preserve">, and </w:t>
      </w:r>
      <m:oMath>
        <m:r>
          <w:rPr>
            <w:rFonts w:ascii="Cambria Math" w:hAnsi="Cambria Math"/>
            <w:lang w:val="en-GB"/>
          </w:rPr>
          <m:t>ω</m:t>
        </m:r>
      </m:oMath>
      <w:r w:rsidR="00A84DDE" w:rsidRPr="00A808EC">
        <w:rPr>
          <w:lang w:val="en-GB"/>
        </w:rPr>
        <w:t xml:space="preserve"> </w:t>
      </w:r>
      <w:r w:rsidRPr="00A808EC">
        <w:rPr>
          <w:lang w:val="en-GB"/>
        </w:rPr>
        <w:t xml:space="preserve">set to </w:t>
      </w:r>
      <w:r w:rsidR="005126F7">
        <w:rPr>
          <w:lang w:val="en-GB"/>
        </w:rPr>
        <w:t>(</w:t>
      </w:r>
      <w:r w:rsidRPr="00A808EC">
        <w:rPr>
          <w:lang w:val="en-GB"/>
        </w:rPr>
        <w:t>0.5</w:t>
      </w:r>
      <w:r w:rsidR="005126F7">
        <w:rPr>
          <w:lang w:val="en-GB"/>
        </w:rPr>
        <w:t>, 0.5, 2.0)</w:t>
      </w:r>
      <w:r w:rsidRPr="00A808EC">
        <w:rPr>
          <w:lang w:val="en-GB"/>
        </w:rPr>
        <w:t xml:space="preserve">. Key metrics evaluated were Episode Length Mean and Episode Reward Mean, indicating system stability and alignment with operational objectives, respectively. Training progress and performance of both scenarios are detailed in Figure </w:t>
      </w:r>
      <w:r w:rsidR="00DD6379">
        <w:rPr>
          <w:lang w:val="en-GB"/>
        </w:rPr>
        <w:t>3</w:t>
      </w:r>
      <w:r w:rsidRPr="00A808EC">
        <w:rPr>
          <w:lang w:val="en-GB"/>
        </w:rPr>
        <w:t xml:space="preserve">, </w:t>
      </w:r>
      <w:r w:rsidR="005857E6">
        <w:rPr>
          <w:lang w:val="en-GB"/>
        </w:rPr>
        <w:t xml:space="preserve">showing that </w:t>
      </w:r>
      <w:r w:rsidRPr="00A808EC">
        <w:rPr>
          <w:lang w:val="en-GB"/>
        </w:rPr>
        <w:t xml:space="preserve">PPO-pen outperformed PPO-base in both episode length and reward means. This suggests that penalties enhanced operational constraints adherence and led to smoother control actions, demonstrating the effectiveness of penalty-based training in control strategies under </w:t>
      </w:r>
      <w:r w:rsidR="005857E6">
        <w:rPr>
          <w:lang w:val="en-GB"/>
        </w:rPr>
        <w:t>severe</w:t>
      </w:r>
      <w:r w:rsidR="00CD2A0A">
        <w:rPr>
          <w:lang w:val="en-GB"/>
        </w:rPr>
        <w:t xml:space="preserve"> initial</w:t>
      </w:r>
      <w:r w:rsidRPr="00A808EC">
        <w:rPr>
          <w:lang w:val="en-GB"/>
        </w:rPr>
        <w:t xml:space="preserve"> conditions.</w:t>
      </w:r>
    </w:p>
    <w:p w14:paraId="5E920DEA" w14:textId="77777777" w:rsidR="00DD6379" w:rsidRPr="00A808EC" w:rsidRDefault="00DD6379" w:rsidP="00A808EC">
      <w:pPr>
        <w:pStyle w:val="Els-body-text"/>
        <w:rPr>
          <w:lang w:val="en-GB"/>
        </w:rPr>
      </w:pPr>
    </w:p>
    <w:p w14:paraId="1B6F8113" w14:textId="7894AD54" w:rsidR="00CD2A0A" w:rsidRDefault="003410D8" w:rsidP="00DB5F99">
      <w:pPr>
        <w:pStyle w:val="Els-body-text"/>
        <w:keepNext/>
        <w:jc w:val="center"/>
      </w:pPr>
      <w:r>
        <w:rPr>
          <w:noProof/>
        </w:rPr>
        <w:drawing>
          <wp:inline distT="0" distB="0" distL="0" distR="0" wp14:anchorId="7ACA769C" wp14:editId="597199B3">
            <wp:extent cx="4499610" cy="1096645"/>
            <wp:effectExtent l="0" t="0" r="0" b="8255"/>
            <wp:docPr id="1" name="Picture 1" descr="A graph of a graph of a graph of a graph of a graph of a graph of a graph of a graph of a graph of a graph of a graph of a graph of a graph 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graph of a graph of a graph of a graph of a graph of a graph of a graph of a graph of a graph of a graph of a graph of a graph of&#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9610" cy="1096645"/>
                    </a:xfrm>
                    <a:prstGeom prst="rect">
                      <a:avLst/>
                    </a:prstGeom>
                  </pic:spPr>
                </pic:pic>
              </a:graphicData>
            </a:graphic>
          </wp:inline>
        </w:drawing>
      </w:r>
    </w:p>
    <w:p w14:paraId="0703B228" w14:textId="11CD9C17" w:rsidR="00A808EC" w:rsidRPr="00A808EC" w:rsidRDefault="00CD2A0A" w:rsidP="00CD2A0A">
      <w:pPr>
        <w:pStyle w:val="Didascalia"/>
        <w:jc w:val="center"/>
        <w:rPr>
          <w:lang w:val="en-GB"/>
        </w:rPr>
      </w:pPr>
      <w:r>
        <w:t xml:space="preserve">Figure </w:t>
      </w:r>
      <w:r>
        <w:fldChar w:fldCharType="begin"/>
      </w:r>
      <w:r>
        <w:instrText xml:space="preserve"> SEQ Figure \* ARABIC </w:instrText>
      </w:r>
      <w:r>
        <w:fldChar w:fldCharType="separate"/>
      </w:r>
      <w:r>
        <w:rPr>
          <w:noProof/>
        </w:rPr>
        <w:t>3</w:t>
      </w:r>
      <w:r>
        <w:fldChar w:fldCharType="end"/>
      </w:r>
      <w:r>
        <w:t xml:space="preserve">: </w:t>
      </w:r>
      <w:r w:rsidRPr="007D3CB2">
        <w:t xml:space="preserve">Training </w:t>
      </w:r>
      <w:r w:rsidR="00457362">
        <w:t>p</w:t>
      </w:r>
      <w:r w:rsidRPr="007D3CB2">
        <w:t xml:space="preserve">erformance </w:t>
      </w:r>
      <w:r w:rsidR="00457362">
        <w:t>c</w:t>
      </w:r>
      <w:r w:rsidRPr="007D3CB2">
        <w:t>omparison between PPO-base and PPO-pen.</w:t>
      </w:r>
    </w:p>
    <w:p w14:paraId="09B829D0" w14:textId="326D748D" w:rsidR="000D0181" w:rsidRDefault="00A808EC" w:rsidP="000D0181">
      <w:pPr>
        <w:pStyle w:val="Els-body-text"/>
        <w:rPr>
          <w:lang w:val="en-GB"/>
        </w:rPr>
      </w:pPr>
      <w:r w:rsidRPr="00A808EC">
        <w:rPr>
          <w:lang w:val="en-GB"/>
        </w:rPr>
        <w:t xml:space="preserve">A detailed performance analysis of both configurations during a test episode (Figure </w:t>
      </w:r>
      <w:r w:rsidR="00DD6379">
        <w:rPr>
          <w:lang w:val="en-GB"/>
        </w:rPr>
        <w:t>4</w:t>
      </w:r>
      <w:r w:rsidRPr="00A808EC">
        <w:rPr>
          <w:lang w:val="en-GB"/>
        </w:rPr>
        <w:t xml:space="preserve">) revealed several key findings. In choke valve control, </w:t>
      </w:r>
      <w:r w:rsidR="00457362">
        <w:rPr>
          <w:lang w:val="en-GB"/>
        </w:rPr>
        <w:t>PPO-pen</w:t>
      </w:r>
      <w:r w:rsidRPr="00A808EC">
        <w:rPr>
          <w:lang w:val="en-GB"/>
        </w:rPr>
        <w:t xml:space="preserve"> achieved a higher final value, indicating </w:t>
      </w:r>
      <w:r w:rsidR="00DD6379">
        <w:rPr>
          <w:lang w:val="en-GB"/>
        </w:rPr>
        <w:t xml:space="preserve">better </w:t>
      </w:r>
      <w:r w:rsidRPr="00A808EC">
        <w:rPr>
          <w:lang w:val="en-GB"/>
        </w:rPr>
        <w:t xml:space="preserve">production efficiency. In gas lift rate control, </w:t>
      </w:r>
      <w:r w:rsidR="00457362">
        <w:rPr>
          <w:lang w:val="en-GB"/>
        </w:rPr>
        <w:t>PPO-pen</w:t>
      </w:r>
      <w:r w:rsidRPr="00A808EC">
        <w:rPr>
          <w:lang w:val="en-GB"/>
        </w:rPr>
        <w:t xml:space="preserve"> demonstrated more efficient resource utilization with a systematic reduction in gas lift, contrasting with </w:t>
      </w:r>
      <w:r w:rsidR="00457362">
        <w:rPr>
          <w:lang w:val="en-GB"/>
        </w:rPr>
        <w:t>PPO-base’</w:t>
      </w:r>
      <w:r w:rsidRPr="00A808EC">
        <w:rPr>
          <w:lang w:val="en-GB"/>
        </w:rPr>
        <w:t xml:space="preserve">s constant rate. For the PDG pressure control, both scenarios performed similarly, but </w:t>
      </w:r>
      <w:r w:rsidR="00457362">
        <w:rPr>
          <w:lang w:val="en-GB"/>
        </w:rPr>
        <w:t>PPO-pen</w:t>
      </w:r>
      <w:r w:rsidRPr="00A808EC">
        <w:rPr>
          <w:lang w:val="en-GB"/>
        </w:rPr>
        <w:t xml:space="preserve"> showed superior consistency and stability, evidenced by a lower ITAE</w:t>
      </w:r>
      <w:r w:rsidR="005857E6">
        <w:rPr>
          <w:lang w:val="en-GB"/>
        </w:rPr>
        <w:t>.</w:t>
      </w:r>
    </w:p>
    <w:p w14:paraId="6A85F0ED" w14:textId="063DF09F" w:rsidR="000D0181" w:rsidRDefault="003410D8" w:rsidP="000D0181">
      <w:pPr>
        <w:pStyle w:val="Els-body-text"/>
        <w:keepNext/>
        <w:jc w:val="center"/>
      </w:pPr>
      <w:r>
        <w:rPr>
          <w:noProof/>
        </w:rPr>
        <w:drawing>
          <wp:inline distT="0" distB="0" distL="0" distR="0" wp14:anchorId="1144BF8F" wp14:editId="3D576718">
            <wp:extent cx="4499610" cy="2256155"/>
            <wp:effectExtent l="0" t="0" r="0" b="0"/>
            <wp:docPr id="2"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graph&#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99610" cy="2256155"/>
                    </a:xfrm>
                    <a:prstGeom prst="rect">
                      <a:avLst/>
                    </a:prstGeom>
                  </pic:spPr>
                </pic:pic>
              </a:graphicData>
            </a:graphic>
          </wp:inline>
        </w:drawing>
      </w:r>
    </w:p>
    <w:p w14:paraId="40603F00" w14:textId="7F00C480" w:rsidR="000D0181" w:rsidRDefault="000D0181" w:rsidP="00DD6379">
      <w:pPr>
        <w:pStyle w:val="Didascalia"/>
        <w:jc w:val="center"/>
        <w:rPr>
          <w:lang w:val="en-GB"/>
        </w:rPr>
      </w:pPr>
      <w:r>
        <w:t xml:space="preserve">Figure </w:t>
      </w:r>
      <w:r>
        <w:fldChar w:fldCharType="begin"/>
      </w:r>
      <w:r>
        <w:instrText xml:space="preserve"> SEQ Figure \* ARABIC </w:instrText>
      </w:r>
      <w:r>
        <w:fldChar w:fldCharType="separate"/>
      </w:r>
      <w:r w:rsidR="00DD6379">
        <w:rPr>
          <w:noProof/>
        </w:rPr>
        <w:t>4</w:t>
      </w:r>
      <w:r>
        <w:fldChar w:fldCharType="end"/>
      </w:r>
      <w:r>
        <w:t xml:space="preserve">: </w:t>
      </w:r>
      <w:r w:rsidRPr="00BA179A">
        <w:t xml:space="preserve">Comparative </w:t>
      </w:r>
      <w:r w:rsidR="00457362">
        <w:t>a</w:t>
      </w:r>
      <w:r w:rsidRPr="00BA179A">
        <w:t xml:space="preserve">nalysis of </w:t>
      </w:r>
      <w:r w:rsidR="00457362">
        <w:t>c</w:t>
      </w:r>
      <w:r w:rsidRPr="00BA179A">
        <w:t xml:space="preserve">ontrol </w:t>
      </w:r>
      <w:r w:rsidR="00457362">
        <w:t>a</w:t>
      </w:r>
      <w:r w:rsidRPr="00BA179A">
        <w:t xml:space="preserve">ctions and </w:t>
      </w:r>
      <w:r w:rsidR="00457362">
        <w:t>p</w:t>
      </w:r>
      <w:r w:rsidRPr="00BA179A">
        <w:t xml:space="preserve">erformance </w:t>
      </w:r>
      <w:r w:rsidR="00457362">
        <w:t>m</w:t>
      </w:r>
      <w:r w:rsidRPr="00BA179A">
        <w:t xml:space="preserve">etrics in a </w:t>
      </w:r>
      <w:r w:rsidR="00457362">
        <w:t>t</w:t>
      </w:r>
      <w:r w:rsidRPr="00BA179A">
        <w:t xml:space="preserve">est </w:t>
      </w:r>
      <w:r w:rsidR="00457362">
        <w:t>e</w:t>
      </w:r>
      <w:r w:rsidRPr="00BA179A">
        <w:t>pisode.</w:t>
      </w:r>
    </w:p>
    <w:p w14:paraId="39F656E7" w14:textId="4D985C2A" w:rsidR="00A27969" w:rsidRPr="00DB5F99" w:rsidRDefault="00CF0167" w:rsidP="00B058CA">
      <w:pPr>
        <w:pStyle w:val="Els-1storder-head"/>
        <w:spacing w:after="120"/>
        <w:rPr>
          <w:lang w:val="en-GB"/>
        </w:rPr>
      </w:pPr>
      <w:r>
        <w:rPr>
          <w:lang w:val="en-GB"/>
        </w:rPr>
        <w:t>Conclusions</w:t>
      </w:r>
    </w:p>
    <w:p w14:paraId="33F0636F" w14:textId="7F4E09E6" w:rsidR="00B058CA" w:rsidRPr="00CF65E1" w:rsidRDefault="00A27969" w:rsidP="008D2649">
      <w:pPr>
        <w:pStyle w:val="Els-body-text"/>
        <w:spacing w:after="120"/>
        <w:rPr>
          <w:lang w:val="en-GB"/>
        </w:rPr>
      </w:pPr>
      <w:r w:rsidRPr="00A27969">
        <w:rPr>
          <w:lang w:val="en-GB"/>
        </w:rPr>
        <w:t xml:space="preserve">This </w:t>
      </w:r>
      <w:r>
        <w:rPr>
          <w:lang w:val="en-GB"/>
        </w:rPr>
        <w:t>work</w:t>
      </w:r>
      <w:r w:rsidRPr="00A27969">
        <w:rPr>
          <w:lang w:val="en-GB"/>
        </w:rPr>
        <w:t xml:space="preserve"> </w:t>
      </w:r>
      <w:r>
        <w:rPr>
          <w:lang w:val="en-GB"/>
        </w:rPr>
        <w:t>implemented and</w:t>
      </w:r>
      <w:r w:rsidRPr="00B058CA">
        <w:rPr>
          <w:lang w:val="en-GB"/>
        </w:rPr>
        <w:t xml:space="preserve"> evaluated</w:t>
      </w:r>
      <w:r>
        <w:rPr>
          <w:lang w:val="en-GB"/>
        </w:rPr>
        <w:t xml:space="preserve"> PPO</w:t>
      </w:r>
      <w:r w:rsidRPr="00A27969">
        <w:rPr>
          <w:lang w:val="en-GB"/>
        </w:rPr>
        <w:t>-based control strategy for deep water oil extraction, comparing a baseline model (</w:t>
      </w:r>
      <w:r w:rsidR="00457362">
        <w:rPr>
          <w:lang w:val="en-GB"/>
        </w:rPr>
        <w:t>PPO-base</w:t>
      </w:r>
      <w:r w:rsidRPr="00A27969">
        <w:rPr>
          <w:lang w:val="en-GB"/>
        </w:rPr>
        <w:t>) against a penalty parameter-integrated version (</w:t>
      </w:r>
      <w:r w:rsidR="00457362">
        <w:rPr>
          <w:lang w:val="en-GB"/>
        </w:rPr>
        <w:t>PPO-pen</w:t>
      </w:r>
      <w:r w:rsidRPr="00A27969">
        <w:rPr>
          <w:lang w:val="en-GB"/>
        </w:rPr>
        <w:t xml:space="preserve">). The results showed that </w:t>
      </w:r>
      <w:r w:rsidR="00457362">
        <w:rPr>
          <w:lang w:val="en-GB"/>
        </w:rPr>
        <w:t>PPO-pen</w:t>
      </w:r>
      <w:r w:rsidRPr="00A27969">
        <w:rPr>
          <w:lang w:val="en-GB"/>
        </w:rPr>
        <w:t xml:space="preserve"> significantly </w:t>
      </w:r>
      <w:r w:rsidRPr="00A27969">
        <w:rPr>
          <w:lang w:val="en-GB"/>
        </w:rPr>
        <w:lastRenderedPageBreak/>
        <w:t xml:space="preserve">outperformed </w:t>
      </w:r>
      <w:r w:rsidR="00457362">
        <w:rPr>
          <w:lang w:val="en-GB"/>
        </w:rPr>
        <w:t>PPO-base</w:t>
      </w:r>
      <w:r w:rsidRPr="00A27969">
        <w:rPr>
          <w:lang w:val="en-GB"/>
        </w:rPr>
        <w:t xml:space="preserve"> in training metrics, demonstrating the benefits of incorporating moderate penalties in control strategies for balancing operational objectives and constraints adherence. In testing, </w:t>
      </w:r>
      <w:r w:rsidR="00457362">
        <w:rPr>
          <w:lang w:val="en-GB"/>
        </w:rPr>
        <w:t>PPO-pen</w:t>
      </w:r>
      <w:r w:rsidRPr="00A27969">
        <w:rPr>
          <w:lang w:val="en-GB"/>
        </w:rPr>
        <w:t xml:space="preserve"> presented a more resource-efficient control approach, optimizing choke valve position and reducing gas lift usage. Both models effectively </w:t>
      </w:r>
      <w:r>
        <w:rPr>
          <w:lang w:val="en-GB"/>
        </w:rPr>
        <w:t xml:space="preserve">were able to </w:t>
      </w:r>
      <w:r w:rsidRPr="00A27969">
        <w:rPr>
          <w:lang w:val="en-GB"/>
        </w:rPr>
        <w:t>maintai</w:t>
      </w:r>
      <w:r>
        <w:rPr>
          <w:lang w:val="en-GB"/>
        </w:rPr>
        <w:t>n the</w:t>
      </w:r>
      <w:r w:rsidRPr="00A27969">
        <w:rPr>
          <w:lang w:val="en-GB"/>
        </w:rPr>
        <w:t xml:space="preserve"> PDG pressure</w:t>
      </w:r>
      <w:r>
        <w:rPr>
          <w:lang w:val="en-GB"/>
        </w:rPr>
        <w:t xml:space="preserve"> at setpoint and far from slug conditions</w:t>
      </w:r>
      <w:r w:rsidRPr="00A27969">
        <w:rPr>
          <w:lang w:val="en-GB"/>
        </w:rPr>
        <w:t xml:space="preserve">. </w:t>
      </w:r>
      <w:r>
        <w:rPr>
          <w:lang w:val="en-GB"/>
        </w:rPr>
        <w:t xml:space="preserve">Considering the </w:t>
      </w:r>
      <w:r w:rsidRPr="00B058CA">
        <w:rPr>
          <w:lang w:val="en-GB"/>
        </w:rPr>
        <w:t>error minimization,</w:t>
      </w:r>
      <w:r w:rsidRPr="00A27969">
        <w:rPr>
          <w:lang w:val="en-GB"/>
        </w:rPr>
        <w:t xml:space="preserve"> </w:t>
      </w:r>
      <w:r w:rsidR="00457362">
        <w:rPr>
          <w:lang w:val="en-GB"/>
        </w:rPr>
        <w:t>PPO-pen</w:t>
      </w:r>
      <w:r w:rsidRPr="00A27969">
        <w:rPr>
          <w:lang w:val="en-GB"/>
        </w:rPr>
        <w:t xml:space="preserve"> achieved lower ITAE, indicating enhanced control p</w:t>
      </w:r>
      <w:r w:rsidR="009A442E">
        <w:rPr>
          <w:lang w:val="en-GB"/>
        </w:rPr>
        <w:t>erformance</w:t>
      </w:r>
      <w:r w:rsidRPr="00A27969">
        <w:rPr>
          <w:lang w:val="en-GB"/>
        </w:rPr>
        <w:t xml:space="preserve">. These findings highlight the efficacy of DRL, particularly the PPO framework with tailored penalties, in </w:t>
      </w:r>
      <w:r>
        <w:rPr>
          <w:lang w:val="en-GB"/>
        </w:rPr>
        <w:t>controlling</w:t>
      </w:r>
      <w:r w:rsidRPr="00A27969">
        <w:rPr>
          <w:lang w:val="en-GB"/>
        </w:rPr>
        <w:t xml:space="preserve"> complex syste</w:t>
      </w:r>
      <w:r>
        <w:rPr>
          <w:lang w:val="en-GB"/>
        </w:rPr>
        <w:t>ms</w:t>
      </w:r>
      <w:r w:rsidRPr="00A27969">
        <w:rPr>
          <w:lang w:val="en-GB"/>
        </w:rPr>
        <w:t xml:space="preserve"> like deep water oil extraction. They open avenues for further research in applying these methods to varied operational scenarios and integrating more real-world constraints</w:t>
      </w:r>
      <w:r w:rsidR="00E731F2">
        <w:rPr>
          <w:lang w:val="en-GB"/>
        </w:rPr>
        <w:t>.</w:t>
      </w:r>
    </w:p>
    <w:p w14:paraId="721F6574" w14:textId="77777777" w:rsidR="008D2649" w:rsidRDefault="008D2649" w:rsidP="008D2649">
      <w:pPr>
        <w:pStyle w:val="Els-reference-head"/>
      </w:pPr>
      <w:r>
        <w:t>References</w:t>
      </w:r>
    </w:p>
    <w:p w14:paraId="07DCA905" w14:textId="77777777" w:rsidR="009A442E" w:rsidRPr="00A72057" w:rsidRDefault="009A442E" w:rsidP="009A442E">
      <w:pPr>
        <w:pStyle w:val="Els-referenceno-number"/>
        <w:ind w:left="284" w:hanging="284"/>
        <w:jc w:val="both"/>
        <w:rPr>
          <w:lang w:val="en-US"/>
        </w:rPr>
      </w:pPr>
      <w:r w:rsidRPr="00A72057">
        <w:rPr>
          <w:lang w:val="en-US"/>
        </w:rPr>
        <w:t>Y</w:t>
      </w:r>
      <w:r>
        <w:rPr>
          <w:lang w:val="en-US"/>
        </w:rPr>
        <w:t>.</w:t>
      </w:r>
      <w:r w:rsidRPr="00A72057">
        <w:rPr>
          <w:lang w:val="en-US"/>
        </w:rPr>
        <w:t xml:space="preserve"> Taitel, 1986, "Stability of severe slugging," International Journal of Multiphase Flow, Vol. 12, No. 2, pp. 203-217, DOI: 10.1016/0301-9322(86)90026-1.</w:t>
      </w:r>
    </w:p>
    <w:p w14:paraId="374CC9AF" w14:textId="77777777" w:rsidR="009A442E" w:rsidRPr="00A72057" w:rsidRDefault="009A442E" w:rsidP="009A442E">
      <w:pPr>
        <w:pStyle w:val="Els-referenceno-number"/>
        <w:ind w:left="284" w:hanging="284"/>
        <w:jc w:val="both"/>
        <w:rPr>
          <w:lang w:val="en-US"/>
        </w:rPr>
      </w:pPr>
      <w:r w:rsidRPr="00A72057">
        <w:rPr>
          <w:lang w:val="en-US"/>
        </w:rPr>
        <w:t>K</w:t>
      </w:r>
      <w:r>
        <w:rPr>
          <w:lang w:val="en-US"/>
        </w:rPr>
        <w:t>.</w:t>
      </w:r>
      <w:r w:rsidRPr="00A72057">
        <w:rPr>
          <w:lang w:val="en-US"/>
        </w:rPr>
        <w:t>H. Bendlksen, Dag Malnes, Randl Moe, Sven Nuland, 1991, "The Dynamic Two-Fluid Model OLGA: Theory and Application," SPE Production Engineering, Vol. 6, No. 02, pp. 171-180, DOI: 10.2118/19451-pa.</w:t>
      </w:r>
    </w:p>
    <w:p w14:paraId="17E20024" w14:textId="7D8430C8" w:rsidR="009A442E" w:rsidRDefault="009A442E" w:rsidP="009A442E">
      <w:pPr>
        <w:pStyle w:val="Els-referenceno-number"/>
        <w:ind w:left="284" w:hanging="284"/>
        <w:jc w:val="both"/>
        <w:rPr>
          <w:lang w:val="en-US"/>
        </w:rPr>
      </w:pPr>
      <w:r w:rsidRPr="006B7CB0">
        <w:rPr>
          <w:lang w:val="es-CO"/>
        </w:rPr>
        <w:t>F</w:t>
      </w:r>
      <w:r w:rsidRPr="009A442E">
        <w:rPr>
          <w:lang w:val="es-CO"/>
        </w:rPr>
        <w:t>.</w:t>
      </w:r>
      <w:r w:rsidRPr="006B7CB0">
        <w:rPr>
          <w:lang w:val="es-CO"/>
        </w:rPr>
        <w:t>C. Diehl, T</w:t>
      </w:r>
      <w:r w:rsidRPr="009A442E">
        <w:rPr>
          <w:lang w:val="es-CO"/>
        </w:rPr>
        <w:t>.</w:t>
      </w:r>
      <w:r w:rsidRPr="006B7CB0">
        <w:rPr>
          <w:lang w:val="es-CO"/>
        </w:rPr>
        <w:t>K. Anzai, C</w:t>
      </w:r>
      <w:r w:rsidRPr="009A442E">
        <w:rPr>
          <w:lang w:val="es-CO"/>
        </w:rPr>
        <w:t>.</w:t>
      </w:r>
      <w:r w:rsidRPr="006B7CB0">
        <w:rPr>
          <w:lang w:val="es-CO"/>
        </w:rPr>
        <w:t>S. Almeida, O</w:t>
      </w:r>
      <w:r>
        <w:rPr>
          <w:lang w:val="es-CO"/>
        </w:rPr>
        <w:t>.</w:t>
      </w:r>
      <w:r w:rsidRPr="006B7CB0">
        <w:rPr>
          <w:lang w:val="es-CO"/>
        </w:rPr>
        <w:t>F. Von Meien, S</w:t>
      </w:r>
      <w:r>
        <w:rPr>
          <w:lang w:val="es-CO"/>
        </w:rPr>
        <w:t xml:space="preserve">. </w:t>
      </w:r>
      <w:r w:rsidRPr="007D3EE9">
        <w:t xml:space="preserve">Simões Neto, V.R. Rosa, M.C.M.M. Campos, F. </w:t>
      </w:r>
      <w:r w:rsidRPr="006B7CB0">
        <w:rPr>
          <w:lang w:val="es-CO"/>
        </w:rPr>
        <w:t>Reolon, G</w:t>
      </w:r>
      <w:r w:rsidRPr="009A442E">
        <w:rPr>
          <w:lang w:val="es-CO"/>
        </w:rPr>
        <w:t>.</w:t>
      </w:r>
      <w:r w:rsidRPr="006B7CB0">
        <w:rPr>
          <w:lang w:val="es-CO"/>
        </w:rPr>
        <w:t xml:space="preserve"> </w:t>
      </w:r>
      <w:r w:rsidRPr="00304CE7">
        <w:rPr>
          <w:lang w:val="en-US"/>
        </w:rPr>
        <w:t>Gerevini, C</w:t>
      </w:r>
      <w:r w:rsidRPr="009A442E">
        <w:rPr>
          <w:lang w:val="en-US"/>
        </w:rPr>
        <w:t>.</w:t>
      </w:r>
      <w:r w:rsidRPr="00304CE7">
        <w:rPr>
          <w:lang w:val="en-US"/>
        </w:rPr>
        <w:t xml:space="preserve"> Ranzan, M</w:t>
      </w:r>
      <w:r>
        <w:rPr>
          <w:lang w:val="en-US"/>
        </w:rPr>
        <w:t>.</w:t>
      </w:r>
      <w:r w:rsidRPr="00304CE7">
        <w:rPr>
          <w:lang w:val="en-US"/>
        </w:rPr>
        <w:t xml:space="preserve"> Farenzena, J</w:t>
      </w:r>
      <w:r>
        <w:rPr>
          <w:lang w:val="en-US"/>
        </w:rPr>
        <w:t>.</w:t>
      </w:r>
      <w:r w:rsidRPr="00304CE7">
        <w:rPr>
          <w:lang w:val="en-US"/>
        </w:rPr>
        <w:t>O. Trierweiler, 2017, "Fast Offshore Wells Model (FOWM): A practical dynamic model for multiphase oil production systems in deep water and ultra-deep water scenarios," Computers &amp; Chemical Engineering, Vol. 99, pp. 304-313, DOI: 10.1016/j.compchemeng.2017.01.036.</w:t>
      </w:r>
    </w:p>
    <w:p w14:paraId="4FD6DDCF" w14:textId="010839BA" w:rsidR="007C4F6C" w:rsidRDefault="007C4F6C" w:rsidP="00FA0E49">
      <w:pPr>
        <w:pStyle w:val="Els-referenceno-number"/>
        <w:ind w:left="284" w:hanging="284"/>
        <w:jc w:val="both"/>
        <w:rPr>
          <w:lang w:val="en-US"/>
        </w:rPr>
      </w:pPr>
      <w:r w:rsidRPr="007C4F6C">
        <w:rPr>
          <w:lang w:val="en-US"/>
        </w:rPr>
        <w:t>F. Di-Meglio, G.O. Kaasa, N. Petit, V. Alstad, 2012, "Model-based control of slugging: Advances and challenges," Proceedings of the 2012 IFAC Workshop on Automatic Control in Offshore Oil and Gas Production, pp. 109–115.</w:t>
      </w:r>
    </w:p>
    <w:p w14:paraId="50A567CD" w14:textId="1E67B936" w:rsidR="007C4F6C" w:rsidRPr="007C4F6C" w:rsidRDefault="007C4F6C" w:rsidP="007C4F6C">
      <w:pPr>
        <w:pStyle w:val="Els-referenceno-number"/>
        <w:ind w:left="284" w:hanging="284"/>
        <w:jc w:val="both"/>
        <w:rPr>
          <w:lang w:val="en-US"/>
        </w:rPr>
      </w:pPr>
      <w:r w:rsidRPr="007C4F6C">
        <w:rPr>
          <w:lang w:val="en-US"/>
        </w:rPr>
        <w:t>E. Storkaas, S. Skogestad, 2008, "Controllability analysis of two-phase pipeline-riser systems at riser slugging conditions," Control Engineering Practice, Vol. 15, pp. 567–581.</w:t>
      </w:r>
    </w:p>
    <w:p w14:paraId="3950D9EF" w14:textId="176E86C9" w:rsidR="007C4F6C" w:rsidRPr="007C4F6C" w:rsidRDefault="007C4F6C" w:rsidP="007C4F6C">
      <w:pPr>
        <w:pStyle w:val="Els-referenceno-number"/>
        <w:ind w:left="284" w:hanging="284"/>
        <w:jc w:val="both"/>
        <w:rPr>
          <w:lang w:val="en-US"/>
        </w:rPr>
      </w:pPr>
      <w:r w:rsidRPr="00EC76E1">
        <w:rPr>
          <w:lang w:val="en-US"/>
        </w:rPr>
        <w:t>E</w:t>
      </w:r>
      <w:r>
        <w:rPr>
          <w:lang w:val="en-US"/>
        </w:rPr>
        <w:t>.</w:t>
      </w:r>
      <w:r w:rsidRPr="00EC76E1">
        <w:rPr>
          <w:lang w:val="en-US"/>
        </w:rPr>
        <w:t xml:space="preserve"> Jahanshahi, 2013, "Control Solutions for Multiphase Flow - Linear and nonlinear approaches to anti-slug control," Ph.D. thesis, Norwegian University of Science and Technology, Department of Chemical Engineering, Trondheim, Norway.</w:t>
      </w:r>
    </w:p>
    <w:p w14:paraId="4BB13A96" w14:textId="38A5FF96" w:rsidR="007C4F6C" w:rsidRPr="007C4F6C" w:rsidRDefault="007C4F6C" w:rsidP="007C4F6C">
      <w:pPr>
        <w:pStyle w:val="Els-referenceno-number"/>
        <w:ind w:left="284" w:hanging="284"/>
        <w:jc w:val="both"/>
        <w:rPr>
          <w:lang w:val="en-US"/>
        </w:rPr>
      </w:pPr>
      <w:r w:rsidRPr="007C4F6C">
        <w:rPr>
          <w:lang w:val="en-US"/>
        </w:rPr>
        <w:t>S. Pedersen, P. Durdevic, Z. Yang, 2014, "Learning control for riser-slug elimination and production-rate optimization for an offshore oil and gas production process," Proceedings of The 19th World Congress of the International Federation of Automatic Control.</w:t>
      </w:r>
    </w:p>
    <w:p w14:paraId="339B3AC9" w14:textId="692169A0" w:rsidR="007C4F6C" w:rsidRDefault="007C4F6C" w:rsidP="007C4F6C">
      <w:pPr>
        <w:pStyle w:val="Els-referenceno-number"/>
        <w:ind w:left="284" w:hanging="284"/>
        <w:jc w:val="both"/>
        <w:rPr>
          <w:lang w:val="en-US"/>
        </w:rPr>
      </w:pPr>
      <w:r w:rsidRPr="007C4F6C">
        <w:rPr>
          <w:lang w:val="en-US"/>
        </w:rPr>
        <w:t>J.M. Godhavn, M.P. Fard, P.H. Fuchs, 2005, "New slug control strategies, tuning rules and experimental results," Journal of Process Control, Vol. 15, pp. 547-557.</w:t>
      </w:r>
    </w:p>
    <w:p w14:paraId="542C1615" w14:textId="77777777" w:rsidR="009A442E" w:rsidRDefault="009A442E" w:rsidP="009A442E">
      <w:pPr>
        <w:pStyle w:val="Els-referenceno-number"/>
        <w:ind w:left="284" w:hanging="284"/>
        <w:jc w:val="both"/>
        <w:rPr>
          <w:lang w:val="en-US"/>
        </w:rPr>
      </w:pPr>
      <w:r>
        <w:rPr>
          <w:lang w:val="en-US"/>
        </w:rPr>
        <w:t xml:space="preserve">R.F. </w:t>
      </w:r>
      <w:r w:rsidRPr="000D2296">
        <w:rPr>
          <w:lang w:val="en-US"/>
        </w:rPr>
        <w:t>Rodrigues, J</w:t>
      </w:r>
      <w:r>
        <w:rPr>
          <w:lang w:val="en-US"/>
        </w:rPr>
        <w:t>.</w:t>
      </w:r>
      <w:r w:rsidRPr="000D2296">
        <w:rPr>
          <w:lang w:val="en-US"/>
        </w:rPr>
        <w:t>O. Trierweiler, M</w:t>
      </w:r>
      <w:r>
        <w:rPr>
          <w:lang w:val="en-US"/>
        </w:rPr>
        <w:t>.</w:t>
      </w:r>
      <w:r w:rsidRPr="000D2296">
        <w:rPr>
          <w:lang w:val="en-US"/>
        </w:rPr>
        <w:t xml:space="preserve"> Farenzena, 2018, "New methodology for parameter estimation of offshore slug models with Hopf bifurcation," Computers &amp; Chemical Engineering, Vol. 117, pp. 247–255, DOI: 10.1016/j.compchemeng.2018.06.012.</w:t>
      </w:r>
    </w:p>
    <w:p w14:paraId="3A57F587" w14:textId="77777777" w:rsidR="009A442E" w:rsidRDefault="009A442E" w:rsidP="009A442E">
      <w:pPr>
        <w:pStyle w:val="Els-referenceno-number"/>
        <w:ind w:left="284" w:hanging="284"/>
        <w:jc w:val="both"/>
        <w:rPr>
          <w:lang w:val="en-US"/>
        </w:rPr>
      </w:pPr>
      <w:r w:rsidRPr="00A72057">
        <w:rPr>
          <w:lang w:val="en-US"/>
        </w:rPr>
        <w:t>J</w:t>
      </w:r>
      <w:r>
        <w:rPr>
          <w:lang w:val="en-US"/>
        </w:rPr>
        <w:t>.</w:t>
      </w:r>
      <w:r w:rsidRPr="00A72057">
        <w:rPr>
          <w:lang w:val="en-US"/>
        </w:rPr>
        <w:t xml:space="preserve"> Schulman, F</w:t>
      </w:r>
      <w:r>
        <w:rPr>
          <w:lang w:val="en-US"/>
        </w:rPr>
        <w:t>.</w:t>
      </w:r>
      <w:r w:rsidRPr="00A72057">
        <w:rPr>
          <w:lang w:val="en-US"/>
        </w:rPr>
        <w:t xml:space="preserve"> Wolski, P</w:t>
      </w:r>
      <w:r>
        <w:rPr>
          <w:lang w:val="en-US"/>
        </w:rPr>
        <w:t>.</w:t>
      </w:r>
      <w:r w:rsidRPr="00A72057">
        <w:rPr>
          <w:lang w:val="en-US"/>
        </w:rPr>
        <w:t xml:space="preserve"> Dhariwal, A</w:t>
      </w:r>
      <w:r>
        <w:rPr>
          <w:lang w:val="en-US"/>
        </w:rPr>
        <w:t>.</w:t>
      </w:r>
      <w:r w:rsidRPr="00A72057">
        <w:rPr>
          <w:lang w:val="en-US"/>
        </w:rPr>
        <w:t xml:space="preserve"> Radford, O</w:t>
      </w:r>
      <w:r>
        <w:rPr>
          <w:lang w:val="en-US"/>
        </w:rPr>
        <w:t>.</w:t>
      </w:r>
      <w:r w:rsidRPr="00A72057">
        <w:rPr>
          <w:lang w:val="en-US"/>
        </w:rPr>
        <w:t xml:space="preserve"> Klimov, 2017, "Proximal Policy Optimization Algorithms," arXiv:1707.06347, URL: https://arxiv.org/abs/1707.06347.</w:t>
      </w:r>
    </w:p>
    <w:p w14:paraId="5B7303F9" w14:textId="68A77A88" w:rsidR="009A442E" w:rsidRDefault="009A442E" w:rsidP="009A442E">
      <w:pPr>
        <w:pStyle w:val="Els-referenceno-number"/>
        <w:ind w:left="284" w:hanging="284"/>
        <w:jc w:val="both"/>
        <w:rPr>
          <w:lang w:val="en-US"/>
        </w:rPr>
      </w:pPr>
      <w:r w:rsidRPr="00A72057">
        <w:rPr>
          <w:lang w:val="en-US"/>
        </w:rPr>
        <w:t>J</w:t>
      </w:r>
      <w:r>
        <w:rPr>
          <w:lang w:val="en-US"/>
        </w:rPr>
        <w:t>.</w:t>
      </w:r>
      <w:r w:rsidRPr="00A72057">
        <w:rPr>
          <w:lang w:val="en-US"/>
        </w:rPr>
        <w:t xml:space="preserve"> Schulman, P</w:t>
      </w:r>
      <w:r>
        <w:rPr>
          <w:lang w:val="en-US"/>
        </w:rPr>
        <w:t>.</w:t>
      </w:r>
      <w:r w:rsidRPr="00A72057">
        <w:rPr>
          <w:lang w:val="en-US"/>
        </w:rPr>
        <w:t xml:space="preserve"> Moritz, S</w:t>
      </w:r>
      <w:r>
        <w:rPr>
          <w:lang w:val="en-US"/>
        </w:rPr>
        <w:t>.</w:t>
      </w:r>
      <w:r w:rsidRPr="00A72057">
        <w:rPr>
          <w:lang w:val="en-US"/>
        </w:rPr>
        <w:t xml:space="preserve"> Levine, M</w:t>
      </w:r>
      <w:r>
        <w:rPr>
          <w:lang w:val="en-US"/>
        </w:rPr>
        <w:t>.</w:t>
      </w:r>
      <w:r w:rsidRPr="00A72057">
        <w:rPr>
          <w:lang w:val="en-US"/>
        </w:rPr>
        <w:t xml:space="preserve"> Jordan, P</w:t>
      </w:r>
      <w:r>
        <w:rPr>
          <w:lang w:val="en-US"/>
        </w:rPr>
        <w:t>.</w:t>
      </w:r>
      <w:r w:rsidRPr="00A72057">
        <w:rPr>
          <w:lang w:val="en-US"/>
        </w:rPr>
        <w:t xml:space="preserve"> Abbeel, 2015, "High-Dimensional Continuous Control Using Generalized Advantage Estimation," arXiv:1506.02438, URL: </w:t>
      </w:r>
      <w:r w:rsidR="005F228F" w:rsidRPr="005F228F">
        <w:rPr>
          <w:lang w:val="en-US"/>
        </w:rPr>
        <w:t>https://arxiv.org/abs/1506.02438</w:t>
      </w:r>
      <w:r w:rsidRPr="00A72057">
        <w:rPr>
          <w:lang w:val="en-US"/>
        </w:rPr>
        <w:t>.</w:t>
      </w:r>
    </w:p>
    <w:p w14:paraId="0A164FEC" w14:textId="5AF06123" w:rsidR="005F228F" w:rsidRDefault="005F228F" w:rsidP="009A442E">
      <w:pPr>
        <w:pStyle w:val="Els-referenceno-number"/>
        <w:ind w:left="284" w:hanging="284"/>
        <w:jc w:val="both"/>
        <w:rPr>
          <w:lang w:val="en-US"/>
        </w:rPr>
      </w:pPr>
      <w:r w:rsidRPr="005F228F">
        <w:rPr>
          <w:lang w:val="en-US"/>
        </w:rPr>
        <w:t>D. Lee, 2020, "Comparison of Reinforcement Learning Activation Functions to Improve the Performance of the Racing Game Learning Agent," Journal of Information Processing Systems, Vol. 16, No. 5, pp. 1074–1082.</w:t>
      </w:r>
    </w:p>
    <w:p w14:paraId="23B6BECE" w14:textId="77777777" w:rsidR="005444AA" w:rsidRDefault="005444AA" w:rsidP="005444AA">
      <w:pPr>
        <w:pStyle w:val="Els-referenceno-number"/>
        <w:ind w:left="284" w:hanging="284"/>
        <w:jc w:val="both"/>
      </w:pPr>
      <w:r>
        <w:t>Diganta Misra, 2020, "Mish: A Self Regularized Non-Monotonic Activation Function," arXiv preprint arXiv:1908.08681.</w:t>
      </w:r>
    </w:p>
    <w:p w14:paraId="666C4FAE" w14:textId="77777777" w:rsidR="009A442E" w:rsidRPr="00A72057" w:rsidRDefault="009A442E" w:rsidP="009A442E">
      <w:pPr>
        <w:pStyle w:val="Els-referenceno-number"/>
        <w:ind w:left="284" w:hanging="284"/>
        <w:jc w:val="both"/>
        <w:rPr>
          <w:lang w:val="en-US"/>
        </w:rPr>
      </w:pPr>
      <w:r w:rsidRPr="00A72057">
        <w:rPr>
          <w:lang w:val="en-US"/>
        </w:rPr>
        <w:t>G</w:t>
      </w:r>
      <w:r>
        <w:rPr>
          <w:lang w:val="en-US"/>
        </w:rPr>
        <w:t>.</w:t>
      </w:r>
      <w:r w:rsidRPr="00A72057">
        <w:rPr>
          <w:lang w:val="en-US"/>
        </w:rPr>
        <w:t xml:space="preserve"> Brockman, V</w:t>
      </w:r>
      <w:r>
        <w:rPr>
          <w:lang w:val="en-US"/>
        </w:rPr>
        <w:t>.</w:t>
      </w:r>
      <w:r w:rsidRPr="00A72057">
        <w:rPr>
          <w:lang w:val="en-US"/>
        </w:rPr>
        <w:t xml:space="preserve"> Cheung, L</w:t>
      </w:r>
      <w:r>
        <w:rPr>
          <w:lang w:val="en-US"/>
        </w:rPr>
        <w:t>.</w:t>
      </w:r>
      <w:r w:rsidRPr="00A72057">
        <w:rPr>
          <w:lang w:val="en-US"/>
        </w:rPr>
        <w:t xml:space="preserve"> Pettersson, J</w:t>
      </w:r>
      <w:r>
        <w:rPr>
          <w:lang w:val="en-US"/>
        </w:rPr>
        <w:t>.</w:t>
      </w:r>
      <w:r w:rsidRPr="00A72057">
        <w:rPr>
          <w:lang w:val="en-US"/>
        </w:rPr>
        <w:t xml:space="preserve"> Schneider, J</w:t>
      </w:r>
      <w:r>
        <w:rPr>
          <w:lang w:val="en-US"/>
        </w:rPr>
        <w:t>.</w:t>
      </w:r>
      <w:r w:rsidRPr="00A72057">
        <w:rPr>
          <w:lang w:val="en-US"/>
        </w:rPr>
        <w:t xml:space="preserve"> Schulman, J</w:t>
      </w:r>
      <w:r>
        <w:rPr>
          <w:lang w:val="en-US"/>
        </w:rPr>
        <w:t>.</w:t>
      </w:r>
      <w:r w:rsidRPr="00A72057">
        <w:rPr>
          <w:lang w:val="en-US"/>
        </w:rPr>
        <w:t xml:space="preserve"> Tang, W</w:t>
      </w:r>
      <w:r>
        <w:rPr>
          <w:lang w:val="en-US"/>
        </w:rPr>
        <w:t>.</w:t>
      </w:r>
      <w:r w:rsidRPr="00A72057">
        <w:rPr>
          <w:lang w:val="en-US"/>
        </w:rPr>
        <w:t xml:space="preserve"> Zaremba, 2016, "OpenAI Gym," arXiv:1606.01540, URL: https://arxiv.org/abs/1606.01540.</w:t>
      </w:r>
    </w:p>
    <w:p w14:paraId="6439B973" w14:textId="77777777" w:rsidR="009A442E" w:rsidRPr="00A72057" w:rsidRDefault="009A442E" w:rsidP="009A442E">
      <w:pPr>
        <w:pStyle w:val="Els-referenceno-number"/>
        <w:ind w:left="284" w:hanging="284"/>
        <w:jc w:val="both"/>
        <w:rPr>
          <w:lang w:val="en-US"/>
        </w:rPr>
      </w:pPr>
      <w:r w:rsidRPr="007D3EE9">
        <w:t xml:space="preserve">F.C. Diehl, C.S. Almeida, T.K. Anzai, G.Gerevini, S. </w:t>
      </w:r>
      <w:r w:rsidRPr="00A72057">
        <w:rPr>
          <w:lang w:val="en-US"/>
        </w:rPr>
        <w:t>S</w:t>
      </w:r>
      <w:r>
        <w:rPr>
          <w:lang w:val="en-US"/>
        </w:rPr>
        <w:t>imões</w:t>
      </w:r>
      <w:r w:rsidRPr="00A72057">
        <w:rPr>
          <w:lang w:val="en-US"/>
        </w:rPr>
        <w:t xml:space="preserve"> Neto, O</w:t>
      </w:r>
      <w:r>
        <w:rPr>
          <w:lang w:val="en-US"/>
        </w:rPr>
        <w:t>.</w:t>
      </w:r>
      <w:r w:rsidRPr="00A72057">
        <w:rPr>
          <w:lang w:val="en-US"/>
        </w:rPr>
        <w:t>F. Von Meien, M</w:t>
      </w:r>
      <w:r>
        <w:rPr>
          <w:lang w:val="en-US"/>
        </w:rPr>
        <w:t>.</w:t>
      </w:r>
      <w:r w:rsidRPr="00A72057">
        <w:rPr>
          <w:lang w:val="en-US"/>
        </w:rPr>
        <w:t>C.M.M. Campos, M</w:t>
      </w:r>
      <w:r>
        <w:rPr>
          <w:lang w:val="en-US"/>
        </w:rPr>
        <w:t>.</w:t>
      </w:r>
      <w:r w:rsidRPr="00A72057">
        <w:rPr>
          <w:lang w:val="en-US"/>
        </w:rPr>
        <w:t xml:space="preserve"> Farenzena, J</w:t>
      </w:r>
      <w:r>
        <w:rPr>
          <w:lang w:val="en-US"/>
        </w:rPr>
        <w:t>.</w:t>
      </w:r>
      <w:r w:rsidRPr="00A72057">
        <w:rPr>
          <w:lang w:val="en-US"/>
        </w:rPr>
        <w:t>O. Trierweiler, 2018, "Oil production increase in unstable gas lift systems through nonlinear model predictive control," Journal of Process Control, Vol. 69, pp. 58-69, DOI: 10.1016/j.jprocont.2018.07.009.</w:t>
      </w:r>
    </w:p>
    <w:sectPr w:rsidR="009A442E" w:rsidRPr="00A72057"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CA616" w14:textId="77777777" w:rsidR="00E95F40" w:rsidRDefault="00E95F40">
      <w:r>
        <w:separator/>
      </w:r>
    </w:p>
  </w:endnote>
  <w:endnote w:type="continuationSeparator" w:id="0">
    <w:p w14:paraId="30778335" w14:textId="77777777" w:rsidR="00E95F40" w:rsidRDefault="00E9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37EBB" w14:textId="77777777" w:rsidR="00E95F40" w:rsidRDefault="00E95F40">
      <w:r>
        <w:separator/>
      </w:r>
    </w:p>
  </w:footnote>
  <w:footnote w:type="continuationSeparator" w:id="0">
    <w:p w14:paraId="26283181" w14:textId="77777777" w:rsidR="00E95F40" w:rsidRDefault="00E9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4EDFE" w14:textId="77777777" w:rsidR="00DD3D9E" w:rsidRDefault="00DD3D9E">
    <w:pPr>
      <w:pStyle w:val="Intestazione"/>
      <w:tabs>
        <w:tab w:val="clear" w:pos="7200"/>
        <w:tab w:val="right" w:pos="7088"/>
      </w:tabs>
    </w:pPr>
    <w:r>
      <w:rPr>
        <w:rStyle w:val="Numeropagina"/>
      </w:rPr>
      <w:tab/>
    </w:r>
    <w:r>
      <w:rPr>
        <w:rStyle w:val="Numeropagina"/>
        <w:i/>
      </w:rPr>
      <w:tab/>
    </w:r>
    <w:r w:rsidR="009A0739">
      <w:rPr>
        <w:i/>
      </w:rPr>
      <w:fldChar w:fldCharType="begin"/>
    </w:r>
    <w:r w:rsidR="009A0739">
      <w:rPr>
        <w:i/>
      </w:rPr>
      <w:instrText xml:space="preserve"> MACROBUTTON  AcceptAllChangesInDocAndStopTracking "J. R. T. Neto et al." </w:instrText>
    </w:r>
    <w:r w:rsidR="009A0739">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669F" w14:textId="77777777" w:rsidR="00DD3D9E" w:rsidRDefault="009A0739">
    <w:pPr>
      <w:pStyle w:val="Intestazione"/>
      <w:tabs>
        <w:tab w:val="clear" w:pos="7200"/>
        <w:tab w:val="right" w:pos="7088"/>
      </w:tabs>
      <w:jc w:val="right"/>
      <w:rPr>
        <w:sz w:val="24"/>
      </w:rPr>
    </w:pPr>
    <w:r>
      <w:rPr>
        <w:i/>
      </w:rPr>
      <w:fldChar w:fldCharType="begin"/>
    </w:r>
    <w:r>
      <w:rPr>
        <w:i/>
      </w:rPr>
      <w:instrText xml:space="preserve"> MACROBUTTON  AcceptAllChangesInDocAndStopTracking "A DRL Approach to Slug Flow Control in Oil &amp; Gas Applications" </w:instrText>
    </w:r>
    <w:r>
      <w:rPr>
        <w:i/>
      </w:rPr>
      <w:fldChar w:fldCharType="end"/>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F619"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6704F6B2"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655E"/>
    <w:rsid w:val="0001264C"/>
    <w:rsid w:val="0001537D"/>
    <w:rsid w:val="000610E0"/>
    <w:rsid w:val="000731D5"/>
    <w:rsid w:val="00075D13"/>
    <w:rsid w:val="000857F8"/>
    <w:rsid w:val="00093A0B"/>
    <w:rsid w:val="000C4E64"/>
    <w:rsid w:val="000C661F"/>
    <w:rsid w:val="000D0181"/>
    <w:rsid w:val="000D2296"/>
    <w:rsid w:val="000D3D9B"/>
    <w:rsid w:val="000F48C6"/>
    <w:rsid w:val="00103D24"/>
    <w:rsid w:val="00114A1C"/>
    <w:rsid w:val="00122E81"/>
    <w:rsid w:val="00143C40"/>
    <w:rsid w:val="00146329"/>
    <w:rsid w:val="001475D0"/>
    <w:rsid w:val="0016032F"/>
    <w:rsid w:val="0018588E"/>
    <w:rsid w:val="001879F6"/>
    <w:rsid w:val="0019429E"/>
    <w:rsid w:val="001A2D31"/>
    <w:rsid w:val="001C0148"/>
    <w:rsid w:val="001C757E"/>
    <w:rsid w:val="00201CAF"/>
    <w:rsid w:val="0020390F"/>
    <w:rsid w:val="00213DFE"/>
    <w:rsid w:val="0021450D"/>
    <w:rsid w:val="00214F2A"/>
    <w:rsid w:val="002210D1"/>
    <w:rsid w:val="002335F4"/>
    <w:rsid w:val="00236624"/>
    <w:rsid w:val="00243164"/>
    <w:rsid w:val="00264926"/>
    <w:rsid w:val="0027145D"/>
    <w:rsid w:val="00283D47"/>
    <w:rsid w:val="00295FA5"/>
    <w:rsid w:val="002A46C9"/>
    <w:rsid w:val="002B4746"/>
    <w:rsid w:val="002C132F"/>
    <w:rsid w:val="003007DC"/>
    <w:rsid w:val="00301FA0"/>
    <w:rsid w:val="00321C3F"/>
    <w:rsid w:val="0032251B"/>
    <w:rsid w:val="003410D8"/>
    <w:rsid w:val="00343C9F"/>
    <w:rsid w:val="00366884"/>
    <w:rsid w:val="00393622"/>
    <w:rsid w:val="003B2082"/>
    <w:rsid w:val="003C0CB4"/>
    <w:rsid w:val="003C12CE"/>
    <w:rsid w:val="003C4CF1"/>
    <w:rsid w:val="003C6070"/>
    <w:rsid w:val="003D1582"/>
    <w:rsid w:val="003D7E4C"/>
    <w:rsid w:val="003E41C2"/>
    <w:rsid w:val="003F19AB"/>
    <w:rsid w:val="004015B8"/>
    <w:rsid w:val="004225E2"/>
    <w:rsid w:val="00457205"/>
    <w:rsid w:val="00457362"/>
    <w:rsid w:val="004836B0"/>
    <w:rsid w:val="0049772C"/>
    <w:rsid w:val="004C0EC7"/>
    <w:rsid w:val="004C17E1"/>
    <w:rsid w:val="004C2CCB"/>
    <w:rsid w:val="004F4877"/>
    <w:rsid w:val="00500ED2"/>
    <w:rsid w:val="005052EA"/>
    <w:rsid w:val="005126F7"/>
    <w:rsid w:val="0051607C"/>
    <w:rsid w:val="00542E41"/>
    <w:rsid w:val="005444AA"/>
    <w:rsid w:val="00551282"/>
    <w:rsid w:val="00552EEB"/>
    <w:rsid w:val="005857E6"/>
    <w:rsid w:val="0059068F"/>
    <w:rsid w:val="005B04E1"/>
    <w:rsid w:val="005B4DC8"/>
    <w:rsid w:val="005B564C"/>
    <w:rsid w:val="005B6657"/>
    <w:rsid w:val="005B728E"/>
    <w:rsid w:val="005C4079"/>
    <w:rsid w:val="005C4ED0"/>
    <w:rsid w:val="005D48BF"/>
    <w:rsid w:val="005F228F"/>
    <w:rsid w:val="005F65B7"/>
    <w:rsid w:val="00610B90"/>
    <w:rsid w:val="006258D7"/>
    <w:rsid w:val="0063353D"/>
    <w:rsid w:val="00646A60"/>
    <w:rsid w:val="00646C4B"/>
    <w:rsid w:val="006651C8"/>
    <w:rsid w:val="00690853"/>
    <w:rsid w:val="00690951"/>
    <w:rsid w:val="00691749"/>
    <w:rsid w:val="0069452A"/>
    <w:rsid w:val="006A69BF"/>
    <w:rsid w:val="006B0238"/>
    <w:rsid w:val="006B6552"/>
    <w:rsid w:val="006B6ABB"/>
    <w:rsid w:val="006C307D"/>
    <w:rsid w:val="006F56C2"/>
    <w:rsid w:val="007000C2"/>
    <w:rsid w:val="00711DF4"/>
    <w:rsid w:val="00715474"/>
    <w:rsid w:val="00730596"/>
    <w:rsid w:val="00745D52"/>
    <w:rsid w:val="007475B4"/>
    <w:rsid w:val="00755620"/>
    <w:rsid w:val="00760E68"/>
    <w:rsid w:val="007A05E2"/>
    <w:rsid w:val="007A2635"/>
    <w:rsid w:val="007A61F6"/>
    <w:rsid w:val="007B21CD"/>
    <w:rsid w:val="007B3599"/>
    <w:rsid w:val="007C2FD3"/>
    <w:rsid w:val="007C4F6C"/>
    <w:rsid w:val="007D3EE9"/>
    <w:rsid w:val="007D70A1"/>
    <w:rsid w:val="007F0D98"/>
    <w:rsid w:val="00806547"/>
    <w:rsid w:val="00811992"/>
    <w:rsid w:val="008132E8"/>
    <w:rsid w:val="00820371"/>
    <w:rsid w:val="00823407"/>
    <w:rsid w:val="00825BEC"/>
    <w:rsid w:val="00827348"/>
    <w:rsid w:val="00831493"/>
    <w:rsid w:val="00843A11"/>
    <w:rsid w:val="00844978"/>
    <w:rsid w:val="008618D1"/>
    <w:rsid w:val="00890233"/>
    <w:rsid w:val="008B0184"/>
    <w:rsid w:val="008C2336"/>
    <w:rsid w:val="008C5D02"/>
    <w:rsid w:val="008D2649"/>
    <w:rsid w:val="008E6213"/>
    <w:rsid w:val="008F1A95"/>
    <w:rsid w:val="0090197E"/>
    <w:rsid w:val="0090568D"/>
    <w:rsid w:val="00911526"/>
    <w:rsid w:val="009125C9"/>
    <w:rsid w:val="00913879"/>
    <w:rsid w:val="00917661"/>
    <w:rsid w:val="00921DD8"/>
    <w:rsid w:val="00934A87"/>
    <w:rsid w:val="009513FD"/>
    <w:rsid w:val="00967892"/>
    <w:rsid w:val="00970E5D"/>
    <w:rsid w:val="00974BB1"/>
    <w:rsid w:val="0097701C"/>
    <w:rsid w:val="0098058B"/>
    <w:rsid w:val="00980A65"/>
    <w:rsid w:val="00983132"/>
    <w:rsid w:val="009A0739"/>
    <w:rsid w:val="009A442E"/>
    <w:rsid w:val="009B5E7A"/>
    <w:rsid w:val="009C5281"/>
    <w:rsid w:val="009C626B"/>
    <w:rsid w:val="00A16F39"/>
    <w:rsid w:val="00A25E70"/>
    <w:rsid w:val="00A27969"/>
    <w:rsid w:val="00A33765"/>
    <w:rsid w:val="00A4121A"/>
    <w:rsid w:val="00A4640B"/>
    <w:rsid w:val="00A536C8"/>
    <w:rsid w:val="00A63269"/>
    <w:rsid w:val="00A71DAE"/>
    <w:rsid w:val="00A72057"/>
    <w:rsid w:val="00A73ABE"/>
    <w:rsid w:val="00A7430C"/>
    <w:rsid w:val="00A763FB"/>
    <w:rsid w:val="00A808EC"/>
    <w:rsid w:val="00A84DDE"/>
    <w:rsid w:val="00A85389"/>
    <w:rsid w:val="00A92377"/>
    <w:rsid w:val="00AB22D8"/>
    <w:rsid w:val="00AB29ED"/>
    <w:rsid w:val="00AB58FA"/>
    <w:rsid w:val="00AE45A6"/>
    <w:rsid w:val="00AE4BD8"/>
    <w:rsid w:val="00AE6112"/>
    <w:rsid w:val="00AF0CA8"/>
    <w:rsid w:val="00AF6CBF"/>
    <w:rsid w:val="00B058CA"/>
    <w:rsid w:val="00B13527"/>
    <w:rsid w:val="00B2627E"/>
    <w:rsid w:val="00B27DC3"/>
    <w:rsid w:val="00B356E5"/>
    <w:rsid w:val="00B40468"/>
    <w:rsid w:val="00B4388F"/>
    <w:rsid w:val="00B63237"/>
    <w:rsid w:val="00B754EB"/>
    <w:rsid w:val="00BA666E"/>
    <w:rsid w:val="00BB4281"/>
    <w:rsid w:val="00BC2781"/>
    <w:rsid w:val="00BD2BF7"/>
    <w:rsid w:val="00BE3FAE"/>
    <w:rsid w:val="00BE5688"/>
    <w:rsid w:val="00BF2E8B"/>
    <w:rsid w:val="00C12F0A"/>
    <w:rsid w:val="00C51C19"/>
    <w:rsid w:val="00C5699B"/>
    <w:rsid w:val="00C8787C"/>
    <w:rsid w:val="00C960DC"/>
    <w:rsid w:val="00CA2B9B"/>
    <w:rsid w:val="00CA7701"/>
    <w:rsid w:val="00CB63ED"/>
    <w:rsid w:val="00CD2A0A"/>
    <w:rsid w:val="00CD5F12"/>
    <w:rsid w:val="00CF0167"/>
    <w:rsid w:val="00D02C75"/>
    <w:rsid w:val="00D061DE"/>
    <w:rsid w:val="00D07DBA"/>
    <w:rsid w:val="00D1005C"/>
    <w:rsid w:val="00D10E22"/>
    <w:rsid w:val="00D11A41"/>
    <w:rsid w:val="00D13D2C"/>
    <w:rsid w:val="00D13EB1"/>
    <w:rsid w:val="00D23686"/>
    <w:rsid w:val="00D30656"/>
    <w:rsid w:val="00D31A6E"/>
    <w:rsid w:val="00D61620"/>
    <w:rsid w:val="00D632D8"/>
    <w:rsid w:val="00D63B8E"/>
    <w:rsid w:val="00D67117"/>
    <w:rsid w:val="00D9009B"/>
    <w:rsid w:val="00D92C9C"/>
    <w:rsid w:val="00DA0E42"/>
    <w:rsid w:val="00DB2AEF"/>
    <w:rsid w:val="00DB44B1"/>
    <w:rsid w:val="00DB5F99"/>
    <w:rsid w:val="00DC2F94"/>
    <w:rsid w:val="00DD3D9E"/>
    <w:rsid w:val="00DD4D0A"/>
    <w:rsid w:val="00DD6379"/>
    <w:rsid w:val="00DD7908"/>
    <w:rsid w:val="00DE11B0"/>
    <w:rsid w:val="00DE2C75"/>
    <w:rsid w:val="00DE3BFD"/>
    <w:rsid w:val="00DE429C"/>
    <w:rsid w:val="00DF7DF7"/>
    <w:rsid w:val="00E17C4D"/>
    <w:rsid w:val="00E21E09"/>
    <w:rsid w:val="00E25132"/>
    <w:rsid w:val="00E31419"/>
    <w:rsid w:val="00E33E0E"/>
    <w:rsid w:val="00E45B7F"/>
    <w:rsid w:val="00E5556F"/>
    <w:rsid w:val="00E559FE"/>
    <w:rsid w:val="00E60628"/>
    <w:rsid w:val="00E731F2"/>
    <w:rsid w:val="00E82297"/>
    <w:rsid w:val="00E826D4"/>
    <w:rsid w:val="00E83547"/>
    <w:rsid w:val="00E9459E"/>
    <w:rsid w:val="00E95F40"/>
    <w:rsid w:val="00EA75B5"/>
    <w:rsid w:val="00EB5564"/>
    <w:rsid w:val="00EC76E1"/>
    <w:rsid w:val="00ED682B"/>
    <w:rsid w:val="00EE0108"/>
    <w:rsid w:val="00EF39FD"/>
    <w:rsid w:val="00F06842"/>
    <w:rsid w:val="00F107FD"/>
    <w:rsid w:val="00F1437C"/>
    <w:rsid w:val="00F32FDD"/>
    <w:rsid w:val="00F35322"/>
    <w:rsid w:val="00F367C7"/>
    <w:rsid w:val="00F47DBA"/>
    <w:rsid w:val="00F644C6"/>
    <w:rsid w:val="00F73849"/>
    <w:rsid w:val="00F872B4"/>
    <w:rsid w:val="00FA0E49"/>
    <w:rsid w:val="00FB12EE"/>
    <w:rsid w:val="00FB5171"/>
    <w:rsid w:val="00FB64A8"/>
    <w:rsid w:val="00FB69D7"/>
    <w:rsid w:val="00FD1004"/>
    <w:rsid w:val="00FD1665"/>
    <w:rsid w:val="00FE7613"/>
    <w:rsid w:val="00FF2BDF"/>
    <w:rsid w:val="00FF3DF5"/>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85357"/>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F872B4"/>
    <w:rPr>
      <w:color w:val="605E5C"/>
      <w:shd w:val="clear" w:color="auto" w:fill="E1DFDD"/>
    </w:rPr>
  </w:style>
  <w:style w:type="character" w:styleId="Testosegnaposto">
    <w:name w:val="Placeholder Text"/>
    <w:basedOn w:val="Carpredefinitoparagrafo"/>
    <w:uiPriority w:val="99"/>
    <w:semiHidden/>
    <w:rsid w:val="00BA666E"/>
    <w:rPr>
      <w:color w:val="808080"/>
    </w:rPr>
  </w:style>
  <w:style w:type="table" w:styleId="Grigliatabella">
    <w:name w:val="Table Grid"/>
    <w:basedOn w:val="Tabellanormale"/>
    <w:uiPriority w:val="59"/>
    <w:rsid w:val="0097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6B6552"/>
    <w:rPr>
      <w:b/>
      <w:bCs/>
    </w:rPr>
  </w:style>
  <w:style w:type="character" w:customStyle="1" w:styleId="katex-mathml">
    <w:name w:val="katex-mathml"/>
    <w:basedOn w:val="Carpredefinitoparagrafo"/>
    <w:rsid w:val="006B6552"/>
  </w:style>
  <w:style w:type="character" w:customStyle="1" w:styleId="mord">
    <w:name w:val="mord"/>
    <w:basedOn w:val="Carpredefinitoparagrafo"/>
    <w:rsid w:val="006B6552"/>
  </w:style>
  <w:style w:type="character" w:customStyle="1" w:styleId="mbin">
    <w:name w:val="mbin"/>
    <w:basedOn w:val="Carpredefinitoparagrafo"/>
    <w:rsid w:val="006B6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5498">
      <w:bodyDiv w:val="1"/>
      <w:marLeft w:val="0"/>
      <w:marRight w:val="0"/>
      <w:marTop w:val="0"/>
      <w:marBottom w:val="0"/>
      <w:divBdr>
        <w:top w:val="none" w:sz="0" w:space="0" w:color="auto"/>
        <w:left w:val="none" w:sz="0" w:space="0" w:color="auto"/>
        <w:bottom w:val="none" w:sz="0" w:space="0" w:color="auto"/>
        <w:right w:val="none" w:sz="0" w:space="0" w:color="auto"/>
      </w:divBdr>
    </w:div>
    <w:div w:id="59251552">
      <w:bodyDiv w:val="1"/>
      <w:marLeft w:val="0"/>
      <w:marRight w:val="0"/>
      <w:marTop w:val="0"/>
      <w:marBottom w:val="0"/>
      <w:divBdr>
        <w:top w:val="none" w:sz="0" w:space="0" w:color="auto"/>
        <w:left w:val="none" w:sz="0" w:space="0" w:color="auto"/>
        <w:bottom w:val="none" w:sz="0" w:space="0" w:color="auto"/>
        <w:right w:val="none" w:sz="0" w:space="0" w:color="auto"/>
      </w:divBdr>
    </w:div>
    <w:div w:id="148249696">
      <w:bodyDiv w:val="1"/>
      <w:marLeft w:val="0"/>
      <w:marRight w:val="0"/>
      <w:marTop w:val="0"/>
      <w:marBottom w:val="0"/>
      <w:divBdr>
        <w:top w:val="none" w:sz="0" w:space="0" w:color="auto"/>
        <w:left w:val="none" w:sz="0" w:space="0" w:color="auto"/>
        <w:bottom w:val="none" w:sz="0" w:space="0" w:color="auto"/>
        <w:right w:val="none" w:sz="0" w:space="0" w:color="auto"/>
      </w:divBdr>
    </w:div>
    <w:div w:id="346444680">
      <w:bodyDiv w:val="1"/>
      <w:marLeft w:val="0"/>
      <w:marRight w:val="0"/>
      <w:marTop w:val="0"/>
      <w:marBottom w:val="0"/>
      <w:divBdr>
        <w:top w:val="none" w:sz="0" w:space="0" w:color="auto"/>
        <w:left w:val="none" w:sz="0" w:space="0" w:color="auto"/>
        <w:bottom w:val="none" w:sz="0" w:space="0" w:color="auto"/>
        <w:right w:val="none" w:sz="0" w:space="0" w:color="auto"/>
      </w:divBdr>
    </w:div>
    <w:div w:id="376319195">
      <w:bodyDiv w:val="1"/>
      <w:marLeft w:val="0"/>
      <w:marRight w:val="0"/>
      <w:marTop w:val="0"/>
      <w:marBottom w:val="0"/>
      <w:divBdr>
        <w:top w:val="none" w:sz="0" w:space="0" w:color="auto"/>
        <w:left w:val="none" w:sz="0" w:space="0" w:color="auto"/>
        <w:bottom w:val="none" w:sz="0" w:space="0" w:color="auto"/>
        <w:right w:val="none" w:sz="0" w:space="0" w:color="auto"/>
      </w:divBdr>
    </w:div>
    <w:div w:id="418985023">
      <w:bodyDiv w:val="1"/>
      <w:marLeft w:val="0"/>
      <w:marRight w:val="0"/>
      <w:marTop w:val="0"/>
      <w:marBottom w:val="0"/>
      <w:divBdr>
        <w:top w:val="none" w:sz="0" w:space="0" w:color="auto"/>
        <w:left w:val="none" w:sz="0" w:space="0" w:color="auto"/>
        <w:bottom w:val="none" w:sz="0" w:space="0" w:color="auto"/>
        <w:right w:val="none" w:sz="0" w:space="0" w:color="auto"/>
      </w:divBdr>
    </w:div>
    <w:div w:id="436870642">
      <w:bodyDiv w:val="1"/>
      <w:marLeft w:val="0"/>
      <w:marRight w:val="0"/>
      <w:marTop w:val="0"/>
      <w:marBottom w:val="0"/>
      <w:divBdr>
        <w:top w:val="none" w:sz="0" w:space="0" w:color="auto"/>
        <w:left w:val="none" w:sz="0" w:space="0" w:color="auto"/>
        <w:bottom w:val="none" w:sz="0" w:space="0" w:color="auto"/>
        <w:right w:val="none" w:sz="0" w:space="0" w:color="auto"/>
      </w:divBdr>
      <w:divsChild>
        <w:div w:id="979387364">
          <w:marLeft w:val="0"/>
          <w:marRight w:val="0"/>
          <w:marTop w:val="0"/>
          <w:marBottom w:val="0"/>
          <w:divBdr>
            <w:top w:val="none" w:sz="0" w:space="0" w:color="auto"/>
            <w:left w:val="none" w:sz="0" w:space="0" w:color="auto"/>
            <w:bottom w:val="none" w:sz="0" w:space="0" w:color="auto"/>
            <w:right w:val="none" w:sz="0" w:space="0" w:color="auto"/>
          </w:divBdr>
          <w:divsChild>
            <w:div w:id="13469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35294">
      <w:bodyDiv w:val="1"/>
      <w:marLeft w:val="0"/>
      <w:marRight w:val="0"/>
      <w:marTop w:val="0"/>
      <w:marBottom w:val="0"/>
      <w:divBdr>
        <w:top w:val="none" w:sz="0" w:space="0" w:color="auto"/>
        <w:left w:val="none" w:sz="0" w:space="0" w:color="auto"/>
        <w:bottom w:val="none" w:sz="0" w:space="0" w:color="auto"/>
        <w:right w:val="none" w:sz="0" w:space="0" w:color="auto"/>
      </w:divBdr>
    </w:div>
    <w:div w:id="544369134">
      <w:bodyDiv w:val="1"/>
      <w:marLeft w:val="0"/>
      <w:marRight w:val="0"/>
      <w:marTop w:val="0"/>
      <w:marBottom w:val="0"/>
      <w:divBdr>
        <w:top w:val="none" w:sz="0" w:space="0" w:color="auto"/>
        <w:left w:val="none" w:sz="0" w:space="0" w:color="auto"/>
        <w:bottom w:val="none" w:sz="0" w:space="0" w:color="auto"/>
        <w:right w:val="none" w:sz="0" w:space="0" w:color="auto"/>
      </w:divBdr>
    </w:div>
    <w:div w:id="709836913">
      <w:bodyDiv w:val="1"/>
      <w:marLeft w:val="0"/>
      <w:marRight w:val="0"/>
      <w:marTop w:val="0"/>
      <w:marBottom w:val="0"/>
      <w:divBdr>
        <w:top w:val="none" w:sz="0" w:space="0" w:color="auto"/>
        <w:left w:val="none" w:sz="0" w:space="0" w:color="auto"/>
        <w:bottom w:val="none" w:sz="0" w:space="0" w:color="auto"/>
        <w:right w:val="none" w:sz="0" w:space="0" w:color="auto"/>
      </w:divBdr>
    </w:div>
    <w:div w:id="714962431">
      <w:bodyDiv w:val="1"/>
      <w:marLeft w:val="0"/>
      <w:marRight w:val="0"/>
      <w:marTop w:val="0"/>
      <w:marBottom w:val="0"/>
      <w:divBdr>
        <w:top w:val="none" w:sz="0" w:space="0" w:color="auto"/>
        <w:left w:val="none" w:sz="0" w:space="0" w:color="auto"/>
        <w:bottom w:val="none" w:sz="0" w:space="0" w:color="auto"/>
        <w:right w:val="none" w:sz="0" w:space="0" w:color="auto"/>
      </w:divBdr>
    </w:div>
    <w:div w:id="807824839">
      <w:bodyDiv w:val="1"/>
      <w:marLeft w:val="0"/>
      <w:marRight w:val="0"/>
      <w:marTop w:val="0"/>
      <w:marBottom w:val="0"/>
      <w:divBdr>
        <w:top w:val="none" w:sz="0" w:space="0" w:color="auto"/>
        <w:left w:val="none" w:sz="0" w:space="0" w:color="auto"/>
        <w:bottom w:val="none" w:sz="0" w:space="0" w:color="auto"/>
        <w:right w:val="none" w:sz="0" w:space="0" w:color="auto"/>
      </w:divBdr>
    </w:div>
    <w:div w:id="893202760">
      <w:bodyDiv w:val="1"/>
      <w:marLeft w:val="0"/>
      <w:marRight w:val="0"/>
      <w:marTop w:val="0"/>
      <w:marBottom w:val="0"/>
      <w:divBdr>
        <w:top w:val="none" w:sz="0" w:space="0" w:color="auto"/>
        <w:left w:val="none" w:sz="0" w:space="0" w:color="auto"/>
        <w:bottom w:val="none" w:sz="0" w:space="0" w:color="auto"/>
        <w:right w:val="none" w:sz="0" w:space="0" w:color="auto"/>
      </w:divBdr>
      <w:divsChild>
        <w:div w:id="1599755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46545750">
      <w:bodyDiv w:val="1"/>
      <w:marLeft w:val="0"/>
      <w:marRight w:val="0"/>
      <w:marTop w:val="0"/>
      <w:marBottom w:val="0"/>
      <w:divBdr>
        <w:top w:val="none" w:sz="0" w:space="0" w:color="auto"/>
        <w:left w:val="none" w:sz="0" w:space="0" w:color="auto"/>
        <w:bottom w:val="none" w:sz="0" w:space="0" w:color="auto"/>
        <w:right w:val="none" w:sz="0" w:space="0" w:color="auto"/>
      </w:divBdr>
    </w:div>
    <w:div w:id="959458851">
      <w:bodyDiv w:val="1"/>
      <w:marLeft w:val="0"/>
      <w:marRight w:val="0"/>
      <w:marTop w:val="0"/>
      <w:marBottom w:val="0"/>
      <w:divBdr>
        <w:top w:val="none" w:sz="0" w:space="0" w:color="auto"/>
        <w:left w:val="none" w:sz="0" w:space="0" w:color="auto"/>
        <w:bottom w:val="none" w:sz="0" w:space="0" w:color="auto"/>
        <w:right w:val="none" w:sz="0" w:space="0" w:color="auto"/>
      </w:divBdr>
    </w:div>
    <w:div w:id="974676421">
      <w:bodyDiv w:val="1"/>
      <w:marLeft w:val="0"/>
      <w:marRight w:val="0"/>
      <w:marTop w:val="0"/>
      <w:marBottom w:val="0"/>
      <w:divBdr>
        <w:top w:val="none" w:sz="0" w:space="0" w:color="auto"/>
        <w:left w:val="none" w:sz="0" w:space="0" w:color="auto"/>
        <w:bottom w:val="none" w:sz="0" w:space="0" w:color="auto"/>
        <w:right w:val="none" w:sz="0" w:space="0" w:color="auto"/>
      </w:divBdr>
    </w:div>
    <w:div w:id="978803571">
      <w:bodyDiv w:val="1"/>
      <w:marLeft w:val="0"/>
      <w:marRight w:val="0"/>
      <w:marTop w:val="0"/>
      <w:marBottom w:val="0"/>
      <w:divBdr>
        <w:top w:val="none" w:sz="0" w:space="0" w:color="auto"/>
        <w:left w:val="none" w:sz="0" w:space="0" w:color="auto"/>
        <w:bottom w:val="none" w:sz="0" w:space="0" w:color="auto"/>
        <w:right w:val="none" w:sz="0" w:space="0" w:color="auto"/>
      </w:divBdr>
      <w:divsChild>
        <w:div w:id="400643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99389348">
      <w:bodyDiv w:val="1"/>
      <w:marLeft w:val="0"/>
      <w:marRight w:val="0"/>
      <w:marTop w:val="0"/>
      <w:marBottom w:val="0"/>
      <w:divBdr>
        <w:top w:val="none" w:sz="0" w:space="0" w:color="auto"/>
        <w:left w:val="none" w:sz="0" w:space="0" w:color="auto"/>
        <w:bottom w:val="none" w:sz="0" w:space="0" w:color="auto"/>
        <w:right w:val="none" w:sz="0" w:space="0" w:color="auto"/>
      </w:divBdr>
    </w:div>
    <w:div w:id="1078869633">
      <w:bodyDiv w:val="1"/>
      <w:marLeft w:val="0"/>
      <w:marRight w:val="0"/>
      <w:marTop w:val="0"/>
      <w:marBottom w:val="0"/>
      <w:divBdr>
        <w:top w:val="none" w:sz="0" w:space="0" w:color="auto"/>
        <w:left w:val="none" w:sz="0" w:space="0" w:color="auto"/>
        <w:bottom w:val="none" w:sz="0" w:space="0" w:color="auto"/>
        <w:right w:val="none" w:sz="0" w:space="0" w:color="auto"/>
      </w:divBdr>
    </w:div>
    <w:div w:id="1169517443">
      <w:bodyDiv w:val="1"/>
      <w:marLeft w:val="0"/>
      <w:marRight w:val="0"/>
      <w:marTop w:val="0"/>
      <w:marBottom w:val="0"/>
      <w:divBdr>
        <w:top w:val="none" w:sz="0" w:space="0" w:color="auto"/>
        <w:left w:val="none" w:sz="0" w:space="0" w:color="auto"/>
        <w:bottom w:val="none" w:sz="0" w:space="0" w:color="auto"/>
        <w:right w:val="none" w:sz="0" w:space="0" w:color="auto"/>
      </w:divBdr>
    </w:div>
    <w:div w:id="1220479771">
      <w:bodyDiv w:val="1"/>
      <w:marLeft w:val="0"/>
      <w:marRight w:val="0"/>
      <w:marTop w:val="0"/>
      <w:marBottom w:val="0"/>
      <w:divBdr>
        <w:top w:val="none" w:sz="0" w:space="0" w:color="auto"/>
        <w:left w:val="none" w:sz="0" w:space="0" w:color="auto"/>
        <w:bottom w:val="none" w:sz="0" w:space="0" w:color="auto"/>
        <w:right w:val="none" w:sz="0" w:space="0" w:color="auto"/>
      </w:divBdr>
    </w:div>
    <w:div w:id="1245068269">
      <w:bodyDiv w:val="1"/>
      <w:marLeft w:val="0"/>
      <w:marRight w:val="0"/>
      <w:marTop w:val="0"/>
      <w:marBottom w:val="0"/>
      <w:divBdr>
        <w:top w:val="none" w:sz="0" w:space="0" w:color="auto"/>
        <w:left w:val="none" w:sz="0" w:space="0" w:color="auto"/>
        <w:bottom w:val="none" w:sz="0" w:space="0" w:color="auto"/>
        <w:right w:val="none" w:sz="0" w:space="0" w:color="auto"/>
      </w:divBdr>
      <w:divsChild>
        <w:div w:id="1401251507">
          <w:marLeft w:val="0"/>
          <w:marRight w:val="0"/>
          <w:marTop w:val="0"/>
          <w:marBottom w:val="0"/>
          <w:divBdr>
            <w:top w:val="single" w:sz="2" w:space="0" w:color="D9D9E3"/>
            <w:left w:val="single" w:sz="2" w:space="0" w:color="D9D9E3"/>
            <w:bottom w:val="single" w:sz="2" w:space="0" w:color="D9D9E3"/>
            <w:right w:val="single" w:sz="2" w:space="0" w:color="D9D9E3"/>
          </w:divBdr>
          <w:divsChild>
            <w:div w:id="1040667025">
              <w:marLeft w:val="0"/>
              <w:marRight w:val="0"/>
              <w:marTop w:val="0"/>
              <w:marBottom w:val="0"/>
              <w:divBdr>
                <w:top w:val="single" w:sz="2" w:space="0" w:color="D9D9E3"/>
                <w:left w:val="single" w:sz="2" w:space="0" w:color="D9D9E3"/>
                <w:bottom w:val="single" w:sz="2" w:space="0" w:color="D9D9E3"/>
                <w:right w:val="single" w:sz="2" w:space="0" w:color="D9D9E3"/>
              </w:divBdr>
              <w:divsChild>
                <w:div w:id="1496648556">
                  <w:marLeft w:val="0"/>
                  <w:marRight w:val="0"/>
                  <w:marTop w:val="0"/>
                  <w:marBottom w:val="0"/>
                  <w:divBdr>
                    <w:top w:val="single" w:sz="2" w:space="0" w:color="D9D9E3"/>
                    <w:left w:val="single" w:sz="2" w:space="0" w:color="D9D9E3"/>
                    <w:bottom w:val="single" w:sz="2" w:space="0" w:color="D9D9E3"/>
                    <w:right w:val="single" w:sz="2" w:space="0" w:color="D9D9E3"/>
                  </w:divBdr>
                  <w:divsChild>
                    <w:div w:id="161513059">
                      <w:marLeft w:val="0"/>
                      <w:marRight w:val="0"/>
                      <w:marTop w:val="0"/>
                      <w:marBottom w:val="0"/>
                      <w:divBdr>
                        <w:top w:val="single" w:sz="2" w:space="0" w:color="D9D9E3"/>
                        <w:left w:val="single" w:sz="2" w:space="0" w:color="D9D9E3"/>
                        <w:bottom w:val="single" w:sz="2" w:space="0" w:color="D9D9E3"/>
                        <w:right w:val="single" w:sz="2" w:space="0" w:color="D9D9E3"/>
                      </w:divBdr>
                      <w:divsChild>
                        <w:div w:id="1771467597">
                          <w:marLeft w:val="0"/>
                          <w:marRight w:val="0"/>
                          <w:marTop w:val="0"/>
                          <w:marBottom w:val="0"/>
                          <w:divBdr>
                            <w:top w:val="single" w:sz="2" w:space="0" w:color="D9D9E3"/>
                            <w:left w:val="single" w:sz="2" w:space="0" w:color="D9D9E3"/>
                            <w:bottom w:val="single" w:sz="2" w:space="0" w:color="D9D9E3"/>
                            <w:right w:val="single" w:sz="2" w:space="0" w:color="D9D9E3"/>
                          </w:divBdr>
                          <w:divsChild>
                            <w:div w:id="2020236981">
                              <w:marLeft w:val="0"/>
                              <w:marRight w:val="0"/>
                              <w:marTop w:val="100"/>
                              <w:marBottom w:val="100"/>
                              <w:divBdr>
                                <w:top w:val="single" w:sz="2" w:space="0" w:color="D9D9E3"/>
                                <w:left w:val="single" w:sz="2" w:space="0" w:color="D9D9E3"/>
                                <w:bottom w:val="single" w:sz="2" w:space="0" w:color="D9D9E3"/>
                                <w:right w:val="single" w:sz="2" w:space="0" w:color="D9D9E3"/>
                              </w:divBdr>
                              <w:divsChild>
                                <w:div w:id="848721127">
                                  <w:marLeft w:val="0"/>
                                  <w:marRight w:val="0"/>
                                  <w:marTop w:val="0"/>
                                  <w:marBottom w:val="0"/>
                                  <w:divBdr>
                                    <w:top w:val="single" w:sz="2" w:space="0" w:color="D9D9E3"/>
                                    <w:left w:val="single" w:sz="2" w:space="0" w:color="D9D9E3"/>
                                    <w:bottom w:val="single" w:sz="2" w:space="0" w:color="D9D9E3"/>
                                    <w:right w:val="single" w:sz="2" w:space="0" w:color="D9D9E3"/>
                                  </w:divBdr>
                                  <w:divsChild>
                                    <w:div w:id="1938949976">
                                      <w:marLeft w:val="0"/>
                                      <w:marRight w:val="0"/>
                                      <w:marTop w:val="0"/>
                                      <w:marBottom w:val="0"/>
                                      <w:divBdr>
                                        <w:top w:val="single" w:sz="2" w:space="0" w:color="D9D9E3"/>
                                        <w:left w:val="single" w:sz="2" w:space="0" w:color="D9D9E3"/>
                                        <w:bottom w:val="single" w:sz="2" w:space="0" w:color="D9D9E3"/>
                                        <w:right w:val="single" w:sz="2" w:space="0" w:color="D9D9E3"/>
                                      </w:divBdr>
                                      <w:divsChild>
                                        <w:div w:id="1708221133">
                                          <w:marLeft w:val="0"/>
                                          <w:marRight w:val="0"/>
                                          <w:marTop w:val="0"/>
                                          <w:marBottom w:val="0"/>
                                          <w:divBdr>
                                            <w:top w:val="single" w:sz="2" w:space="0" w:color="D9D9E3"/>
                                            <w:left w:val="single" w:sz="2" w:space="0" w:color="D9D9E3"/>
                                            <w:bottom w:val="single" w:sz="2" w:space="0" w:color="D9D9E3"/>
                                            <w:right w:val="single" w:sz="2" w:space="0" w:color="D9D9E3"/>
                                          </w:divBdr>
                                          <w:divsChild>
                                            <w:div w:id="1668241133">
                                              <w:marLeft w:val="0"/>
                                              <w:marRight w:val="0"/>
                                              <w:marTop w:val="0"/>
                                              <w:marBottom w:val="0"/>
                                              <w:divBdr>
                                                <w:top w:val="single" w:sz="2" w:space="0" w:color="D9D9E3"/>
                                                <w:left w:val="single" w:sz="2" w:space="0" w:color="D9D9E3"/>
                                                <w:bottom w:val="single" w:sz="2" w:space="0" w:color="D9D9E3"/>
                                                <w:right w:val="single" w:sz="2" w:space="0" w:color="D9D9E3"/>
                                              </w:divBdr>
                                              <w:divsChild>
                                                <w:div w:id="1437604411">
                                                  <w:marLeft w:val="0"/>
                                                  <w:marRight w:val="0"/>
                                                  <w:marTop w:val="0"/>
                                                  <w:marBottom w:val="0"/>
                                                  <w:divBdr>
                                                    <w:top w:val="single" w:sz="2" w:space="0" w:color="D9D9E3"/>
                                                    <w:left w:val="single" w:sz="2" w:space="0" w:color="D9D9E3"/>
                                                    <w:bottom w:val="single" w:sz="2" w:space="0" w:color="D9D9E3"/>
                                                    <w:right w:val="single" w:sz="2" w:space="0" w:color="D9D9E3"/>
                                                  </w:divBdr>
                                                  <w:divsChild>
                                                    <w:div w:id="1584024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19641763">
          <w:marLeft w:val="0"/>
          <w:marRight w:val="0"/>
          <w:marTop w:val="0"/>
          <w:marBottom w:val="0"/>
          <w:divBdr>
            <w:top w:val="none" w:sz="0" w:space="0" w:color="auto"/>
            <w:left w:val="none" w:sz="0" w:space="0" w:color="auto"/>
            <w:bottom w:val="none" w:sz="0" w:space="0" w:color="auto"/>
            <w:right w:val="none" w:sz="0" w:space="0" w:color="auto"/>
          </w:divBdr>
        </w:div>
      </w:divsChild>
    </w:div>
    <w:div w:id="1255937918">
      <w:bodyDiv w:val="1"/>
      <w:marLeft w:val="0"/>
      <w:marRight w:val="0"/>
      <w:marTop w:val="0"/>
      <w:marBottom w:val="0"/>
      <w:divBdr>
        <w:top w:val="none" w:sz="0" w:space="0" w:color="auto"/>
        <w:left w:val="none" w:sz="0" w:space="0" w:color="auto"/>
        <w:bottom w:val="none" w:sz="0" w:space="0" w:color="auto"/>
        <w:right w:val="none" w:sz="0" w:space="0" w:color="auto"/>
      </w:divBdr>
    </w:div>
    <w:div w:id="1414427742">
      <w:bodyDiv w:val="1"/>
      <w:marLeft w:val="0"/>
      <w:marRight w:val="0"/>
      <w:marTop w:val="0"/>
      <w:marBottom w:val="0"/>
      <w:divBdr>
        <w:top w:val="none" w:sz="0" w:space="0" w:color="auto"/>
        <w:left w:val="none" w:sz="0" w:space="0" w:color="auto"/>
        <w:bottom w:val="none" w:sz="0" w:space="0" w:color="auto"/>
        <w:right w:val="none" w:sz="0" w:space="0" w:color="auto"/>
      </w:divBdr>
    </w:div>
    <w:div w:id="1500999403">
      <w:bodyDiv w:val="1"/>
      <w:marLeft w:val="0"/>
      <w:marRight w:val="0"/>
      <w:marTop w:val="0"/>
      <w:marBottom w:val="0"/>
      <w:divBdr>
        <w:top w:val="none" w:sz="0" w:space="0" w:color="auto"/>
        <w:left w:val="none" w:sz="0" w:space="0" w:color="auto"/>
        <w:bottom w:val="none" w:sz="0" w:space="0" w:color="auto"/>
        <w:right w:val="none" w:sz="0" w:space="0" w:color="auto"/>
      </w:divBdr>
    </w:div>
    <w:div w:id="1528714636">
      <w:bodyDiv w:val="1"/>
      <w:marLeft w:val="0"/>
      <w:marRight w:val="0"/>
      <w:marTop w:val="0"/>
      <w:marBottom w:val="0"/>
      <w:divBdr>
        <w:top w:val="none" w:sz="0" w:space="0" w:color="auto"/>
        <w:left w:val="none" w:sz="0" w:space="0" w:color="auto"/>
        <w:bottom w:val="none" w:sz="0" w:space="0" w:color="auto"/>
        <w:right w:val="none" w:sz="0" w:space="0" w:color="auto"/>
      </w:divBdr>
    </w:div>
    <w:div w:id="1548376644">
      <w:bodyDiv w:val="1"/>
      <w:marLeft w:val="0"/>
      <w:marRight w:val="0"/>
      <w:marTop w:val="0"/>
      <w:marBottom w:val="0"/>
      <w:divBdr>
        <w:top w:val="none" w:sz="0" w:space="0" w:color="auto"/>
        <w:left w:val="none" w:sz="0" w:space="0" w:color="auto"/>
        <w:bottom w:val="none" w:sz="0" w:space="0" w:color="auto"/>
        <w:right w:val="none" w:sz="0" w:space="0" w:color="auto"/>
      </w:divBdr>
    </w:div>
    <w:div w:id="1636832547">
      <w:bodyDiv w:val="1"/>
      <w:marLeft w:val="0"/>
      <w:marRight w:val="0"/>
      <w:marTop w:val="0"/>
      <w:marBottom w:val="0"/>
      <w:divBdr>
        <w:top w:val="none" w:sz="0" w:space="0" w:color="auto"/>
        <w:left w:val="none" w:sz="0" w:space="0" w:color="auto"/>
        <w:bottom w:val="none" w:sz="0" w:space="0" w:color="auto"/>
        <w:right w:val="none" w:sz="0" w:space="0" w:color="auto"/>
      </w:divBdr>
    </w:div>
    <w:div w:id="1669626672">
      <w:bodyDiv w:val="1"/>
      <w:marLeft w:val="0"/>
      <w:marRight w:val="0"/>
      <w:marTop w:val="0"/>
      <w:marBottom w:val="0"/>
      <w:divBdr>
        <w:top w:val="none" w:sz="0" w:space="0" w:color="auto"/>
        <w:left w:val="none" w:sz="0" w:space="0" w:color="auto"/>
        <w:bottom w:val="none" w:sz="0" w:space="0" w:color="auto"/>
        <w:right w:val="none" w:sz="0" w:space="0" w:color="auto"/>
      </w:divBdr>
    </w:div>
    <w:div w:id="1797064161">
      <w:bodyDiv w:val="1"/>
      <w:marLeft w:val="0"/>
      <w:marRight w:val="0"/>
      <w:marTop w:val="0"/>
      <w:marBottom w:val="0"/>
      <w:divBdr>
        <w:top w:val="none" w:sz="0" w:space="0" w:color="auto"/>
        <w:left w:val="none" w:sz="0" w:space="0" w:color="auto"/>
        <w:bottom w:val="none" w:sz="0" w:space="0" w:color="auto"/>
        <w:right w:val="none" w:sz="0" w:space="0" w:color="auto"/>
      </w:divBdr>
    </w:div>
    <w:div w:id="1850098893">
      <w:bodyDiv w:val="1"/>
      <w:marLeft w:val="0"/>
      <w:marRight w:val="0"/>
      <w:marTop w:val="0"/>
      <w:marBottom w:val="0"/>
      <w:divBdr>
        <w:top w:val="none" w:sz="0" w:space="0" w:color="auto"/>
        <w:left w:val="none" w:sz="0" w:space="0" w:color="auto"/>
        <w:bottom w:val="none" w:sz="0" w:space="0" w:color="auto"/>
        <w:right w:val="none" w:sz="0" w:space="0" w:color="auto"/>
      </w:divBdr>
    </w:div>
    <w:div w:id="1870215954">
      <w:bodyDiv w:val="1"/>
      <w:marLeft w:val="0"/>
      <w:marRight w:val="0"/>
      <w:marTop w:val="0"/>
      <w:marBottom w:val="0"/>
      <w:divBdr>
        <w:top w:val="none" w:sz="0" w:space="0" w:color="auto"/>
        <w:left w:val="none" w:sz="0" w:space="0" w:color="auto"/>
        <w:bottom w:val="none" w:sz="0" w:space="0" w:color="auto"/>
        <w:right w:val="none" w:sz="0" w:space="0" w:color="auto"/>
      </w:divBdr>
    </w:div>
    <w:div w:id="1902982546">
      <w:bodyDiv w:val="1"/>
      <w:marLeft w:val="0"/>
      <w:marRight w:val="0"/>
      <w:marTop w:val="0"/>
      <w:marBottom w:val="0"/>
      <w:divBdr>
        <w:top w:val="none" w:sz="0" w:space="0" w:color="auto"/>
        <w:left w:val="none" w:sz="0" w:space="0" w:color="auto"/>
        <w:bottom w:val="none" w:sz="0" w:space="0" w:color="auto"/>
        <w:right w:val="none" w:sz="0" w:space="0" w:color="auto"/>
      </w:divBdr>
    </w:div>
    <w:div w:id="1929387497">
      <w:bodyDiv w:val="1"/>
      <w:marLeft w:val="0"/>
      <w:marRight w:val="0"/>
      <w:marTop w:val="0"/>
      <w:marBottom w:val="0"/>
      <w:divBdr>
        <w:top w:val="none" w:sz="0" w:space="0" w:color="auto"/>
        <w:left w:val="none" w:sz="0" w:space="0" w:color="auto"/>
        <w:bottom w:val="none" w:sz="0" w:space="0" w:color="auto"/>
        <w:right w:val="none" w:sz="0" w:space="0" w:color="auto"/>
      </w:divBdr>
    </w:div>
    <w:div w:id="1930573868">
      <w:bodyDiv w:val="1"/>
      <w:marLeft w:val="0"/>
      <w:marRight w:val="0"/>
      <w:marTop w:val="0"/>
      <w:marBottom w:val="0"/>
      <w:divBdr>
        <w:top w:val="none" w:sz="0" w:space="0" w:color="auto"/>
        <w:left w:val="none" w:sz="0" w:space="0" w:color="auto"/>
        <w:bottom w:val="none" w:sz="0" w:space="0" w:color="auto"/>
        <w:right w:val="none" w:sz="0" w:space="0" w:color="auto"/>
      </w:divBdr>
    </w:div>
    <w:div w:id="1946495360">
      <w:bodyDiv w:val="1"/>
      <w:marLeft w:val="0"/>
      <w:marRight w:val="0"/>
      <w:marTop w:val="0"/>
      <w:marBottom w:val="0"/>
      <w:divBdr>
        <w:top w:val="none" w:sz="0" w:space="0" w:color="auto"/>
        <w:left w:val="none" w:sz="0" w:space="0" w:color="auto"/>
        <w:bottom w:val="none" w:sz="0" w:space="0" w:color="auto"/>
        <w:right w:val="none" w:sz="0" w:space="0" w:color="auto"/>
      </w:divBdr>
    </w:div>
    <w:div w:id="2053529897">
      <w:bodyDiv w:val="1"/>
      <w:marLeft w:val="0"/>
      <w:marRight w:val="0"/>
      <w:marTop w:val="0"/>
      <w:marBottom w:val="0"/>
      <w:divBdr>
        <w:top w:val="none" w:sz="0" w:space="0" w:color="auto"/>
        <w:left w:val="none" w:sz="0" w:space="0" w:color="auto"/>
        <w:bottom w:val="none" w:sz="0" w:space="0" w:color="auto"/>
        <w:right w:val="none" w:sz="0" w:space="0" w:color="auto"/>
      </w:divBdr>
    </w:div>
    <w:div w:id="20890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neto@eq.ufrj.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E88C-3502-44BE-A8AE-DC015897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703</TotalTime>
  <Pages>6</Pages>
  <Words>2393</Words>
  <Characters>14696</Characters>
  <Application>Microsoft Office Word</Application>
  <DocSecurity>0</DocSecurity>
  <Lines>122</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40</cp:revision>
  <cp:lastPrinted>2004-12-17T09:20:00Z</cp:lastPrinted>
  <dcterms:created xsi:type="dcterms:W3CDTF">2023-11-27T11:25:00Z</dcterms:created>
  <dcterms:modified xsi:type="dcterms:W3CDTF">2024-01-23T16:46:00Z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