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BE3EE3A" w:rsidR="00DD3D9E" w:rsidRPr="00AE4885" w:rsidRDefault="00AE4885">
      <w:pPr>
        <w:pStyle w:val="Els-Title"/>
        <w:rPr>
          <w:color w:val="000000" w:themeColor="text1"/>
          <w:lang w:val="en-GB"/>
        </w:rPr>
      </w:pPr>
      <w:r w:rsidRPr="00AE4885">
        <w:rPr>
          <w:color w:val="000000" w:themeColor="text1"/>
        </w:rPr>
        <w:t>Cleaning Kinetic Model for Carbohydrates- and Protein-based Stains in Automatic Dishwasher</w:t>
      </w:r>
    </w:p>
    <w:p w14:paraId="646F397F" w14:textId="5F216AAB" w:rsidR="00AE4885" w:rsidRPr="00AE4885" w:rsidRDefault="00AE4885" w:rsidP="00AE4885">
      <w:pPr>
        <w:pStyle w:val="Els-Author"/>
        <w:rPr>
          <w:lang w:val="es-ES"/>
        </w:rPr>
      </w:pPr>
      <w:r w:rsidRPr="00AE4885">
        <w:rPr>
          <w:lang w:val="es-ES"/>
        </w:rPr>
        <w:t>José E. Roldán-San Antonio</w:t>
      </w:r>
      <w:r w:rsidR="00C11B9D">
        <w:rPr>
          <w:lang w:val="es-ES"/>
        </w:rPr>
        <w:t>,</w:t>
      </w:r>
      <w:r w:rsidRPr="00AE4885">
        <w:rPr>
          <w:vertAlign w:val="superscript"/>
          <w:lang w:val="es-ES"/>
        </w:rPr>
        <w:t>a</w:t>
      </w:r>
      <w:r w:rsidR="005E6B7F">
        <w:rPr>
          <w:vertAlign w:val="superscript"/>
          <w:lang w:val="es-ES"/>
        </w:rPr>
        <w:t>,*</w:t>
      </w:r>
      <w:r w:rsidRPr="00AE4885">
        <w:rPr>
          <w:lang w:val="es-ES"/>
        </w:rPr>
        <w:t xml:space="preserve"> Carlos Amador</w:t>
      </w:r>
      <w:r w:rsidR="00C11B9D">
        <w:rPr>
          <w:lang w:val="es-ES"/>
        </w:rPr>
        <w:t>,</w:t>
      </w:r>
      <w:r w:rsidRPr="00AE4885">
        <w:rPr>
          <w:vertAlign w:val="superscript"/>
          <w:lang w:val="es-ES"/>
        </w:rPr>
        <w:t>b</w:t>
      </w:r>
      <w:r w:rsidRPr="00AE4885">
        <w:rPr>
          <w:lang w:val="es-ES"/>
        </w:rPr>
        <w:t xml:space="preserve"> Mariano Martín</w:t>
      </w:r>
      <w:r w:rsidR="00055B8A">
        <w:rPr>
          <w:lang w:val="es-ES"/>
        </w:rPr>
        <w:t>,</w:t>
      </w:r>
      <w:r w:rsidRPr="00AE4885">
        <w:rPr>
          <w:vertAlign w:val="superscript"/>
          <w:lang w:val="es-ES"/>
        </w:rPr>
        <w:t>a</w:t>
      </w:r>
      <w:r w:rsidRPr="00AE4885">
        <w:rPr>
          <w:lang w:val="es-ES"/>
        </w:rPr>
        <w:t xml:space="preserve"> Kevin Blyth</w:t>
      </w:r>
      <w:r w:rsidR="00C11B9D">
        <w:rPr>
          <w:lang w:val="es-ES"/>
        </w:rPr>
        <w:t>,</w:t>
      </w:r>
      <w:r w:rsidRPr="00AE4885">
        <w:rPr>
          <w:vertAlign w:val="superscript"/>
          <w:lang w:val="es-ES"/>
        </w:rPr>
        <w:t>b</w:t>
      </w:r>
      <w:r w:rsidR="00C11B9D">
        <w:rPr>
          <w:lang w:val="es-ES"/>
        </w:rPr>
        <w:t xml:space="preserve"> </w:t>
      </w:r>
      <w:r w:rsidRPr="00AE4885">
        <w:rPr>
          <w:lang w:val="es-ES"/>
        </w:rPr>
        <w:t>Vania C. Croce Mago</w:t>
      </w:r>
      <w:r w:rsidRPr="00AE4885">
        <w:rPr>
          <w:vertAlign w:val="superscript"/>
          <w:lang w:val="es-ES"/>
        </w:rPr>
        <w:t>b</w:t>
      </w:r>
    </w:p>
    <w:p w14:paraId="134DA21D" w14:textId="7686D396" w:rsidR="00AE4885" w:rsidRDefault="00AE4885">
      <w:pPr>
        <w:pStyle w:val="Els-Affiliation"/>
      </w:pPr>
      <w:r w:rsidRPr="00AE4885">
        <w:rPr>
          <w:vertAlign w:val="superscript"/>
        </w:rPr>
        <w:t>a</w:t>
      </w:r>
      <w:r w:rsidR="00C11B9D">
        <w:rPr>
          <w:vertAlign w:val="superscript"/>
        </w:rPr>
        <w:t xml:space="preserve"> </w:t>
      </w:r>
      <w:r w:rsidRPr="00AE4885">
        <w:t>Department of Chemical Engineering, University of Salamanca, Plaza Caídos 1-5</w:t>
      </w:r>
      <w:r>
        <w:t xml:space="preserve">, </w:t>
      </w:r>
      <w:r w:rsidRPr="00AE4885">
        <w:t>Salamanca</w:t>
      </w:r>
      <w:r>
        <w:t>,</w:t>
      </w:r>
      <w:r w:rsidRPr="00AE4885">
        <w:t xml:space="preserve"> 37008, Spain</w:t>
      </w:r>
    </w:p>
    <w:p w14:paraId="674B5144" w14:textId="6E456028" w:rsidR="00AE4885" w:rsidRDefault="00AE4885">
      <w:pPr>
        <w:pStyle w:val="Els-Affiliation"/>
      </w:pPr>
      <w:r w:rsidRPr="00C11B9D">
        <w:rPr>
          <w:vertAlign w:val="superscript"/>
        </w:rPr>
        <w:t>b</w:t>
      </w:r>
      <w:r w:rsidR="00C11B9D">
        <w:t xml:space="preserve"> </w:t>
      </w:r>
      <w:r w:rsidRPr="00AE4885">
        <w:t>Procter &amp; Gamble Ltd., Newcastle Innovation Centre, Newcastle Upon Tyne,</w:t>
      </w:r>
      <w:r>
        <w:t xml:space="preserve"> </w:t>
      </w:r>
      <w:r w:rsidRPr="00AE4885">
        <w:t>NE12 9BZ,</w:t>
      </w:r>
      <w:r>
        <w:t xml:space="preserve"> </w:t>
      </w:r>
      <w:r w:rsidRPr="00AE4885">
        <w:t>UK.</w:t>
      </w:r>
    </w:p>
    <w:p w14:paraId="144DE683" w14:textId="5AB19BF9" w:rsidR="008D2649" w:rsidRDefault="00000000" w:rsidP="008D2649">
      <w:pPr>
        <w:pStyle w:val="Els-Affiliation"/>
        <w:spacing w:after="120"/>
      </w:pPr>
      <w:hyperlink r:id="rId8" w:history="1">
        <w:r w:rsidR="00D376E8" w:rsidRPr="003105F5">
          <w:rPr>
            <w:rStyle w:val="Hipervnculo"/>
          </w:rPr>
          <w:t>joseenrique@usal.es</w:t>
        </w:r>
      </w:hyperlink>
    </w:p>
    <w:p w14:paraId="144DE684" w14:textId="77777777" w:rsidR="008D2649" w:rsidRDefault="008D2649" w:rsidP="008D2649">
      <w:pPr>
        <w:pStyle w:val="Els-Abstract"/>
      </w:pPr>
      <w:r>
        <w:t>Abstract</w:t>
      </w:r>
    </w:p>
    <w:p w14:paraId="77BA7F7C" w14:textId="47F52818" w:rsidR="00F05722" w:rsidRDefault="00F05722" w:rsidP="008D2649">
      <w:pPr>
        <w:pStyle w:val="Els-body-text"/>
        <w:spacing w:after="120"/>
        <w:rPr>
          <w:lang w:val="en-GB"/>
        </w:rPr>
      </w:pPr>
      <w:r w:rsidRPr="00F05722">
        <w:rPr>
          <w:lang w:val="en-GB"/>
        </w:rPr>
        <w:t xml:space="preserve">A mechanistic model </w:t>
      </w:r>
      <w:r w:rsidR="009E66AE">
        <w:rPr>
          <w:lang w:val="en-GB"/>
        </w:rPr>
        <w:t xml:space="preserve">capable </w:t>
      </w:r>
      <w:r w:rsidR="00BC580F">
        <w:rPr>
          <w:lang w:val="en-GB"/>
        </w:rPr>
        <w:t>of</w:t>
      </w:r>
      <w:r w:rsidRPr="00F05722">
        <w:rPr>
          <w:lang w:val="en-GB"/>
        </w:rPr>
        <w:t xml:space="preserve"> </w:t>
      </w:r>
      <w:r w:rsidR="00BC580F">
        <w:rPr>
          <w:lang w:val="en-GB"/>
        </w:rPr>
        <w:t xml:space="preserve">describing </w:t>
      </w:r>
      <w:r w:rsidRPr="00F05722">
        <w:rPr>
          <w:lang w:val="en-GB"/>
        </w:rPr>
        <w:t xml:space="preserve">the cleaning mechanism of protein-based and carbohydrate-based stains in an automatic dishwasher (ADW) is proposed. </w:t>
      </w:r>
      <w:r w:rsidR="0005300B">
        <w:rPr>
          <w:lang w:val="en-GB"/>
        </w:rPr>
        <w:t>The effect of s</w:t>
      </w:r>
      <w:r w:rsidRPr="00F05722">
        <w:rPr>
          <w:lang w:val="en-GB"/>
        </w:rPr>
        <w:t xml:space="preserve">everal factors such as pH, temperature, water hardness, bleaching and chelating agents, surfactants, builder, and functional polyacrylate </w:t>
      </w:r>
      <w:r w:rsidR="00034FAE">
        <w:rPr>
          <w:lang w:val="en-GB"/>
        </w:rPr>
        <w:t>in</w:t>
      </w:r>
      <w:r w:rsidRPr="00F05722">
        <w:rPr>
          <w:lang w:val="en-GB"/>
        </w:rPr>
        <w:t xml:space="preserve"> different cycles </w:t>
      </w:r>
      <w:r w:rsidR="00BC580F">
        <w:rPr>
          <w:lang w:val="en-GB"/>
        </w:rPr>
        <w:t xml:space="preserve">of </w:t>
      </w:r>
      <w:r w:rsidRPr="00F05722">
        <w:rPr>
          <w:lang w:val="en-GB"/>
        </w:rPr>
        <w:t>dishwashers were studied</w:t>
      </w:r>
      <w:r w:rsidR="0005300B">
        <w:rPr>
          <w:lang w:val="en-GB"/>
        </w:rPr>
        <w:t>.</w:t>
      </w:r>
      <w:r w:rsidRPr="00F05722">
        <w:rPr>
          <w:lang w:val="en-GB"/>
        </w:rPr>
        <w:t xml:space="preserve"> A </w:t>
      </w:r>
      <w:r w:rsidR="00D8035E">
        <w:rPr>
          <w:lang w:val="en-GB"/>
        </w:rPr>
        <w:t>three</w:t>
      </w:r>
      <w:r w:rsidR="00B20B6E">
        <w:rPr>
          <w:lang w:val="en-GB"/>
        </w:rPr>
        <w:t xml:space="preserve"> </w:t>
      </w:r>
      <w:r w:rsidR="00B20B6E" w:rsidRPr="002647A5">
        <w:t>–</w:t>
      </w:r>
      <w:r w:rsidR="00B20B6E">
        <w:t xml:space="preserve"> </w:t>
      </w:r>
      <w:r w:rsidR="00D8035E">
        <w:rPr>
          <w:lang w:val="en-GB"/>
        </w:rPr>
        <w:t xml:space="preserve">stage procedure is used. First, a </w:t>
      </w:r>
      <w:r w:rsidRPr="00F05722">
        <w:rPr>
          <w:lang w:val="en-GB"/>
        </w:rPr>
        <w:t xml:space="preserve">statistical analysis based on response surface methodology (RSM) was conducted to identify the </w:t>
      </w:r>
      <w:r w:rsidR="0005300B">
        <w:rPr>
          <w:lang w:val="en-GB"/>
        </w:rPr>
        <w:t>impact</w:t>
      </w:r>
      <w:r w:rsidRPr="00F05722">
        <w:rPr>
          <w:lang w:val="en-GB"/>
        </w:rPr>
        <w:t xml:space="preserve"> of the most significant </w:t>
      </w:r>
      <w:r w:rsidR="00E85B2C">
        <w:rPr>
          <w:lang w:val="en-GB"/>
        </w:rPr>
        <w:t>variables</w:t>
      </w:r>
      <w:r w:rsidRPr="00F05722">
        <w:rPr>
          <w:lang w:val="en-GB"/>
        </w:rPr>
        <w:t xml:space="preserve"> in the cleaning of each stain. Both stains cleaning was highly dependent by enzymatic action. However, protein-based stain was the only</w:t>
      </w:r>
      <w:r w:rsidR="000C4D26">
        <w:rPr>
          <w:lang w:val="en-GB"/>
        </w:rPr>
        <w:t xml:space="preserve"> </w:t>
      </w:r>
      <w:r w:rsidRPr="00F05722">
        <w:rPr>
          <w:lang w:val="en-GB"/>
        </w:rPr>
        <w:t>where its colour was compromised by the action of bleaching agents.</w:t>
      </w:r>
      <w:r w:rsidR="007524B6" w:rsidRPr="007524B6">
        <w:t xml:space="preserve"> </w:t>
      </w:r>
      <w:r w:rsidR="007524B6">
        <w:t>Next, t</w:t>
      </w:r>
      <w:r w:rsidR="007524B6" w:rsidRPr="007524B6">
        <w:rPr>
          <w:lang w:val="en-GB"/>
        </w:rPr>
        <w:t xml:space="preserve">he kinetic mechanisms of the significant technologies, were proposed and integrated in a unique </w:t>
      </w:r>
      <w:r w:rsidR="00E85B2C">
        <w:rPr>
          <w:lang w:val="en-GB"/>
        </w:rPr>
        <w:t xml:space="preserve">dynamic </w:t>
      </w:r>
      <w:r w:rsidR="007524B6" w:rsidRPr="007524B6">
        <w:rPr>
          <w:lang w:val="en-GB"/>
        </w:rPr>
        <w:t>model based on non-linear differential equations, including the stability of enzymes and bleaching compounds</w:t>
      </w:r>
      <w:r w:rsidRPr="00F05722">
        <w:rPr>
          <w:lang w:val="en-GB"/>
        </w:rPr>
        <w:t>. Subsequently, the parameter estimation was done employing Levenberg-Marquardt nonlinear least squares algorithm. Finally, a validation of the mechanistic model for each stain was carried out, getting a determination coefficient higher than 0.</w:t>
      </w:r>
      <w:r w:rsidR="00524992">
        <w:rPr>
          <w:lang w:val="en-GB"/>
        </w:rPr>
        <w:t>8</w:t>
      </w:r>
      <w:r w:rsidRPr="00F05722">
        <w:rPr>
          <w:lang w:val="en-GB"/>
        </w:rPr>
        <w:t xml:space="preserve"> for carbohydrate-based and protein-based stains respectively, capturing most of the variation in stain cleanliness.</w:t>
      </w:r>
    </w:p>
    <w:p w14:paraId="144DE687" w14:textId="1A663E42" w:rsidR="008D2649" w:rsidRDefault="008D2649" w:rsidP="008D2649">
      <w:pPr>
        <w:pStyle w:val="Els-body-text"/>
        <w:spacing w:after="120"/>
        <w:rPr>
          <w:lang w:val="en-GB"/>
        </w:rPr>
      </w:pPr>
      <w:r>
        <w:rPr>
          <w:b/>
          <w:bCs/>
          <w:lang w:val="en-GB"/>
        </w:rPr>
        <w:t>Keywords</w:t>
      </w:r>
      <w:r>
        <w:rPr>
          <w:lang w:val="en-GB"/>
        </w:rPr>
        <w:t xml:space="preserve">: </w:t>
      </w:r>
      <w:r w:rsidR="00F05722">
        <w:rPr>
          <w:lang w:val="en-GB"/>
        </w:rPr>
        <w:t>Stain Removal, Automatic Dishwasher, Cleaning Model</w:t>
      </w:r>
      <w:r>
        <w:rPr>
          <w:lang w:val="en-GB"/>
        </w:rPr>
        <w:t>.</w:t>
      </w:r>
    </w:p>
    <w:p w14:paraId="144DE689" w14:textId="7ADEAD7F" w:rsidR="008D2649" w:rsidRDefault="00F05722" w:rsidP="008D2649">
      <w:pPr>
        <w:pStyle w:val="Els-1storder-head"/>
      </w:pPr>
      <w:r>
        <w:t>Introduction</w:t>
      </w:r>
    </w:p>
    <w:p w14:paraId="4E872DC0" w14:textId="44EA6F9E" w:rsidR="00F05722" w:rsidRDefault="00F05722" w:rsidP="00F05722">
      <w:pPr>
        <w:pStyle w:val="Els-body-text"/>
      </w:pPr>
      <w:r>
        <w:t xml:space="preserve">Millions of people every day clean dishes, being the dishwashing a common practice around the world. Automatic dishwasher contributes with a significant reduction of water and energy consumption (75% and 25% respectively) compared </w:t>
      </w:r>
      <w:r w:rsidR="00545D75">
        <w:t>to</w:t>
      </w:r>
      <w:r>
        <w:t xml:space="preserve"> hand washing</w:t>
      </w:r>
      <w:r w:rsidR="00BB7614">
        <w:t xml:space="preserve"> </w:t>
      </w:r>
      <w:r w:rsidR="00BB7614">
        <w:fldChar w:fldCharType="begin" w:fldLock="1"/>
      </w:r>
      <w:r w:rsidR="00BB7614">
        <w:instrText>ADDIN CSL_CITATION {"citationItems":[{"id":"ITEM-1","itemData":{"DOI":"10.1111/j.1470-6431.2009.00840.x","ISSN":"1470-6423","author":[{"dropping-particle":"","family":"Berkholz","given":"Petra","non-dropping-particle":"","parse-names":false,"suffix":""},{"dropping-particle":"","family":"Stamminger","given":"Rainer","non-dropping-particle":"","parse-names":false,"suffix":""},{"dropping-particle":"","family":"Wnuk","given":"Gabi","non-dropping-particle":"","parse-names":false,"suffix":""},{"dropping-particle":"","family":"Owens","given":"Jeremy","non-dropping-particle":"","parse-names":false,"suffix":""},{"dropping-particle":"","family":"Bernarde","given":"Simone","non-dropping-particle":"","parse-names":false,"suffix":""}],"container-title":"International journal of consumer studies","id":"ITEM-1","issue":"2","issued":{"date-parts":[["2010"]]},"page":"235-242","publisher":"Wiley Online Library","title":"Manual dishwashing habits: an empirical analysis of UK consumers","type":"article-journal","volume":"34"},"uris":["http://www.mendeley.com/documents/?uuid=4fabdee7-95cd-450a-a29c-9e5ea481fc90"]}],"mendeley":{"formattedCitation":"(Berkholz et al., 2010)","plainTextFormattedCitation":"(Berkholz et al., 2010)","previouslyFormattedCitation":"(Berkholz et al., 2010)"},"properties":{"noteIndex":0},"schema":"https://github.com/citation-style-language/schema/raw/master/csl-citation.json"}</w:instrText>
      </w:r>
      <w:r w:rsidR="00BB7614">
        <w:fldChar w:fldCharType="separate"/>
      </w:r>
      <w:r w:rsidR="00BB7614" w:rsidRPr="00BB7614">
        <w:rPr>
          <w:noProof/>
        </w:rPr>
        <w:t>(Berkholz et al., 2010)</w:t>
      </w:r>
      <w:r w:rsidR="00BB7614">
        <w:fldChar w:fldCharType="end"/>
      </w:r>
      <w:r>
        <w:t>. The cleaning in</w:t>
      </w:r>
      <w:r w:rsidR="00F00739">
        <w:t xml:space="preserve">side </w:t>
      </w:r>
      <w:r w:rsidR="00F25386">
        <w:t>an</w:t>
      </w:r>
      <w:r>
        <w:t xml:space="preserve"> ADW involves complex physical and chemical process</w:t>
      </w:r>
      <w:r w:rsidR="00545D75">
        <w:t>es</w:t>
      </w:r>
      <w:r>
        <w:t xml:space="preserve"> which affect the cleaning performance being highly linked between </w:t>
      </w:r>
      <w:r w:rsidR="00BB7614">
        <w:fldChar w:fldCharType="begin" w:fldLock="1"/>
      </w:r>
      <w:r w:rsidR="00CA3785">
        <w:instrText>ADDIN CSL_CITATION {"citationItems":[{"id":"ITEM-1","itemData":{"DOI":"10.1016/j.jfoodeng.2016.09.031","ISSN":"0260-8774","author":[{"dropping-particle":"","family":"Pérez-Mohedano","given":"Raul","non-dropping-particle":"","parse-names":false,"suffix":""},{"dropping-particle":"","family":"Letzelter","given":"N","non-dropping-particle":"","parse-names":false,"suffix":""},{"dropping-particle":"","family":"Bakalis","given":"Serafim","non-dropping-particle":"","parse-names":false,"suffix":""}],"container-title":"Journal of Food Engineering","id":"ITEM-1","issued":{"date-parts":[["2017"]]},"page":"101-112","publisher":"Elsevier","title":"Integrated model for the prediction of cleaning profiles inside an automatic dishwasher","type":"article-journal","volume":"196"},"uris":["http://www.mendeley.com/documents/?uuid=a4a5d743-dcf5-4ab8-9461-195729bbc069"]}],"mendeley":{"formattedCitation":"(Pérez-Mohedano et al., 2017)","plainTextFormattedCitation":"(Pérez-Mohedano et al., 2017)","previouslyFormattedCitation":"(Pérez-Mohedano et al., 2017)"},"properties":{"noteIndex":0},"schema":"https://github.com/citation-style-language/schema/raw/master/csl-citation.json"}</w:instrText>
      </w:r>
      <w:r w:rsidR="00BB7614">
        <w:fldChar w:fldCharType="separate"/>
      </w:r>
      <w:r w:rsidR="00BB7614" w:rsidRPr="00BB7614">
        <w:rPr>
          <w:noProof/>
        </w:rPr>
        <w:t>(Pérez-Mohedano et al., 2017)</w:t>
      </w:r>
      <w:r w:rsidR="00BB7614">
        <w:fldChar w:fldCharType="end"/>
      </w:r>
      <w:r w:rsidR="00BB7614">
        <w:t xml:space="preserve">. </w:t>
      </w:r>
      <w:r w:rsidR="00E85B2C">
        <w:t>The</w:t>
      </w:r>
      <w:r w:rsidR="003D01B8">
        <w:t xml:space="preserve"> </w:t>
      </w:r>
      <w:r>
        <w:t xml:space="preserve">optimization of cleanliness, sustainability and operating costs is </w:t>
      </w:r>
      <w:r w:rsidR="00545D75">
        <w:t xml:space="preserve">only </w:t>
      </w:r>
      <w:r>
        <w:t xml:space="preserve">possible by understanding the cleaning mechanisms involved. Several techniques have been used to analyze the stain removal behavior during cleaning such as micromanipulation technique based on a stainless-steel probe to measure the adhesive forces </w:t>
      </w:r>
      <w:r w:rsidR="00CA3785">
        <w:fldChar w:fldCharType="begin" w:fldLock="1"/>
      </w:r>
      <w:r w:rsidR="00230A93">
        <w:instrText>ADDIN CSL_CITATION {"citationItems":[{"id":"ITEM-1","itemData":{"DOI":"10.1205/096030802321154790","ISSN":"0960-3085","author":[{"dropping-particle":"","family":"Liu","given":"Wei","non-dropping-particle":"","parse-names":false,"suffix":""},{"dropping-particle":"","family":"Christian","given":"G K","non-dropping-particle":"","parse-names":false,"suffix":""},{"dropping-particle":"","family":"Zhang","given":"Zhibing","non-dropping-particle":"","parse-names":false,"suffix":""},{"dropping-particle":"","family":"Fryer","given":"P J","non-dropping-particle":"","parse-names":false,"suffix":""}],"container-title":"Food and bioproducts processing","id":"ITEM-1","issue":"4","issued":{"date-parts":[["2002"]]},"page":"286-291","publisher":"Elsevier","title":"Development and use of a micromanipulation technique for measuring the force required to disrupt and remove fouling deposits","type":"article-journal","volume":"80"},"uris":["http://www.mendeley.com/documents/?uuid=2546bafa-834a-4402-811f-b221e588cd1c"]}],"mendeley":{"formattedCitation":"(Liu et al., 2002)","plainTextFormattedCitation":"(Liu et al., 2002)","previouslyFormattedCitation":"(Liu et al., 2002)"},"properties":{"noteIndex":0},"schema":"https://github.com/citation-style-language/schema/raw/master/csl-citation.json"}</w:instrText>
      </w:r>
      <w:r w:rsidR="00CA3785">
        <w:fldChar w:fldCharType="separate"/>
      </w:r>
      <w:r w:rsidR="00CA3785" w:rsidRPr="00CA3785">
        <w:rPr>
          <w:noProof/>
        </w:rPr>
        <w:t>(Liu et al., 2002)</w:t>
      </w:r>
      <w:r w:rsidR="00CA3785">
        <w:fldChar w:fldCharType="end"/>
      </w:r>
      <w:r>
        <w:t xml:space="preserve">, millimanipulation technique to study highly adhesive soils </w:t>
      </w:r>
      <w:r w:rsidR="00230A93">
        <w:fldChar w:fldCharType="begin" w:fldLock="1"/>
      </w:r>
      <w:r w:rsidR="00CB17B0">
        <w:instrText>ADDIN CSL_CITATION {"citationItems":[{"id":"ITEM-1","itemData":{"DOI":"10.1016/j.fbp.2014.09.001","ISSN":"0960-3085","author":[{"dropping-particle":"","family":"Ali","given":"Akin","non-dropping-particle":"","parse-names":false,"suffix":""},{"dropping-particle":"","family":"De’Ath","given":"Dominic","non-dropping-particle":"","parse-names":false,"suffix":""},{"dropping-particle":"","family":"Gibson","given":"Douglas","non-dropping-particle":"","parse-names":false,"suffix":""},{"dropping-particle":"","family":"Parkin","given":"Jennifer","non-dropping-particle":"","parse-names":false,"suffix":""},{"dropping-particle":"","family":"Alam","given":"Zayeed","non-dropping-particle":"","parse-names":false,"suffix":""},{"dropping-particle":"","family":"Ward","given":"Glenn","non-dropping-particle":"","parse-names":false,"suffix":""},{"dropping-particle":"","family":"Wilson","given":"D Ian","non-dropping-particle":"","parse-names":false,"suffix":""}],"container-title":"Food and Bioproducts Processing","id":"ITEM-1","issued":{"date-parts":[["2015"]]},"page":"256-268","publisher":"Elsevier","title":"Development of a ‘millimanipulation’device to study the removal of soft solid fouling layers from solid substrates and its application to cooked lard deposits","type":"article-journal","volume":"93"},"uris":["http://www.mendeley.com/documents/?uuid=7fca3c33-3d1a-4295-9e69-d59465f2d379"]}],"mendeley":{"formattedCitation":"(Ali et al., 2015)","plainTextFormattedCitation":"(Ali et al., 2015)","previouslyFormattedCitation":"(Ali et al., 2015)"},"properties":{"noteIndex":0},"schema":"https://github.com/citation-style-language/schema/raw/master/csl-citation.json"}</w:instrText>
      </w:r>
      <w:r w:rsidR="00230A93">
        <w:fldChar w:fldCharType="separate"/>
      </w:r>
      <w:r w:rsidR="00230A93" w:rsidRPr="00230A93">
        <w:rPr>
          <w:noProof/>
        </w:rPr>
        <w:t>(Ali et al., 2015)</w:t>
      </w:r>
      <w:r w:rsidR="00230A93">
        <w:fldChar w:fldCharType="end"/>
      </w:r>
      <w:r w:rsidR="00230A93">
        <w:t xml:space="preserve"> o</w:t>
      </w:r>
      <w:r>
        <w:t xml:space="preserve">r Fluid Dynamic Gauging (FDG) to explore the thickness evolution of the stain </w:t>
      </w:r>
      <w:r w:rsidR="00CB17B0">
        <w:fldChar w:fldCharType="begin" w:fldLock="1"/>
      </w:r>
      <w:r w:rsidR="00352E4C">
        <w:instrText>ADDIN CSL_CITATION {"citationItems":[{"id":"ITEM-1","itemData":{"DOI":"10.1088/0957-0233/21/8/085103","ISSN":"0957-0233","author":[{"dropping-particle":"","family":"Gordon","given":"Patrick W","non-dropping-particle":"","parse-names":false,"suffix":""},{"dropping-particle":"","family":"Brooker","given":"Anju D M","non-dropping-particle":"","parse-names":false,"suffix":""},{"dropping-particle":"","family":"Chew","given":"Y M John","non-dropping-particle":"","parse-names":false,"suffix":""},{"dropping-particle":"","family":"Wilson","given":"D Ian","non-dropping-particle":"","parse-names":false,"suffix":""},{"dropping-particle":"","family":"York","given":"David W","non-dropping-particle":"","parse-names":false,"suffix":""}],"container-title":"Measurement Science and Technology","id":"ITEM-1","issue":"8","issued":{"date-parts":[["2010"]]},"page":"85103","publisher":"IOP Publishing","title":"A scanning fluid dynamic gauging technique for probing surface layers","type":"article-journal","volume":"21"},"uris":["http://www.mendeley.com/documents/?uuid=18cf6406-1803-4db4-85ae-9190bfb763e9"]}],"mendeley":{"formattedCitation":"(Gordon et al., 2010)","plainTextFormattedCitation":"(Gordon et al., 2010)","previouslyFormattedCitation":"(Gordon et al., 2010)"},"properties":{"noteIndex":0},"schema":"https://github.com/citation-style-language/schema/raw/master/csl-citation.json"}</w:instrText>
      </w:r>
      <w:r w:rsidR="00CB17B0">
        <w:fldChar w:fldCharType="separate"/>
      </w:r>
      <w:r w:rsidR="00CB17B0" w:rsidRPr="00CB17B0">
        <w:rPr>
          <w:noProof/>
        </w:rPr>
        <w:t>(Gordon et al., 2010)</w:t>
      </w:r>
      <w:r w:rsidR="00CB17B0">
        <w:fldChar w:fldCharType="end"/>
      </w:r>
      <w:r w:rsidR="00CB17B0">
        <w:t>.</w:t>
      </w:r>
      <w:r w:rsidR="00B235E3">
        <w:t xml:space="preserve"> </w:t>
      </w:r>
      <w:r w:rsidR="00B235E3" w:rsidRPr="00B235E3">
        <w:t>The change in the thickness of the stain, as well as the forces that condition its structure and adhesion to the surface where it is found, are highly dependent on the chemical conditions present in the wash.</w:t>
      </w:r>
      <w:r w:rsidR="00B235E3">
        <w:t xml:space="preserve"> In this way, </w:t>
      </w:r>
      <w:r>
        <w:lastRenderedPageBreak/>
        <w:t>detergent’s ingredients such as enzymes, bleaches, surfactants, buffers, and builders</w:t>
      </w:r>
      <w:r w:rsidR="00B235E3">
        <w:t xml:space="preserve"> are key factor</w:t>
      </w:r>
      <w:r w:rsidR="000E1D7C">
        <w:t>s</w:t>
      </w:r>
      <w:r w:rsidR="00B235E3">
        <w:t xml:space="preserve"> in stains cleaning</w:t>
      </w:r>
      <w:r>
        <w:t xml:space="preserve">. Enzymes promote a more environmentally friendly washing by the reducing the wash time, pH, and temperature. Bleaches provide a germicidal action together with a stain </w:t>
      </w:r>
      <w:r w:rsidR="00ED2875">
        <w:t>color</w:t>
      </w:r>
      <w:r>
        <w:t xml:space="preserve"> reduction. Surfactants aim to reduce the surface tension, increasing the wettability of the stain and its dissolution in the washing media. On the other hand, the control of pH and water hardness is an important factor that is carried out by buffers and builders. Currently, the combination of activated bleaching systems and enzymes such as amylases and proteases are highly employed since the hydrolysis and bleaching of stains as well as disinfection during washing is possible at low temperatures without compromising the stability of the active compounds present </w:t>
      </w:r>
      <w:r w:rsidR="00352E4C">
        <w:fldChar w:fldCharType="begin" w:fldLock="1"/>
      </w:r>
      <w:r w:rsidR="00352E4C">
        <w:instrText>ADDIN CSL_CITATION {"citationItems":[{"id":"ITEM-1","itemData":{"DOI":"10.1039/C5RA05328E","author":[{"dropping-particle":"","family":"Bianchetti","given":"Giulia O","non-dropping-particle":"","parse-names":false,"suffix":""},{"dropping-particle":"","family":"Devlin","given":"Carolyn L","non-dropping-particle":"","parse-names":false,"suffix":""},{"dropping-particle":"","family":"Seddon","given":"Kenneth R","non-dropping-particle":"","parse-names":false,"suffix":""}],"container-title":"Rsc Advances","id":"ITEM-1","issue":"80","issued":{"date-parts":[["2015"]]},"page":"65365-65384","publisher":"Royal Society of Chemistry","title":"Bleaching systems in domestic laundry detergents: a review","type":"article-journal","volume":"5"},"uris":["http://www.mendeley.com/documents/?uuid=0bc0e4dd-0450-464f-9625-7a5ab2a673ed"]}],"mendeley":{"formattedCitation":"(Bianchetti et al., 2015)","plainTextFormattedCitation":"(Bianchetti et al., 2015)","previouslyFormattedCitation":"(Bianchetti et al., 2015)"},"properties":{"noteIndex":0},"schema":"https://github.com/citation-style-language/schema/raw/master/csl-citation.json"}</w:instrText>
      </w:r>
      <w:r w:rsidR="00352E4C">
        <w:fldChar w:fldCharType="separate"/>
      </w:r>
      <w:r w:rsidR="00352E4C" w:rsidRPr="00352E4C">
        <w:rPr>
          <w:noProof/>
        </w:rPr>
        <w:t>(Bianchetti et al., 2015)</w:t>
      </w:r>
      <w:r w:rsidR="00352E4C">
        <w:fldChar w:fldCharType="end"/>
      </w:r>
      <w:r>
        <w:t>.</w:t>
      </w:r>
    </w:p>
    <w:p w14:paraId="2681AF1E" w14:textId="4CA745FF" w:rsidR="00F05722" w:rsidRDefault="00F05722" w:rsidP="00F05722">
      <w:pPr>
        <w:pStyle w:val="Els-body-text"/>
      </w:pPr>
      <w:r>
        <w:t xml:space="preserve">In this way, a detailed understanding of the cleaning mechanism of each of the key ingredients on the different types of stains is crucial to improve </w:t>
      </w:r>
      <w:r w:rsidR="001012A3">
        <w:t xml:space="preserve">the </w:t>
      </w:r>
      <w:r w:rsidRPr="00D26A98">
        <w:t xml:space="preserve">cleaning performance and reduce </w:t>
      </w:r>
      <w:r w:rsidR="0038478F">
        <w:t xml:space="preserve">the </w:t>
      </w:r>
      <w:r w:rsidRPr="00D26A98">
        <w:t xml:space="preserve">environmental impact, promoting the achievement of the objectives set by United Nations in terms of sustainability and responsible consumption and production </w:t>
      </w:r>
      <w:r w:rsidR="00352E4C" w:rsidRPr="00D26A98">
        <w:fldChar w:fldCharType="begin" w:fldLock="1"/>
      </w:r>
      <w:r w:rsidR="00D26A98">
        <w:instrText>ADDIN CSL_CITATION {"citationItems":[{"id":"ITEM-1","itemData":{"URL":"https://www.undp.org/sustainable-development-goals","accessed":{"date-parts":[["2023","9","4"]]},"author":[{"dropping-particle":"","family":"United nations","given":"","non-dropping-particle":"","parse-names":false,"suffix":""}],"id":"ITEM-1","issued":{"date-parts":[["2023"]]},"title":"Sustainable Development Goals | United Nations Development Programme","type":"webpage"},"uris":["http://www.mendeley.com/documents/?uuid=50982661-e241-30f0-8fe2-3ef3327e6c04"]}],"mendeley":{"formattedCitation":"(United nations, 2023)","plainTextFormattedCitation":"(United nations, 2023)","previouslyFormattedCitation":"(United nations, 2023)"},"properties":{"noteIndex":0},"schema":"https://github.com/citation-style-language/schema/raw/master/csl-citation.json"}</w:instrText>
      </w:r>
      <w:r w:rsidR="00352E4C" w:rsidRPr="00D26A98">
        <w:fldChar w:fldCharType="separate"/>
      </w:r>
      <w:r w:rsidR="00352E4C" w:rsidRPr="00D26A98">
        <w:rPr>
          <w:noProof/>
        </w:rPr>
        <w:t xml:space="preserve">(United </w:t>
      </w:r>
      <w:r w:rsidR="0038478F">
        <w:rPr>
          <w:noProof/>
        </w:rPr>
        <w:t>N</w:t>
      </w:r>
      <w:r w:rsidR="00352E4C" w:rsidRPr="00D26A98">
        <w:rPr>
          <w:noProof/>
        </w:rPr>
        <w:t>ations, 2023)</w:t>
      </w:r>
      <w:r w:rsidR="00352E4C" w:rsidRPr="00D26A98">
        <w:fldChar w:fldCharType="end"/>
      </w:r>
      <w:r w:rsidRPr="00D26A98">
        <w:t xml:space="preserve">. </w:t>
      </w:r>
      <w:r>
        <w:t>For these reasons, the present work is focused on the identification of the most important factors and mechanisms involved in carbohydrate – based and protein-based stains, proposing a cleaning model for each stain where</w:t>
      </w:r>
      <w:r w:rsidR="006669A4">
        <w:t xml:space="preserve"> it </w:t>
      </w:r>
      <w:r>
        <w:t xml:space="preserve">is included the stability of the key cleaning ingredients such as enzymes and bleaching compounds. The validation of the models </w:t>
      </w:r>
      <w:r w:rsidR="005512B5">
        <w:t>was</w:t>
      </w:r>
      <w:r>
        <w:t xml:space="preserve"> carried out using experimental data.</w:t>
      </w:r>
    </w:p>
    <w:p w14:paraId="1CDDB910" w14:textId="4FC7FC24" w:rsidR="00ED2875" w:rsidRDefault="00ED2875" w:rsidP="00F05722">
      <w:pPr>
        <w:pStyle w:val="Els-1storder-head"/>
      </w:pPr>
      <w:r>
        <w:t>Material and Experimental Procedure</w:t>
      </w:r>
    </w:p>
    <w:p w14:paraId="68F9F61D" w14:textId="566794F9" w:rsidR="00ED2875" w:rsidRDefault="00ED2875" w:rsidP="00ED2875">
      <w:pPr>
        <w:pStyle w:val="Els-2ndorder-head"/>
      </w:pPr>
      <w:r>
        <w:t>Stain technical samples</w:t>
      </w:r>
    </w:p>
    <w:p w14:paraId="2B3E5E9C" w14:textId="6D92AA0B" w:rsidR="00ED2875" w:rsidRPr="00ED2875" w:rsidRDefault="00ED2875" w:rsidP="00ED2875">
      <w:pPr>
        <w:pStyle w:val="Els-body-text"/>
      </w:pPr>
      <w:r w:rsidRPr="00ED2875">
        <w:t>Sprayed layers of starch and minced meat on a melamine base were considered as stain technical samples, acquired from Centre for Testmaterials. The dimensions of samples were 12 cm x 10 cm x 0.12 cm.</w:t>
      </w:r>
    </w:p>
    <w:p w14:paraId="5AABABF7" w14:textId="6AE4C295" w:rsidR="00ED2875" w:rsidRDefault="00ED2875" w:rsidP="00ED2875">
      <w:pPr>
        <w:pStyle w:val="Els-2ndorder-head"/>
      </w:pPr>
      <w:r>
        <w:t>Detergent formulation</w:t>
      </w:r>
    </w:p>
    <w:p w14:paraId="4FE74E62" w14:textId="3A182F74" w:rsidR="00F05722" w:rsidRDefault="00ED2875" w:rsidP="00F05722">
      <w:pPr>
        <w:pStyle w:val="Els-body-text"/>
      </w:pPr>
      <w:r w:rsidRPr="00ED2875">
        <w:t xml:space="preserve">Amylase and protease enzymes with an activity of 4% and 9.71% respectively were considered. The activated bleaching system was composed by TAED as bleach activator, manganese - based bleaching catalyst and sodium percarbonate </w:t>
      </w:r>
      <w:r w:rsidR="00794ACA">
        <w:t>with</w:t>
      </w:r>
      <w:r w:rsidRPr="00ED2875">
        <w:t xml:space="preserve"> an activity of 92%, 2% and 100% respectively. Insoluble precipitate formation and pH were controlled by chelating, builder, sodium carbonate and silicate – based compound. Additionally, polymers and non – ionic surfactants were also </w:t>
      </w:r>
      <w:r w:rsidR="0093727F">
        <w:t>considered</w:t>
      </w:r>
      <w:r w:rsidR="00D61FD4">
        <w:t xml:space="preserve"> in the study</w:t>
      </w:r>
      <w:r w:rsidRPr="00ED2875">
        <w:t>.</w:t>
      </w:r>
    </w:p>
    <w:p w14:paraId="2305DBDD" w14:textId="6736FC74" w:rsidR="00ED2875" w:rsidRDefault="00ED2875" w:rsidP="00ED2875">
      <w:pPr>
        <w:pStyle w:val="Els-2ndorder-head"/>
      </w:pPr>
      <w:r>
        <w:t>Apparatus</w:t>
      </w:r>
    </w:p>
    <w:p w14:paraId="10C9A684" w14:textId="096335A7" w:rsidR="00ED2875" w:rsidRDefault="00ED2875" w:rsidP="00F05722">
      <w:pPr>
        <w:pStyle w:val="Els-body-text"/>
      </w:pPr>
      <w:r w:rsidRPr="00ED2875">
        <w:t xml:space="preserve">A Miele GSL200 dishwasher was considered to run all the experiments. In this appliance 8 different cycles were conducted. All cycles have the same stages, a main wash, cold rinse, and hot rinse. For main wash, a time distribution of 17 – 69 min and temperature levels of 40 - 50 ºC were considered. In the case of hot rinse, durations </w:t>
      </w:r>
      <w:r w:rsidR="00267245">
        <w:t>between</w:t>
      </w:r>
      <w:r w:rsidRPr="00ED2875">
        <w:t xml:space="preserve"> 23 – 26 min and target temperatures </w:t>
      </w:r>
      <w:r w:rsidR="00267245">
        <w:t>range of</w:t>
      </w:r>
      <w:r w:rsidRPr="00ED2875">
        <w:t xml:space="preserve"> 55 - 65 ºC were performed. The duration of the cold rinse is the same for all cycles and its temperature profile is set by the temperature of the main wash stage.</w:t>
      </w:r>
    </w:p>
    <w:p w14:paraId="12AB01B8" w14:textId="2D1031AC" w:rsidR="00ED2875" w:rsidRDefault="00ED2875" w:rsidP="00ED2875">
      <w:pPr>
        <w:pStyle w:val="Els-2ndorder-head"/>
      </w:pPr>
      <w:r>
        <w:t>Experimental procedure</w:t>
      </w:r>
    </w:p>
    <w:p w14:paraId="3DF4603B" w14:textId="24B09F08" w:rsidR="00F05722" w:rsidRDefault="00ED2875" w:rsidP="00ED2875">
      <w:pPr>
        <w:pStyle w:val="Els-body-text"/>
      </w:pPr>
      <w:r>
        <w:t xml:space="preserve">Initially, the water supply tanks are filled, spiking the corresponding levels of water hardness for each experiment. Then, a pair of tiles are located inside </w:t>
      </w:r>
      <w:r w:rsidR="00F25386">
        <w:t>an</w:t>
      </w:r>
      <w:r>
        <w:t xml:space="preserve"> ADW, one on the left and the other on the right – hand, placing a blank tile at the front. To mime the soil found in the domestic ADWs, a defrosted ballast soil is added using the same level for all experiments. Next, the pH meters are </w:t>
      </w:r>
      <w:r w:rsidR="00C5000D">
        <w:t xml:space="preserve">located inside </w:t>
      </w:r>
      <w:r w:rsidR="00F25386">
        <w:t>an</w:t>
      </w:r>
      <w:r w:rsidR="00C5000D">
        <w:t xml:space="preserve"> ADW</w:t>
      </w:r>
      <w:r>
        <w:t xml:space="preserve">. Once the corresponding cycle is running, the pH and temperatures profiles are recording over time by pH meters. </w:t>
      </w:r>
      <w:r>
        <w:lastRenderedPageBreak/>
        <w:t xml:space="preserve">Once the cycle finishes, the stain removal index (SRI) is measured as response variable. SRI is computed by the color difference between the stain before and after washing, employing the </w:t>
      </w:r>
      <w:r w:rsidR="000A4A95">
        <w:t>e</w:t>
      </w:r>
      <w:r>
        <w:t>q</w:t>
      </w:r>
      <w:r w:rsidR="000A4A95">
        <w:t xml:space="preserve"> (1)</w:t>
      </w:r>
      <w:r>
        <w:t xml:space="preserve">, </w:t>
      </w:r>
      <w:r w:rsidR="00D26A98">
        <w:fldChar w:fldCharType="begin" w:fldLock="1"/>
      </w:r>
      <w:r w:rsidR="00E6732E">
        <w:instrText>ADDIN CSL_CITATION {"citationItems":[{"id":"ITEM-1","itemData":{"author":[{"dropping-particle":"","family":"Copley","given":"T","non-dropping-particle":"","parse-names":false,"suffix":""}],"container-title":"Sofw. J.","id":"ITEM-1","issued":{"date-parts":[["2017"]]},"page":"38-42","title":"Testing Detergents: Establishing Efficient Methods for Formulation, QC and Comparative Assessment","type":"article-journal","volume":"143"},"uris":["http://www.mendeley.com/documents/?uuid=e141a5e0-96cf-4fd9-8484-ab839d55ebf9"]},{"id":"ITEM-2","itemData":{"DOI":"10.1007/BF02678931","ISSN":"0003-021X","author":[{"dropping-particle":"","family":"Neiditch","given":"O W","non-dropping-particle":"","parse-names":false,"suffix":""},{"dropping-particle":"","family":"Mills","given":"K L","non-dropping-particle":"","parse-names":false,"suffix":""},{"dropping-particle":"","family":"Gladstone","given":"G","non-dropping-particle":"","parse-names":false,"suffix":""}],"container-title":"Journal of the American Oil Chemists' Society","id":"ITEM-2","issue":"12","issued":{"date-parts":[["1980"]]},"page":"426-429","publisher":"Wiley Online Library","title":"The stain removal index (SRI): A new reflectometer method for measuring and reporting stain removal effectiveness","type":"article-journal","volume":"57"},"uris":["http://www.mendeley.com/documents/?uuid=213da20d-656d-46bb-8557-ad4c7aff6d43"]}],"mendeley":{"formattedCitation":"(Copley, 2017; Neiditch et al., 1980)","plainTextFormattedCitation":"(Copley, 2017; Neiditch et al., 1980)","previouslyFormattedCitation":"(Copley, 2017; Neiditch et al., 1980)"},"properties":{"noteIndex":0},"schema":"https://github.com/citation-style-language/schema/raw/master/csl-citation.json"}</w:instrText>
      </w:r>
      <w:r w:rsidR="00D26A98">
        <w:fldChar w:fldCharType="separate"/>
      </w:r>
      <w:r w:rsidR="00D26A98" w:rsidRPr="00D26A98">
        <w:rPr>
          <w:noProof/>
        </w:rPr>
        <w:t>(Copley, 2017; Neiditch et al., 1980)</w:t>
      </w:r>
      <w:r w:rsidR="00D26A98">
        <w:fldChar w:fldCharType="end"/>
      </w:r>
      <w:r w:rsidR="005C3F38">
        <w:t xml:space="preserve"> </w:t>
      </w:r>
      <w:r>
        <w:t xml:space="preserve">where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i</m:t>
            </m:r>
          </m:sub>
        </m:sSub>
      </m:oMath>
      <w:r w:rsidRPr="00ED2875">
        <w:rPr>
          <w:vertAlign w:val="subscript"/>
        </w:rPr>
        <w:t xml:space="preserve"> </w:t>
      </w:r>
      <w:r>
        <w:t xml:space="preserve">and </w:t>
      </w:r>
      <m:oMath>
        <m:r>
          <w:rPr>
            <w:rFonts w:ascii="Cambria Math" w:hAnsi="Cambria Math"/>
          </w:rPr>
          <m:t>F</m:t>
        </m:r>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are the initial and final noticeability for the stain </w:t>
      </w:r>
      <w:proofErr w:type="spellStart"/>
      <w:r>
        <w:t>i</w:t>
      </w:r>
      <w:proofErr w:type="spellEnd"/>
      <w:r>
        <w:t>.</w:t>
      </w:r>
      <w:r w:rsidR="000906F4">
        <w:t xml:space="preserve"> </w:t>
      </w:r>
      <w:r>
        <w:t>The execution of the experiments was carried out based on a design of experiments (DOE) provided by the custom design platform of JMP Pro 16. A total of 217 experiments were conducted, employing a 10</w:t>
      </w:r>
      <w:r w:rsidR="00514A17">
        <w:t xml:space="preserve"> </w:t>
      </w:r>
      <w:r>
        <w:t>% for validation.</w:t>
      </w:r>
    </w:p>
    <w:p w14:paraId="2442B7E1" w14:textId="77777777" w:rsidR="006427DA" w:rsidRDefault="006427DA" w:rsidP="00ED2875">
      <w:pPr>
        <w:pStyle w:val="Els-body-text"/>
      </w:pPr>
    </w:p>
    <w:tbl>
      <w:tblPr>
        <w:tblW w:w="7087" w:type="dxa"/>
        <w:tblLook w:val="04A0" w:firstRow="1" w:lastRow="0" w:firstColumn="1" w:lastColumn="0" w:noHBand="0" w:noVBand="1"/>
      </w:tblPr>
      <w:tblGrid>
        <w:gridCol w:w="6123"/>
        <w:gridCol w:w="964"/>
      </w:tblGrid>
      <w:tr w:rsidR="002647A5" w:rsidRPr="00F05722" w14:paraId="48A41F3E" w14:textId="77777777" w:rsidTr="002647A5">
        <w:tc>
          <w:tcPr>
            <w:tcW w:w="6123" w:type="dxa"/>
            <w:shd w:val="clear" w:color="auto" w:fill="auto"/>
            <w:vAlign w:val="center"/>
          </w:tcPr>
          <w:p w14:paraId="23C06D16" w14:textId="0C885C92" w:rsidR="002647A5" w:rsidRPr="002647A5" w:rsidRDefault="002647A5" w:rsidP="003221C1">
            <w:pPr>
              <w:pStyle w:val="Els-body-text"/>
              <w:spacing w:before="120" w:after="120" w:line="264" w:lineRule="auto"/>
              <w:rPr>
                <w:color w:val="FF0000"/>
                <w:lang w:val="en-GB"/>
              </w:rPr>
            </w:pPr>
            <m:oMathPara>
              <m:oMathParaPr>
                <m:jc m:val="left"/>
              </m:oMathParaPr>
              <m:oMath>
                <m:r>
                  <w:rPr>
                    <w:rFonts w:ascii="Cambria Math" w:hAnsi="Cambria Math"/>
                  </w:rPr>
                  <m:t>S</m:t>
                </m:r>
                <m:sSub>
                  <m:sSubPr>
                    <m:ctrlPr>
                      <w:rPr>
                        <w:rFonts w:ascii="Cambria Math" w:hAnsi="Cambria Math"/>
                        <w:i/>
                      </w:rPr>
                    </m:ctrlPr>
                  </m:sSubPr>
                  <m:e>
                    <m:r>
                      <w:rPr>
                        <w:rFonts w:ascii="Cambria Math" w:hAnsi="Cambria Math"/>
                      </w:rPr>
                      <m:t>RI</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-F</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xml:space="preserve"> </m:t>
                    </m:r>
                  </m:num>
                  <m:den>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i</m:t>
                        </m:r>
                      </m:sub>
                    </m:sSub>
                  </m:den>
                </m:f>
              </m:oMath>
            </m:oMathPara>
          </w:p>
        </w:tc>
        <w:tc>
          <w:tcPr>
            <w:tcW w:w="964" w:type="dxa"/>
            <w:shd w:val="clear" w:color="auto" w:fill="auto"/>
            <w:vAlign w:val="center"/>
          </w:tcPr>
          <w:p w14:paraId="2825AE80" w14:textId="77777777" w:rsidR="002647A5" w:rsidRPr="00F05722" w:rsidRDefault="002647A5" w:rsidP="003221C1">
            <w:pPr>
              <w:pStyle w:val="Els-body-text"/>
              <w:spacing w:before="120" w:after="120" w:line="264" w:lineRule="auto"/>
              <w:jc w:val="right"/>
              <w:rPr>
                <w:color w:val="FF0000"/>
                <w:lang w:val="en-GB"/>
              </w:rPr>
            </w:pPr>
            <w:r w:rsidRPr="002647A5">
              <w:rPr>
                <w:lang w:val="en-GB"/>
              </w:rPr>
              <w:t>(1)</w:t>
            </w:r>
          </w:p>
        </w:tc>
      </w:tr>
    </w:tbl>
    <w:p w14:paraId="2725F6D2" w14:textId="71CFCED1" w:rsidR="002647A5" w:rsidRDefault="002647A5" w:rsidP="002647A5">
      <w:pPr>
        <w:pStyle w:val="Els-1storder-head"/>
      </w:pPr>
      <w:r>
        <w:t>Modelling Methodology</w:t>
      </w:r>
    </w:p>
    <w:p w14:paraId="05C1C0BE" w14:textId="7A6C49D2" w:rsidR="002647A5" w:rsidRDefault="002647A5" w:rsidP="002647A5">
      <w:pPr>
        <w:pStyle w:val="Els-body-text"/>
      </w:pPr>
      <w:r w:rsidRPr="002647A5">
        <w:t>A three – step methodology was considered to build a non – linear differential model to describe the cleaning mechanism of protein-based and carbohydrate – based stains in ADWs</w:t>
      </w:r>
      <w:r w:rsidR="00255F99">
        <w:t xml:space="preserve">. </w:t>
      </w:r>
      <w:r w:rsidRPr="001C1C75">
        <w:t>Figure 1</w:t>
      </w:r>
      <w:r w:rsidR="00255F99">
        <w:t xml:space="preserve"> </w:t>
      </w:r>
      <w:r w:rsidR="00AD6A81">
        <w:t>describes the steps of the methodol</w:t>
      </w:r>
      <w:r w:rsidR="00604E59">
        <w:t>ogy followed</w:t>
      </w:r>
      <w:r w:rsidRPr="002647A5">
        <w:t xml:space="preserve">. </w:t>
      </w:r>
      <w:r w:rsidR="00604E59">
        <w:t xml:space="preserve">Once all the experiments were conducted based on </w:t>
      </w:r>
      <w:r w:rsidR="00DD24C0">
        <w:t xml:space="preserve">the design of experiments, </w:t>
      </w:r>
      <w:r w:rsidRPr="002647A5">
        <w:t>a response surface methodology was employed to identify the most significant variables at their effects on the cleaning of each stain</w:t>
      </w:r>
      <w:r w:rsidR="00B57E11">
        <w:t>, considering a statistical significance of</w:t>
      </w:r>
      <w:r w:rsidR="00653C08">
        <w:t xml:space="preserve"> </w:t>
      </w:r>
      <w:r w:rsidR="00B57E11">
        <w:t>0.01 as reference</w:t>
      </w:r>
      <w:r w:rsidRPr="002647A5">
        <w:t xml:space="preserve">. Based on the statistical analysis, a kinetic mechanism for each key factor is proposed, </w:t>
      </w:r>
      <w:r w:rsidR="00047878">
        <w:t xml:space="preserve">formulating </w:t>
      </w:r>
      <w:r w:rsidRPr="002647A5">
        <w:t>a non-linear differential model for each stain. Subsequently, an estimation of the adjustable parameters of the main cleaning mechanisms</w:t>
      </w:r>
      <w:r w:rsidR="00687862">
        <w:t xml:space="preserve"> </w:t>
      </w:r>
      <w:r w:rsidRPr="002647A5">
        <w:t>was done employing Levenberg-Marquardt nonlinear least squares algorithm. Finally, a validation of the mechanistic model for each stain was carried out by correlating the estimated and measured SRIs.</w:t>
      </w:r>
    </w:p>
    <w:p w14:paraId="34C0E936" w14:textId="77777777" w:rsidR="004B3A2E" w:rsidRDefault="004B3A2E" w:rsidP="002647A5">
      <w:pPr>
        <w:pStyle w:val="Els-body-text"/>
      </w:pPr>
    </w:p>
    <w:p w14:paraId="123168FA" w14:textId="6AFE3DE1" w:rsidR="004B3A2E" w:rsidRDefault="00161990" w:rsidP="004B3A2E">
      <w:pPr>
        <w:pStyle w:val="Els-body-text"/>
        <w:keepNext/>
        <w:jc w:val="center"/>
      </w:pPr>
      <w:r>
        <w:rPr>
          <w:noProof/>
        </w:rPr>
        <w:drawing>
          <wp:inline distT="0" distB="0" distL="0" distR="0" wp14:anchorId="3698D3FB" wp14:editId="08DD41E5">
            <wp:extent cx="2428875" cy="2159458"/>
            <wp:effectExtent l="0" t="0" r="0" b="0"/>
            <wp:docPr id="683980057" name="Picture 68398005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80057" name="Imagen 1" descr="Imagen que contiene 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117" cy="2179233"/>
                    </a:xfrm>
                    <a:prstGeom prst="rect">
                      <a:avLst/>
                    </a:prstGeom>
                  </pic:spPr>
                </pic:pic>
              </a:graphicData>
            </a:graphic>
          </wp:inline>
        </w:drawing>
      </w:r>
    </w:p>
    <w:p w14:paraId="4F25488D" w14:textId="7BDF7917" w:rsidR="004B3A2E" w:rsidRPr="004B3A2E" w:rsidRDefault="004B3A2E" w:rsidP="004D2C63">
      <w:pPr>
        <w:pStyle w:val="Descripcin"/>
      </w:pPr>
      <w:r w:rsidRPr="004B3A2E">
        <w:rPr>
          <w:b/>
          <w:bCs/>
        </w:rPr>
        <w:t xml:space="preserve">Figure </w:t>
      </w:r>
      <w:r w:rsidRPr="004B3A2E">
        <w:rPr>
          <w:b/>
          <w:bCs/>
        </w:rPr>
        <w:fldChar w:fldCharType="begin"/>
      </w:r>
      <w:r w:rsidRPr="004B3A2E">
        <w:rPr>
          <w:b/>
          <w:bCs/>
        </w:rPr>
        <w:instrText xml:space="preserve"> SEQ Figure \* ARABIC </w:instrText>
      </w:r>
      <w:r w:rsidRPr="004B3A2E">
        <w:rPr>
          <w:b/>
          <w:bCs/>
        </w:rPr>
        <w:fldChar w:fldCharType="separate"/>
      </w:r>
      <w:r w:rsidR="00F05ADC">
        <w:rPr>
          <w:b/>
          <w:bCs/>
          <w:noProof/>
        </w:rPr>
        <w:t>1</w:t>
      </w:r>
      <w:r w:rsidRPr="004B3A2E">
        <w:rPr>
          <w:b/>
          <w:bCs/>
        </w:rPr>
        <w:fldChar w:fldCharType="end"/>
      </w:r>
      <w:r>
        <w:t xml:space="preserve">: </w:t>
      </w:r>
      <w:r w:rsidR="00267E52">
        <w:t>Cleaning m</w:t>
      </w:r>
      <w:r w:rsidR="00F57CD4">
        <w:t xml:space="preserve">odelling methodology </w:t>
      </w:r>
      <w:r w:rsidR="00267E52">
        <w:t>for carbohydrate – based and protein – based stains.</w:t>
      </w:r>
    </w:p>
    <w:p w14:paraId="4074989F" w14:textId="53496AFE" w:rsidR="002647A5" w:rsidRDefault="000E1D7C" w:rsidP="002647A5">
      <w:pPr>
        <w:pStyle w:val="Els-2ndorder-head"/>
      </w:pPr>
      <w:r>
        <w:t xml:space="preserve">Mechanistic </w:t>
      </w:r>
      <w:r w:rsidR="002647A5">
        <w:t>Cleaning Modelling</w:t>
      </w:r>
    </w:p>
    <w:p w14:paraId="5D79A772" w14:textId="7A09E076" w:rsidR="002647A5" w:rsidRDefault="002647A5" w:rsidP="002647A5">
      <w:pPr>
        <w:pStyle w:val="Els-body-text"/>
      </w:pPr>
      <w:r w:rsidRPr="002647A5">
        <w:t xml:space="preserve">During the cleaning, a combination between the physical removal and bleaching of the stain takes place. Physical removal by enzymatic action promotes a loss of color since a fraction of the components that provide the color is solubilized. Simultaneously, the bleaching compounds act on the remaining fraction of the stain removing the color. Assuming a homogeneous composition distribution of the stain, the total physical stain removal can be computed by </w:t>
      </w:r>
      <w:r w:rsidR="000A4A95">
        <w:t>eq (2)</w:t>
      </w:r>
      <w:r w:rsidRPr="002647A5">
        <w:t xml:space="preserve">, where is included the </w:t>
      </w:r>
      <w:r w:rsidR="00F01AC5">
        <w:t>easy</w:t>
      </w:r>
      <w:r w:rsidRPr="002647A5">
        <w:t xml:space="preserve"> and </w:t>
      </w:r>
      <w:r w:rsidR="00F01AC5">
        <w:t>difficult</w:t>
      </w:r>
      <w:r w:rsidRPr="002647A5">
        <w:t xml:space="preserve"> rate of removal due to the transition from a fast-cleaning stage at the beginning of the cycle to a </w:t>
      </w:r>
      <w:r w:rsidRPr="002647A5">
        <w:lastRenderedPageBreak/>
        <w:t xml:space="preserve">slower one experimentally witnessed. This curvature change in the cleaning is considered by </w:t>
      </w:r>
      <m:oMath>
        <m:sSub>
          <m:sSubPr>
            <m:ctrlPr>
              <w:rPr>
                <w:rFonts w:ascii="Cambria Math" w:hAnsi="Cambria Math"/>
                <w:i/>
                <w:szCs w:val="24"/>
              </w:rPr>
            </m:ctrlPr>
          </m:sSubPr>
          <m:e>
            <m:r>
              <w:rPr>
                <w:rFonts w:ascii="Cambria Math" w:hAnsi="Cambria Math"/>
                <w:szCs w:val="24"/>
              </w:rPr>
              <m:t>μ</m:t>
            </m:r>
          </m:e>
          <m:sub>
            <m:r>
              <w:rPr>
                <w:rFonts w:ascii="Cambria Math" w:hAnsi="Cambria Math"/>
                <w:szCs w:val="24"/>
              </w:rPr>
              <m:t>i</m:t>
            </m:r>
          </m:sub>
        </m:sSub>
      </m:oMath>
      <w:r w:rsidRPr="002647A5">
        <w:t xml:space="preserve">, a fitting parameter. Additionally, </w:t>
      </w:r>
      <m:oMath>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i</m:t>
            </m:r>
          </m:sub>
          <m:sup>
            <m:r>
              <w:rPr>
                <w:rFonts w:ascii="Cambria Math" w:hAnsi="Cambria Math"/>
                <w:szCs w:val="24"/>
              </w:rPr>
              <m:t>Phys</m:t>
            </m:r>
          </m:sup>
        </m:sSubSup>
      </m:oMath>
      <w:r w:rsidR="00BE2604">
        <w:rPr>
          <w:szCs w:val="24"/>
        </w:rPr>
        <w:t>i</w:t>
      </w:r>
      <w:r w:rsidRPr="002647A5">
        <w:t xml:space="preserve">s the cleaning constant which depends on the main factors involved in the physical removal. The union between the physical removal and bleaching from bleaches is showed by </w:t>
      </w:r>
      <w:r w:rsidR="000A4A95">
        <w:t>eq (3)</w:t>
      </w:r>
      <w:r w:rsidRPr="002647A5">
        <w:t xml:space="preserve">, where </w:t>
      </w:r>
      <m:oMath>
        <m:sSubSup>
          <m:sSubSupPr>
            <m:ctrlPr>
              <w:rPr>
                <w:rFonts w:ascii="Cambria Math" w:hAnsi="Cambria Math"/>
                <w:i/>
                <w:szCs w:val="24"/>
              </w:rPr>
            </m:ctrlPr>
          </m:sSubSupPr>
          <m:e>
            <m:r>
              <w:rPr>
                <w:rFonts w:ascii="Cambria Math" w:hAnsi="Cambria Math"/>
                <w:szCs w:val="24"/>
              </w:rPr>
              <m:t>SRI</m:t>
            </m:r>
          </m:e>
          <m:sub>
            <m:r>
              <w:rPr>
                <w:rFonts w:ascii="Cambria Math" w:hAnsi="Cambria Math"/>
                <w:szCs w:val="24"/>
              </w:rPr>
              <m:t>i</m:t>
            </m:r>
          </m:sub>
          <m:sup>
            <m:r>
              <w:rPr>
                <w:rFonts w:ascii="Cambria Math" w:hAnsi="Cambria Math"/>
                <w:szCs w:val="24"/>
              </w:rPr>
              <m:t>Total</m:t>
            </m:r>
          </m:sup>
        </m:sSubSup>
      </m:oMath>
      <w:r w:rsidRPr="002647A5">
        <w:t xml:space="preserve">represents the total stain removal including physical removal and loss of </w:t>
      </w:r>
      <w:r w:rsidR="003900C4" w:rsidRPr="002647A5">
        <w:t>color</w:t>
      </w:r>
      <w:r w:rsidRPr="002647A5">
        <w:t xml:space="preserve"> and </w:t>
      </w:r>
      <m:oMath>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i</m:t>
            </m:r>
          </m:sub>
          <m:sup>
            <m:r>
              <w:rPr>
                <w:rFonts w:ascii="Cambria Math" w:hAnsi="Cambria Math"/>
                <w:szCs w:val="24"/>
              </w:rPr>
              <m:t>d</m:t>
            </m:r>
          </m:sup>
        </m:sSubSup>
      </m:oMath>
      <w:r w:rsidRPr="002647A5">
        <w:t xml:space="preserve">is the </w:t>
      </w:r>
      <w:r w:rsidR="00BE2604" w:rsidRPr="002647A5">
        <w:t>color</w:t>
      </w:r>
      <w:r w:rsidRPr="002647A5">
        <w:t xml:space="preserve"> remaining fraction of the stain. This fraction can be computed as the difference between the total reaming fraction and the bleached fraction of the stain </w:t>
      </w:r>
      <m:oMath>
        <m:r>
          <w:rPr>
            <w:rFonts w:ascii="Cambria Math" w:hAnsi="Cambria Math"/>
          </w:rPr>
          <m:t>i</m:t>
        </m:r>
      </m:oMath>
      <w:r w:rsidRPr="002647A5">
        <w:t>.</w:t>
      </w:r>
    </w:p>
    <w:p w14:paraId="2E1A64F9" w14:textId="77777777" w:rsidR="00797E70" w:rsidRPr="002647A5" w:rsidRDefault="00797E70" w:rsidP="002647A5">
      <w:pPr>
        <w:pStyle w:val="Els-body-text"/>
      </w:pPr>
    </w:p>
    <w:tbl>
      <w:tblPr>
        <w:tblW w:w="7087" w:type="dxa"/>
        <w:tblLook w:val="04A0" w:firstRow="1" w:lastRow="0" w:firstColumn="1" w:lastColumn="0" w:noHBand="0" w:noVBand="1"/>
      </w:tblPr>
      <w:tblGrid>
        <w:gridCol w:w="6123"/>
        <w:gridCol w:w="964"/>
      </w:tblGrid>
      <w:tr w:rsidR="00BE2604" w:rsidRPr="00F05722" w14:paraId="61814D77" w14:textId="77777777" w:rsidTr="003221C1">
        <w:tc>
          <w:tcPr>
            <w:tcW w:w="6123" w:type="dxa"/>
            <w:shd w:val="clear" w:color="auto" w:fill="auto"/>
            <w:vAlign w:val="center"/>
          </w:tcPr>
          <w:p w14:paraId="3A86BC26" w14:textId="32F21235" w:rsidR="00BE2604" w:rsidRPr="002647A5" w:rsidRDefault="00000000" w:rsidP="003221C1">
            <w:pPr>
              <w:pStyle w:val="Els-body-text"/>
              <w:spacing w:before="120" w:after="120" w:line="264" w:lineRule="auto"/>
              <w:rPr>
                <w:color w:val="FF0000"/>
                <w:lang w:val="en-GB"/>
              </w:rPr>
            </w:pPr>
            <m:oMathPara>
              <m:oMathParaPr>
                <m:jc m:val="left"/>
              </m:oMathParaPr>
              <m:oMath>
                <m:f>
                  <m:fPr>
                    <m:ctrlPr>
                      <w:rPr>
                        <w:rFonts w:ascii="Cambria Math" w:hAnsi="Cambria Math"/>
                        <w:i/>
                        <w:szCs w:val="24"/>
                      </w:rPr>
                    </m:ctrlPr>
                  </m:fPr>
                  <m:num>
                    <m:r>
                      <w:rPr>
                        <w:rFonts w:ascii="Cambria Math" w:hAnsi="Cambria Math"/>
                        <w:szCs w:val="24"/>
                      </w:rPr>
                      <m:t>d</m:t>
                    </m:r>
                    <m:sSubSup>
                      <m:sSubSupPr>
                        <m:ctrlPr>
                          <w:rPr>
                            <w:rFonts w:ascii="Cambria Math" w:hAnsi="Cambria Math"/>
                            <w:i/>
                            <w:szCs w:val="24"/>
                          </w:rPr>
                        </m:ctrlPr>
                      </m:sSubSupPr>
                      <m:e>
                        <m:r>
                          <w:rPr>
                            <w:rFonts w:ascii="Cambria Math" w:hAnsi="Cambria Math"/>
                            <w:szCs w:val="24"/>
                          </w:rPr>
                          <m:t>SRI</m:t>
                        </m:r>
                      </m:e>
                      <m:sub>
                        <m:r>
                          <w:rPr>
                            <w:rFonts w:ascii="Cambria Math" w:hAnsi="Cambria Math"/>
                            <w:szCs w:val="24"/>
                          </w:rPr>
                          <m:t>i</m:t>
                        </m:r>
                      </m:sub>
                      <m:sup>
                        <m:r>
                          <w:rPr>
                            <w:rFonts w:ascii="Cambria Math" w:hAnsi="Cambria Math"/>
                            <w:szCs w:val="24"/>
                          </w:rPr>
                          <m:t>Phys</m:t>
                        </m:r>
                      </m:sup>
                    </m:sSubSup>
                  </m:num>
                  <m:den>
                    <m:r>
                      <w:rPr>
                        <w:rFonts w:ascii="Cambria Math" w:hAnsi="Cambria Math"/>
                        <w:szCs w:val="24"/>
                      </w:rPr>
                      <m:t>dt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μ</m:t>
                    </m:r>
                  </m:e>
                  <m:sub>
                    <m:r>
                      <w:rPr>
                        <w:rFonts w:ascii="Cambria Math" w:hAnsi="Cambria Math"/>
                        <w:szCs w:val="24"/>
                      </w:rPr>
                      <m:t>i</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i</m:t>
                    </m:r>
                  </m:sub>
                  <m:sup>
                    <m:r>
                      <w:rPr>
                        <w:rFonts w:ascii="Cambria Math" w:hAnsi="Cambria Math"/>
                        <w:szCs w:val="24"/>
                      </w:rPr>
                      <m:t>Phys</m:t>
                    </m:r>
                  </m:sup>
                </m:sSubSup>
                <m:r>
                  <w:rPr>
                    <w:rFonts w:ascii="Cambria Math" w:hAnsi="Cambria Math"/>
                    <w:szCs w:val="24"/>
                  </w:rPr>
                  <m:t>·</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i</m:t>
                        </m:r>
                      </m:sub>
                      <m:sup>
                        <m:r>
                          <w:rPr>
                            <w:rFonts w:ascii="Cambria Math" w:hAnsi="Cambria Math"/>
                            <w:szCs w:val="24"/>
                          </w:rPr>
                          <m:t>E</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SRI</m:t>
                        </m:r>
                      </m:e>
                      <m:sub>
                        <m:r>
                          <w:rPr>
                            <w:rFonts w:ascii="Cambria Math" w:hAnsi="Cambria Math"/>
                            <w:szCs w:val="24"/>
                          </w:rPr>
                          <m:t>i</m:t>
                        </m:r>
                      </m:sub>
                      <m:sup>
                        <m:r>
                          <w:rPr>
                            <w:rFonts w:ascii="Cambria Math" w:hAnsi="Cambria Math"/>
                            <w:szCs w:val="24"/>
                          </w:rPr>
                          <m:t>E,Phys</m:t>
                        </m:r>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i</m:t>
                    </m:r>
                  </m:sub>
                  <m:sup>
                    <m:r>
                      <w:rPr>
                        <w:rFonts w:ascii="Cambria Math" w:hAnsi="Cambria Math"/>
                        <w:szCs w:val="24"/>
                      </w:rPr>
                      <m:t>Phys</m:t>
                    </m:r>
                  </m:sup>
                </m:sSubSup>
                <m:r>
                  <w:rPr>
                    <w:rFonts w:ascii="Cambria Math" w:hAnsi="Cambria Math"/>
                    <w:szCs w:val="24"/>
                  </w:rPr>
                  <m:t>·</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i</m:t>
                        </m:r>
                      </m:sub>
                      <m:sup>
                        <m:r>
                          <w:rPr>
                            <w:rFonts w:ascii="Cambria Math" w:hAnsi="Cambria Math"/>
                            <w:szCs w:val="24"/>
                          </w:rPr>
                          <m:t>D</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SRI</m:t>
                        </m:r>
                      </m:e>
                      <m:sub>
                        <m:r>
                          <w:rPr>
                            <w:rFonts w:ascii="Cambria Math" w:hAnsi="Cambria Math"/>
                            <w:szCs w:val="24"/>
                          </w:rPr>
                          <m:t>i</m:t>
                        </m:r>
                      </m:sub>
                      <m:sup>
                        <m:r>
                          <w:rPr>
                            <w:rFonts w:ascii="Cambria Math" w:hAnsi="Cambria Math"/>
                            <w:szCs w:val="24"/>
                          </w:rPr>
                          <m:t>D,Phys</m:t>
                        </m:r>
                      </m:sup>
                    </m:sSubSup>
                  </m:e>
                </m:d>
              </m:oMath>
            </m:oMathPara>
          </w:p>
        </w:tc>
        <w:tc>
          <w:tcPr>
            <w:tcW w:w="964" w:type="dxa"/>
            <w:shd w:val="clear" w:color="auto" w:fill="auto"/>
            <w:vAlign w:val="center"/>
          </w:tcPr>
          <w:p w14:paraId="5DECD3AC" w14:textId="39F6EADE" w:rsidR="00BE2604" w:rsidRPr="00F05722" w:rsidRDefault="00BE2604" w:rsidP="003221C1">
            <w:pPr>
              <w:pStyle w:val="Els-body-text"/>
              <w:spacing w:before="120" w:after="120" w:line="264" w:lineRule="auto"/>
              <w:jc w:val="right"/>
              <w:rPr>
                <w:color w:val="FF0000"/>
                <w:lang w:val="en-GB"/>
              </w:rPr>
            </w:pPr>
            <w:r w:rsidRPr="002647A5">
              <w:rPr>
                <w:lang w:val="en-GB"/>
              </w:rPr>
              <w:t>(</w:t>
            </w:r>
            <w:r>
              <w:rPr>
                <w:lang w:val="en-GB"/>
              </w:rPr>
              <w:t>2</w:t>
            </w:r>
            <w:r w:rsidRPr="002647A5">
              <w:rPr>
                <w:lang w:val="en-GB"/>
              </w:rPr>
              <w:t>)</w:t>
            </w:r>
          </w:p>
        </w:tc>
      </w:tr>
    </w:tbl>
    <w:p w14:paraId="33A32B4C" w14:textId="77777777" w:rsidR="00F05722" w:rsidRDefault="00F05722" w:rsidP="00F05722">
      <w:pPr>
        <w:pStyle w:val="Els-body-text"/>
      </w:pPr>
    </w:p>
    <w:tbl>
      <w:tblPr>
        <w:tblW w:w="7087" w:type="dxa"/>
        <w:tblLook w:val="04A0" w:firstRow="1" w:lastRow="0" w:firstColumn="1" w:lastColumn="0" w:noHBand="0" w:noVBand="1"/>
      </w:tblPr>
      <w:tblGrid>
        <w:gridCol w:w="6123"/>
        <w:gridCol w:w="964"/>
      </w:tblGrid>
      <w:tr w:rsidR="00BE2604" w:rsidRPr="00F05722" w14:paraId="51CAF658" w14:textId="77777777" w:rsidTr="003221C1">
        <w:tc>
          <w:tcPr>
            <w:tcW w:w="6123" w:type="dxa"/>
            <w:shd w:val="clear" w:color="auto" w:fill="auto"/>
            <w:vAlign w:val="center"/>
          </w:tcPr>
          <w:p w14:paraId="4D7E0396" w14:textId="6126BBC4" w:rsidR="00BE2604" w:rsidRPr="002647A5" w:rsidRDefault="00000000" w:rsidP="003221C1">
            <w:pPr>
              <w:pStyle w:val="Els-body-text"/>
              <w:spacing w:before="120" w:after="120" w:line="264" w:lineRule="auto"/>
              <w:rPr>
                <w:color w:val="FF0000"/>
                <w:lang w:val="en-GB"/>
              </w:rPr>
            </w:pPr>
            <m:oMathPara>
              <m:oMathParaPr>
                <m:jc m:val="left"/>
              </m:oMathParaPr>
              <m:oMath>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dSRI</m:t>
                        </m:r>
                      </m:e>
                      <m:sub>
                        <m:r>
                          <w:rPr>
                            <w:rFonts w:ascii="Cambria Math" w:hAnsi="Cambria Math"/>
                            <w:szCs w:val="24"/>
                          </w:rPr>
                          <m:t>i</m:t>
                        </m:r>
                      </m:sub>
                      <m:sup>
                        <m:r>
                          <w:rPr>
                            <w:rFonts w:ascii="Cambria Math" w:hAnsi="Cambria Math"/>
                            <w:szCs w:val="24"/>
                          </w:rPr>
                          <m:t>Total</m:t>
                        </m:r>
                      </m:sup>
                    </m:sSubSup>
                  </m:num>
                  <m:den>
                    <m:r>
                      <w:rPr>
                        <w:rFonts w:ascii="Cambria Math" w:hAnsi="Cambria Math"/>
                        <w:szCs w:val="24"/>
                      </w:rPr>
                      <m:t>dt</m:t>
                    </m:r>
                  </m:den>
                </m:f>
                <m:r>
                  <w:rPr>
                    <w:rFonts w:ascii="Cambria Math" w:hAnsi="Cambria Math"/>
                    <w:szCs w:val="24"/>
                  </w:rPr>
                  <m:t>=</m:t>
                </m:r>
                <m:r>
                  <w:rPr>
                    <w:rFonts w:ascii="Cambria Math" w:eastAsiaTheme="minorEastAsia" w:hAnsi="Cambria Math"/>
                    <w:szCs w:val="24"/>
                  </w:rPr>
                  <m:t>-</m:t>
                </m:r>
                <m:f>
                  <m:fPr>
                    <m:ctrlPr>
                      <w:rPr>
                        <w:rFonts w:ascii="Cambria Math" w:hAnsi="Cambria Math"/>
                        <w:i/>
                        <w:szCs w:val="24"/>
                      </w:rPr>
                    </m:ctrlPr>
                  </m:fPr>
                  <m:num>
                    <m:r>
                      <w:rPr>
                        <w:rFonts w:ascii="Cambria Math" w:hAnsi="Cambria Math"/>
                        <w:szCs w:val="24"/>
                      </w:rPr>
                      <m:t>d</m:t>
                    </m:r>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i</m:t>
                        </m:r>
                      </m:sub>
                      <m:sup>
                        <m:r>
                          <w:rPr>
                            <w:rFonts w:ascii="Cambria Math" w:hAnsi="Cambria Math"/>
                            <w:szCs w:val="24"/>
                          </w:rPr>
                          <m:t>d</m:t>
                        </m:r>
                      </m:sup>
                    </m:sSubSup>
                  </m:num>
                  <m:den>
                    <m:r>
                      <w:rPr>
                        <w:rFonts w:ascii="Cambria Math" w:hAnsi="Cambria Math"/>
                        <w:szCs w:val="24"/>
                      </w:rPr>
                      <m:t>dt</m:t>
                    </m:r>
                  </m:den>
                </m:f>
              </m:oMath>
            </m:oMathPara>
          </w:p>
        </w:tc>
        <w:tc>
          <w:tcPr>
            <w:tcW w:w="964" w:type="dxa"/>
            <w:shd w:val="clear" w:color="auto" w:fill="auto"/>
            <w:vAlign w:val="center"/>
          </w:tcPr>
          <w:p w14:paraId="765C663C" w14:textId="18359A20" w:rsidR="00BE2604" w:rsidRPr="00F05722" w:rsidRDefault="00BE2604" w:rsidP="003221C1">
            <w:pPr>
              <w:pStyle w:val="Els-body-text"/>
              <w:spacing w:before="120" w:after="120" w:line="264" w:lineRule="auto"/>
              <w:jc w:val="right"/>
              <w:rPr>
                <w:color w:val="FF0000"/>
                <w:lang w:val="en-GB"/>
              </w:rPr>
            </w:pPr>
            <w:r w:rsidRPr="002647A5">
              <w:rPr>
                <w:lang w:val="en-GB"/>
              </w:rPr>
              <w:t>(</w:t>
            </w:r>
            <w:r w:rsidR="00D71C4F">
              <w:rPr>
                <w:lang w:val="en-GB"/>
              </w:rPr>
              <w:t>3</w:t>
            </w:r>
            <w:r w:rsidRPr="002647A5">
              <w:rPr>
                <w:lang w:val="en-GB"/>
              </w:rPr>
              <w:t>)</w:t>
            </w:r>
          </w:p>
        </w:tc>
      </w:tr>
    </w:tbl>
    <w:p w14:paraId="142B6739" w14:textId="445CA874" w:rsidR="008A6A92" w:rsidRDefault="008A6A92" w:rsidP="008A6A92">
      <w:pPr>
        <w:pStyle w:val="Els-1storder-head"/>
      </w:pPr>
      <w:r>
        <w:t>Results and Discussion</w:t>
      </w:r>
    </w:p>
    <w:p w14:paraId="4B942378" w14:textId="2799A02E" w:rsidR="008A6A92" w:rsidRDefault="008A6A92" w:rsidP="008A6A92">
      <w:pPr>
        <w:pStyle w:val="Els-2ndorder-head"/>
      </w:pPr>
      <w:r>
        <w:t>Cleaning factors selection for carbohydrate – and protein – based stains</w:t>
      </w:r>
      <w:r w:rsidR="00F25386">
        <w:t>.</w:t>
      </w:r>
    </w:p>
    <w:p w14:paraId="5150A673" w14:textId="051B2D8B" w:rsidR="00E868D3" w:rsidRDefault="00E868D3" w:rsidP="008A6A92">
      <w:pPr>
        <w:pStyle w:val="Els-body-text"/>
      </w:pPr>
      <w:r>
        <w:t xml:space="preserve">From </w:t>
      </w:r>
      <w:r w:rsidR="00926620">
        <w:t xml:space="preserve">the </w:t>
      </w:r>
      <w:r w:rsidRPr="00E868D3">
        <w:t>response surface methodology</w:t>
      </w:r>
      <w:r>
        <w:t xml:space="preserve">, </w:t>
      </w:r>
      <w:r w:rsidRPr="00E868D3">
        <w:t xml:space="preserve">the </w:t>
      </w:r>
      <w:r>
        <w:t>most important</w:t>
      </w:r>
      <w:r w:rsidRPr="00E868D3">
        <w:t xml:space="preserve"> variables in carbohydrate</w:t>
      </w:r>
      <w:r w:rsidR="009E5657">
        <w:t xml:space="preserve"> – based </w:t>
      </w:r>
      <w:r>
        <w:t xml:space="preserve">and protein – based </w:t>
      </w:r>
      <w:r w:rsidRPr="00E868D3">
        <w:t>stain</w:t>
      </w:r>
      <w:r>
        <w:t>s</w:t>
      </w:r>
      <w:r w:rsidRPr="00E868D3">
        <w:t xml:space="preserve"> removal</w:t>
      </w:r>
      <w:r w:rsidR="00926620">
        <w:t xml:space="preserve"> are identified. Table 1 summarizes the results</w:t>
      </w:r>
      <w:r>
        <w:t>.</w:t>
      </w:r>
      <w:r w:rsidR="004637A9">
        <w:t xml:space="preserve"> </w:t>
      </w:r>
      <w:r w:rsidR="00926620">
        <w:t>The s</w:t>
      </w:r>
      <w:r w:rsidRPr="00E868D3">
        <w:t xml:space="preserve">tatistical analysis shows that time and enzymatic action </w:t>
      </w:r>
      <w:r w:rsidR="00A5409C">
        <w:t xml:space="preserve">by amylase </w:t>
      </w:r>
      <w:r w:rsidRPr="00E868D3">
        <w:t>are the main two drivers for cleaning of the carbohydrate</w:t>
      </w:r>
      <w:r w:rsidR="00863C7B">
        <w:rPr>
          <w:rFonts w:eastAsiaTheme="minorEastAsia"/>
          <w:szCs w:val="24"/>
        </w:rPr>
        <w:t xml:space="preserve"> – </w:t>
      </w:r>
      <w:r w:rsidRPr="00E868D3">
        <w:t xml:space="preserve">based stain. </w:t>
      </w:r>
      <w:r w:rsidR="00A5409C">
        <w:t>However</w:t>
      </w:r>
      <w:r w:rsidRPr="00E868D3">
        <w:t xml:space="preserve">, bleaching </w:t>
      </w:r>
      <w:r w:rsidR="00A5409C">
        <w:t>compounds</w:t>
      </w:r>
      <w:r w:rsidRPr="00E868D3">
        <w:t xml:space="preserve"> </w:t>
      </w:r>
      <w:r w:rsidR="00A5409C">
        <w:t>provide a</w:t>
      </w:r>
      <w:r w:rsidRPr="00E868D3">
        <w:t xml:space="preserve"> negative impact </w:t>
      </w:r>
      <w:r w:rsidR="00A5409C">
        <w:t xml:space="preserve">in </w:t>
      </w:r>
      <w:r w:rsidRPr="00E868D3">
        <w:t xml:space="preserve">the cleaning of this stain </w:t>
      </w:r>
      <w:r w:rsidR="00A5409C">
        <w:t>because</w:t>
      </w:r>
      <w:r w:rsidRPr="00E868D3">
        <w:t xml:space="preserve"> they decompose the amylase</w:t>
      </w:r>
      <w:r w:rsidR="00A5409C">
        <w:t xml:space="preserve">, </w:t>
      </w:r>
      <w:r w:rsidRPr="00E868D3">
        <w:t xml:space="preserve">not </w:t>
      </w:r>
      <w:r w:rsidR="00A5409C">
        <w:t>impacting on</w:t>
      </w:r>
      <w:r w:rsidRPr="00E868D3">
        <w:t xml:space="preserve"> </w:t>
      </w:r>
      <w:r w:rsidR="00D34AF5">
        <w:t xml:space="preserve">the </w:t>
      </w:r>
      <w:r w:rsidRPr="00E868D3">
        <w:t>stain</w:t>
      </w:r>
      <w:r w:rsidR="00A5409C">
        <w:t xml:space="preserve"> bleaching</w:t>
      </w:r>
      <w:r w:rsidRPr="00E868D3">
        <w:t xml:space="preserve">. Additionally, water hardness </w:t>
      </w:r>
      <w:r w:rsidR="00A5409C">
        <w:t>also gives</w:t>
      </w:r>
      <w:r w:rsidRPr="00E868D3">
        <w:t xml:space="preserve"> a negative impact on the cleaning of this stain</w:t>
      </w:r>
      <w:r w:rsidR="00A5409C">
        <w:t xml:space="preserve"> since deposits on stain surface by metal ions from water hardness may hinder the amylase action</w:t>
      </w:r>
      <w:r w:rsidRPr="00E868D3">
        <w:t>. For the protein-based stain, the cleaning is highly dependent of time, protease, amylase, and bleaching compounds</w:t>
      </w:r>
      <w:r w:rsidR="0077528C">
        <w:t xml:space="preserve"> concentrations.</w:t>
      </w:r>
    </w:p>
    <w:p w14:paraId="3FF7C01D" w14:textId="529B7C16" w:rsidR="00E77CCE" w:rsidRDefault="00E77CCE" w:rsidP="00E77CCE">
      <w:pPr>
        <w:pStyle w:val="Els-2ndorder-head"/>
      </w:pPr>
      <w:r>
        <w:t xml:space="preserve">Cleaning model </w:t>
      </w:r>
      <w:r w:rsidR="0077528C">
        <w:t xml:space="preserve">formulation and </w:t>
      </w:r>
      <w:r>
        <w:t>validation for carbohydrate – based and protein – based stains.</w:t>
      </w:r>
    </w:p>
    <w:p w14:paraId="0A0670E5" w14:textId="249C0669" w:rsidR="0074085C" w:rsidRDefault="00E77CCE" w:rsidP="008A6A92">
      <w:pPr>
        <w:pStyle w:val="Els-body-text"/>
        <w:rPr>
          <w:rFonts w:eastAsiaTheme="minorEastAsia"/>
          <w:szCs w:val="24"/>
        </w:rPr>
      </w:pPr>
      <w:r w:rsidRPr="00041521">
        <w:rPr>
          <w:rFonts w:eastAsiaTheme="minorEastAsia"/>
          <w:szCs w:val="24"/>
        </w:rPr>
        <w:t>The statistical analysis reduces the complexity in identifying the mechanisms involved in the removal of each stain</w:t>
      </w:r>
      <w:r>
        <w:rPr>
          <w:rFonts w:eastAsiaTheme="minorEastAsia"/>
          <w:szCs w:val="24"/>
        </w:rPr>
        <w:t xml:space="preserve"> and their corresponding </w:t>
      </w:r>
      <w:r w:rsidRPr="00041521">
        <w:rPr>
          <w:rFonts w:eastAsiaTheme="minorEastAsia"/>
          <w:szCs w:val="24"/>
        </w:rPr>
        <w:t>differential model parameters.</w:t>
      </w:r>
      <w:r>
        <w:rPr>
          <w:rFonts w:eastAsiaTheme="minorEastAsia"/>
          <w:szCs w:val="24"/>
        </w:rPr>
        <w:t xml:space="preserve"> For carbohydrate – based stain, the model parameters selected were those related to the amylase effect on the physical removal, employed to calculate the kinetic constant of physical removal. </w:t>
      </w:r>
      <w:r w:rsidR="00ED1B08">
        <w:rPr>
          <w:rFonts w:eastAsiaTheme="minorEastAsia"/>
          <w:szCs w:val="24"/>
        </w:rPr>
        <w:t>For the protein – based stain</w:t>
      </w:r>
      <w:r>
        <w:rPr>
          <w:rFonts w:eastAsiaTheme="minorEastAsia"/>
          <w:szCs w:val="24"/>
        </w:rPr>
        <w:t>, the fitting parameters related to physical removal by amylase and protease as well as bleaching effect by peracetic acid and hydrogen peroxide</w:t>
      </w:r>
      <w:r w:rsidR="00B038A1">
        <w:rPr>
          <w:rFonts w:eastAsiaTheme="minorEastAsia"/>
          <w:szCs w:val="24"/>
        </w:rPr>
        <w:t xml:space="preserve"> </w:t>
      </w:r>
      <w:r>
        <w:rPr>
          <w:rFonts w:eastAsiaTheme="minorEastAsia"/>
          <w:szCs w:val="24"/>
        </w:rPr>
        <w:t>were considered</w:t>
      </w:r>
      <w:r w:rsidR="00234E1A">
        <w:rPr>
          <w:rFonts w:eastAsiaTheme="minorEastAsia"/>
          <w:szCs w:val="24"/>
        </w:rPr>
        <w:t xml:space="preserve">. </w:t>
      </w:r>
      <w:r w:rsidR="005F5D88" w:rsidRPr="005F5D88">
        <w:rPr>
          <w:rFonts w:eastAsiaTheme="minorEastAsia"/>
          <w:szCs w:val="24"/>
        </w:rPr>
        <w:t>A total of 8 and 11 parameters</w:t>
      </w:r>
      <w:r w:rsidR="00BC7F28">
        <w:rPr>
          <w:rFonts w:eastAsiaTheme="minorEastAsia"/>
          <w:szCs w:val="24"/>
        </w:rPr>
        <w:t xml:space="preserve"> coming from</w:t>
      </w:r>
      <w:r w:rsidR="005F5D88" w:rsidRPr="005F5D88">
        <w:rPr>
          <w:rFonts w:eastAsiaTheme="minorEastAsia"/>
          <w:szCs w:val="24"/>
        </w:rPr>
        <w:t xml:space="preserve"> </w:t>
      </w:r>
      <w:r w:rsidR="00C26954">
        <w:rPr>
          <w:rFonts w:eastAsiaTheme="minorEastAsia"/>
          <w:szCs w:val="24"/>
        </w:rPr>
        <w:t xml:space="preserve">the </w:t>
      </w:r>
      <w:r w:rsidR="005F5D88" w:rsidRPr="005F5D88">
        <w:rPr>
          <w:rFonts w:eastAsiaTheme="minorEastAsia"/>
          <w:szCs w:val="24"/>
        </w:rPr>
        <w:t>cleaning mechanistic models of carbohydrate</w:t>
      </w:r>
      <w:r w:rsidR="005F5D88">
        <w:rPr>
          <w:rFonts w:eastAsiaTheme="minorEastAsia"/>
          <w:szCs w:val="24"/>
        </w:rPr>
        <w:t xml:space="preserve"> - </w:t>
      </w:r>
      <w:r w:rsidR="005F5D88" w:rsidRPr="005F5D88">
        <w:rPr>
          <w:rFonts w:eastAsiaTheme="minorEastAsia"/>
          <w:szCs w:val="24"/>
        </w:rPr>
        <w:t>and protein</w:t>
      </w:r>
      <w:r w:rsidR="005F5D88">
        <w:rPr>
          <w:rFonts w:eastAsiaTheme="minorEastAsia"/>
          <w:szCs w:val="24"/>
        </w:rPr>
        <w:t xml:space="preserve"> - </w:t>
      </w:r>
      <w:r w:rsidR="005F5D88" w:rsidRPr="005F5D88">
        <w:rPr>
          <w:rFonts w:eastAsiaTheme="minorEastAsia"/>
          <w:szCs w:val="24"/>
        </w:rPr>
        <w:t xml:space="preserve">based stain </w:t>
      </w:r>
      <w:r w:rsidR="00BC7F28">
        <w:rPr>
          <w:rFonts w:eastAsiaTheme="minorEastAsia"/>
          <w:szCs w:val="24"/>
        </w:rPr>
        <w:t>were fitted</w:t>
      </w:r>
      <w:r w:rsidR="00BC7F28">
        <w:rPr>
          <w:rFonts w:eastAsiaTheme="minorEastAsia"/>
          <w:szCs w:val="24"/>
        </w:rPr>
        <w:t xml:space="preserve">, </w:t>
      </w:r>
      <w:r w:rsidR="005F5D88" w:rsidRPr="005F5D88">
        <w:rPr>
          <w:rFonts w:eastAsiaTheme="minorEastAsia"/>
          <w:szCs w:val="24"/>
        </w:rPr>
        <w:t>respectively</w:t>
      </w:r>
      <w:r>
        <w:rPr>
          <w:rFonts w:eastAsiaTheme="minorEastAsia"/>
          <w:szCs w:val="24"/>
        </w:rPr>
        <w:t>. For both stains, their corresponding differential cleaning models have a high statistical significance since</w:t>
      </w:r>
      <w:r w:rsidR="00C834B5">
        <w:rPr>
          <w:rFonts w:eastAsiaTheme="minorEastAsia"/>
          <w:szCs w:val="24"/>
        </w:rPr>
        <w:t xml:space="preserve"> p - </w:t>
      </w:r>
      <w:r>
        <w:rPr>
          <w:rFonts w:eastAsiaTheme="minorEastAsia"/>
          <w:szCs w:val="24"/>
        </w:rPr>
        <w:t>values lower than 0.01 were obtained in the ANOVA of the regressions.</w:t>
      </w:r>
    </w:p>
    <w:p w14:paraId="63E730EB" w14:textId="3C545AB8" w:rsidR="007C16A5" w:rsidRDefault="00E77CCE" w:rsidP="008A6A92">
      <w:pPr>
        <w:pStyle w:val="Els-body-text"/>
        <w:rPr>
          <w:rFonts w:eastAsiaTheme="minorEastAsia"/>
          <w:szCs w:val="24"/>
        </w:rPr>
      </w:pPr>
      <w:r>
        <w:rPr>
          <w:rFonts w:eastAsiaTheme="minorEastAsia"/>
          <w:szCs w:val="24"/>
        </w:rPr>
        <w:t>After the fitting parameter estimation, a</w:t>
      </w:r>
      <w:r w:rsidRPr="00F93BF0">
        <w:rPr>
          <w:rFonts w:eastAsiaTheme="minorEastAsia"/>
          <w:szCs w:val="24"/>
        </w:rPr>
        <w:t xml:space="preserve"> validation of the mechanistic model for each stain was carried out</w:t>
      </w:r>
      <w:r>
        <w:rPr>
          <w:rFonts w:eastAsiaTheme="minorEastAsia"/>
          <w:szCs w:val="24"/>
        </w:rPr>
        <w:t xml:space="preserve"> comparing</w:t>
      </w:r>
      <w:r w:rsidRPr="00F93BF0">
        <w:rPr>
          <w:rFonts w:eastAsiaTheme="minorEastAsia"/>
          <w:szCs w:val="24"/>
        </w:rPr>
        <w:t xml:space="preserve"> the estimated and measured </w:t>
      </w:r>
      <w:r>
        <w:rPr>
          <w:rFonts w:eastAsiaTheme="minorEastAsia"/>
          <w:szCs w:val="24"/>
        </w:rPr>
        <w:t xml:space="preserve">SRIs. </w:t>
      </w:r>
      <w:r w:rsidRPr="00AB61DC">
        <w:rPr>
          <w:rFonts w:eastAsiaTheme="minorEastAsia"/>
          <w:szCs w:val="24"/>
        </w:rPr>
        <w:t>Figure 2</w:t>
      </w:r>
      <w:r>
        <w:rPr>
          <w:rFonts w:eastAsiaTheme="minorEastAsia"/>
          <w:szCs w:val="24"/>
        </w:rPr>
        <w:t xml:space="preserve"> shows a scatter plot made up</w:t>
      </w:r>
      <w:r w:rsidRPr="002907D3">
        <w:rPr>
          <w:rFonts w:eastAsiaTheme="minorEastAsia"/>
          <w:szCs w:val="24"/>
        </w:rPr>
        <w:t xml:space="preserve"> </w:t>
      </w:r>
      <w:r>
        <w:rPr>
          <w:rFonts w:eastAsiaTheme="minorEastAsia"/>
          <w:szCs w:val="24"/>
        </w:rPr>
        <w:t>by the predicted stain removal index versus the experimental ones for both stains. The models can capture the most part of the variation in the SRI since determination coefficient of 0.9</w:t>
      </w:r>
      <w:r w:rsidR="00D8550B">
        <w:rPr>
          <w:rFonts w:eastAsiaTheme="minorEastAsia"/>
          <w:szCs w:val="24"/>
        </w:rPr>
        <w:t>3</w:t>
      </w:r>
      <w:r>
        <w:rPr>
          <w:rFonts w:eastAsiaTheme="minorEastAsia"/>
          <w:szCs w:val="24"/>
        </w:rPr>
        <w:t xml:space="preserve"> and 0.89 were obtained for carbohydrate – based and protein – based stain respectively.</w:t>
      </w:r>
      <w:r w:rsidR="003374CB">
        <w:rPr>
          <w:rFonts w:eastAsiaTheme="minorEastAsia"/>
          <w:szCs w:val="24"/>
        </w:rPr>
        <w:t xml:space="preserve"> </w:t>
      </w:r>
      <w:r w:rsidR="000906F4" w:rsidRPr="000906F4">
        <w:rPr>
          <w:rFonts w:eastAsiaTheme="minorEastAsia"/>
          <w:szCs w:val="24"/>
        </w:rPr>
        <w:t xml:space="preserve">However, the reduced amount of experimental data between 30 and 50 % of the SRI in Figure 2a </w:t>
      </w:r>
      <w:r w:rsidR="00425659">
        <w:rPr>
          <w:rFonts w:eastAsiaTheme="minorEastAsia"/>
          <w:szCs w:val="24"/>
        </w:rPr>
        <w:t>provides</w:t>
      </w:r>
      <w:r w:rsidR="000906F4" w:rsidRPr="000906F4">
        <w:rPr>
          <w:rFonts w:eastAsiaTheme="minorEastAsia"/>
          <w:szCs w:val="24"/>
        </w:rPr>
        <w:t xml:space="preserve"> outliers in this region.</w:t>
      </w:r>
    </w:p>
    <w:p w14:paraId="6D5CF4F1" w14:textId="6B0754D0" w:rsidR="007C16A5" w:rsidRPr="002D5275" w:rsidRDefault="007C16A5" w:rsidP="007C16A5">
      <w:pPr>
        <w:pStyle w:val="Descripcin"/>
        <w:keepNext/>
      </w:pPr>
      <w:r w:rsidRPr="002D5275">
        <w:rPr>
          <w:b/>
          <w:bCs/>
        </w:rPr>
        <w:lastRenderedPageBreak/>
        <w:t xml:space="preserve">Table </w:t>
      </w:r>
      <w:r w:rsidRPr="002D5275">
        <w:rPr>
          <w:b/>
          <w:bCs/>
        </w:rPr>
        <w:fldChar w:fldCharType="begin"/>
      </w:r>
      <w:r w:rsidRPr="002D5275">
        <w:rPr>
          <w:b/>
          <w:bCs/>
        </w:rPr>
        <w:instrText xml:space="preserve"> SEQ Table \* ARABIC </w:instrText>
      </w:r>
      <w:r w:rsidRPr="002D5275">
        <w:rPr>
          <w:b/>
          <w:bCs/>
        </w:rPr>
        <w:fldChar w:fldCharType="separate"/>
      </w:r>
      <w:r w:rsidRPr="002D5275">
        <w:rPr>
          <w:b/>
          <w:bCs/>
          <w:noProof/>
        </w:rPr>
        <w:t>1</w:t>
      </w:r>
      <w:r w:rsidRPr="002D5275">
        <w:rPr>
          <w:b/>
          <w:bCs/>
        </w:rPr>
        <w:fldChar w:fldCharType="end"/>
      </w:r>
      <w:r>
        <w:t xml:space="preserve">: </w:t>
      </w:r>
      <w:r w:rsidRPr="002D5275">
        <w:t xml:space="preserve">Selected </w:t>
      </w:r>
      <w:r>
        <w:t>f</w:t>
      </w:r>
      <w:r w:rsidRPr="002D5275">
        <w:t xml:space="preserve">actors for </w:t>
      </w:r>
      <w:r w:rsidR="00DC73A8">
        <w:t xml:space="preserve">differential models of </w:t>
      </w:r>
      <w:r w:rsidR="001A658D">
        <w:t>carbohydrate</w:t>
      </w:r>
      <w:r w:rsidR="001A658D">
        <w:rPr>
          <w:rFonts w:eastAsiaTheme="minorEastAsia"/>
          <w:szCs w:val="24"/>
        </w:rPr>
        <w:t xml:space="preserve"> –</w:t>
      </w:r>
      <w:r w:rsidR="00B00792">
        <w:t xml:space="preserve"> </w:t>
      </w:r>
      <w:r w:rsidRPr="002D5275">
        <w:t xml:space="preserve">and </w:t>
      </w:r>
      <w:r>
        <w:t>p</w:t>
      </w:r>
      <w:r w:rsidRPr="002D5275">
        <w:t>rotein</w:t>
      </w:r>
      <w:r w:rsidR="001A658D">
        <w:rPr>
          <w:rFonts w:eastAsiaTheme="minorEastAsia"/>
          <w:szCs w:val="24"/>
        </w:rPr>
        <w:t xml:space="preserve"> – </w:t>
      </w:r>
      <w:r w:rsidRPr="002D5275">
        <w:t xml:space="preserve">based </w:t>
      </w:r>
      <w:r w:rsidR="00B00792">
        <w:t xml:space="preserve">stains </w:t>
      </w:r>
      <w:r w:rsidRPr="002D5275">
        <w:t xml:space="preserve">from </w:t>
      </w:r>
      <w:r>
        <w:t>s</w:t>
      </w:r>
      <w:r w:rsidRPr="002D5275">
        <w:t xml:space="preserve">tatistical </w:t>
      </w:r>
      <w:r>
        <w:t>a</w:t>
      </w:r>
      <w:r w:rsidRPr="002D5275">
        <w:t>nalysis.</w:t>
      </w:r>
    </w:p>
    <w:tbl>
      <w:tblPr>
        <w:tblStyle w:val="Tablaconcuadrcula"/>
        <w:tblW w:w="4395" w:type="pct"/>
        <w:jc w:val="center"/>
        <w:tblLayout w:type="fixed"/>
        <w:tblLook w:val="04A0" w:firstRow="1" w:lastRow="0" w:firstColumn="1" w:lastColumn="0" w:noHBand="0" w:noVBand="1"/>
      </w:tblPr>
      <w:tblGrid>
        <w:gridCol w:w="1620"/>
        <w:gridCol w:w="3052"/>
        <w:gridCol w:w="1557"/>
      </w:tblGrid>
      <w:tr w:rsidR="007C16A5" w:rsidRPr="008A61F9" w14:paraId="44213CAD" w14:textId="77777777" w:rsidTr="00C6127E">
        <w:trPr>
          <w:trHeight w:val="258"/>
          <w:jc w:val="center"/>
        </w:trPr>
        <w:tc>
          <w:tcPr>
            <w:tcW w:w="1300" w:type="pct"/>
            <w:tcBorders>
              <w:top w:val="single" w:sz="4" w:space="0" w:color="auto"/>
              <w:left w:val="nil"/>
              <w:bottom w:val="single" w:sz="4" w:space="0" w:color="auto"/>
              <w:right w:val="nil"/>
            </w:tcBorders>
            <w:noWrap/>
            <w:vAlign w:val="center"/>
            <w:hideMark/>
          </w:tcPr>
          <w:p w14:paraId="222DAC7A"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single" w:sz="4" w:space="0" w:color="auto"/>
              <w:left w:val="nil"/>
              <w:bottom w:val="single" w:sz="4" w:space="0" w:color="auto"/>
              <w:right w:val="nil"/>
            </w:tcBorders>
            <w:noWrap/>
            <w:vAlign w:val="center"/>
            <w:hideMark/>
          </w:tcPr>
          <w:p w14:paraId="4D3E7F97" w14:textId="77777777" w:rsidR="007C16A5" w:rsidRPr="008A61F9" w:rsidRDefault="007C16A5" w:rsidP="00C6127E">
            <w:pPr>
              <w:jc w:val="center"/>
              <w:rPr>
                <w:rFonts w:ascii="Times New Roman" w:hAnsi="Times New Roman" w:cs="Times New Roman"/>
                <w:b/>
                <w:bCs/>
                <w:sz w:val="20"/>
                <w:szCs w:val="20"/>
                <w:lang w:val="en-US"/>
              </w:rPr>
            </w:pPr>
            <w:r w:rsidRPr="008A61F9">
              <w:rPr>
                <w:rFonts w:ascii="Times New Roman" w:hAnsi="Times New Roman" w:cs="Times New Roman"/>
                <w:b/>
                <w:bCs/>
                <w:sz w:val="20"/>
                <w:szCs w:val="20"/>
                <w:lang w:val="en-US"/>
              </w:rPr>
              <w:t>Represented Factors</w:t>
            </w:r>
          </w:p>
        </w:tc>
        <w:tc>
          <w:tcPr>
            <w:tcW w:w="1250" w:type="pct"/>
            <w:tcBorders>
              <w:top w:val="single" w:sz="4" w:space="0" w:color="auto"/>
              <w:left w:val="nil"/>
              <w:bottom w:val="single" w:sz="4" w:space="0" w:color="auto"/>
              <w:right w:val="nil"/>
            </w:tcBorders>
            <w:vAlign w:val="center"/>
          </w:tcPr>
          <w:p w14:paraId="71B19154" w14:textId="797634F1" w:rsidR="007C16A5" w:rsidRPr="008A61F9" w:rsidRDefault="00596518" w:rsidP="00C6127E">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 </w:t>
            </w:r>
            <w:r w:rsidR="007C16A5" w:rsidRPr="008A61F9">
              <w:rPr>
                <w:rFonts w:ascii="Times New Roman" w:hAnsi="Times New Roman" w:cs="Times New Roman"/>
                <w:b/>
                <w:bCs/>
                <w:sz w:val="20"/>
                <w:szCs w:val="20"/>
                <w:lang w:val="en-US"/>
              </w:rPr>
              <w:t>-</w:t>
            </w:r>
            <w:r>
              <w:rPr>
                <w:rFonts w:ascii="Times New Roman" w:hAnsi="Times New Roman" w:cs="Times New Roman"/>
                <w:b/>
                <w:bCs/>
                <w:sz w:val="20"/>
                <w:szCs w:val="20"/>
                <w:lang w:val="en-US"/>
              </w:rPr>
              <w:t>v</w:t>
            </w:r>
            <w:r w:rsidR="007C16A5" w:rsidRPr="008A61F9">
              <w:rPr>
                <w:rFonts w:ascii="Times New Roman" w:hAnsi="Times New Roman" w:cs="Times New Roman"/>
                <w:b/>
                <w:bCs/>
                <w:sz w:val="20"/>
                <w:szCs w:val="20"/>
                <w:lang w:val="en-US"/>
              </w:rPr>
              <w:t>alue &gt; F</w:t>
            </w:r>
          </w:p>
        </w:tc>
      </w:tr>
      <w:tr w:rsidR="007C16A5" w:rsidRPr="008A61F9" w14:paraId="48F8DB6F" w14:textId="77777777" w:rsidTr="00C6127E">
        <w:trPr>
          <w:trHeight w:val="258"/>
          <w:jc w:val="center"/>
        </w:trPr>
        <w:tc>
          <w:tcPr>
            <w:tcW w:w="1300" w:type="pct"/>
            <w:vMerge w:val="restart"/>
            <w:tcBorders>
              <w:top w:val="single" w:sz="4" w:space="0" w:color="auto"/>
              <w:left w:val="nil"/>
              <w:bottom w:val="single" w:sz="4" w:space="0" w:color="auto"/>
              <w:right w:val="nil"/>
            </w:tcBorders>
            <w:noWrap/>
            <w:vAlign w:val="center"/>
            <w:hideMark/>
          </w:tcPr>
          <w:p w14:paraId="4A2187BF" w14:textId="77777777" w:rsidR="007C16A5" w:rsidRPr="008A61F9" w:rsidRDefault="007C16A5" w:rsidP="00C6127E">
            <w:pPr>
              <w:jc w:val="center"/>
              <w:rPr>
                <w:rFonts w:ascii="Times New Roman" w:hAnsi="Times New Roman" w:cs="Times New Roman"/>
                <w:b/>
                <w:bCs/>
                <w:sz w:val="20"/>
                <w:szCs w:val="20"/>
                <w:lang w:val="en-US"/>
              </w:rPr>
            </w:pPr>
            <w:r w:rsidRPr="008A61F9">
              <w:rPr>
                <w:rFonts w:ascii="Times New Roman" w:hAnsi="Times New Roman" w:cs="Times New Roman"/>
                <w:b/>
                <w:bCs/>
                <w:sz w:val="20"/>
                <w:szCs w:val="20"/>
                <w:lang w:val="en-US"/>
              </w:rPr>
              <w:t>Carbohydrate - based stain</w:t>
            </w:r>
          </w:p>
        </w:tc>
        <w:tc>
          <w:tcPr>
            <w:tcW w:w="2450" w:type="pct"/>
            <w:tcBorders>
              <w:top w:val="single" w:sz="4" w:space="0" w:color="auto"/>
              <w:left w:val="nil"/>
              <w:bottom w:val="nil"/>
              <w:right w:val="nil"/>
            </w:tcBorders>
            <w:noWrap/>
            <w:vAlign w:val="center"/>
          </w:tcPr>
          <w:p w14:paraId="03618E7F"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TAED</w:t>
            </w:r>
          </w:p>
        </w:tc>
        <w:tc>
          <w:tcPr>
            <w:tcW w:w="1250" w:type="pct"/>
            <w:tcBorders>
              <w:top w:val="single" w:sz="4" w:space="0" w:color="auto"/>
              <w:left w:val="nil"/>
              <w:bottom w:val="nil"/>
              <w:right w:val="nil"/>
            </w:tcBorders>
            <w:vAlign w:val="center"/>
          </w:tcPr>
          <w:p w14:paraId="50A44506"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0.0003</w:t>
            </w:r>
          </w:p>
        </w:tc>
      </w:tr>
      <w:tr w:rsidR="007C16A5" w:rsidRPr="008A61F9" w14:paraId="0404E713" w14:textId="77777777" w:rsidTr="00C6127E">
        <w:trPr>
          <w:trHeight w:val="258"/>
          <w:jc w:val="center"/>
        </w:trPr>
        <w:tc>
          <w:tcPr>
            <w:tcW w:w="1300" w:type="pct"/>
            <w:vMerge/>
            <w:tcBorders>
              <w:top w:val="nil"/>
              <w:left w:val="nil"/>
              <w:bottom w:val="single" w:sz="4" w:space="0" w:color="auto"/>
              <w:right w:val="nil"/>
            </w:tcBorders>
            <w:vAlign w:val="center"/>
            <w:hideMark/>
          </w:tcPr>
          <w:p w14:paraId="0E070C84" w14:textId="77777777" w:rsidR="007C16A5" w:rsidRPr="008A61F9" w:rsidRDefault="007C16A5" w:rsidP="00C6127E">
            <w:pPr>
              <w:jc w:val="center"/>
              <w:rPr>
                <w:rFonts w:ascii="Times New Roman" w:hAnsi="Times New Roman" w:cs="Times New Roman"/>
                <w:b/>
                <w:bCs/>
                <w:sz w:val="20"/>
                <w:szCs w:val="20"/>
                <w:lang w:val="en-US"/>
              </w:rPr>
            </w:pPr>
          </w:p>
        </w:tc>
        <w:tc>
          <w:tcPr>
            <w:tcW w:w="2450" w:type="pct"/>
            <w:tcBorders>
              <w:top w:val="nil"/>
              <w:left w:val="nil"/>
              <w:bottom w:val="nil"/>
              <w:right w:val="nil"/>
            </w:tcBorders>
            <w:noWrap/>
            <w:vAlign w:val="center"/>
          </w:tcPr>
          <w:p w14:paraId="3F77D99A"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Amylase</w:t>
            </w:r>
          </w:p>
        </w:tc>
        <w:tc>
          <w:tcPr>
            <w:tcW w:w="1250" w:type="pct"/>
            <w:tcBorders>
              <w:top w:val="nil"/>
              <w:left w:val="nil"/>
              <w:bottom w:val="nil"/>
              <w:right w:val="nil"/>
            </w:tcBorders>
            <w:vAlign w:val="center"/>
          </w:tcPr>
          <w:p w14:paraId="73E3C4E1"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49A8D6DF" w14:textId="77777777" w:rsidTr="00C6127E">
        <w:trPr>
          <w:trHeight w:val="258"/>
          <w:jc w:val="center"/>
        </w:trPr>
        <w:tc>
          <w:tcPr>
            <w:tcW w:w="1300" w:type="pct"/>
            <w:vMerge/>
            <w:tcBorders>
              <w:top w:val="nil"/>
              <w:left w:val="nil"/>
              <w:bottom w:val="single" w:sz="4" w:space="0" w:color="auto"/>
              <w:right w:val="nil"/>
            </w:tcBorders>
            <w:vAlign w:val="center"/>
            <w:hideMark/>
          </w:tcPr>
          <w:p w14:paraId="4B2176C7" w14:textId="77777777" w:rsidR="007C16A5" w:rsidRPr="008A61F9" w:rsidRDefault="007C16A5" w:rsidP="00C6127E">
            <w:pPr>
              <w:jc w:val="center"/>
              <w:rPr>
                <w:rFonts w:ascii="Times New Roman" w:hAnsi="Times New Roman" w:cs="Times New Roman"/>
                <w:b/>
                <w:bCs/>
                <w:sz w:val="20"/>
                <w:szCs w:val="20"/>
                <w:lang w:val="en-US"/>
              </w:rPr>
            </w:pPr>
          </w:p>
        </w:tc>
        <w:tc>
          <w:tcPr>
            <w:tcW w:w="2450" w:type="pct"/>
            <w:tcBorders>
              <w:top w:val="nil"/>
              <w:left w:val="nil"/>
              <w:bottom w:val="nil"/>
              <w:right w:val="nil"/>
            </w:tcBorders>
            <w:noWrap/>
            <w:vAlign w:val="center"/>
          </w:tcPr>
          <w:p w14:paraId="5DD696F1"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Water Hardness</w:t>
            </w:r>
          </w:p>
        </w:tc>
        <w:tc>
          <w:tcPr>
            <w:tcW w:w="1250" w:type="pct"/>
            <w:tcBorders>
              <w:top w:val="nil"/>
              <w:left w:val="nil"/>
              <w:bottom w:val="nil"/>
              <w:right w:val="nil"/>
            </w:tcBorders>
            <w:vAlign w:val="center"/>
          </w:tcPr>
          <w:p w14:paraId="0C6995EA"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0.0007</w:t>
            </w:r>
          </w:p>
        </w:tc>
      </w:tr>
      <w:tr w:rsidR="007C16A5" w:rsidRPr="008A61F9" w14:paraId="388E3FB9" w14:textId="77777777" w:rsidTr="00C6127E">
        <w:trPr>
          <w:trHeight w:val="352"/>
          <w:jc w:val="center"/>
        </w:trPr>
        <w:tc>
          <w:tcPr>
            <w:tcW w:w="1300" w:type="pct"/>
            <w:vMerge/>
            <w:tcBorders>
              <w:top w:val="nil"/>
              <w:left w:val="nil"/>
              <w:bottom w:val="single" w:sz="4" w:space="0" w:color="auto"/>
              <w:right w:val="nil"/>
            </w:tcBorders>
            <w:vAlign w:val="center"/>
            <w:hideMark/>
          </w:tcPr>
          <w:p w14:paraId="6D4810EF" w14:textId="77777777" w:rsidR="007C16A5" w:rsidRPr="008A61F9" w:rsidRDefault="007C16A5" w:rsidP="00C6127E">
            <w:pPr>
              <w:jc w:val="center"/>
              <w:rPr>
                <w:rFonts w:ascii="Times New Roman" w:hAnsi="Times New Roman" w:cs="Times New Roman"/>
                <w:b/>
                <w:bCs/>
                <w:sz w:val="20"/>
                <w:szCs w:val="20"/>
                <w:lang w:val="en-US"/>
              </w:rPr>
            </w:pPr>
          </w:p>
        </w:tc>
        <w:tc>
          <w:tcPr>
            <w:tcW w:w="2450" w:type="pct"/>
            <w:tcBorders>
              <w:top w:val="nil"/>
              <w:left w:val="nil"/>
              <w:bottom w:val="nil"/>
              <w:right w:val="nil"/>
            </w:tcBorders>
            <w:noWrap/>
            <w:vAlign w:val="center"/>
          </w:tcPr>
          <w:p w14:paraId="00BE9E8F"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 xml:space="preserve">Main wash </w:t>
            </w:r>
            <w:r>
              <w:rPr>
                <w:rFonts w:ascii="Times New Roman" w:hAnsi="Times New Roman" w:cs="Times New Roman"/>
                <w:sz w:val="20"/>
                <w:szCs w:val="20"/>
                <w:lang w:val="en-US"/>
              </w:rPr>
              <w:t>t</w:t>
            </w:r>
            <w:r w:rsidRPr="008A61F9">
              <w:rPr>
                <w:rFonts w:ascii="Times New Roman" w:hAnsi="Times New Roman" w:cs="Times New Roman"/>
                <w:sz w:val="20"/>
                <w:szCs w:val="20"/>
                <w:lang w:val="en-US"/>
              </w:rPr>
              <w:t>ime</w:t>
            </w:r>
          </w:p>
        </w:tc>
        <w:tc>
          <w:tcPr>
            <w:tcW w:w="1250" w:type="pct"/>
            <w:tcBorders>
              <w:top w:val="nil"/>
              <w:left w:val="nil"/>
              <w:bottom w:val="nil"/>
              <w:right w:val="nil"/>
            </w:tcBorders>
            <w:vAlign w:val="center"/>
          </w:tcPr>
          <w:p w14:paraId="2BD57FA2"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026E7EB8" w14:textId="77777777" w:rsidTr="00C6127E">
        <w:trPr>
          <w:trHeight w:val="258"/>
          <w:jc w:val="center"/>
        </w:trPr>
        <w:tc>
          <w:tcPr>
            <w:tcW w:w="1300" w:type="pct"/>
            <w:vMerge/>
            <w:tcBorders>
              <w:top w:val="nil"/>
              <w:left w:val="nil"/>
              <w:bottom w:val="single" w:sz="4" w:space="0" w:color="auto"/>
              <w:right w:val="nil"/>
            </w:tcBorders>
            <w:vAlign w:val="center"/>
            <w:hideMark/>
          </w:tcPr>
          <w:p w14:paraId="442F6154" w14:textId="77777777" w:rsidR="007C16A5" w:rsidRPr="008A61F9" w:rsidRDefault="007C16A5" w:rsidP="00C6127E">
            <w:pPr>
              <w:jc w:val="center"/>
              <w:rPr>
                <w:rFonts w:ascii="Times New Roman" w:hAnsi="Times New Roman" w:cs="Times New Roman"/>
                <w:b/>
                <w:bCs/>
                <w:sz w:val="20"/>
                <w:szCs w:val="20"/>
                <w:lang w:val="en-US"/>
              </w:rPr>
            </w:pPr>
          </w:p>
        </w:tc>
        <w:tc>
          <w:tcPr>
            <w:tcW w:w="2450" w:type="pct"/>
            <w:tcBorders>
              <w:top w:val="nil"/>
              <w:left w:val="nil"/>
              <w:bottom w:val="single" w:sz="4" w:space="0" w:color="auto"/>
              <w:right w:val="nil"/>
            </w:tcBorders>
            <w:noWrap/>
            <w:vAlign w:val="center"/>
          </w:tcPr>
          <w:p w14:paraId="68B5AFD3"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Amylase – Amylase</w:t>
            </w:r>
          </w:p>
        </w:tc>
        <w:tc>
          <w:tcPr>
            <w:tcW w:w="1250" w:type="pct"/>
            <w:tcBorders>
              <w:top w:val="nil"/>
              <w:left w:val="nil"/>
              <w:bottom w:val="single" w:sz="4" w:space="0" w:color="auto"/>
              <w:right w:val="nil"/>
            </w:tcBorders>
            <w:vAlign w:val="center"/>
          </w:tcPr>
          <w:p w14:paraId="1D272977" w14:textId="2084E1F5" w:rsidR="007C16A5" w:rsidRPr="008A61F9" w:rsidRDefault="00366084" w:rsidP="00C6127E">
            <w:pPr>
              <w:jc w:val="center"/>
              <w:rPr>
                <w:rFonts w:ascii="Times New Roman" w:eastAsia="Times New Roman" w:hAnsi="Times New Roman" w:cs="Times New Roman"/>
                <w:sz w:val="20"/>
                <w:szCs w:val="20"/>
                <w:lang w:val="en-US"/>
              </w:rPr>
            </w:pPr>
            <w:r w:rsidRPr="00366084">
              <w:rPr>
                <w:rFonts w:ascii="Times New Roman" w:eastAsia="Times New Roman" w:hAnsi="Times New Roman" w:cs="Times New Roman"/>
                <w:sz w:val="20"/>
                <w:szCs w:val="20"/>
                <w:lang w:val="en-US"/>
              </w:rPr>
              <w:t>&lt;0.0001</w:t>
            </w:r>
          </w:p>
        </w:tc>
      </w:tr>
      <w:tr w:rsidR="007C16A5" w:rsidRPr="008A61F9" w14:paraId="77D123AC" w14:textId="77777777" w:rsidTr="00C6127E">
        <w:trPr>
          <w:trHeight w:val="258"/>
          <w:jc w:val="center"/>
        </w:trPr>
        <w:tc>
          <w:tcPr>
            <w:tcW w:w="1300" w:type="pct"/>
            <w:vMerge w:val="restart"/>
            <w:tcBorders>
              <w:top w:val="nil"/>
              <w:left w:val="nil"/>
              <w:bottom w:val="single" w:sz="4" w:space="0" w:color="auto"/>
              <w:right w:val="nil"/>
            </w:tcBorders>
            <w:noWrap/>
            <w:vAlign w:val="center"/>
            <w:hideMark/>
          </w:tcPr>
          <w:p w14:paraId="64000D11" w14:textId="77777777" w:rsidR="007C16A5" w:rsidRPr="008A61F9" w:rsidRDefault="007C16A5" w:rsidP="00C6127E">
            <w:pPr>
              <w:jc w:val="center"/>
              <w:rPr>
                <w:rFonts w:ascii="Times New Roman" w:hAnsi="Times New Roman" w:cs="Times New Roman"/>
                <w:b/>
                <w:bCs/>
                <w:sz w:val="20"/>
                <w:szCs w:val="20"/>
                <w:lang w:val="en-US"/>
              </w:rPr>
            </w:pPr>
            <w:r w:rsidRPr="008A61F9">
              <w:rPr>
                <w:rFonts w:ascii="Times New Roman" w:hAnsi="Times New Roman" w:cs="Times New Roman"/>
                <w:b/>
                <w:bCs/>
                <w:sz w:val="20"/>
                <w:szCs w:val="20"/>
                <w:lang w:val="en-US"/>
              </w:rPr>
              <w:t>Protein - based stain</w:t>
            </w:r>
          </w:p>
        </w:tc>
        <w:tc>
          <w:tcPr>
            <w:tcW w:w="2450" w:type="pct"/>
            <w:tcBorders>
              <w:top w:val="single" w:sz="4" w:space="0" w:color="auto"/>
              <w:left w:val="nil"/>
              <w:bottom w:val="nil"/>
              <w:right w:val="nil"/>
            </w:tcBorders>
            <w:noWrap/>
            <w:vAlign w:val="center"/>
            <w:hideMark/>
          </w:tcPr>
          <w:p w14:paraId="7102362B"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Sodium percarbonate</w:t>
            </w:r>
          </w:p>
        </w:tc>
        <w:tc>
          <w:tcPr>
            <w:tcW w:w="1250" w:type="pct"/>
            <w:tcBorders>
              <w:top w:val="single" w:sz="4" w:space="0" w:color="auto"/>
              <w:left w:val="nil"/>
              <w:bottom w:val="nil"/>
              <w:right w:val="nil"/>
            </w:tcBorders>
            <w:vAlign w:val="center"/>
          </w:tcPr>
          <w:p w14:paraId="7CE4FD2A"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1CD1E47A" w14:textId="77777777" w:rsidTr="00C6127E">
        <w:trPr>
          <w:trHeight w:val="258"/>
          <w:jc w:val="center"/>
        </w:trPr>
        <w:tc>
          <w:tcPr>
            <w:tcW w:w="1300" w:type="pct"/>
            <w:vMerge/>
            <w:tcBorders>
              <w:top w:val="nil"/>
              <w:left w:val="nil"/>
              <w:bottom w:val="single" w:sz="4" w:space="0" w:color="auto"/>
              <w:right w:val="nil"/>
            </w:tcBorders>
            <w:vAlign w:val="center"/>
            <w:hideMark/>
          </w:tcPr>
          <w:p w14:paraId="2D528196"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514213F5"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Protease</w:t>
            </w:r>
          </w:p>
        </w:tc>
        <w:tc>
          <w:tcPr>
            <w:tcW w:w="1250" w:type="pct"/>
            <w:tcBorders>
              <w:top w:val="nil"/>
              <w:left w:val="nil"/>
              <w:bottom w:val="nil"/>
              <w:right w:val="nil"/>
            </w:tcBorders>
            <w:vAlign w:val="center"/>
          </w:tcPr>
          <w:p w14:paraId="6F048E3E"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4C0DFD34" w14:textId="77777777" w:rsidTr="00C6127E">
        <w:trPr>
          <w:trHeight w:val="258"/>
          <w:jc w:val="center"/>
        </w:trPr>
        <w:tc>
          <w:tcPr>
            <w:tcW w:w="1300" w:type="pct"/>
            <w:vMerge/>
            <w:tcBorders>
              <w:top w:val="nil"/>
              <w:left w:val="nil"/>
              <w:bottom w:val="single" w:sz="4" w:space="0" w:color="auto"/>
              <w:right w:val="nil"/>
            </w:tcBorders>
            <w:vAlign w:val="center"/>
            <w:hideMark/>
          </w:tcPr>
          <w:p w14:paraId="3B36CADA"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4010DF51"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Amylase</w:t>
            </w:r>
          </w:p>
        </w:tc>
        <w:tc>
          <w:tcPr>
            <w:tcW w:w="1250" w:type="pct"/>
            <w:tcBorders>
              <w:top w:val="nil"/>
              <w:left w:val="nil"/>
              <w:bottom w:val="nil"/>
              <w:right w:val="nil"/>
            </w:tcBorders>
            <w:vAlign w:val="center"/>
          </w:tcPr>
          <w:p w14:paraId="62540343"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57849837" w14:textId="77777777" w:rsidTr="00C6127E">
        <w:trPr>
          <w:trHeight w:val="258"/>
          <w:jc w:val="center"/>
        </w:trPr>
        <w:tc>
          <w:tcPr>
            <w:tcW w:w="1300" w:type="pct"/>
            <w:vMerge/>
            <w:tcBorders>
              <w:top w:val="nil"/>
              <w:left w:val="nil"/>
              <w:bottom w:val="single" w:sz="4" w:space="0" w:color="auto"/>
              <w:right w:val="nil"/>
            </w:tcBorders>
            <w:vAlign w:val="center"/>
            <w:hideMark/>
          </w:tcPr>
          <w:p w14:paraId="4FB781E4"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4DFEE50A"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Non - ionic surfactants mixture</w:t>
            </w:r>
          </w:p>
        </w:tc>
        <w:tc>
          <w:tcPr>
            <w:tcW w:w="1250" w:type="pct"/>
            <w:tcBorders>
              <w:top w:val="nil"/>
              <w:left w:val="nil"/>
              <w:bottom w:val="nil"/>
              <w:right w:val="nil"/>
            </w:tcBorders>
            <w:vAlign w:val="center"/>
          </w:tcPr>
          <w:p w14:paraId="46A588F9"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0.044</w:t>
            </w:r>
          </w:p>
        </w:tc>
      </w:tr>
      <w:tr w:rsidR="007C16A5" w:rsidRPr="008A61F9" w14:paraId="058EC8E6" w14:textId="77777777" w:rsidTr="00C6127E">
        <w:trPr>
          <w:trHeight w:val="258"/>
          <w:jc w:val="center"/>
        </w:trPr>
        <w:tc>
          <w:tcPr>
            <w:tcW w:w="1300" w:type="pct"/>
            <w:vMerge/>
            <w:tcBorders>
              <w:top w:val="nil"/>
              <w:left w:val="nil"/>
              <w:bottom w:val="single" w:sz="4" w:space="0" w:color="auto"/>
              <w:right w:val="nil"/>
            </w:tcBorders>
            <w:vAlign w:val="center"/>
            <w:hideMark/>
          </w:tcPr>
          <w:p w14:paraId="14D05511"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175C33E9"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Main wash time</w:t>
            </w:r>
          </w:p>
        </w:tc>
        <w:tc>
          <w:tcPr>
            <w:tcW w:w="1250" w:type="pct"/>
            <w:tcBorders>
              <w:top w:val="nil"/>
              <w:left w:val="nil"/>
              <w:bottom w:val="nil"/>
              <w:right w:val="nil"/>
            </w:tcBorders>
            <w:vAlign w:val="center"/>
          </w:tcPr>
          <w:p w14:paraId="4740371A"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68F1D053" w14:textId="77777777" w:rsidTr="00C6127E">
        <w:trPr>
          <w:trHeight w:val="258"/>
          <w:jc w:val="center"/>
        </w:trPr>
        <w:tc>
          <w:tcPr>
            <w:tcW w:w="1300" w:type="pct"/>
            <w:vMerge/>
            <w:tcBorders>
              <w:top w:val="nil"/>
              <w:left w:val="nil"/>
              <w:bottom w:val="single" w:sz="4" w:space="0" w:color="auto"/>
              <w:right w:val="nil"/>
            </w:tcBorders>
            <w:vAlign w:val="center"/>
            <w:hideMark/>
          </w:tcPr>
          <w:p w14:paraId="51BDDAF9"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7B865DDE"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Sodium percarbonate - Protease</w:t>
            </w:r>
          </w:p>
        </w:tc>
        <w:tc>
          <w:tcPr>
            <w:tcW w:w="1250" w:type="pct"/>
            <w:tcBorders>
              <w:top w:val="nil"/>
              <w:left w:val="nil"/>
              <w:bottom w:val="nil"/>
              <w:right w:val="nil"/>
            </w:tcBorders>
            <w:vAlign w:val="center"/>
          </w:tcPr>
          <w:p w14:paraId="6CCBFE90"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0D0CB67C" w14:textId="77777777" w:rsidTr="00C6127E">
        <w:trPr>
          <w:trHeight w:val="258"/>
          <w:jc w:val="center"/>
        </w:trPr>
        <w:tc>
          <w:tcPr>
            <w:tcW w:w="1300" w:type="pct"/>
            <w:vMerge/>
            <w:tcBorders>
              <w:top w:val="nil"/>
              <w:left w:val="nil"/>
              <w:bottom w:val="single" w:sz="4" w:space="0" w:color="auto"/>
              <w:right w:val="nil"/>
            </w:tcBorders>
            <w:vAlign w:val="center"/>
            <w:hideMark/>
          </w:tcPr>
          <w:p w14:paraId="1FD1DD4A"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51233141"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Protease – Protease</w:t>
            </w:r>
          </w:p>
        </w:tc>
        <w:tc>
          <w:tcPr>
            <w:tcW w:w="1250" w:type="pct"/>
            <w:tcBorders>
              <w:top w:val="nil"/>
              <w:left w:val="nil"/>
              <w:bottom w:val="nil"/>
              <w:right w:val="nil"/>
            </w:tcBorders>
            <w:vAlign w:val="center"/>
          </w:tcPr>
          <w:p w14:paraId="4E256E7E"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4C1E29DC" w14:textId="77777777" w:rsidTr="00C6127E">
        <w:trPr>
          <w:trHeight w:val="258"/>
          <w:jc w:val="center"/>
        </w:trPr>
        <w:tc>
          <w:tcPr>
            <w:tcW w:w="1300" w:type="pct"/>
            <w:vMerge/>
            <w:tcBorders>
              <w:top w:val="nil"/>
              <w:left w:val="nil"/>
              <w:bottom w:val="single" w:sz="4" w:space="0" w:color="auto"/>
              <w:right w:val="nil"/>
            </w:tcBorders>
            <w:vAlign w:val="center"/>
            <w:hideMark/>
          </w:tcPr>
          <w:p w14:paraId="3BC17D4D" w14:textId="77777777" w:rsidR="007C16A5" w:rsidRPr="008A61F9" w:rsidRDefault="007C16A5" w:rsidP="00C6127E">
            <w:pPr>
              <w:jc w:val="center"/>
              <w:rPr>
                <w:rFonts w:ascii="Times New Roman" w:hAnsi="Times New Roman" w:cs="Times New Roman"/>
                <w:sz w:val="20"/>
                <w:szCs w:val="20"/>
                <w:lang w:val="en-US"/>
              </w:rPr>
            </w:pPr>
          </w:p>
        </w:tc>
        <w:tc>
          <w:tcPr>
            <w:tcW w:w="2450" w:type="pct"/>
            <w:tcBorders>
              <w:top w:val="nil"/>
              <w:left w:val="nil"/>
              <w:bottom w:val="nil"/>
              <w:right w:val="nil"/>
            </w:tcBorders>
            <w:noWrap/>
            <w:vAlign w:val="center"/>
          </w:tcPr>
          <w:p w14:paraId="08F0CD0A"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 xml:space="preserve">Protease – </w:t>
            </w:r>
            <w:r>
              <w:rPr>
                <w:rFonts w:ascii="Times New Roman" w:hAnsi="Times New Roman" w:cs="Times New Roman"/>
                <w:sz w:val="20"/>
                <w:szCs w:val="20"/>
                <w:lang w:val="en-US"/>
              </w:rPr>
              <w:t>Amylase</w:t>
            </w:r>
          </w:p>
        </w:tc>
        <w:tc>
          <w:tcPr>
            <w:tcW w:w="1250" w:type="pct"/>
            <w:tcBorders>
              <w:top w:val="nil"/>
              <w:left w:val="nil"/>
              <w:bottom w:val="nil"/>
              <w:right w:val="nil"/>
            </w:tcBorders>
            <w:vAlign w:val="center"/>
          </w:tcPr>
          <w:p w14:paraId="18F6B8D9"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4B0E4905" w14:textId="77777777" w:rsidTr="00C6127E">
        <w:trPr>
          <w:trHeight w:val="258"/>
          <w:jc w:val="center"/>
        </w:trPr>
        <w:tc>
          <w:tcPr>
            <w:tcW w:w="1300" w:type="pct"/>
            <w:vMerge/>
            <w:tcBorders>
              <w:top w:val="nil"/>
              <w:left w:val="nil"/>
              <w:bottom w:val="single" w:sz="4" w:space="0" w:color="auto"/>
              <w:right w:val="nil"/>
            </w:tcBorders>
            <w:vAlign w:val="center"/>
          </w:tcPr>
          <w:p w14:paraId="3C38AC46" w14:textId="77777777" w:rsidR="007C16A5" w:rsidRPr="008A61F9" w:rsidRDefault="007C16A5" w:rsidP="00C6127E">
            <w:pPr>
              <w:jc w:val="center"/>
              <w:rPr>
                <w:lang w:val="en-US"/>
              </w:rPr>
            </w:pPr>
          </w:p>
        </w:tc>
        <w:tc>
          <w:tcPr>
            <w:tcW w:w="2450" w:type="pct"/>
            <w:tcBorders>
              <w:top w:val="nil"/>
              <w:left w:val="nil"/>
              <w:bottom w:val="nil"/>
              <w:right w:val="nil"/>
            </w:tcBorders>
            <w:noWrap/>
            <w:vAlign w:val="center"/>
          </w:tcPr>
          <w:p w14:paraId="6535BA9E"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Protease – Main wash time</w:t>
            </w:r>
          </w:p>
        </w:tc>
        <w:tc>
          <w:tcPr>
            <w:tcW w:w="1250" w:type="pct"/>
            <w:tcBorders>
              <w:top w:val="nil"/>
              <w:left w:val="nil"/>
              <w:bottom w:val="nil"/>
              <w:right w:val="nil"/>
            </w:tcBorders>
            <w:vAlign w:val="center"/>
          </w:tcPr>
          <w:p w14:paraId="59451A49"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&lt;0.0001</w:t>
            </w:r>
          </w:p>
        </w:tc>
      </w:tr>
      <w:tr w:rsidR="007C16A5" w:rsidRPr="008A61F9" w14:paraId="5AF086E8" w14:textId="77777777" w:rsidTr="00C6127E">
        <w:trPr>
          <w:trHeight w:val="258"/>
          <w:jc w:val="center"/>
        </w:trPr>
        <w:tc>
          <w:tcPr>
            <w:tcW w:w="1300" w:type="pct"/>
            <w:vMerge/>
            <w:tcBorders>
              <w:top w:val="nil"/>
              <w:left w:val="nil"/>
              <w:bottom w:val="single" w:sz="4" w:space="0" w:color="auto"/>
              <w:right w:val="nil"/>
            </w:tcBorders>
            <w:vAlign w:val="center"/>
          </w:tcPr>
          <w:p w14:paraId="7E14313C" w14:textId="77777777" w:rsidR="007C16A5" w:rsidRPr="008A61F9" w:rsidRDefault="007C16A5" w:rsidP="00C6127E">
            <w:pPr>
              <w:jc w:val="center"/>
              <w:rPr>
                <w:lang w:val="en-US"/>
              </w:rPr>
            </w:pPr>
          </w:p>
        </w:tc>
        <w:tc>
          <w:tcPr>
            <w:tcW w:w="2450" w:type="pct"/>
            <w:tcBorders>
              <w:top w:val="nil"/>
              <w:left w:val="nil"/>
              <w:bottom w:val="single" w:sz="4" w:space="0" w:color="auto"/>
              <w:right w:val="nil"/>
            </w:tcBorders>
            <w:noWrap/>
            <w:vAlign w:val="center"/>
          </w:tcPr>
          <w:p w14:paraId="67B1C4A1" w14:textId="77777777" w:rsidR="007C16A5" w:rsidRPr="008A61F9" w:rsidRDefault="007C16A5" w:rsidP="00C6127E">
            <w:pPr>
              <w:jc w:val="center"/>
              <w:rPr>
                <w:rFonts w:ascii="Times New Roman" w:hAnsi="Times New Roman" w:cs="Times New Roman"/>
                <w:sz w:val="20"/>
                <w:szCs w:val="20"/>
                <w:lang w:val="en-US"/>
              </w:rPr>
            </w:pPr>
            <w:r w:rsidRPr="008A61F9">
              <w:rPr>
                <w:rFonts w:ascii="Times New Roman" w:hAnsi="Times New Roman" w:cs="Times New Roman"/>
                <w:sz w:val="20"/>
                <w:szCs w:val="20"/>
                <w:lang w:val="en-US"/>
              </w:rPr>
              <w:t>Amylase – Main wash time</w:t>
            </w:r>
          </w:p>
        </w:tc>
        <w:tc>
          <w:tcPr>
            <w:tcW w:w="1250" w:type="pct"/>
            <w:tcBorders>
              <w:top w:val="nil"/>
              <w:left w:val="nil"/>
              <w:bottom w:val="single" w:sz="4" w:space="0" w:color="auto"/>
              <w:right w:val="nil"/>
            </w:tcBorders>
            <w:vAlign w:val="center"/>
          </w:tcPr>
          <w:p w14:paraId="29D13BD1" w14:textId="77777777" w:rsidR="007C16A5" w:rsidRPr="008A61F9" w:rsidRDefault="007C16A5" w:rsidP="00C6127E">
            <w:pPr>
              <w:jc w:val="center"/>
              <w:rPr>
                <w:rFonts w:ascii="Times New Roman" w:eastAsia="Times New Roman" w:hAnsi="Times New Roman" w:cs="Times New Roman"/>
                <w:sz w:val="20"/>
                <w:szCs w:val="20"/>
                <w:lang w:val="en-US"/>
              </w:rPr>
            </w:pPr>
            <w:r w:rsidRPr="008A61F9">
              <w:rPr>
                <w:rFonts w:ascii="Times New Roman" w:eastAsia="Times New Roman" w:hAnsi="Times New Roman" w:cs="Times New Roman"/>
                <w:sz w:val="20"/>
                <w:szCs w:val="20"/>
                <w:lang w:val="en-US"/>
              </w:rPr>
              <w:t>0.002</w:t>
            </w:r>
          </w:p>
        </w:tc>
      </w:tr>
    </w:tbl>
    <w:p w14:paraId="1EF203F6" w14:textId="77777777" w:rsidR="007C16A5" w:rsidRDefault="007C16A5" w:rsidP="008A6A92">
      <w:pPr>
        <w:pStyle w:val="Els-body-text"/>
        <w:rPr>
          <w:rFonts w:eastAsiaTheme="minorEastAsia"/>
          <w:szCs w:val="24"/>
        </w:rPr>
      </w:pPr>
    </w:p>
    <w:p w14:paraId="10E02C12" w14:textId="77777777" w:rsidR="007C16A5" w:rsidRDefault="007C16A5" w:rsidP="008A6A92">
      <w:pPr>
        <w:pStyle w:val="Els-body-text"/>
        <w:rPr>
          <w:rFonts w:eastAsiaTheme="minorEastAsia"/>
          <w:szCs w:val="24"/>
        </w:rPr>
      </w:pPr>
    </w:p>
    <w:p w14:paraId="4CA14CA0" w14:textId="44C9CBF6" w:rsidR="007C16A5" w:rsidRPr="00FD0A32" w:rsidRDefault="00511291" w:rsidP="007C16A5">
      <w:pPr>
        <w:pStyle w:val="Els-body-text"/>
        <w:jc w:val="center"/>
        <w:rPr>
          <w:rFonts w:eastAsiaTheme="minorEastAsia"/>
          <w:szCs w:val="24"/>
        </w:rPr>
      </w:pPr>
      <w:r>
        <w:rPr>
          <w:rFonts w:eastAsiaTheme="minorEastAsia"/>
          <w:noProof/>
          <w:szCs w:val="24"/>
        </w:rPr>
        <w:drawing>
          <wp:inline distT="0" distB="0" distL="0" distR="0" wp14:anchorId="0CA2686C" wp14:editId="4AACB5DC">
            <wp:extent cx="2381250" cy="3385705"/>
            <wp:effectExtent l="0" t="0" r="0" b="5715"/>
            <wp:docPr id="2" name="Picture 2" descr="A diagram of a protein-bound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rotein-bound tes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3207" cy="3488015"/>
                    </a:xfrm>
                    <a:prstGeom prst="rect">
                      <a:avLst/>
                    </a:prstGeom>
                  </pic:spPr>
                </pic:pic>
              </a:graphicData>
            </a:graphic>
          </wp:inline>
        </w:drawing>
      </w:r>
    </w:p>
    <w:p w14:paraId="59FB0713" w14:textId="4A452FD8" w:rsidR="00F05ADC" w:rsidRDefault="00F05ADC" w:rsidP="00F05ADC">
      <w:pPr>
        <w:pStyle w:val="Descripcin"/>
        <w:keepNext/>
        <w:jc w:val="center"/>
      </w:pPr>
    </w:p>
    <w:p w14:paraId="64B7F876" w14:textId="093B93AF" w:rsidR="00BC0045" w:rsidRPr="00AC5AFE" w:rsidRDefault="00F05ADC" w:rsidP="00F05ADC">
      <w:pPr>
        <w:pStyle w:val="Descripcin"/>
      </w:pPr>
      <w:r w:rsidRPr="00F05ADC">
        <w:rPr>
          <w:b/>
          <w:bCs/>
        </w:rPr>
        <w:t xml:space="preserve">Figure </w:t>
      </w:r>
      <w:r w:rsidRPr="00F05ADC">
        <w:rPr>
          <w:b/>
          <w:bCs/>
        </w:rPr>
        <w:fldChar w:fldCharType="begin"/>
      </w:r>
      <w:r w:rsidRPr="00F05ADC">
        <w:rPr>
          <w:b/>
          <w:bCs/>
        </w:rPr>
        <w:instrText xml:space="preserve"> SEQ Figure \* ARABIC </w:instrText>
      </w:r>
      <w:r w:rsidRPr="00F05ADC">
        <w:rPr>
          <w:b/>
          <w:bCs/>
        </w:rPr>
        <w:fldChar w:fldCharType="separate"/>
      </w:r>
      <w:r w:rsidRPr="00F05ADC">
        <w:rPr>
          <w:b/>
          <w:bCs/>
          <w:noProof/>
        </w:rPr>
        <w:t>2</w:t>
      </w:r>
      <w:r w:rsidRPr="00F05ADC">
        <w:rPr>
          <w:b/>
          <w:bCs/>
        </w:rPr>
        <w:fldChar w:fldCharType="end"/>
      </w:r>
      <w:r w:rsidR="00AC5AFE">
        <w:rPr>
          <w:b/>
          <w:bCs/>
        </w:rPr>
        <w:t xml:space="preserve">: </w:t>
      </w:r>
      <w:r w:rsidR="003C2FD2" w:rsidRPr="003C2FD2">
        <w:t xml:space="preserve">Validation </w:t>
      </w:r>
      <w:r w:rsidR="00C97382">
        <w:t xml:space="preserve">cleaning models </w:t>
      </w:r>
      <w:r w:rsidR="003C2FD2" w:rsidRPr="003C2FD2">
        <w:t xml:space="preserve">95 % of </w:t>
      </w:r>
      <w:r w:rsidR="00C97382">
        <w:t>c</w:t>
      </w:r>
      <w:r w:rsidR="003C2FD2" w:rsidRPr="003C2FD2">
        <w:t xml:space="preserve">onfidence: (a) </w:t>
      </w:r>
      <w:r w:rsidR="00C97382">
        <w:t>Carbohydrate – based stain</w:t>
      </w:r>
      <w:r w:rsidR="003C2FD2" w:rsidRPr="003C2FD2">
        <w:t xml:space="preserve">, (b) </w:t>
      </w:r>
      <w:r w:rsidR="00C97382">
        <w:t>Protein – based stain</w:t>
      </w:r>
      <w:r w:rsidR="003C2FD2" w:rsidRPr="003C2FD2">
        <w:t>.</w:t>
      </w:r>
    </w:p>
    <w:p w14:paraId="6AD49474" w14:textId="77777777" w:rsidR="004B3A2E" w:rsidRDefault="004B3A2E" w:rsidP="004B3A2E">
      <w:pPr>
        <w:pStyle w:val="Els-1storder-head"/>
      </w:pPr>
      <w:r>
        <w:lastRenderedPageBreak/>
        <w:t>Conclusions</w:t>
      </w:r>
    </w:p>
    <w:p w14:paraId="3C79464B" w14:textId="156F0A76" w:rsidR="007C6CFD" w:rsidRDefault="00561A36" w:rsidP="007C6CFD">
      <w:pPr>
        <w:pStyle w:val="Els-body-text"/>
      </w:pPr>
      <w:r>
        <w:t xml:space="preserve">A three – stage methodology is </w:t>
      </w:r>
      <w:r w:rsidR="002800E2">
        <w:t>employed</w:t>
      </w:r>
      <w:r w:rsidR="00435D5F">
        <w:t xml:space="preserve"> </w:t>
      </w:r>
      <w:r>
        <w:t xml:space="preserve">to build a dynamic cleaning </w:t>
      </w:r>
      <w:r w:rsidR="00435D5F">
        <w:t>mechanistic model</w:t>
      </w:r>
      <w:r>
        <w:t xml:space="preserve"> for car</w:t>
      </w:r>
      <w:r w:rsidR="001469CB">
        <w:t xml:space="preserve">bohydrate – based and protein – based </w:t>
      </w:r>
      <w:r>
        <w:t xml:space="preserve">stains. </w:t>
      </w:r>
      <w:r w:rsidR="001469CB">
        <w:t>Initially,</w:t>
      </w:r>
      <w:r>
        <w:t xml:space="preserve"> a </w:t>
      </w:r>
      <w:r w:rsidR="001469CB">
        <w:t>statistical analysis based on</w:t>
      </w:r>
      <w:r>
        <w:t xml:space="preserve"> </w:t>
      </w:r>
      <w:r w:rsidR="006A7862">
        <w:t xml:space="preserve">response </w:t>
      </w:r>
      <w:r>
        <w:t xml:space="preserve">surface methodology </w:t>
      </w:r>
      <w:r w:rsidR="002800E2">
        <w:t>allowed</w:t>
      </w:r>
      <w:r>
        <w:t xml:space="preserve"> </w:t>
      </w:r>
      <w:r w:rsidR="002800E2">
        <w:t>the identification of</w:t>
      </w:r>
      <w:r>
        <w:t xml:space="preserve"> the main factors involved on the removal of the stains. Enzymatic action was the main route in the decomposition of both stains. </w:t>
      </w:r>
      <w:r w:rsidR="00ED7145">
        <w:t>However, only in the protein – based stain,</w:t>
      </w:r>
      <w:r w:rsidR="00435D5F">
        <w:t xml:space="preserve"> </w:t>
      </w:r>
      <w:r w:rsidR="008337E0">
        <w:t>color removal by bleaching agents</w:t>
      </w:r>
      <w:r w:rsidR="00F07E01">
        <w:t xml:space="preserve"> was observed.</w:t>
      </w:r>
      <w:r>
        <w:t xml:space="preserve"> </w:t>
      </w:r>
      <w:r w:rsidR="00596B48">
        <w:t xml:space="preserve">The statistical analysis </w:t>
      </w:r>
      <w:r w:rsidR="001928EB">
        <w:t>allowed</w:t>
      </w:r>
      <w:r w:rsidR="00596B48">
        <w:t xml:space="preserve"> </w:t>
      </w:r>
      <w:r>
        <w:t xml:space="preserve">the </w:t>
      </w:r>
      <w:r w:rsidR="00664538">
        <w:t xml:space="preserve">identification of </w:t>
      </w:r>
      <w:r>
        <w:t xml:space="preserve">kinetic </w:t>
      </w:r>
      <w:r w:rsidR="00664538">
        <w:t xml:space="preserve">cleaning </w:t>
      </w:r>
      <w:r>
        <w:t>mechanism</w:t>
      </w:r>
      <w:r w:rsidR="00575261">
        <w:t xml:space="preserve">, </w:t>
      </w:r>
      <w:r w:rsidR="00664538">
        <w:t xml:space="preserve">allowing the formulation of a </w:t>
      </w:r>
      <w:r>
        <w:t xml:space="preserve">non – linear differential </w:t>
      </w:r>
      <w:r w:rsidR="005B632B">
        <w:t>model for both stains</w:t>
      </w:r>
      <w:r>
        <w:t xml:space="preserve">. </w:t>
      </w:r>
      <w:r w:rsidR="00B95A3E">
        <w:t>H</w:t>
      </w:r>
      <w:r>
        <w:t xml:space="preserve">igh statistical significance </w:t>
      </w:r>
      <w:r w:rsidR="00B95A3E">
        <w:t xml:space="preserve">and </w:t>
      </w:r>
      <w:r w:rsidR="004B63EB">
        <w:t>adequate accuracy of</w:t>
      </w:r>
      <w:r>
        <w:t xml:space="preserve"> the </w:t>
      </w:r>
      <w:r w:rsidR="004B63EB">
        <w:t>models</w:t>
      </w:r>
      <w:r>
        <w:t xml:space="preserve"> were obtained, </w:t>
      </w:r>
      <w:r w:rsidR="004B63EB">
        <w:t>concluding</w:t>
      </w:r>
      <w:r>
        <w:t xml:space="preserve"> that the use of the previous statistical study</w:t>
      </w:r>
      <w:r w:rsidR="007C6CFD">
        <w:t xml:space="preserve"> </w:t>
      </w:r>
      <w:r>
        <w:t>helps in the identification of mechanisms and fitting complex models</w:t>
      </w:r>
      <w:r w:rsidR="007C6CFD">
        <w:t xml:space="preserve"> for ADW cleaning process.</w:t>
      </w:r>
    </w:p>
    <w:p w14:paraId="70F34572" w14:textId="0CF893E1" w:rsidR="002D104B" w:rsidRDefault="00C52DC6" w:rsidP="002D104B">
      <w:pPr>
        <w:pStyle w:val="Els-1storder-head"/>
        <w:numPr>
          <w:ilvl w:val="0"/>
          <w:numId w:val="0"/>
        </w:numPr>
      </w:pPr>
      <w:r>
        <w:t>Acknowledgments</w:t>
      </w:r>
    </w:p>
    <w:p w14:paraId="01A443E5" w14:textId="77777777" w:rsidR="002D104B" w:rsidRDefault="002D104B" w:rsidP="002D104B">
      <w:pPr>
        <w:pStyle w:val="Els-body-text"/>
      </w:pPr>
      <w:r>
        <w:t>This work was supported by funding to José Enrique Roldán San Antonio under the call for predoctoral contracts USAL 2021, co-funded by Banco Santander.</w:t>
      </w:r>
    </w:p>
    <w:p w14:paraId="4E513398" w14:textId="3EA343DF" w:rsidR="002D104B" w:rsidRDefault="002D104B" w:rsidP="002D104B">
      <w:pPr>
        <w:pStyle w:val="Els-body-text"/>
      </w:pPr>
      <w:r>
        <w:t xml:space="preserve">We would like to thank the Procter &amp; Gamble Newcastle Innovation Centre (UK) for providing the experimental data as well as software </w:t>
      </w:r>
      <w:r w:rsidR="00C52DC6">
        <w:t>licenses</w:t>
      </w:r>
      <w:r>
        <w:t xml:space="preserve"> required in the research.</w:t>
      </w:r>
    </w:p>
    <w:p w14:paraId="4F8C20D2" w14:textId="6D41C43D" w:rsidR="00E6732E" w:rsidRDefault="00E6732E" w:rsidP="00D226CB">
      <w:pPr>
        <w:pStyle w:val="Els-1storder-head"/>
        <w:numPr>
          <w:ilvl w:val="0"/>
          <w:numId w:val="0"/>
        </w:numPr>
      </w:pPr>
      <w:r>
        <w:t>References</w:t>
      </w:r>
    </w:p>
    <w:p w14:paraId="583617A2" w14:textId="4C7E325B" w:rsidR="00011B1F" w:rsidRPr="00011B1F" w:rsidRDefault="00011B1F" w:rsidP="00011B1F">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Pr="00011B1F">
        <w:rPr>
          <w:noProof/>
          <w:szCs w:val="24"/>
        </w:rPr>
        <w:t>Ali, A., De’Ath, D., Gibson, D., Parkin, J., Alam, Z., Ward, G., Wilson, D.I., 2015. Development of a ‘millimanipulation’device to study the removal of soft solid fouling layers from solid substrates and its application to cooked lard deposits. Food Bioprod. Process. 93, 256–268. https://doi.org/10.1016/j.fbp.2014.09.001</w:t>
      </w:r>
    </w:p>
    <w:p w14:paraId="2E358E93"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Berkholz, P., Stamminger, R., Wnuk, G., Owens, J., Bernarde, S., 2010. Manual dishwashing habits: an empirical analysis of UK consumers. Int. J. Consum. Stud. 34, 235–242. https://doi.org/10.1111/j.1470-6431.2009.00840.x</w:t>
      </w:r>
    </w:p>
    <w:p w14:paraId="57AB6662"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Bianchetti, G.O., Devlin, C.L., Seddon, K.R., 2015. Bleaching systems in domestic laundry detergents: a review. Rsc Adv. 5, 65365–65384. https://doi.org/10.1039/C5RA05328E</w:t>
      </w:r>
    </w:p>
    <w:p w14:paraId="6583944B"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Copley, T., 2017. Testing Detergents: Establishing Efficient Methods for Formulation, QC and Comparative Assessment. Sofw. J. 143, 38–42.</w:t>
      </w:r>
    </w:p>
    <w:p w14:paraId="03DCE129"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Gordon, P.W., Brooker, A.D.M., Chew, Y.M.J., Wilson, D.I., York, D.W., 2010. A scanning fluid dynamic gauging technique for probing surface layers. Meas. Sci. Technol. 21, 85103. https://doi.org/10.1088/0957-0233/21/8/085103</w:t>
      </w:r>
    </w:p>
    <w:p w14:paraId="4BB68230"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Liu, W., Christian, G.K., Zhang, Z., Fryer, P.J., 2002. Development and use of a micromanipulation technique for measuring the force required to disrupt and remove fouling deposits. Food Bioprod. Process. 80, 286–291. https://doi.org/10.1205/096030802321154790</w:t>
      </w:r>
    </w:p>
    <w:p w14:paraId="33AD504B"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Neiditch, O.W., Mills, K.L., Gladstone, G., 1980. The stain removal index (SRI): A new reflectometer method for measuring and reporting stain removal effectiveness. J. Am. Oil Chem. Soc. 57, 426–429. https://doi.org/10.1007/BF02678931</w:t>
      </w:r>
    </w:p>
    <w:p w14:paraId="1AEE1375" w14:textId="77777777" w:rsidR="00011B1F" w:rsidRPr="00011B1F" w:rsidRDefault="00011B1F" w:rsidP="00011B1F">
      <w:pPr>
        <w:widowControl w:val="0"/>
        <w:autoSpaceDE w:val="0"/>
        <w:autoSpaceDN w:val="0"/>
        <w:adjustRightInd w:val="0"/>
        <w:ind w:left="480" w:hanging="480"/>
        <w:rPr>
          <w:noProof/>
          <w:szCs w:val="24"/>
        </w:rPr>
      </w:pPr>
      <w:r w:rsidRPr="00011B1F">
        <w:rPr>
          <w:noProof/>
          <w:szCs w:val="24"/>
        </w:rPr>
        <w:t>Pérez-Mohedano, R., Letzelter, N., Bakalis, S., 2017. Integrated model for the prediction of cleaning profiles inside an automatic dishwasher. J. Food Eng. 196, 101–112. https://doi.org/10.1016/j.jfoodeng.2016.09.031</w:t>
      </w:r>
    </w:p>
    <w:p w14:paraId="3A6D2A8C" w14:textId="6989B045" w:rsidR="00011B1F" w:rsidRPr="00011B1F" w:rsidRDefault="00011B1F" w:rsidP="00011B1F">
      <w:pPr>
        <w:widowControl w:val="0"/>
        <w:autoSpaceDE w:val="0"/>
        <w:autoSpaceDN w:val="0"/>
        <w:adjustRightInd w:val="0"/>
        <w:ind w:left="480" w:hanging="480"/>
        <w:rPr>
          <w:noProof/>
        </w:rPr>
      </w:pPr>
      <w:r w:rsidRPr="00011B1F">
        <w:rPr>
          <w:noProof/>
          <w:szCs w:val="24"/>
        </w:rPr>
        <w:t xml:space="preserve">United </w:t>
      </w:r>
      <w:r w:rsidR="00600C70">
        <w:rPr>
          <w:noProof/>
          <w:szCs w:val="24"/>
        </w:rPr>
        <w:t>N</w:t>
      </w:r>
      <w:r w:rsidRPr="00011B1F">
        <w:rPr>
          <w:noProof/>
          <w:szCs w:val="24"/>
        </w:rPr>
        <w:t>ations, 2023. Sustainable Development Goals | United Nations Development Programme [WWW Document]. URL https://www.undp.org/sustainable-development-goals (accessed 9.4.23).</w:t>
      </w:r>
    </w:p>
    <w:p w14:paraId="652A05AC" w14:textId="239FA6FC" w:rsidR="00675852" w:rsidRDefault="00011B1F" w:rsidP="008A6A92">
      <w:pPr>
        <w:pStyle w:val="Els-body-text"/>
      </w:pPr>
      <w:r>
        <w:fldChar w:fldCharType="end"/>
      </w:r>
    </w:p>
    <w:sectPr w:rsidR="00675852"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5AD3" w14:textId="77777777" w:rsidR="005100A2" w:rsidRDefault="005100A2">
      <w:r>
        <w:separator/>
      </w:r>
    </w:p>
  </w:endnote>
  <w:endnote w:type="continuationSeparator" w:id="0">
    <w:p w14:paraId="2EC7C19A" w14:textId="77777777" w:rsidR="005100A2" w:rsidRDefault="005100A2">
      <w:r>
        <w:continuationSeparator/>
      </w:r>
    </w:p>
  </w:endnote>
  <w:endnote w:type="continuationNotice" w:id="1">
    <w:p w14:paraId="00380D01" w14:textId="77777777" w:rsidR="005100A2" w:rsidRDefault="0051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2694" w14:textId="77777777" w:rsidR="005100A2" w:rsidRDefault="005100A2">
      <w:r>
        <w:separator/>
      </w:r>
    </w:p>
  </w:footnote>
  <w:footnote w:type="continuationSeparator" w:id="0">
    <w:p w14:paraId="09C8890F" w14:textId="77777777" w:rsidR="005100A2" w:rsidRDefault="005100A2">
      <w:r>
        <w:continuationSeparator/>
      </w:r>
    </w:p>
  </w:footnote>
  <w:footnote w:type="continuationNotice" w:id="1">
    <w:p w14:paraId="1A1D1108" w14:textId="77777777" w:rsidR="005100A2" w:rsidRDefault="00510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17FD11B" w:rsidR="00DD3D9E" w:rsidRPr="00804284" w:rsidRDefault="00DD3D9E">
    <w:pPr>
      <w:pStyle w:val="Encabezado"/>
      <w:tabs>
        <w:tab w:val="clear" w:pos="7200"/>
        <w:tab w:val="right" w:pos="7088"/>
      </w:tabs>
      <w:rPr>
        <w:lang w:val="es-ES"/>
      </w:rPr>
    </w:pPr>
    <w:r>
      <w:rPr>
        <w:rStyle w:val="Nmerodepgina"/>
      </w:rPr>
      <w:tab/>
    </w:r>
    <w:r>
      <w:rPr>
        <w:rStyle w:val="Nmerodepgina"/>
        <w:i/>
      </w:rPr>
      <w:tab/>
    </w:r>
    <w:r w:rsidR="00804284" w:rsidRPr="00804284">
      <w:rPr>
        <w:rStyle w:val="Nmerodepgina"/>
        <w:i/>
        <w:lang w:val="es-ES"/>
      </w:rPr>
      <w:t>J.E Roldán-San Antonio et</w:t>
    </w:r>
    <w:r w:rsidR="00804284">
      <w:rPr>
        <w:rStyle w:val="Nmerodepgina"/>
        <w:i/>
        <w:lang w:val="es-ES"/>
      </w:rPr>
      <w:t xml:space="preserve">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8048249" w:rsidR="00DD3D9E" w:rsidRDefault="002647A5" w:rsidP="002647A5">
    <w:pPr>
      <w:pStyle w:val="Encabezado"/>
      <w:tabs>
        <w:tab w:val="clear" w:pos="7200"/>
        <w:tab w:val="right" w:pos="7088"/>
      </w:tabs>
      <w:rPr>
        <w:sz w:val="24"/>
      </w:rPr>
    </w:pPr>
    <w:r w:rsidRPr="002647A5">
      <w:rPr>
        <w:i/>
      </w:rPr>
      <w:t>Cleaning Kinetic Model for Carbohydrates- and Protein-based Stains in Automatic Dishwasher</w:t>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1C5F9D"/>
    <w:multiLevelType w:val="multilevel"/>
    <w:tmpl w:val="C32885A8"/>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940991914">
    <w:abstractNumId w:val="1"/>
  </w:num>
  <w:num w:numId="20" w16cid:durableId="1936130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B1F"/>
    <w:rsid w:val="00034939"/>
    <w:rsid w:val="00034FAE"/>
    <w:rsid w:val="0004158E"/>
    <w:rsid w:val="000442E9"/>
    <w:rsid w:val="00047878"/>
    <w:rsid w:val="0005300B"/>
    <w:rsid w:val="00055B8A"/>
    <w:rsid w:val="000906F4"/>
    <w:rsid w:val="000A4A95"/>
    <w:rsid w:val="000C4D26"/>
    <w:rsid w:val="000D39EF"/>
    <w:rsid w:val="000D3D9B"/>
    <w:rsid w:val="000E1D7C"/>
    <w:rsid w:val="000F57DC"/>
    <w:rsid w:val="001000DC"/>
    <w:rsid w:val="001012A3"/>
    <w:rsid w:val="0011759C"/>
    <w:rsid w:val="00144188"/>
    <w:rsid w:val="001469CB"/>
    <w:rsid w:val="0016032F"/>
    <w:rsid w:val="00161990"/>
    <w:rsid w:val="001879F6"/>
    <w:rsid w:val="001928EB"/>
    <w:rsid w:val="001A22D1"/>
    <w:rsid w:val="001A658D"/>
    <w:rsid w:val="001B0620"/>
    <w:rsid w:val="001C0148"/>
    <w:rsid w:val="001C1C75"/>
    <w:rsid w:val="001C757E"/>
    <w:rsid w:val="0020390F"/>
    <w:rsid w:val="00230A93"/>
    <w:rsid w:val="00234E1A"/>
    <w:rsid w:val="00255F99"/>
    <w:rsid w:val="002647A5"/>
    <w:rsid w:val="00264926"/>
    <w:rsid w:val="00267245"/>
    <w:rsid w:val="00267E52"/>
    <w:rsid w:val="002800E2"/>
    <w:rsid w:val="002907D3"/>
    <w:rsid w:val="002D104B"/>
    <w:rsid w:val="002D5275"/>
    <w:rsid w:val="002E379A"/>
    <w:rsid w:val="00316A0D"/>
    <w:rsid w:val="0033188F"/>
    <w:rsid w:val="00332CC0"/>
    <w:rsid w:val="003374CB"/>
    <w:rsid w:val="0034520A"/>
    <w:rsid w:val="00352E4C"/>
    <w:rsid w:val="00366084"/>
    <w:rsid w:val="0038478F"/>
    <w:rsid w:val="003900C4"/>
    <w:rsid w:val="00391DDC"/>
    <w:rsid w:val="003C2FD2"/>
    <w:rsid w:val="003D01B8"/>
    <w:rsid w:val="003D1582"/>
    <w:rsid w:val="003D7E4C"/>
    <w:rsid w:val="003E41C2"/>
    <w:rsid w:val="003F296E"/>
    <w:rsid w:val="003F7DF3"/>
    <w:rsid w:val="00400F43"/>
    <w:rsid w:val="0040396F"/>
    <w:rsid w:val="00425659"/>
    <w:rsid w:val="00435D5F"/>
    <w:rsid w:val="00453454"/>
    <w:rsid w:val="004637A9"/>
    <w:rsid w:val="004657E2"/>
    <w:rsid w:val="0049772C"/>
    <w:rsid w:val="004B3A2E"/>
    <w:rsid w:val="004B63EB"/>
    <w:rsid w:val="004D2C63"/>
    <w:rsid w:val="00506276"/>
    <w:rsid w:val="005100A2"/>
    <w:rsid w:val="00511291"/>
    <w:rsid w:val="00514A17"/>
    <w:rsid w:val="00522FDF"/>
    <w:rsid w:val="00524992"/>
    <w:rsid w:val="005249D1"/>
    <w:rsid w:val="00535E34"/>
    <w:rsid w:val="00545D75"/>
    <w:rsid w:val="005512B5"/>
    <w:rsid w:val="00552EEB"/>
    <w:rsid w:val="00561A36"/>
    <w:rsid w:val="00575261"/>
    <w:rsid w:val="00586D19"/>
    <w:rsid w:val="00596518"/>
    <w:rsid w:val="00596B48"/>
    <w:rsid w:val="005B01B1"/>
    <w:rsid w:val="005B632B"/>
    <w:rsid w:val="005C3F38"/>
    <w:rsid w:val="005E1C0E"/>
    <w:rsid w:val="005E2CB4"/>
    <w:rsid w:val="005E6B7F"/>
    <w:rsid w:val="005F5D88"/>
    <w:rsid w:val="00600C70"/>
    <w:rsid w:val="00604E59"/>
    <w:rsid w:val="00610646"/>
    <w:rsid w:val="006427DA"/>
    <w:rsid w:val="00653C08"/>
    <w:rsid w:val="00664538"/>
    <w:rsid w:val="006669A4"/>
    <w:rsid w:val="00672BF8"/>
    <w:rsid w:val="00675852"/>
    <w:rsid w:val="006860B0"/>
    <w:rsid w:val="00687862"/>
    <w:rsid w:val="006A59DE"/>
    <w:rsid w:val="006A69BF"/>
    <w:rsid w:val="006A7862"/>
    <w:rsid w:val="006D231A"/>
    <w:rsid w:val="006E6618"/>
    <w:rsid w:val="00711DF4"/>
    <w:rsid w:val="0074085C"/>
    <w:rsid w:val="007524B6"/>
    <w:rsid w:val="0077528C"/>
    <w:rsid w:val="00794ACA"/>
    <w:rsid w:val="00797E70"/>
    <w:rsid w:val="007C16A5"/>
    <w:rsid w:val="007C6CFD"/>
    <w:rsid w:val="007D70A1"/>
    <w:rsid w:val="007E77AE"/>
    <w:rsid w:val="00804284"/>
    <w:rsid w:val="008132E8"/>
    <w:rsid w:val="00823407"/>
    <w:rsid w:val="00825AB3"/>
    <w:rsid w:val="008337E0"/>
    <w:rsid w:val="00850B43"/>
    <w:rsid w:val="00863C7B"/>
    <w:rsid w:val="008707A4"/>
    <w:rsid w:val="00893A9E"/>
    <w:rsid w:val="008A61F9"/>
    <w:rsid w:val="008A6A92"/>
    <w:rsid w:val="008B0184"/>
    <w:rsid w:val="008B12AC"/>
    <w:rsid w:val="008C433C"/>
    <w:rsid w:val="008C5D02"/>
    <w:rsid w:val="008D2649"/>
    <w:rsid w:val="0090568D"/>
    <w:rsid w:val="009125C9"/>
    <w:rsid w:val="00913879"/>
    <w:rsid w:val="00917661"/>
    <w:rsid w:val="00925C0E"/>
    <w:rsid w:val="00926620"/>
    <w:rsid w:val="0092795D"/>
    <w:rsid w:val="0093727F"/>
    <w:rsid w:val="009667B3"/>
    <w:rsid w:val="00970E5D"/>
    <w:rsid w:val="00972791"/>
    <w:rsid w:val="0097701C"/>
    <w:rsid w:val="00980A65"/>
    <w:rsid w:val="009B7752"/>
    <w:rsid w:val="009E27AF"/>
    <w:rsid w:val="009E5657"/>
    <w:rsid w:val="009E66AE"/>
    <w:rsid w:val="00A25E70"/>
    <w:rsid w:val="00A31220"/>
    <w:rsid w:val="00A33765"/>
    <w:rsid w:val="00A42935"/>
    <w:rsid w:val="00A5409C"/>
    <w:rsid w:val="00A63269"/>
    <w:rsid w:val="00A63A9E"/>
    <w:rsid w:val="00A74BED"/>
    <w:rsid w:val="00A92377"/>
    <w:rsid w:val="00AB29ED"/>
    <w:rsid w:val="00AB61DC"/>
    <w:rsid w:val="00AC5AFE"/>
    <w:rsid w:val="00AD6A81"/>
    <w:rsid w:val="00AE4885"/>
    <w:rsid w:val="00AE4BD8"/>
    <w:rsid w:val="00AE6F37"/>
    <w:rsid w:val="00B00792"/>
    <w:rsid w:val="00B038A1"/>
    <w:rsid w:val="00B12048"/>
    <w:rsid w:val="00B20B6E"/>
    <w:rsid w:val="00B235E3"/>
    <w:rsid w:val="00B32BCD"/>
    <w:rsid w:val="00B332A9"/>
    <w:rsid w:val="00B4388F"/>
    <w:rsid w:val="00B57E11"/>
    <w:rsid w:val="00B63237"/>
    <w:rsid w:val="00B77410"/>
    <w:rsid w:val="00B82D03"/>
    <w:rsid w:val="00B95A3E"/>
    <w:rsid w:val="00B96B43"/>
    <w:rsid w:val="00BA5012"/>
    <w:rsid w:val="00BB7614"/>
    <w:rsid w:val="00BC0045"/>
    <w:rsid w:val="00BC580F"/>
    <w:rsid w:val="00BC7F28"/>
    <w:rsid w:val="00BE2604"/>
    <w:rsid w:val="00BE76ED"/>
    <w:rsid w:val="00BF5405"/>
    <w:rsid w:val="00BF61C0"/>
    <w:rsid w:val="00C1071C"/>
    <w:rsid w:val="00C11B9D"/>
    <w:rsid w:val="00C26954"/>
    <w:rsid w:val="00C45F8E"/>
    <w:rsid w:val="00C5000D"/>
    <w:rsid w:val="00C52DC6"/>
    <w:rsid w:val="00C67D08"/>
    <w:rsid w:val="00C834B5"/>
    <w:rsid w:val="00C960DC"/>
    <w:rsid w:val="00C97382"/>
    <w:rsid w:val="00CA3785"/>
    <w:rsid w:val="00CB17B0"/>
    <w:rsid w:val="00CC4DFD"/>
    <w:rsid w:val="00CD5EC7"/>
    <w:rsid w:val="00D02C75"/>
    <w:rsid w:val="00D10E22"/>
    <w:rsid w:val="00D13D2C"/>
    <w:rsid w:val="00D226CB"/>
    <w:rsid w:val="00D26A98"/>
    <w:rsid w:val="00D34AF5"/>
    <w:rsid w:val="00D376E8"/>
    <w:rsid w:val="00D61FD4"/>
    <w:rsid w:val="00D71C4F"/>
    <w:rsid w:val="00D72F19"/>
    <w:rsid w:val="00D8035E"/>
    <w:rsid w:val="00D805D3"/>
    <w:rsid w:val="00D8550B"/>
    <w:rsid w:val="00DB689D"/>
    <w:rsid w:val="00DB698A"/>
    <w:rsid w:val="00DC0533"/>
    <w:rsid w:val="00DC2F94"/>
    <w:rsid w:val="00DC73A8"/>
    <w:rsid w:val="00DD24C0"/>
    <w:rsid w:val="00DD3D9E"/>
    <w:rsid w:val="00DD7908"/>
    <w:rsid w:val="00E03B09"/>
    <w:rsid w:val="00E53FBD"/>
    <w:rsid w:val="00E64CC9"/>
    <w:rsid w:val="00E6732E"/>
    <w:rsid w:val="00E77CCE"/>
    <w:rsid w:val="00E82297"/>
    <w:rsid w:val="00E85B2C"/>
    <w:rsid w:val="00E868D3"/>
    <w:rsid w:val="00EA57AC"/>
    <w:rsid w:val="00EC5FFE"/>
    <w:rsid w:val="00ED1B08"/>
    <w:rsid w:val="00ED2875"/>
    <w:rsid w:val="00ED7145"/>
    <w:rsid w:val="00EF2FC2"/>
    <w:rsid w:val="00EF39FD"/>
    <w:rsid w:val="00F00739"/>
    <w:rsid w:val="00F01AC5"/>
    <w:rsid w:val="00F0428D"/>
    <w:rsid w:val="00F05722"/>
    <w:rsid w:val="00F05ADC"/>
    <w:rsid w:val="00F06842"/>
    <w:rsid w:val="00F07E01"/>
    <w:rsid w:val="00F107FD"/>
    <w:rsid w:val="00F1482B"/>
    <w:rsid w:val="00F20295"/>
    <w:rsid w:val="00F25386"/>
    <w:rsid w:val="00F40169"/>
    <w:rsid w:val="00F57CD4"/>
    <w:rsid w:val="00F93BF0"/>
    <w:rsid w:val="00FA4E2C"/>
    <w:rsid w:val="00FB64A8"/>
    <w:rsid w:val="00FD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Prrafodelista">
    <w:name w:val="List Paragraph"/>
    <w:basedOn w:val="Normal"/>
    <w:uiPriority w:val="34"/>
    <w:qFormat/>
    <w:rsid w:val="008A6A92"/>
    <w:pPr>
      <w:ind w:left="720"/>
      <w:contextualSpacing/>
      <w:jc w:val="both"/>
    </w:pPr>
    <w:rPr>
      <w:rFonts w:ascii="Arial Narrow" w:eastAsiaTheme="minorHAnsi" w:hAnsi="Arial Narrow" w:cstheme="minorBidi"/>
      <w:sz w:val="22"/>
      <w:szCs w:val="22"/>
    </w:rPr>
  </w:style>
  <w:style w:type="table" w:styleId="Tablaconcuadrcula">
    <w:name w:val="Table Grid"/>
    <w:basedOn w:val="Tablanormal"/>
    <w:uiPriority w:val="39"/>
    <w:rsid w:val="008A61F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376E8"/>
    <w:rPr>
      <w:color w:val="605E5C"/>
      <w:shd w:val="clear" w:color="auto" w:fill="E1DFDD"/>
    </w:rPr>
  </w:style>
  <w:style w:type="character" w:styleId="Textodelmarcadordeposicin">
    <w:name w:val="Placeholder Text"/>
    <w:basedOn w:val="Fuentedeprrafopredeter"/>
    <w:uiPriority w:val="99"/>
    <w:semiHidden/>
    <w:rsid w:val="00797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enrique@us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332</TotalTime>
  <Pages>6</Pages>
  <Words>4125</Words>
  <Characters>22693</Characters>
  <Application>Microsoft Office Word</Application>
  <DocSecurity>0</DocSecurity>
  <Lines>189</Lines>
  <Paragraphs>53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Jose Enrique Roldán</cp:lastModifiedBy>
  <cp:revision>210</cp:revision>
  <cp:lastPrinted>2004-12-17T09:20:00Z</cp:lastPrinted>
  <dcterms:created xsi:type="dcterms:W3CDTF">2023-11-15T18:15:00Z</dcterms:created>
  <dcterms:modified xsi:type="dcterms:W3CDTF">2024-01-08T18:18:00Z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http://www.zotero.org/styles/acs-sustainable-chemistry-and-engineering</vt:lpwstr>
  </property>
  <property fmtid="{D5CDD505-2E9C-101B-9397-08002B2CF9AE}" pid="11" name="Mendeley Recent Style Name 0_1">
    <vt:lpwstr>ACS Sustainable Chemistry &amp; Engineering</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http://www.zotero.org/styles/chemical-engineering-science</vt:lpwstr>
  </property>
  <property fmtid="{D5CDD505-2E9C-101B-9397-08002B2CF9AE}" pid="17" name="Mendeley Recent Style Name 3_1">
    <vt:lpwstr>Chemical Engineering Science</vt:lpwstr>
  </property>
  <property fmtid="{D5CDD505-2E9C-101B-9397-08002B2CF9AE}" pid="18" name="Mendeley Recent Style Id 4_1">
    <vt:lpwstr>http://www.zotero.org/styles/computer-aided-geometric-design</vt:lpwstr>
  </property>
  <property fmtid="{D5CDD505-2E9C-101B-9397-08002B2CF9AE}" pid="19" name="Mendeley Recent Style Name 4_1">
    <vt:lpwstr>Computer Aided Geometric Design</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http://www.zotero.org/styles/industrial-and-engineering-chemistry-research</vt:lpwstr>
  </property>
  <property fmtid="{D5CDD505-2E9C-101B-9397-08002B2CF9AE}" pid="23" name="Mendeley Recent Style Name 6_1">
    <vt:lpwstr>Industrial &amp; Engineering Chemistry Research</vt:lpwstr>
  </property>
  <property fmtid="{D5CDD505-2E9C-101B-9397-08002B2CF9AE}" pid="24" name="Mendeley Recent Style Id 7_1">
    <vt:lpwstr>http://www.zotero.org/styles/journal-of-food-engineering</vt:lpwstr>
  </property>
  <property fmtid="{D5CDD505-2E9C-101B-9397-08002B2CF9AE}" pid="25" name="Mendeley Recent Style Name 7_1">
    <vt:lpwstr>Journal of Food Engineering</vt:lpwstr>
  </property>
  <property fmtid="{D5CDD505-2E9C-101B-9397-08002B2CF9AE}" pid="26" name="Mendeley Recent Style Id 8_1">
    <vt:lpwstr>http://www.zotero.org/styles/modern-humanities-research-association</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Id 9_1">
    <vt:lpwstr>http://www.zotero.org/styles/modern-language-association</vt:lpwstr>
  </property>
  <property fmtid="{D5CDD505-2E9C-101B-9397-08002B2CF9AE}" pid="29" name="Mendeley Recent Style Name 9_1">
    <vt:lpwstr>Modern Language Association 8th edition</vt:lpwstr>
  </property>
  <property fmtid="{D5CDD505-2E9C-101B-9397-08002B2CF9AE}" pid="30" name="Mendeley Document_1">
    <vt:lpwstr>True</vt:lpwstr>
  </property>
  <property fmtid="{D5CDD505-2E9C-101B-9397-08002B2CF9AE}" pid="31" name="Mendeley Unique User Id_1">
    <vt:lpwstr>28c294fd-12a1-3862-8772-b51b95e0c3a1</vt:lpwstr>
  </property>
  <property fmtid="{D5CDD505-2E9C-101B-9397-08002B2CF9AE}" pid="32" name="Mendeley Citation Style_1">
    <vt:lpwstr>http://www.zotero.org/styles/computer-aided-geometric-design</vt:lpwstr>
  </property>
</Properties>
</file>