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44292F47" w:rsidR="00DD3D9E" w:rsidRPr="00B4388F" w:rsidRDefault="004E2FEB" w:rsidP="004E2FEB">
      <w:pPr>
        <w:pStyle w:val="Els-Title"/>
        <w:rPr>
          <w:color w:val="000000" w:themeColor="text1"/>
        </w:rPr>
      </w:pPr>
      <w:bookmarkStart w:id="0" w:name="_Hlk149239817"/>
      <w:bookmarkStart w:id="1" w:name="_GoBack"/>
      <w:bookmarkEnd w:id="0"/>
      <w:bookmarkEnd w:id="1"/>
      <w:r w:rsidRPr="004E2FEB">
        <w:rPr>
          <w:bCs/>
          <w:color w:val="000000" w:themeColor="text1"/>
          <w:lang w:val="en-GB"/>
        </w:rPr>
        <w:t xml:space="preserve">Foliar </w:t>
      </w:r>
      <w:r w:rsidR="00757C91">
        <w:rPr>
          <w:bCs/>
          <w:color w:val="000000" w:themeColor="text1"/>
          <w:lang w:val="en-GB"/>
        </w:rPr>
        <w:t>U</w:t>
      </w:r>
      <w:r w:rsidRPr="004E2FEB">
        <w:rPr>
          <w:bCs/>
          <w:color w:val="000000" w:themeColor="text1"/>
          <w:lang w:val="en-GB"/>
        </w:rPr>
        <w:t xml:space="preserve">ptake </w:t>
      </w:r>
      <w:r w:rsidR="00757C91">
        <w:rPr>
          <w:bCs/>
          <w:color w:val="000000" w:themeColor="text1"/>
          <w:lang w:val="en-GB"/>
        </w:rPr>
        <w:t>M</w:t>
      </w:r>
      <w:r w:rsidRPr="004E2FEB">
        <w:rPr>
          <w:bCs/>
          <w:color w:val="000000" w:themeColor="text1"/>
          <w:lang w:val="en-GB"/>
        </w:rPr>
        <w:t xml:space="preserve">odels for </w:t>
      </w:r>
      <w:r w:rsidR="00757C91">
        <w:rPr>
          <w:bCs/>
          <w:color w:val="000000" w:themeColor="text1"/>
          <w:lang w:val="en-GB"/>
        </w:rPr>
        <w:t>B</w:t>
      </w:r>
      <w:r w:rsidRPr="004E2FEB">
        <w:rPr>
          <w:bCs/>
          <w:color w:val="000000" w:themeColor="text1"/>
          <w:lang w:val="en-GB"/>
        </w:rPr>
        <w:t xml:space="preserve">iocides: </w:t>
      </w:r>
      <w:r w:rsidR="00757C91">
        <w:rPr>
          <w:bCs/>
          <w:color w:val="000000" w:themeColor="text1"/>
          <w:lang w:val="en-GB"/>
        </w:rPr>
        <w:t>T</w:t>
      </w:r>
      <w:r w:rsidRPr="004E2FEB">
        <w:rPr>
          <w:bCs/>
          <w:color w:val="000000" w:themeColor="text1"/>
          <w:lang w:val="en-GB"/>
        </w:rPr>
        <w:t xml:space="preserve">esting </w:t>
      </w:r>
      <w:r w:rsidR="00757C91">
        <w:rPr>
          <w:bCs/>
          <w:color w:val="000000" w:themeColor="text1"/>
          <w:lang w:val="en-GB"/>
        </w:rPr>
        <w:t>S</w:t>
      </w:r>
      <w:r w:rsidRPr="004E2FEB">
        <w:rPr>
          <w:bCs/>
          <w:color w:val="000000" w:themeColor="text1"/>
          <w:lang w:val="en-GB"/>
        </w:rPr>
        <w:t xml:space="preserve">tructural and </w:t>
      </w:r>
      <w:r w:rsidR="00757C91">
        <w:rPr>
          <w:bCs/>
          <w:color w:val="000000" w:themeColor="text1"/>
          <w:lang w:val="en-GB"/>
        </w:rPr>
        <w:t>P</w:t>
      </w:r>
      <w:r w:rsidRPr="004E2FEB">
        <w:rPr>
          <w:bCs/>
          <w:color w:val="000000" w:themeColor="text1"/>
          <w:lang w:val="en-GB"/>
        </w:rPr>
        <w:t xml:space="preserve">ractical </w:t>
      </w:r>
      <w:r w:rsidR="00757C91">
        <w:rPr>
          <w:bCs/>
          <w:color w:val="000000" w:themeColor="text1"/>
          <w:lang w:val="en-GB"/>
        </w:rPr>
        <w:t>I</w:t>
      </w:r>
      <w:r w:rsidRPr="004E2FEB">
        <w:rPr>
          <w:bCs/>
          <w:color w:val="000000" w:themeColor="text1"/>
          <w:lang w:val="en-GB"/>
        </w:rPr>
        <w:t>dentifiability</w:t>
      </w:r>
    </w:p>
    <w:p w14:paraId="144DE680" w14:textId="7D85A659" w:rsidR="00DD3D9E" w:rsidRPr="00AF13D3" w:rsidRDefault="006111C9">
      <w:pPr>
        <w:pStyle w:val="Els-Author"/>
        <w:rPr>
          <w:lang w:val="it-IT"/>
        </w:rPr>
      </w:pPr>
      <w:r w:rsidRPr="00000C2F">
        <w:rPr>
          <w:lang w:val="it-IT"/>
        </w:rPr>
        <w:t>Enrico Sangoi</w:t>
      </w:r>
      <w:r w:rsidR="00000C2F" w:rsidRPr="00000C2F">
        <w:rPr>
          <w:vertAlign w:val="superscript"/>
          <w:lang w:val="it-IT"/>
        </w:rPr>
        <w:t>a</w:t>
      </w:r>
      <w:r w:rsidR="00000C2F" w:rsidRPr="00000C2F">
        <w:rPr>
          <w:lang w:val="it-IT"/>
        </w:rPr>
        <w:t>, Federica Cattani</w:t>
      </w:r>
      <w:r w:rsidR="00000C2F" w:rsidRPr="00000C2F">
        <w:rPr>
          <w:vertAlign w:val="superscript"/>
          <w:lang w:val="it-IT"/>
        </w:rPr>
        <w:t>b</w:t>
      </w:r>
      <w:r w:rsidR="00000C2F" w:rsidRPr="00000C2F">
        <w:rPr>
          <w:lang w:val="it-IT"/>
        </w:rPr>
        <w:t>,</w:t>
      </w:r>
      <w:r w:rsidR="006742E7">
        <w:rPr>
          <w:lang w:val="it-IT"/>
        </w:rPr>
        <w:t xml:space="preserve"> Faheem Pa</w:t>
      </w:r>
      <w:r w:rsidR="008F1B60">
        <w:rPr>
          <w:lang w:val="it-IT"/>
        </w:rPr>
        <w:t>di</w:t>
      </w:r>
      <w:r w:rsidR="006742E7">
        <w:rPr>
          <w:lang w:val="it-IT"/>
        </w:rPr>
        <w:t>a</w:t>
      </w:r>
      <w:r w:rsidR="006742E7">
        <w:rPr>
          <w:vertAlign w:val="superscript"/>
          <w:lang w:val="it-IT"/>
        </w:rPr>
        <w:t>b</w:t>
      </w:r>
      <w:r w:rsidR="00CB0D55">
        <w:rPr>
          <w:lang w:val="it-IT"/>
        </w:rPr>
        <w:t>,</w:t>
      </w:r>
      <w:r w:rsidR="00000C2F" w:rsidRPr="00000C2F">
        <w:rPr>
          <w:lang w:val="it-IT"/>
        </w:rPr>
        <w:t xml:space="preserve"> F</w:t>
      </w:r>
      <w:r w:rsidR="00000C2F">
        <w:rPr>
          <w:lang w:val="it-IT"/>
        </w:rPr>
        <w:t>ederico Galvanin</w:t>
      </w:r>
      <w:r w:rsidR="00AF13D3">
        <w:rPr>
          <w:vertAlign w:val="superscript"/>
          <w:lang w:val="it-IT"/>
        </w:rPr>
        <w:t>a</w:t>
      </w:r>
      <w:r w:rsidR="004B4951">
        <w:rPr>
          <w:vertAlign w:val="superscript"/>
          <w:lang w:val="it-IT"/>
        </w:rPr>
        <w:t>*</w:t>
      </w:r>
    </w:p>
    <w:p w14:paraId="144DE681" w14:textId="2BCB7DDC" w:rsidR="00DD3D9E" w:rsidRPr="00AF3245" w:rsidRDefault="00AF13D3" w:rsidP="00AF3245">
      <w:pPr>
        <w:pStyle w:val="Els-Affiliation"/>
      </w:pPr>
      <w:r>
        <w:rPr>
          <w:vertAlign w:val="superscript"/>
        </w:rPr>
        <w:t>a</w:t>
      </w:r>
      <w:r w:rsidR="00AF3245" w:rsidRPr="00AF3245">
        <w:t>Department of Chemical Engineering, University College London (UCL), Torrington Place, WC1E 7JE London, United Kingdom</w:t>
      </w:r>
    </w:p>
    <w:p w14:paraId="144DE682" w14:textId="20B65B52" w:rsidR="00DD3D9E" w:rsidRPr="00A2030C" w:rsidRDefault="00A2030C" w:rsidP="00A2030C">
      <w:pPr>
        <w:pStyle w:val="Els-Affiliation"/>
      </w:pPr>
      <w:r>
        <w:rPr>
          <w:vertAlign w:val="superscript"/>
        </w:rPr>
        <w:t>b</w:t>
      </w:r>
      <w:r w:rsidRPr="00A2030C">
        <w:t>Process Studies Group, Global Sourcing and Production, Syngenta, Jealott's Hill</w:t>
      </w:r>
      <w:r w:rsidR="00FF7355">
        <w:t xml:space="preserve"> I</w:t>
      </w:r>
      <w:r w:rsidRPr="00A2030C">
        <w:t>nternational Research Centre, Berkshire, Bracknell, RG42 6EY, United Kingdom</w:t>
      </w:r>
    </w:p>
    <w:p w14:paraId="144DE683" w14:textId="58205AA2" w:rsidR="008D2649" w:rsidRPr="00A94774" w:rsidRDefault="00FF7355" w:rsidP="008D2649">
      <w:pPr>
        <w:pStyle w:val="Els-Affiliation"/>
        <w:spacing w:after="120"/>
      </w:pPr>
      <w:r>
        <w:t>f.galvanin@ucl.ac.uk</w:t>
      </w:r>
    </w:p>
    <w:p w14:paraId="144DE684" w14:textId="77777777" w:rsidR="008D2649" w:rsidRDefault="008D2649" w:rsidP="008D2649">
      <w:pPr>
        <w:pStyle w:val="Els-Abstract"/>
      </w:pPr>
      <w:r>
        <w:t>Abstract</w:t>
      </w:r>
    </w:p>
    <w:p w14:paraId="629EFF33" w14:textId="186557CB" w:rsidR="007A29A7" w:rsidRDefault="00661DA1" w:rsidP="008D2649">
      <w:pPr>
        <w:pStyle w:val="Els-body-text"/>
        <w:spacing w:after="120"/>
      </w:pPr>
      <w:r w:rsidRPr="00661DA1">
        <w:rPr>
          <w:lang w:val="en-GB"/>
        </w:rPr>
        <w:t xml:space="preserve">As the global population grows and resources become scarcer, ensuring adequate food production is an urgent challenge. Developing safer biocides is crucial for optimizing crop yields and meeting rising food demands. Mathematical models play a pivotal role in understanding complex biological systems. This work focuses on developing a reliable model for characterizing the process of foliar biocide uptake in plants. </w:t>
      </w:r>
      <w:r w:rsidR="00977A2E">
        <w:rPr>
          <w:lang w:val="en-GB"/>
        </w:rPr>
        <w:t>A</w:t>
      </w:r>
      <w:r w:rsidRPr="00661DA1">
        <w:rPr>
          <w:lang w:val="en-GB"/>
        </w:rPr>
        <w:t xml:space="preserve"> systematic modelling strategy involves</w:t>
      </w:r>
      <w:r w:rsidR="00977A2E">
        <w:rPr>
          <w:lang w:val="en-GB"/>
        </w:rPr>
        <w:t xml:space="preserve"> the following steps:</w:t>
      </w:r>
      <w:r w:rsidRPr="00661DA1">
        <w:rPr>
          <w:lang w:val="en-GB"/>
        </w:rPr>
        <w:t xml:space="preserve"> </w:t>
      </w:r>
      <w:r w:rsidR="00977A2E">
        <w:rPr>
          <w:lang w:val="en-GB"/>
        </w:rPr>
        <w:t>1) formulating</w:t>
      </w:r>
      <w:r w:rsidRPr="00661DA1">
        <w:rPr>
          <w:lang w:val="en-GB"/>
        </w:rPr>
        <w:t xml:space="preserve"> candidate models</w:t>
      </w:r>
      <w:r w:rsidR="00977A2E">
        <w:rPr>
          <w:lang w:val="en-GB"/>
        </w:rPr>
        <w:t xml:space="preserve"> </w:t>
      </w:r>
      <w:r w:rsidR="00795C28">
        <w:rPr>
          <w:lang w:val="en-GB"/>
        </w:rPr>
        <w:t>for</w:t>
      </w:r>
      <w:r w:rsidR="00977A2E">
        <w:rPr>
          <w:lang w:val="en-GB"/>
        </w:rPr>
        <w:t xml:space="preserve"> foliar uptake;</w:t>
      </w:r>
      <w:r w:rsidRPr="00661DA1">
        <w:rPr>
          <w:lang w:val="en-GB"/>
        </w:rPr>
        <w:t xml:space="preserve"> </w:t>
      </w:r>
      <w:r w:rsidR="00977A2E">
        <w:rPr>
          <w:lang w:val="en-GB"/>
        </w:rPr>
        <w:t xml:space="preserve">2) </w:t>
      </w:r>
      <w:r w:rsidRPr="00661DA1">
        <w:rPr>
          <w:lang w:val="en-GB"/>
        </w:rPr>
        <w:t>conducting identifiability tests</w:t>
      </w:r>
      <w:r w:rsidR="00977A2E">
        <w:rPr>
          <w:lang w:val="en-GB"/>
        </w:rPr>
        <w:t xml:space="preserve"> to verify that candidate model parameters can be determined from observations; 3)</w:t>
      </w:r>
      <w:r w:rsidRPr="00661DA1">
        <w:rPr>
          <w:lang w:val="en-GB"/>
        </w:rPr>
        <w:t xml:space="preserve"> selecting the best model</w:t>
      </w:r>
      <w:r w:rsidR="00977A2E">
        <w:rPr>
          <w:lang w:val="en-GB"/>
        </w:rPr>
        <w:t xml:space="preserve"> based on a-posteriori statistics from observations; 4) design experiments for achieving</w:t>
      </w:r>
      <w:r w:rsidRPr="00661DA1">
        <w:rPr>
          <w:lang w:val="en-GB"/>
        </w:rPr>
        <w:t xml:space="preserve"> </w:t>
      </w:r>
      <w:r w:rsidR="00977A2E">
        <w:rPr>
          <w:lang w:val="en-GB"/>
        </w:rPr>
        <w:t xml:space="preserve">a </w:t>
      </w:r>
      <w:r w:rsidRPr="00661DA1">
        <w:rPr>
          <w:lang w:val="en-GB"/>
        </w:rPr>
        <w:t>precise estimation</w:t>
      </w:r>
      <w:r w:rsidR="00977A2E">
        <w:rPr>
          <w:lang w:val="en-GB"/>
        </w:rPr>
        <w:t xml:space="preserve"> of model parameters from data</w:t>
      </w:r>
      <w:r w:rsidRPr="00661DA1">
        <w:rPr>
          <w:lang w:val="en-GB"/>
        </w:rPr>
        <w:t xml:space="preserve">. This </w:t>
      </w:r>
      <w:r w:rsidR="008E1D12">
        <w:rPr>
          <w:lang w:val="en-GB"/>
        </w:rPr>
        <w:t>paper presents</w:t>
      </w:r>
      <w:r w:rsidR="00A7731E">
        <w:rPr>
          <w:lang w:val="en-GB"/>
        </w:rPr>
        <w:t xml:space="preserve"> a study</w:t>
      </w:r>
      <w:r w:rsidRPr="00661DA1">
        <w:rPr>
          <w:lang w:val="en-GB"/>
        </w:rPr>
        <w:t xml:space="preserve"> </w:t>
      </w:r>
      <w:r w:rsidR="00A7731E">
        <w:rPr>
          <w:lang w:val="en-GB"/>
        </w:rPr>
        <w:t xml:space="preserve">on structural and practical </w:t>
      </w:r>
      <w:r w:rsidRPr="00661DA1">
        <w:rPr>
          <w:lang w:val="en-GB"/>
        </w:rPr>
        <w:t>identifiability of compartmental models for foliar biocide uptake</w:t>
      </w:r>
      <w:r w:rsidR="00977A2E">
        <w:rPr>
          <w:lang w:val="en-GB"/>
        </w:rPr>
        <w:t xml:space="preserve"> (steps 1 and 2)</w:t>
      </w:r>
      <w:r w:rsidRPr="00661DA1">
        <w:rPr>
          <w:lang w:val="en-GB"/>
        </w:rPr>
        <w:t>, considering experimental data limitations and initial condition variability. These findings</w:t>
      </w:r>
      <w:r w:rsidR="00977A2E">
        <w:rPr>
          <w:lang w:val="en-GB"/>
        </w:rPr>
        <w:t xml:space="preserve"> will</w:t>
      </w:r>
      <w:r w:rsidRPr="00661DA1">
        <w:rPr>
          <w:lang w:val="en-GB"/>
        </w:rPr>
        <w:t xml:space="preserve"> guide further model-based experimentation.</w:t>
      </w:r>
      <w:r w:rsidR="007A29A7">
        <w:t xml:space="preserve"> </w:t>
      </w:r>
    </w:p>
    <w:p w14:paraId="144DE687" w14:textId="0C779515" w:rsidR="008D2649" w:rsidRDefault="008D2649" w:rsidP="008D2649">
      <w:pPr>
        <w:pStyle w:val="Els-body-text"/>
        <w:spacing w:after="120"/>
        <w:rPr>
          <w:lang w:val="en-GB"/>
        </w:rPr>
      </w:pPr>
      <w:r>
        <w:rPr>
          <w:b/>
          <w:bCs/>
          <w:lang w:val="en-GB"/>
        </w:rPr>
        <w:t>Keywords</w:t>
      </w:r>
      <w:r>
        <w:rPr>
          <w:lang w:val="en-GB"/>
        </w:rPr>
        <w:t xml:space="preserve">: </w:t>
      </w:r>
      <w:r w:rsidR="007E0C35">
        <w:rPr>
          <w:lang w:val="en-GB"/>
        </w:rPr>
        <w:t xml:space="preserve">model identification, foliar uptake, </w:t>
      </w:r>
      <w:r w:rsidR="00AF1A07">
        <w:rPr>
          <w:lang w:val="en-GB"/>
        </w:rPr>
        <w:t>identifiability analysis, compartmental models</w:t>
      </w:r>
      <w:r>
        <w:rPr>
          <w:lang w:val="en-GB"/>
        </w:rPr>
        <w:t>.</w:t>
      </w:r>
    </w:p>
    <w:p w14:paraId="144DE689" w14:textId="1A1439A7" w:rsidR="008D2649" w:rsidRDefault="00AF1A07" w:rsidP="008D2649">
      <w:pPr>
        <w:pStyle w:val="Els-1storder-head"/>
      </w:pPr>
      <w:r>
        <w:t>Intro</w:t>
      </w:r>
      <w:r w:rsidR="007A29A7">
        <w:t>duction</w:t>
      </w:r>
    </w:p>
    <w:p w14:paraId="0B2FB687" w14:textId="77777777" w:rsidR="007D5799" w:rsidRDefault="006E2E53" w:rsidP="007D5799">
      <w:pPr>
        <w:jc w:val="both"/>
      </w:pPr>
      <w:r w:rsidRPr="008B37AB">
        <w:t>As the world's population continues to grow and the planet's resources remain limited, ensuring sufficient food production becomes a crucial challenge both in the present and for the coming decades. In tackling this issue, the development of improved and safer biocides will be essential to optimize crop yields and meet the increasing demand for food</w:t>
      </w:r>
      <w:r w:rsidR="003F4C25">
        <w:t xml:space="preserve"> (Sharma et a</w:t>
      </w:r>
      <w:r w:rsidR="002445BD">
        <w:t>l</w:t>
      </w:r>
      <w:r w:rsidR="003F4C25">
        <w:t>., 2019)</w:t>
      </w:r>
      <w:r w:rsidRPr="008B37AB">
        <w:t>.</w:t>
      </w:r>
      <w:r w:rsidR="008B37AB" w:rsidRPr="008B37AB">
        <w:t xml:space="preserve"> </w:t>
      </w:r>
      <w:r w:rsidR="002445BD">
        <w:t>M</w:t>
      </w:r>
      <w:r w:rsidR="005F4105" w:rsidRPr="008B37AB">
        <w:t>athematical models prove to be valuable tools</w:t>
      </w:r>
      <w:r w:rsidR="008B37AB" w:rsidRPr="008B37AB">
        <w:t xml:space="preserve"> to</w:t>
      </w:r>
      <w:r w:rsidR="005F4105" w:rsidRPr="008B37AB">
        <w:t xml:space="preserve"> better understand the phenomena at play and formulate innovative solutions for the creation of new agricultural products</w:t>
      </w:r>
      <w:r w:rsidR="00FD0E5C">
        <w:t xml:space="preserve">. </w:t>
      </w:r>
      <w:r w:rsidR="00C50F52">
        <w:t xml:space="preserve">Several studies have been conducted on the foliar uptake of pesticides </w:t>
      </w:r>
      <w:r w:rsidR="00EB38E3">
        <w:t xml:space="preserve">to </w:t>
      </w:r>
      <w:r w:rsidR="00B853B1">
        <w:t xml:space="preserve">develop mathematical models </w:t>
      </w:r>
      <w:r w:rsidR="003C3C27">
        <w:t>capable of</w:t>
      </w:r>
      <w:r w:rsidR="00B853B1">
        <w:t xml:space="preserve"> describ</w:t>
      </w:r>
      <w:r w:rsidR="003C3C27">
        <w:t>ing</w:t>
      </w:r>
      <w:r w:rsidR="00B853B1">
        <w:t xml:space="preserve"> the system</w:t>
      </w:r>
      <w:r w:rsidR="003C3C27">
        <w:t xml:space="preserve"> behaviour</w:t>
      </w:r>
      <w:r w:rsidR="009B5728">
        <w:t xml:space="preserve">. </w:t>
      </w:r>
      <w:r w:rsidR="00C91152">
        <w:t xml:space="preserve">Among </w:t>
      </w:r>
      <w:r w:rsidR="00FD275E">
        <w:t xml:space="preserve">the models </w:t>
      </w:r>
      <w:r w:rsidR="00D96DE7">
        <w:t xml:space="preserve">in the literature </w:t>
      </w:r>
      <w:r w:rsidR="00C91152">
        <w:t xml:space="preserve">there are </w:t>
      </w:r>
      <w:r w:rsidR="00D96DE7">
        <w:t xml:space="preserve">phenomena-specific </w:t>
      </w:r>
      <w:r w:rsidR="00C91152">
        <w:t>e</w:t>
      </w:r>
      <w:r w:rsidR="009B5728">
        <w:t>mpirical correlations</w:t>
      </w:r>
      <w:r w:rsidR="00D96DE7">
        <w:t xml:space="preserve"> </w:t>
      </w:r>
      <w:r w:rsidR="004861AF">
        <w:t>(Forster et al., 2004)</w:t>
      </w:r>
      <w:r w:rsidR="000704FE">
        <w:t>,</w:t>
      </w:r>
      <w:r w:rsidR="00C91152">
        <w:t xml:space="preserve"> compartmental </w:t>
      </w:r>
      <w:r w:rsidR="0094042E">
        <w:t>models</w:t>
      </w:r>
      <w:r w:rsidR="004F0306">
        <w:t xml:space="preserve"> (Bridges and Farrington</w:t>
      </w:r>
      <w:r w:rsidR="00F22DBE">
        <w:t>, 1974</w:t>
      </w:r>
      <w:r w:rsidR="004F0306">
        <w:t>)</w:t>
      </w:r>
      <w:r w:rsidR="0094042E">
        <w:t>, and diffusion-based models</w:t>
      </w:r>
      <w:r w:rsidR="00F22DBE">
        <w:t xml:space="preserve"> (</w:t>
      </w:r>
      <w:r w:rsidR="009B3CD3">
        <w:t>Tredenick et al., 2019</w:t>
      </w:r>
      <w:r w:rsidR="00F22DBE">
        <w:t>)</w:t>
      </w:r>
      <w:r w:rsidR="0094042E">
        <w:t>.</w:t>
      </w:r>
    </w:p>
    <w:p w14:paraId="0E4E7E87" w14:textId="197EA525" w:rsidR="002D2F05" w:rsidRPr="008B37AB" w:rsidRDefault="0094042E" w:rsidP="00E204D3">
      <w:pPr>
        <w:jc w:val="both"/>
      </w:pPr>
      <w:r>
        <w:t>H</w:t>
      </w:r>
      <w:r w:rsidR="00630BF8">
        <w:t>owever</w:t>
      </w:r>
      <w:r w:rsidR="003C4058">
        <w:t xml:space="preserve"> previous studies did</w:t>
      </w:r>
      <w:r w:rsidR="00630BF8">
        <w:t xml:space="preserve"> not </w:t>
      </w:r>
      <w:r w:rsidR="00D26E82">
        <w:t xml:space="preserve">assess </w:t>
      </w:r>
      <w:r w:rsidR="00E270DF">
        <w:t>sys</w:t>
      </w:r>
      <w:r w:rsidR="00CB5DA6">
        <w:t xml:space="preserve">tematically </w:t>
      </w:r>
      <w:r w:rsidR="00471F4C">
        <w:t>whether</w:t>
      </w:r>
      <w:r w:rsidR="00D26E82">
        <w:t xml:space="preserve"> the </w:t>
      </w:r>
      <w:r w:rsidR="00BD28B2">
        <w:t xml:space="preserve">model </w:t>
      </w:r>
      <w:r w:rsidR="00D26E82">
        <w:t xml:space="preserve">parameters can be accurately </w:t>
      </w:r>
      <w:r w:rsidR="00977A2E">
        <w:t xml:space="preserve">and precisely </w:t>
      </w:r>
      <w:r w:rsidR="00D26E82">
        <w:t>estimated</w:t>
      </w:r>
      <w:r w:rsidR="001942CE">
        <w:t>, a key asp</w:t>
      </w:r>
      <w:r w:rsidR="00B43415">
        <w:t xml:space="preserve">ect to </w:t>
      </w:r>
      <w:r w:rsidR="006936D3">
        <w:t xml:space="preserve">consider </w:t>
      </w:r>
      <w:r w:rsidR="00977A2E">
        <w:t>to</w:t>
      </w:r>
      <w:r w:rsidR="006936D3">
        <w:t xml:space="preserve"> </w:t>
      </w:r>
      <w:r w:rsidR="003C717A">
        <w:t xml:space="preserve">ensure </w:t>
      </w:r>
      <w:r w:rsidR="00CF7C2F">
        <w:t xml:space="preserve">reliability of model predictions. </w:t>
      </w:r>
      <w:r w:rsidR="00A2345E">
        <w:t xml:space="preserve">This work </w:t>
      </w:r>
      <w:r w:rsidR="00F33FBD">
        <w:t>aims at developing a mathematical model that can be effectively applied to</w:t>
      </w:r>
      <w:r w:rsidR="0063632F">
        <w:t xml:space="preserve"> describe the system </w:t>
      </w:r>
      <w:r w:rsidR="009B625D">
        <w:t>and</w:t>
      </w:r>
      <w:r w:rsidR="00F33FBD">
        <w:t xml:space="preserve"> </w:t>
      </w:r>
      <w:r w:rsidR="00B57490">
        <w:t>predict the</w:t>
      </w:r>
      <w:r w:rsidR="009B625D">
        <w:t xml:space="preserve"> </w:t>
      </w:r>
      <w:r w:rsidR="00AD79DF">
        <w:t xml:space="preserve">dynamic uptake profile </w:t>
      </w:r>
      <w:r w:rsidR="00BB49F4">
        <w:t>on different combinations of plant and product</w:t>
      </w:r>
      <w:r w:rsidR="005F1C8D">
        <w:t xml:space="preserve">, </w:t>
      </w:r>
      <w:r w:rsidR="00A706BF">
        <w:t xml:space="preserve">while </w:t>
      </w:r>
      <w:r w:rsidR="004F0458">
        <w:t>ensuring</w:t>
      </w:r>
      <w:r w:rsidR="00B26355">
        <w:t xml:space="preserve"> </w:t>
      </w:r>
      <w:r w:rsidR="004F0458">
        <w:t>identifiability of the model parameters</w:t>
      </w:r>
      <w:r w:rsidR="005F3D51">
        <w:t xml:space="preserve">, i.e. </w:t>
      </w:r>
      <w:r w:rsidR="00B05FE7">
        <w:t xml:space="preserve">that </w:t>
      </w:r>
      <w:r w:rsidR="00F95DC1">
        <w:t>they</w:t>
      </w:r>
      <w:r w:rsidR="009027C9">
        <w:t xml:space="preserve"> can be uniquely determined </w:t>
      </w:r>
      <w:r w:rsidR="00F95DC1">
        <w:t xml:space="preserve">from the </w:t>
      </w:r>
      <w:r w:rsidR="0049721E">
        <w:t xml:space="preserve">system inputs and outputs </w:t>
      </w:r>
      <w:r w:rsidR="0049721E">
        <w:lastRenderedPageBreak/>
        <w:t>(Miao et al., 2011)</w:t>
      </w:r>
      <w:r w:rsidR="005F3D51">
        <w:t>,</w:t>
      </w:r>
      <w:r w:rsidR="004F0458">
        <w:t xml:space="preserve"> </w:t>
      </w:r>
      <w:r w:rsidR="00A706BF">
        <w:t>including</w:t>
      </w:r>
      <w:r w:rsidR="006E2089">
        <w:t xml:space="preserve"> in the model building strategy also the practical </w:t>
      </w:r>
      <w:r w:rsidR="00754990">
        <w:t xml:space="preserve">experimental </w:t>
      </w:r>
      <w:r w:rsidR="006E2089">
        <w:t>limitations</w:t>
      </w:r>
      <w:r w:rsidR="00A706BF">
        <w:t xml:space="preserve"> </w:t>
      </w:r>
      <w:r w:rsidR="00460BCE">
        <w:t xml:space="preserve">that will act as constraints when </w:t>
      </w:r>
      <w:r w:rsidR="00D533C6">
        <w:t>calibrating</w:t>
      </w:r>
      <w:r w:rsidR="00460BCE">
        <w:t xml:space="preserve"> the model</w:t>
      </w:r>
      <w:r w:rsidR="005F1C8D">
        <w:t>.</w:t>
      </w:r>
      <w:r w:rsidR="003D243A">
        <w:t xml:space="preserve"> </w:t>
      </w:r>
    </w:p>
    <w:p w14:paraId="7A34DFE6" w14:textId="55B23665" w:rsidR="004A6A2C" w:rsidRDefault="004A6A2C" w:rsidP="004A6A2C">
      <w:pPr>
        <w:pStyle w:val="Els-1storder-head"/>
      </w:pPr>
      <w:r>
        <w:t>Method</w:t>
      </w:r>
      <w:r w:rsidR="00C66D3F">
        <w:t>ology</w:t>
      </w:r>
    </w:p>
    <w:p w14:paraId="7CF62439" w14:textId="491C38C0" w:rsidR="00B54488" w:rsidRPr="00ED7C06" w:rsidRDefault="00ED7C06" w:rsidP="008D2649">
      <w:pPr>
        <w:pStyle w:val="Els-body-text"/>
        <w:rPr>
          <w:lang w:val="en-GB"/>
        </w:rPr>
      </w:pPr>
      <w:r w:rsidRPr="00ED7C06">
        <w:rPr>
          <w:lang w:val="en-GB"/>
        </w:rPr>
        <w:t>The g</w:t>
      </w:r>
      <w:r w:rsidR="00B54488" w:rsidRPr="00ED7C06">
        <w:rPr>
          <w:lang w:val="en-GB"/>
        </w:rPr>
        <w:t>eneral model identification procedure</w:t>
      </w:r>
      <w:r w:rsidRPr="00ED7C06">
        <w:rPr>
          <w:lang w:val="en-GB"/>
        </w:rPr>
        <w:t xml:space="preserve"> that i</w:t>
      </w:r>
      <w:r>
        <w:rPr>
          <w:lang w:val="en-GB"/>
        </w:rPr>
        <w:t>s use</w:t>
      </w:r>
      <w:r w:rsidR="0098256E">
        <w:rPr>
          <w:lang w:val="en-GB"/>
        </w:rPr>
        <w:t xml:space="preserve">d in this project to model </w:t>
      </w:r>
      <w:r w:rsidR="00F62ED4">
        <w:rPr>
          <w:lang w:val="en-GB"/>
        </w:rPr>
        <w:t>the foliar uptake of pesticides</w:t>
      </w:r>
      <w:r w:rsidR="00314381">
        <w:rPr>
          <w:lang w:val="en-GB"/>
        </w:rPr>
        <w:t>, based on Franceschini and Macchietto (2008),</w:t>
      </w:r>
      <w:r w:rsidR="00F62ED4">
        <w:rPr>
          <w:lang w:val="en-GB"/>
        </w:rPr>
        <w:t xml:space="preserve"> is </w:t>
      </w:r>
      <w:r w:rsidR="00314381">
        <w:rPr>
          <w:lang w:val="en-GB"/>
        </w:rPr>
        <w:t xml:space="preserve">presented in </w:t>
      </w:r>
      <w:r w:rsidR="00730404">
        <w:rPr>
          <w:lang w:val="en-GB"/>
        </w:rPr>
        <w:t>F</w:t>
      </w:r>
      <w:r w:rsidR="00314381">
        <w:rPr>
          <w:lang w:val="en-GB"/>
        </w:rPr>
        <w:t>igure 1.</w:t>
      </w:r>
      <w:r w:rsidR="00613DE8">
        <w:rPr>
          <w:lang w:val="en-GB"/>
        </w:rPr>
        <w:t xml:space="preserve"> </w:t>
      </w:r>
      <w:r w:rsidR="009165D1">
        <w:rPr>
          <w:lang w:val="en-GB"/>
        </w:rPr>
        <w:t>The</w:t>
      </w:r>
      <w:r w:rsidR="00AB1818">
        <w:rPr>
          <w:lang w:val="en-GB"/>
        </w:rPr>
        <w:t xml:space="preserve"> whole modelling procedure is divided in 5 key steps: i) the formulation of candidate models, ii) </w:t>
      </w:r>
      <w:r w:rsidR="009E1380">
        <w:rPr>
          <w:lang w:val="en-GB"/>
        </w:rPr>
        <w:t>the conduction of model identifiability tests, iii)</w:t>
      </w:r>
      <w:r w:rsidR="00187319">
        <w:rPr>
          <w:lang w:val="en-GB"/>
        </w:rPr>
        <w:t xml:space="preserve"> model-based design of experiments</w:t>
      </w:r>
      <w:r w:rsidR="003C086D">
        <w:rPr>
          <w:lang w:val="en-GB"/>
        </w:rPr>
        <w:t xml:space="preserve"> (MBDoE)</w:t>
      </w:r>
      <w:r w:rsidR="00187319">
        <w:rPr>
          <w:lang w:val="en-GB"/>
        </w:rPr>
        <w:t xml:space="preserve"> </w:t>
      </w:r>
      <w:r w:rsidR="003C086D">
        <w:rPr>
          <w:lang w:val="en-GB"/>
        </w:rPr>
        <w:t>for</w:t>
      </w:r>
      <w:r w:rsidR="009E1380">
        <w:rPr>
          <w:lang w:val="en-GB"/>
        </w:rPr>
        <w:t xml:space="preserve"> </w:t>
      </w:r>
      <w:r w:rsidR="00187319">
        <w:rPr>
          <w:lang w:val="en-GB"/>
        </w:rPr>
        <w:t>model discrimination</w:t>
      </w:r>
      <w:r w:rsidR="003C086D">
        <w:rPr>
          <w:lang w:val="en-GB"/>
        </w:rPr>
        <w:t xml:space="preserve">, iv) MBDoE for precise parameter estimation, and </w:t>
      </w:r>
      <w:r w:rsidR="006E0821">
        <w:rPr>
          <w:lang w:val="en-GB"/>
        </w:rPr>
        <w:t xml:space="preserve">v) the model validation. </w:t>
      </w:r>
      <w:r w:rsidR="00285F84">
        <w:rPr>
          <w:noProof/>
        </w:rPr>
        <w:t xml:space="preserve">This paper focuses on the step (2) “model identifiability tests”, highlighted in </w:t>
      </w:r>
      <w:r w:rsidR="00965654">
        <w:rPr>
          <w:noProof/>
        </w:rPr>
        <w:t>F</w:t>
      </w:r>
      <w:r w:rsidR="00285F84">
        <w:rPr>
          <w:noProof/>
        </w:rPr>
        <w:t>igure</w:t>
      </w:r>
      <w:r w:rsidR="00965654">
        <w:rPr>
          <w:noProof/>
        </w:rPr>
        <w:t xml:space="preserve"> 1</w:t>
      </w:r>
      <w:r w:rsidR="00285F84">
        <w:rPr>
          <w:noProof/>
        </w:rPr>
        <w:t>.</w:t>
      </w:r>
    </w:p>
    <w:p w14:paraId="6F576B2B" w14:textId="77777777" w:rsidR="0010674A" w:rsidRDefault="00496A2E" w:rsidP="001D4111">
      <w:pPr>
        <w:pStyle w:val="Els-body-text"/>
        <w:keepNext/>
        <w:jc w:val="center"/>
      </w:pPr>
      <w:r>
        <w:rPr>
          <w:noProof/>
        </w:rPr>
        <w:drawing>
          <wp:inline distT="0" distB="0" distL="0" distR="0" wp14:anchorId="09E92336" wp14:editId="368DE493">
            <wp:extent cx="3600000" cy="419527"/>
            <wp:effectExtent l="0" t="0" r="635" b="0"/>
            <wp:docPr id="2138561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419527"/>
                    </a:xfrm>
                    <a:prstGeom prst="rect">
                      <a:avLst/>
                    </a:prstGeom>
                    <a:noFill/>
                  </pic:spPr>
                </pic:pic>
              </a:graphicData>
            </a:graphic>
          </wp:inline>
        </w:drawing>
      </w:r>
    </w:p>
    <w:p w14:paraId="53FC5D7F" w14:textId="539D8178" w:rsidR="00B54488" w:rsidRPr="00874A76" w:rsidRDefault="0010674A" w:rsidP="00874A76">
      <w:pPr>
        <w:pStyle w:val="Didascalia"/>
      </w:pPr>
      <w:r w:rsidRPr="00874A76">
        <w:t xml:space="preserve">Figure </w:t>
      </w:r>
      <w:r w:rsidRPr="00874A76">
        <w:fldChar w:fldCharType="begin"/>
      </w:r>
      <w:r w:rsidRPr="00874A76">
        <w:instrText xml:space="preserve"> SEQ Figure \* ARABIC </w:instrText>
      </w:r>
      <w:r w:rsidRPr="00874A76">
        <w:fldChar w:fldCharType="separate"/>
      </w:r>
      <w:r w:rsidR="00F94A25">
        <w:rPr>
          <w:noProof/>
        </w:rPr>
        <w:t>1</w:t>
      </w:r>
      <w:r w:rsidRPr="00874A76">
        <w:fldChar w:fldCharType="end"/>
      </w:r>
      <w:r w:rsidRPr="00874A76">
        <w:t xml:space="preserve"> Model building strategy applied in th</w:t>
      </w:r>
      <w:r w:rsidR="00B208AE" w:rsidRPr="00874A76">
        <w:t>e</w:t>
      </w:r>
      <w:r w:rsidRPr="00874A76">
        <w:t xml:space="preserve"> project, based on Franceschini and Macchietto (2008).</w:t>
      </w:r>
      <w:r w:rsidR="00FE6C9F" w:rsidRPr="00874A76">
        <w:t xml:space="preserve"> </w:t>
      </w:r>
    </w:p>
    <w:p w14:paraId="4BEA3A20" w14:textId="77777777" w:rsidR="00120F34" w:rsidRDefault="00120F34" w:rsidP="00120F34">
      <w:pPr>
        <w:pStyle w:val="Els-body-text"/>
      </w:pPr>
      <w:r>
        <w:t>The general form considered for a dynamic model formulated as a set of differential and algebraic equations is:</w:t>
      </w:r>
    </w:p>
    <w:tbl>
      <w:tblPr>
        <w:tblW w:w="7087" w:type="dxa"/>
        <w:tblLook w:val="04A0" w:firstRow="1" w:lastRow="0" w:firstColumn="1" w:lastColumn="0" w:noHBand="0" w:noVBand="1"/>
      </w:tblPr>
      <w:tblGrid>
        <w:gridCol w:w="6111"/>
        <w:gridCol w:w="976"/>
      </w:tblGrid>
      <w:tr w:rsidR="00120F34" w:rsidRPr="00A94774" w14:paraId="311A0378" w14:textId="77777777" w:rsidTr="00CF3F00">
        <w:tc>
          <w:tcPr>
            <w:tcW w:w="6111" w:type="dxa"/>
            <w:shd w:val="clear" w:color="auto" w:fill="auto"/>
            <w:vAlign w:val="center"/>
          </w:tcPr>
          <w:p w14:paraId="73C4C46C" w14:textId="77777777" w:rsidR="00120F34" w:rsidRPr="00082A44" w:rsidRDefault="003E2E63" w:rsidP="00CF3F00">
            <w:pPr>
              <w:pStyle w:val="Els-body-text"/>
              <w:spacing w:before="120" w:after="120" w:line="264" w:lineRule="auto"/>
              <w:rPr>
                <w:lang w:val="en-GB"/>
              </w:rPr>
            </w:pPr>
            <m:oMathPara>
              <m:oMathParaPr>
                <m:jc m:val="left"/>
              </m:oMathParaPr>
              <m:oMath>
                <m:d>
                  <m:dPr>
                    <m:begChr m:val="{"/>
                    <m:endChr m:val=""/>
                    <m:ctrlPr>
                      <w:rPr>
                        <w:rFonts w:ascii="Cambria Math" w:hAnsi="Cambria Math"/>
                        <w:i/>
                        <w:lang w:val="en-GB"/>
                      </w:rPr>
                    </m:ctrlPr>
                  </m:dPr>
                  <m:e>
                    <m:m>
                      <m:mPr>
                        <m:mcs>
                          <m:mc>
                            <m:mcPr>
                              <m:count m:val="1"/>
                              <m:mcJc m:val="center"/>
                            </m:mcPr>
                          </m:mc>
                        </m:mcs>
                        <m:ctrlPr>
                          <w:rPr>
                            <w:rFonts w:ascii="Cambria Math" w:hAnsi="Cambria Math"/>
                            <w:bCs/>
                            <w:i/>
                            <w:lang w:val="en-GB"/>
                          </w:rPr>
                        </m:ctrlPr>
                      </m:mPr>
                      <m:mr>
                        <m:e>
                          <m:r>
                            <m:rPr>
                              <m:sty m:val="bi"/>
                            </m:rPr>
                            <w:rPr>
                              <w:rFonts w:ascii="Cambria Math" w:hAnsi="Cambria Math"/>
                              <w:lang w:val="en-GB"/>
                            </w:rPr>
                            <m:t>f</m:t>
                          </m:r>
                          <m:d>
                            <m:dPr>
                              <m:ctrlPr>
                                <w:rPr>
                                  <w:rFonts w:ascii="Cambria Math" w:hAnsi="Cambria Math"/>
                                  <w:bCs/>
                                  <w:i/>
                                  <w:lang w:val="en-GB"/>
                                </w:rPr>
                              </m:ctrlPr>
                            </m:dPr>
                            <m:e>
                              <m:acc>
                                <m:accPr>
                                  <m:chr m:val="̇"/>
                                  <m:ctrlPr>
                                    <w:rPr>
                                      <w:rFonts w:ascii="Cambria Math" w:hAnsi="Cambria Math"/>
                                      <w:bCs/>
                                      <w:i/>
                                      <w:lang w:val="en-GB"/>
                                    </w:rPr>
                                  </m:ctrlPr>
                                </m:accPr>
                                <m:e>
                                  <m:r>
                                    <m:rPr>
                                      <m:sty m:val="bi"/>
                                    </m:rPr>
                                    <w:rPr>
                                      <w:rFonts w:ascii="Cambria Math" w:hAnsi="Cambria Math"/>
                                      <w:lang w:val="en-GB"/>
                                    </w:rPr>
                                    <m:t>x</m:t>
                                  </m:r>
                                </m:e>
                              </m:acc>
                              <m:r>
                                <m:rPr>
                                  <m:sty m:val="bi"/>
                                </m:rPr>
                                <w:rPr>
                                  <w:rFonts w:ascii="Cambria Math" w:hAnsi="Cambria Math"/>
                                  <w:lang w:val="en-GB"/>
                                </w:rPr>
                                <m:t>,</m:t>
                              </m:r>
                              <m:r>
                                <m:rPr>
                                  <m:sty m:val="bi"/>
                                </m:rPr>
                                <w:rPr>
                                  <w:rFonts w:ascii="Cambria Math" w:hAnsi="Cambria Math"/>
                                  <w:lang w:val="en-GB"/>
                                </w:rPr>
                                <m:t>x</m:t>
                              </m:r>
                              <m:r>
                                <w:rPr>
                                  <w:rFonts w:ascii="Cambria Math" w:hAnsi="Cambria Math"/>
                                  <w:lang w:val="en-GB"/>
                                </w:rPr>
                                <m:t>,</m:t>
                              </m:r>
                              <m:r>
                                <m:rPr>
                                  <m:sty m:val="bi"/>
                                </m:rPr>
                                <w:rPr>
                                  <w:rFonts w:ascii="Cambria Math" w:hAnsi="Cambria Math"/>
                                  <w:lang w:val="en-GB"/>
                                </w:rPr>
                                <m:t>u</m:t>
                              </m:r>
                              <m:r>
                                <w:rPr>
                                  <w:rFonts w:ascii="Cambria Math" w:hAnsi="Cambria Math"/>
                                  <w:lang w:val="en-GB"/>
                                </w:rPr>
                                <m:t>,</m:t>
                              </m:r>
                              <m:r>
                                <m:rPr>
                                  <m:sty m:val="bi"/>
                                </m:rPr>
                                <w:rPr>
                                  <w:rFonts w:ascii="Cambria Math" w:hAnsi="Cambria Math"/>
                                  <w:lang w:val="en-GB"/>
                                </w:rPr>
                                <m:t>θ</m:t>
                              </m:r>
                              <m:r>
                                <w:rPr>
                                  <w:rFonts w:ascii="Cambria Math" w:hAnsi="Cambria Math"/>
                                  <w:lang w:val="en-GB"/>
                                </w:rPr>
                                <m:t>,</m:t>
                              </m:r>
                              <m:r>
                                <w:rPr>
                                  <w:rFonts w:ascii="Cambria Math" w:hAnsi="Cambria Math"/>
                                  <w:lang w:val="en-GB"/>
                                </w:rPr>
                                <m:t>t</m:t>
                              </m:r>
                            </m:e>
                          </m:d>
                          <m:r>
                            <w:rPr>
                              <w:rFonts w:ascii="Cambria Math" w:hAnsi="Cambria Math"/>
                              <w:lang w:val="en-GB"/>
                            </w:rPr>
                            <m:t>=0</m:t>
                          </m:r>
                        </m:e>
                      </m:mr>
                      <m:mr>
                        <m:e>
                          <m:acc>
                            <m:accPr>
                              <m:ctrlPr>
                                <w:rPr>
                                  <w:rFonts w:ascii="Cambria Math" w:hAnsi="Cambria Math"/>
                                  <w:b/>
                                  <w:i/>
                                  <w:lang w:val="en-GB"/>
                                </w:rPr>
                              </m:ctrlPr>
                            </m:accPr>
                            <m:e>
                              <m:r>
                                <m:rPr>
                                  <m:sty m:val="bi"/>
                                </m:rPr>
                                <w:rPr>
                                  <w:rFonts w:ascii="Cambria Math" w:hAnsi="Cambria Math"/>
                                  <w:lang w:val="en-GB"/>
                                </w:rPr>
                                <m:t>y</m:t>
                              </m:r>
                            </m:e>
                          </m:acc>
                          <m:r>
                            <w:rPr>
                              <w:rFonts w:ascii="Cambria Math" w:hAnsi="Cambria Math"/>
                              <w:lang w:val="en-GB"/>
                            </w:rPr>
                            <m:t>=</m:t>
                          </m:r>
                          <m:r>
                            <m:rPr>
                              <m:sty m:val="bi"/>
                            </m:rPr>
                            <w:rPr>
                              <w:rFonts w:ascii="Cambria Math" w:hAnsi="Cambria Math"/>
                              <w:lang w:val="en-GB"/>
                            </w:rPr>
                            <m:t>g</m:t>
                          </m:r>
                          <m:r>
                            <w:rPr>
                              <w:rFonts w:ascii="Cambria Math" w:hAnsi="Cambria Math"/>
                              <w:lang w:val="en-GB"/>
                            </w:rPr>
                            <m:t>(</m:t>
                          </m:r>
                          <m:r>
                            <m:rPr>
                              <m:sty m:val="bi"/>
                            </m:rPr>
                            <w:rPr>
                              <w:rFonts w:ascii="Cambria Math" w:hAnsi="Cambria Math"/>
                              <w:lang w:val="en-GB"/>
                            </w:rPr>
                            <m:t>x</m:t>
                          </m:r>
                          <m:r>
                            <w:rPr>
                              <w:rFonts w:ascii="Cambria Math" w:hAnsi="Cambria Math"/>
                              <w:lang w:val="en-GB"/>
                            </w:rPr>
                            <m:t>,</m:t>
                          </m:r>
                          <m:r>
                            <m:rPr>
                              <m:sty m:val="bi"/>
                            </m:rPr>
                            <w:rPr>
                              <w:rFonts w:ascii="Cambria Math" w:hAnsi="Cambria Math"/>
                              <w:lang w:val="en-GB"/>
                            </w:rPr>
                            <m:t>u</m:t>
                          </m:r>
                          <m:r>
                            <w:rPr>
                              <w:rFonts w:ascii="Cambria Math" w:hAnsi="Cambria Math"/>
                              <w:lang w:val="en-GB"/>
                            </w:rPr>
                            <m:t>,</m:t>
                          </m:r>
                          <m:r>
                            <m:rPr>
                              <m:sty m:val="bi"/>
                            </m:rPr>
                            <w:rPr>
                              <w:rFonts w:ascii="Cambria Math" w:hAnsi="Cambria Math"/>
                              <w:lang w:val="en-GB"/>
                            </w:rPr>
                            <m:t>θ</m:t>
                          </m:r>
                          <m:r>
                            <w:rPr>
                              <w:rFonts w:ascii="Cambria Math" w:hAnsi="Cambria Math"/>
                              <w:lang w:val="en-GB"/>
                            </w:rPr>
                            <m:t>,</m:t>
                          </m:r>
                          <m:r>
                            <w:rPr>
                              <w:rFonts w:ascii="Cambria Math" w:hAnsi="Cambria Math"/>
                              <w:lang w:val="en-GB"/>
                            </w:rPr>
                            <m:t>t</m:t>
                          </m:r>
                          <m:r>
                            <w:rPr>
                              <w:rFonts w:ascii="Cambria Math" w:hAnsi="Cambria Math"/>
                              <w:lang w:val="en-GB"/>
                            </w:rPr>
                            <m:t>)</m:t>
                          </m:r>
                        </m:e>
                      </m:mr>
                    </m:m>
                  </m:e>
                </m:d>
              </m:oMath>
            </m:oMathPara>
          </w:p>
        </w:tc>
        <w:tc>
          <w:tcPr>
            <w:tcW w:w="976" w:type="dxa"/>
            <w:shd w:val="clear" w:color="auto" w:fill="auto"/>
            <w:vAlign w:val="center"/>
          </w:tcPr>
          <w:p w14:paraId="5EB06B87" w14:textId="11CFFDD9" w:rsidR="00120F34" w:rsidRPr="00A94774" w:rsidRDefault="00120F34" w:rsidP="00CF3F00">
            <w:pPr>
              <w:pStyle w:val="Els-body-text"/>
              <w:spacing w:before="120" w:after="120" w:line="264" w:lineRule="auto"/>
              <w:jc w:val="right"/>
              <w:rPr>
                <w:lang w:val="en-GB"/>
              </w:rPr>
            </w:pPr>
            <w:r w:rsidRPr="005A3F92">
              <w:rPr>
                <w:lang w:val="en-GB"/>
              </w:rPr>
              <w:t>(</w:t>
            </w:r>
            <w:r w:rsidR="007F5535" w:rsidRPr="005A3F92">
              <w:rPr>
                <w:lang w:val="en-GB"/>
              </w:rPr>
              <w:t>1</w:t>
            </w:r>
            <w:r w:rsidRPr="005A3F92">
              <w:rPr>
                <w:lang w:val="en-GB"/>
              </w:rPr>
              <w:t>)</w:t>
            </w:r>
          </w:p>
        </w:tc>
      </w:tr>
    </w:tbl>
    <w:p w14:paraId="4E03DBE0" w14:textId="715FE238" w:rsidR="00120F34" w:rsidRDefault="00120F34" w:rsidP="00120F34">
      <w:pPr>
        <w:jc w:val="both"/>
        <w:rPr>
          <w:rFonts w:eastAsiaTheme="minorEastAsia"/>
        </w:rPr>
      </w:pPr>
      <w:r>
        <w:t xml:space="preserve">In </w:t>
      </w:r>
      <w:r w:rsidR="00572E68">
        <w:t>Eq.</w:t>
      </w:r>
      <w:r w:rsidR="003B25E5">
        <w:t xml:space="preserve"> </w:t>
      </w:r>
      <w:r w:rsidR="005A3F92">
        <w:t>(</w:t>
      </w:r>
      <w:r w:rsidR="001A5538" w:rsidRPr="005A3F92">
        <w:t>1</w:t>
      </w:r>
      <w:r w:rsidR="005A3F92">
        <w:t>)</w:t>
      </w:r>
      <w:r w:rsidRPr="005A3F92">
        <w:t xml:space="preserve">, </w:t>
      </w:r>
      <m:oMath>
        <m:r>
          <m:rPr>
            <m:sty m:val="bi"/>
          </m:rPr>
          <w:rPr>
            <w:rFonts w:ascii="Cambria Math" w:hAnsi="Cambria Math"/>
          </w:rPr>
          <m:t>x</m:t>
        </m:r>
        <m:r>
          <m:rPr>
            <m:sty m:val="p"/>
          </m:rPr>
          <w:rPr>
            <w:rFonts w:ascii="Cambria Math" w:hAnsi="Cambria Math"/>
          </w:rPr>
          <m:t>∈</m:t>
        </m:r>
        <m:sSup>
          <m:sSupPr>
            <m:ctrlPr>
              <w:rPr>
                <w:rFonts w:ascii="Cambria Math" w:hAnsi="Cambria Math"/>
              </w:rPr>
            </m:ctrlPr>
          </m:sSupPr>
          <m:e>
            <m:r>
              <m:rPr>
                <m:scr m:val="double-struck"/>
                <m:sty m:val="p"/>
              </m:rP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x</m:t>
                </m:r>
              </m:sub>
            </m:sSub>
          </m:sup>
        </m:sSup>
      </m:oMath>
      <w:r w:rsidRPr="005A3F92">
        <w:t xml:space="preserve"> is </w:t>
      </w:r>
      <w:r w:rsidRPr="003B723E">
        <w:t xml:space="preserve">a vector of state variables, </w:t>
      </w:r>
      <m:oMath>
        <m:r>
          <m:rPr>
            <m:sty m:val="bi"/>
          </m:rPr>
          <w:rPr>
            <w:rFonts w:ascii="Cambria Math" w:hAnsi="Cambria Math"/>
          </w:rPr>
          <m:t>y</m:t>
        </m:r>
        <m:r>
          <w:rPr>
            <w:rFonts w:ascii="Cambria Math" w:hAnsi="Cambria Math"/>
          </w:rPr>
          <m:t>∈</m:t>
        </m:r>
        <m:sSup>
          <m:sSupPr>
            <m:ctrlPr>
              <w:rPr>
                <w:rFonts w:ascii="Cambria Math" w:hAnsi="Cambria Math"/>
              </w:rPr>
            </m:ctrlPr>
          </m:sSupPr>
          <m:e>
            <m:r>
              <m:rPr>
                <m:scr m:val="double-struck"/>
                <m:sty m:val="p"/>
              </m:rP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y</m:t>
                </m:r>
              </m:sub>
            </m:sSub>
          </m:sup>
        </m:sSup>
      </m:oMath>
      <w:r w:rsidRPr="003B723E">
        <w:t xml:space="preserve"> the vector</w:t>
      </w:r>
      <w:r>
        <w:t xml:space="preserve"> of predicted model outputs</w:t>
      </w:r>
      <w:r w:rsidRPr="003B723E">
        <w:t xml:space="preserve">, </w:t>
      </w:r>
      <m:oMath>
        <m:r>
          <m:rPr>
            <m:sty m:val="bi"/>
          </m:rPr>
          <w:rPr>
            <w:rFonts w:ascii="Cambria Math" w:hAnsi="Cambria Math"/>
          </w:rPr>
          <m:t>u</m:t>
        </m:r>
        <m:r>
          <m:rPr>
            <m:sty m:val="p"/>
          </m:rPr>
          <w:rPr>
            <w:rFonts w:ascii="Cambria Math" w:hAnsi="Cambria Math"/>
          </w:rPr>
          <m:t>∈</m:t>
        </m:r>
        <m:sSup>
          <m:sSupPr>
            <m:ctrlPr>
              <w:rPr>
                <w:rFonts w:ascii="Cambria Math" w:hAnsi="Cambria Math"/>
              </w:rPr>
            </m:ctrlPr>
          </m:sSupPr>
          <m:e>
            <m:r>
              <m:rPr>
                <m:scr m:val="double-struck"/>
                <m:sty m:val="p"/>
              </m:rP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u</m:t>
                </m:r>
              </m:sub>
            </m:sSub>
          </m:sup>
        </m:sSup>
      </m:oMath>
      <w:r w:rsidRPr="003B723E">
        <w:t xml:space="preserve"> the vector </w:t>
      </w:r>
      <w:r>
        <w:t xml:space="preserve">of </w:t>
      </w:r>
      <w:r w:rsidRPr="003B723E">
        <w:t>known system input</w:t>
      </w:r>
      <w:r>
        <w:t>s</w:t>
      </w:r>
      <w:r w:rsidRPr="003B723E">
        <w:t xml:space="preserve">, </w:t>
      </w:r>
      <m:oMath>
        <m:r>
          <m:rPr>
            <m:sty m:val="bi"/>
          </m:rPr>
          <w:rPr>
            <w:rFonts w:ascii="Cambria Math" w:hAnsi="Cambria Math"/>
          </w:rPr>
          <m:t>θ</m:t>
        </m:r>
        <m:r>
          <m:rPr>
            <m:sty m:val="p"/>
          </m:rPr>
          <w:rPr>
            <w:rFonts w:ascii="Cambria Math" w:hAnsi="Cambria Math"/>
          </w:rPr>
          <m:t>∈</m:t>
        </m:r>
        <m:sSup>
          <m:sSupPr>
            <m:ctrlPr>
              <w:rPr>
                <w:rFonts w:ascii="Cambria Math" w:hAnsi="Cambria Math"/>
              </w:rPr>
            </m:ctrlPr>
          </m:sSupPr>
          <m:e>
            <m:r>
              <m:rPr>
                <m:scr m:val="double-struck"/>
                <m:sty m:val="p"/>
              </m:rP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θ</m:t>
                </m:r>
              </m:sub>
            </m:sSub>
          </m:sup>
        </m:sSup>
      </m:oMath>
      <w:r>
        <w:rPr>
          <w:rFonts w:eastAsiaTheme="minorEastAsia"/>
        </w:rPr>
        <w:t xml:space="preserve"> </w:t>
      </w:r>
      <w:r w:rsidRPr="003B723E">
        <w:t>the</w:t>
      </w:r>
      <w:r w:rsidRPr="00E31D1C">
        <w:rPr>
          <w:rFonts w:eastAsiaTheme="minorEastAsia"/>
        </w:rPr>
        <w:t xml:space="preserve"> </w:t>
      </w:r>
      <w:r>
        <w:rPr>
          <w:rFonts w:eastAsiaTheme="minorEastAsia"/>
        </w:rPr>
        <w:t xml:space="preserve">model </w:t>
      </w:r>
      <w:r w:rsidRPr="00E31D1C">
        <w:rPr>
          <w:rFonts w:eastAsiaTheme="minorEastAsia"/>
        </w:rPr>
        <w:t>parameter</w:t>
      </w:r>
      <w:r>
        <w:rPr>
          <w:rFonts w:eastAsiaTheme="minorEastAsia"/>
        </w:rPr>
        <w:t>s</w:t>
      </w:r>
      <w:r w:rsidRPr="00E31D1C">
        <w:rPr>
          <w:rFonts w:eastAsiaTheme="minorEastAsia"/>
        </w:rPr>
        <w:t xml:space="preserve"> vector.</w:t>
      </w:r>
      <w:r>
        <w:rPr>
          <w:rFonts w:eastAsiaTheme="minorEastAsia"/>
        </w:rPr>
        <w:t xml:space="preserve"> </w:t>
      </w:r>
      <w:r w:rsidR="00902BCA">
        <w:rPr>
          <w:rFonts w:eastAsiaTheme="minorEastAsia"/>
        </w:rPr>
        <w:t>T</w:t>
      </w:r>
      <w:r w:rsidR="006E6EAC">
        <w:rPr>
          <w:rFonts w:eastAsiaTheme="minorEastAsia"/>
        </w:rPr>
        <w:t xml:space="preserve">he foliar uptake models that will be presented </w:t>
      </w:r>
      <w:r w:rsidR="0023309F">
        <w:rPr>
          <w:rFonts w:eastAsiaTheme="minorEastAsia"/>
        </w:rPr>
        <w:t xml:space="preserve">in this work </w:t>
      </w:r>
      <w:r w:rsidR="009525A4">
        <w:rPr>
          <w:rFonts w:eastAsiaTheme="minorEastAsia"/>
        </w:rPr>
        <w:t xml:space="preserve">are expressed as </w:t>
      </w:r>
      <w:r w:rsidR="00E16918">
        <w:rPr>
          <w:rFonts w:eastAsiaTheme="minorEastAsia"/>
        </w:rPr>
        <w:t xml:space="preserve">systems of </w:t>
      </w:r>
      <w:r w:rsidR="009525A4">
        <w:rPr>
          <w:rFonts w:eastAsiaTheme="minorEastAsia"/>
        </w:rPr>
        <w:t>ODEs</w:t>
      </w:r>
      <w:r w:rsidR="00A11C8D">
        <w:rPr>
          <w:rFonts w:eastAsiaTheme="minorEastAsia"/>
        </w:rPr>
        <w:t xml:space="preserve">, </w:t>
      </w:r>
      <w:r w:rsidR="00481416">
        <w:rPr>
          <w:rFonts w:eastAsiaTheme="minorEastAsia"/>
        </w:rPr>
        <w:t xml:space="preserve">therefore can be expressed as in </w:t>
      </w:r>
      <w:r w:rsidR="00572E68">
        <w:rPr>
          <w:rFonts w:eastAsiaTheme="minorEastAsia"/>
        </w:rPr>
        <w:t xml:space="preserve">Eq. </w:t>
      </w:r>
      <w:r w:rsidR="00481416">
        <w:rPr>
          <w:rFonts w:eastAsiaTheme="minorEastAsia"/>
        </w:rPr>
        <w:t xml:space="preserve">(1). </w:t>
      </w:r>
      <w:r w:rsidR="009525A4">
        <w:rPr>
          <w:rFonts w:eastAsiaTheme="minorEastAsia"/>
        </w:rPr>
        <w:t xml:space="preserve"> </w:t>
      </w:r>
      <w:r w:rsidR="0023309F">
        <w:rPr>
          <w:rFonts w:eastAsiaTheme="minorEastAsia"/>
        </w:rPr>
        <w:t xml:space="preserve"> </w:t>
      </w:r>
    </w:p>
    <w:p w14:paraId="1A394319" w14:textId="6CC3F969" w:rsidR="004A6A2C" w:rsidRDefault="004A6A2C" w:rsidP="008D2649">
      <w:pPr>
        <w:pStyle w:val="Els-body-text"/>
      </w:pPr>
    </w:p>
    <w:p w14:paraId="1B012A2D" w14:textId="1F8409BE" w:rsidR="00F425A9" w:rsidRDefault="00F425A9" w:rsidP="00F425A9">
      <w:pPr>
        <w:pStyle w:val="Els-body-text"/>
        <w:rPr>
          <w:lang w:val="en-GB"/>
        </w:rPr>
      </w:pPr>
      <w:r>
        <w:rPr>
          <w:lang w:val="en-GB"/>
        </w:rPr>
        <w:t xml:space="preserve">The question that is under assessment when testing the identifiability of a mathematical model is if the model parameters </w:t>
      </w:r>
      <m:oMath>
        <m:r>
          <m:rPr>
            <m:sty m:val="bi"/>
          </m:rPr>
          <w:rPr>
            <w:rFonts w:ascii="Cambria Math" w:hAnsi="Cambria Math"/>
            <w:lang w:val="en-GB"/>
          </w:rPr>
          <m:t>θ</m:t>
        </m:r>
      </m:oMath>
      <w:r w:rsidRPr="008E0A92">
        <w:rPr>
          <w:lang w:val="en-GB"/>
        </w:rPr>
        <w:t xml:space="preserve"> can be uniquely determined from the given system input </w:t>
      </w:r>
      <m:oMath>
        <m:r>
          <m:rPr>
            <m:sty m:val="bi"/>
          </m:rPr>
          <w:rPr>
            <w:rFonts w:ascii="Cambria Math" w:hAnsi="Cambria Math"/>
            <w:lang w:val="en-GB"/>
          </w:rPr>
          <m:t>u</m:t>
        </m:r>
        <m:d>
          <m:dPr>
            <m:ctrlPr>
              <w:rPr>
                <w:rFonts w:ascii="Cambria Math" w:hAnsi="Cambria Math"/>
                <w:lang w:val="en-GB"/>
              </w:rPr>
            </m:ctrlPr>
          </m:dPr>
          <m:e>
            <m:r>
              <w:rPr>
                <w:rFonts w:ascii="Cambria Math" w:hAnsi="Cambria Math"/>
                <w:lang w:val="en-GB"/>
              </w:rPr>
              <m:t>t</m:t>
            </m:r>
          </m:e>
        </m:d>
      </m:oMath>
      <w:r w:rsidRPr="008E0A92">
        <w:rPr>
          <w:lang w:val="en-GB"/>
        </w:rPr>
        <w:t xml:space="preserve"> and the measurable system output </w:t>
      </w:r>
      <m:oMath>
        <m:r>
          <m:rPr>
            <m:sty m:val="bi"/>
          </m:rPr>
          <w:rPr>
            <w:rFonts w:ascii="Cambria Math" w:hAnsi="Cambria Math"/>
            <w:lang w:val="en-GB"/>
          </w:rPr>
          <m:t>y</m:t>
        </m:r>
        <m:d>
          <m:dPr>
            <m:ctrlPr>
              <w:rPr>
                <w:rFonts w:ascii="Cambria Math" w:hAnsi="Cambria Math"/>
                <w:i/>
                <w:lang w:val="en-GB"/>
              </w:rPr>
            </m:ctrlPr>
          </m:dPr>
          <m:e>
            <m:r>
              <w:rPr>
                <w:rFonts w:ascii="Cambria Math" w:hAnsi="Cambria Math"/>
                <w:lang w:val="en-GB"/>
              </w:rPr>
              <m:t>t</m:t>
            </m:r>
          </m:e>
        </m:d>
      </m:oMath>
      <w:r>
        <w:rPr>
          <w:lang w:val="en-GB"/>
        </w:rPr>
        <w:t xml:space="preserve"> (Miao et al., 2011). </w:t>
      </w:r>
      <w:r w:rsidRPr="00547EC8">
        <w:rPr>
          <w:lang w:val="en-GB"/>
        </w:rPr>
        <w:t xml:space="preserve">Identifiability can be assessed in different ways and identifiability tests can be classified in two main categories: </w:t>
      </w:r>
      <w:r w:rsidRPr="00547EC8">
        <w:rPr>
          <w:i/>
          <w:iCs/>
          <w:lang w:val="en-GB"/>
        </w:rPr>
        <w:t>a-priori</w:t>
      </w:r>
      <w:r w:rsidRPr="00547EC8">
        <w:rPr>
          <w:lang w:val="en-GB"/>
        </w:rPr>
        <w:t xml:space="preserve"> structural identifiability</w:t>
      </w:r>
      <w:r w:rsidR="00633690">
        <w:rPr>
          <w:lang w:val="en-GB"/>
        </w:rPr>
        <w:t xml:space="preserve"> (not </w:t>
      </w:r>
      <w:r w:rsidR="005736C8">
        <w:rPr>
          <w:lang w:val="en-GB"/>
        </w:rPr>
        <w:t xml:space="preserve">requiring </w:t>
      </w:r>
      <w:r w:rsidR="0044426F">
        <w:rPr>
          <w:lang w:val="en-GB"/>
        </w:rPr>
        <w:t>preliminary</w:t>
      </w:r>
      <w:r w:rsidR="00633690">
        <w:rPr>
          <w:lang w:val="en-GB"/>
        </w:rPr>
        <w:t xml:space="preserve"> experimental data)</w:t>
      </w:r>
      <w:r w:rsidRPr="00547EC8">
        <w:rPr>
          <w:lang w:val="en-GB"/>
        </w:rPr>
        <w:t xml:space="preserve"> and </w:t>
      </w:r>
      <w:r w:rsidRPr="00547EC8">
        <w:rPr>
          <w:i/>
          <w:iCs/>
          <w:lang w:val="en-GB"/>
        </w:rPr>
        <w:t>a-posteriori</w:t>
      </w:r>
      <w:r w:rsidRPr="00547EC8">
        <w:rPr>
          <w:lang w:val="en-GB"/>
        </w:rPr>
        <w:t xml:space="preserve"> practical identifiability tests.</w:t>
      </w:r>
      <w:r w:rsidRPr="006175D4">
        <w:rPr>
          <w:rFonts w:asciiTheme="minorHAnsi" w:eastAsiaTheme="minorHAnsi" w:hAnsiTheme="minorHAnsi" w:cstheme="minorBidi"/>
          <w:sz w:val="22"/>
          <w:szCs w:val="22"/>
          <w:lang w:val="en-GB"/>
        </w:rPr>
        <w:t xml:space="preserve"> </w:t>
      </w:r>
      <w:r w:rsidRPr="006175D4">
        <w:rPr>
          <w:lang w:val="en-GB"/>
        </w:rPr>
        <w:t>An a-priori structural analysis test is conducted in ideal conditions, assuming total observability of the system</w:t>
      </w:r>
      <w:r w:rsidR="001378E3">
        <w:rPr>
          <w:lang w:val="en-GB"/>
        </w:rPr>
        <w:t>, i.e.</w:t>
      </w:r>
      <w:r w:rsidR="00273ADF">
        <w:rPr>
          <w:lang w:val="en-GB"/>
        </w:rPr>
        <w:t xml:space="preserve"> all</w:t>
      </w:r>
      <w:r w:rsidR="0033297D">
        <w:rPr>
          <w:lang w:val="en-GB"/>
        </w:rPr>
        <w:t xml:space="preserve"> the states </w:t>
      </w:r>
      <m:oMath>
        <m:r>
          <m:rPr>
            <m:sty m:val="bi"/>
          </m:rPr>
          <w:rPr>
            <w:rFonts w:ascii="Cambria Math" w:hAnsi="Cambria Math"/>
            <w:lang w:val="en-GB"/>
          </w:rPr>
          <m:t>y</m:t>
        </m:r>
      </m:oMath>
      <w:r w:rsidR="00DF7DF7">
        <w:rPr>
          <w:b/>
          <w:lang w:val="en-GB"/>
        </w:rPr>
        <w:t xml:space="preserve"> </w:t>
      </w:r>
      <w:r w:rsidR="00DF7DF7" w:rsidRPr="004A44D1">
        <w:rPr>
          <w:bCs/>
          <w:lang w:val="en-GB"/>
        </w:rPr>
        <w:t>can be observed at any time</w:t>
      </w:r>
      <w:r>
        <w:rPr>
          <w:lang w:val="en-GB"/>
        </w:rPr>
        <w:t xml:space="preserve">. On the other hand, a-posteriori practical identifiability test considers limitations on the quantity and quality of the data that can be practically retrieved from the system and that will be used for the estimation of the model parameters. </w:t>
      </w:r>
    </w:p>
    <w:p w14:paraId="16BBB64D" w14:textId="77777777" w:rsidR="00F425A9" w:rsidRDefault="00F425A9" w:rsidP="00F425A9">
      <w:pPr>
        <w:pStyle w:val="Els-body-text"/>
        <w:rPr>
          <w:lang w:val="en-GB"/>
        </w:rPr>
      </w:pPr>
    </w:p>
    <w:p w14:paraId="6466779D" w14:textId="77777777" w:rsidR="00996496" w:rsidRPr="006E28EA" w:rsidRDefault="00996496" w:rsidP="00996496">
      <w:pPr>
        <w:pStyle w:val="Els-2ndorder-head"/>
        <w:spacing w:after="120"/>
        <w:rPr>
          <w:lang w:val="en-GB"/>
        </w:rPr>
      </w:pPr>
      <w:r>
        <w:rPr>
          <w:lang w:val="en-GB"/>
        </w:rPr>
        <w:t>A-priori structural identifiability</w:t>
      </w:r>
    </w:p>
    <w:p w14:paraId="4A07A397" w14:textId="611A702A" w:rsidR="00996496" w:rsidRPr="0034230E" w:rsidRDefault="00996496" w:rsidP="00996496">
      <w:pPr>
        <w:pStyle w:val="Els-body-text"/>
        <w:rPr>
          <w:lang w:val="en-GB"/>
        </w:rPr>
      </w:pPr>
      <w:r w:rsidRPr="00A65DC6">
        <w:t xml:space="preserve">Several methods can be applied for testing structural identifiability, among which Taylor’s series, generating series, similarity transformation, direct test, differential algebra approaches. </w:t>
      </w:r>
      <w:r w:rsidRPr="00A65DC6">
        <w:rPr>
          <w:lang w:val="it-IT"/>
        </w:rPr>
        <w:fldChar w:fldCharType="begin"/>
      </w:r>
      <w:r w:rsidRPr="00A65DC6">
        <w:instrText xml:space="preserve"> ADDIN ZOTERO_ITEM CSL_CITATION {"citationID":"mWC0CFSI","properties":{"formattedCitation":"(Miao et al., 2011)","plainCitation":"(Miao et al., 2011)","noteIndex":0},"citationItems":[{"id":39,"uris":["http://zotero.org/users/10298825/items/GS7A7GBD"],"itemData":{"id":39,"type":"article-journal","abstract":"Ordinary differential equations (ODEs) are a powerful tool for modeling dynamic processes with wide applications in a variety of scientific fields. Over the last two decades, ODEs have also emerged as a prevailing tool in various biomedical research fields, especially in infectious disease modeling. In practice, it is important and necessary to determine unknown parameters in ODE models based on experimental data. Identifiability analysis is the first step in determining unknown parameters in ODE models and such analysis techniques for nonlinear ODE models are still under development. In this article, we review identifiability analysis methodologies for nonlinear ODE models developed in the past couple of decades, including structural identifiability analysis, practical identifiability analysis, and sensitivity-based identifiability analysis. Some advanced topics and ongoing research are also briefly reviewed. Finally, some examples from modeling viral dynamics of HIV and influenza viruses are given to illustrate how to apply these identifiability analysis methods in practice.","container-title":"SIAM Review","ISSN":"0036-1445","issue":"1","note":"publisher: Society for Industrial and Applied Mathematics","page":"3-39","source":"JSTOR","title":"On Identifiability of Nonlinear ODE Models and Applications in Viral Dynamics","volume":"53","author":[{"family":"Miao","given":"Hongyu"},{"family":"Xia","given":"Xiaohua"},{"family":"Perelson","given":"Alan S."},{"family":"Wu","given":"Hulin"}],"issued":{"date-parts":[["2011"]]}}}],"schema":"https://github.com/citation-style-language/schema/raw/master/csl-citation.json"} </w:instrText>
      </w:r>
      <w:r w:rsidRPr="00A65DC6">
        <w:rPr>
          <w:lang w:val="it-IT"/>
        </w:rPr>
        <w:fldChar w:fldCharType="separate"/>
      </w:r>
      <w:r w:rsidRPr="00A65DC6">
        <w:t>Miao et al. (2011)</w:t>
      </w:r>
      <w:r w:rsidRPr="00A65DC6">
        <w:fldChar w:fldCharType="end"/>
      </w:r>
      <w:r w:rsidRPr="00A65DC6">
        <w:t xml:space="preserve"> and </w:t>
      </w:r>
      <w:bookmarkStart w:id="2" w:name="_Hlk149226180"/>
      <w:r w:rsidRPr="00A65DC6">
        <w:rPr>
          <w:lang w:val="it-IT"/>
        </w:rPr>
        <w:fldChar w:fldCharType="begin"/>
      </w:r>
      <w:r w:rsidRPr="00A65DC6">
        <w:instrText xml:space="preserve"> ADDIN ZOTERO_ITEM CSL_CITATION {"citationID":"OIxT1Bl0","properties":{"formattedCitation":"(Chis et al., 2011)","plainCitation":"(Chis et al., 2011)","noteIndex":0},"citationItems":[{"id":34,"uris":["http://zotero.org/users/10298825/items/GPQGXVDW"],"itemData":{"id":34,"type":"article-journal","abstract":"Analysing the properties of a biological system through in silico experimentation requires a satisfactory mathematical representation of the system including accurate values of the model parameters. Fortunately, modern experimental techniques allow obtaining time-series data of appropriate quality which may then be used to estimate unknown parameters. However, in many cases, a subset of those parameters may not be uniquely estimated, independently of the experimental data available or the numerical techniques used for estimation. This lack of identifiability is related to the structure of the model, i.e. the system dynamics plus the observation function. Despite the interest in knowing a priori whether there is any chance of uniquely estimating all model unknown parameters, the structural identifiability analysis for general non-linear dynamic models is still an open question. There is no method amenable to every model, thus at some point we have to face the selection of one of the possibilities. This work presents a critical comparison of the currently available techniques. To this end, we perform the structural identifiability analysis of a collection of biological models. The results reveal that the generating series approach, in combination with identifiability tableaus, offers the most advantageous compromise among range of applicability, computational complexity and information provided. © 2011 Chis et al.","archive":"Scopus","container-title":"PLoS ONE","DOI":"10.1371/journal.pone.0027755","ISSN":"1932-6203","issue":"11","language":"English","source":"Scopus","title":"Structural identifiability of systems biology models: A critical comparison of methods","title-short":"Structural identifiability of systems biology models","volume":"6","author":[{"family":"Chis","given":"O.-T."},{"family":"Banga","given":"J.R."},{"family":"Balsa-Canto","given":"E."}],"issued":{"date-parts":[["2011"]]}}}],"schema":"https://github.com/citation-style-language/schema/raw/master/csl-citation.json"} </w:instrText>
      </w:r>
      <w:r w:rsidRPr="00A65DC6">
        <w:rPr>
          <w:lang w:val="it-IT"/>
        </w:rPr>
        <w:fldChar w:fldCharType="separate"/>
      </w:r>
      <w:r w:rsidRPr="00A65DC6">
        <w:t>Chis et al. (2011)</w:t>
      </w:r>
      <w:r w:rsidRPr="00A65DC6">
        <w:fldChar w:fldCharType="end"/>
      </w:r>
      <w:bookmarkEnd w:id="2"/>
      <w:r w:rsidRPr="00A65DC6">
        <w:t xml:space="preserve"> give a</w:t>
      </w:r>
      <w:r>
        <w:t>n extended</w:t>
      </w:r>
      <w:r w:rsidRPr="00A65DC6">
        <w:t xml:space="preserve"> overview of the different methods, discussing also advantages and disadvantages.</w:t>
      </w:r>
      <w:r w:rsidRPr="006E1C05">
        <w:rPr>
          <w:lang w:val="en-GB"/>
        </w:rPr>
        <w:t xml:space="preserve"> </w:t>
      </w:r>
      <w:r w:rsidRPr="00A65DC6">
        <w:rPr>
          <w:lang w:val="it-IT"/>
        </w:rPr>
        <w:fldChar w:fldCharType="begin"/>
      </w:r>
      <w:r w:rsidRPr="00A65DC6">
        <w:rPr>
          <w:lang w:val="en-GB"/>
        </w:rPr>
        <w:instrText xml:space="preserve"> ADDIN ZOTERO_ITEM CSL_CITATION {"citationID":"OIxT1Bl0","properties":{"formattedCitation":"(Chis et al., 2011)","plainCitation":"(Chis et al., 2011)","noteIndex":0},"citationItems":[{"id":34,"uris":["http://zotero.org/users/10298825/items/GPQGXVDW"],"itemData":{"id":34,"type":"article-journal","abstract":"Analysing the properties of a biological system through in silico experimentation requires a satisfactory mathematical representation of the system including accurate values of the model parameters. Fortunately, modern experimental techniques allow obtaining time-series data of appropriate quality which may then be used to estimate unknown parameters. However, in many cases, a subset of those parameters may not be uniquely estimated, independently of the experimental data available or the numerical techniques used for estimation. This lack of identifiability is related to the structure of the model, i.e. the system dynamics plus the observation function. Despite the interest in knowing a priori whether there is any chance of uniquely estimating all model unknown parameters, the structural identifiability analysis for general non-linear dynamic models is still an open question. There is no method amenable to every model, thus at some point we have to face the selection of one of the possibilities. This work presents a critical comparison of the currently available techniques. To this end, we perform the structural identifiability analysis of a collection of biological models. The results reveal that the generating series approach, in combination with identifiability tableaus, offers the most advantageous compromise among range of applicability, computational complexity and information provided. © 2011 Chis et al.","archive":"Scopus","container-title":"PLoS ONE","DOI":"10.1371/journal.pone.0027755","ISSN":"1932-6203","issue":"11","language":"English","source":"Scopus","title":"Structural identifiability of systems biology models: A critical comparison of methods","title-short":"Structural identifiability of systems biology models","volume":"6","author":[{"family":"Chis","given":"O.-T."},{"family":"Banga","given":"J.R."},{"family":"Balsa-Canto","given":"E."}],"issued":{"date-parts":[["2011"]]}}}],"schema":"https://github.com/citation-style-language/schema/raw/master/csl-citation.json"} </w:instrText>
      </w:r>
      <w:r w:rsidRPr="00A65DC6">
        <w:rPr>
          <w:lang w:val="it-IT"/>
        </w:rPr>
        <w:fldChar w:fldCharType="separate"/>
      </w:r>
      <w:r w:rsidRPr="00A65DC6">
        <w:rPr>
          <w:lang w:val="en-GB"/>
        </w:rPr>
        <w:t>Chis et al. (2011)</w:t>
      </w:r>
      <w:r w:rsidRPr="00A65DC6">
        <w:fldChar w:fldCharType="end"/>
      </w:r>
      <w:r>
        <w:t xml:space="preserve"> showed that most of the methods scale badly with the number of states and parameters</w:t>
      </w:r>
      <w:r w:rsidR="007D1CE9">
        <w:t xml:space="preserve">, and </w:t>
      </w:r>
      <w:r w:rsidR="00F550FD">
        <w:t>i</w:t>
      </w:r>
      <w:r>
        <w:t>n this work the differential algebra approach is chosen because it was</w:t>
      </w:r>
      <w:r w:rsidR="00215014">
        <w:t xml:space="preserve"> shown </w:t>
      </w:r>
      <w:r w:rsidR="000A4F9F">
        <w:t xml:space="preserve">to have </w:t>
      </w:r>
      <w:r w:rsidR="00D301E5">
        <w:t xml:space="preserve">less limitations than </w:t>
      </w:r>
      <w:r w:rsidR="00D00D36">
        <w:t>the other methods.</w:t>
      </w:r>
      <w:r w:rsidR="006C2497">
        <w:t xml:space="preserve"> </w:t>
      </w:r>
      <w:r>
        <w:t xml:space="preserve">To test a priori structural identifiability with the differential algebra method the software DAISY </w:t>
      </w:r>
      <w:bookmarkStart w:id="3" w:name="_Hlk150257980"/>
      <w:r w:rsidRPr="00730474">
        <w:rPr>
          <w:lang w:val="it-IT"/>
        </w:rPr>
        <w:fldChar w:fldCharType="begin"/>
      </w:r>
      <w:r w:rsidRPr="00730474">
        <w:rPr>
          <w:lang w:val="en-GB"/>
        </w:rPr>
        <w:instrText xml:space="preserve"> ADDIN ZOTERO_ITEM CSL_CITATION {"citationID":"N3WoUhbD","properties":{"formattedCitation":"(Bellu et al., 2007)","plainCitation":"(Bellu et al., 2007)","noteIndex":0},"citationItems":[{"id":32,"uris":["http://zotero.org/users/10298825/items/HQKA7SDN"],"itemData":{"id":32,"type":"article-journal","abstract":"A priori global identifiability is a structural property of biological and physiological models. It is considered a prerequisite for well-posed estimation, since it concerns the possibility of recovering uniquely the unknown model parameters from measured input–output data, under ideal conditions (noise-free observations and error-free model structure). Of course, determining if the parameters can be uniquely recovered from observed data is essential before investing resources, time and effort in performing actual biomedical experiments. Many interesting biological models are nonlinear but identifiability analysis for nonlinear system turns out to be a difficult mathematical problem. Different methods have been proposed in the literature to test identifiability of nonlinear models but, to the best of our knowledge, so far no software tools have been proposed for automatically checking identifiability of nonlinear models. In this paper, we describe a software tool impl</w:instrText>
      </w:r>
      <w:r w:rsidRPr="0034230E">
        <w:rPr>
          <w:lang w:val="en-GB"/>
        </w:rPr>
        <w:instrText>ementing a differential algebra algorithm to perform parameter identifiability analysis for (linear and) nonlinear dynamic models described by polynomial or rational equations. Our goal is to provide the biological investigator a completely automatized software, requiring minimum prior knowledge of mathematical modelling and no in-depth understanding of the mathematical tools. The DAISY (Differential Algebra for Identifiability of SYstems) software will potentially be useful in biological modelling studies, especially in physiology and clinical medicine, where research experiments are particularly expensive and/or difficult to perform. Practical examples of use of the software tool DAISY are presented. DAISY is available at the web site http://www.dei.unipd.it/</w:instrText>
      </w:r>
      <w:r w:rsidRPr="0034230E">
        <w:rPr>
          <w:rFonts w:ascii="Cambria Math" w:hAnsi="Cambria Math" w:cs="Cambria Math"/>
          <w:lang w:val="en-GB"/>
        </w:rPr>
        <w:instrText>∼</w:instrText>
      </w:r>
      <w:r w:rsidRPr="0034230E">
        <w:rPr>
          <w:lang w:val="en-GB"/>
        </w:rPr>
        <w:instrText xml:space="preserve">pia/.","container-title":"Computer Methods and Programs in Biomedicine","DOI":"10.1016/j.cmpb.2007.07.002","ISSN":"0169-2607","issue":"1","journalAbbreviation":"Computer Methods and Programs in Biomedicine","language":"en","page":"52-61","source":"ScienceDirect","title":"DAISY: A new software tool to test global identifiability of biological and physiological systems","title-short":"DAISY","volume":"88","author":[{"family":"Bellu","given":"Giuseppina"},{"family":"Saccomani","given":"Maria Pia"},{"family":"Audoly","given":"Stefania"},{"family":"D’Angiò","given":"Leontina"}],"issued":{"date-parts":[["2007",10,1]]}}}],"schema":"https://github.com/citation-style-language/schema/raw/master/csl-citation.json"} </w:instrText>
      </w:r>
      <w:r w:rsidRPr="00730474">
        <w:rPr>
          <w:lang w:val="it-IT"/>
        </w:rPr>
        <w:fldChar w:fldCharType="separate"/>
      </w:r>
      <w:r w:rsidRPr="0034230E">
        <w:rPr>
          <w:lang w:val="en-GB"/>
        </w:rPr>
        <w:t>(Bellu et al., 2007)</w:t>
      </w:r>
      <w:r w:rsidRPr="00730474">
        <w:fldChar w:fldCharType="end"/>
      </w:r>
      <w:bookmarkEnd w:id="3"/>
      <w:r>
        <w:t xml:space="preserve"> is used</w:t>
      </w:r>
      <w:r w:rsidR="004020CF">
        <w:t>.</w:t>
      </w:r>
    </w:p>
    <w:p w14:paraId="221BC4BA" w14:textId="77777777" w:rsidR="00996496" w:rsidRPr="0034230E" w:rsidRDefault="00996496" w:rsidP="00996496">
      <w:pPr>
        <w:pStyle w:val="Els-body-text"/>
        <w:rPr>
          <w:lang w:val="en-GB"/>
        </w:rPr>
      </w:pPr>
    </w:p>
    <w:p w14:paraId="1E56EA7D" w14:textId="77777777" w:rsidR="00996496" w:rsidRPr="006E28EA" w:rsidRDefault="00996496" w:rsidP="00996496">
      <w:pPr>
        <w:pStyle w:val="Els-2ndorder-head"/>
        <w:spacing w:after="120"/>
        <w:rPr>
          <w:lang w:val="en-GB"/>
        </w:rPr>
      </w:pPr>
      <w:r>
        <w:rPr>
          <w:lang w:val="en-GB"/>
        </w:rPr>
        <w:lastRenderedPageBreak/>
        <w:t>A-posteriori practical identifiability</w:t>
      </w:r>
    </w:p>
    <w:p w14:paraId="63AE1A5F" w14:textId="44B6FDC5" w:rsidR="002044B0" w:rsidRDefault="00285F84" w:rsidP="009B5748">
      <w:pPr>
        <w:jc w:val="both"/>
        <w:rPr>
          <w:b/>
        </w:rPr>
      </w:pPr>
      <w:r>
        <w:t>P</w:t>
      </w:r>
      <w:r w:rsidR="00996496">
        <w:t>ractical identifiability has been tested with the correlation matrix method</w:t>
      </w:r>
      <w:r w:rsidR="00F42D6F">
        <w:t xml:space="preserve">. </w:t>
      </w:r>
      <w:r w:rsidR="00BD5861">
        <w:t xml:space="preserve">The correlation matrix approach looks at the correlation between pairs of parameters in the model by means of the correlation coefficient </w:t>
      </w:r>
      <m:oMath>
        <m:sSub>
          <m:sSubPr>
            <m:ctrlPr>
              <w:rPr>
                <w:rFonts w:ascii="Cambria Math" w:hAnsi="Cambria Math"/>
                <w:i/>
              </w:rPr>
            </m:ctrlPr>
          </m:sSubPr>
          <m:e>
            <m:r>
              <w:rPr>
                <w:rFonts w:ascii="Cambria Math" w:hAnsi="Cambria Math"/>
              </w:rPr>
              <m:t>R</m:t>
            </m:r>
          </m:e>
          <m:sub>
            <m:r>
              <w:rPr>
                <w:rFonts w:ascii="Cambria Math" w:hAnsi="Cambria Math"/>
              </w:rPr>
              <m:t>i</m:t>
            </m:r>
            <m:r>
              <w:rPr>
                <w:rFonts w:ascii="Cambria Math" w:eastAsiaTheme="minorEastAsia" w:hAnsi="Cambria Math"/>
              </w:rPr>
              <m:t>j</m:t>
            </m:r>
          </m:sub>
        </m:sSub>
      </m:oMath>
      <w:r w:rsidR="00BD5861" w:rsidRPr="00593070">
        <w:t xml:space="preserve"> between</w:t>
      </w:r>
      <w:r w:rsidR="00BD5861">
        <w:t xml:space="preserve"> parameters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00BD5861">
        <w:rPr>
          <w:rFonts w:eastAsiaTheme="minorEastAsia"/>
          <w:bCs/>
        </w:rPr>
        <w:t xml:space="preserve"> and </w:t>
      </w:r>
      <m:oMath>
        <m:sSub>
          <m:sSubPr>
            <m:ctrlPr>
              <w:rPr>
                <w:rFonts w:ascii="Cambria Math" w:hAnsi="Cambria Math"/>
                <w:i/>
              </w:rPr>
            </m:ctrlPr>
          </m:sSubPr>
          <m:e>
            <m:r>
              <w:rPr>
                <w:rFonts w:ascii="Cambria Math" w:hAnsi="Cambria Math"/>
              </w:rPr>
              <m:t>θ</m:t>
            </m:r>
          </m:e>
          <m:sub>
            <m:r>
              <w:rPr>
                <w:rFonts w:ascii="Cambria Math" w:hAnsi="Cambria Math"/>
              </w:rPr>
              <m:t>j</m:t>
            </m:r>
          </m:sub>
        </m:sSub>
      </m:oMath>
      <w:r w:rsidR="00BD5861">
        <w:rPr>
          <w:rFonts w:eastAsiaTheme="minorEastAsia"/>
        </w:rPr>
        <w:t xml:space="preserve">. </w:t>
      </w:r>
      <w:r w:rsidR="00F42D6F">
        <w:t xml:space="preserve">To </w:t>
      </w:r>
      <w:r w:rsidR="0040593C">
        <w:t>build</w:t>
      </w:r>
      <w:r w:rsidR="00F42D6F">
        <w:t xml:space="preserve"> the correlation matrix</w:t>
      </w:r>
      <w:r w:rsidR="001C0F6A">
        <w:t xml:space="preserve"> </w:t>
      </w:r>
      <m:oMath>
        <m:r>
          <m:rPr>
            <m:sty m:val="b"/>
          </m:rPr>
          <w:rPr>
            <w:rFonts w:ascii="Cambria Math" w:hAnsi="Cambria Math"/>
          </w:rPr>
          <m:t xml:space="preserve">R </m:t>
        </m:r>
        <m:d>
          <m:dPr>
            <m:begChr m:val="["/>
            <m:endChr m:val="]"/>
            <m:ctrlPr>
              <w:rPr>
                <w:rFonts w:ascii="Cambria Math" w:hAnsi="Cambria Math"/>
                <w:iCs/>
              </w:rPr>
            </m:ctrlPr>
          </m:dPr>
          <m:e>
            <m:sSub>
              <m:sSubPr>
                <m:ctrlPr>
                  <w:rPr>
                    <w:rFonts w:ascii="Cambria Math" w:hAnsi="Cambria Math"/>
                    <w:i/>
                    <w:iCs/>
                  </w:rPr>
                </m:ctrlPr>
              </m:sSubPr>
              <m:e>
                <m:r>
                  <w:rPr>
                    <w:rFonts w:ascii="Cambria Math" w:hAnsi="Cambria Math"/>
                  </w:rPr>
                  <m:t>N</m:t>
                </m:r>
              </m:e>
              <m:sub>
                <m:r>
                  <w:rPr>
                    <w:rFonts w:ascii="Cambria Math" w:hAnsi="Cambria Math"/>
                  </w:rPr>
                  <m:t>θ</m:t>
                </m:r>
              </m:sub>
            </m:sSub>
            <m:r>
              <m:rPr>
                <m:sty m:val="p"/>
              </m:rPr>
              <w:rPr>
                <w:rFonts w:ascii="Cambria Math" w:hAnsi="Cambria Math"/>
              </w:rPr>
              <m:t xml:space="preserve"> X </m:t>
            </m:r>
            <m:sSub>
              <m:sSubPr>
                <m:ctrlPr>
                  <w:rPr>
                    <w:rFonts w:ascii="Cambria Math" w:hAnsi="Cambria Math"/>
                    <w:i/>
                    <w:iCs/>
                  </w:rPr>
                </m:ctrlPr>
              </m:sSubPr>
              <m:e>
                <m:r>
                  <w:rPr>
                    <w:rFonts w:ascii="Cambria Math" w:hAnsi="Cambria Math"/>
                  </w:rPr>
                  <m:t>N</m:t>
                </m:r>
              </m:e>
              <m:sub>
                <m:r>
                  <w:rPr>
                    <w:rFonts w:ascii="Cambria Math" w:hAnsi="Cambria Math"/>
                  </w:rPr>
                  <m:t>θ</m:t>
                </m:r>
              </m:sub>
            </m:sSub>
          </m:e>
        </m:d>
      </m:oMath>
      <w:r w:rsidR="003637BF">
        <w:t xml:space="preserve">, the </w:t>
      </w:r>
      <m:oMath>
        <m:r>
          <w:rPr>
            <w:rFonts w:ascii="Cambria Math" w:eastAsiaTheme="minorEastAsia" w:hAnsi="Cambria Math"/>
          </w:rPr>
          <m:t>ij</m:t>
        </m:r>
      </m:oMath>
      <w:r w:rsidR="003637BF">
        <w:t xml:space="preserve">-th entry </w:t>
      </w:r>
      <m:oMath>
        <m:sSub>
          <m:sSubPr>
            <m:ctrlPr>
              <w:rPr>
                <w:rFonts w:ascii="Cambria Math" w:hAnsi="Cambria Math"/>
                <w:i/>
              </w:rPr>
            </m:ctrlPr>
          </m:sSubPr>
          <m:e>
            <m:r>
              <w:rPr>
                <w:rFonts w:ascii="Cambria Math" w:hAnsi="Cambria Math"/>
              </w:rPr>
              <m:t>R</m:t>
            </m:r>
          </m:e>
          <m:sub>
            <m:r>
              <w:rPr>
                <w:rFonts w:ascii="Cambria Math" w:hAnsi="Cambria Math"/>
              </w:rPr>
              <m:t>i</m:t>
            </m:r>
            <m:r>
              <w:rPr>
                <w:rFonts w:ascii="Cambria Math" w:eastAsiaTheme="minorEastAsia" w:hAnsi="Cambria Math"/>
              </w:rPr>
              <m:t>j</m:t>
            </m:r>
          </m:sub>
        </m:sSub>
        <m:r>
          <w:rPr>
            <w:rFonts w:ascii="Cambria Math" w:hAnsi="Cambria Math"/>
          </w:rPr>
          <m:t xml:space="preserve"> </m:t>
        </m:r>
      </m:oMath>
      <w:r w:rsidR="003637BF">
        <w:t>is</w:t>
      </w:r>
      <w:r w:rsidR="00C76BF7">
        <w:t xml:space="preserve"> obtained from the variance</w:t>
      </w:r>
      <w:r w:rsidR="00C63AAB">
        <w:t>-</w:t>
      </w:r>
      <w:r w:rsidR="00C76BF7">
        <w:t>covariance matrix</w:t>
      </w:r>
      <w:r w:rsidR="00C63AAB">
        <w:t xml:space="preserve"> of the model parameters </w:t>
      </w:r>
      <m:oMath>
        <m:sSub>
          <m:sSubPr>
            <m:ctrlPr>
              <w:rPr>
                <w:rFonts w:ascii="Cambria Math" w:eastAsiaTheme="minorEastAsia" w:hAnsi="Cambria Math"/>
                <w:b/>
              </w:rPr>
            </m:ctrlPr>
          </m:sSubPr>
          <m:e>
            <m:r>
              <m:rPr>
                <m:sty m:val="b"/>
              </m:rPr>
              <w:rPr>
                <w:rFonts w:ascii="Cambria Math" w:eastAsiaTheme="minorEastAsia" w:hAnsi="Cambria Math"/>
              </w:rPr>
              <m:t>V</m:t>
            </m:r>
          </m:e>
          <m:sub>
            <m:r>
              <m:rPr>
                <m:sty m:val="b"/>
              </m:rPr>
              <w:rPr>
                <w:rFonts w:ascii="Cambria Math" w:eastAsiaTheme="minorEastAsia" w:hAnsi="Cambria Math"/>
              </w:rPr>
              <m:t>θ</m:t>
            </m:r>
          </m:sub>
        </m:sSub>
        <m:r>
          <m:rPr>
            <m:sty m:val="bi"/>
          </m:rPr>
          <w:rPr>
            <w:rFonts w:ascii="Cambria Math" w:eastAsiaTheme="minorEastAsia" w:hAnsi="Cambria Math"/>
          </w:rPr>
          <m:t>=</m:t>
        </m:r>
        <m:d>
          <m:dPr>
            <m:begChr m:val="{"/>
            <m:endChr m:val="}"/>
            <m:ctrlPr>
              <w:rPr>
                <w:rFonts w:ascii="Cambria Math" w:eastAsiaTheme="minorEastAsia" w:hAnsi="Cambria Math"/>
                <w:b/>
                <w:i/>
              </w:rPr>
            </m:ctrlPr>
          </m:dPr>
          <m:e>
            <m:sSub>
              <m:sSubPr>
                <m:ctrlPr>
                  <w:rPr>
                    <w:rFonts w:ascii="Cambria Math" w:eastAsiaTheme="minorEastAsia" w:hAnsi="Cambria Math"/>
                    <w:bCs/>
                    <w:iCs/>
                  </w:rPr>
                </m:ctrlPr>
              </m:sSubPr>
              <m:e>
                <m:r>
                  <m:rPr>
                    <m:sty m:val="p"/>
                  </m:rPr>
                  <w:rPr>
                    <w:rFonts w:ascii="Cambria Math" w:eastAsiaTheme="minorEastAsia" w:hAnsi="Cambria Math"/>
                  </w:rPr>
                  <m:t>V</m:t>
                </m:r>
              </m:e>
              <m:sub>
                <m:r>
                  <m:rPr>
                    <m:sty m:val="p"/>
                  </m:rPr>
                  <w:rPr>
                    <w:rFonts w:ascii="Cambria Math" w:eastAsiaTheme="minorEastAsia" w:hAnsi="Cambria Math"/>
                  </w:rPr>
                  <m:t>θ,ij</m:t>
                </m:r>
              </m:sub>
            </m:sSub>
          </m:e>
        </m:d>
      </m:oMath>
      <w:r w:rsidR="00DF512D">
        <w:rPr>
          <w:b/>
        </w:rPr>
        <w:t xml:space="preserve"> </w:t>
      </w:r>
      <w:r w:rsidR="00DF512D" w:rsidRPr="004C6802">
        <w:rPr>
          <w:bCs/>
        </w:rPr>
        <w:t xml:space="preserve">as in </w:t>
      </w:r>
      <w:r w:rsidR="001022AA">
        <w:rPr>
          <w:bCs/>
        </w:rPr>
        <w:t>Eq.</w:t>
      </w:r>
      <w:r w:rsidR="00DF512D" w:rsidRPr="004C6802">
        <w:rPr>
          <w:bCs/>
        </w:rPr>
        <w:t xml:space="preserve"> (2)</w:t>
      </w:r>
      <w:r w:rsidR="00316E07">
        <w:rPr>
          <w:bCs/>
        </w:rPr>
        <w:t>.</w:t>
      </w:r>
    </w:p>
    <w:tbl>
      <w:tblPr>
        <w:tblW w:w="7087" w:type="dxa"/>
        <w:tblLook w:val="04A0" w:firstRow="1" w:lastRow="0" w:firstColumn="1" w:lastColumn="0" w:noHBand="0" w:noVBand="1"/>
      </w:tblPr>
      <w:tblGrid>
        <w:gridCol w:w="6111"/>
        <w:gridCol w:w="976"/>
      </w:tblGrid>
      <w:tr w:rsidR="00DF512D" w:rsidRPr="00692936" w14:paraId="318A1343" w14:textId="77777777" w:rsidTr="00725A85">
        <w:tc>
          <w:tcPr>
            <w:tcW w:w="6111" w:type="dxa"/>
            <w:shd w:val="clear" w:color="auto" w:fill="auto"/>
            <w:vAlign w:val="center"/>
          </w:tcPr>
          <w:p w14:paraId="4BE8637E" w14:textId="71FB34B0" w:rsidR="00DF512D" w:rsidRPr="00082A44" w:rsidRDefault="003E2E63" w:rsidP="00725A85">
            <w:pPr>
              <w:pStyle w:val="Els-body-text"/>
              <w:spacing w:before="120" w:after="120" w:line="264" w:lineRule="auto"/>
              <w:rPr>
                <w:lang w:val="en-GB"/>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i</m:t>
                    </m:r>
                    <m:r>
                      <w:rPr>
                        <w:rFonts w:ascii="Cambria Math" w:eastAsiaTheme="minorEastAsia" w:hAnsi="Cambria Math"/>
                      </w:rPr>
                      <m:t>j</m:t>
                    </m:r>
                  </m:sub>
                </m:sSub>
                <m:r>
                  <w:rPr>
                    <w:rFonts w:ascii="Cambria Math" w:eastAsiaTheme="minorEastAsia" w:hAnsi="Cambria Math"/>
                    <w:lang w:val="en-GB"/>
                  </w:rPr>
                  <m:t>=</m:t>
                </m:r>
                <m:f>
                  <m:fPr>
                    <m:ctrlPr>
                      <w:rPr>
                        <w:rFonts w:ascii="Cambria Math" w:eastAsiaTheme="minorEastAsia" w:hAnsi="Cambria Math"/>
                        <w:b/>
                        <w:lang w:val="en-GB"/>
                      </w:rPr>
                    </m:ctrlPr>
                  </m:fPr>
                  <m:num>
                    <m:sSub>
                      <m:sSubPr>
                        <m:ctrlPr>
                          <w:rPr>
                            <w:rFonts w:ascii="Cambria Math" w:eastAsiaTheme="minorEastAsia" w:hAnsi="Cambria Math"/>
                            <w:bCs/>
                            <w:i/>
                            <w:lang w:val="en-GB"/>
                          </w:rPr>
                        </m:ctrlPr>
                      </m:sSubPr>
                      <m:e>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θ</m:t>
                            </m:r>
                          </m:sub>
                        </m:sSub>
                      </m:e>
                      <m:sub>
                        <m:r>
                          <w:rPr>
                            <w:rFonts w:ascii="Cambria Math" w:eastAsiaTheme="minorEastAsia" w:hAnsi="Cambria Math"/>
                            <w:lang w:val="en-GB"/>
                          </w:rPr>
                          <m:t>ij</m:t>
                        </m:r>
                      </m:sub>
                    </m:sSub>
                    <m:ctrlPr>
                      <w:rPr>
                        <w:rFonts w:ascii="Cambria Math" w:eastAsiaTheme="minorEastAsia" w:hAnsi="Cambria Math"/>
                        <w:b/>
                        <w:i/>
                        <w:lang w:val="en-GB"/>
                      </w:rPr>
                    </m:ctrlPr>
                  </m:num>
                  <m:den>
                    <m:rad>
                      <m:radPr>
                        <m:degHide m:val="1"/>
                        <m:ctrlPr>
                          <w:rPr>
                            <w:rFonts w:ascii="Cambria Math" w:eastAsiaTheme="minorEastAsia" w:hAnsi="Cambria Math"/>
                            <w:b/>
                            <w:i/>
                            <w:lang w:val="en-GB"/>
                          </w:rPr>
                        </m:ctrlPr>
                      </m:radPr>
                      <m:deg/>
                      <m:e>
                        <m:sSub>
                          <m:sSubPr>
                            <m:ctrlPr>
                              <w:rPr>
                                <w:rFonts w:ascii="Cambria Math" w:eastAsiaTheme="minorEastAsia" w:hAnsi="Cambria Math"/>
                                <w:bCs/>
                                <w:i/>
                                <w:lang w:val="en-GB"/>
                              </w:rPr>
                            </m:ctrlPr>
                          </m:sSubPr>
                          <m:e>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θ</m:t>
                                </m:r>
                              </m:sub>
                            </m:sSub>
                          </m:e>
                          <m:sub>
                            <m:r>
                              <w:rPr>
                                <w:rFonts w:ascii="Cambria Math" w:eastAsiaTheme="minorEastAsia" w:hAnsi="Cambria Math"/>
                                <w:lang w:val="en-GB"/>
                              </w:rPr>
                              <m:t>ii</m:t>
                            </m:r>
                          </m:sub>
                        </m:sSub>
                        <m:sSub>
                          <m:sSubPr>
                            <m:ctrlPr>
                              <w:rPr>
                                <w:rFonts w:ascii="Cambria Math" w:eastAsiaTheme="minorEastAsia" w:hAnsi="Cambria Math"/>
                                <w:bCs/>
                                <w:i/>
                                <w:lang w:val="en-GB"/>
                              </w:rPr>
                            </m:ctrlPr>
                          </m:sSubPr>
                          <m:e>
                            <m:sSub>
                              <m:sSubPr>
                                <m:ctrlPr>
                                  <w:rPr>
                                    <w:rFonts w:ascii="Cambria Math" w:eastAsiaTheme="minorEastAsia" w:hAnsi="Cambria Math"/>
                                    <w:i/>
                                    <w:lang w:val="en-GB"/>
                                  </w:rPr>
                                </m:ctrlPr>
                              </m:sSubPr>
                              <m:e>
                                <m:r>
                                  <w:rPr>
                                    <w:rFonts w:ascii="Cambria Math" w:eastAsiaTheme="minorEastAsia" w:hAnsi="Cambria Math"/>
                                    <w:lang w:val="en-GB"/>
                                  </w:rPr>
                                  <m:t>V</m:t>
                                </m:r>
                              </m:e>
                              <m:sub>
                                <m:r>
                                  <w:rPr>
                                    <w:rFonts w:ascii="Cambria Math" w:eastAsiaTheme="minorEastAsia" w:hAnsi="Cambria Math"/>
                                    <w:lang w:val="en-GB"/>
                                  </w:rPr>
                                  <m:t>θ</m:t>
                                </m:r>
                              </m:sub>
                            </m:sSub>
                          </m:e>
                          <m:sub>
                            <m:r>
                              <w:rPr>
                                <w:rFonts w:ascii="Cambria Math" w:eastAsiaTheme="minorEastAsia" w:hAnsi="Cambria Math"/>
                                <w:lang w:val="en-GB"/>
                              </w:rPr>
                              <m:t>jj</m:t>
                            </m:r>
                          </m:sub>
                        </m:sSub>
                      </m:e>
                    </m:rad>
                  </m:den>
                </m:f>
                <m:r>
                  <m:rPr>
                    <m:sty m:val="b"/>
                  </m:rPr>
                  <w:rPr>
                    <w:rFonts w:ascii="Cambria Math" w:eastAsiaTheme="minorEastAsia" w:hAnsi="Cambria Math"/>
                    <w:lang w:val="en-GB"/>
                  </w:rPr>
                  <m:t xml:space="preserve">,      </m:t>
                </m:r>
                <m:r>
                  <w:rPr>
                    <w:rFonts w:ascii="Cambria Math" w:eastAsiaTheme="minorEastAsia" w:hAnsi="Cambria Math"/>
                    <w:lang w:val="en-GB"/>
                  </w:rPr>
                  <m:t>i</m:t>
                </m:r>
                <m:r>
                  <w:rPr>
                    <w:rFonts w:ascii="Cambria Math" w:eastAsiaTheme="minorEastAsia" w:hAnsi="Cambria Math"/>
                    <w:lang w:val="en-GB"/>
                  </w:rPr>
                  <m:t>,</m:t>
                </m:r>
                <m:r>
                  <w:rPr>
                    <w:rFonts w:ascii="Cambria Math" w:eastAsiaTheme="minorEastAsia" w:hAnsi="Cambria Math"/>
                    <w:lang w:val="en-GB"/>
                  </w:rPr>
                  <m:t>j</m:t>
                </m:r>
                <m:r>
                  <w:rPr>
                    <w:rFonts w:ascii="Cambria Math" w:eastAsiaTheme="minorEastAsia" w:hAnsi="Cambria Math"/>
                    <w:lang w:val="en-GB"/>
                  </w:rPr>
                  <m:t>=1,…</m:t>
                </m:r>
                <m:sSub>
                  <m:sSubPr>
                    <m:ctrlPr>
                      <w:rPr>
                        <w:rFonts w:ascii="Cambria Math" w:eastAsiaTheme="minorEastAsia" w:hAnsi="Cambria Math"/>
                        <w:bCs/>
                        <w:i/>
                        <w:iCs/>
                        <w:lang w:val="en-GB"/>
                      </w:rPr>
                    </m:ctrlPr>
                  </m:sSubPr>
                  <m:e>
                    <m:r>
                      <w:rPr>
                        <w:rFonts w:ascii="Cambria Math" w:eastAsiaTheme="minorEastAsia" w:hAnsi="Cambria Math"/>
                        <w:lang w:val="en-GB"/>
                      </w:rPr>
                      <m:t>N</m:t>
                    </m:r>
                  </m:e>
                  <m:sub>
                    <m:r>
                      <w:rPr>
                        <w:rFonts w:ascii="Cambria Math" w:eastAsiaTheme="minorEastAsia" w:hAnsi="Cambria Math"/>
                        <w:lang w:val="en-GB"/>
                      </w:rPr>
                      <m:t>θ</m:t>
                    </m:r>
                  </m:sub>
                </m:sSub>
              </m:oMath>
            </m:oMathPara>
          </w:p>
        </w:tc>
        <w:tc>
          <w:tcPr>
            <w:tcW w:w="976" w:type="dxa"/>
            <w:shd w:val="clear" w:color="auto" w:fill="auto"/>
            <w:vAlign w:val="center"/>
          </w:tcPr>
          <w:p w14:paraId="2D3DA906" w14:textId="6E18C5A9" w:rsidR="00DF512D" w:rsidRPr="00C3421F" w:rsidRDefault="00DF512D" w:rsidP="00725A85">
            <w:pPr>
              <w:pStyle w:val="Els-body-text"/>
              <w:spacing w:before="120" w:after="120" w:line="264" w:lineRule="auto"/>
              <w:jc w:val="right"/>
              <w:rPr>
                <w:lang w:val="en-GB"/>
              </w:rPr>
            </w:pPr>
            <w:r w:rsidRPr="00C3421F">
              <w:rPr>
                <w:lang w:val="en-GB"/>
              </w:rPr>
              <w:t>(</w:t>
            </w:r>
            <w:r>
              <w:rPr>
                <w:lang w:val="en-GB"/>
              </w:rPr>
              <w:t>2</w:t>
            </w:r>
            <w:r w:rsidRPr="00C3421F">
              <w:rPr>
                <w:lang w:val="en-GB"/>
              </w:rPr>
              <w:t>)</w:t>
            </w:r>
          </w:p>
        </w:tc>
      </w:tr>
    </w:tbl>
    <w:p w14:paraId="60B4E1D2" w14:textId="3B324901" w:rsidR="00094871" w:rsidRPr="006712B2" w:rsidRDefault="006A2686" w:rsidP="004E6583">
      <w:pPr>
        <w:jc w:val="both"/>
      </w:pPr>
      <w:r>
        <w:t xml:space="preserve">This identifiability </w:t>
      </w:r>
      <w:r w:rsidR="00DA19D9">
        <w:t>technique</w:t>
      </w:r>
      <w:r>
        <w:t xml:space="preserve"> is</w:t>
      </w:r>
      <w:r w:rsidR="00DA19D9">
        <w:t xml:space="preserve"> applied a-posteriori since it </w:t>
      </w:r>
      <w:r w:rsidR="00B31C7B">
        <w:t>requires</w:t>
      </w:r>
      <w:r w:rsidR="00DA19D9">
        <w:t xml:space="preserve"> e</w:t>
      </w:r>
      <w:r w:rsidR="00B31C7B">
        <w:t>xperimental data.</w:t>
      </w:r>
      <w:r w:rsidR="00DA19D9">
        <w:t xml:space="preserve"> </w:t>
      </w:r>
      <w:r w:rsidR="00B31C7B">
        <w:t>In fact, t</w:t>
      </w:r>
      <w:r w:rsidR="00691FFB">
        <w:t>he</w:t>
      </w:r>
      <w:r w:rsidR="006D7112">
        <w:t xml:space="preserve"> matrix </w:t>
      </w:r>
      <m:oMath>
        <m:sSub>
          <m:sSubPr>
            <m:ctrlPr>
              <w:rPr>
                <w:rFonts w:ascii="Cambria Math" w:eastAsiaTheme="minorEastAsia" w:hAnsi="Cambria Math"/>
                <w:b/>
              </w:rPr>
            </m:ctrlPr>
          </m:sSubPr>
          <m:e>
            <m:r>
              <m:rPr>
                <m:sty m:val="b"/>
              </m:rPr>
              <w:rPr>
                <w:rFonts w:ascii="Cambria Math" w:eastAsiaTheme="minorEastAsia" w:hAnsi="Cambria Math"/>
              </w:rPr>
              <m:t>V</m:t>
            </m:r>
          </m:e>
          <m:sub>
            <m:r>
              <m:rPr>
                <m:sty m:val="b"/>
              </m:rPr>
              <w:rPr>
                <w:rFonts w:ascii="Cambria Math" w:eastAsiaTheme="minorEastAsia" w:hAnsi="Cambria Math"/>
              </w:rPr>
              <m:t>θ</m:t>
            </m:r>
          </m:sub>
        </m:sSub>
      </m:oMath>
      <w:r w:rsidR="006D7112">
        <w:rPr>
          <w:b/>
        </w:rPr>
        <w:t xml:space="preserve"> </w:t>
      </w:r>
      <w:r w:rsidR="006D7112" w:rsidRPr="001C33FD">
        <w:rPr>
          <w:bCs/>
        </w:rPr>
        <w:t xml:space="preserve">is </w:t>
      </w:r>
      <w:r w:rsidR="001C33FD" w:rsidRPr="001C33FD">
        <w:rPr>
          <w:bCs/>
        </w:rPr>
        <w:t>o</w:t>
      </w:r>
      <w:r w:rsidR="001C33FD">
        <w:rPr>
          <w:bCs/>
        </w:rPr>
        <w:t xml:space="preserve">btained </w:t>
      </w:r>
      <w:r w:rsidR="00A076DD">
        <w:rPr>
          <w:bCs/>
        </w:rPr>
        <w:t xml:space="preserve">starting from the </w:t>
      </w:r>
      <w:r w:rsidR="00795C91">
        <w:rPr>
          <w:bCs/>
        </w:rPr>
        <w:t>dynamic sensitivity matrix</w:t>
      </w:r>
      <w:r w:rsidR="00BF0E22">
        <w:rPr>
          <w:bCs/>
        </w:rPr>
        <w:t xml:space="preserve"> </w:t>
      </w:r>
      <m:oMath>
        <m:r>
          <m:rPr>
            <m:sty m:val="b"/>
          </m:rPr>
          <w:rPr>
            <w:rFonts w:ascii="Cambria Math" w:eastAsiaTheme="minorEastAsia" w:hAnsi="Cambria Math"/>
          </w:rPr>
          <m:t>S</m:t>
        </m:r>
      </m:oMath>
      <w:r w:rsidR="00FC191A">
        <w:rPr>
          <w:bCs/>
        </w:rPr>
        <w:t xml:space="preserve">, which </w:t>
      </w:r>
      <w:r w:rsidR="000E0C70">
        <w:rPr>
          <w:bCs/>
        </w:rPr>
        <w:t>brings</w:t>
      </w:r>
      <w:r w:rsidR="00FC191A">
        <w:rPr>
          <w:bCs/>
        </w:rPr>
        <w:t xml:space="preserve"> the information about the </w:t>
      </w:r>
      <w:r w:rsidR="009F1D1C">
        <w:rPr>
          <w:bCs/>
        </w:rPr>
        <w:t xml:space="preserve">model structure and the distribution of the sampling points, </w:t>
      </w:r>
      <w:r w:rsidR="00795C91">
        <w:rPr>
          <w:bCs/>
        </w:rPr>
        <w:t xml:space="preserve">and the </w:t>
      </w:r>
      <w:r w:rsidR="0057082F">
        <w:t xml:space="preserve">variance-covariance matrix of the measurements </w:t>
      </w:r>
      <m:oMath>
        <m:sSub>
          <m:sSubPr>
            <m:ctrlPr>
              <w:rPr>
                <w:rFonts w:ascii="Cambria Math" w:eastAsiaTheme="minorEastAsia" w:hAnsi="Cambria Math"/>
                <w:b/>
              </w:rPr>
            </m:ctrlPr>
          </m:sSubPr>
          <m:e>
            <m:r>
              <m:rPr>
                <m:sty m:val="b"/>
              </m:rPr>
              <w:rPr>
                <w:rFonts w:ascii="Cambria Math" w:eastAsiaTheme="minorEastAsia" w:hAnsi="Cambria Math"/>
              </w:rPr>
              <m:t>Σ</m:t>
            </m:r>
          </m:e>
          <m:sub>
            <m:r>
              <m:rPr>
                <m:sty m:val="b"/>
              </m:rPr>
              <w:rPr>
                <w:rFonts w:ascii="Cambria Math" w:eastAsiaTheme="minorEastAsia" w:hAnsi="Cambria Math"/>
              </w:rPr>
              <m:t>y</m:t>
            </m:r>
          </m:sub>
        </m:sSub>
      </m:oMath>
      <w:r w:rsidR="009F1D1C" w:rsidRPr="00BF0E22">
        <w:rPr>
          <w:bCs/>
        </w:rPr>
        <w:t>, characterizing the</w:t>
      </w:r>
      <w:r w:rsidR="00BF0E22" w:rsidRPr="00BF0E22">
        <w:rPr>
          <w:bCs/>
        </w:rPr>
        <w:t xml:space="preserve"> variability in the experimental data</w:t>
      </w:r>
      <w:r w:rsidR="006A48FF">
        <w:rPr>
          <w:bCs/>
        </w:rPr>
        <w:t>.</w:t>
      </w:r>
      <w:r w:rsidR="00CB38F3">
        <w:rPr>
          <w:bCs/>
        </w:rPr>
        <w:t xml:space="preserve"> </w:t>
      </w:r>
      <w:r w:rsidR="000F4FE0">
        <w:t xml:space="preserve">The sensitivity </w:t>
      </w:r>
      <m:oMath>
        <m:sSub>
          <m:sSubPr>
            <m:ctrlPr>
              <w:rPr>
                <w:rFonts w:ascii="Cambria Math" w:hAnsi="Cambria Math"/>
              </w:rPr>
            </m:ctrlPr>
          </m:sSubPr>
          <m:e>
            <m:r>
              <w:rPr>
                <w:rFonts w:ascii="Cambria Math" w:hAnsi="Cambria Math"/>
              </w:rPr>
              <m:t>s</m:t>
            </m:r>
          </m:e>
          <m:sub>
            <m:r>
              <w:rPr>
                <w:rFonts w:ascii="Cambria Math" w:hAnsi="Cambria Math"/>
              </w:rPr>
              <m:t>ij</m:t>
            </m:r>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k</m:t>
                </m:r>
              </m:sub>
            </m:sSub>
          </m:e>
        </m:d>
      </m:oMath>
      <w:r w:rsidR="000F4FE0">
        <w:t xml:space="preserve"> </w:t>
      </w:r>
      <w:r w:rsidR="00D9337B">
        <w:t xml:space="preserve">of the </w:t>
      </w:r>
      <w:r w:rsidR="00D9337B">
        <w:rPr>
          <w:i/>
          <w:iCs/>
        </w:rPr>
        <w:t>i</w:t>
      </w:r>
      <w:r w:rsidR="00D9337B">
        <w:t xml:space="preserve">-th response </w:t>
      </w:r>
      <m:oMath>
        <m:sSub>
          <m:sSubPr>
            <m:ctrlPr>
              <w:rPr>
                <w:rFonts w:ascii="Cambria Math" w:hAnsi="Cambria Math"/>
                <w:bCs/>
                <w:i/>
              </w:rPr>
            </m:ctrlPr>
          </m:sSubPr>
          <m:e>
            <m:r>
              <w:rPr>
                <w:rFonts w:ascii="Cambria Math" w:hAnsi="Cambria Math"/>
              </w:rPr>
              <m:t>y</m:t>
            </m:r>
          </m:e>
          <m:sub>
            <m:r>
              <w:rPr>
                <w:rFonts w:ascii="Cambria Math" w:hAnsi="Cambria Math"/>
              </w:rPr>
              <m:t>i</m:t>
            </m:r>
          </m:sub>
        </m:sSub>
      </m:oMath>
      <w:r w:rsidR="00D9337B">
        <w:rPr>
          <w:bCs/>
        </w:rPr>
        <w:t xml:space="preserve"> to the </w:t>
      </w:r>
      <w:r w:rsidR="006712B2">
        <w:rPr>
          <w:bCs/>
          <w:i/>
          <w:iCs/>
        </w:rPr>
        <w:t>j</w:t>
      </w:r>
      <w:r w:rsidR="006712B2">
        <w:rPr>
          <w:bCs/>
        </w:rPr>
        <w:t xml:space="preserve">-th parameter </w:t>
      </w:r>
      <m:oMath>
        <m:sSub>
          <m:sSubPr>
            <m:ctrlPr>
              <w:rPr>
                <w:rFonts w:ascii="Cambria Math" w:hAnsi="Cambria Math"/>
                <w:bCs/>
                <w:i/>
              </w:rPr>
            </m:ctrlPr>
          </m:sSubPr>
          <m:e>
            <m:r>
              <w:rPr>
                <w:rFonts w:ascii="Cambria Math" w:hAnsi="Cambria Math"/>
              </w:rPr>
              <m:t>θ</m:t>
            </m:r>
          </m:e>
          <m:sub>
            <m:r>
              <w:rPr>
                <w:rFonts w:ascii="Cambria Math" w:hAnsi="Cambria Math"/>
              </w:rPr>
              <m:t>j</m:t>
            </m:r>
          </m:sub>
        </m:sSub>
      </m:oMath>
      <w:r w:rsidR="006712B2">
        <w:rPr>
          <w:bCs/>
        </w:rPr>
        <w:t xml:space="preserve"> at the </w:t>
      </w:r>
      <w:r w:rsidR="006712B2">
        <w:rPr>
          <w:bCs/>
          <w:i/>
          <w:iCs/>
        </w:rPr>
        <w:t>k</w:t>
      </w:r>
      <w:r w:rsidR="006712B2">
        <w:rPr>
          <w:bCs/>
        </w:rPr>
        <w:t xml:space="preserve">-th sampling time </w:t>
      </w:r>
      <m:oMath>
        <m:sSub>
          <m:sSubPr>
            <m:ctrlPr>
              <w:rPr>
                <w:rFonts w:ascii="Cambria Math" w:hAnsi="Cambria Math"/>
                <w:i/>
              </w:rPr>
            </m:ctrlPr>
          </m:sSubPr>
          <m:e>
            <m:r>
              <w:rPr>
                <w:rFonts w:ascii="Cambria Math" w:hAnsi="Cambria Math"/>
              </w:rPr>
              <m:t>t</m:t>
            </m:r>
          </m:e>
          <m:sub>
            <m:r>
              <w:rPr>
                <w:rFonts w:ascii="Cambria Math" w:hAnsi="Cambria Math"/>
              </w:rPr>
              <m:t>k</m:t>
            </m:r>
          </m:sub>
        </m:sSub>
      </m:oMath>
      <w:r w:rsidR="006712B2">
        <w:t xml:space="preserve"> is </w:t>
      </w:r>
      <w:r w:rsidR="005C5494">
        <w:t>calculated as in Equation (3)</w:t>
      </w:r>
      <w:r w:rsidR="00316E07">
        <w:t>.</w:t>
      </w:r>
    </w:p>
    <w:tbl>
      <w:tblPr>
        <w:tblW w:w="7087" w:type="dxa"/>
        <w:tblLook w:val="04A0" w:firstRow="1" w:lastRow="0" w:firstColumn="1" w:lastColumn="0" w:noHBand="0" w:noVBand="1"/>
      </w:tblPr>
      <w:tblGrid>
        <w:gridCol w:w="6111"/>
        <w:gridCol w:w="976"/>
      </w:tblGrid>
      <w:tr w:rsidR="005C5494" w:rsidRPr="00A84025" w14:paraId="4869ABD4" w14:textId="77777777" w:rsidTr="00F96827">
        <w:tc>
          <w:tcPr>
            <w:tcW w:w="6111" w:type="dxa"/>
            <w:shd w:val="clear" w:color="auto" w:fill="auto"/>
            <w:vAlign w:val="center"/>
          </w:tcPr>
          <w:p w14:paraId="4F4BCADF" w14:textId="77777777" w:rsidR="005C5494" w:rsidRPr="00F96827" w:rsidRDefault="003E2E63" w:rsidP="00F96827">
            <w:pPr>
              <w:jc w:val="both"/>
              <w:rPr>
                <w:rFonts w:ascii="Cambria Math" w:hAnsi="Cambria Math"/>
                <w:oMath/>
              </w:rPr>
            </w:pPr>
            <m:oMathPara>
              <m:oMathParaPr>
                <m:jc m:val="left"/>
              </m:oMathParaPr>
              <m:oMath>
                <m:sSub>
                  <m:sSubPr>
                    <m:ctrlPr>
                      <w:rPr>
                        <w:rFonts w:ascii="Cambria Math" w:hAnsi="Cambria Math"/>
                        <w:bCs/>
                        <w:i/>
                      </w:rPr>
                    </m:ctrlPr>
                  </m:sSubPr>
                  <m:e>
                    <m:r>
                      <w:rPr>
                        <w:rFonts w:ascii="Cambria Math" w:hAnsi="Cambria Math"/>
                      </w:rPr>
                      <m:t>s</m:t>
                    </m:r>
                    <m:ctrlPr>
                      <w:rPr>
                        <w:rFonts w:ascii="Cambria Math" w:hAnsi="Cambria Math"/>
                        <w:b/>
                        <w:i/>
                      </w:rPr>
                    </m:ctrlPr>
                  </m:e>
                  <m:sub>
                    <m:r>
                      <w:rPr>
                        <w:rFonts w:ascii="Cambria Math" w:hAnsi="Cambria Math"/>
                      </w:rPr>
                      <m:t>ij</m:t>
                    </m:r>
                  </m:sub>
                </m:sSub>
                <m:d>
                  <m:dPr>
                    <m:ctrlPr>
                      <w:rPr>
                        <w:rFonts w:ascii="Cambria Math" w:hAnsi="Cambria Math"/>
                        <w:bCs/>
                        <w:i/>
                      </w:rPr>
                    </m:ctrlPr>
                  </m:dPr>
                  <m:e>
                    <m:sSub>
                      <m:sSubPr>
                        <m:ctrlPr>
                          <w:rPr>
                            <w:rFonts w:ascii="Cambria Math" w:hAnsi="Cambria Math"/>
                            <w:bCs/>
                            <w:i/>
                          </w:rPr>
                        </m:ctrlPr>
                      </m:sSubPr>
                      <m:e>
                        <m:r>
                          <w:rPr>
                            <w:rFonts w:ascii="Cambria Math" w:hAnsi="Cambria Math"/>
                          </w:rPr>
                          <m:t>t</m:t>
                        </m:r>
                      </m:e>
                      <m:sub>
                        <m:r>
                          <w:rPr>
                            <w:rFonts w:ascii="Cambria Math" w:hAnsi="Cambria Math"/>
                          </w:rPr>
                          <m:t>k</m:t>
                        </m:r>
                      </m:sub>
                    </m:sSub>
                  </m:e>
                </m:d>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m:t>
                    </m:r>
                    <m:sSub>
                      <m:sSubPr>
                        <m:ctrlPr>
                          <w:rPr>
                            <w:rFonts w:ascii="Cambria Math" w:hAnsi="Cambria Math"/>
                            <w:bCs/>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num>
                  <m:den>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θ</m:t>
                        </m:r>
                      </m:e>
                      <m:sub>
                        <m:r>
                          <w:rPr>
                            <w:rFonts w:ascii="Cambria Math" w:eastAsiaTheme="minorEastAsia" w:hAnsi="Cambria Math"/>
                          </w:rPr>
                          <m:t>j</m:t>
                        </m:r>
                      </m:sub>
                    </m:sSub>
                  </m:den>
                </m:f>
              </m:oMath>
            </m:oMathPara>
          </w:p>
        </w:tc>
        <w:tc>
          <w:tcPr>
            <w:tcW w:w="976" w:type="dxa"/>
            <w:shd w:val="clear" w:color="auto" w:fill="auto"/>
            <w:vAlign w:val="center"/>
          </w:tcPr>
          <w:p w14:paraId="29B2B8D6" w14:textId="6D0AD4D9" w:rsidR="005C5494" w:rsidRPr="005859E0" w:rsidRDefault="00B5732B" w:rsidP="00B5732B">
            <w:pPr>
              <w:jc w:val="right"/>
              <w:rPr>
                <w:rFonts w:ascii="Cambria Math" w:hAnsi="Cambria Math"/>
                <w:oMath/>
              </w:rPr>
            </w:pPr>
            <w:r w:rsidRPr="00C3421F">
              <w:t>(</w:t>
            </w:r>
            <w:r>
              <w:t>3</w:t>
            </w:r>
            <w:r w:rsidRPr="00C3421F">
              <w:t>)</w:t>
            </w:r>
          </w:p>
        </w:tc>
      </w:tr>
    </w:tbl>
    <w:p w14:paraId="06CB64B4" w14:textId="6FDF7FED" w:rsidR="005D3B10" w:rsidRDefault="00D75E68" w:rsidP="00996496">
      <w:pPr>
        <w:jc w:val="both"/>
      </w:pPr>
      <w:r>
        <w:rPr>
          <w:bCs/>
        </w:rPr>
        <w:t xml:space="preserve">The matrices </w:t>
      </w:r>
      <m:oMath>
        <m:r>
          <m:rPr>
            <m:sty m:val="b"/>
          </m:rPr>
          <w:rPr>
            <w:rFonts w:ascii="Cambria Math" w:eastAsiaTheme="minorEastAsia" w:hAnsi="Cambria Math"/>
          </w:rPr>
          <m:t>S</m:t>
        </m:r>
      </m:oMath>
      <w:r>
        <w:rPr>
          <w:bCs/>
        </w:rPr>
        <w:t xml:space="preserve"> and </w:t>
      </w:r>
      <m:oMath>
        <m:sSub>
          <m:sSubPr>
            <m:ctrlPr>
              <w:rPr>
                <w:rFonts w:ascii="Cambria Math" w:eastAsiaTheme="minorEastAsia" w:hAnsi="Cambria Math"/>
                <w:b/>
              </w:rPr>
            </m:ctrlPr>
          </m:sSubPr>
          <m:e>
            <m:r>
              <m:rPr>
                <m:sty m:val="b"/>
              </m:rPr>
              <w:rPr>
                <w:rFonts w:ascii="Cambria Math" w:eastAsiaTheme="minorEastAsia" w:hAnsi="Cambria Math"/>
              </w:rPr>
              <m:t>Σ</m:t>
            </m:r>
          </m:e>
          <m:sub>
            <m:r>
              <m:rPr>
                <m:sty m:val="b"/>
              </m:rPr>
              <w:rPr>
                <w:rFonts w:ascii="Cambria Math" w:eastAsiaTheme="minorEastAsia" w:hAnsi="Cambria Math"/>
              </w:rPr>
              <m:t>y</m:t>
            </m:r>
          </m:sub>
        </m:sSub>
      </m:oMath>
      <w:r>
        <w:rPr>
          <w:b/>
        </w:rPr>
        <w:t xml:space="preserve"> </w:t>
      </w:r>
      <w:r w:rsidRPr="00C4243D">
        <w:rPr>
          <w:bCs/>
        </w:rPr>
        <w:t xml:space="preserve">are combined to </w:t>
      </w:r>
      <w:r w:rsidR="00A37522">
        <w:rPr>
          <w:bCs/>
        </w:rPr>
        <w:t>evaluate</w:t>
      </w:r>
      <w:r w:rsidRPr="00C4243D">
        <w:rPr>
          <w:bCs/>
        </w:rPr>
        <w:t xml:space="preserve"> the Fisher Information Matrix (</w:t>
      </w:r>
      <w:r w:rsidRPr="00981ED8">
        <w:rPr>
          <w:b/>
        </w:rPr>
        <w:t>FIM</w:t>
      </w:r>
      <w:r w:rsidRPr="00C4243D">
        <w:rPr>
          <w:bCs/>
        </w:rPr>
        <w:t>)</w:t>
      </w:r>
      <w:r w:rsidR="005D3B10">
        <w:rPr>
          <w:bCs/>
        </w:rPr>
        <w:t>, Eq.(4)</w:t>
      </w:r>
      <w:r w:rsidR="00390386">
        <w:rPr>
          <w:rFonts w:eastAsiaTheme="minorEastAsia"/>
          <w:bCs/>
        </w:rPr>
        <w:t xml:space="preserve">. The matrix </w:t>
      </w:r>
      <m:oMath>
        <m:sSub>
          <m:sSubPr>
            <m:ctrlPr>
              <w:rPr>
                <w:rFonts w:ascii="Cambria Math" w:eastAsiaTheme="minorEastAsia" w:hAnsi="Cambria Math"/>
                <w:b/>
              </w:rPr>
            </m:ctrlPr>
          </m:sSubPr>
          <m:e>
            <m:r>
              <m:rPr>
                <m:sty m:val="b"/>
              </m:rPr>
              <w:rPr>
                <w:rFonts w:ascii="Cambria Math" w:eastAsiaTheme="minorEastAsia" w:hAnsi="Cambria Math"/>
              </w:rPr>
              <m:t>V</m:t>
            </m:r>
          </m:e>
          <m:sub>
            <m:r>
              <m:rPr>
                <m:sty m:val="b"/>
              </m:rPr>
              <w:rPr>
                <w:rFonts w:ascii="Cambria Math" w:eastAsiaTheme="minorEastAsia" w:hAnsi="Cambria Math"/>
              </w:rPr>
              <m:t>θ</m:t>
            </m:r>
          </m:sub>
        </m:sSub>
        <m:r>
          <m:rPr>
            <m:sty m:val="bi"/>
          </m:rPr>
          <w:rPr>
            <w:rFonts w:ascii="Cambria Math" w:eastAsiaTheme="minorEastAsia" w:hAnsi="Cambria Math"/>
          </w:rPr>
          <m:t>=</m:t>
        </m:r>
        <m:d>
          <m:dPr>
            <m:begChr m:val="{"/>
            <m:endChr m:val="}"/>
            <m:ctrlPr>
              <w:rPr>
                <w:rFonts w:ascii="Cambria Math" w:eastAsiaTheme="minorEastAsia" w:hAnsi="Cambria Math"/>
                <w:b/>
                <w:i/>
              </w:rPr>
            </m:ctrlPr>
          </m:dPr>
          <m:e>
            <m:sSub>
              <m:sSubPr>
                <m:ctrlPr>
                  <w:rPr>
                    <w:rFonts w:ascii="Cambria Math" w:eastAsiaTheme="minorEastAsia" w:hAnsi="Cambria Math"/>
                    <w:bCs/>
                    <w:iCs/>
                  </w:rPr>
                </m:ctrlPr>
              </m:sSubPr>
              <m:e>
                <m:r>
                  <m:rPr>
                    <m:sty m:val="p"/>
                  </m:rPr>
                  <w:rPr>
                    <w:rFonts w:ascii="Cambria Math" w:eastAsiaTheme="minorEastAsia" w:hAnsi="Cambria Math"/>
                  </w:rPr>
                  <m:t>V</m:t>
                </m:r>
              </m:e>
              <m:sub>
                <m:r>
                  <m:rPr>
                    <m:sty m:val="p"/>
                  </m:rPr>
                  <w:rPr>
                    <w:rFonts w:ascii="Cambria Math" w:eastAsiaTheme="minorEastAsia" w:hAnsi="Cambria Math"/>
                  </w:rPr>
                  <m:t>θ,ij</m:t>
                </m:r>
              </m:sub>
            </m:sSub>
          </m:e>
        </m:d>
      </m:oMath>
      <w:r w:rsidR="00390386">
        <w:rPr>
          <w:rFonts w:eastAsiaTheme="minorEastAsia"/>
          <w:b/>
        </w:rPr>
        <w:t xml:space="preserve"> </w:t>
      </w:r>
      <w:r w:rsidR="00390386" w:rsidRPr="0065369F">
        <w:rPr>
          <w:rFonts w:eastAsiaTheme="minorEastAsia"/>
          <w:bCs/>
        </w:rPr>
        <w:t xml:space="preserve">is </w:t>
      </w:r>
      <w:r w:rsidR="00390386">
        <w:rPr>
          <w:rFonts w:eastAsiaTheme="minorEastAsia"/>
          <w:bCs/>
        </w:rPr>
        <w:t>then obtained as the inverse of the FIM (</w:t>
      </w:r>
      <w:r w:rsidR="002826BE">
        <w:rPr>
          <w:rFonts w:eastAsiaTheme="minorEastAsia"/>
          <w:bCs/>
        </w:rPr>
        <w:t>E</w:t>
      </w:r>
      <w:r w:rsidR="00390386" w:rsidRPr="00C3421F">
        <w:rPr>
          <w:rFonts w:eastAsiaTheme="minorEastAsia"/>
          <w:bCs/>
        </w:rPr>
        <w:t xml:space="preserve">q. </w:t>
      </w:r>
      <w:r w:rsidR="00390386">
        <w:rPr>
          <w:rFonts w:eastAsiaTheme="minorEastAsia"/>
          <w:bCs/>
        </w:rPr>
        <w:t>5</w:t>
      </w:r>
      <w:r w:rsidR="00390386" w:rsidRPr="00C3421F">
        <w:rPr>
          <w:rFonts w:eastAsiaTheme="minorEastAsia"/>
          <w:bCs/>
        </w:rPr>
        <w:t>).</w:t>
      </w:r>
    </w:p>
    <w:tbl>
      <w:tblPr>
        <w:tblW w:w="8063" w:type="dxa"/>
        <w:tblLook w:val="04A0" w:firstRow="1" w:lastRow="0" w:firstColumn="1" w:lastColumn="0" w:noHBand="0" w:noVBand="1"/>
      </w:tblPr>
      <w:tblGrid>
        <w:gridCol w:w="6111"/>
        <w:gridCol w:w="976"/>
        <w:gridCol w:w="976"/>
      </w:tblGrid>
      <w:tr w:rsidR="005D3B10" w:rsidRPr="00A94774" w14:paraId="6E5F5490" w14:textId="77777777" w:rsidTr="00110F95">
        <w:tc>
          <w:tcPr>
            <w:tcW w:w="6111" w:type="dxa"/>
            <w:shd w:val="clear" w:color="auto" w:fill="auto"/>
            <w:vAlign w:val="center"/>
          </w:tcPr>
          <w:p w14:paraId="43E3086F" w14:textId="77777777" w:rsidR="005D3B10" w:rsidRPr="00082A44" w:rsidRDefault="005D3B10" w:rsidP="00F96827">
            <w:pPr>
              <w:pStyle w:val="Els-body-text"/>
              <w:spacing w:before="120" w:after="120" w:line="264" w:lineRule="auto"/>
              <w:rPr>
                <w:lang w:val="en-GB"/>
              </w:rPr>
            </w:pPr>
            <m:oMathPara>
              <m:oMathParaPr>
                <m:jc m:val="left"/>
              </m:oMathParaPr>
              <m:oMath>
                <m:r>
                  <m:rPr>
                    <m:sty m:val="b"/>
                  </m:rPr>
                  <w:rPr>
                    <w:rFonts w:ascii="Cambria Math" w:eastAsiaTheme="minorEastAsia" w:hAnsi="Cambria Math"/>
                    <w:lang w:val="en-GB"/>
                  </w:rPr>
                  <m:t>FIM</m:t>
                </m:r>
                <m:r>
                  <m:rPr>
                    <m:sty m:val="bi"/>
                  </m:rPr>
                  <w:rPr>
                    <w:rFonts w:ascii="Cambria Math" w:eastAsiaTheme="minorEastAsia" w:hAnsi="Cambria Math"/>
                    <w:lang w:val="en-GB"/>
                  </w:rPr>
                  <m:t>=</m:t>
                </m:r>
                <m:sSup>
                  <m:sSupPr>
                    <m:ctrlPr>
                      <w:rPr>
                        <w:rFonts w:ascii="Cambria Math" w:eastAsiaTheme="minorEastAsia" w:hAnsi="Cambria Math"/>
                        <w:b/>
                        <w:iCs/>
                        <w:lang w:val="en-GB"/>
                      </w:rPr>
                    </m:ctrlPr>
                  </m:sSupPr>
                  <m:e>
                    <m:r>
                      <m:rPr>
                        <m:sty m:val="b"/>
                      </m:rPr>
                      <w:rPr>
                        <w:rFonts w:ascii="Cambria Math" w:eastAsiaTheme="minorEastAsia" w:hAnsi="Cambria Math"/>
                        <w:lang w:val="en-GB"/>
                      </w:rPr>
                      <m:t>S</m:t>
                    </m:r>
                  </m:e>
                  <m:sup>
                    <m:r>
                      <w:rPr>
                        <w:rFonts w:ascii="Cambria Math" w:eastAsiaTheme="minorEastAsia" w:hAnsi="Cambria Math"/>
                        <w:lang w:val="en-GB"/>
                      </w:rPr>
                      <m:t>T</m:t>
                    </m:r>
                  </m:sup>
                </m:sSup>
                <m:r>
                  <m:rPr>
                    <m:sty m:val="b"/>
                  </m:rPr>
                  <w:rPr>
                    <w:rFonts w:ascii="Cambria Math" w:eastAsiaTheme="minorEastAsia" w:hAnsi="Cambria Math"/>
                    <w:lang w:val="en-GB"/>
                  </w:rPr>
                  <m:t>⋅</m:t>
                </m:r>
                <m:sSubSup>
                  <m:sSubSupPr>
                    <m:ctrlPr>
                      <w:rPr>
                        <w:rFonts w:ascii="Cambria Math" w:eastAsiaTheme="minorEastAsia" w:hAnsi="Cambria Math"/>
                        <w:b/>
                        <w:lang w:val="en-GB"/>
                      </w:rPr>
                    </m:ctrlPr>
                  </m:sSubSupPr>
                  <m:e>
                    <m:r>
                      <m:rPr>
                        <m:sty m:val="b"/>
                      </m:rPr>
                      <w:rPr>
                        <w:rFonts w:ascii="Cambria Math" w:eastAsiaTheme="minorEastAsia" w:hAnsi="Cambria Math"/>
                        <w:lang w:val="en-GB"/>
                      </w:rPr>
                      <m:t>Σ</m:t>
                    </m:r>
                  </m:e>
                  <m:sub>
                    <m:r>
                      <m:rPr>
                        <m:sty m:val="b"/>
                      </m:rPr>
                      <w:rPr>
                        <w:rFonts w:ascii="Cambria Math" w:eastAsiaTheme="minorEastAsia" w:hAnsi="Cambria Math"/>
                        <w:lang w:val="en-GB"/>
                      </w:rPr>
                      <m:t>y</m:t>
                    </m:r>
                  </m:sub>
                  <m:sup>
                    <m:r>
                      <m:rPr>
                        <m:sty m:val="b"/>
                      </m:rPr>
                      <w:rPr>
                        <w:rFonts w:ascii="Cambria Math" w:eastAsiaTheme="minorEastAsia" w:hAnsi="Cambria Math"/>
                        <w:lang w:val="en-GB"/>
                      </w:rPr>
                      <m:t>-1</m:t>
                    </m:r>
                  </m:sup>
                </m:sSubSup>
                <m:r>
                  <m:rPr>
                    <m:sty m:val="b"/>
                  </m:rPr>
                  <w:rPr>
                    <w:rFonts w:ascii="Cambria Math" w:eastAsiaTheme="minorEastAsia" w:hAnsi="Cambria Math"/>
                    <w:lang w:val="en-GB"/>
                  </w:rPr>
                  <m:t>⋅S</m:t>
                </m:r>
              </m:oMath>
            </m:oMathPara>
          </w:p>
        </w:tc>
        <w:tc>
          <w:tcPr>
            <w:tcW w:w="976" w:type="dxa"/>
            <w:shd w:val="clear" w:color="auto" w:fill="auto"/>
            <w:vAlign w:val="center"/>
          </w:tcPr>
          <w:p w14:paraId="77C76941" w14:textId="600C9170" w:rsidR="005D3B10" w:rsidRPr="00C3421F" w:rsidRDefault="005D3B10" w:rsidP="00F96827">
            <w:pPr>
              <w:pStyle w:val="Els-body-text"/>
              <w:spacing w:before="120" w:after="120" w:line="264" w:lineRule="auto"/>
              <w:jc w:val="right"/>
              <w:rPr>
                <w:lang w:val="en-GB"/>
              </w:rPr>
            </w:pPr>
            <w:r w:rsidRPr="00C3421F">
              <w:rPr>
                <w:lang w:val="en-GB"/>
              </w:rPr>
              <w:t>(</w:t>
            </w:r>
            <w:r>
              <w:rPr>
                <w:lang w:val="en-GB"/>
              </w:rPr>
              <w:t>4</w:t>
            </w:r>
            <w:r w:rsidRPr="00C3421F">
              <w:rPr>
                <w:lang w:val="en-GB"/>
              </w:rPr>
              <w:t>)</w:t>
            </w:r>
          </w:p>
        </w:tc>
        <w:tc>
          <w:tcPr>
            <w:tcW w:w="976" w:type="dxa"/>
          </w:tcPr>
          <w:p w14:paraId="381DE823" w14:textId="77777777" w:rsidR="005D3B10" w:rsidRPr="00C3421F" w:rsidRDefault="005D3B10" w:rsidP="00F96827">
            <w:pPr>
              <w:pStyle w:val="Els-body-text"/>
              <w:spacing w:before="120" w:after="120" w:line="264" w:lineRule="auto"/>
              <w:jc w:val="right"/>
              <w:rPr>
                <w:lang w:val="en-GB"/>
              </w:rPr>
            </w:pPr>
          </w:p>
        </w:tc>
      </w:tr>
      <w:tr w:rsidR="00110F95" w:rsidRPr="00C3421F" w14:paraId="5429FE8C" w14:textId="77777777" w:rsidTr="00110F95">
        <w:trPr>
          <w:gridAfter w:val="1"/>
          <w:wAfter w:w="976" w:type="dxa"/>
        </w:trPr>
        <w:tc>
          <w:tcPr>
            <w:tcW w:w="6111" w:type="dxa"/>
            <w:shd w:val="clear" w:color="auto" w:fill="auto"/>
            <w:vAlign w:val="center"/>
          </w:tcPr>
          <w:p w14:paraId="50241659" w14:textId="77777777" w:rsidR="00110F95" w:rsidRPr="00082A44" w:rsidRDefault="003E2E63" w:rsidP="00F96827">
            <w:pPr>
              <w:pStyle w:val="Els-body-text"/>
              <w:spacing w:before="120" w:after="120" w:line="264" w:lineRule="auto"/>
              <w:rPr>
                <w:lang w:val="en-GB"/>
              </w:rPr>
            </w:pPr>
            <m:oMathPara>
              <m:oMathParaPr>
                <m:jc m:val="left"/>
              </m:oMathParaPr>
              <m:oMath>
                <m:sSub>
                  <m:sSubPr>
                    <m:ctrlPr>
                      <w:rPr>
                        <w:rFonts w:ascii="Cambria Math" w:eastAsiaTheme="minorEastAsia" w:hAnsi="Cambria Math"/>
                        <w:b/>
                        <w:lang w:val="en-GB"/>
                      </w:rPr>
                    </m:ctrlPr>
                  </m:sSubPr>
                  <m:e>
                    <m:r>
                      <m:rPr>
                        <m:sty m:val="b"/>
                      </m:rPr>
                      <w:rPr>
                        <w:rFonts w:ascii="Cambria Math" w:eastAsiaTheme="minorEastAsia" w:hAnsi="Cambria Math"/>
                        <w:lang w:val="en-GB"/>
                      </w:rPr>
                      <m:t>V</m:t>
                    </m:r>
                  </m:e>
                  <m:sub>
                    <m:r>
                      <m:rPr>
                        <m:sty m:val="b"/>
                      </m:rPr>
                      <w:rPr>
                        <w:rFonts w:ascii="Cambria Math" w:eastAsiaTheme="minorEastAsia" w:hAnsi="Cambria Math"/>
                        <w:lang w:val="en-GB"/>
                      </w:rPr>
                      <m:t>θ</m:t>
                    </m:r>
                  </m:sub>
                </m:sSub>
                <m:r>
                  <m:rPr>
                    <m:sty m:val="b"/>
                  </m:rPr>
                  <w:rPr>
                    <w:rFonts w:ascii="Cambria Math" w:eastAsiaTheme="minorEastAsia" w:hAnsi="Cambria Math"/>
                    <w:lang w:val="en-GB"/>
                  </w:rPr>
                  <m:t>=</m:t>
                </m:r>
                <m:r>
                  <m:rPr>
                    <m:sty m:val="b"/>
                  </m:rPr>
                  <w:rPr>
                    <w:rFonts w:ascii="Cambria Math" w:eastAsiaTheme="minorEastAsia" w:hAnsi="Cambria Math"/>
                    <w:lang w:val="en-GB"/>
                  </w:rPr>
                  <m:t>FI</m:t>
                </m:r>
                <m:sSup>
                  <m:sSupPr>
                    <m:ctrlPr>
                      <w:rPr>
                        <w:rFonts w:ascii="Cambria Math" w:eastAsiaTheme="minorEastAsia" w:hAnsi="Cambria Math"/>
                        <w:b/>
                        <w:lang w:val="en-GB"/>
                      </w:rPr>
                    </m:ctrlPr>
                  </m:sSupPr>
                  <m:e>
                    <m:r>
                      <m:rPr>
                        <m:sty m:val="b"/>
                      </m:rPr>
                      <w:rPr>
                        <w:rFonts w:ascii="Cambria Math" w:eastAsiaTheme="minorEastAsia" w:hAnsi="Cambria Math"/>
                        <w:lang w:val="en-GB"/>
                      </w:rPr>
                      <m:t>M</m:t>
                    </m:r>
                  </m:e>
                  <m:sup>
                    <m:r>
                      <m:rPr>
                        <m:sty m:val="b"/>
                      </m:rPr>
                      <w:rPr>
                        <w:rFonts w:ascii="Cambria Math" w:eastAsiaTheme="minorEastAsia" w:hAnsi="Cambria Math"/>
                        <w:lang w:val="en-GB"/>
                      </w:rPr>
                      <m:t>-</m:t>
                    </m:r>
                    <m:r>
                      <m:rPr>
                        <m:sty m:val="b"/>
                      </m:rPr>
                      <w:rPr>
                        <w:rFonts w:ascii="Cambria Math" w:eastAsiaTheme="minorEastAsia" w:hAnsi="Cambria Math"/>
                        <w:lang w:val="en-GB"/>
                      </w:rPr>
                      <m:t>1</m:t>
                    </m:r>
                  </m:sup>
                </m:sSup>
              </m:oMath>
            </m:oMathPara>
          </w:p>
        </w:tc>
        <w:tc>
          <w:tcPr>
            <w:tcW w:w="976" w:type="dxa"/>
            <w:shd w:val="clear" w:color="auto" w:fill="auto"/>
            <w:vAlign w:val="center"/>
          </w:tcPr>
          <w:p w14:paraId="137A415B" w14:textId="47813C31" w:rsidR="00110F95" w:rsidRPr="00C3421F" w:rsidRDefault="00110F95" w:rsidP="00F96827">
            <w:pPr>
              <w:pStyle w:val="Els-body-text"/>
              <w:spacing w:before="120" w:after="120" w:line="264" w:lineRule="auto"/>
              <w:jc w:val="right"/>
              <w:rPr>
                <w:lang w:val="en-GB"/>
              </w:rPr>
            </w:pPr>
            <w:r w:rsidRPr="00C3421F">
              <w:rPr>
                <w:lang w:val="en-GB"/>
              </w:rPr>
              <w:t>(</w:t>
            </w:r>
            <w:r>
              <w:rPr>
                <w:lang w:val="en-GB"/>
              </w:rPr>
              <w:t>5</w:t>
            </w:r>
            <w:r w:rsidRPr="00C3421F">
              <w:rPr>
                <w:lang w:val="en-GB"/>
              </w:rPr>
              <w:t>)</w:t>
            </w:r>
          </w:p>
        </w:tc>
      </w:tr>
    </w:tbl>
    <w:p w14:paraId="7F6BA9DC" w14:textId="2CEAAD63" w:rsidR="00587EA6" w:rsidRPr="00211628" w:rsidRDefault="00996496" w:rsidP="00996496">
      <w:pPr>
        <w:jc w:val="both"/>
      </w:pPr>
      <w:r>
        <w:t xml:space="preserve">The correlation coefficient </w:t>
      </w:r>
      <m:oMath>
        <m:sSub>
          <m:sSubPr>
            <m:ctrlPr>
              <w:rPr>
                <w:rFonts w:ascii="Cambria Math" w:hAnsi="Cambria Math"/>
                <w:i/>
              </w:rPr>
            </m:ctrlPr>
          </m:sSubPr>
          <m:e>
            <m:r>
              <w:rPr>
                <w:rFonts w:ascii="Cambria Math" w:hAnsi="Cambria Math"/>
              </w:rPr>
              <m:t>R</m:t>
            </m:r>
          </m:e>
          <m:sub>
            <m:r>
              <w:rPr>
                <w:rFonts w:ascii="Cambria Math" w:hAnsi="Cambria Math"/>
              </w:rPr>
              <m:t>i</m:t>
            </m:r>
            <m:r>
              <w:rPr>
                <w:rFonts w:ascii="Cambria Math" w:eastAsiaTheme="minorEastAsia" w:hAnsi="Cambria Math"/>
              </w:rPr>
              <m:t>j</m:t>
            </m:r>
          </m:sub>
        </m:sSub>
      </m:oMath>
      <w:r w:rsidR="00937914">
        <w:t xml:space="preserve"> </w:t>
      </w:r>
      <w:r w:rsidR="0010117A">
        <w:t xml:space="preserve">describes </w:t>
      </w:r>
      <w:r w:rsidR="009C0FC4">
        <w:t xml:space="preserve">how </w:t>
      </w:r>
      <w:r w:rsidR="004304E7">
        <w:t xml:space="preserve">closely linked </w:t>
      </w:r>
      <w:r w:rsidR="00616405">
        <w:t xml:space="preserve">the </w:t>
      </w:r>
      <w:r w:rsidR="004304E7">
        <w:t>parameters</w:t>
      </w:r>
      <w:r w:rsidR="00616405">
        <w:t xml:space="preserve">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00616405">
        <w:rPr>
          <w:rFonts w:eastAsiaTheme="minorEastAsia"/>
          <w:bCs/>
        </w:rPr>
        <w:t xml:space="preserve"> and </w:t>
      </w:r>
      <m:oMath>
        <m:sSub>
          <m:sSubPr>
            <m:ctrlPr>
              <w:rPr>
                <w:rFonts w:ascii="Cambria Math" w:hAnsi="Cambria Math"/>
                <w:i/>
              </w:rPr>
            </m:ctrlPr>
          </m:sSubPr>
          <m:e>
            <m:r>
              <w:rPr>
                <w:rFonts w:ascii="Cambria Math" w:hAnsi="Cambria Math"/>
              </w:rPr>
              <m:t>θ</m:t>
            </m:r>
          </m:e>
          <m:sub>
            <m:r>
              <w:rPr>
                <w:rFonts w:ascii="Cambria Math" w:hAnsi="Cambria Math"/>
              </w:rPr>
              <m:t>j</m:t>
            </m:r>
          </m:sub>
        </m:sSub>
      </m:oMath>
      <w:r w:rsidR="00B52B2F">
        <w:rPr>
          <w:rFonts w:eastAsiaTheme="minorEastAsia"/>
        </w:rPr>
        <w:t xml:space="preserve"> are</w:t>
      </w:r>
      <w:r w:rsidR="00266433">
        <w:t xml:space="preserve">. From the definition in </w:t>
      </w:r>
      <w:r w:rsidR="00502574">
        <w:t>E</w:t>
      </w:r>
      <w:r w:rsidR="00266433">
        <w:t>quation (2), it can be seen that</w:t>
      </w:r>
      <w:r w:rsidR="00EF6C1D">
        <w:t xml:space="preserve"> high values of </w:t>
      </w:r>
      <m:oMath>
        <m:sSub>
          <m:sSubPr>
            <m:ctrlPr>
              <w:rPr>
                <w:rFonts w:ascii="Cambria Math" w:hAnsi="Cambria Math"/>
                <w:i/>
              </w:rPr>
            </m:ctrlPr>
          </m:sSubPr>
          <m:e>
            <m:r>
              <w:rPr>
                <w:rFonts w:ascii="Cambria Math" w:hAnsi="Cambria Math"/>
              </w:rPr>
              <m:t>R</m:t>
            </m:r>
          </m:e>
          <m:sub>
            <m:r>
              <w:rPr>
                <w:rFonts w:ascii="Cambria Math" w:hAnsi="Cambria Math"/>
              </w:rPr>
              <m:t>i</m:t>
            </m:r>
            <m:r>
              <w:rPr>
                <w:rFonts w:ascii="Cambria Math" w:eastAsiaTheme="minorEastAsia" w:hAnsi="Cambria Math"/>
              </w:rPr>
              <m:t>j</m:t>
            </m:r>
          </m:sub>
        </m:sSub>
      </m:oMath>
      <w:r w:rsidR="00266433">
        <w:t xml:space="preserve"> </w:t>
      </w:r>
      <w:r w:rsidR="00EF6C1D">
        <w:t xml:space="preserve">are associated to </w:t>
      </w:r>
      <w:r w:rsidR="00993672">
        <w:t>parameter</w:t>
      </w:r>
      <w:r w:rsidR="00C006BF">
        <w:t xml:space="preserve"> pairs </w:t>
      </w:r>
      <w:r w:rsidR="00EF6C1D">
        <w:t>having a</w:t>
      </w:r>
      <w:r w:rsidR="00993672">
        <w:t xml:space="preserve"> </w:t>
      </w:r>
      <w:r w:rsidR="005C796B">
        <w:t xml:space="preserve">covariance </w:t>
      </w:r>
      <w:r w:rsidR="00B6751A">
        <w:t>comparable with their variances</w:t>
      </w:r>
      <w:r w:rsidR="00B02AC8">
        <w:t xml:space="preserve">. </w:t>
      </w:r>
      <w:r w:rsidR="00420B31">
        <w:t>Values of the c</w:t>
      </w:r>
      <w:r w:rsidR="00587EA6">
        <w:t xml:space="preserve">orrelation coefficient </w:t>
      </w:r>
      <m:oMath>
        <m:sSub>
          <m:sSubPr>
            <m:ctrlPr>
              <w:rPr>
                <w:rFonts w:ascii="Cambria Math" w:hAnsi="Cambria Math"/>
                <w:i/>
              </w:rPr>
            </m:ctrlPr>
          </m:sSubPr>
          <m:e>
            <m:r>
              <w:rPr>
                <w:rFonts w:ascii="Cambria Math" w:hAnsi="Cambria Math"/>
              </w:rPr>
              <m:t>R</m:t>
            </m:r>
          </m:e>
          <m:sub>
            <m:r>
              <w:rPr>
                <w:rFonts w:ascii="Cambria Math" w:hAnsi="Cambria Math"/>
              </w:rPr>
              <m:t>i</m:t>
            </m:r>
            <m:r>
              <w:rPr>
                <w:rFonts w:ascii="Cambria Math" w:eastAsiaTheme="minorEastAsia" w:hAnsi="Cambria Math"/>
              </w:rPr>
              <m:t>j</m:t>
            </m:r>
          </m:sub>
        </m:sSub>
      </m:oMath>
      <w:r w:rsidR="00420B31">
        <w:t xml:space="preserve"> </w:t>
      </w:r>
      <w:r w:rsidR="00587EA6">
        <w:t xml:space="preserve">higher than 0.99 lead </w:t>
      </w:r>
      <w:r w:rsidR="00587EA6" w:rsidRPr="00593070">
        <w:t>to singu</w:t>
      </w:r>
      <w:r w:rsidR="00587EA6">
        <w:t xml:space="preserve">lar FIM, therefore are a symptom of practical non-identifiability </w:t>
      </w:r>
      <w:r w:rsidR="00587EA6">
        <w:rPr>
          <w:rFonts w:eastAsiaTheme="minorEastAsia"/>
        </w:rPr>
        <w:t>(Rodriguez-Fernandez et al. 2006)</w:t>
      </w:r>
      <w:r w:rsidR="00587EA6">
        <w:rPr>
          <w:rFonts w:eastAsiaTheme="minorEastAsia"/>
          <w:bCs/>
        </w:rPr>
        <w:t>.</w:t>
      </w:r>
    </w:p>
    <w:p w14:paraId="7FEA891F" w14:textId="2414FD3F" w:rsidR="00062B1D" w:rsidRDefault="000731DA" w:rsidP="00062B1D">
      <w:pPr>
        <w:pStyle w:val="Els-1storder-head"/>
      </w:pPr>
      <w:r>
        <w:t>Model description</w:t>
      </w:r>
    </w:p>
    <w:p w14:paraId="15852D80" w14:textId="0D2362C5" w:rsidR="00C42E2B" w:rsidRDefault="00D82619" w:rsidP="00784117">
      <w:pPr>
        <w:pStyle w:val="Els-body-text"/>
        <w:rPr>
          <w:noProof/>
        </w:rPr>
      </w:pPr>
      <w:r>
        <w:t>A</w:t>
      </w:r>
      <w:r w:rsidR="00120F34">
        <w:t xml:space="preserve"> compartmental model for foliar uptake of pesticides is formulated </w:t>
      </w:r>
      <w:r>
        <w:t xml:space="preserve">starting from a </w:t>
      </w:r>
      <w:r w:rsidR="00861AD7">
        <w:t xml:space="preserve">description of the system </w:t>
      </w:r>
      <w:r w:rsidR="005F2E0F">
        <w:t>structure</w:t>
      </w:r>
      <w:r w:rsidR="00861AD7">
        <w:t xml:space="preserve">, as shown in Figure </w:t>
      </w:r>
      <w:r w:rsidR="00D05316">
        <w:t xml:space="preserve">2. The system is divided </w:t>
      </w:r>
      <w:r w:rsidR="009A16F1">
        <w:t>into</w:t>
      </w:r>
      <w:r w:rsidR="00081BED">
        <w:t xml:space="preserve"> the following compartments: droplet, store, cuticle, and leaf tissue</w:t>
      </w:r>
      <w:r w:rsidR="00D62DB0">
        <w:t xml:space="preserve">. </w:t>
      </w:r>
      <w:r w:rsidR="00F526DC">
        <w:t xml:space="preserve">Three </w:t>
      </w:r>
      <w:r w:rsidR="00AC523C">
        <w:t>model structures</w:t>
      </w:r>
      <w:r w:rsidR="0095110C">
        <w:t xml:space="preserve"> (A, B, C)</w:t>
      </w:r>
      <w:r w:rsidR="00F526DC">
        <w:t xml:space="preserve"> will be considered in this study</w:t>
      </w:r>
      <w:r w:rsidR="00D76071">
        <w:t>. I</w:t>
      </w:r>
      <w:r w:rsidR="0095110C">
        <w:t xml:space="preserve">n </w:t>
      </w:r>
      <w:r w:rsidR="000204DC">
        <w:t xml:space="preserve">case </w:t>
      </w:r>
      <w:r w:rsidR="0095110C">
        <w:t>C</w:t>
      </w:r>
      <w:r w:rsidR="00502574">
        <w:t>,</w:t>
      </w:r>
      <w:r w:rsidR="0095110C">
        <w:t xml:space="preserve"> an additional compartment “environment” is </w:t>
      </w:r>
      <w:r w:rsidR="009A16F1">
        <w:t>included in the model</w:t>
      </w:r>
      <w:r w:rsidR="00575799">
        <w:t xml:space="preserve">, </w:t>
      </w:r>
      <w:r w:rsidR="00575799">
        <w:rPr>
          <w:lang w:val="en-GB"/>
        </w:rPr>
        <w:t>representing the AI lost form the droplet due to volatility</w:t>
      </w:r>
      <w:r w:rsidR="00720DA5">
        <w:rPr>
          <w:lang w:val="en-GB"/>
        </w:rPr>
        <w:t>, while other loss terms preventing the AI penetration such as photo-</w:t>
      </w:r>
      <w:r w:rsidR="009A16F1">
        <w:t xml:space="preserve"> </w:t>
      </w:r>
      <w:r w:rsidR="004236E9">
        <w:t>or chemical-</w:t>
      </w:r>
      <w:r w:rsidR="003F3E39">
        <w:t xml:space="preserve">instability </w:t>
      </w:r>
      <w:r w:rsidR="00720DA5">
        <w:t xml:space="preserve">of the molecule </w:t>
      </w:r>
      <w:r w:rsidR="004236E9">
        <w:t xml:space="preserve">are </w:t>
      </w:r>
      <w:r w:rsidR="00F86A1E">
        <w:t>represented</w:t>
      </w:r>
      <w:r w:rsidR="003F3E39">
        <w:t xml:space="preserve"> with the </w:t>
      </w:r>
      <w:r w:rsidR="00F86A1E">
        <w:t xml:space="preserve">transfer rate </w:t>
      </w:r>
      <m:oMath>
        <m:sSub>
          <m:sSubPr>
            <m:ctrlPr>
              <w:rPr>
                <w:rFonts w:ascii="Cambria Math" w:hAnsi="Cambria Math"/>
                <w:i/>
              </w:rPr>
            </m:ctrlPr>
          </m:sSubPr>
          <m:e>
            <m:r>
              <w:rPr>
                <w:rFonts w:ascii="Cambria Math" w:hAnsi="Cambria Math"/>
              </w:rPr>
              <m:t>k</m:t>
            </m:r>
          </m:e>
          <m:sub>
            <m:r>
              <w:rPr>
                <w:rFonts w:ascii="Cambria Math" w:hAnsi="Cambria Math"/>
              </w:rPr>
              <m:t>drop-loss</m:t>
            </m:r>
          </m:sub>
        </m:sSub>
      </m:oMath>
      <w:r w:rsidR="00F86A1E">
        <w:t xml:space="preserve">. </w:t>
      </w:r>
      <w:r w:rsidR="008E58E5">
        <w:t>The store compartment refers to AI cry</w:t>
      </w:r>
      <w:r w:rsidR="00184F50">
        <w:t>stallized on the leaf surface.</w:t>
      </w:r>
      <w:r w:rsidR="00F86A1E">
        <w:t xml:space="preserve"> </w:t>
      </w:r>
      <w:r w:rsidR="00D62DB0">
        <w:t xml:space="preserve">The model equations are a system of ODEs </w:t>
      </w:r>
      <w:r w:rsidR="001B4180">
        <w:t>describing the dynamic change in mass of AI in the different compartment</w:t>
      </w:r>
      <w:r w:rsidR="009A16F1">
        <w:t xml:space="preserve">s, as expressed in </w:t>
      </w:r>
      <w:r w:rsidR="00502574">
        <w:t>E</w:t>
      </w:r>
      <w:r w:rsidR="009A16F1" w:rsidRPr="00BA1A31">
        <w:t xml:space="preserve">quation </w:t>
      </w:r>
      <w:r w:rsidR="00BA1A31" w:rsidRPr="00BA1A31">
        <w:t>(</w:t>
      </w:r>
      <w:r w:rsidR="00145BAC">
        <w:t>6</w:t>
      </w:r>
      <w:r w:rsidR="00BA1A31" w:rsidRPr="00BA1A31">
        <w:t>)</w:t>
      </w:r>
      <w:r w:rsidR="00BE5742" w:rsidRPr="00BA1A31">
        <w:t>.</w:t>
      </w:r>
      <w:r w:rsidR="00C42E2B">
        <w:t xml:space="preserve"> </w:t>
      </w:r>
    </w:p>
    <w:tbl>
      <w:tblPr>
        <w:tblW w:w="7087" w:type="dxa"/>
        <w:tblLook w:val="04A0" w:firstRow="1" w:lastRow="0" w:firstColumn="1" w:lastColumn="0" w:noHBand="0" w:noVBand="1"/>
      </w:tblPr>
      <w:tblGrid>
        <w:gridCol w:w="6111"/>
        <w:gridCol w:w="976"/>
      </w:tblGrid>
      <w:tr w:rsidR="00C42E2B" w:rsidRPr="00BA1A31" w14:paraId="1D0FB670" w14:textId="77777777" w:rsidTr="00A87BEF">
        <w:tc>
          <w:tcPr>
            <w:tcW w:w="6111" w:type="dxa"/>
            <w:shd w:val="clear" w:color="auto" w:fill="auto"/>
            <w:vAlign w:val="center"/>
          </w:tcPr>
          <w:p w14:paraId="312F4671" w14:textId="77777777" w:rsidR="00C42E2B" w:rsidRPr="00082A44" w:rsidRDefault="003E2E63" w:rsidP="00A87BEF">
            <w:pPr>
              <w:pStyle w:val="Els-body-text"/>
              <w:spacing w:before="120" w:after="120" w:line="264" w:lineRule="auto"/>
              <w:rPr>
                <w:lang w:val="en-GB"/>
              </w:rPr>
            </w:pPr>
            <m:oMathPara>
              <m:oMathParaPr>
                <m:jc m:val="left"/>
              </m:oMathParaPr>
              <m:oMath>
                <m:f>
                  <m:fPr>
                    <m:ctrlPr>
                      <w:rPr>
                        <w:rFonts w:ascii="Cambria Math" w:hAnsi="Cambria Math"/>
                        <w:i/>
                        <w:iCs/>
                        <w:lang w:val="en-GB"/>
                      </w:rPr>
                    </m:ctrlPr>
                  </m:fPr>
                  <m:num>
                    <m:r>
                      <w:rPr>
                        <w:rFonts w:ascii="Cambria Math" w:hAnsi="Cambria Math"/>
                        <w:lang w:val="en-GB"/>
                      </w:rPr>
                      <m:t>d</m:t>
                    </m:r>
                    <m:sSub>
                      <m:sSubPr>
                        <m:ctrlPr>
                          <w:rPr>
                            <w:rFonts w:ascii="Cambria Math" w:hAnsi="Cambria Math"/>
                            <w:i/>
                            <w:iCs/>
                            <w:lang w:val="en-GB"/>
                          </w:rPr>
                        </m:ctrlPr>
                      </m:sSubPr>
                      <m:e>
                        <m:r>
                          <w:rPr>
                            <w:rFonts w:ascii="Cambria Math" w:hAnsi="Cambria Math"/>
                            <w:lang w:val="en-GB"/>
                          </w:rPr>
                          <m:t>m</m:t>
                        </m:r>
                      </m:e>
                      <m:sub>
                        <m:r>
                          <w:rPr>
                            <w:rFonts w:ascii="Cambria Math" w:hAnsi="Cambria Math"/>
                            <w:lang w:val="en-GB"/>
                          </w:rPr>
                          <m:t>i</m:t>
                        </m:r>
                      </m:sub>
                    </m:sSub>
                  </m:num>
                  <m:den>
                    <m:r>
                      <w:rPr>
                        <w:rFonts w:ascii="Cambria Math" w:hAnsi="Cambria Math"/>
                        <w:lang w:val="en-GB"/>
                      </w:rPr>
                      <m:t>dt</m:t>
                    </m:r>
                  </m:den>
                </m:f>
                <m:r>
                  <w:rPr>
                    <w:rFonts w:ascii="Cambria Math" w:hAnsi="Cambria Math"/>
                    <w:lang w:val="en-GB"/>
                  </w:rPr>
                  <m:t>=</m:t>
                </m:r>
                <m:nary>
                  <m:naryPr>
                    <m:chr m:val="∑"/>
                    <m:limLoc m:val="subSup"/>
                    <m:supHide m:val="1"/>
                    <m:ctrlPr>
                      <w:rPr>
                        <w:rFonts w:ascii="Cambria Math" w:hAnsi="Cambria Math"/>
                        <w:i/>
                        <w:iCs/>
                        <w:lang w:val="en-GB"/>
                      </w:rPr>
                    </m:ctrlPr>
                  </m:naryPr>
                  <m:sub>
                    <m:r>
                      <w:rPr>
                        <w:rFonts w:ascii="Cambria Math" w:hAnsi="Cambria Math"/>
                        <w:lang w:val="en-GB"/>
                      </w:rPr>
                      <m:t>j</m:t>
                    </m:r>
                  </m:sub>
                  <m:sup/>
                  <m:e>
                    <m:r>
                      <w:rPr>
                        <w:rFonts w:ascii="Cambria Math" w:hAnsi="Cambria Math"/>
                        <w:lang w:val="en-GB"/>
                      </w:rPr>
                      <m:t>(</m:t>
                    </m:r>
                    <m:sSub>
                      <m:sSubPr>
                        <m:ctrlPr>
                          <w:rPr>
                            <w:rFonts w:ascii="Cambria Math" w:hAnsi="Cambria Math"/>
                            <w:i/>
                            <w:iCs/>
                            <w:lang w:val="en-GB"/>
                          </w:rPr>
                        </m:ctrlPr>
                      </m:sSubPr>
                      <m:e>
                        <m:r>
                          <w:rPr>
                            <w:rFonts w:ascii="Cambria Math" w:hAnsi="Cambria Math"/>
                            <w:lang w:val="en-GB"/>
                          </w:rPr>
                          <m:t>k</m:t>
                        </m:r>
                      </m:e>
                      <m:sub>
                        <m:r>
                          <w:rPr>
                            <w:rFonts w:ascii="Cambria Math" w:hAnsi="Cambria Math"/>
                            <w:lang w:val="en-GB"/>
                          </w:rPr>
                          <m:t>ji</m:t>
                        </m:r>
                      </m:sub>
                    </m:sSub>
                    <m:sSub>
                      <m:sSubPr>
                        <m:ctrlPr>
                          <w:rPr>
                            <w:rFonts w:ascii="Cambria Math" w:hAnsi="Cambria Math"/>
                            <w:i/>
                            <w:iCs/>
                            <w:lang w:val="en-GB"/>
                          </w:rPr>
                        </m:ctrlPr>
                      </m:sSubPr>
                      <m:e>
                        <m:r>
                          <w:rPr>
                            <w:rFonts w:ascii="Cambria Math" w:hAnsi="Cambria Math"/>
                            <w:lang w:val="en-GB"/>
                          </w:rPr>
                          <m:t>m</m:t>
                        </m:r>
                      </m:e>
                      <m:sub>
                        <m:r>
                          <w:rPr>
                            <w:rFonts w:ascii="Cambria Math" w:hAnsi="Cambria Math"/>
                            <w:lang w:val="en-GB"/>
                          </w:rPr>
                          <m:t>j</m:t>
                        </m:r>
                      </m:sub>
                    </m:sSub>
                    <m:r>
                      <w:rPr>
                        <w:rFonts w:ascii="Cambria Math" w:hAnsi="Cambria Math"/>
                        <w:lang w:val="en-GB"/>
                      </w:rPr>
                      <m:t>- </m:t>
                    </m:r>
                    <m:sSub>
                      <m:sSubPr>
                        <m:ctrlPr>
                          <w:rPr>
                            <w:rFonts w:ascii="Cambria Math" w:hAnsi="Cambria Math"/>
                            <w:i/>
                            <w:iCs/>
                            <w:lang w:val="en-GB"/>
                          </w:rPr>
                        </m:ctrlPr>
                      </m:sSubPr>
                      <m:e>
                        <m:r>
                          <w:rPr>
                            <w:rFonts w:ascii="Cambria Math" w:hAnsi="Cambria Math"/>
                            <w:lang w:val="en-GB"/>
                          </w:rPr>
                          <m:t>k</m:t>
                        </m:r>
                      </m:e>
                      <m:sub>
                        <m:r>
                          <w:rPr>
                            <w:rFonts w:ascii="Cambria Math" w:hAnsi="Cambria Math"/>
                            <w:lang w:val="en-GB"/>
                          </w:rPr>
                          <m:t>ij</m:t>
                        </m:r>
                      </m:sub>
                    </m:sSub>
                    <m:sSub>
                      <m:sSubPr>
                        <m:ctrlPr>
                          <w:rPr>
                            <w:rFonts w:ascii="Cambria Math" w:hAnsi="Cambria Math"/>
                            <w:i/>
                            <w:iCs/>
                            <w:lang w:val="en-GB"/>
                          </w:rPr>
                        </m:ctrlPr>
                      </m:sSubPr>
                      <m:e>
                        <m:r>
                          <w:rPr>
                            <w:rFonts w:ascii="Cambria Math" w:hAnsi="Cambria Math"/>
                            <w:lang w:val="en-GB"/>
                          </w:rPr>
                          <m:t>m</m:t>
                        </m:r>
                      </m:e>
                      <m:sub>
                        <m:r>
                          <w:rPr>
                            <w:rFonts w:ascii="Cambria Math" w:hAnsi="Cambria Math"/>
                            <w:lang w:val="en-GB"/>
                          </w:rPr>
                          <m:t>i</m:t>
                        </m:r>
                      </m:sub>
                    </m:sSub>
                    <m:r>
                      <w:rPr>
                        <w:rFonts w:ascii="Cambria Math" w:hAnsi="Cambria Math"/>
                        <w:lang w:val="en-GB"/>
                      </w:rPr>
                      <m:t>)</m:t>
                    </m:r>
                  </m:e>
                </m:nary>
              </m:oMath>
            </m:oMathPara>
          </w:p>
        </w:tc>
        <w:tc>
          <w:tcPr>
            <w:tcW w:w="976" w:type="dxa"/>
            <w:shd w:val="clear" w:color="auto" w:fill="auto"/>
            <w:vAlign w:val="center"/>
          </w:tcPr>
          <w:p w14:paraId="7DAE26B4" w14:textId="4491D736" w:rsidR="00C42E2B" w:rsidRPr="00BA1A31" w:rsidRDefault="00C42E2B" w:rsidP="00A87BEF">
            <w:pPr>
              <w:pStyle w:val="Els-body-text"/>
              <w:spacing w:before="120" w:after="120" w:line="264" w:lineRule="auto"/>
              <w:jc w:val="right"/>
              <w:rPr>
                <w:lang w:val="en-GB"/>
              </w:rPr>
            </w:pPr>
            <w:r w:rsidRPr="00BA1A31">
              <w:rPr>
                <w:lang w:val="en-GB"/>
              </w:rPr>
              <w:t>(</w:t>
            </w:r>
            <w:r w:rsidR="00145BAC">
              <w:rPr>
                <w:lang w:val="en-GB"/>
              </w:rPr>
              <w:t>6</w:t>
            </w:r>
            <w:r w:rsidRPr="00BA1A31">
              <w:rPr>
                <w:lang w:val="en-GB"/>
              </w:rPr>
              <w:t>)</w:t>
            </w:r>
          </w:p>
        </w:tc>
      </w:tr>
    </w:tbl>
    <w:p w14:paraId="742D7D14" w14:textId="730408ED" w:rsidR="00133C60" w:rsidRPr="0087221D" w:rsidRDefault="00133C60" w:rsidP="00623B26">
      <w:pPr>
        <w:pStyle w:val="Didascalia"/>
        <w:jc w:val="both"/>
      </w:pPr>
      <w:r>
        <w:rPr>
          <w:noProof/>
        </w:rPr>
        <w:lastRenderedPageBreak/>
        <w:drawing>
          <wp:inline distT="0" distB="0" distL="0" distR="0" wp14:anchorId="1024677F" wp14:editId="06F7720B">
            <wp:extent cx="4320000" cy="1253154"/>
            <wp:effectExtent l="0" t="0" r="4445" b="4445"/>
            <wp:docPr id="2006253489" name="Picture 1" descr="A diagram of a droplet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53489" name="Picture 1" descr="A diagram of a droplet stor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1253154"/>
                    </a:xfrm>
                    <a:prstGeom prst="rect">
                      <a:avLst/>
                    </a:prstGeom>
                    <a:noFill/>
                  </pic:spPr>
                </pic:pic>
              </a:graphicData>
            </a:graphic>
          </wp:inline>
        </w:drawing>
      </w:r>
      <w:r w:rsidRPr="0087221D">
        <w:t xml:space="preserve">Figure </w:t>
      </w:r>
      <w:r w:rsidRPr="0087221D">
        <w:fldChar w:fldCharType="begin"/>
      </w:r>
      <w:r w:rsidRPr="0087221D">
        <w:instrText xml:space="preserve"> SEQ Figure \* ARABIC </w:instrText>
      </w:r>
      <w:r w:rsidRPr="0087221D">
        <w:fldChar w:fldCharType="separate"/>
      </w:r>
      <w:r w:rsidR="00F94A25">
        <w:rPr>
          <w:noProof/>
        </w:rPr>
        <w:t>2</w:t>
      </w:r>
      <w:r w:rsidRPr="0087221D">
        <w:fldChar w:fldCharType="end"/>
      </w:r>
      <w:r w:rsidRPr="0087221D">
        <w:t xml:space="preserve"> Graphical representation of the three compartmental model structures A, B and C. The pins departing from the compartments indicate the observed states in the system.</w:t>
      </w:r>
    </w:p>
    <w:p w14:paraId="1914DD23" w14:textId="4B0E58D0" w:rsidR="00A02F95" w:rsidRDefault="006D7019" w:rsidP="00C6796E">
      <w:pPr>
        <w:pStyle w:val="Els-body-text"/>
        <w:rPr>
          <w:lang w:val="en-GB"/>
        </w:rPr>
      </w:pPr>
      <w:r w:rsidRPr="007D16B6">
        <w:t>In (7)</w:t>
      </w:r>
      <w:r w:rsidR="00317FC9" w:rsidRPr="007D16B6">
        <w:t xml:space="preserve"> </w:t>
      </w:r>
      <m:oMath>
        <m:sSub>
          <m:sSubPr>
            <m:ctrlPr>
              <w:rPr>
                <w:rFonts w:ascii="Cambria Math" w:hAnsi="Cambria Math"/>
                <w:i/>
                <w:iCs/>
                <w:lang w:val="en-GB"/>
              </w:rPr>
            </m:ctrlPr>
          </m:sSubPr>
          <m:e>
            <m:r>
              <w:rPr>
                <w:rFonts w:ascii="Cambria Math" w:hAnsi="Cambria Math"/>
                <w:lang w:val="en-GB"/>
              </w:rPr>
              <m:t>m</m:t>
            </m:r>
          </m:e>
          <m:sub>
            <m:r>
              <w:rPr>
                <w:rFonts w:ascii="Cambria Math" w:hAnsi="Cambria Math"/>
                <w:lang w:val="en-GB"/>
              </w:rPr>
              <m:t>i</m:t>
            </m:r>
          </m:sub>
        </m:sSub>
      </m:oMath>
      <w:r w:rsidR="00122307" w:rsidRPr="007D16B6">
        <w:rPr>
          <w:iCs/>
          <w:lang w:val="en-GB"/>
        </w:rPr>
        <w:t xml:space="preserve"> </w:t>
      </w:r>
      <w:r w:rsidR="00317FC9" w:rsidRPr="007D16B6">
        <w:rPr>
          <w:iCs/>
          <w:lang w:val="en-GB"/>
        </w:rPr>
        <w:t>[</w:t>
      </w:r>
      <w:r w:rsidR="00122307" w:rsidRPr="007D16B6">
        <w:rPr>
          <w:iCs/>
          <w:lang w:val="en-GB"/>
        </w:rPr>
        <w:t>µg</w:t>
      </w:r>
      <w:r w:rsidR="00317FC9" w:rsidRPr="007D16B6">
        <w:rPr>
          <w:iCs/>
          <w:lang w:val="en-GB"/>
        </w:rPr>
        <w:t>] indicates the mass</w:t>
      </w:r>
      <w:r w:rsidR="00122307" w:rsidRPr="007D16B6">
        <w:rPr>
          <w:iCs/>
          <w:lang w:val="en-GB"/>
        </w:rPr>
        <w:t xml:space="preserve"> of AI in compartment</w:t>
      </w:r>
      <w:r w:rsidR="00122307" w:rsidRPr="007D16B6">
        <w:rPr>
          <w:rFonts w:ascii="Cambria Math" w:hAnsi="Cambria Math"/>
          <w:i/>
          <w:lang w:val="en-GB"/>
        </w:rPr>
        <w:t xml:space="preserve"> </w:t>
      </w:r>
      <m:oMath>
        <m:r>
          <w:rPr>
            <w:rFonts w:ascii="Cambria Math" w:hAnsi="Cambria Math"/>
            <w:lang w:val="en-GB"/>
          </w:rPr>
          <m:t>i</m:t>
        </m:r>
      </m:oMath>
      <w:r w:rsidR="00122307" w:rsidRPr="007D16B6">
        <w:rPr>
          <w:iCs/>
          <w:lang w:val="en-GB"/>
        </w:rPr>
        <w:t>,</w:t>
      </w:r>
      <w:r w:rsidR="00B96496" w:rsidRPr="007D16B6">
        <w:rPr>
          <w:iCs/>
          <w:lang w:val="en-GB"/>
        </w:rPr>
        <w:t xml:space="preserve"> and </w:t>
      </w:r>
      <m:oMath>
        <m:sSub>
          <m:sSubPr>
            <m:ctrlPr>
              <w:rPr>
                <w:rFonts w:ascii="Cambria Math" w:hAnsi="Cambria Math"/>
                <w:i/>
                <w:iCs/>
                <w:lang w:val="en-GB"/>
              </w:rPr>
            </m:ctrlPr>
          </m:sSubPr>
          <m:e>
            <m:r>
              <w:rPr>
                <w:rFonts w:ascii="Cambria Math" w:hAnsi="Cambria Math"/>
                <w:lang w:val="en-GB"/>
              </w:rPr>
              <m:t>k</m:t>
            </m:r>
          </m:e>
          <m:sub>
            <m:r>
              <w:rPr>
                <w:rFonts w:ascii="Cambria Math" w:hAnsi="Cambria Math"/>
                <w:lang w:val="en-GB"/>
              </w:rPr>
              <m:t>ij</m:t>
            </m:r>
          </m:sub>
        </m:sSub>
      </m:oMath>
      <w:r w:rsidR="00B96496" w:rsidRPr="007D16B6">
        <w:rPr>
          <w:iCs/>
          <w:lang w:val="en-GB"/>
        </w:rPr>
        <w:t xml:space="preserve"> [µg/min]</w:t>
      </w:r>
      <w:r w:rsidR="00122307" w:rsidRPr="007D16B6">
        <w:rPr>
          <w:iCs/>
          <w:lang w:val="en-GB"/>
        </w:rPr>
        <w:t xml:space="preserve"> </w:t>
      </w:r>
      <w:r w:rsidR="00B96496" w:rsidRPr="007D16B6">
        <w:rPr>
          <w:iCs/>
          <w:lang w:val="en-GB"/>
        </w:rPr>
        <w:t xml:space="preserve">the transfer rate of </w:t>
      </w:r>
      <w:r w:rsidR="009A35CA" w:rsidRPr="007D16B6">
        <w:rPr>
          <w:iCs/>
          <w:lang w:val="en-GB"/>
        </w:rPr>
        <w:t>AI from compartment</w:t>
      </w:r>
      <w:r w:rsidR="009A35CA" w:rsidRPr="007D16B6">
        <w:rPr>
          <w:rFonts w:ascii="Cambria Math" w:hAnsi="Cambria Math"/>
          <w:i/>
          <w:lang w:val="en-GB"/>
        </w:rPr>
        <w:t xml:space="preserve"> </w:t>
      </w:r>
      <m:oMath>
        <m:r>
          <w:rPr>
            <w:rFonts w:ascii="Cambria Math" w:hAnsi="Cambria Math"/>
            <w:lang w:val="en-GB"/>
          </w:rPr>
          <m:t>i</m:t>
        </m:r>
      </m:oMath>
      <w:r w:rsidR="009A35CA" w:rsidRPr="007D16B6">
        <w:t xml:space="preserve"> to </w:t>
      </w:r>
      <w:proofErr w:type="spellStart"/>
      <w:r w:rsidR="009A35CA" w:rsidRPr="007D16B6">
        <w:rPr>
          <w:iCs/>
          <w:lang w:val="en-GB"/>
        </w:rPr>
        <w:t>compartment</w:t>
      </w:r>
      <w:proofErr w:type="spellEnd"/>
      <w:r w:rsidR="009A35CA" w:rsidRPr="007D16B6">
        <w:rPr>
          <w:rFonts w:ascii="Cambria Math" w:hAnsi="Cambria Math"/>
          <w:i/>
          <w:lang w:val="en-GB"/>
        </w:rPr>
        <w:t xml:space="preserve"> </w:t>
      </w:r>
      <m:oMath>
        <m:r>
          <w:rPr>
            <w:rFonts w:ascii="Cambria Math" w:hAnsi="Cambria Math"/>
            <w:lang w:val="en-GB"/>
          </w:rPr>
          <m:t>j</m:t>
        </m:r>
      </m:oMath>
      <w:r w:rsidR="009A35CA" w:rsidRPr="007D16B6">
        <w:t xml:space="preserve">. With respect to the generic formulation </w:t>
      </w:r>
      <w:r w:rsidR="007F5535" w:rsidRPr="007D16B6">
        <w:t xml:space="preserve">presented in </w:t>
      </w:r>
      <w:r w:rsidR="008F0B31">
        <w:t>E</w:t>
      </w:r>
      <w:r w:rsidR="00111FAF" w:rsidRPr="007D16B6">
        <w:t>q.</w:t>
      </w:r>
      <w:r w:rsidR="007F5535" w:rsidRPr="007D16B6">
        <w:t xml:space="preserve"> </w:t>
      </w:r>
      <w:r w:rsidR="00111FAF" w:rsidRPr="007D16B6">
        <w:t>(</w:t>
      </w:r>
      <w:r w:rsidR="00BE5742" w:rsidRPr="007D16B6">
        <w:t>1</w:t>
      </w:r>
      <w:r w:rsidR="00111FAF" w:rsidRPr="007D16B6">
        <w:t>)</w:t>
      </w:r>
      <w:r w:rsidR="00BE2305" w:rsidRPr="007D16B6">
        <w:t xml:space="preserve">, </w:t>
      </w:r>
      <w:r w:rsidR="008F256E" w:rsidRPr="007D16B6">
        <w:t xml:space="preserve">the </w:t>
      </w:r>
      <w:r w:rsidR="008F256E">
        <w:t>vector of state variables is</w:t>
      </w:r>
      <w:r w:rsidR="008F256E" w:rsidRPr="00E25D92">
        <w:rPr>
          <w:b/>
          <w:bCs/>
          <w:iCs/>
        </w:rPr>
        <w:t xml:space="preserve"> </w:t>
      </w:r>
      <m:oMath>
        <m:r>
          <m:rPr>
            <m:sty m:val="b"/>
          </m:rPr>
          <w:rPr>
            <w:rFonts w:ascii="Cambria Math" w:hAnsi="Cambria Math"/>
          </w:rPr>
          <m:t>x:</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i</m:t>
                </m:r>
              </m:sub>
            </m:sSub>
          </m:e>
        </m:d>
      </m:oMath>
      <w:r w:rsidR="00E17311">
        <w:t xml:space="preserve">, </w:t>
      </w:r>
      <w:r w:rsidR="00E25D92">
        <w:t xml:space="preserve">and the model parameters are </w:t>
      </w:r>
      <m:oMath>
        <m:r>
          <m:rPr>
            <m:sty m:val="b"/>
          </m:rPr>
          <w:rPr>
            <w:rFonts w:ascii="Cambria Math" w:hAnsi="Cambria Math"/>
          </w:rPr>
          <m:t>θ:</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ij</m:t>
                </m:r>
              </m:sub>
            </m:sSub>
          </m:e>
        </m:d>
      </m:oMath>
      <w:r w:rsidR="00E17311">
        <w:t xml:space="preserve">. </w:t>
      </w:r>
      <w:r w:rsidR="001B33FE">
        <w:t xml:space="preserve">No inputs </w:t>
      </w:r>
      <m:oMath>
        <m:r>
          <m:rPr>
            <m:sty m:val="b"/>
          </m:rPr>
          <w:rPr>
            <w:rFonts w:ascii="Cambria Math" w:hAnsi="Cambria Math"/>
          </w:rPr>
          <m:t>u</m:t>
        </m:r>
      </m:oMath>
      <w:r w:rsidR="001B33FE">
        <w:t xml:space="preserve"> are present in the system.</w:t>
      </w:r>
      <w:r w:rsidR="00C6796E">
        <w:t xml:space="preserve"> The vector of the observables output </w:t>
      </w:r>
      <m:oMath>
        <m:r>
          <m:rPr>
            <m:sty m:val="b"/>
          </m:rPr>
          <w:rPr>
            <w:rFonts w:ascii="Cambria Math" w:hAnsi="Cambria Math"/>
          </w:rPr>
          <m:t>y</m:t>
        </m:r>
      </m:oMath>
      <w:r w:rsidR="00C6796E">
        <w:t xml:space="preserve"> changes among the three models: in the case A and C three states are observed, i.e. </w:t>
      </w:r>
      <m:oMath>
        <m:sSub>
          <m:sSubPr>
            <m:ctrlPr>
              <w:rPr>
                <w:rFonts w:ascii="Cambria Math" w:eastAsiaTheme="minorHAnsi" w:hAnsi="Cambria Math"/>
                <w:lang w:val="en-GB"/>
              </w:rPr>
            </m:ctrlPr>
          </m:sSubPr>
          <m:e>
            <m:r>
              <w:rPr>
                <w:rFonts w:ascii="Cambria Math" w:hAnsi="Cambria Math"/>
                <w:lang w:val="en-GB"/>
              </w:rPr>
              <m:t>m</m:t>
            </m:r>
            <m:ctrlPr>
              <w:rPr>
                <w:rFonts w:ascii="Cambria Math" w:hAnsi="Cambria Math"/>
                <w:lang w:val="en-GB"/>
              </w:rPr>
            </m:ctrlPr>
          </m:e>
          <m:sub>
            <m:r>
              <w:rPr>
                <w:rFonts w:ascii="Cambria Math" w:hAnsi="Cambria Math"/>
                <w:lang w:val="en-GB"/>
              </w:rPr>
              <m:t>deposit</m:t>
            </m:r>
          </m:sub>
        </m:sSub>
      </m:oMath>
      <w:r w:rsidR="00C6796E">
        <w:rPr>
          <w:lang w:val="en-GB"/>
        </w:rPr>
        <w:t xml:space="preserve"> (being </w:t>
      </w:r>
      <m:oMath>
        <m:sSub>
          <m:sSubPr>
            <m:ctrlPr>
              <w:rPr>
                <w:rFonts w:ascii="Cambria Math" w:eastAsiaTheme="minorHAnsi" w:hAnsi="Cambria Math"/>
                <w:lang w:val="en-GB"/>
              </w:rPr>
            </m:ctrlPr>
          </m:sSubPr>
          <m:e>
            <m:r>
              <w:rPr>
                <w:rFonts w:ascii="Cambria Math" w:hAnsi="Cambria Math"/>
                <w:lang w:val="en-GB"/>
              </w:rPr>
              <m:t>m</m:t>
            </m:r>
          </m:e>
          <m:sub>
            <m:r>
              <w:rPr>
                <w:rFonts w:ascii="Cambria Math" w:hAnsi="Cambria Math"/>
                <w:lang w:val="en-GB"/>
              </w:rPr>
              <m:t>droplet+</m:t>
            </m:r>
          </m:sub>
        </m:sSub>
        <m:sSub>
          <m:sSubPr>
            <m:ctrlPr>
              <w:rPr>
                <w:rFonts w:ascii="Cambria Math" w:eastAsiaTheme="minorHAnsi" w:hAnsi="Cambria Math"/>
                <w:lang w:val="en-GB"/>
              </w:rPr>
            </m:ctrlPr>
          </m:sSubPr>
          <m:e>
            <m:r>
              <w:rPr>
                <w:rFonts w:ascii="Cambria Math" w:hAnsi="Cambria Math"/>
                <w:lang w:val="en-GB"/>
              </w:rPr>
              <m:t>m</m:t>
            </m:r>
            <m:ctrlPr>
              <w:rPr>
                <w:rFonts w:ascii="Cambria Math" w:hAnsi="Cambria Math"/>
                <w:lang w:val="en-GB"/>
              </w:rPr>
            </m:ctrlPr>
          </m:e>
          <m:sub>
            <m:r>
              <w:rPr>
                <w:rFonts w:ascii="Cambria Math" w:hAnsi="Cambria Math"/>
                <w:lang w:val="en-GB"/>
              </w:rPr>
              <m:t>store</m:t>
            </m:r>
          </m:sub>
        </m:sSub>
      </m:oMath>
      <w:r w:rsidR="00C6796E">
        <w:rPr>
          <w:lang w:val="en-GB"/>
        </w:rPr>
        <w:t xml:space="preserve">), </w:t>
      </w:r>
      <m:oMath>
        <m:sSub>
          <m:sSubPr>
            <m:ctrlPr>
              <w:rPr>
                <w:rFonts w:ascii="Cambria Math" w:eastAsiaTheme="minorHAnsi" w:hAnsi="Cambria Math"/>
                <w:lang w:val="en-GB"/>
              </w:rPr>
            </m:ctrlPr>
          </m:sSubPr>
          <m:e>
            <m:r>
              <w:rPr>
                <w:rFonts w:ascii="Cambria Math" w:hAnsi="Cambria Math"/>
                <w:lang w:val="en-GB"/>
              </w:rPr>
              <m:t>m</m:t>
            </m:r>
          </m:e>
          <m:sub>
            <m:r>
              <w:rPr>
                <w:rFonts w:ascii="Cambria Math" w:hAnsi="Cambria Math"/>
                <w:lang w:val="en-GB"/>
              </w:rPr>
              <m:t>cuticle</m:t>
            </m:r>
          </m:sub>
        </m:sSub>
      </m:oMath>
      <w:r w:rsidR="00C6796E">
        <w:rPr>
          <w:lang w:val="en-GB"/>
        </w:rPr>
        <w:t xml:space="preserve"> and </w:t>
      </w:r>
      <m:oMath>
        <m:sSub>
          <m:sSubPr>
            <m:ctrlPr>
              <w:rPr>
                <w:rFonts w:ascii="Cambria Math" w:eastAsiaTheme="minorHAnsi" w:hAnsi="Cambria Math"/>
                <w:lang w:val="en-GB"/>
              </w:rPr>
            </m:ctrlPr>
          </m:sSubPr>
          <m:e>
            <m:r>
              <w:rPr>
                <w:rFonts w:ascii="Cambria Math" w:hAnsi="Cambria Math"/>
                <w:lang w:val="en-GB"/>
              </w:rPr>
              <m:t>m</m:t>
            </m:r>
          </m:e>
          <m:sub>
            <m:r>
              <w:rPr>
                <w:rFonts w:ascii="Cambria Math" w:hAnsi="Cambria Math"/>
                <w:lang w:val="en-GB"/>
              </w:rPr>
              <m:t>tissue</m:t>
            </m:r>
          </m:sub>
        </m:sSub>
      </m:oMath>
      <w:r w:rsidR="00C6796E">
        <w:rPr>
          <w:lang w:val="en-GB"/>
        </w:rPr>
        <w:t xml:space="preserve">. In case B only the total amount of AI inside the leaf is measured, not decoupling the cuticle and the cellular tissue, so the observed states are </w:t>
      </w:r>
      <m:oMath>
        <m:sSub>
          <m:sSubPr>
            <m:ctrlPr>
              <w:rPr>
                <w:rFonts w:ascii="Cambria Math" w:eastAsiaTheme="minorHAnsi" w:hAnsi="Cambria Math"/>
                <w:lang w:val="en-GB"/>
              </w:rPr>
            </m:ctrlPr>
          </m:sSubPr>
          <m:e>
            <m:r>
              <w:rPr>
                <w:rFonts w:ascii="Cambria Math" w:hAnsi="Cambria Math"/>
                <w:lang w:val="en-GB"/>
              </w:rPr>
              <m:t>m</m:t>
            </m:r>
            <m:ctrlPr>
              <w:rPr>
                <w:rFonts w:ascii="Cambria Math" w:hAnsi="Cambria Math"/>
                <w:lang w:val="en-GB"/>
              </w:rPr>
            </m:ctrlPr>
          </m:e>
          <m:sub>
            <m:r>
              <w:rPr>
                <w:rFonts w:ascii="Cambria Math" w:hAnsi="Cambria Math"/>
                <w:lang w:val="en-GB"/>
              </w:rPr>
              <m:t>deposit</m:t>
            </m:r>
          </m:sub>
        </m:sSub>
        <m:r>
          <w:rPr>
            <w:rFonts w:ascii="Cambria Math" w:eastAsiaTheme="minorHAnsi" w:hAnsi="Cambria Math"/>
            <w:lang w:val="en-GB"/>
          </w:rPr>
          <m:t xml:space="preserve"> </m:t>
        </m:r>
      </m:oMath>
      <w:r w:rsidR="00C6796E">
        <w:rPr>
          <w:lang w:val="en-GB"/>
        </w:rPr>
        <w:t xml:space="preserve">and the sum </w:t>
      </w:r>
      <m:oMath>
        <m:sSub>
          <m:sSubPr>
            <m:ctrlPr>
              <w:rPr>
                <w:rFonts w:ascii="Cambria Math" w:eastAsiaTheme="minorHAnsi" w:hAnsi="Cambria Math"/>
                <w:lang w:val="en-GB"/>
              </w:rPr>
            </m:ctrlPr>
          </m:sSubPr>
          <m:e>
            <m:r>
              <w:rPr>
                <w:rFonts w:ascii="Cambria Math" w:hAnsi="Cambria Math"/>
                <w:lang w:val="en-GB"/>
              </w:rPr>
              <m:t>m</m:t>
            </m:r>
          </m:e>
          <m:sub>
            <m:r>
              <w:rPr>
                <w:rFonts w:ascii="Cambria Math" w:hAnsi="Cambria Math"/>
                <w:lang w:val="en-GB"/>
              </w:rPr>
              <m:t>cuticle</m:t>
            </m:r>
          </m:sub>
        </m:sSub>
        <m:r>
          <m:rPr>
            <m:sty m:val="p"/>
          </m:rPr>
          <w:rPr>
            <w:rFonts w:ascii="Cambria Math" w:hAnsi="Cambria Math"/>
            <w:lang w:val="en-GB"/>
          </w:rPr>
          <m:t xml:space="preserve">+ </m:t>
        </m:r>
        <m:sSub>
          <m:sSubPr>
            <m:ctrlPr>
              <w:rPr>
                <w:rFonts w:ascii="Cambria Math" w:eastAsiaTheme="minorHAnsi" w:hAnsi="Cambria Math"/>
                <w:lang w:val="en-GB"/>
              </w:rPr>
            </m:ctrlPr>
          </m:sSubPr>
          <m:e>
            <m:r>
              <w:rPr>
                <w:rFonts w:ascii="Cambria Math" w:hAnsi="Cambria Math"/>
                <w:lang w:val="en-GB"/>
              </w:rPr>
              <m:t>m</m:t>
            </m:r>
          </m:e>
          <m:sub>
            <m:r>
              <w:rPr>
                <w:rFonts w:ascii="Cambria Math" w:hAnsi="Cambria Math"/>
                <w:lang w:val="en-GB"/>
              </w:rPr>
              <m:t>tissue</m:t>
            </m:r>
          </m:sub>
        </m:sSub>
      </m:oMath>
      <w:r w:rsidR="00C6796E">
        <w:rPr>
          <w:lang w:val="en-GB"/>
        </w:rPr>
        <w:t>.</w:t>
      </w:r>
    </w:p>
    <w:p w14:paraId="144DE6A5" w14:textId="7653B693" w:rsidR="008D2649" w:rsidRPr="0034230E" w:rsidRDefault="00B530D9" w:rsidP="00BD5535">
      <w:pPr>
        <w:pStyle w:val="Els-1storder-head"/>
      </w:pPr>
      <w:r w:rsidRPr="0034230E">
        <w:t>Results</w:t>
      </w:r>
    </w:p>
    <w:p w14:paraId="701BD211" w14:textId="23969E64" w:rsidR="002037F6" w:rsidRDefault="002037F6" w:rsidP="002C05D0">
      <w:pPr>
        <w:pStyle w:val="Els-body-text"/>
        <w:spacing w:after="120"/>
      </w:pPr>
      <w:r>
        <w:rPr>
          <w:lang w:val="en-GB"/>
        </w:rPr>
        <w:t xml:space="preserve">The results of the identifiability tests </w:t>
      </w:r>
      <w:r w:rsidR="00FC6154">
        <w:rPr>
          <w:lang w:val="en-GB"/>
        </w:rPr>
        <w:t xml:space="preserve">are here presented along with a discussion of the findings and a comparison between the </w:t>
      </w:r>
      <w:r w:rsidR="002C05D0">
        <w:rPr>
          <w:lang w:val="en-GB"/>
        </w:rPr>
        <w:t>structural and practical identifiability results.</w:t>
      </w:r>
    </w:p>
    <w:p w14:paraId="637FC96F" w14:textId="77777777" w:rsidR="002037F6" w:rsidRPr="006E28EA" w:rsidRDefault="002037F6" w:rsidP="002037F6">
      <w:pPr>
        <w:pStyle w:val="Els-2ndorder-head"/>
        <w:spacing w:after="120"/>
        <w:rPr>
          <w:lang w:val="en-GB"/>
        </w:rPr>
      </w:pPr>
      <w:r>
        <w:rPr>
          <w:lang w:val="en-GB"/>
        </w:rPr>
        <w:t>A-priori structural identifiability</w:t>
      </w:r>
    </w:p>
    <w:p w14:paraId="40F2C627" w14:textId="77777777" w:rsidR="001A7E60" w:rsidRDefault="003F2FEE" w:rsidP="001A7E60">
      <w:pPr>
        <w:jc w:val="both"/>
      </w:pPr>
      <w:r w:rsidRPr="00734A3A">
        <w:t xml:space="preserve">For the structural identifiability analysis let indicate with </w:t>
      </w:r>
      <m:oMath>
        <m:sSup>
          <m:sSupPr>
            <m:ctrlPr>
              <w:rPr>
                <w:rFonts w:ascii="Cambria Math" w:hAnsi="Cambria Math"/>
              </w:rPr>
            </m:ctrlPr>
          </m:sSupPr>
          <m:e>
            <m:r>
              <m:rPr>
                <m:sty m:val="b"/>
              </m:rPr>
              <w:rPr>
                <w:rFonts w:ascii="Cambria Math" w:hAnsi="Cambria Math"/>
              </w:rPr>
              <m:t>θ</m:t>
            </m:r>
          </m:e>
          <m:sup>
            <m:r>
              <m:rPr>
                <m:sty m:val="p"/>
              </m:rPr>
              <w:rPr>
                <w:rFonts w:ascii="Cambria Math" w:hAnsi="Cambria Math"/>
              </w:rPr>
              <m:t>*</m:t>
            </m:r>
          </m:sup>
        </m:sSup>
      </m:oMath>
      <w:r w:rsidRPr="00734A3A">
        <w:t xml:space="preserve"> the true value of the parameter</w:t>
      </w:r>
      <w:r w:rsidR="005566FA" w:rsidRPr="00734A3A">
        <w:t xml:space="preserve">s </w:t>
      </w:r>
      <m:oMath>
        <m:r>
          <m:rPr>
            <m:sty m:val="b"/>
          </m:rPr>
          <w:rPr>
            <w:rFonts w:ascii="Cambria Math" w:hAnsi="Cambria Math"/>
          </w:rPr>
          <m:t>θ</m:t>
        </m:r>
      </m:oMath>
      <w:r w:rsidRPr="00734A3A">
        <w:t xml:space="preserve">. </w:t>
      </w:r>
      <w:r w:rsidR="002B47C3" w:rsidRPr="00734A3A">
        <w:t>In the con</w:t>
      </w:r>
      <w:r w:rsidR="00EB76CE" w:rsidRPr="00734A3A">
        <w:t xml:space="preserve">text of structural identifiability </w:t>
      </w:r>
      <w:r w:rsidR="00672581" w:rsidRPr="00734A3A">
        <w:t xml:space="preserve">a </w:t>
      </w:r>
      <w:r w:rsidR="00EB76CE" w:rsidRPr="00734A3A">
        <w:t xml:space="preserve">model </w:t>
      </w:r>
      <w:r w:rsidR="00672581" w:rsidRPr="00734A3A">
        <w:t xml:space="preserve">is defined </w:t>
      </w:r>
      <w:r w:rsidR="00F0759B" w:rsidRPr="00734A3A">
        <w:t xml:space="preserve">globally identifiable if </w:t>
      </w:r>
      <w:r w:rsidR="005D11C4" w:rsidRPr="00734A3A">
        <w:t xml:space="preserve">the </w:t>
      </w:r>
      <w:r w:rsidR="00672581" w:rsidRPr="00734A3A">
        <w:t xml:space="preserve">parameters </w:t>
      </w:r>
      <m:oMath>
        <m:r>
          <m:rPr>
            <m:sty m:val="b"/>
          </m:rPr>
          <w:rPr>
            <w:rFonts w:ascii="Cambria Math" w:hAnsi="Cambria Math"/>
          </w:rPr>
          <m:t>θ</m:t>
        </m:r>
      </m:oMath>
      <w:r w:rsidR="00BB43D8" w:rsidRPr="00734A3A">
        <w:t xml:space="preserve"> </w:t>
      </w:r>
      <w:r w:rsidR="00672581" w:rsidRPr="00734A3A">
        <w:t xml:space="preserve">are uniquely </w:t>
      </w:r>
      <w:r w:rsidR="009C215E" w:rsidRPr="00734A3A">
        <w:t xml:space="preserve">distinguished, locally identifiable if </w:t>
      </w:r>
      <w:r w:rsidR="00445C82" w:rsidRPr="00734A3A">
        <w:t xml:space="preserve">a finite number </w:t>
      </w:r>
      <w:r w:rsidR="00C370C1" w:rsidRPr="00734A3A">
        <w:t xml:space="preserve">of solutions </w:t>
      </w:r>
      <w:r w:rsidR="009F6F91" w:rsidRPr="00734A3A">
        <w:t xml:space="preserve">larger than </w:t>
      </w:r>
      <w:r w:rsidR="00DB05B2" w:rsidRPr="00734A3A">
        <w:t xml:space="preserve">one </w:t>
      </w:r>
      <w:r w:rsidR="00C370C1" w:rsidRPr="00734A3A">
        <w:t>is obtained</w:t>
      </w:r>
      <w:r w:rsidR="008C33C9" w:rsidRPr="00734A3A">
        <w:t xml:space="preserve"> for </w:t>
      </w:r>
      <m:oMath>
        <m:r>
          <m:rPr>
            <m:sty m:val="b"/>
          </m:rPr>
          <w:rPr>
            <w:rFonts w:ascii="Cambria Math" w:hAnsi="Cambria Math"/>
          </w:rPr>
          <m:t>θ</m:t>
        </m:r>
      </m:oMath>
      <w:r w:rsidR="008C33C9" w:rsidRPr="00734A3A">
        <w:t>,</w:t>
      </w:r>
      <w:r w:rsidR="00C370C1" w:rsidRPr="00734A3A">
        <w:t xml:space="preserve"> and nonidentifiable if</w:t>
      </w:r>
      <w:r w:rsidR="00B752FA" w:rsidRPr="00734A3A">
        <w:t xml:space="preserve"> </w:t>
      </w:r>
      <w:r w:rsidR="008C33C9" w:rsidRPr="00734A3A">
        <w:t>the system input-outputs lead to</w:t>
      </w:r>
      <w:r w:rsidR="00DE34B6" w:rsidRPr="00734A3A">
        <w:t xml:space="preserve"> </w:t>
      </w:r>
      <w:r w:rsidR="00B752FA" w:rsidRPr="00734A3A">
        <w:t xml:space="preserve">an infinite number </w:t>
      </w:r>
      <w:r w:rsidR="00DE34B6" w:rsidRPr="00734A3A">
        <w:t>of parameters values</w:t>
      </w:r>
      <w:r w:rsidR="00F032BD" w:rsidRPr="00734A3A">
        <w:t xml:space="preserve"> </w:t>
      </w:r>
      <w:r w:rsidR="00F032BD" w:rsidRPr="00734A3A">
        <w:fldChar w:fldCharType="begin"/>
      </w:r>
      <w:r w:rsidR="00F032BD" w:rsidRPr="00734A3A">
        <w:instrText xml:space="preserve"> ADDIN ZOTERO_ITEM CSL_CITATION {"citationID":"N3WoUhbD","properties":{"formattedCitation":"(Bellu et al., 2007)","plainCitation":"(Bellu et al., 2007)","noteIndex":0},"citationItems":[{"id":32,"uris":["http://zotero.org/users/10298825/items/HQKA7SDN"],"itemData":{"id":32,"type":"article-journal","abstract":"A priori global identifiability is a structural property of biological and physiological models. It is considered a prerequisite for well-posed estimation, since it concerns the possibility of recovering uniquely the unknown model parameters from measured input–output data, under ideal conditions (noise-free observations and error-free model structure). Of course, determining if the parameters can be uniquely recovered from observed data is essential before investing resources, time and effort in performing actual biomedical experiments. Many interesting biological models are nonlinear but identifiability analysis for nonlinear system turns out to be a difficult mathematical problem. Different methods have been proposed in the literature to test identifiability of nonlinear models but, to the best of our knowledge, so far no software tools have been proposed for automatically checking identifiability of nonlinear models. In this paper, we describe a software tool implementing a differential algebra algorithm to perform parameter identifiability analysis for (linear and) nonlinear dynamic models described by polynomial or rational equations. Our goal is to provide the biological investigator a completely automatized software, requiring minimum prior knowledge of mathematical modelling and no in-depth understanding of the mathematical tools. The DAISY (Differential Algebra for Identifiability of SYstems) software will potentially be useful in biological modelling studies, especially in physiology and clinical medicine, where research experiments are particularly expensive and/or difficult to perform. Practical examples of use of the software tool DAISY are presented. DAISY is available at the web site http://www.dei.unipd.it/</w:instrText>
      </w:r>
      <w:r w:rsidR="00F032BD" w:rsidRPr="00734A3A">
        <w:rPr>
          <w:rFonts w:ascii="Cambria Math" w:hAnsi="Cambria Math" w:cs="Cambria Math"/>
        </w:rPr>
        <w:instrText>∼</w:instrText>
      </w:r>
      <w:r w:rsidR="00F032BD" w:rsidRPr="00734A3A">
        <w:instrText xml:space="preserve">pia/.","container-title":"Computer Methods and Programs in Biomedicine","DOI":"10.1016/j.cmpb.2007.07.002","ISSN":"0169-2607","issue":"1","journalAbbreviation":"Computer Methods and Programs in Biomedicine","language":"en","page":"52-61","source":"ScienceDirect","title":"DAISY: A new software tool to test global identifiability of biological and physiological systems","title-short":"DAISY","volume":"88","author":[{"family":"Bellu","given":"Giuseppina"},{"family":"Saccomani","given":"Maria Pia"},{"family":"Audoly","given":"Stefania"},{"family":"D’Angiò","given":"Leontina"}],"issued":{"date-parts":[["2007",10,1]]}}}],"schema":"https://github.com/citation-style-language/schema/raw/master/csl-citation.json"} </w:instrText>
      </w:r>
      <w:r w:rsidR="00F032BD" w:rsidRPr="00734A3A">
        <w:fldChar w:fldCharType="separate"/>
      </w:r>
      <w:r w:rsidR="00F032BD" w:rsidRPr="00734A3A">
        <w:t>(Bellu et al., 2007)</w:t>
      </w:r>
      <w:r w:rsidR="00F032BD" w:rsidRPr="00734A3A">
        <w:fldChar w:fldCharType="end"/>
      </w:r>
      <w:r w:rsidR="00DE34B6" w:rsidRPr="00734A3A">
        <w:t xml:space="preserve">. </w:t>
      </w:r>
      <w:r w:rsidR="00ED3848" w:rsidRPr="00734A3A">
        <w:t xml:space="preserve">The results of the structural identifiability </w:t>
      </w:r>
      <w:r w:rsidR="00DF3F67" w:rsidRPr="00734A3A">
        <w:t xml:space="preserve">test conducted with the software DAISY are summarised in Table 1. </w:t>
      </w:r>
      <w:r w:rsidR="001236FD" w:rsidRPr="00734A3A">
        <w:t>M</w:t>
      </w:r>
      <w:r w:rsidR="005B41E2" w:rsidRPr="00734A3A">
        <w:t xml:space="preserve">odel </w:t>
      </w:r>
      <w:r w:rsidR="000D4DB1" w:rsidRPr="00734A3A">
        <w:t xml:space="preserve">parameters </w:t>
      </w:r>
      <w:r w:rsidR="005B41E2" w:rsidRPr="00734A3A">
        <w:t>result</w:t>
      </w:r>
      <w:r w:rsidR="00446FA5" w:rsidRPr="00734A3A">
        <w:t xml:space="preserve"> to be </w:t>
      </w:r>
      <w:r w:rsidR="005B41E2" w:rsidRPr="00734A3A">
        <w:t>non-identifiable in all the three scenarios considered</w:t>
      </w:r>
      <w:r w:rsidR="000559C6" w:rsidRPr="00734A3A">
        <w:t xml:space="preserve"> if no information about initial conditions is </w:t>
      </w:r>
      <w:r w:rsidR="00746668" w:rsidRPr="00734A3A">
        <w:t xml:space="preserve">available. </w:t>
      </w:r>
      <w:r w:rsidR="00307450" w:rsidRPr="00734A3A">
        <w:t>From this result it can be concluded that</w:t>
      </w:r>
      <w:r w:rsidR="0009539E" w:rsidRPr="00734A3A">
        <w:t xml:space="preserve"> </w:t>
      </w:r>
      <w:r w:rsidR="00817DD3" w:rsidRPr="00734A3A">
        <w:t xml:space="preserve">knowing the initial conditions of the system is crucial </w:t>
      </w:r>
      <w:r w:rsidR="004D2F5E" w:rsidRPr="00734A3A">
        <w:t>to ensure model identifiability</w:t>
      </w:r>
      <w:r w:rsidR="00AA0E61" w:rsidRPr="00734A3A">
        <w:t>, other</w:t>
      </w:r>
      <w:r w:rsidR="00344801" w:rsidRPr="00734A3A">
        <w:t>wise parameters would not be identifiable even in the ideal case of noise-free measurem</w:t>
      </w:r>
      <w:r w:rsidR="00A83B65" w:rsidRPr="00734A3A">
        <w:t>ents and total observability of the system.</w:t>
      </w:r>
      <w:r w:rsidR="004A4E27" w:rsidRPr="00734A3A">
        <w:t xml:space="preserve"> </w:t>
      </w:r>
    </w:p>
    <w:p w14:paraId="19CE5B39" w14:textId="4072C10B" w:rsidR="00734A3A" w:rsidRPr="00734A3A" w:rsidRDefault="001A7E60" w:rsidP="00B3122E">
      <w:pPr>
        <w:pStyle w:val="Els-caption"/>
        <w:jc w:val="both"/>
        <w:rPr>
          <w:sz w:val="20"/>
          <w:lang w:val="en-GB"/>
        </w:rPr>
      </w:pPr>
      <w:r w:rsidRPr="00B3122E">
        <w:rPr>
          <w:sz w:val="20"/>
          <w:lang w:val="en-GB"/>
        </w:rPr>
        <w:t xml:space="preserve">When initial conditions of the system are known, the model results to be globally identifiable in scenario A, locally identifiable in scenario B and non-identifiable in the scenario C. In scenario C the model is non-identifiable even with known initial conditions </w:t>
      </w:r>
    </w:p>
    <w:p w14:paraId="1083995B" w14:textId="4BB8E4A1" w:rsidR="004A4E27" w:rsidRDefault="004A4E27" w:rsidP="004A4E27">
      <w:pPr>
        <w:pStyle w:val="Didascalia"/>
        <w:keepNext/>
        <w:jc w:val="both"/>
      </w:pPr>
      <w:r>
        <w:t xml:space="preserve">Table </w:t>
      </w:r>
      <w:r>
        <w:fldChar w:fldCharType="begin"/>
      </w:r>
      <w:r>
        <w:instrText xml:space="preserve"> SEQ Table \* ARABIC </w:instrText>
      </w:r>
      <w:r>
        <w:fldChar w:fldCharType="separate"/>
      </w:r>
      <w:r w:rsidR="00F94A25">
        <w:rPr>
          <w:noProof/>
        </w:rPr>
        <w:t>1</w:t>
      </w:r>
      <w:r>
        <w:fldChar w:fldCharType="end"/>
      </w:r>
      <w:r>
        <w:t xml:space="preserve"> Summary of the a-priori structural identifiability results obtained with DAISY for the three scenarios A, B and C considering known and unknown initial conditions in the system.</w:t>
      </w:r>
    </w:p>
    <w:tbl>
      <w:tblPr>
        <w:tblStyle w:val="Grigliatabel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10"/>
        <w:gridCol w:w="1555"/>
        <w:gridCol w:w="1555"/>
        <w:gridCol w:w="1556"/>
      </w:tblGrid>
      <w:tr w:rsidR="004A4E27" w:rsidRPr="00014339" w14:paraId="7CD0C501" w14:textId="77777777" w:rsidTr="002D63CF">
        <w:trPr>
          <w:trHeight w:val="222"/>
        </w:trPr>
        <w:tc>
          <w:tcPr>
            <w:tcW w:w="2410" w:type="dxa"/>
            <w:tcBorders>
              <w:top w:val="single" w:sz="12" w:space="0" w:color="auto"/>
              <w:bottom w:val="single" w:sz="12" w:space="0" w:color="auto"/>
            </w:tcBorders>
          </w:tcPr>
          <w:p w14:paraId="239EF0B5" w14:textId="77777777" w:rsidR="004A4E27" w:rsidRPr="00255E6F" w:rsidRDefault="004A4E27" w:rsidP="002D63CF">
            <w:pPr>
              <w:rPr>
                <w:rFonts w:ascii="Times New Roman" w:hAnsi="Times New Roman" w:cs="Times New Roman"/>
                <w:b/>
                <w:bCs/>
                <w:sz w:val="20"/>
                <w:szCs w:val="20"/>
                <w:lang w:val="en-GB"/>
              </w:rPr>
            </w:pPr>
            <w:r w:rsidRPr="00255E6F">
              <w:rPr>
                <w:rFonts w:ascii="Times New Roman" w:hAnsi="Times New Roman" w:cs="Times New Roman"/>
                <w:b/>
                <w:bCs/>
                <w:sz w:val="20"/>
                <w:szCs w:val="20"/>
                <w:lang w:val="en-GB"/>
              </w:rPr>
              <w:t>Structural identifiability</w:t>
            </w:r>
          </w:p>
        </w:tc>
        <w:tc>
          <w:tcPr>
            <w:tcW w:w="1555" w:type="dxa"/>
            <w:tcBorders>
              <w:top w:val="single" w:sz="12" w:space="0" w:color="auto"/>
              <w:bottom w:val="single" w:sz="12" w:space="0" w:color="auto"/>
            </w:tcBorders>
          </w:tcPr>
          <w:p w14:paraId="23850F85" w14:textId="77777777" w:rsidR="004A4E27" w:rsidRPr="00255E6F" w:rsidRDefault="004A4E27" w:rsidP="002D63CF">
            <w:pPr>
              <w:rPr>
                <w:rFonts w:ascii="Times New Roman" w:hAnsi="Times New Roman" w:cs="Times New Roman"/>
                <w:b/>
                <w:bCs/>
                <w:sz w:val="20"/>
                <w:szCs w:val="20"/>
                <w:lang w:val="en-GB"/>
              </w:rPr>
            </w:pPr>
            <w:r w:rsidRPr="00255E6F">
              <w:rPr>
                <w:rFonts w:ascii="Times New Roman" w:hAnsi="Times New Roman" w:cs="Times New Roman"/>
                <w:b/>
                <w:bCs/>
                <w:sz w:val="20"/>
                <w:szCs w:val="20"/>
                <w:lang w:val="en-GB"/>
              </w:rPr>
              <w:t>Scenario A</w:t>
            </w:r>
          </w:p>
        </w:tc>
        <w:tc>
          <w:tcPr>
            <w:tcW w:w="1555" w:type="dxa"/>
            <w:tcBorders>
              <w:top w:val="single" w:sz="12" w:space="0" w:color="auto"/>
              <w:bottom w:val="single" w:sz="12" w:space="0" w:color="auto"/>
            </w:tcBorders>
          </w:tcPr>
          <w:p w14:paraId="42B12AE5" w14:textId="77777777" w:rsidR="004A4E27" w:rsidRPr="00255E6F" w:rsidRDefault="004A4E27" w:rsidP="002D63CF">
            <w:pPr>
              <w:rPr>
                <w:rFonts w:ascii="Times New Roman" w:hAnsi="Times New Roman" w:cs="Times New Roman"/>
                <w:b/>
                <w:bCs/>
                <w:sz w:val="20"/>
                <w:szCs w:val="20"/>
                <w:lang w:val="en-GB"/>
              </w:rPr>
            </w:pPr>
            <w:r w:rsidRPr="00255E6F">
              <w:rPr>
                <w:rFonts w:ascii="Times New Roman" w:hAnsi="Times New Roman" w:cs="Times New Roman"/>
                <w:b/>
                <w:bCs/>
                <w:sz w:val="20"/>
                <w:szCs w:val="20"/>
                <w:lang w:val="en-GB"/>
              </w:rPr>
              <w:t>Scenario B</w:t>
            </w:r>
          </w:p>
        </w:tc>
        <w:tc>
          <w:tcPr>
            <w:tcW w:w="1556" w:type="dxa"/>
            <w:tcBorders>
              <w:top w:val="single" w:sz="12" w:space="0" w:color="auto"/>
              <w:bottom w:val="single" w:sz="12" w:space="0" w:color="auto"/>
            </w:tcBorders>
          </w:tcPr>
          <w:p w14:paraId="21C77B45" w14:textId="77777777" w:rsidR="004A4E27" w:rsidRPr="00255E6F" w:rsidRDefault="004A4E27" w:rsidP="002D63CF">
            <w:pPr>
              <w:rPr>
                <w:rFonts w:ascii="Times New Roman" w:hAnsi="Times New Roman" w:cs="Times New Roman"/>
                <w:b/>
                <w:bCs/>
                <w:sz w:val="20"/>
                <w:szCs w:val="20"/>
                <w:lang w:val="en-GB"/>
              </w:rPr>
            </w:pPr>
            <w:r w:rsidRPr="00255E6F">
              <w:rPr>
                <w:rFonts w:ascii="Times New Roman" w:hAnsi="Times New Roman" w:cs="Times New Roman"/>
                <w:b/>
                <w:bCs/>
                <w:sz w:val="20"/>
                <w:szCs w:val="20"/>
                <w:lang w:val="en-GB"/>
              </w:rPr>
              <w:t>Scenario C</w:t>
            </w:r>
          </w:p>
        </w:tc>
      </w:tr>
      <w:tr w:rsidR="004A4E27" w:rsidRPr="00014339" w14:paraId="51076556" w14:textId="77777777" w:rsidTr="002D63CF">
        <w:trPr>
          <w:trHeight w:val="460"/>
        </w:trPr>
        <w:tc>
          <w:tcPr>
            <w:tcW w:w="2410" w:type="dxa"/>
            <w:tcBorders>
              <w:top w:val="single" w:sz="12" w:space="0" w:color="auto"/>
              <w:bottom w:val="single" w:sz="8" w:space="0" w:color="auto"/>
            </w:tcBorders>
          </w:tcPr>
          <w:p w14:paraId="7022A761" w14:textId="77777777" w:rsidR="004A4E27" w:rsidRPr="00014339" w:rsidRDefault="004A4E27" w:rsidP="002D63CF">
            <w:pPr>
              <w:rPr>
                <w:rFonts w:ascii="Times New Roman" w:hAnsi="Times New Roman" w:cs="Times New Roman"/>
                <w:sz w:val="20"/>
                <w:szCs w:val="20"/>
                <w:lang w:val="en-GB"/>
              </w:rPr>
            </w:pPr>
            <w:r>
              <w:rPr>
                <w:rFonts w:ascii="Times New Roman" w:hAnsi="Times New Roman" w:cs="Times New Roman"/>
                <w:sz w:val="20"/>
                <w:szCs w:val="20"/>
                <w:lang w:val="en-GB"/>
              </w:rPr>
              <w:t>Unknown initial conditions</w:t>
            </w:r>
          </w:p>
        </w:tc>
        <w:tc>
          <w:tcPr>
            <w:tcW w:w="1555" w:type="dxa"/>
            <w:tcBorders>
              <w:top w:val="single" w:sz="12" w:space="0" w:color="auto"/>
              <w:bottom w:val="single" w:sz="8" w:space="0" w:color="auto"/>
            </w:tcBorders>
          </w:tcPr>
          <w:p w14:paraId="7C7C235B" w14:textId="77777777" w:rsidR="004A4E27" w:rsidRPr="00014339" w:rsidRDefault="004A4E27" w:rsidP="002D63CF">
            <w:pPr>
              <w:rPr>
                <w:rFonts w:ascii="Times New Roman" w:hAnsi="Times New Roman" w:cs="Times New Roman"/>
                <w:sz w:val="20"/>
                <w:szCs w:val="20"/>
                <w:lang w:val="en-GB"/>
              </w:rPr>
            </w:pPr>
            <w:r w:rsidRPr="008D2F7E">
              <w:rPr>
                <w:rFonts w:ascii="Times New Roman" w:hAnsi="Times New Roman" w:cs="Times New Roman"/>
                <w:sz w:val="20"/>
                <w:szCs w:val="20"/>
                <w:lang w:val="en-GB"/>
              </w:rPr>
              <w:t>Model non-identifiable</w:t>
            </w:r>
          </w:p>
        </w:tc>
        <w:tc>
          <w:tcPr>
            <w:tcW w:w="1555" w:type="dxa"/>
            <w:tcBorders>
              <w:top w:val="single" w:sz="12" w:space="0" w:color="auto"/>
              <w:bottom w:val="single" w:sz="8" w:space="0" w:color="auto"/>
            </w:tcBorders>
          </w:tcPr>
          <w:p w14:paraId="41654249" w14:textId="77777777" w:rsidR="004A4E27" w:rsidRPr="00014339" w:rsidRDefault="004A4E27" w:rsidP="002D63CF">
            <w:pPr>
              <w:rPr>
                <w:rFonts w:ascii="Times New Roman" w:hAnsi="Times New Roman" w:cs="Times New Roman"/>
                <w:sz w:val="20"/>
                <w:szCs w:val="20"/>
                <w:lang w:val="en-GB"/>
              </w:rPr>
            </w:pPr>
            <w:r w:rsidRPr="008D2F7E">
              <w:rPr>
                <w:rFonts w:ascii="Times New Roman" w:hAnsi="Times New Roman" w:cs="Times New Roman"/>
                <w:sz w:val="20"/>
                <w:szCs w:val="20"/>
                <w:lang w:val="en-GB"/>
              </w:rPr>
              <w:t>Model non-identifiable</w:t>
            </w:r>
          </w:p>
        </w:tc>
        <w:tc>
          <w:tcPr>
            <w:tcW w:w="1556" w:type="dxa"/>
            <w:tcBorders>
              <w:top w:val="single" w:sz="12" w:space="0" w:color="auto"/>
              <w:bottom w:val="single" w:sz="8" w:space="0" w:color="auto"/>
            </w:tcBorders>
          </w:tcPr>
          <w:p w14:paraId="64ACB778" w14:textId="77777777" w:rsidR="004A4E27" w:rsidRPr="00014339" w:rsidRDefault="004A4E27" w:rsidP="002D63CF">
            <w:pPr>
              <w:rPr>
                <w:rFonts w:ascii="Times New Roman" w:hAnsi="Times New Roman" w:cs="Times New Roman"/>
                <w:sz w:val="20"/>
                <w:szCs w:val="20"/>
                <w:lang w:val="en-GB"/>
              </w:rPr>
            </w:pPr>
            <w:r>
              <w:rPr>
                <w:rFonts w:ascii="Times New Roman" w:hAnsi="Times New Roman" w:cs="Times New Roman"/>
                <w:sz w:val="20"/>
                <w:szCs w:val="20"/>
                <w:lang w:val="en-GB"/>
              </w:rPr>
              <w:t>Model non-identifiable</w:t>
            </w:r>
          </w:p>
        </w:tc>
      </w:tr>
      <w:tr w:rsidR="004A4E27" w:rsidRPr="00014339" w14:paraId="0217DAAB" w14:textId="77777777" w:rsidTr="002D63CF">
        <w:trPr>
          <w:trHeight w:val="460"/>
        </w:trPr>
        <w:tc>
          <w:tcPr>
            <w:tcW w:w="2410" w:type="dxa"/>
            <w:tcBorders>
              <w:top w:val="single" w:sz="8" w:space="0" w:color="auto"/>
              <w:bottom w:val="single" w:sz="12" w:space="0" w:color="auto"/>
            </w:tcBorders>
          </w:tcPr>
          <w:p w14:paraId="23C77FEB" w14:textId="77777777" w:rsidR="004A4E27" w:rsidRPr="00014339" w:rsidRDefault="004A4E27" w:rsidP="002D63CF">
            <w:pPr>
              <w:rPr>
                <w:rFonts w:ascii="Times New Roman" w:hAnsi="Times New Roman" w:cs="Times New Roman"/>
                <w:sz w:val="20"/>
                <w:szCs w:val="20"/>
                <w:lang w:val="en-GB"/>
              </w:rPr>
            </w:pPr>
            <w:r>
              <w:rPr>
                <w:rFonts w:ascii="Times New Roman" w:hAnsi="Times New Roman" w:cs="Times New Roman"/>
                <w:sz w:val="20"/>
                <w:szCs w:val="20"/>
                <w:lang w:val="en-GB"/>
              </w:rPr>
              <w:t>Known initial conditions</w:t>
            </w:r>
          </w:p>
        </w:tc>
        <w:tc>
          <w:tcPr>
            <w:tcW w:w="1555" w:type="dxa"/>
            <w:tcBorders>
              <w:top w:val="single" w:sz="8" w:space="0" w:color="auto"/>
              <w:bottom w:val="single" w:sz="12" w:space="0" w:color="auto"/>
            </w:tcBorders>
          </w:tcPr>
          <w:p w14:paraId="37830E86" w14:textId="77777777" w:rsidR="004A4E27" w:rsidRPr="00014339" w:rsidRDefault="004A4E27" w:rsidP="002D63CF">
            <w:pPr>
              <w:rPr>
                <w:rFonts w:ascii="Times New Roman" w:hAnsi="Times New Roman" w:cs="Times New Roman"/>
                <w:sz w:val="20"/>
                <w:szCs w:val="20"/>
                <w:lang w:val="en-GB"/>
              </w:rPr>
            </w:pPr>
            <w:r>
              <w:rPr>
                <w:rFonts w:ascii="Times New Roman" w:hAnsi="Times New Roman" w:cs="Times New Roman"/>
                <w:sz w:val="20"/>
                <w:szCs w:val="20"/>
                <w:lang w:val="en-GB"/>
              </w:rPr>
              <w:t>Model globally identifiable</w:t>
            </w:r>
          </w:p>
        </w:tc>
        <w:tc>
          <w:tcPr>
            <w:tcW w:w="1555" w:type="dxa"/>
            <w:tcBorders>
              <w:top w:val="single" w:sz="8" w:space="0" w:color="auto"/>
              <w:bottom w:val="single" w:sz="12" w:space="0" w:color="auto"/>
            </w:tcBorders>
          </w:tcPr>
          <w:p w14:paraId="39D0EE57" w14:textId="77777777" w:rsidR="004A4E27" w:rsidRPr="00014339" w:rsidRDefault="004A4E27" w:rsidP="002D63CF">
            <w:pPr>
              <w:rPr>
                <w:rFonts w:ascii="Times New Roman" w:hAnsi="Times New Roman" w:cs="Times New Roman"/>
                <w:sz w:val="20"/>
                <w:szCs w:val="20"/>
                <w:lang w:val="en-GB"/>
              </w:rPr>
            </w:pPr>
            <w:r>
              <w:rPr>
                <w:rFonts w:ascii="Times New Roman" w:hAnsi="Times New Roman" w:cs="Times New Roman"/>
                <w:sz w:val="20"/>
                <w:szCs w:val="20"/>
                <w:lang w:val="en-GB"/>
              </w:rPr>
              <w:t>Model locally identifiable</w:t>
            </w:r>
          </w:p>
        </w:tc>
        <w:tc>
          <w:tcPr>
            <w:tcW w:w="1556" w:type="dxa"/>
            <w:tcBorders>
              <w:top w:val="single" w:sz="8" w:space="0" w:color="auto"/>
              <w:bottom w:val="single" w:sz="12" w:space="0" w:color="auto"/>
            </w:tcBorders>
          </w:tcPr>
          <w:p w14:paraId="1F545A45" w14:textId="77777777" w:rsidR="004A4E27" w:rsidRPr="00014339" w:rsidRDefault="004A4E27" w:rsidP="002D63CF">
            <w:pPr>
              <w:rPr>
                <w:rFonts w:ascii="Times New Roman" w:hAnsi="Times New Roman" w:cs="Times New Roman"/>
                <w:sz w:val="20"/>
                <w:szCs w:val="20"/>
                <w:lang w:val="en-GB"/>
              </w:rPr>
            </w:pPr>
            <w:r>
              <w:rPr>
                <w:rFonts w:ascii="Times New Roman" w:hAnsi="Times New Roman" w:cs="Times New Roman"/>
                <w:sz w:val="20"/>
                <w:szCs w:val="20"/>
                <w:lang w:val="en-GB"/>
              </w:rPr>
              <w:t>Model non-identifiable</w:t>
            </w:r>
          </w:p>
        </w:tc>
      </w:tr>
    </w:tbl>
    <w:p w14:paraId="32D91F1D" w14:textId="77777777" w:rsidR="001A7E60" w:rsidRDefault="001A7E60" w:rsidP="00593070">
      <w:pPr>
        <w:jc w:val="both"/>
      </w:pPr>
    </w:p>
    <w:p w14:paraId="3637C420" w14:textId="1DBE6EEE" w:rsidR="001453D3" w:rsidRDefault="00C70A2C" w:rsidP="00395933">
      <w:pPr>
        <w:pStyle w:val="Els-body-text"/>
        <w:keepNext/>
        <w:spacing w:after="120"/>
        <w:jc w:val="center"/>
        <w:rPr>
          <w:noProof/>
          <w:lang w:val="en-GB"/>
        </w:rPr>
      </w:pPr>
      <w:r>
        <w:rPr>
          <w:noProof/>
        </w:rPr>
        <w:lastRenderedPageBreak/>
        <w:drawing>
          <wp:inline distT="0" distB="0" distL="0" distR="0" wp14:anchorId="6475D627" wp14:editId="17A591CE">
            <wp:extent cx="1980000" cy="1733971"/>
            <wp:effectExtent l="0" t="0" r="1270" b="0"/>
            <wp:docPr id="1156000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854" t="9566" r="12013"/>
                    <a:stretch/>
                  </pic:blipFill>
                  <pic:spPr bwMode="auto">
                    <a:xfrm>
                      <a:off x="0" y="0"/>
                      <a:ext cx="1980000" cy="1733971"/>
                    </a:xfrm>
                    <a:prstGeom prst="rect">
                      <a:avLst/>
                    </a:prstGeom>
                    <a:noFill/>
                    <a:ln>
                      <a:noFill/>
                    </a:ln>
                    <a:extLst>
                      <a:ext uri="{53640926-AAD7-44D8-BBD7-CCE9431645EC}">
                        <a14:shadowObscured xmlns:a14="http://schemas.microsoft.com/office/drawing/2010/main"/>
                      </a:ext>
                    </a:extLst>
                  </pic:spPr>
                </pic:pic>
              </a:graphicData>
            </a:graphic>
          </wp:inline>
        </w:drawing>
      </w:r>
      <w:r w:rsidR="00395933">
        <w:rPr>
          <w:noProof/>
          <w:lang w:val="en-GB"/>
        </w:rPr>
        <w:t xml:space="preserve">   </w:t>
      </w:r>
      <w:r w:rsidR="00FD3127">
        <w:rPr>
          <w:noProof/>
          <w:lang w:val="en-GB"/>
        </w:rPr>
        <w:drawing>
          <wp:inline distT="0" distB="0" distL="0" distR="0" wp14:anchorId="5793AA56" wp14:editId="3B3D5017">
            <wp:extent cx="1980000" cy="1789045"/>
            <wp:effectExtent l="0" t="0" r="1270" b="1905"/>
            <wp:docPr id="1139053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21" t="7373" r="10400"/>
                    <a:stretch/>
                  </pic:blipFill>
                  <pic:spPr bwMode="auto">
                    <a:xfrm>
                      <a:off x="0" y="0"/>
                      <a:ext cx="1980000" cy="1789045"/>
                    </a:xfrm>
                    <a:prstGeom prst="rect">
                      <a:avLst/>
                    </a:prstGeom>
                    <a:noFill/>
                    <a:ln>
                      <a:noFill/>
                    </a:ln>
                    <a:extLst>
                      <a:ext uri="{53640926-AAD7-44D8-BBD7-CCE9431645EC}">
                        <a14:shadowObscured xmlns:a14="http://schemas.microsoft.com/office/drawing/2010/main"/>
                      </a:ext>
                    </a:extLst>
                  </pic:spPr>
                </pic:pic>
              </a:graphicData>
            </a:graphic>
          </wp:inline>
        </w:drawing>
      </w:r>
    </w:p>
    <w:p w14:paraId="146BE23C" w14:textId="77777777" w:rsidR="001453D3" w:rsidRPr="00437A4F" w:rsidRDefault="001453D3" w:rsidP="001453D3">
      <w:pPr>
        <w:pStyle w:val="Els-body-text"/>
        <w:keepNext/>
        <w:spacing w:after="120"/>
        <w:ind w:left="720" w:firstLine="720"/>
        <w:rPr>
          <w:noProof/>
          <w:sz w:val="18"/>
          <w:szCs w:val="18"/>
          <w:lang w:val="en-GB"/>
        </w:rPr>
      </w:pPr>
      <w:r w:rsidRPr="00437A4F">
        <w:rPr>
          <w:noProof/>
          <w:sz w:val="18"/>
          <w:szCs w:val="18"/>
          <w:lang w:val="en-GB"/>
        </w:rPr>
        <w:t xml:space="preserve">     (a) </w:t>
      </w:r>
      <w:r w:rsidRPr="00437A4F">
        <w:rPr>
          <w:noProof/>
          <w:sz w:val="18"/>
          <w:szCs w:val="18"/>
          <w:lang w:val="en-GB"/>
        </w:rPr>
        <w:tab/>
      </w:r>
      <w:r w:rsidRPr="00437A4F">
        <w:rPr>
          <w:noProof/>
          <w:sz w:val="18"/>
          <w:szCs w:val="18"/>
          <w:lang w:val="en-GB"/>
        </w:rPr>
        <w:tab/>
      </w:r>
      <w:r w:rsidRPr="00437A4F">
        <w:rPr>
          <w:noProof/>
          <w:sz w:val="18"/>
          <w:szCs w:val="18"/>
          <w:lang w:val="en-GB"/>
        </w:rPr>
        <w:tab/>
        <w:t xml:space="preserve">   </w:t>
      </w:r>
      <w:r w:rsidRPr="00437A4F">
        <w:rPr>
          <w:noProof/>
          <w:sz w:val="18"/>
          <w:szCs w:val="18"/>
          <w:lang w:val="en-GB"/>
        </w:rPr>
        <w:tab/>
      </w:r>
      <w:r w:rsidRPr="00437A4F">
        <w:rPr>
          <w:noProof/>
          <w:sz w:val="18"/>
          <w:szCs w:val="18"/>
          <w:lang w:val="en-GB"/>
        </w:rPr>
        <w:tab/>
        <w:t>(b)</w:t>
      </w:r>
    </w:p>
    <w:p w14:paraId="09D2CCC6" w14:textId="07A8C063" w:rsidR="001453D3" w:rsidRDefault="001453D3" w:rsidP="001453D3">
      <w:pPr>
        <w:pStyle w:val="Didascalia"/>
        <w:jc w:val="both"/>
        <w:rPr>
          <w:noProof/>
        </w:rPr>
      </w:pPr>
      <w:r w:rsidRPr="00437A4F">
        <w:rPr>
          <w:szCs w:val="18"/>
        </w:rPr>
        <w:t xml:space="preserve">Figure </w:t>
      </w:r>
      <w:r w:rsidRPr="00437A4F">
        <w:rPr>
          <w:szCs w:val="18"/>
        </w:rPr>
        <w:fldChar w:fldCharType="begin"/>
      </w:r>
      <w:r w:rsidRPr="00437A4F">
        <w:rPr>
          <w:szCs w:val="18"/>
        </w:rPr>
        <w:instrText xml:space="preserve"> SEQ Figure \* ARABIC </w:instrText>
      </w:r>
      <w:r w:rsidRPr="00437A4F">
        <w:rPr>
          <w:szCs w:val="18"/>
        </w:rPr>
        <w:fldChar w:fldCharType="separate"/>
      </w:r>
      <w:r w:rsidR="00F94A25">
        <w:rPr>
          <w:noProof/>
          <w:szCs w:val="18"/>
        </w:rPr>
        <w:t>3</w:t>
      </w:r>
      <w:r w:rsidRPr="00437A4F">
        <w:rPr>
          <w:szCs w:val="18"/>
        </w:rPr>
        <w:fldChar w:fldCharType="end"/>
      </w:r>
      <w:r w:rsidRPr="00437A4F">
        <w:rPr>
          <w:szCs w:val="18"/>
        </w:rPr>
        <w:t xml:space="preserve"> (a) The t-values of the parameter estimates confidence intervals, compared</w:t>
      </w:r>
      <w:r>
        <w:t xml:space="preserve"> to the reference t-test at 0.95 significance. (b) Heatmap showing the parameters correlation matrix</w:t>
      </w:r>
      <w:r>
        <w:rPr>
          <w:noProof/>
        </w:rPr>
        <w:t xml:space="preserve"> for scenario A.</w:t>
      </w:r>
    </w:p>
    <w:p w14:paraId="6BCF22D9" w14:textId="25AA07BC" w:rsidR="001A7E60" w:rsidRPr="001A7E60" w:rsidRDefault="001A7E60" w:rsidP="001A7E60">
      <w:pPr>
        <w:pStyle w:val="Els-caption"/>
        <w:rPr>
          <w:sz w:val="20"/>
          <w:lang w:val="en-GB"/>
        </w:rPr>
      </w:pPr>
      <w:r w:rsidRPr="001A7E60">
        <w:rPr>
          <w:sz w:val="20"/>
          <w:lang w:val="en-GB"/>
        </w:rPr>
        <w:t xml:space="preserve">because the parameters </w:t>
      </w:r>
      <m:oMath>
        <m:sSub>
          <m:sSubPr>
            <m:ctrlPr>
              <w:rPr>
                <w:rFonts w:ascii="Cambria Math" w:hAnsi="Cambria Math"/>
                <w:sz w:val="20"/>
                <w:lang w:val="en-GB"/>
              </w:rPr>
            </m:ctrlPr>
          </m:sSubPr>
          <m:e>
            <m:r>
              <w:rPr>
                <w:rFonts w:ascii="Cambria Math" w:hAnsi="Cambria Math"/>
                <w:sz w:val="20"/>
                <w:lang w:val="en-GB"/>
              </w:rPr>
              <m:t>k</m:t>
            </m:r>
          </m:e>
          <m:sub>
            <m:r>
              <w:rPr>
                <w:rFonts w:ascii="Cambria Math" w:hAnsi="Cambria Math"/>
                <w:sz w:val="20"/>
                <w:lang w:val="en-GB"/>
              </w:rPr>
              <m:t>drop</m:t>
            </m:r>
            <m:r>
              <m:rPr>
                <m:sty m:val="p"/>
              </m:rPr>
              <w:rPr>
                <w:rFonts w:ascii="Cambria Math" w:hAnsi="Cambria Math"/>
                <w:sz w:val="20"/>
                <w:lang w:val="en-GB"/>
              </w:rPr>
              <m:t>-</m:t>
            </m:r>
            <m:r>
              <w:rPr>
                <w:rFonts w:ascii="Cambria Math" w:hAnsi="Cambria Math"/>
                <w:sz w:val="20"/>
                <w:lang w:val="en-GB"/>
              </w:rPr>
              <m:t>env</m:t>
            </m:r>
          </m:sub>
        </m:sSub>
      </m:oMath>
      <w:r w:rsidRPr="001A7E60">
        <w:rPr>
          <w:sz w:val="20"/>
          <w:lang w:val="en-GB"/>
        </w:rPr>
        <w:t xml:space="preserve"> and </w:t>
      </w:r>
      <m:oMath>
        <m:sSub>
          <m:sSubPr>
            <m:ctrlPr>
              <w:rPr>
                <w:rFonts w:ascii="Cambria Math" w:hAnsi="Cambria Math"/>
                <w:sz w:val="20"/>
                <w:lang w:val="en-GB"/>
              </w:rPr>
            </m:ctrlPr>
          </m:sSubPr>
          <m:e>
            <m:r>
              <w:rPr>
                <w:rFonts w:ascii="Cambria Math" w:hAnsi="Cambria Math"/>
                <w:sz w:val="20"/>
                <w:lang w:val="en-GB"/>
              </w:rPr>
              <m:t>k</m:t>
            </m:r>
          </m:e>
          <m:sub>
            <m:r>
              <w:rPr>
                <w:rFonts w:ascii="Cambria Math" w:hAnsi="Cambria Math"/>
                <w:sz w:val="20"/>
                <w:lang w:val="en-GB"/>
              </w:rPr>
              <m:t>drop</m:t>
            </m:r>
            <m:r>
              <m:rPr>
                <m:sty m:val="p"/>
              </m:rPr>
              <w:rPr>
                <w:rFonts w:ascii="Cambria Math" w:hAnsi="Cambria Math"/>
                <w:sz w:val="20"/>
                <w:lang w:val="en-GB"/>
              </w:rPr>
              <m:t>-</m:t>
            </m:r>
            <m:r>
              <w:rPr>
                <w:rFonts w:ascii="Cambria Math" w:hAnsi="Cambria Math"/>
                <w:sz w:val="20"/>
                <w:lang w:val="en-GB"/>
              </w:rPr>
              <m:t>loss</m:t>
            </m:r>
          </m:sub>
        </m:sSub>
      </m:oMath>
      <w:r w:rsidRPr="001A7E60">
        <w:rPr>
          <w:sz w:val="20"/>
          <w:lang w:val="en-GB"/>
        </w:rPr>
        <w:t xml:space="preserve"> cannot be distinguished and infinite solutions in the form of Eq. (7) are obtained</w:t>
      </w:r>
    </w:p>
    <w:tbl>
      <w:tblPr>
        <w:tblW w:w="7087" w:type="dxa"/>
        <w:tblLook w:val="04A0" w:firstRow="1" w:lastRow="0" w:firstColumn="1" w:lastColumn="0" w:noHBand="0" w:noVBand="1"/>
      </w:tblPr>
      <w:tblGrid>
        <w:gridCol w:w="6111"/>
        <w:gridCol w:w="976"/>
      </w:tblGrid>
      <w:tr w:rsidR="001854BC" w:rsidRPr="00A94774" w14:paraId="0BE56B87" w14:textId="77777777" w:rsidTr="00CF3F00">
        <w:tc>
          <w:tcPr>
            <w:tcW w:w="6111" w:type="dxa"/>
            <w:shd w:val="clear" w:color="auto" w:fill="auto"/>
            <w:vAlign w:val="center"/>
          </w:tcPr>
          <w:p w14:paraId="6E908820" w14:textId="10DE7D3D" w:rsidR="001854BC" w:rsidRPr="00732FE7" w:rsidRDefault="003E2E63" w:rsidP="009E6F19">
            <w:pPr>
              <w:spacing w:before="120" w:after="120" w:line="264" w:lineRule="auto"/>
              <w:rPr>
                <w:bCs/>
              </w:rPr>
            </w:pPr>
            <m:oMathPara>
              <m:oMathParaPr>
                <m:jc m:val="left"/>
              </m:oMathParaPr>
              <m:oMath>
                <m:sSub>
                  <m:sSubPr>
                    <m:ctrlPr>
                      <w:rPr>
                        <w:rFonts w:ascii="Cambria Math" w:hAnsi="Cambria Math"/>
                        <w:i/>
                      </w:rPr>
                    </m:ctrlPr>
                  </m:sSubPr>
                  <m:e>
                    <m:r>
                      <w:rPr>
                        <w:rFonts w:ascii="Cambria Math" w:hAnsi="Cambria Math"/>
                      </w:rPr>
                      <m:t>k</m:t>
                    </m:r>
                  </m:e>
                  <m:sub>
                    <m:r>
                      <w:rPr>
                        <w:rFonts w:ascii="Cambria Math" w:hAnsi="Cambria Math"/>
                      </w:rPr>
                      <m:t>drop</m:t>
                    </m:r>
                    <m:r>
                      <w:rPr>
                        <w:rFonts w:ascii="Cambria Math" w:hAnsi="Cambria Math"/>
                      </w:rPr>
                      <m:t>-</m:t>
                    </m:r>
                    <m:r>
                      <w:rPr>
                        <w:rFonts w:ascii="Cambria Math" w:hAnsi="Cambria Math"/>
                      </w:rPr>
                      <m:t>env</m:t>
                    </m:r>
                  </m:sub>
                </m:sSub>
                <m:r>
                  <w:rPr>
                    <w:rFonts w:ascii="Cambria Math" w:eastAsiaTheme="minorEastAsia" w:hAnsi="Cambria Math"/>
                  </w:rPr>
                  <m:t>+</m:t>
                </m:r>
                <m:sSub>
                  <m:sSubPr>
                    <m:ctrlPr>
                      <w:rPr>
                        <w:rFonts w:ascii="Cambria Math" w:hAnsi="Cambria Math"/>
                        <w:i/>
                      </w:rPr>
                    </m:ctrlPr>
                  </m:sSubPr>
                  <m:e>
                    <m:r>
                      <w:rPr>
                        <w:rFonts w:ascii="Cambria Math" w:hAnsi="Cambria Math"/>
                      </w:rPr>
                      <m:t>k</m:t>
                    </m:r>
                  </m:e>
                  <m:sub>
                    <m:r>
                      <w:rPr>
                        <w:rFonts w:ascii="Cambria Math" w:hAnsi="Cambria Math"/>
                      </w:rPr>
                      <m:t>drop</m:t>
                    </m:r>
                    <m:r>
                      <w:rPr>
                        <w:rFonts w:ascii="Cambria Math" w:hAnsi="Cambria Math"/>
                      </w:rPr>
                      <m:t>-</m:t>
                    </m:r>
                    <m:r>
                      <w:rPr>
                        <w:rFonts w:ascii="Cambria Math" w:hAnsi="Cambria Math"/>
                      </w:rPr>
                      <m:t>loss</m:t>
                    </m:r>
                  </m:sub>
                </m:sSub>
                <m:r>
                  <w:rPr>
                    <w:rFonts w:ascii="Cambria Math" w:eastAsiaTheme="minorEastAsia" w:hAnsi="Cambria Math"/>
                  </w:rPr>
                  <m:t>=</m:t>
                </m:r>
                <m:sSubSup>
                  <m:sSubSupPr>
                    <m:ctrlPr>
                      <w:rPr>
                        <w:rFonts w:ascii="Cambria Math" w:hAnsi="Cambria Math"/>
                        <w:i/>
                      </w:rPr>
                    </m:ctrlPr>
                  </m:sSubSupPr>
                  <m:e>
                    <m:r>
                      <w:rPr>
                        <w:rFonts w:ascii="Cambria Math" w:hAnsi="Cambria Math"/>
                      </w:rPr>
                      <m:t>k</m:t>
                    </m:r>
                  </m:e>
                  <m:sub>
                    <m:r>
                      <w:rPr>
                        <w:rFonts w:ascii="Cambria Math" w:hAnsi="Cambria Math"/>
                      </w:rPr>
                      <m:t>drop</m:t>
                    </m:r>
                    <m:r>
                      <w:rPr>
                        <w:rFonts w:ascii="Cambria Math" w:hAnsi="Cambria Math"/>
                      </w:rPr>
                      <m:t>-</m:t>
                    </m:r>
                    <m:r>
                      <w:rPr>
                        <w:rFonts w:ascii="Cambria Math" w:hAnsi="Cambria Math"/>
                      </w:rPr>
                      <m:t>env</m:t>
                    </m:r>
                  </m:sub>
                  <m:sup>
                    <m:r>
                      <w:rPr>
                        <w:rFonts w:ascii="Cambria Math" w:hAnsi="Cambria Math"/>
                      </w:rPr>
                      <m:t>*</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k</m:t>
                    </m:r>
                  </m:e>
                  <m:sub>
                    <m:r>
                      <w:rPr>
                        <w:rFonts w:ascii="Cambria Math" w:hAnsi="Cambria Math"/>
                      </w:rPr>
                      <m:t>drop</m:t>
                    </m:r>
                    <m:r>
                      <w:rPr>
                        <w:rFonts w:ascii="Cambria Math" w:hAnsi="Cambria Math"/>
                      </w:rPr>
                      <m:t>-</m:t>
                    </m:r>
                    <m:r>
                      <w:rPr>
                        <w:rFonts w:ascii="Cambria Math" w:hAnsi="Cambria Math"/>
                      </w:rPr>
                      <m:t>loss</m:t>
                    </m:r>
                  </m:sub>
                  <m:sup>
                    <m:r>
                      <w:rPr>
                        <w:rFonts w:ascii="Cambria Math" w:hAnsi="Cambria Math"/>
                      </w:rPr>
                      <m:t>*</m:t>
                    </m:r>
                  </m:sup>
                </m:sSubSup>
                <m:r>
                  <w:rPr>
                    <w:rFonts w:ascii="Cambria Math" w:eastAsiaTheme="minorEastAsia" w:hAnsi="Cambria Math"/>
                  </w:rPr>
                  <m:t xml:space="preserve"> </m:t>
                </m:r>
              </m:oMath>
            </m:oMathPara>
          </w:p>
        </w:tc>
        <w:tc>
          <w:tcPr>
            <w:tcW w:w="976" w:type="dxa"/>
            <w:shd w:val="clear" w:color="auto" w:fill="auto"/>
            <w:vAlign w:val="center"/>
          </w:tcPr>
          <w:p w14:paraId="39C31410" w14:textId="18408427" w:rsidR="001854BC" w:rsidRPr="00A94774" w:rsidRDefault="001854BC" w:rsidP="001A5538">
            <w:pPr>
              <w:jc w:val="right"/>
            </w:pPr>
            <w:r w:rsidRPr="00442A89">
              <w:t>(</w:t>
            </w:r>
            <w:r w:rsidR="00145BAC">
              <w:t>7</w:t>
            </w:r>
            <w:r w:rsidRPr="00442A89">
              <w:t>)</w:t>
            </w:r>
          </w:p>
        </w:tc>
      </w:tr>
    </w:tbl>
    <w:p w14:paraId="048560FB" w14:textId="5843D3F8" w:rsidR="00A04333" w:rsidRDefault="00D0027D" w:rsidP="00D0027D">
      <w:pPr>
        <w:jc w:val="both"/>
      </w:pPr>
      <w:r>
        <w:t>T</w:t>
      </w:r>
      <w:r w:rsidR="004B634A">
        <w:t>he structural analysis</w:t>
      </w:r>
      <w:r w:rsidR="00CE06A9">
        <w:t xml:space="preserve"> </w:t>
      </w:r>
      <w:r>
        <w:t xml:space="preserve">results described above </w:t>
      </w:r>
      <w:r w:rsidR="00CE06A9">
        <w:t>indicat</w:t>
      </w:r>
      <w:r>
        <w:t>e</w:t>
      </w:r>
      <w:r w:rsidR="00CE06A9">
        <w:t xml:space="preserve"> that the</w:t>
      </w:r>
      <w:r w:rsidR="00722B3B">
        <w:t xml:space="preserve">se two parameters cannot be uniquely determined </w:t>
      </w:r>
      <w:r w:rsidR="008A3E2A">
        <w:t>from the system outputs considered.</w:t>
      </w:r>
    </w:p>
    <w:p w14:paraId="0A485ADC" w14:textId="5A3E5EAD" w:rsidR="00AE1EF7" w:rsidRPr="006E28EA" w:rsidRDefault="00AE1EF7" w:rsidP="00AE1EF7">
      <w:pPr>
        <w:pStyle w:val="Els-2ndorder-head"/>
        <w:spacing w:after="120"/>
        <w:rPr>
          <w:lang w:val="en-GB"/>
        </w:rPr>
      </w:pPr>
      <w:r>
        <w:rPr>
          <w:lang w:val="en-GB"/>
        </w:rPr>
        <w:t>A-posteriori practical identifiability</w:t>
      </w:r>
    </w:p>
    <w:p w14:paraId="62B612B4" w14:textId="24B2A8C3" w:rsidR="00382C04" w:rsidRDefault="000F2CE1" w:rsidP="00AE1EF7">
      <w:pPr>
        <w:pStyle w:val="Els-body-text"/>
        <w:spacing w:after="120"/>
      </w:pPr>
      <w:r>
        <w:rPr>
          <w:lang w:val="en-GB"/>
        </w:rPr>
        <w:t>The</w:t>
      </w:r>
      <w:r w:rsidR="00F707EC">
        <w:rPr>
          <w:lang w:val="en-GB"/>
        </w:rPr>
        <w:t xml:space="preserve"> </w:t>
      </w:r>
      <w:r w:rsidR="00C73BDE">
        <w:rPr>
          <w:lang w:val="en-GB"/>
        </w:rPr>
        <w:t>correlation matrix method</w:t>
      </w:r>
      <w:r w:rsidR="00F707EC">
        <w:rPr>
          <w:lang w:val="en-GB"/>
        </w:rPr>
        <w:t xml:space="preserve"> presented in the methodology section </w:t>
      </w:r>
      <w:r w:rsidR="00C73BDE">
        <w:rPr>
          <w:lang w:val="en-GB"/>
        </w:rPr>
        <w:t>is a</w:t>
      </w:r>
      <w:r w:rsidR="00F707EC">
        <w:rPr>
          <w:lang w:val="en-GB"/>
        </w:rPr>
        <w:t xml:space="preserve"> local test </w:t>
      </w:r>
      <w:r w:rsidR="00293CB3">
        <w:rPr>
          <w:lang w:val="en-GB"/>
        </w:rPr>
        <w:t>performed</w:t>
      </w:r>
      <w:r w:rsidR="00457922">
        <w:rPr>
          <w:lang w:val="en-GB"/>
        </w:rPr>
        <w:t xml:space="preserve"> around a </w:t>
      </w:r>
      <w:r w:rsidR="004D1155">
        <w:rPr>
          <w:lang w:val="en-GB"/>
        </w:rPr>
        <w:t xml:space="preserve">nominal value of the parameters </w:t>
      </w:r>
      <m:oMath>
        <m:sSup>
          <m:sSupPr>
            <m:ctrlPr>
              <w:rPr>
                <w:rFonts w:ascii="Cambria Math" w:hAnsi="Cambria Math"/>
                <w:b/>
                <w:bCs/>
                <w:iCs/>
                <w:lang w:val="en-GB"/>
              </w:rPr>
            </m:ctrlPr>
          </m:sSupPr>
          <m:e>
            <m:r>
              <m:rPr>
                <m:sty m:val="b"/>
              </m:rPr>
              <w:rPr>
                <w:rFonts w:ascii="Cambria Math" w:hAnsi="Cambria Math"/>
                <w:lang w:val="en-GB"/>
              </w:rPr>
              <m:t>θ</m:t>
            </m:r>
          </m:e>
          <m:sup>
            <m:r>
              <m:rPr>
                <m:sty m:val="b"/>
              </m:rPr>
              <w:rPr>
                <w:rFonts w:ascii="Cambria Math" w:hAnsi="Cambria Math"/>
                <w:lang w:val="en-GB"/>
              </w:rPr>
              <m:t>*</m:t>
            </m:r>
          </m:sup>
        </m:sSup>
      </m:oMath>
      <w:r w:rsidR="00CF3D40" w:rsidRPr="00FC6917">
        <w:rPr>
          <w:iCs/>
          <w:lang w:val="en-GB"/>
        </w:rPr>
        <w:t xml:space="preserve">. The </w:t>
      </w:r>
      <w:r w:rsidR="00FC6917">
        <w:rPr>
          <w:iCs/>
          <w:lang w:val="en-GB"/>
        </w:rPr>
        <w:t xml:space="preserve">values </w:t>
      </w:r>
      <w:r w:rsidR="00DE038B">
        <w:rPr>
          <w:iCs/>
          <w:lang w:val="en-GB"/>
        </w:rPr>
        <w:t>of</w:t>
      </w:r>
      <w:r w:rsidR="00FC6917">
        <w:rPr>
          <w:iCs/>
          <w:lang w:val="en-GB"/>
        </w:rPr>
        <w:t xml:space="preserve"> </w:t>
      </w:r>
      <m:oMath>
        <m:sSup>
          <m:sSupPr>
            <m:ctrlPr>
              <w:rPr>
                <w:rFonts w:ascii="Cambria Math" w:hAnsi="Cambria Math"/>
                <w:b/>
                <w:bCs/>
                <w:iCs/>
                <w:lang w:val="en-GB"/>
              </w:rPr>
            </m:ctrlPr>
          </m:sSupPr>
          <m:e>
            <m:r>
              <m:rPr>
                <m:sty m:val="b"/>
              </m:rPr>
              <w:rPr>
                <w:rFonts w:ascii="Cambria Math" w:hAnsi="Cambria Math"/>
                <w:lang w:val="en-GB"/>
              </w:rPr>
              <m:t>θ</m:t>
            </m:r>
          </m:e>
          <m:sup>
            <m:r>
              <m:rPr>
                <m:sty m:val="b"/>
              </m:rPr>
              <w:rPr>
                <w:rFonts w:ascii="Cambria Math" w:hAnsi="Cambria Math"/>
                <w:lang w:val="en-GB"/>
              </w:rPr>
              <m:t>*</m:t>
            </m:r>
          </m:sup>
        </m:sSup>
      </m:oMath>
      <w:r w:rsidR="00FC6917">
        <w:rPr>
          <w:iCs/>
          <w:lang w:val="en-GB"/>
        </w:rPr>
        <w:t xml:space="preserve"> used </w:t>
      </w:r>
      <w:r w:rsidR="00DE038B">
        <w:rPr>
          <w:iCs/>
          <w:lang w:val="en-GB"/>
        </w:rPr>
        <w:t xml:space="preserve">in this study are </w:t>
      </w:r>
      <w:r w:rsidR="001236FD">
        <w:rPr>
          <w:iCs/>
          <w:lang w:val="en-GB"/>
        </w:rPr>
        <w:t>obtained</w:t>
      </w:r>
      <w:r w:rsidR="00FD1C8D">
        <w:rPr>
          <w:iCs/>
          <w:lang w:val="en-GB"/>
        </w:rPr>
        <w:t xml:space="preserve"> </w:t>
      </w:r>
      <w:r w:rsidR="00DE038B">
        <w:rPr>
          <w:iCs/>
          <w:lang w:val="en-GB"/>
        </w:rPr>
        <w:t xml:space="preserve">from a preliminary parameter estimation </w:t>
      </w:r>
      <w:r w:rsidR="005473C6">
        <w:rPr>
          <w:iCs/>
          <w:lang w:val="en-GB"/>
        </w:rPr>
        <w:t xml:space="preserve">on foliar uptake </w:t>
      </w:r>
      <w:r w:rsidR="00ED3692">
        <w:rPr>
          <w:iCs/>
          <w:lang w:val="en-GB"/>
        </w:rPr>
        <w:t xml:space="preserve">data provided </w:t>
      </w:r>
      <w:r w:rsidR="005473C6">
        <w:rPr>
          <w:iCs/>
          <w:lang w:val="en-GB"/>
        </w:rPr>
        <w:t>by Syngenta</w:t>
      </w:r>
      <w:r w:rsidR="00736F14">
        <w:rPr>
          <w:iCs/>
          <w:lang w:val="en-GB"/>
        </w:rPr>
        <w:t xml:space="preserve"> and a </w:t>
      </w:r>
      <w:r w:rsidR="00EC3AC8" w:rsidRPr="00C42330">
        <w:rPr>
          <w:i/>
          <w:lang w:val="en-GB"/>
        </w:rPr>
        <w:t>t</w:t>
      </w:r>
      <w:r w:rsidR="00EC3AC8">
        <w:rPr>
          <w:iCs/>
          <w:lang w:val="en-GB"/>
        </w:rPr>
        <w:t>-test with 9</w:t>
      </w:r>
      <w:r w:rsidR="005A4353">
        <w:rPr>
          <w:iCs/>
          <w:lang w:val="en-GB"/>
        </w:rPr>
        <w:t>5</w:t>
      </w:r>
      <w:r w:rsidR="00EC3AC8">
        <w:rPr>
          <w:iCs/>
          <w:lang w:val="en-GB"/>
        </w:rPr>
        <w:t xml:space="preserve">% significance is conducted </w:t>
      </w:r>
      <w:r w:rsidR="00FB1759">
        <w:rPr>
          <w:iCs/>
          <w:lang w:val="en-GB"/>
        </w:rPr>
        <w:t xml:space="preserve">to assess the </w:t>
      </w:r>
      <w:r w:rsidR="001236FD">
        <w:rPr>
          <w:iCs/>
          <w:lang w:val="en-GB"/>
        </w:rPr>
        <w:t>precision</w:t>
      </w:r>
      <w:r w:rsidR="00FB1759">
        <w:rPr>
          <w:iCs/>
          <w:lang w:val="en-GB"/>
        </w:rPr>
        <w:t xml:space="preserve"> of </w:t>
      </w:r>
      <w:r w:rsidR="001236FD">
        <w:rPr>
          <w:iCs/>
          <w:lang w:val="en-GB"/>
        </w:rPr>
        <w:t>parameter</w:t>
      </w:r>
      <w:r w:rsidR="00FB1759">
        <w:rPr>
          <w:iCs/>
          <w:lang w:val="en-GB"/>
        </w:rPr>
        <w:t xml:space="preserve"> estimates</w:t>
      </w:r>
      <w:r w:rsidR="00736F14">
        <w:rPr>
          <w:iCs/>
          <w:lang w:val="en-GB"/>
        </w:rPr>
        <w:t>. The</w:t>
      </w:r>
      <w:r w:rsidR="00263658">
        <w:rPr>
          <w:iCs/>
          <w:lang w:val="en-GB"/>
        </w:rPr>
        <w:t xml:space="preserve"> </w:t>
      </w:r>
      <w:r w:rsidR="00263658" w:rsidRPr="00C42330">
        <w:rPr>
          <w:i/>
          <w:lang w:val="en-GB"/>
        </w:rPr>
        <w:t>t</w:t>
      </w:r>
      <w:r w:rsidR="00263658">
        <w:rPr>
          <w:iCs/>
          <w:lang w:val="en-GB"/>
        </w:rPr>
        <w:t>-test</w:t>
      </w:r>
      <w:r w:rsidR="00047884">
        <w:rPr>
          <w:iCs/>
          <w:lang w:val="en-GB"/>
        </w:rPr>
        <w:t xml:space="preserve"> results are represented in </w:t>
      </w:r>
      <w:r w:rsidR="00153AA4">
        <w:rPr>
          <w:iCs/>
          <w:lang w:val="en-GB"/>
        </w:rPr>
        <w:t>F</w:t>
      </w:r>
      <w:r w:rsidR="00ED3692">
        <w:rPr>
          <w:iCs/>
          <w:lang w:val="en-GB"/>
        </w:rPr>
        <w:t xml:space="preserve">igure </w:t>
      </w:r>
      <w:r w:rsidR="00C30696" w:rsidRPr="00442A89">
        <w:rPr>
          <w:iCs/>
          <w:lang w:val="en-GB"/>
        </w:rPr>
        <w:t>3a</w:t>
      </w:r>
      <w:r w:rsidR="00DD5FB7" w:rsidRPr="00442A89">
        <w:rPr>
          <w:iCs/>
          <w:lang w:val="en-GB"/>
        </w:rPr>
        <w:t>, w</w:t>
      </w:r>
      <w:r w:rsidR="00DD5FB7" w:rsidRPr="00DD5FB7">
        <w:rPr>
          <w:iCs/>
          <w:lang w:val="en-GB"/>
        </w:rPr>
        <w:t>here lo</w:t>
      </w:r>
      <w:r w:rsidR="00544A7A" w:rsidRPr="00DD5FB7">
        <w:rPr>
          <w:iCs/>
          <w:lang w:val="en-GB"/>
        </w:rPr>
        <w:t xml:space="preserve">w </w:t>
      </w:r>
      <w:r w:rsidR="00544A7A" w:rsidRPr="00C42330">
        <w:rPr>
          <w:i/>
          <w:lang w:val="en-GB"/>
        </w:rPr>
        <w:t>t</w:t>
      </w:r>
      <w:r w:rsidR="00544A7A" w:rsidRPr="00DD5FB7">
        <w:rPr>
          <w:iCs/>
          <w:lang w:val="en-GB"/>
        </w:rPr>
        <w:t>-values</w:t>
      </w:r>
      <w:r w:rsidR="00571CB2" w:rsidRPr="00DD5FB7">
        <w:rPr>
          <w:iCs/>
          <w:lang w:val="en-GB"/>
        </w:rPr>
        <w:t xml:space="preserve"> </w:t>
      </w:r>
      <w:r w:rsidR="00571CB2" w:rsidRPr="003120B0">
        <w:rPr>
          <w:iCs/>
          <w:lang w:val="en-GB"/>
        </w:rPr>
        <w:t xml:space="preserve">compared to </w:t>
      </w:r>
      <w:r w:rsidR="001236FD">
        <w:rPr>
          <w:iCs/>
          <w:lang w:val="en-GB"/>
        </w:rPr>
        <w:t>a</w:t>
      </w:r>
      <w:r w:rsidR="00943CC3">
        <w:rPr>
          <w:iCs/>
          <w:lang w:val="en-GB"/>
        </w:rPr>
        <w:t xml:space="preserve"> </w:t>
      </w:r>
      <w:r w:rsidR="00571CB2" w:rsidRPr="003120B0">
        <w:rPr>
          <w:iCs/>
          <w:lang w:val="en-GB"/>
        </w:rPr>
        <w:t>reference</w:t>
      </w:r>
      <w:r w:rsidR="00544A7A" w:rsidRPr="003120B0">
        <w:rPr>
          <w:iCs/>
          <w:lang w:val="en-GB"/>
        </w:rPr>
        <w:t xml:space="preserve"> are associated </w:t>
      </w:r>
      <w:r w:rsidR="00324F77" w:rsidRPr="003120B0">
        <w:rPr>
          <w:iCs/>
          <w:lang w:val="en-GB"/>
        </w:rPr>
        <w:t>to parameters with very large variance</w:t>
      </w:r>
      <w:r w:rsidR="00DD5FB7">
        <w:rPr>
          <w:iCs/>
          <w:lang w:val="en-GB"/>
        </w:rPr>
        <w:t>. I</w:t>
      </w:r>
      <w:r w:rsidR="00FB59D2">
        <w:rPr>
          <w:iCs/>
          <w:lang w:val="en-GB"/>
        </w:rPr>
        <w:t xml:space="preserve">n all the scenarios </w:t>
      </w:r>
      <w:r w:rsidR="003120B0" w:rsidRPr="003120B0">
        <w:rPr>
          <w:iCs/>
          <w:lang w:val="en-GB"/>
        </w:rPr>
        <w:t xml:space="preserve">the three parameters </w:t>
      </w:r>
      <m:oMath>
        <m:sSub>
          <m:sSubPr>
            <m:ctrlPr>
              <w:rPr>
                <w:rFonts w:ascii="Cambria Math" w:hAnsi="Cambria Math"/>
                <w:i/>
              </w:rPr>
            </m:ctrlPr>
          </m:sSubPr>
          <m:e>
            <m:r>
              <w:rPr>
                <w:rFonts w:ascii="Cambria Math" w:hAnsi="Cambria Math"/>
              </w:rPr>
              <m:t>k</m:t>
            </m:r>
          </m:e>
          <m:sub>
            <m:r>
              <w:rPr>
                <w:rFonts w:ascii="Cambria Math" w:hAnsi="Cambria Math"/>
              </w:rPr>
              <m:t>drop-store</m:t>
            </m:r>
          </m:sub>
        </m:sSub>
      </m:oMath>
      <w:r w:rsidR="0039217D">
        <w:t>,</w:t>
      </w:r>
      <w:r w:rsidR="00B4206D">
        <w:t xml:space="preserve"> </w:t>
      </w:r>
      <m:oMath>
        <m:sSub>
          <m:sSubPr>
            <m:ctrlPr>
              <w:rPr>
                <w:rFonts w:ascii="Cambria Math" w:hAnsi="Cambria Math"/>
                <w:i/>
              </w:rPr>
            </m:ctrlPr>
          </m:sSubPr>
          <m:e>
            <m:r>
              <w:rPr>
                <w:rFonts w:ascii="Cambria Math" w:hAnsi="Cambria Math"/>
              </w:rPr>
              <m:t>k</m:t>
            </m:r>
          </m:e>
          <m:sub>
            <m:r>
              <w:rPr>
                <w:rFonts w:ascii="Cambria Math" w:hAnsi="Cambria Math"/>
              </w:rPr>
              <m:t>drop-cut</m:t>
            </m:r>
          </m:sub>
        </m:sSub>
      </m:oMath>
      <w:r w:rsidR="0039217D">
        <w:t xml:space="preserve"> and </w:t>
      </w:r>
      <m:oMath>
        <m:sSub>
          <m:sSubPr>
            <m:ctrlPr>
              <w:rPr>
                <w:rFonts w:ascii="Cambria Math" w:hAnsi="Cambria Math"/>
                <w:i/>
              </w:rPr>
            </m:ctrlPr>
          </m:sSubPr>
          <m:e>
            <m:r>
              <w:rPr>
                <w:rFonts w:ascii="Cambria Math" w:hAnsi="Cambria Math"/>
              </w:rPr>
              <m:t>k</m:t>
            </m:r>
          </m:e>
          <m:sub>
            <m:r>
              <w:rPr>
                <w:rFonts w:ascii="Cambria Math" w:hAnsi="Cambria Math"/>
              </w:rPr>
              <m:t>drop-loss</m:t>
            </m:r>
          </m:sub>
        </m:sSub>
      </m:oMath>
      <w:r w:rsidR="00B4206D">
        <w:t xml:space="preserve"> are </w:t>
      </w:r>
      <w:r w:rsidR="001960E9">
        <w:t xml:space="preserve">difficult to estimate with a </w:t>
      </w:r>
      <w:r w:rsidR="00A85377">
        <w:t>good</w:t>
      </w:r>
      <w:r w:rsidR="001960E9">
        <w:t xml:space="preserve"> </w:t>
      </w:r>
      <w:r w:rsidR="006567F3">
        <w:t xml:space="preserve">precision </w:t>
      </w:r>
      <w:r w:rsidR="001960E9">
        <w:t>from data</w:t>
      </w:r>
      <w:r w:rsidR="00A85377">
        <w:rPr>
          <w:iCs/>
          <w:lang w:val="en-GB"/>
        </w:rPr>
        <w:t>, while the other paramete</w:t>
      </w:r>
      <w:r w:rsidR="009F2BA8">
        <w:rPr>
          <w:iCs/>
          <w:lang w:val="en-GB"/>
        </w:rPr>
        <w:t xml:space="preserve">rs </w:t>
      </w:r>
      <w:r w:rsidR="00DD5FB7">
        <w:rPr>
          <w:iCs/>
          <w:lang w:val="en-GB"/>
        </w:rPr>
        <w:t xml:space="preserve">have acceptable </w:t>
      </w:r>
      <w:r w:rsidR="00DD5FB7" w:rsidRPr="00C42330">
        <w:rPr>
          <w:i/>
          <w:lang w:val="en-GB"/>
        </w:rPr>
        <w:t>t</w:t>
      </w:r>
      <w:r w:rsidR="00DD5FB7">
        <w:rPr>
          <w:iCs/>
          <w:lang w:val="en-GB"/>
        </w:rPr>
        <w:t>-values</w:t>
      </w:r>
      <w:r w:rsidR="00DB3574">
        <w:rPr>
          <w:iCs/>
          <w:lang w:val="en-GB"/>
        </w:rPr>
        <w:t xml:space="preserve"> </w:t>
      </w:r>
      <w:r w:rsidR="00170C85">
        <w:rPr>
          <w:iCs/>
          <w:lang w:val="en-GB"/>
        </w:rPr>
        <w:t xml:space="preserve">i.e. </w:t>
      </w:r>
      <w:r w:rsidR="00DB3574">
        <w:rPr>
          <w:iCs/>
          <w:lang w:val="en-GB"/>
        </w:rPr>
        <w:t xml:space="preserve">larger than </w:t>
      </w:r>
      <w:r w:rsidR="00170C85" w:rsidRPr="00D671EF">
        <w:rPr>
          <w:i/>
          <w:lang w:val="en-GB"/>
        </w:rPr>
        <w:t>t</w:t>
      </w:r>
      <w:r w:rsidR="00170C85">
        <w:rPr>
          <w:iCs/>
          <w:lang w:val="en-GB"/>
        </w:rPr>
        <w:t>-reference</w:t>
      </w:r>
      <w:r w:rsidR="00DD5FB7">
        <w:rPr>
          <w:iCs/>
          <w:lang w:val="en-GB"/>
        </w:rPr>
        <w:t>.</w:t>
      </w:r>
      <w:r w:rsidR="002E0E30">
        <w:rPr>
          <w:iCs/>
          <w:lang w:val="en-GB"/>
        </w:rPr>
        <w:t xml:space="preserve"> I</w:t>
      </w:r>
      <w:r w:rsidR="00225940">
        <w:rPr>
          <w:iCs/>
          <w:lang w:val="en-GB"/>
        </w:rPr>
        <w:t>n scenario B</w:t>
      </w:r>
      <w:r w:rsidR="00184AC3">
        <w:rPr>
          <w:iCs/>
          <w:lang w:val="en-GB"/>
        </w:rPr>
        <w:t xml:space="preserve">, </w:t>
      </w:r>
      <w:r w:rsidR="002E6483">
        <w:rPr>
          <w:iCs/>
          <w:lang w:val="en-GB"/>
        </w:rPr>
        <w:t>differently form</w:t>
      </w:r>
      <w:r w:rsidR="00184AC3">
        <w:rPr>
          <w:iCs/>
          <w:lang w:val="en-GB"/>
        </w:rPr>
        <w:t xml:space="preserve"> A and C, </w:t>
      </w:r>
      <w:r w:rsidR="00225940">
        <w:rPr>
          <w:iCs/>
          <w:lang w:val="en-GB"/>
        </w:rPr>
        <w:t xml:space="preserve">also parameters </w:t>
      </w:r>
      <m:oMath>
        <m:sSub>
          <m:sSubPr>
            <m:ctrlPr>
              <w:rPr>
                <w:rFonts w:ascii="Cambria Math" w:hAnsi="Cambria Math"/>
                <w:i/>
              </w:rPr>
            </m:ctrlPr>
          </m:sSubPr>
          <m:e>
            <m:r>
              <w:rPr>
                <w:rFonts w:ascii="Cambria Math" w:hAnsi="Cambria Math"/>
              </w:rPr>
              <m:t>k</m:t>
            </m:r>
          </m:e>
          <m:sub>
            <m:r>
              <w:rPr>
                <w:rFonts w:ascii="Cambria Math" w:hAnsi="Cambria Math"/>
              </w:rPr>
              <m:t>cut-tis</m:t>
            </m:r>
          </m:sub>
        </m:sSub>
        <m:r>
          <w:rPr>
            <w:rFonts w:ascii="Cambria Math" w:hAnsi="Cambria Math"/>
          </w:rPr>
          <m:t xml:space="preserve"> </m:t>
        </m:r>
      </m:oMath>
      <w:r w:rsidR="00225940">
        <w:t xml:space="preserve">and </w:t>
      </w:r>
      <m:oMath>
        <m:sSub>
          <m:sSubPr>
            <m:ctrlPr>
              <w:rPr>
                <w:rFonts w:ascii="Cambria Math" w:hAnsi="Cambria Math"/>
                <w:i/>
              </w:rPr>
            </m:ctrlPr>
          </m:sSubPr>
          <m:e>
            <m:r>
              <w:rPr>
                <w:rFonts w:ascii="Cambria Math" w:hAnsi="Cambria Math"/>
              </w:rPr>
              <m:t>k</m:t>
            </m:r>
          </m:e>
          <m:sub>
            <m:r>
              <w:rPr>
                <w:rFonts w:ascii="Cambria Math" w:hAnsi="Cambria Math"/>
              </w:rPr>
              <m:t>tis-loss</m:t>
            </m:r>
          </m:sub>
        </m:sSub>
      </m:oMath>
      <w:r w:rsidR="00225940">
        <w:t xml:space="preserve"> </w:t>
      </w:r>
      <w:r w:rsidR="00B5714E">
        <w:t xml:space="preserve">fail the </w:t>
      </w:r>
      <w:r w:rsidR="00B5714E" w:rsidRPr="005608A9">
        <w:rPr>
          <w:i/>
          <w:iCs/>
        </w:rPr>
        <w:t>t</w:t>
      </w:r>
      <w:r w:rsidR="00B5714E">
        <w:t xml:space="preserve">-test, and this result is in good agreement with the a-priori </w:t>
      </w:r>
      <w:r w:rsidR="002E0E30">
        <w:t xml:space="preserve">structural </w:t>
      </w:r>
      <w:r w:rsidR="00B5714E">
        <w:t xml:space="preserve">analysis </w:t>
      </w:r>
      <w:r w:rsidR="002E0E30">
        <w:t xml:space="preserve">presented in section 4.1. </w:t>
      </w:r>
      <w:r w:rsidR="005026CC">
        <w:t xml:space="preserve">In </w:t>
      </w:r>
      <w:r w:rsidR="00B27AEF">
        <w:t>fact,</w:t>
      </w:r>
      <w:r w:rsidR="005026CC">
        <w:t xml:space="preserve"> the </w:t>
      </w:r>
      <w:r w:rsidR="00E2136B">
        <w:t xml:space="preserve">result obtained for model B </w:t>
      </w:r>
      <w:r w:rsidR="007C05CD">
        <w:t>suggests</w:t>
      </w:r>
      <w:r w:rsidR="001B650B">
        <w:t xml:space="preserve"> that </w:t>
      </w:r>
      <w:r w:rsidR="00707A76">
        <w:t xml:space="preserve">the </w:t>
      </w:r>
      <w:r w:rsidR="00165D4B">
        <w:t>transport-</w:t>
      </w:r>
      <w:r w:rsidR="00707A76">
        <w:t xml:space="preserve">barrier </w:t>
      </w:r>
      <w:r w:rsidR="00285871">
        <w:t>role</w:t>
      </w:r>
      <w:r w:rsidR="00707A76">
        <w:t xml:space="preserve"> of the cuticle is </w:t>
      </w:r>
      <w:r w:rsidR="00165D4B">
        <w:t xml:space="preserve">hard to describe </w:t>
      </w:r>
      <w:r w:rsidR="00285871">
        <w:t xml:space="preserve">with this compartmental model </w:t>
      </w:r>
      <w:r w:rsidR="00165D4B">
        <w:t>if</w:t>
      </w:r>
      <w:r w:rsidR="00654BDC">
        <w:t xml:space="preserve"> </w:t>
      </w:r>
      <w:r w:rsidR="001B650B">
        <w:t xml:space="preserve">experimental information </w:t>
      </w:r>
      <w:r w:rsidR="00285871">
        <w:t>about</w:t>
      </w:r>
      <w:r w:rsidR="005C7EBB">
        <w:t xml:space="preserve"> the AI </w:t>
      </w:r>
      <w:r w:rsidR="00654BDC">
        <w:t>distribution</w:t>
      </w:r>
      <w:r w:rsidR="00F506C4">
        <w:t xml:space="preserve"> within the </w:t>
      </w:r>
      <w:r w:rsidR="00DF511E">
        <w:t>leaf structure</w:t>
      </w:r>
      <w:r w:rsidR="00654BDC">
        <w:t xml:space="preserve"> </w:t>
      </w:r>
      <w:r w:rsidR="00F506C4">
        <w:t>is not available.</w:t>
      </w:r>
    </w:p>
    <w:p w14:paraId="69548A64" w14:textId="448E5154" w:rsidR="002F4850" w:rsidRPr="00C5607B" w:rsidRDefault="00B23D0B" w:rsidP="00BB1571">
      <w:pPr>
        <w:pStyle w:val="Els-body-text"/>
        <w:keepNext/>
        <w:spacing w:after="120"/>
        <w:rPr>
          <w:iCs/>
          <w:lang w:val="en-GB"/>
        </w:rPr>
      </w:pPr>
      <w:r>
        <w:t>The parameter correlation matrix</w:t>
      </w:r>
      <w:r w:rsidR="005506E1">
        <w:t xml:space="preserve"> </w:t>
      </w:r>
      <w:r>
        <w:t>is reporte</w:t>
      </w:r>
      <w:r w:rsidR="00EC4D5F">
        <w:t xml:space="preserve">d </w:t>
      </w:r>
      <w:r w:rsidR="00984017">
        <w:t>with the</w:t>
      </w:r>
      <w:r w:rsidR="00EC4D5F">
        <w:t xml:space="preserve"> heatmap </w:t>
      </w:r>
      <w:r>
        <w:t xml:space="preserve">in </w:t>
      </w:r>
      <w:r w:rsidR="00153AA4">
        <w:t>F</w:t>
      </w:r>
      <w:r w:rsidR="00382F05">
        <w:t>igure 3</w:t>
      </w:r>
      <w:r w:rsidR="00EC4D5F">
        <w:t>b</w:t>
      </w:r>
      <w:r w:rsidR="00BD1E41">
        <w:t xml:space="preserve"> only for scenario A for sake of conciseness</w:t>
      </w:r>
      <w:r w:rsidR="00EC4D5F">
        <w:t xml:space="preserve">. The </w:t>
      </w:r>
      <w:r w:rsidR="00C20BD0">
        <w:t xml:space="preserve">model passed the </w:t>
      </w:r>
      <w:r w:rsidR="005D3C00">
        <w:t xml:space="preserve">a-priori </w:t>
      </w:r>
      <w:r w:rsidR="00561798">
        <w:t xml:space="preserve">structural </w:t>
      </w:r>
      <w:r w:rsidR="005D3C00">
        <w:t xml:space="preserve">identifiability test under these conditions, however when looking at the </w:t>
      </w:r>
      <w:r w:rsidR="00561798">
        <w:t>practical identifiability</w:t>
      </w:r>
      <w:r w:rsidR="007800A9">
        <w:t xml:space="preserve"> results</w:t>
      </w:r>
      <w:r w:rsidR="007812A4">
        <w:t xml:space="preserve">, strong correlations between parameters emerge. </w:t>
      </w:r>
      <w:r w:rsidR="008A49C4">
        <w:t>The</w:t>
      </w:r>
      <w:r w:rsidR="005A1ECD">
        <w:t xml:space="preserve"> </w:t>
      </w:r>
      <w:r w:rsidR="00887AB6">
        <w:t xml:space="preserve">correlation coefficient </w:t>
      </w:r>
      <w:r w:rsidR="00331477">
        <w:t xml:space="preserve">among all the pairs of </w:t>
      </w:r>
      <w:r w:rsidR="005A1ECD">
        <w:t>pa</w:t>
      </w:r>
      <w:r w:rsidR="008A49C4">
        <w:t>rameters</w:t>
      </w:r>
      <w:r w:rsidR="005A1ECD">
        <w:t xml:space="preserve"> </w:t>
      </w:r>
      <w:r w:rsidR="00331477">
        <w:t>in the set {</w:t>
      </w:r>
      <m:oMath>
        <m:sSub>
          <m:sSubPr>
            <m:ctrlPr>
              <w:rPr>
                <w:rFonts w:ascii="Cambria Math" w:hAnsi="Cambria Math"/>
                <w:i/>
              </w:rPr>
            </m:ctrlPr>
          </m:sSubPr>
          <m:e>
            <m:r>
              <w:rPr>
                <w:rFonts w:ascii="Cambria Math" w:hAnsi="Cambria Math"/>
              </w:rPr>
              <m:t>k</m:t>
            </m:r>
          </m:e>
          <m:sub>
            <m:r>
              <w:rPr>
                <w:rFonts w:ascii="Cambria Math" w:hAnsi="Cambria Math"/>
              </w:rPr>
              <m:t>drop-store</m:t>
            </m:r>
          </m:sub>
        </m:sSub>
      </m:oMath>
      <w:r w:rsidR="008A49C4">
        <w:t xml:space="preserve">, </w:t>
      </w:r>
      <m:oMath>
        <m:sSub>
          <m:sSubPr>
            <m:ctrlPr>
              <w:rPr>
                <w:rFonts w:ascii="Cambria Math" w:hAnsi="Cambria Math"/>
                <w:i/>
              </w:rPr>
            </m:ctrlPr>
          </m:sSubPr>
          <m:e>
            <m:r>
              <w:rPr>
                <w:rFonts w:ascii="Cambria Math" w:hAnsi="Cambria Math"/>
              </w:rPr>
              <m:t>k</m:t>
            </m:r>
          </m:e>
          <m:sub>
            <m:r>
              <w:rPr>
                <w:rFonts w:ascii="Cambria Math" w:hAnsi="Cambria Math"/>
              </w:rPr>
              <m:t>drop-cut</m:t>
            </m:r>
          </m:sub>
        </m:sSub>
      </m:oMath>
      <w:r w:rsidR="00331477">
        <w:t>,</w:t>
      </w:r>
      <w:r w:rsidR="008A49C4">
        <w:t xml:space="preserve"> </w:t>
      </w:r>
      <m:oMath>
        <m:sSub>
          <m:sSubPr>
            <m:ctrlPr>
              <w:rPr>
                <w:rFonts w:ascii="Cambria Math" w:hAnsi="Cambria Math"/>
                <w:i/>
              </w:rPr>
            </m:ctrlPr>
          </m:sSubPr>
          <m:e>
            <m:r>
              <w:rPr>
                <w:rFonts w:ascii="Cambria Math" w:hAnsi="Cambria Math"/>
              </w:rPr>
              <m:t>k</m:t>
            </m:r>
          </m:e>
          <m:sub>
            <m:r>
              <w:rPr>
                <w:rFonts w:ascii="Cambria Math" w:hAnsi="Cambria Math"/>
              </w:rPr>
              <m:t>drop-loss</m:t>
            </m:r>
          </m:sub>
        </m:sSub>
      </m:oMath>
      <w:r w:rsidR="00331477">
        <w:t xml:space="preserve">} </w:t>
      </w:r>
      <w:r w:rsidR="006775AB">
        <w:t xml:space="preserve">result to be 0.99 or higher, </w:t>
      </w:r>
      <w:r w:rsidR="0083493A">
        <w:t>indicating practical non-identifiability of these parameters</w:t>
      </w:r>
      <w:r w:rsidR="00B05E83">
        <w:t xml:space="preserve"> </w:t>
      </w:r>
      <w:r w:rsidR="004675D6">
        <w:rPr>
          <w:rFonts w:eastAsiaTheme="minorEastAsia"/>
        </w:rPr>
        <w:t>(Rodriguez-Fernandez et al. 2006)</w:t>
      </w:r>
      <w:r w:rsidR="0083493A">
        <w:t xml:space="preserve">. </w:t>
      </w:r>
      <w:r w:rsidR="007A6A43">
        <w:t xml:space="preserve">From the </w:t>
      </w:r>
      <w:r w:rsidR="007A6A43" w:rsidRPr="001C0D7C">
        <w:rPr>
          <w:i/>
          <w:iCs/>
        </w:rPr>
        <w:t>t</w:t>
      </w:r>
      <w:r w:rsidR="007A6A43">
        <w:t>-test (</w:t>
      </w:r>
      <w:r w:rsidR="003F21DA">
        <w:t>F</w:t>
      </w:r>
      <w:r w:rsidR="007A6A43">
        <w:t xml:space="preserve">ig. </w:t>
      </w:r>
      <w:r w:rsidR="00C94468">
        <w:t>3a</w:t>
      </w:r>
      <w:r w:rsidR="007A6A43">
        <w:t>)</w:t>
      </w:r>
      <w:r w:rsidR="008A6527">
        <w:t xml:space="preserve"> high variance for these parameters</w:t>
      </w:r>
      <w:r w:rsidR="007A6A43">
        <w:t xml:space="preserve"> was observed</w:t>
      </w:r>
      <w:r w:rsidR="005506E1">
        <w:t xml:space="preserve">, </w:t>
      </w:r>
      <w:r w:rsidR="002F22A6">
        <w:t>while</w:t>
      </w:r>
      <w:r w:rsidR="00EE2F47">
        <w:t xml:space="preserve"> </w:t>
      </w:r>
      <w:r w:rsidR="007B1D84">
        <w:t xml:space="preserve">the analysis </w:t>
      </w:r>
      <w:r w:rsidR="00E9243E">
        <w:t>of correlation</w:t>
      </w:r>
      <w:r w:rsidR="007B1D84">
        <w:t xml:space="preserve"> coefficient </w:t>
      </w:r>
      <m:oMath>
        <m:sSub>
          <m:sSubPr>
            <m:ctrlPr>
              <w:rPr>
                <w:rFonts w:ascii="Cambria Math" w:hAnsi="Cambria Math"/>
                <w:i/>
              </w:rPr>
            </m:ctrlPr>
          </m:sSubPr>
          <m:e>
            <m:r>
              <w:rPr>
                <w:rFonts w:ascii="Cambria Math" w:hAnsi="Cambria Math"/>
              </w:rPr>
              <m:t>R</m:t>
            </m:r>
          </m:e>
          <m:sub>
            <m:r>
              <w:rPr>
                <w:rFonts w:ascii="Cambria Math" w:hAnsi="Cambria Math"/>
              </w:rPr>
              <m:t>ij</m:t>
            </m:r>
          </m:sub>
        </m:sSub>
      </m:oMath>
      <w:r w:rsidR="007B1D84">
        <w:t xml:space="preserve"> (Eq. 2</w:t>
      </w:r>
      <w:r w:rsidR="00571B09">
        <w:t>) in</w:t>
      </w:r>
      <w:r w:rsidR="00F238AF">
        <w:t xml:space="preserve"> the correlation matrix</w:t>
      </w:r>
      <w:r w:rsidR="00EE2F47">
        <w:t xml:space="preserve"> (</w:t>
      </w:r>
      <w:r w:rsidR="003F21DA">
        <w:t>F</w:t>
      </w:r>
      <w:r w:rsidR="00EE2F47">
        <w:t>ig. 3b)</w:t>
      </w:r>
      <w:r w:rsidR="00F238AF">
        <w:t xml:space="preserve"> lead to conclude that also the</w:t>
      </w:r>
      <w:r w:rsidR="00C5607B">
        <w:t>ir</w:t>
      </w:r>
      <w:r w:rsidR="00F238AF">
        <w:t xml:space="preserve"> covariance is extremely large.</w:t>
      </w:r>
      <w:r w:rsidR="00F60943">
        <w:t xml:space="preserve"> From these </w:t>
      </w:r>
      <w:r w:rsidR="00EF4C2D">
        <w:t xml:space="preserve">results it emerges that </w:t>
      </w:r>
      <w:r w:rsidR="00406959">
        <w:t>higher</w:t>
      </w:r>
      <w:r w:rsidR="00EF4C2D">
        <w:t xml:space="preserve"> model complexity </w:t>
      </w:r>
      <w:r w:rsidR="00406959">
        <w:t xml:space="preserve">must be sustained by </w:t>
      </w:r>
      <w:r w:rsidR="00803DAD">
        <w:t xml:space="preserve">more </w:t>
      </w:r>
      <w:r w:rsidR="00945C9C">
        <w:t xml:space="preserve">experimental </w:t>
      </w:r>
      <w:r w:rsidR="00803DAD">
        <w:lastRenderedPageBreak/>
        <w:t xml:space="preserve">information to ensure the identifiability of </w:t>
      </w:r>
      <w:r w:rsidR="0045329C">
        <w:t xml:space="preserve">the full set of </w:t>
      </w:r>
      <w:r w:rsidR="00803DAD">
        <w:t>model parameters</w:t>
      </w:r>
      <w:r w:rsidR="00BB1571">
        <w:t>.</w:t>
      </w:r>
      <w:r w:rsidR="00382C04">
        <w:t xml:space="preserve"> </w:t>
      </w:r>
      <w:r w:rsidR="002D1974">
        <w:t>Other</w:t>
      </w:r>
      <w:r w:rsidR="005E590D">
        <w:t xml:space="preserve"> strategies </w:t>
      </w:r>
      <w:r w:rsidR="007327E3">
        <w:t xml:space="preserve">such as model reparameterization can be applied to </w:t>
      </w:r>
      <w:r w:rsidR="00ED0154">
        <w:t>overcome the identifiability issues</w:t>
      </w:r>
      <w:r w:rsidR="00355AFB">
        <w:t xml:space="preserve"> (</w:t>
      </w:r>
      <w:r w:rsidR="00DA73B9">
        <w:t>Quaglio et al., 2020</w:t>
      </w:r>
      <w:r w:rsidR="00355AFB">
        <w:t>)</w:t>
      </w:r>
      <w:r w:rsidR="008F1CBB">
        <w:t>.</w:t>
      </w:r>
    </w:p>
    <w:p w14:paraId="59478839" w14:textId="71EABF31" w:rsidR="00B530D9" w:rsidRPr="0034230E" w:rsidRDefault="00830B3D" w:rsidP="00ED1049">
      <w:pPr>
        <w:pStyle w:val="Els-1storder-head"/>
        <w:spacing w:after="120"/>
        <w:rPr>
          <w:lang w:val="en-GB"/>
        </w:rPr>
      </w:pPr>
      <w:r w:rsidRPr="0034230E">
        <w:rPr>
          <w:lang w:val="en-GB"/>
        </w:rPr>
        <w:t>C</w:t>
      </w:r>
      <w:r w:rsidR="008D2649" w:rsidRPr="0034230E">
        <w:rPr>
          <w:lang w:val="en-GB"/>
        </w:rPr>
        <w:t>onclusions</w:t>
      </w:r>
    </w:p>
    <w:p w14:paraId="373129A7" w14:textId="221C58AB" w:rsidR="00820B5C" w:rsidRPr="004874C2" w:rsidRDefault="005740EE" w:rsidP="00B6585A">
      <w:pPr>
        <w:pStyle w:val="Els-body-text"/>
        <w:spacing w:after="120"/>
        <w:rPr>
          <w:lang w:val="en-GB"/>
        </w:rPr>
      </w:pPr>
      <w:r w:rsidRPr="004874C2">
        <w:rPr>
          <w:lang w:val="en-GB"/>
        </w:rPr>
        <w:t>In this paper</w:t>
      </w:r>
      <w:r w:rsidR="001832DE" w:rsidRPr="004874C2">
        <w:rPr>
          <w:lang w:val="en-GB"/>
        </w:rPr>
        <w:t xml:space="preserve">, </w:t>
      </w:r>
      <w:r w:rsidRPr="004874C2">
        <w:rPr>
          <w:lang w:val="en-GB"/>
        </w:rPr>
        <w:t xml:space="preserve">a </w:t>
      </w:r>
      <w:r w:rsidR="001832DE" w:rsidRPr="004874C2">
        <w:rPr>
          <w:lang w:val="en-GB"/>
        </w:rPr>
        <w:t xml:space="preserve">systematic framework </w:t>
      </w:r>
      <w:r w:rsidR="000119DC" w:rsidRPr="004874C2">
        <w:rPr>
          <w:lang w:val="en-GB"/>
        </w:rPr>
        <w:t xml:space="preserve">to develop a mathematical model for the </w:t>
      </w:r>
      <w:r w:rsidR="00777208" w:rsidRPr="004874C2">
        <w:rPr>
          <w:lang w:val="en-GB"/>
        </w:rPr>
        <w:t>description</w:t>
      </w:r>
      <w:r w:rsidR="000119DC" w:rsidRPr="004874C2">
        <w:rPr>
          <w:lang w:val="en-GB"/>
        </w:rPr>
        <w:t xml:space="preserve"> of foliar uptake of biocides is presented</w:t>
      </w:r>
      <w:r w:rsidR="00777208" w:rsidRPr="004874C2">
        <w:rPr>
          <w:lang w:val="en-GB"/>
        </w:rPr>
        <w:t>, focusing on the first steps of the methodology</w:t>
      </w:r>
      <w:r w:rsidR="00CF199D">
        <w:rPr>
          <w:lang w:val="en-GB"/>
        </w:rPr>
        <w:t xml:space="preserve"> shown in Figure 1</w:t>
      </w:r>
      <w:r w:rsidR="000119DC" w:rsidRPr="004874C2">
        <w:rPr>
          <w:lang w:val="en-GB"/>
        </w:rPr>
        <w:t xml:space="preserve">. </w:t>
      </w:r>
      <w:r w:rsidR="00CC3821" w:rsidRPr="004874C2">
        <w:rPr>
          <w:lang w:val="en-GB"/>
        </w:rPr>
        <w:t xml:space="preserve">The model building strategy </w:t>
      </w:r>
      <w:r w:rsidR="006C2AE2" w:rsidRPr="004874C2">
        <w:rPr>
          <w:lang w:val="en-GB"/>
        </w:rPr>
        <w:t xml:space="preserve">adopted </w:t>
      </w:r>
      <w:r w:rsidR="0016107B" w:rsidRPr="004874C2">
        <w:rPr>
          <w:lang w:val="en-GB"/>
        </w:rPr>
        <w:t>includes</w:t>
      </w:r>
      <w:r w:rsidR="00EC3155" w:rsidRPr="004874C2">
        <w:rPr>
          <w:lang w:val="en-GB"/>
        </w:rPr>
        <w:t xml:space="preserve"> model parameters identifiability</w:t>
      </w:r>
      <w:r w:rsidR="007B1D84" w:rsidRPr="007B1D84">
        <w:rPr>
          <w:lang w:val="en-GB"/>
        </w:rPr>
        <w:t xml:space="preserve"> </w:t>
      </w:r>
      <w:r w:rsidR="007B1D84" w:rsidRPr="004874C2">
        <w:rPr>
          <w:lang w:val="en-GB"/>
        </w:rPr>
        <w:t>testing</w:t>
      </w:r>
      <w:r w:rsidR="00F65206" w:rsidRPr="004874C2">
        <w:rPr>
          <w:lang w:val="en-GB"/>
        </w:rPr>
        <w:t xml:space="preserve">, which </w:t>
      </w:r>
      <w:r w:rsidR="00E2106E" w:rsidRPr="004874C2">
        <w:rPr>
          <w:lang w:val="en-GB"/>
        </w:rPr>
        <w:t xml:space="preserve">is done both a-priori and a-posteriori. </w:t>
      </w:r>
      <w:r w:rsidR="0059369F">
        <w:rPr>
          <w:lang w:val="en-GB"/>
        </w:rPr>
        <w:t>Verifying</w:t>
      </w:r>
      <w:r w:rsidR="00CC2E48">
        <w:rPr>
          <w:lang w:val="en-GB"/>
        </w:rPr>
        <w:t xml:space="preserve"> model identifiability is a</w:t>
      </w:r>
      <w:r w:rsidR="007B1D84">
        <w:rPr>
          <w:lang w:val="en-GB"/>
        </w:rPr>
        <w:t>n essential prerequisite</w:t>
      </w:r>
      <w:r w:rsidR="00002C40">
        <w:rPr>
          <w:lang w:val="en-GB"/>
        </w:rPr>
        <w:t xml:space="preserve"> to </w:t>
      </w:r>
      <w:r w:rsidR="0099174B">
        <w:rPr>
          <w:lang w:val="en-GB"/>
        </w:rPr>
        <w:t>apply the</w:t>
      </w:r>
      <w:r w:rsidR="00780F61">
        <w:rPr>
          <w:lang w:val="en-GB"/>
        </w:rPr>
        <w:t xml:space="preserve"> </w:t>
      </w:r>
      <w:r w:rsidR="0099174B">
        <w:rPr>
          <w:lang w:val="en-GB"/>
        </w:rPr>
        <w:t xml:space="preserve">model in the following steps </w:t>
      </w:r>
      <w:r w:rsidR="00314C03">
        <w:rPr>
          <w:lang w:val="en-GB"/>
        </w:rPr>
        <w:t xml:space="preserve">of the procedure, i.e. MBDoE and </w:t>
      </w:r>
      <w:r w:rsidR="00473C9C">
        <w:rPr>
          <w:lang w:val="en-GB"/>
        </w:rPr>
        <w:t>parameter estimation.</w:t>
      </w:r>
      <w:r w:rsidR="0059369F">
        <w:rPr>
          <w:lang w:val="en-GB"/>
        </w:rPr>
        <w:t xml:space="preserve"> </w:t>
      </w:r>
      <w:r w:rsidR="007B1D84">
        <w:rPr>
          <w:lang w:val="en-GB"/>
        </w:rPr>
        <w:t>M</w:t>
      </w:r>
      <w:r w:rsidR="00E2106E" w:rsidRPr="004874C2">
        <w:rPr>
          <w:lang w:val="en-GB"/>
        </w:rPr>
        <w:t>odel</w:t>
      </w:r>
      <w:r w:rsidR="002078D2" w:rsidRPr="004874C2">
        <w:rPr>
          <w:lang w:val="en-GB"/>
        </w:rPr>
        <w:t xml:space="preserve"> identifiability</w:t>
      </w:r>
      <w:r w:rsidR="00E2106E" w:rsidRPr="004874C2">
        <w:rPr>
          <w:lang w:val="en-GB"/>
        </w:rPr>
        <w:t xml:space="preserve"> has been tested</w:t>
      </w:r>
      <w:r w:rsidR="00C544E9">
        <w:rPr>
          <w:lang w:val="en-GB"/>
        </w:rPr>
        <w:t xml:space="preserve"> in three </w:t>
      </w:r>
      <w:r w:rsidR="007B1D84">
        <w:rPr>
          <w:lang w:val="en-GB"/>
        </w:rPr>
        <w:t>candidate models</w:t>
      </w:r>
      <w:r w:rsidR="00C544E9">
        <w:rPr>
          <w:lang w:val="en-GB"/>
        </w:rPr>
        <w:t xml:space="preserve"> </w:t>
      </w:r>
      <w:r w:rsidR="00660911">
        <w:rPr>
          <w:lang w:val="en-GB"/>
        </w:rPr>
        <w:t>with different</w:t>
      </w:r>
      <w:r w:rsidR="00680861">
        <w:rPr>
          <w:lang w:val="en-GB"/>
        </w:rPr>
        <w:t xml:space="preserve"> </w:t>
      </w:r>
      <w:r w:rsidR="00D37394">
        <w:rPr>
          <w:lang w:val="en-GB"/>
        </w:rPr>
        <w:t>number of parameters and observed states</w:t>
      </w:r>
      <w:r w:rsidR="00680861">
        <w:rPr>
          <w:lang w:val="en-GB"/>
        </w:rPr>
        <w:t xml:space="preserve"> </w:t>
      </w:r>
      <w:r w:rsidR="00D37394">
        <w:rPr>
          <w:lang w:val="en-GB"/>
        </w:rPr>
        <w:t xml:space="preserve">in the system. </w:t>
      </w:r>
      <w:r w:rsidR="007B1D84">
        <w:rPr>
          <w:lang w:val="en-GB"/>
        </w:rPr>
        <w:t>M</w:t>
      </w:r>
      <w:r w:rsidR="00C26854">
        <w:rPr>
          <w:lang w:val="en-GB"/>
        </w:rPr>
        <w:t>odel B and C were not globally identifiable fr</w:t>
      </w:r>
      <w:r w:rsidR="007B1D84">
        <w:rPr>
          <w:lang w:val="en-GB"/>
        </w:rPr>
        <w:t>o</w:t>
      </w:r>
      <w:r w:rsidR="00C26854">
        <w:rPr>
          <w:lang w:val="en-GB"/>
        </w:rPr>
        <w:t xml:space="preserve">m the structural analysis, while model A passed the structural test but not the </w:t>
      </w:r>
      <w:r w:rsidR="00800253">
        <w:rPr>
          <w:lang w:val="en-GB"/>
        </w:rPr>
        <w:t xml:space="preserve">practical identifiability test. These results indicate </w:t>
      </w:r>
      <w:r w:rsidR="008E6067">
        <w:rPr>
          <w:lang w:val="en-GB"/>
        </w:rPr>
        <w:t xml:space="preserve">that the </w:t>
      </w:r>
      <w:r w:rsidR="00E95A34">
        <w:rPr>
          <w:lang w:val="en-GB"/>
        </w:rPr>
        <w:t xml:space="preserve">model complexity </w:t>
      </w:r>
      <w:r w:rsidR="00732B5A">
        <w:rPr>
          <w:lang w:val="en-GB"/>
        </w:rPr>
        <w:t>achievable is strongly limited by the o</w:t>
      </w:r>
      <w:r w:rsidR="00BC59F7">
        <w:rPr>
          <w:lang w:val="en-GB"/>
        </w:rPr>
        <w:t>bservability</w:t>
      </w:r>
      <w:r w:rsidR="00732B5A">
        <w:rPr>
          <w:lang w:val="en-GB"/>
        </w:rPr>
        <w:t xml:space="preserve"> on the system.</w:t>
      </w:r>
      <w:r w:rsidR="00DF0E19">
        <w:rPr>
          <w:lang w:val="en-GB"/>
        </w:rPr>
        <w:t xml:space="preserve"> </w:t>
      </w:r>
      <w:r w:rsidR="00C344B3" w:rsidRPr="004874C2">
        <w:rPr>
          <w:lang w:val="en-GB"/>
        </w:rPr>
        <w:t>Future work will include the formulation of alternative model</w:t>
      </w:r>
      <w:r w:rsidR="00E82BF7" w:rsidRPr="004874C2">
        <w:rPr>
          <w:lang w:val="en-GB"/>
        </w:rPr>
        <w:t xml:space="preserve"> structures, </w:t>
      </w:r>
      <w:r w:rsidR="001A4C2B" w:rsidRPr="004874C2">
        <w:rPr>
          <w:lang w:val="en-GB"/>
        </w:rPr>
        <w:t>also considering</w:t>
      </w:r>
      <w:r w:rsidR="00E82BF7" w:rsidRPr="004874C2">
        <w:rPr>
          <w:lang w:val="en-GB"/>
        </w:rPr>
        <w:t xml:space="preserve"> diffusion-based models, </w:t>
      </w:r>
      <w:r w:rsidR="004978BF">
        <w:rPr>
          <w:lang w:val="en-GB"/>
        </w:rPr>
        <w:t>to ensure</w:t>
      </w:r>
      <w:r w:rsidR="00D278B8">
        <w:rPr>
          <w:lang w:val="en-GB"/>
        </w:rPr>
        <w:t xml:space="preserve"> parameter </w:t>
      </w:r>
      <w:r w:rsidR="004978BF">
        <w:rPr>
          <w:lang w:val="en-GB"/>
        </w:rPr>
        <w:t xml:space="preserve">identifiability </w:t>
      </w:r>
      <w:r w:rsidR="00D278B8">
        <w:rPr>
          <w:lang w:val="en-GB"/>
        </w:rPr>
        <w:t>as a requirement for</w:t>
      </w:r>
      <w:r w:rsidR="005141E8" w:rsidRPr="004874C2">
        <w:rPr>
          <w:lang w:val="en-GB"/>
        </w:rPr>
        <w:t xml:space="preserve"> the </w:t>
      </w:r>
      <w:r w:rsidR="00BA4A18">
        <w:rPr>
          <w:lang w:val="en-GB"/>
        </w:rPr>
        <w:t xml:space="preserve">application of model-based design of experiments techniques in </w:t>
      </w:r>
      <w:r w:rsidR="00E063DE">
        <w:rPr>
          <w:lang w:val="en-GB"/>
        </w:rPr>
        <w:t>foliar uptake</w:t>
      </w:r>
      <w:r w:rsidR="00BA4A18">
        <w:rPr>
          <w:lang w:val="en-GB"/>
        </w:rPr>
        <w:t>.</w:t>
      </w:r>
    </w:p>
    <w:p w14:paraId="7417C2A8" w14:textId="2B318827" w:rsidR="00820B5C" w:rsidRPr="0034230E" w:rsidRDefault="00820B5C" w:rsidP="00820B5C">
      <w:pPr>
        <w:pStyle w:val="Els-1storder-head"/>
        <w:numPr>
          <w:ilvl w:val="0"/>
          <w:numId w:val="0"/>
        </w:numPr>
        <w:spacing w:after="120"/>
        <w:rPr>
          <w:lang w:val="en-GB"/>
        </w:rPr>
      </w:pPr>
      <w:r>
        <w:rPr>
          <w:lang w:val="en-GB"/>
        </w:rPr>
        <w:t>Acknowledgements</w:t>
      </w:r>
    </w:p>
    <w:p w14:paraId="04BE7C25" w14:textId="7AEED368" w:rsidR="00B6585A" w:rsidRPr="0034230E" w:rsidRDefault="003F13A8" w:rsidP="00820B5C">
      <w:pPr>
        <w:pStyle w:val="Els-body-text"/>
        <w:spacing w:after="120"/>
        <w:rPr>
          <w:lang w:val="en-GB"/>
        </w:rPr>
      </w:pPr>
      <w:r>
        <w:t>The authors gratefully acknowledge the support of the Department of Chemical Engineering, University College London, UK and Syngenta.</w:t>
      </w:r>
    </w:p>
    <w:p w14:paraId="144DE6BF" w14:textId="608D0AD6" w:rsidR="008D2649" w:rsidRPr="0034230E" w:rsidRDefault="008D2649" w:rsidP="008D2649">
      <w:pPr>
        <w:pStyle w:val="Els-reference-head"/>
        <w:rPr>
          <w:lang w:val="en-GB"/>
        </w:rPr>
      </w:pPr>
      <w:r w:rsidRPr="0034230E">
        <w:rPr>
          <w:lang w:val="en-GB"/>
        </w:rPr>
        <w:t>References</w:t>
      </w:r>
    </w:p>
    <w:p w14:paraId="2DC55D6C" w14:textId="26B9D2B3" w:rsidR="00BA01EC" w:rsidRDefault="00BA01EC" w:rsidP="002446E0">
      <w:pPr>
        <w:pStyle w:val="Els-referenceno-number"/>
      </w:pPr>
      <w:r w:rsidRPr="005509F9">
        <w:t xml:space="preserve">Bellu, G., Saccomani, M.P., Audoly, S., D’Angiò, L., 2007. </w:t>
      </w:r>
      <w:r w:rsidRPr="00BA01EC">
        <w:t xml:space="preserve">DAISY: A new software tool to test global identifiability of biological and physiological systems. Computer Methods and </w:t>
      </w:r>
      <w:r w:rsidRPr="009640DA">
        <w:t>Programs in Biomedicine 88, 52–61.</w:t>
      </w:r>
    </w:p>
    <w:p w14:paraId="7F0B9CF4" w14:textId="2E461970" w:rsidR="004F0306" w:rsidRPr="00977A2E" w:rsidRDefault="004F0306" w:rsidP="002446E0">
      <w:pPr>
        <w:pStyle w:val="Els-referenceno-number"/>
        <w:rPr>
          <w:lang w:val="it-IT"/>
        </w:rPr>
      </w:pPr>
      <w:r w:rsidRPr="004F0306">
        <w:t xml:space="preserve">Bridges, R.C., Farrington, J.A., 1974. A compartmental computer model of foliar uptake of pesticides. </w:t>
      </w:r>
      <w:r w:rsidRPr="00977A2E">
        <w:rPr>
          <w:lang w:val="it-IT"/>
        </w:rPr>
        <w:t>Pestic. Sci. 5, 365–381</w:t>
      </w:r>
    </w:p>
    <w:p w14:paraId="1E637E9D" w14:textId="5E5079B9" w:rsidR="00BA01EC" w:rsidRDefault="000905AD" w:rsidP="002446E0">
      <w:pPr>
        <w:pStyle w:val="Els-referenceno-number"/>
      </w:pPr>
      <w:r w:rsidRPr="004F0306">
        <w:rPr>
          <w:lang w:val="it-IT"/>
        </w:rPr>
        <w:t xml:space="preserve">Chis, O.-T., Banga, J.R., Balsa-Canto, E., 2011. </w:t>
      </w:r>
      <w:r w:rsidRPr="009640DA">
        <w:t xml:space="preserve">Structural identifiability of systems biology models: A critical comparison of methods. </w:t>
      </w:r>
      <w:r w:rsidRPr="004D0274">
        <w:t>PLoS ONE 6.</w:t>
      </w:r>
    </w:p>
    <w:p w14:paraId="4BA21829" w14:textId="4939DFE2" w:rsidR="00E80B71" w:rsidRDefault="00E80B71" w:rsidP="00E80B71">
      <w:pPr>
        <w:pStyle w:val="Els-referenceno-number"/>
      </w:pPr>
      <w:r w:rsidRPr="00E80B71">
        <w:t>Forster, W.A., Zabkiewicz, J.A., Riederer, M., 2004. Mechanisms of cuticular uptake of xenobiotics into living plants: 1. Influence of xenobiotic dose on the uptake of three model compounds applied in the absence and presence of surfactants into Chenopodium album, Hedera helix and Stephanotis floribunda leaves. Pest Manag. Sci. 60, 1105–1113</w:t>
      </w:r>
    </w:p>
    <w:p w14:paraId="74A563EC" w14:textId="183A8DC7" w:rsidR="002446E0" w:rsidRDefault="002446E0" w:rsidP="002446E0">
      <w:pPr>
        <w:pStyle w:val="Els-referenceno-number"/>
      </w:pPr>
      <w:r w:rsidRPr="002446E0">
        <w:t>Franceschini, G., Macchietto, S., 2008. Model-based design of experiments for parameter precision: State of the art. Chemical Engineering Science, Model-Based Experimental Analysis 63, 4846–4872.</w:t>
      </w:r>
    </w:p>
    <w:p w14:paraId="66B46ABE" w14:textId="102F5C76" w:rsidR="007A1B49" w:rsidRDefault="007A1B49" w:rsidP="002446E0">
      <w:pPr>
        <w:pStyle w:val="Els-referenceno-number"/>
      </w:pPr>
      <w:r w:rsidRPr="0034230E">
        <w:t>Miao, H., Xia, X., Perelson, A.S., Wu, H., 2011. On Identifiability of Nonlinear ODE Models and Applications in Viral Dynamics. SIAM Review 53, 3–39</w:t>
      </w:r>
    </w:p>
    <w:p w14:paraId="4D088828" w14:textId="46E873D6" w:rsidR="00355AFB" w:rsidRDefault="00355AFB" w:rsidP="002446E0">
      <w:pPr>
        <w:pStyle w:val="Els-referenceno-number"/>
      </w:pPr>
      <w:r w:rsidRPr="00356FEF">
        <w:t xml:space="preserve">Quaglio, M., Fraga, E.S., Galvanin, F., 2020. </w:t>
      </w:r>
      <w:r w:rsidRPr="00355AFB">
        <w:t>A diagnostic procedure for improving the structure of approximated kinetic models. Comput. Chem. Eng. 133, 106659.</w:t>
      </w:r>
    </w:p>
    <w:p w14:paraId="5BCD7645" w14:textId="743F0A1B" w:rsidR="004C1CA8" w:rsidRPr="00BA01EC" w:rsidRDefault="004C1CA8" w:rsidP="002446E0">
      <w:pPr>
        <w:pStyle w:val="Els-referenceno-number"/>
      </w:pPr>
      <w:r w:rsidRPr="009640DA">
        <w:t xml:space="preserve">Rodriguez-Fernandez, M., Egea, J.A., Banga, J.R., 2006. </w:t>
      </w:r>
      <w:r w:rsidRPr="004C1CA8">
        <w:t>Novel metaheuristic for parameter estimation in nonlinear dynamic biological systems. BMC Bioinformatics 7, 483</w:t>
      </w:r>
    </w:p>
    <w:p w14:paraId="7130A495" w14:textId="449CC923" w:rsidR="00394E67" w:rsidRDefault="00394E67" w:rsidP="00501737">
      <w:pPr>
        <w:pStyle w:val="Els-referenceno-number"/>
      </w:pPr>
      <w:r w:rsidRPr="004874C2">
        <w:t xml:space="preserve">Sharma, A., Kumar, V., Shahzad, B., Tanveer, M., Sidhu, G.P.S., Handa, N., Kohli, S.K., Yadav, P., Bali, A.S., Parihar, R.D., Dar, O.I., Singh, K., Jasrotia, S., Bakshi, P., Ramakrishnan, M., Kumar, S., Bhardwaj, R., Thukral, A.K., 2019. </w:t>
      </w:r>
      <w:r w:rsidRPr="00394E67">
        <w:t>Worldwide pesticide usage and its impacts on ecosystem. SN Appl. Sci. 1, 1446</w:t>
      </w:r>
    </w:p>
    <w:p w14:paraId="3833F398" w14:textId="156C0A69" w:rsidR="00214177" w:rsidRDefault="00214177" w:rsidP="00501737">
      <w:pPr>
        <w:pStyle w:val="Els-referenceno-number"/>
      </w:pPr>
      <w:r w:rsidRPr="00214177">
        <w:t>Tredenick, E.C., Farrell, T.W., Forster, W.A., 2019. Mathematical Modelling of Hydrophilic Ionic Fertiliser Diffusion in Plant Cuticles: Lipophilic Surfactant Effects. Plants 8, 202.</w:t>
      </w:r>
    </w:p>
    <w:sectPr w:rsidR="00214177" w:rsidSect="00CB4239">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E634" w14:textId="77777777" w:rsidR="003E2E63" w:rsidRDefault="003E2E63">
      <w:r>
        <w:separator/>
      </w:r>
    </w:p>
  </w:endnote>
  <w:endnote w:type="continuationSeparator" w:id="0">
    <w:p w14:paraId="4D633564" w14:textId="77777777" w:rsidR="003E2E63" w:rsidRDefault="003E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405C4" w14:textId="77777777" w:rsidR="003E2E63" w:rsidRDefault="003E2E63">
      <w:r>
        <w:separator/>
      </w:r>
    </w:p>
  </w:footnote>
  <w:footnote w:type="continuationSeparator" w:id="0">
    <w:p w14:paraId="1DB6C3A1" w14:textId="77777777" w:rsidR="003E2E63" w:rsidRDefault="003E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71BFFF8" w:rsidR="00DD3D9E" w:rsidRDefault="00DD3D9E">
    <w:pPr>
      <w:pStyle w:val="Intestazione"/>
      <w:tabs>
        <w:tab w:val="clear" w:pos="7200"/>
        <w:tab w:val="right" w:pos="7088"/>
      </w:tabs>
    </w:pPr>
    <w:r>
      <w:rPr>
        <w:rStyle w:val="Numeropagina"/>
      </w:rPr>
      <w:tab/>
    </w:r>
    <w:r>
      <w:rPr>
        <w:rStyle w:val="Numeropagina"/>
        <w:i/>
      </w:rPr>
      <w:tab/>
    </w:r>
    <w:r w:rsidR="00C52616">
      <w:rPr>
        <w:i/>
      </w:rPr>
      <w:t>E. Sangoi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DF4DA61" w:rsidR="00DD3D9E" w:rsidRDefault="00C52616" w:rsidP="00C52616">
    <w:pPr>
      <w:pStyle w:val="Intestazione"/>
      <w:tabs>
        <w:tab w:val="clear" w:pos="7200"/>
        <w:tab w:val="right" w:pos="7088"/>
      </w:tabs>
      <w:rPr>
        <w:sz w:val="24"/>
      </w:rPr>
    </w:pPr>
    <w:r>
      <w:rPr>
        <w:i/>
      </w:rPr>
      <w:t>Foliar uptake of biocides: testing structural and practical identifiability</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BD43E6B"/>
    <w:multiLevelType w:val="hybridMultilevel"/>
    <w:tmpl w:val="C284BF5C"/>
    <w:lvl w:ilvl="0" w:tplc="506CD27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CE5870"/>
    <w:multiLevelType w:val="hybridMultilevel"/>
    <w:tmpl w:val="2AAA10EE"/>
    <w:lvl w:ilvl="0" w:tplc="A164E10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1A70177"/>
    <w:multiLevelType w:val="hybridMultilevel"/>
    <w:tmpl w:val="6F14ACBA"/>
    <w:lvl w:ilvl="0" w:tplc="E0DAA6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3ED4680"/>
    <w:multiLevelType w:val="hybridMultilevel"/>
    <w:tmpl w:val="C00E81F4"/>
    <w:lvl w:ilvl="0" w:tplc="54B8B2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64DA3D6A"/>
    <w:multiLevelType w:val="hybridMultilevel"/>
    <w:tmpl w:val="E81E86D0"/>
    <w:lvl w:ilvl="0" w:tplc="654EEB9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5"/>
  </w:num>
  <w:num w:numId="3">
    <w:abstractNumId w:val="15"/>
  </w:num>
  <w:num w:numId="4">
    <w:abstractNumId w:val="15"/>
  </w:num>
  <w:num w:numId="5">
    <w:abstractNumId w:val="0"/>
  </w:num>
  <w:num w:numId="6">
    <w:abstractNumId w:val="7"/>
  </w:num>
  <w:num w:numId="7">
    <w:abstractNumId w:val="16"/>
  </w:num>
  <w:num w:numId="8">
    <w:abstractNumId w:val="1"/>
  </w:num>
  <w:num w:numId="9">
    <w:abstractNumId w:val="14"/>
  </w:num>
  <w:num w:numId="10">
    <w:abstractNumId w:val="19"/>
  </w:num>
  <w:num w:numId="11">
    <w:abstractNumId w:val="18"/>
  </w:num>
  <w:num w:numId="12">
    <w:abstractNumId w:val="6"/>
  </w:num>
  <w:num w:numId="13">
    <w:abstractNumId w:val="12"/>
  </w:num>
  <w:num w:numId="14">
    <w:abstractNumId w:val="3"/>
  </w:num>
  <w:num w:numId="15">
    <w:abstractNumId w:val="8"/>
  </w:num>
  <w:num w:numId="16">
    <w:abstractNumId w:val="4"/>
  </w:num>
  <w:num w:numId="17">
    <w:abstractNumId w:val="5"/>
  </w:num>
  <w:num w:numId="18">
    <w:abstractNumId w:val="13"/>
  </w:num>
  <w:num w:numId="19">
    <w:abstractNumId w:val="5"/>
  </w:num>
  <w:num w:numId="20">
    <w:abstractNumId w:val="5"/>
  </w:num>
  <w:num w:numId="21">
    <w:abstractNumId w:val="5"/>
  </w:num>
  <w:num w:numId="22">
    <w:abstractNumId w:val="11"/>
  </w:num>
  <w:num w:numId="23">
    <w:abstractNumId w:val="2"/>
  </w:num>
  <w:num w:numId="24">
    <w:abstractNumId w:val="9"/>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C2F"/>
    <w:rsid w:val="00002C40"/>
    <w:rsid w:val="00005C42"/>
    <w:rsid w:val="000119DC"/>
    <w:rsid w:val="00014339"/>
    <w:rsid w:val="0001688E"/>
    <w:rsid w:val="000204DC"/>
    <w:rsid w:val="0003375B"/>
    <w:rsid w:val="00047884"/>
    <w:rsid w:val="00050A67"/>
    <w:rsid w:val="000559C6"/>
    <w:rsid w:val="0005656E"/>
    <w:rsid w:val="00060A1A"/>
    <w:rsid w:val="00062B1D"/>
    <w:rsid w:val="00066074"/>
    <w:rsid w:val="00066DE6"/>
    <w:rsid w:val="00067430"/>
    <w:rsid w:val="000704FE"/>
    <w:rsid w:val="000731DA"/>
    <w:rsid w:val="00077082"/>
    <w:rsid w:val="00080D2E"/>
    <w:rsid w:val="00081AC1"/>
    <w:rsid w:val="00081BED"/>
    <w:rsid w:val="00082A44"/>
    <w:rsid w:val="00083254"/>
    <w:rsid w:val="00084634"/>
    <w:rsid w:val="00085069"/>
    <w:rsid w:val="000863A5"/>
    <w:rsid w:val="00086B58"/>
    <w:rsid w:val="000905AD"/>
    <w:rsid w:val="00091EC6"/>
    <w:rsid w:val="0009222A"/>
    <w:rsid w:val="00092FB4"/>
    <w:rsid w:val="000934E2"/>
    <w:rsid w:val="000936E1"/>
    <w:rsid w:val="00094871"/>
    <w:rsid w:val="0009539E"/>
    <w:rsid w:val="00097420"/>
    <w:rsid w:val="000A03D6"/>
    <w:rsid w:val="000A383F"/>
    <w:rsid w:val="000A4F9F"/>
    <w:rsid w:val="000B50A3"/>
    <w:rsid w:val="000C6C26"/>
    <w:rsid w:val="000C7278"/>
    <w:rsid w:val="000D3D9B"/>
    <w:rsid w:val="000D4DB1"/>
    <w:rsid w:val="000E0C70"/>
    <w:rsid w:val="000E0CD2"/>
    <w:rsid w:val="000E6FE4"/>
    <w:rsid w:val="000F2CE1"/>
    <w:rsid w:val="000F4FE0"/>
    <w:rsid w:val="001000D2"/>
    <w:rsid w:val="0010117A"/>
    <w:rsid w:val="0010128E"/>
    <w:rsid w:val="001022AA"/>
    <w:rsid w:val="001036A0"/>
    <w:rsid w:val="0010674A"/>
    <w:rsid w:val="00107887"/>
    <w:rsid w:val="00110F95"/>
    <w:rsid w:val="00111FAF"/>
    <w:rsid w:val="001121D5"/>
    <w:rsid w:val="00113170"/>
    <w:rsid w:val="00115466"/>
    <w:rsid w:val="00115A41"/>
    <w:rsid w:val="00120F34"/>
    <w:rsid w:val="00122215"/>
    <w:rsid w:val="00122307"/>
    <w:rsid w:val="001236FD"/>
    <w:rsid w:val="001271E4"/>
    <w:rsid w:val="001318A2"/>
    <w:rsid w:val="00133C60"/>
    <w:rsid w:val="001378E3"/>
    <w:rsid w:val="0014051B"/>
    <w:rsid w:val="001453D3"/>
    <w:rsid w:val="00145BAC"/>
    <w:rsid w:val="00146E3E"/>
    <w:rsid w:val="0015283D"/>
    <w:rsid w:val="00153AA4"/>
    <w:rsid w:val="0016032F"/>
    <w:rsid w:val="0016107B"/>
    <w:rsid w:val="00162227"/>
    <w:rsid w:val="00165D4B"/>
    <w:rsid w:val="001708AD"/>
    <w:rsid w:val="00170B6D"/>
    <w:rsid w:val="00170C85"/>
    <w:rsid w:val="00171230"/>
    <w:rsid w:val="001719A6"/>
    <w:rsid w:val="0017637B"/>
    <w:rsid w:val="0017664F"/>
    <w:rsid w:val="00182A5F"/>
    <w:rsid w:val="001832DE"/>
    <w:rsid w:val="00184AC3"/>
    <w:rsid w:val="00184F50"/>
    <w:rsid w:val="001854BC"/>
    <w:rsid w:val="001862A5"/>
    <w:rsid w:val="00187319"/>
    <w:rsid w:val="001879F6"/>
    <w:rsid w:val="00191662"/>
    <w:rsid w:val="00191CA4"/>
    <w:rsid w:val="001942CE"/>
    <w:rsid w:val="001960E9"/>
    <w:rsid w:val="001A184B"/>
    <w:rsid w:val="001A2F14"/>
    <w:rsid w:val="001A4C2B"/>
    <w:rsid w:val="001A500B"/>
    <w:rsid w:val="001A5538"/>
    <w:rsid w:val="001A6FF5"/>
    <w:rsid w:val="001A76EA"/>
    <w:rsid w:val="001A7E60"/>
    <w:rsid w:val="001B129A"/>
    <w:rsid w:val="001B33FE"/>
    <w:rsid w:val="001B4180"/>
    <w:rsid w:val="001B4336"/>
    <w:rsid w:val="001B5DB5"/>
    <w:rsid w:val="001B6418"/>
    <w:rsid w:val="001B650B"/>
    <w:rsid w:val="001B7941"/>
    <w:rsid w:val="001B7961"/>
    <w:rsid w:val="001C0148"/>
    <w:rsid w:val="001C0D7C"/>
    <w:rsid w:val="001C0F6A"/>
    <w:rsid w:val="001C168F"/>
    <w:rsid w:val="001C33FD"/>
    <w:rsid w:val="001C757E"/>
    <w:rsid w:val="001D4111"/>
    <w:rsid w:val="001D7928"/>
    <w:rsid w:val="001E1CE2"/>
    <w:rsid w:val="001E6CB4"/>
    <w:rsid w:val="001F023A"/>
    <w:rsid w:val="001F04B5"/>
    <w:rsid w:val="001F23DB"/>
    <w:rsid w:val="001F4F02"/>
    <w:rsid w:val="001F5942"/>
    <w:rsid w:val="002037F6"/>
    <w:rsid w:val="0020390F"/>
    <w:rsid w:val="002044B0"/>
    <w:rsid w:val="00205FCC"/>
    <w:rsid w:val="002078D2"/>
    <w:rsid w:val="00211628"/>
    <w:rsid w:val="00214177"/>
    <w:rsid w:val="00214E8D"/>
    <w:rsid w:val="00215014"/>
    <w:rsid w:val="00216145"/>
    <w:rsid w:val="002163C0"/>
    <w:rsid w:val="00223A76"/>
    <w:rsid w:val="002250A3"/>
    <w:rsid w:val="00225940"/>
    <w:rsid w:val="00230BE4"/>
    <w:rsid w:val="0023309F"/>
    <w:rsid w:val="002445BD"/>
    <w:rsid w:val="002446E0"/>
    <w:rsid w:val="00246A23"/>
    <w:rsid w:val="0025009D"/>
    <w:rsid w:val="00254BB0"/>
    <w:rsid w:val="00255E6F"/>
    <w:rsid w:val="0025661A"/>
    <w:rsid w:val="00257AA9"/>
    <w:rsid w:val="002605BC"/>
    <w:rsid w:val="00260DA8"/>
    <w:rsid w:val="002611A7"/>
    <w:rsid w:val="00263658"/>
    <w:rsid w:val="00264926"/>
    <w:rsid w:val="00266433"/>
    <w:rsid w:val="00266488"/>
    <w:rsid w:val="00271C95"/>
    <w:rsid w:val="0027332F"/>
    <w:rsid w:val="00273ADF"/>
    <w:rsid w:val="00277BD3"/>
    <w:rsid w:val="002826BE"/>
    <w:rsid w:val="00285871"/>
    <w:rsid w:val="00285F84"/>
    <w:rsid w:val="00290A14"/>
    <w:rsid w:val="00293CB3"/>
    <w:rsid w:val="002A1DCB"/>
    <w:rsid w:val="002B20E7"/>
    <w:rsid w:val="002B47C3"/>
    <w:rsid w:val="002B72C0"/>
    <w:rsid w:val="002C05D0"/>
    <w:rsid w:val="002C16BB"/>
    <w:rsid w:val="002C5A6F"/>
    <w:rsid w:val="002C67A8"/>
    <w:rsid w:val="002C7FE5"/>
    <w:rsid w:val="002D1974"/>
    <w:rsid w:val="002D2F05"/>
    <w:rsid w:val="002E0D5A"/>
    <w:rsid w:val="002E0E30"/>
    <w:rsid w:val="002E6483"/>
    <w:rsid w:val="002E6FA4"/>
    <w:rsid w:val="002F22A6"/>
    <w:rsid w:val="002F4850"/>
    <w:rsid w:val="002F531A"/>
    <w:rsid w:val="002F6B19"/>
    <w:rsid w:val="0030067F"/>
    <w:rsid w:val="00307450"/>
    <w:rsid w:val="00311DC2"/>
    <w:rsid w:val="003120B0"/>
    <w:rsid w:val="00314381"/>
    <w:rsid w:val="00314C03"/>
    <w:rsid w:val="00316E07"/>
    <w:rsid w:val="003174F7"/>
    <w:rsid w:val="00317FC9"/>
    <w:rsid w:val="00324BCC"/>
    <w:rsid w:val="00324F77"/>
    <w:rsid w:val="00331477"/>
    <w:rsid w:val="0033297D"/>
    <w:rsid w:val="00332D99"/>
    <w:rsid w:val="0033632F"/>
    <w:rsid w:val="00337D65"/>
    <w:rsid w:val="003402EE"/>
    <w:rsid w:val="0034230E"/>
    <w:rsid w:val="00344801"/>
    <w:rsid w:val="00346966"/>
    <w:rsid w:val="003523F7"/>
    <w:rsid w:val="00354D40"/>
    <w:rsid w:val="00354D84"/>
    <w:rsid w:val="00355AFB"/>
    <w:rsid w:val="00356FEF"/>
    <w:rsid w:val="003637BF"/>
    <w:rsid w:val="003758B3"/>
    <w:rsid w:val="00375EB8"/>
    <w:rsid w:val="00381ACD"/>
    <w:rsid w:val="00382C04"/>
    <w:rsid w:val="00382F05"/>
    <w:rsid w:val="00390386"/>
    <w:rsid w:val="00390AD6"/>
    <w:rsid w:val="0039217D"/>
    <w:rsid w:val="0039271F"/>
    <w:rsid w:val="00393CD5"/>
    <w:rsid w:val="00394965"/>
    <w:rsid w:val="00394A40"/>
    <w:rsid w:val="00394E67"/>
    <w:rsid w:val="00395933"/>
    <w:rsid w:val="003A010C"/>
    <w:rsid w:val="003A17AA"/>
    <w:rsid w:val="003A3928"/>
    <w:rsid w:val="003A5ED2"/>
    <w:rsid w:val="003A67C3"/>
    <w:rsid w:val="003B25E5"/>
    <w:rsid w:val="003B750D"/>
    <w:rsid w:val="003C002E"/>
    <w:rsid w:val="003C086D"/>
    <w:rsid w:val="003C29C3"/>
    <w:rsid w:val="003C3C27"/>
    <w:rsid w:val="003C4058"/>
    <w:rsid w:val="003C55DD"/>
    <w:rsid w:val="003C581E"/>
    <w:rsid w:val="003C5E26"/>
    <w:rsid w:val="003C717A"/>
    <w:rsid w:val="003D06D5"/>
    <w:rsid w:val="003D0EBF"/>
    <w:rsid w:val="003D1582"/>
    <w:rsid w:val="003D243A"/>
    <w:rsid w:val="003D25D0"/>
    <w:rsid w:val="003D292B"/>
    <w:rsid w:val="003D5B4A"/>
    <w:rsid w:val="003D7E4C"/>
    <w:rsid w:val="003E152C"/>
    <w:rsid w:val="003E2E63"/>
    <w:rsid w:val="003E41C2"/>
    <w:rsid w:val="003E5C87"/>
    <w:rsid w:val="003F0EA4"/>
    <w:rsid w:val="003F13A8"/>
    <w:rsid w:val="003F21DA"/>
    <w:rsid w:val="003F2FEE"/>
    <w:rsid w:val="003F3E39"/>
    <w:rsid w:val="003F4C25"/>
    <w:rsid w:val="003F63D7"/>
    <w:rsid w:val="00400F44"/>
    <w:rsid w:val="00401C5D"/>
    <w:rsid w:val="004020CF"/>
    <w:rsid w:val="0040593C"/>
    <w:rsid w:val="00406959"/>
    <w:rsid w:val="00410C37"/>
    <w:rsid w:val="00412622"/>
    <w:rsid w:val="00413A87"/>
    <w:rsid w:val="00413F56"/>
    <w:rsid w:val="00415A63"/>
    <w:rsid w:val="00415C72"/>
    <w:rsid w:val="00420B31"/>
    <w:rsid w:val="0042128B"/>
    <w:rsid w:val="004236E9"/>
    <w:rsid w:val="004304E7"/>
    <w:rsid w:val="0043147A"/>
    <w:rsid w:val="004374A7"/>
    <w:rsid w:val="00437A4F"/>
    <w:rsid w:val="00442A89"/>
    <w:rsid w:val="0044426F"/>
    <w:rsid w:val="00445C82"/>
    <w:rsid w:val="00446038"/>
    <w:rsid w:val="00446FA5"/>
    <w:rsid w:val="0045329C"/>
    <w:rsid w:val="00453305"/>
    <w:rsid w:val="00453B8F"/>
    <w:rsid w:val="00457922"/>
    <w:rsid w:val="00460BCE"/>
    <w:rsid w:val="00464535"/>
    <w:rsid w:val="004675D6"/>
    <w:rsid w:val="00471F4C"/>
    <w:rsid w:val="00472A31"/>
    <w:rsid w:val="00473C9C"/>
    <w:rsid w:val="00481416"/>
    <w:rsid w:val="004821B4"/>
    <w:rsid w:val="00485EB4"/>
    <w:rsid w:val="004861AF"/>
    <w:rsid w:val="004874C2"/>
    <w:rsid w:val="00491D22"/>
    <w:rsid w:val="0049671A"/>
    <w:rsid w:val="00496A2E"/>
    <w:rsid w:val="0049721E"/>
    <w:rsid w:val="0049772C"/>
    <w:rsid w:val="004978BF"/>
    <w:rsid w:val="004A0886"/>
    <w:rsid w:val="004A2FC1"/>
    <w:rsid w:val="004A44D1"/>
    <w:rsid w:val="004A4E27"/>
    <w:rsid w:val="004A6A2C"/>
    <w:rsid w:val="004A7408"/>
    <w:rsid w:val="004A791F"/>
    <w:rsid w:val="004B4951"/>
    <w:rsid w:val="004B55A2"/>
    <w:rsid w:val="004B634A"/>
    <w:rsid w:val="004B79EA"/>
    <w:rsid w:val="004C0937"/>
    <w:rsid w:val="004C0E2F"/>
    <w:rsid w:val="004C1CA8"/>
    <w:rsid w:val="004C476B"/>
    <w:rsid w:val="004C6802"/>
    <w:rsid w:val="004C695A"/>
    <w:rsid w:val="004C6DA0"/>
    <w:rsid w:val="004D0274"/>
    <w:rsid w:val="004D1155"/>
    <w:rsid w:val="004D2F5E"/>
    <w:rsid w:val="004E0E6D"/>
    <w:rsid w:val="004E2FEB"/>
    <w:rsid w:val="004E599E"/>
    <w:rsid w:val="004E6583"/>
    <w:rsid w:val="004F0306"/>
    <w:rsid w:val="004F0458"/>
    <w:rsid w:val="004F762D"/>
    <w:rsid w:val="00501737"/>
    <w:rsid w:val="00501D1B"/>
    <w:rsid w:val="00502574"/>
    <w:rsid w:val="005026CC"/>
    <w:rsid w:val="00507918"/>
    <w:rsid w:val="00513BB4"/>
    <w:rsid w:val="005141E8"/>
    <w:rsid w:val="00525559"/>
    <w:rsid w:val="00527E47"/>
    <w:rsid w:val="00531C39"/>
    <w:rsid w:val="00532DA5"/>
    <w:rsid w:val="005375D8"/>
    <w:rsid w:val="00542126"/>
    <w:rsid w:val="00543154"/>
    <w:rsid w:val="00544A7A"/>
    <w:rsid w:val="005473C6"/>
    <w:rsid w:val="00547EC8"/>
    <w:rsid w:val="005506E1"/>
    <w:rsid w:val="005509F9"/>
    <w:rsid w:val="00552EEB"/>
    <w:rsid w:val="00555C66"/>
    <w:rsid w:val="005566FA"/>
    <w:rsid w:val="0055708A"/>
    <w:rsid w:val="00560767"/>
    <w:rsid w:val="005608A9"/>
    <w:rsid w:val="00561798"/>
    <w:rsid w:val="005651F7"/>
    <w:rsid w:val="0056573C"/>
    <w:rsid w:val="0057082F"/>
    <w:rsid w:val="00571AD8"/>
    <w:rsid w:val="00571B09"/>
    <w:rsid w:val="00571CB2"/>
    <w:rsid w:val="00572E68"/>
    <w:rsid w:val="005736C8"/>
    <w:rsid w:val="005740EE"/>
    <w:rsid w:val="00575799"/>
    <w:rsid w:val="0058569B"/>
    <w:rsid w:val="005859E0"/>
    <w:rsid w:val="005876AC"/>
    <w:rsid w:val="00587EA6"/>
    <w:rsid w:val="00590FCF"/>
    <w:rsid w:val="00591859"/>
    <w:rsid w:val="00593070"/>
    <w:rsid w:val="0059369F"/>
    <w:rsid w:val="00594923"/>
    <w:rsid w:val="005949D9"/>
    <w:rsid w:val="005A0E24"/>
    <w:rsid w:val="005A1ECD"/>
    <w:rsid w:val="005A2979"/>
    <w:rsid w:val="005A3F92"/>
    <w:rsid w:val="005A4353"/>
    <w:rsid w:val="005A77F7"/>
    <w:rsid w:val="005B122F"/>
    <w:rsid w:val="005B41E2"/>
    <w:rsid w:val="005C41ED"/>
    <w:rsid w:val="005C5494"/>
    <w:rsid w:val="005C796B"/>
    <w:rsid w:val="005C7EBB"/>
    <w:rsid w:val="005D11C4"/>
    <w:rsid w:val="005D3B10"/>
    <w:rsid w:val="005D3C00"/>
    <w:rsid w:val="005E0224"/>
    <w:rsid w:val="005E2977"/>
    <w:rsid w:val="005E30A5"/>
    <w:rsid w:val="005E3D22"/>
    <w:rsid w:val="005E590D"/>
    <w:rsid w:val="005E75CA"/>
    <w:rsid w:val="005F1A9A"/>
    <w:rsid w:val="005F1C8D"/>
    <w:rsid w:val="005F2E0F"/>
    <w:rsid w:val="005F3D51"/>
    <w:rsid w:val="005F4105"/>
    <w:rsid w:val="005F4CE1"/>
    <w:rsid w:val="005F7E04"/>
    <w:rsid w:val="006059F3"/>
    <w:rsid w:val="006111C9"/>
    <w:rsid w:val="00613DE8"/>
    <w:rsid w:val="00615777"/>
    <w:rsid w:val="00616405"/>
    <w:rsid w:val="006175D4"/>
    <w:rsid w:val="00623B26"/>
    <w:rsid w:val="006251B1"/>
    <w:rsid w:val="006254A5"/>
    <w:rsid w:val="00630BF8"/>
    <w:rsid w:val="00631494"/>
    <w:rsid w:val="00633690"/>
    <w:rsid w:val="0063496A"/>
    <w:rsid w:val="0063632F"/>
    <w:rsid w:val="00637638"/>
    <w:rsid w:val="00641C00"/>
    <w:rsid w:val="00642195"/>
    <w:rsid w:val="0065369F"/>
    <w:rsid w:val="0065372C"/>
    <w:rsid w:val="00654BDC"/>
    <w:rsid w:val="006567F3"/>
    <w:rsid w:val="00656A81"/>
    <w:rsid w:val="00656CB5"/>
    <w:rsid w:val="00660911"/>
    <w:rsid w:val="00661DA1"/>
    <w:rsid w:val="006712B2"/>
    <w:rsid w:val="00672581"/>
    <w:rsid w:val="006726F0"/>
    <w:rsid w:val="006742E7"/>
    <w:rsid w:val="00676079"/>
    <w:rsid w:val="006775AB"/>
    <w:rsid w:val="00680861"/>
    <w:rsid w:val="0068123E"/>
    <w:rsid w:val="006912C5"/>
    <w:rsid w:val="00691FFB"/>
    <w:rsid w:val="00692936"/>
    <w:rsid w:val="006936D3"/>
    <w:rsid w:val="00693FE3"/>
    <w:rsid w:val="006963DF"/>
    <w:rsid w:val="006A2686"/>
    <w:rsid w:val="006A30E7"/>
    <w:rsid w:val="006A48FF"/>
    <w:rsid w:val="006A69BF"/>
    <w:rsid w:val="006B3152"/>
    <w:rsid w:val="006B51C7"/>
    <w:rsid w:val="006B51E8"/>
    <w:rsid w:val="006B67D2"/>
    <w:rsid w:val="006B7129"/>
    <w:rsid w:val="006C0A23"/>
    <w:rsid w:val="006C2497"/>
    <w:rsid w:val="006C2AE2"/>
    <w:rsid w:val="006C419A"/>
    <w:rsid w:val="006C6BC5"/>
    <w:rsid w:val="006C6F1A"/>
    <w:rsid w:val="006D0300"/>
    <w:rsid w:val="006D4471"/>
    <w:rsid w:val="006D55C8"/>
    <w:rsid w:val="006D7019"/>
    <w:rsid w:val="006D7112"/>
    <w:rsid w:val="006D7D4D"/>
    <w:rsid w:val="006E0821"/>
    <w:rsid w:val="006E1C05"/>
    <w:rsid w:val="006E2089"/>
    <w:rsid w:val="006E28EA"/>
    <w:rsid w:val="006E2E53"/>
    <w:rsid w:val="006E545F"/>
    <w:rsid w:val="006E58FD"/>
    <w:rsid w:val="006E6EAC"/>
    <w:rsid w:val="006F194A"/>
    <w:rsid w:val="006F429E"/>
    <w:rsid w:val="006F72FD"/>
    <w:rsid w:val="007006DA"/>
    <w:rsid w:val="00700E6C"/>
    <w:rsid w:val="00706914"/>
    <w:rsid w:val="00707A76"/>
    <w:rsid w:val="00711DF4"/>
    <w:rsid w:val="00712D9F"/>
    <w:rsid w:val="00720CB7"/>
    <w:rsid w:val="00720DA5"/>
    <w:rsid w:val="00722B3B"/>
    <w:rsid w:val="00725FC1"/>
    <w:rsid w:val="00727971"/>
    <w:rsid w:val="00730404"/>
    <w:rsid w:val="00730474"/>
    <w:rsid w:val="007327E3"/>
    <w:rsid w:val="00732B5A"/>
    <w:rsid w:val="00732FE7"/>
    <w:rsid w:val="007330D0"/>
    <w:rsid w:val="0073488F"/>
    <w:rsid w:val="00734A3A"/>
    <w:rsid w:val="00736635"/>
    <w:rsid w:val="00736F14"/>
    <w:rsid w:val="00742081"/>
    <w:rsid w:val="00744627"/>
    <w:rsid w:val="00746668"/>
    <w:rsid w:val="00754990"/>
    <w:rsid w:val="00754AFB"/>
    <w:rsid w:val="0075515B"/>
    <w:rsid w:val="00755BCB"/>
    <w:rsid w:val="00757C91"/>
    <w:rsid w:val="007639F7"/>
    <w:rsid w:val="00766AEE"/>
    <w:rsid w:val="0077031E"/>
    <w:rsid w:val="007703C7"/>
    <w:rsid w:val="00775AFC"/>
    <w:rsid w:val="00777208"/>
    <w:rsid w:val="0077752C"/>
    <w:rsid w:val="007800A9"/>
    <w:rsid w:val="00780F61"/>
    <w:rsid w:val="007812A4"/>
    <w:rsid w:val="00781BD1"/>
    <w:rsid w:val="00782658"/>
    <w:rsid w:val="00782B47"/>
    <w:rsid w:val="00784117"/>
    <w:rsid w:val="00791711"/>
    <w:rsid w:val="00793938"/>
    <w:rsid w:val="0079484A"/>
    <w:rsid w:val="00795C28"/>
    <w:rsid w:val="00795C91"/>
    <w:rsid w:val="00796375"/>
    <w:rsid w:val="00796E00"/>
    <w:rsid w:val="007A1B49"/>
    <w:rsid w:val="007A29A7"/>
    <w:rsid w:val="007A58EF"/>
    <w:rsid w:val="007A6A43"/>
    <w:rsid w:val="007B1D84"/>
    <w:rsid w:val="007B21E5"/>
    <w:rsid w:val="007B7E1D"/>
    <w:rsid w:val="007C05CD"/>
    <w:rsid w:val="007C09D1"/>
    <w:rsid w:val="007C4A8C"/>
    <w:rsid w:val="007D16B6"/>
    <w:rsid w:val="007D1CE9"/>
    <w:rsid w:val="007D2F2B"/>
    <w:rsid w:val="007D5799"/>
    <w:rsid w:val="007D70A1"/>
    <w:rsid w:val="007E0C35"/>
    <w:rsid w:val="007F0002"/>
    <w:rsid w:val="007F54F9"/>
    <w:rsid w:val="007F5535"/>
    <w:rsid w:val="00800253"/>
    <w:rsid w:val="00801F33"/>
    <w:rsid w:val="00803DAD"/>
    <w:rsid w:val="008116D0"/>
    <w:rsid w:val="008132E8"/>
    <w:rsid w:val="00816C93"/>
    <w:rsid w:val="00817DD3"/>
    <w:rsid w:val="00820B5C"/>
    <w:rsid w:val="0082133E"/>
    <w:rsid w:val="00823407"/>
    <w:rsid w:val="008265DF"/>
    <w:rsid w:val="00827030"/>
    <w:rsid w:val="00827D5E"/>
    <w:rsid w:val="00827F72"/>
    <w:rsid w:val="00830B3D"/>
    <w:rsid w:val="00832B93"/>
    <w:rsid w:val="0083493A"/>
    <w:rsid w:val="008400F9"/>
    <w:rsid w:val="008432B1"/>
    <w:rsid w:val="008438A8"/>
    <w:rsid w:val="008438E5"/>
    <w:rsid w:val="00861AD7"/>
    <w:rsid w:val="008665EC"/>
    <w:rsid w:val="00867502"/>
    <w:rsid w:val="0087221D"/>
    <w:rsid w:val="008731E9"/>
    <w:rsid w:val="008735DD"/>
    <w:rsid w:val="00874A76"/>
    <w:rsid w:val="00887896"/>
    <w:rsid w:val="00887AB6"/>
    <w:rsid w:val="00892A07"/>
    <w:rsid w:val="008938D0"/>
    <w:rsid w:val="0089499E"/>
    <w:rsid w:val="008A3E2A"/>
    <w:rsid w:val="008A440B"/>
    <w:rsid w:val="008A49C4"/>
    <w:rsid w:val="008A6527"/>
    <w:rsid w:val="008A7E3A"/>
    <w:rsid w:val="008B0184"/>
    <w:rsid w:val="008B37AB"/>
    <w:rsid w:val="008B436B"/>
    <w:rsid w:val="008B4CB2"/>
    <w:rsid w:val="008B582A"/>
    <w:rsid w:val="008C0187"/>
    <w:rsid w:val="008C2152"/>
    <w:rsid w:val="008C33C9"/>
    <w:rsid w:val="008C34A0"/>
    <w:rsid w:val="008C4FFF"/>
    <w:rsid w:val="008C5D02"/>
    <w:rsid w:val="008D01A7"/>
    <w:rsid w:val="008D2649"/>
    <w:rsid w:val="008D7233"/>
    <w:rsid w:val="008E177D"/>
    <w:rsid w:val="008E1D12"/>
    <w:rsid w:val="008E3C3A"/>
    <w:rsid w:val="008E3C8C"/>
    <w:rsid w:val="008E58E5"/>
    <w:rsid w:val="008E6067"/>
    <w:rsid w:val="008F0B31"/>
    <w:rsid w:val="008F1B60"/>
    <w:rsid w:val="008F1CBB"/>
    <w:rsid w:val="008F2299"/>
    <w:rsid w:val="008F256E"/>
    <w:rsid w:val="008F5668"/>
    <w:rsid w:val="008F6E96"/>
    <w:rsid w:val="00901080"/>
    <w:rsid w:val="009027C9"/>
    <w:rsid w:val="00902BCA"/>
    <w:rsid w:val="009031A4"/>
    <w:rsid w:val="0090568D"/>
    <w:rsid w:val="00905750"/>
    <w:rsid w:val="00906BC5"/>
    <w:rsid w:val="0091102F"/>
    <w:rsid w:val="00911BD9"/>
    <w:rsid w:val="009125C9"/>
    <w:rsid w:val="00913879"/>
    <w:rsid w:val="00913E85"/>
    <w:rsid w:val="009165D1"/>
    <w:rsid w:val="00916AAC"/>
    <w:rsid w:val="00917661"/>
    <w:rsid w:val="00921369"/>
    <w:rsid w:val="00922987"/>
    <w:rsid w:val="00925DAF"/>
    <w:rsid w:val="00926E00"/>
    <w:rsid w:val="00934FA1"/>
    <w:rsid w:val="00935550"/>
    <w:rsid w:val="00937914"/>
    <w:rsid w:val="00937A34"/>
    <w:rsid w:val="00937CA4"/>
    <w:rsid w:val="00937D85"/>
    <w:rsid w:val="0094042E"/>
    <w:rsid w:val="00941345"/>
    <w:rsid w:val="00943CC3"/>
    <w:rsid w:val="00943F8B"/>
    <w:rsid w:val="00945C9C"/>
    <w:rsid w:val="009509A1"/>
    <w:rsid w:val="0095110C"/>
    <w:rsid w:val="009525A4"/>
    <w:rsid w:val="00957A0C"/>
    <w:rsid w:val="009610BC"/>
    <w:rsid w:val="00963A94"/>
    <w:rsid w:val="009640DA"/>
    <w:rsid w:val="00965654"/>
    <w:rsid w:val="00970E5D"/>
    <w:rsid w:val="0097701C"/>
    <w:rsid w:val="00977A2E"/>
    <w:rsid w:val="00980A65"/>
    <w:rsid w:val="00981ED8"/>
    <w:rsid w:val="0098212B"/>
    <w:rsid w:val="0098256E"/>
    <w:rsid w:val="00984017"/>
    <w:rsid w:val="009850CB"/>
    <w:rsid w:val="0099174B"/>
    <w:rsid w:val="00992409"/>
    <w:rsid w:val="00993672"/>
    <w:rsid w:val="00994C60"/>
    <w:rsid w:val="00995E22"/>
    <w:rsid w:val="00996496"/>
    <w:rsid w:val="00996A06"/>
    <w:rsid w:val="00996BFD"/>
    <w:rsid w:val="00996C7B"/>
    <w:rsid w:val="009A0CC5"/>
    <w:rsid w:val="009A12F9"/>
    <w:rsid w:val="009A16F1"/>
    <w:rsid w:val="009A35CA"/>
    <w:rsid w:val="009A53FE"/>
    <w:rsid w:val="009B2DDF"/>
    <w:rsid w:val="009B351D"/>
    <w:rsid w:val="009B3CD3"/>
    <w:rsid w:val="009B5728"/>
    <w:rsid w:val="009B5748"/>
    <w:rsid w:val="009B625D"/>
    <w:rsid w:val="009C045B"/>
    <w:rsid w:val="009C0FC4"/>
    <w:rsid w:val="009C215E"/>
    <w:rsid w:val="009C3274"/>
    <w:rsid w:val="009D6020"/>
    <w:rsid w:val="009E1380"/>
    <w:rsid w:val="009E242F"/>
    <w:rsid w:val="009E5CF9"/>
    <w:rsid w:val="009E6F19"/>
    <w:rsid w:val="009F1D1C"/>
    <w:rsid w:val="009F2BA8"/>
    <w:rsid w:val="009F6F91"/>
    <w:rsid w:val="00A0144C"/>
    <w:rsid w:val="00A01E11"/>
    <w:rsid w:val="00A0270E"/>
    <w:rsid w:val="00A02F95"/>
    <w:rsid w:val="00A034D3"/>
    <w:rsid w:val="00A04333"/>
    <w:rsid w:val="00A076DD"/>
    <w:rsid w:val="00A11C8D"/>
    <w:rsid w:val="00A2030C"/>
    <w:rsid w:val="00A2345E"/>
    <w:rsid w:val="00A25E6D"/>
    <w:rsid w:val="00A25E70"/>
    <w:rsid w:val="00A32B48"/>
    <w:rsid w:val="00A334C3"/>
    <w:rsid w:val="00A33765"/>
    <w:rsid w:val="00A37522"/>
    <w:rsid w:val="00A42637"/>
    <w:rsid w:val="00A432BA"/>
    <w:rsid w:val="00A44FFD"/>
    <w:rsid w:val="00A532BF"/>
    <w:rsid w:val="00A560E2"/>
    <w:rsid w:val="00A572C9"/>
    <w:rsid w:val="00A63269"/>
    <w:rsid w:val="00A65DC6"/>
    <w:rsid w:val="00A706BF"/>
    <w:rsid w:val="00A73542"/>
    <w:rsid w:val="00A75B18"/>
    <w:rsid w:val="00A7731E"/>
    <w:rsid w:val="00A8142C"/>
    <w:rsid w:val="00A81C74"/>
    <w:rsid w:val="00A83B43"/>
    <w:rsid w:val="00A83B65"/>
    <w:rsid w:val="00A83EBB"/>
    <w:rsid w:val="00A84025"/>
    <w:rsid w:val="00A85377"/>
    <w:rsid w:val="00A87B81"/>
    <w:rsid w:val="00A92377"/>
    <w:rsid w:val="00A9402A"/>
    <w:rsid w:val="00A94BDC"/>
    <w:rsid w:val="00AA0E61"/>
    <w:rsid w:val="00AA2855"/>
    <w:rsid w:val="00AA54C1"/>
    <w:rsid w:val="00AA5A57"/>
    <w:rsid w:val="00AA68F7"/>
    <w:rsid w:val="00AA6BC9"/>
    <w:rsid w:val="00AB1818"/>
    <w:rsid w:val="00AB29ED"/>
    <w:rsid w:val="00AB524C"/>
    <w:rsid w:val="00AB7855"/>
    <w:rsid w:val="00AC18E4"/>
    <w:rsid w:val="00AC523C"/>
    <w:rsid w:val="00AD79DF"/>
    <w:rsid w:val="00AD7A07"/>
    <w:rsid w:val="00AE0262"/>
    <w:rsid w:val="00AE1EF7"/>
    <w:rsid w:val="00AE1FD4"/>
    <w:rsid w:val="00AE33A6"/>
    <w:rsid w:val="00AE4BD8"/>
    <w:rsid w:val="00AE5405"/>
    <w:rsid w:val="00AF13D3"/>
    <w:rsid w:val="00AF1A07"/>
    <w:rsid w:val="00AF3245"/>
    <w:rsid w:val="00AF51CB"/>
    <w:rsid w:val="00B02145"/>
    <w:rsid w:val="00B02AC8"/>
    <w:rsid w:val="00B05E83"/>
    <w:rsid w:val="00B05FE7"/>
    <w:rsid w:val="00B15A7E"/>
    <w:rsid w:val="00B166D8"/>
    <w:rsid w:val="00B208AE"/>
    <w:rsid w:val="00B23D0B"/>
    <w:rsid w:val="00B26355"/>
    <w:rsid w:val="00B26BF2"/>
    <w:rsid w:val="00B27AEF"/>
    <w:rsid w:val="00B3122E"/>
    <w:rsid w:val="00B31C7B"/>
    <w:rsid w:val="00B4206D"/>
    <w:rsid w:val="00B425CB"/>
    <w:rsid w:val="00B43415"/>
    <w:rsid w:val="00B4388F"/>
    <w:rsid w:val="00B52789"/>
    <w:rsid w:val="00B52B2F"/>
    <w:rsid w:val="00B530D9"/>
    <w:rsid w:val="00B542FE"/>
    <w:rsid w:val="00B54488"/>
    <w:rsid w:val="00B5714E"/>
    <w:rsid w:val="00B5732B"/>
    <w:rsid w:val="00B57490"/>
    <w:rsid w:val="00B57AB5"/>
    <w:rsid w:val="00B63237"/>
    <w:rsid w:val="00B6585A"/>
    <w:rsid w:val="00B65B9C"/>
    <w:rsid w:val="00B6751A"/>
    <w:rsid w:val="00B7526A"/>
    <w:rsid w:val="00B752FA"/>
    <w:rsid w:val="00B76DBD"/>
    <w:rsid w:val="00B76FFC"/>
    <w:rsid w:val="00B81684"/>
    <w:rsid w:val="00B81E56"/>
    <w:rsid w:val="00B822ED"/>
    <w:rsid w:val="00B853B1"/>
    <w:rsid w:val="00B95FCB"/>
    <w:rsid w:val="00B96496"/>
    <w:rsid w:val="00B96A54"/>
    <w:rsid w:val="00B97BDD"/>
    <w:rsid w:val="00BA01EC"/>
    <w:rsid w:val="00BA1A31"/>
    <w:rsid w:val="00BA2993"/>
    <w:rsid w:val="00BA4A18"/>
    <w:rsid w:val="00BA63F1"/>
    <w:rsid w:val="00BB1571"/>
    <w:rsid w:val="00BB43D8"/>
    <w:rsid w:val="00BB49F4"/>
    <w:rsid w:val="00BB49F8"/>
    <w:rsid w:val="00BB5B0A"/>
    <w:rsid w:val="00BB6EED"/>
    <w:rsid w:val="00BC17FF"/>
    <w:rsid w:val="00BC59F7"/>
    <w:rsid w:val="00BC61C2"/>
    <w:rsid w:val="00BD1E41"/>
    <w:rsid w:val="00BD28B2"/>
    <w:rsid w:val="00BD2EB0"/>
    <w:rsid w:val="00BD5535"/>
    <w:rsid w:val="00BD56A3"/>
    <w:rsid w:val="00BD5861"/>
    <w:rsid w:val="00BE2305"/>
    <w:rsid w:val="00BE25DD"/>
    <w:rsid w:val="00BE50E3"/>
    <w:rsid w:val="00BE5742"/>
    <w:rsid w:val="00BE7950"/>
    <w:rsid w:val="00BF094C"/>
    <w:rsid w:val="00BF0E22"/>
    <w:rsid w:val="00BF71A1"/>
    <w:rsid w:val="00C006BF"/>
    <w:rsid w:val="00C037E2"/>
    <w:rsid w:val="00C05E9B"/>
    <w:rsid w:val="00C064FB"/>
    <w:rsid w:val="00C130F9"/>
    <w:rsid w:val="00C160AD"/>
    <w:rsid w:val="00C20BD0"/>
    <w:rsid w:val="00C23B16"/>
    <w:rsid w:val="00C23F66"/>
    <w:rsid w:val="00C24B12"/>
    <w:rsid w:val="00C26854"/>
    <w:rsid w:val="00C30696"/>
    <w:rsid w:val="00C30825"/>
    <w:rsid w:val="00C316DB"/>
    <w:rsid w:val="00C33BE5"/>
    <w:rsid w:val="00C3421F"/>
    <w:rsid w:val="00C344B3"/>
    <w:rsid w:val="00C370C1"/>
    <w:rsid w:val="00C42330"/>
    <w:rsid w:val="00C4243D"/>
    <w:rsid w:val="00C42E2B"/>
    <w:rsid w:val="00C46AF6"/>
    <w:rsid w:val="00C50F52"/>
    <w:rsid w:val="00C52616"/>
    <w:rsid w:val="00C544E9"/>
    <w:rsid w:val="00C54B49"/>
    <w:rsid w:val="00C5607B"/>
    <w:rsid w:val="00C567D8"/>
    <w:rsid w:val="00C63AAB"/>
    <w:rsid w:val="00C653EA"/>
    <w:rsid w:val="00C66D3F"/>
    <w:rsid w:val="00C6796E"/>
    <w:rsid w:val="00C70A2C"/>
    <w:rsid w:val="00C73BDE"/>
    <w:rsid w:val="00C76736"/>
    <w:rsid w:val="00C7683C"/>
    <w:rsid w:val="00C76BF7"/>
    <w:rsid w:val="00C82647"/>
    <w:rsid w:val="00C833B6"/>
    <w:rsid w:val="00C83676"/>
    <w:rsid w:val="00C83DE5"/>
    <w:rsid w:val="00C91152"/>
    <w:rsid w:val="00C91E63"/>
    <w:rsid w:val="00C92C15"/>
    <w:rsid w:val="00C94468"/>
    <w:rsid w:val="00C960DC"/>
    <w:rsid w:val="00C97345"/>
    <w:rsid w:val="00CA5B4D"/>
    <w:rsid w:val="00CA7384"/>
    <w:rsid w:val="00CB0D55"/>
    <w:rsid w:val="00CB38F3"/>
    <w:rsid w:val="00CB4239"/>
    <w:rsid w:val="00CB5DA6"/>
    <w:rsid w:val="00CB7CE8"/>
    <w:rsid w:val="00CC201B"/>
    <w:rsid w:val="00CC2E48"/>
    <w:rsid w:val="00CC3821"/>
    <w:rsid w:val="00CC6855"/>
    <w:rsid w:val="00CD6075"/>
    <w:rsid w:val="00CE06A9"/>
    <w:rsid w:val="00CE7664"/>
    <w:rsid w:val="00CF199D"/>
    <w:rsid w:val="00CF2123"/>
    <w:rsid w:val="00CF3D40"/>
    <w:rsid w:val="00CF7C2F"/>
    <w:rsid w:val="00D0027D"/>
    <w:rsid w:val="00D00D36"/>
    <w:rsid w:val="00D0221A"/>
    <w:rsid w:val="00D02C75"/>
    <w:rsid w:val="00D05316"/>
    <w:rsid w:val="00D055D5"/>
    <w:rsid w:val="00D078DB"/>
    <w:rsid w:val="00D10E22"/>
    <w:rsid w:val="00D11D1D"/>
    <w:rsid w:val="00D13D2C"/>
    <w:rsid w:val="00D172A5"/>
    <w:rsid w:val="00D23DD2"/>
    <w:rsid w:val="00D24AC5"/>
    <w:rsid w:val="00D26E82"/>
    <w:rsid w:val="00D278B8"/>
    <w:rsid w:val="00D301E5"/>
    <w:rsid w:val="00D3145E"/>
    <w:rsid w:val="00D32AD9"/>
    <w:rsid w:val="00D335E6"/>
    <w:rsid w:val="00D37394"/>
    <w:rsid w:val="00D533C6"/>
    <w:rsid w:val="00D62DB0"/>
    <w:rsid w:val="00D671B4"/>
    <w:rsid w:val="00D671EF"/>
    <w:rsid w:val="00D70BFD"/>
    <w:rsid w:val="00D7276D"/>
    <w:rsid w:val="00D75E68"/>
    <w:rsid w:val="00D76071"/>
    <w:rsid w:val="00D766DE"/>
    <w:rsid w:val="00D8174B"/>
    <w:rsid w:val="00D82619"/>
    <w:rsid w:val="00D85273"/>
    <w:rsid w:val="00D85BA5"/>
    <w:rsid w:val="00D91094"/>
    <w:rsid w:val="00D917B7"/>
    <w:rsid w:val="00D92828"/>
    <w:rsid w:val="00D9337B"/>
    <w:rsid w:val="00D962B9"/>
    <w:rsid w:val="00D96DE7"/>
    <w:rsid w:val="00D97870"/>
    <w:rsid w:val="00DA19D9"/>
    <w:rsid w:val="00DA343A"/>
    <w:rsid w:val="00DA73B9"/>
    <w:rsid w:val="00DA7E37"/>
    <w:rsid w:val="00DB05B2"/>
    <w:rsid w:val="00DB0A80"/>
    <w:rsid w:val="00DB0EF1"/>
    <w:rsid w:val="00DB2096"/>
    <w:rsid w:val="00DB3574"/>
    <w:rsid w:val="00DB36EF"/>
    <w:rsid w:val="00DC0216"/>
    <w:rsid w:val="00DC2CF9"/>
    <w:rsid w:val="00DC2D57"/>
    <w:rsid w:val="00DC2F94"/>
    <w:rsid w:val="00DC3566"/>
    <w:rsid w:val="00DC432D"/>
    <w:rsid w:val="00DC77AC"/>
    <w:rsid w:val="00DD0D8C"/>
    <w:rsid w:val="00DD297B"/>
    <w:rsid w:val="00DD3D9E"/>
    <w:rsid w:val="00DD4144"/>
    <w:rsid w:val="00DD5FB7"/>
    <w:rsid w:val="00DD7908"/>
    <w:rsid w:val="00DE038B"/>
    <w:rsid w:val="00DE05A1"/>
    <w:rsid w:val="00DE1731"/>
    <w:rsid w:val="00DE34B6"/>
    <w:rsid w:val="00DE4A68"/>
    <w:rsid w:val="00DE7C59"/>
    <w:rsid w:val="00DE7D55"/>
    <w:rsid w:val="00DF0838"/>
    <w:rsid w:val="00DF0E19"/>
    <w:rsid w:val="00DF2ADF"/>
    <w:rsid w:val="00DF3F67"/>
    <w:rsid w:val="00DF511E"/>
    <w:rsid w:val="00DF512D"/>
    <w:rsid w:val="00DF546E"/>
    <w:rsid w:val="00DF7DF7"/>
    <w:rsid w:val="00E0539A"/>
    <w:rsid w:val="00E06376"/>
    <w:rsid w:val="00E063DE"/>
    <w:rsid w:val="00E06B83"/>
    <w:rsid w:val="00E07340"/>
    <w:rsid w:val="00E15D80"/>
    <w:rsid w:val="00E16918"/>
    <w:rsid w:val="00E17311"/>
    <w:rsid w:val="00E204D3"/>
    <w:rsid w:val="00E20877"/>
    <w:rsid w:val="00E2106E"/>
    <w:rsid w:val="00E2136B"/>
    <w:rsid w:val="00E228F3"/>
    <w:rsid w:val="00E25D92"/>
    <w:rsid w:val="00E270DF"/>
    <w:rsid w:val="00E31342"/>
    <w:rsid w:val="00E527C1"/>
    <w:rsid w:val="00E577F1"/>
    <w:rsid w:val="00E60BF5"/>
    <w:rsid w:val="00E61FE5"/>
    <w:rsid w:val="00E63015"/>
    <w:rsid w:val="00E66F60"/>
    <w:rsid w:val="00E66F8E"/>
    <w:rsid w:val="00E67812"/>
    <w:rsid w:val="00E724FB"/>
    <w:rsid w:val="00E80B71"/>
    <w:rsid w:val="00E81AE2"/>
    <w:rsid w:val="00E82297"/>
    <w:rsid w:val="00E82BF7"/>
    <w:rsid w:val="00E836EA"/>
    <w:rsid w:val="00E86D81"/>
    <w:rsid w:val="00E9243E"/>
    <w:rsid w:val="00E92924"/>
    <w:rsid w:val="00E934B7"/>
    <w:rsid w:val="00E948F7"/>
    <w:rsid w:val="00E95A34"/>
    <w:rsid w:val="00EA2770"/>
    <w:rsid w:val="00EA3AF8"/>
    <w:rsid w:val="00EA50CC"/>
    <w:rsid w:val="00EB25D7"/>
    <w:rsid w:val="00EB38E3"/>
    <w:rsid w:val="00EB76CE"/>
    <w:rsid w:val="00EB78DE"/>
    <w:rsid w:val="00EC3155"/>
    <w:rsid w:val="00EC3AC8"/>
    <w:rsid w:val="00EC4D5F"/>
    <w:rsid w:val="00ED0154"/>
    <w:rsid w:val="00ED1049"/>
    <w:rsid w:val="00ED3692"/>
    <w:rsid w:val="00ED3848"/>
    <w:rsid w:val="00ED4FB7"/>
    <w:rsid w:val="00ED6BAF"/>
    <w:rsid w:val="00ED7C06"/>
    <w:rsid w:val="00ED7EA7"/>
    <w:rsid w:val="00EE2F47"/>
    <w:rsid w:val="00EF3126"/>
    <w:rsid w:val="00EF39FD"/>
    <w:rsid w:val="00EF3F52"/>
    <w:rsid w:val="00EF4C2D"/>
    <w:rsid w:val="00EF6460"/>
    <w:rsid w:val="00EF6C1D"/>
    <w:rsid w:val="00F032BD"/>
    <w:rsid w:val="00F040D7"/>
    <w:rsid w:val="00F04E70"/>
    <w:rsid w:val="00F06842"/>
    <w:rsid w:val="00F0759B"/>
    <w:rsid w:val="00F107FD"/>
    <w:rsid w:val="00F1248E"/>
    <w:rsid w:val="00F20570"/>
    <w:rsid w:val="00F2103F"/>
    <w:rsid w:val="00F21499"/>
    <w:rsid w:val="00F22DBE"/>
    <w:rsid w:val="00F238AF"/>
    <w:rsid w:val="00F30A52"/>
    <w:rsid w:val="00F31297"/>
    <w:rsid w:val="00F33E7A"/>
    <w:rsid w:val="00F33FBD"/>
    <w:rsid w:val="00F352E0"/>
    <w:rsid w:val="00F35929"/>
    <w:rsid w:val="00F36D11"/>
    <w:rsid w:val="00F37CB6"/>
    <w:rsid w:val="00F425A9"/>
    <w:rsid w:val="00F42781"/>
    <w:rsid w:val="00F42D6F"/>
    <w:rsid w:val="00F42F29"/>
    <w:rsid w:val="00F435EC"/>
    <w:rsid w:val="00F47205"/>
    <w:rsid w:val="00F506C4"/>
    <w:rsid w:val="00F526DC"/>
    <w:rsid w:val="00F53699"/>
    <w:rsid w:val="00F550FD"/>
    <w:rsid w:val="00F56A6D"/>
    <w:rsid w:val="00F60943"/>
    <w:rsid w:val="00F62ED4"/>
    <w:rsid w:val="00F65206"/>
    <w:rsid w:val="00F70044"/>
    <w:rsid w:val="00F707EC"/>
    <w:rsid w:val="00F74894"/>
    <w:rsid w:val="00F74EF5"/>
    <w:rsid w:val="00F7526C"/>
    <w:rsid w:val="00F77C33"/>
    <w:rsid w:val="00F77FBB"/>
    <w:rsid w:val="00F81A6B"/>
    <w:rsid w:val="00F8509A"/>
    <w:rsid w:val="00F8576F"/>
    <w:rsid w:val="00F86A1E"/>
    <w:rsid w:val="00F91BB8"/>
    <w:rsid w:val="00F91BFB"/>
    <w:rsid w:val="00F94A25"/>
    <w:rsid w:val="00F95DC1"/>
    <w:rsid w:val="00F970A8"/>
    <w:rsid w:val="00FA1D66"/>
    <w:rsid w:val="00FA3F86"/>
    <w:rsid w:val="00FA5744"/>
    <w:rsid w:val="00FA77C7"/>
    <w:rsid w:val="00FB061B"/>
    <w:rsid w:val="00FB1759"/>
    <w:rsid w:val="00FB20CC"/>
    <w:rsid w:val="00FB59D2"/>
    <w:rsid w:val="00FB64A8"/>
    <w:rsid w:val="00FC191A"/>
    <w:rsid w:val="00FC6154"/>
    <w:rsid w:val="00FC6917"/>
    <w:rsid w:val="00FD0E5C"/>
    <w:rsid w:val="00FD1C8D"/>
    <w:rsid w:val="00FD275E"/>
    <w:rsid w:val="00FD3127"/>
    <w:rsid w:val="00FD475B"/>
    <w:rsid w:val="00FD629B"/>
    <w:rsid w:val="00FD6797"/>
    <w:rsid w:val="00FE1B28"/>
    <w:rsid w:val="00FE6C9F"/>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Bibliografia">
    <w:name w:val="Bibliography"/>
    <w:basedOn w:val="Normale"/>
    <w:next w:val="Normale"/>
    <w:uiPriority w:val="37"/>
    <w:semiHidden/>
    <w:unhideWhenUsed/>
    <w:rsid w:val="00BA01EC"/>
  </w:style>
  <w:style w:type="table" w:styleId="Grigliatabella">
    <w:name w:val="Table Grid"/>
    <w:basedOn w:val="Tabellanormale"/>
    <w:uiPriority w:val="39"/>
    <w:rsid w:val="006B51C7"/>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782658"/>
    <w:rPr>
      <w:color w:val="808080"/>
    </w:rPr>
  </w:style>
  <w:style w:type="paragraph" w:customStyle="1" w:styleId="Default">
    <w:name w:val="Default"/>
    <w:rsid w:val="006E2E53"/>
    <w:pPr>
      <w:autoSpaceDE w:val="0"/>
      <w:autoSpaceDN w:val="0"/>
      <w:adjustRightInd w:val="0"/>
    </w:pPr>
    <w:rPr>
      <w:color w:val="000000"/>
      <w:sz w:val="24"/>
      <w:szCs w:val="24"/>
    </w:rPr>
  </w:style>
  <w:style w:type="paragraph" w:styleId="Revisione">
    <w:name w:val="Revision"/>
    <w:hidden/>
    <w:uiPriority w:val="99"/>
    <w:semiHidden/>
    <w:rsid w:val="00977A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4A856-0E60-4EE6-B1E1-FE0A9064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4543</Words>
  <Characters>25896</Characters>
  <Application>Microsoft Office Word</Application>
  <DocSecurity>0</DocSecurity>
  <Lines>215</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2024-02-13T11:03:00Z</cp:lastPrinted>
  <dcterms:created xsi:type="dcterms:W3CDTF">2024-02-13T11:21:00Z</dcterms:created>
  <dcterms:modified xsi:type="dcterms:W3CDTF">2024-02-13T11:21:00Z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