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7EFF67AB" w:rsidR="00DD3D9E" w:rsidRPr="00B4388F" w:rsidRDefault="00606B12">
      <w:pPr>
        <w:pStyle w:val="Els-Title"/>
        <w:rPr>
          <w:color w:val="000000" w:themeColor="text1"/>
        </w:rPr>
      </w:pPr>
      <w:r w:rsidRPr="00606B12">
        <w:rPr>
          <w:color w:val="000000" w:themeColor="text1"/>
        </w:rPr>
        <w:t xml:space="preserve">Techno-economic evaluation of novel dual-function reactor for direct air capture applying superstructure </w:t>
      </w:r>
      <w:proofErr w:type="gramStart"/>
      <w:r w:rsidRPr="00606B12">
        <w:rPr>
          <w:color w:val="000000" w:themeColor="text1"/>
        </w:rPr>
        <w:t>optimisation</w:t>
      </w:r>
      <w:proofErr w:type="gramEnd"/>
    </w:p>
    <w:p w14:paraId="144DE680" w14:textId="6B66E454" w:rsidR="00DD3D9E" w:rsidRDefault="009F26CE">
      <w:pPr>
        <w:pStyle w:val="Els-Author"/>
      </w:pPr>
      <w:r w:rsidRPr="00075AC7">
        <w:rPr>
          <w:rFonts w:asciiTheme="majorBidi" w:hAnsiTheme="majorBidi" w:cstheme="majorBidi"/>
        </w:rPr>
        <w:t>Meshkat Dolat</w:t>
      </w:r>
      <w:r w:rsidRPr="00075AC7">
        <w:rPr>
          <w:rFonts w:asciiTheme="majorBidi" w:hAnsiTheme="majorBidi" w:cstheme="majorBidi"/>
          <w:vertAlign w:val="superscript"/>
        </w:rPr>
        <w:t>a</w:t>
      </w:r>
      <w:r w:rsidRPr="00075AC7">
        <w:rPr>
          <w:rFonts w:asciiTheme="majorBidi" w:hAnsiTheme="majorBidi" w:cstheme="majorBidi"/>
        </w:rPr>
        <w:t>, Melis S. Duyar</w:t>
      </w:r>
      <w:r w:rsidRPr="00075AC7">
        <w:rPr>
          <w:rFonts w:asciiTheme="majorBidi" w:hAnsiTheme="majorBidi" w:cstheme="majorBidi"/>
          <w:vertAlign w:val="superscript"/>
        </w:rPr>
        <w:t>a,b</w:t>
      </w:r>
      <w:r w:rsidRPr="00075AC7">
        <w:rPr>
          <w:rFonts w:asciiTheme="majorBidi" w:hAnsiTheme="majorBidi" w:cstheme="majorBidi"/>
        </w:rPr>
        <w:t>, Michael Short</w:t>
      </w:r>
      <w:r w:rsidRPr="00075AC7">
        <w:rPr>
          <w:rFonts w:asciiTheme="majorBidi" w:hAnsiTheme="majorBidi" w:cstheme="majorBidi"/>
          <w:vertAlign w:val="superscript"/>
        </w:rPr>
        <w:t>a,b</w:t>
      </w:r>
      <w:r w:rsidR="00BE5E1B">
        <w:rPr>
          <w:rFonts w:asciiTheme="majorBidi" w:hAnsiTheme="majorBidi" w:cstheme="majorBidi"/>
          <w:vertAlign w:val="superscript"/>
        </w:rPr>
        <w:t>*</w:t>
      </w:r>
    </w:p>
    <w:p w14:paraId="653EF709" w14:textId="77777777" w:rsidR="00C26DB2" w:rsidRPr="00075AC7" w:rsidRDefault="00C26DB2" w:rsidP="00C26DB2">
      <w:pPr>
        <w:jc w:val="both"/>
        <w:rPr>
          <w:rFonts w:asciiTheme="majorBidi" w:hAnsiTheme="majorBidi" w:cstheme="majorBidi"/>
          <w:i/>
          <w:iCs/>
        </w:rPr>
      </w:pPr>
      <w:r w:rsidRPr="00075AC7">
        <w:rPr>
          <w:rFonts w:asciiTheme="majorBidi" w:hAnsiTheme="majorBidi" w:cstheme="majorBidi"/>
          <w:vertAlign w:val="superscript"/>
        </w:rPr>
        <w:t xml:space="preserve">a </w:t>
      </w:r>
      <w:r w:rsidRPr="00075AC7">
        <w:rPr>
          <w:rFonts w:asciiTheme="majorBidi" w:hAnsiTheme="majorBidi" w:cstheme="majorBidi"/>
          <w:i/>
          <w:iCs/>
        </w:rPr>
        <w:t>School of Chemistry and Chemical Engineering, University of Surrey, Guildford, Surrey GU2 7XH, United Kingdom.</w:t>
      </w:r>
    </w:p>
    <w:p w14:paraId="212A5484" w14:textId="77777777" w:rsidR="00C26DB2" w:rsidRDefault="00C26DB2" w:rsidP="00C26DB2">
      <w:pPr>
        <w:pStyle w:val="Els-Affiliation"/>
        <w:spacing w:after="120"/>
        <w:rPr>
          <w:rFonts w:asciiTheme="majorBidi" w:hAnsiTheme="majorBidi" w:cstheme="majorBidi"/>
          <w:iCs/>
        </w:rPr>
      </w:pPr>
      <w:r w:rsidRPr="00075AC7">
        <w:rPr>
          <w:rFonts w:asciiTheme="majorBidi" w:hAnsiTheme="majorBidi" w:cstheme="majorBidi"/>
          <w:vertAlign w:val="superscript"/>
        </w:rPr>
        <w:t xml:space="preserve">b </w:t>
      </w:r>
      <w:r w:rsidRPr="00075AC7">
        <w:rPr>
          <w:rFonts w:asciiTheme="majorBidi" w:hAnsiTheme="majorBidi" w:cstheme="majorBidi"/>
          <w:iCs/>
        </w:rPr>
        <w:t>Institute for Sustainability, University of Surrey, Guildford, Surrey GU2 7XH, United Kingdom</w:t>
      </w:r>
    </w:p>
    <w:p w14:paraId="144DE683" w14:textId="0BB8E36C" w:rsidR="008D2649" w:rsidRPr="00A94774" w:rsidRDefault="00CE4290" w:rsidP="00C26DB2">
      <w:pPr>
        <w:pStyle w:val="Els-Affiliation"/>
        <w:spacing w:after="120"/>
      </w:pPr>
      <w:r w:rsidRPr="00CE4290">
        <w:t>m.short@surrey.ac.uk</w:t>
      </w:r>
    </w:p>
    <w:p w14:paraId="144DE684" w14:textId="77777777" w:rsidR="008D2649" w:rsidRDefault="008D2649" w:rsidP="00574DE2">
      <w:pPr>
        <w:pStyle w:val="Els-Abstract"/>
        <w:keepNext w:val="0"/>
        <w:suppressAutoHyphens w:val="0"/>
      </w:pPr>
      <w:r>
        <w:t>Abstract</w:t>
      </w:r>
    </w:p>
    <w:p w14:paraId="2496ABDA" w14:textId="7632E303" w:rsidR="00ED6BDE" w:rsidRDefault="00ED6BDE" w:rsidP="00574DE2">
      <w:pPr>
        <w:pStyle w:val="Els-body-text"/>
        <w:spacing w:after="120"/>
        <w:rPr>
          <w:lang w:val="en-GB"/>
        </w:rPr>
      </w:pPr>
      <w:r w:rsidRPr="00ED6BDE">
        <w:rPr>
          <w:lang w:val="en-GB"/>
        </w:rPr>
        <w:t>This study introduces Dual Function Materials (DFM) technology within the context of direct air capture (DAC) and incorporates it into a superstructure optimi</w:t>
      </w:r>
      <w:r w:rsidR="00B20298">
        <w:rPr>
          <w:lang w:val="en-GB"/>
        </w:rPr>
        <w:t>s</w:t>
      </w:r>
      <w:r w:rsidRPr="00ED6BDE">
        <w:rPr>
          <w:lang w:val="en-GB"/>
        </w:rPr>
        <w:t>ation framework</w:t>
      </w:r>
      <w:r w:rsidR="00B330D8">
        <w:rPr>
          <w:lang w:val="en-GB"/>
        </w:rPr>
        <w:t xml:space="preserve"> for optimal flowsheet development</w:t>
      </w:r>
      <w:r w:rsidRPr="00ED6BDE">
        <w:rPr>
          <w:lang w:val="en-GB"/>
        </w:rPr>
        <w:t xml:space="preserve">. A comparative assessment against </w:t>
      </w:r>
      <w:r w:rsidR="00E478E2">
        <w:rPr>
          <w:lang w:val="en-GB"/>
        </w:rPr>
        <w:t xml:space="preserve">an </w:t>
      </w:r>
      <w:r w:rsidRPr="00ED6BDE">
        <w:rPr>
          <w:lang w:val="en-GB"/>
        </w:rPr>
        <w:t>established DAC process,</w:t>
      </w:r>
      <w:r w:rsidR="0074351E">
        <w:rPr>
          <w:lang w:val="en-GB"/>
        </w:rPr>
        <w:t xml:space="preserve"> </w:t>
      </w:r>
      <w:r w:rsidRPr="00ED6BDE">
        <w:rPr>
          <w:lang w:val="en-GB"/>
        </w:rPr>
        <w:t>temperature</w:t>
      </w:r>
      <w:r w:rsidR="00B330D8">
        <w:rPr>
          <w:lang w:val="en-GB"/>
        </w:rPr>
        <w:t xml:space="preserve"> vacuum </w:t>
      </w:r>
      <w:r w:rsidRPr="00ED6BDE">
        <w:rPr>
          <w:lang w:val="en-GB"/>
        </w:rPr>
        <w:t>swing adsorption (TVSA), underscores the potential operational and economic advantages of DFMs. The application of superstructure optimi</w:t>
      </w:r>
      <w:r w:rsidR="00B20298">
        <w:rPr>
          <w:lang w:val="en-GB"/>
        </w:rPr>
        <w:t>s</w:t>
      </w:r>
      <w:r w:rsidRPr="00ED6BDE">
        <w:rPr>
          <w:lang w:val="en-GB"/>
        </w:rPr>
        <w:t xml:space="preserve">ation reveals critical determinants, including the </w:t>
      </w:r>
      <w:r w:rsidR="00F711AB">
        <w:rPr>
          <w:lang w:val="en-GB"/>
        </w:rPr>
        <w:t>reactor geometry</w:t>
      </w:r>
      <w:r w:rsidR="008420D3">
        <w:rPr>
          <w:lang w:val="en-GB"/>
        </w:rPr>
        <w:t xml:space="preserve">, mass </w:t>
      </w:r>
      <w:r w:rsidR="00C67488">
        <w:rPr>
          <w:lang w:val="en-GB"/>
        </w:rPr>
        <w:t xml:space="preserve">and heat transfer </w:t>
      </w:r>
      <w:r w:rsidR="00B87E2C">
        <w:rPr>
          <w:lang w:val="en-GB"/>
        </w:rPr>
        <w:t>parameters,</w:t>
      </w:r>
      <w:r w:rsidRPr="00ED6BDE">
        <w:rPr>
          <w:lang w:val="en-GB"/>
        </w:rPr>
        <w:t xml:space="preserve"> and the equilibrium CO</w:t>
      </w:r>
      <w:r w:rsidRPr="005B3758">
        <w:rPr>
          <w:vertAlign w:val="subscript"/>
          <w:lang w:val="en-GB"/>
        </w:rPr>
        <w:t>2</w:t>
      </w:r>
      <w:r w:rsidRPr="00ED6BDE">
        <w:rPr>
          <w:lang w:val="en-GB"/>
        </w:rPr>
        <w:t xml:space="preserve"> capacity of the sorbent-catalyst,</w:t>
      </w:r>
      <w:r w:rsidR="00B330D8">
        <w:rPr>
          <w:lang w:val="en-GB"/>
        </w:rPr>
        <w:t xml:space="preserve"> as</w:t>
      </w:r>
      <w:r w:rsidRPr="00ED6BDE">
        <w:rPr>
          <w:lang w:val="en-GB"/>
        </w:rPr>
        <w:t xml:space="preserve"> crucial for evaluating the feasibility of DFMs in relation to TVSA</w:t>
      </w:r>
      <w:r w:rsidR="00D77EB6" w:rsidRPr="00D77EB6">
        <w:rPr>
          <w:lang w:val="en-GB"/>
        </w:rPr>
        <w:t>.</w:t>
      </w:r>
      <w:r w:rsidR="00620A53">
        <w:rPr>
          <w:lang w:val="en-GB"/>
        </w:rPr>
        <w:t xml:space="preserve"> </w:t>
      </w:r>
      <w:r w:rsidR="00F22F25">
        <w:rPr>
          <w:lang w:val="en-GB"/>
        </w:rPr>
        <w:t xml:space="preserve">Apart from </w:t>
      </w:r>
      <w:r w:rsidR="00F22F25" w:rsidRPr="00F22F25">
        <w:rPr>
          <w:lang w:val="en-GB"/>
        </w:rPr>
        <w:t>hydrogen production, the operational cost is significantly impacted by the pressure drop in the adsorption section, with reactor</w:t>
      </w:r>
      <w:r w:rsidR="0081408C">
        <w:rPr>
          <w:lang w:val="en-GB"/>
        </w:rPr>
        <w:t>/contactor</w:t>
      </w:r>
      <w:r w:rsidR="00F22F25" w:rsidRPr="00F22F25">
        <w:rPr>
          <w:lang w:val="en-GB"/>
        </w:rPr>
        <w:t xml:space="preserve"> size and quantity primarily constrained by pressure drop rather than adsorption rates.</w:t>
      </w:r>
    </w:p>
    <w:p w14:paraId="144DE687" w14:textId="4DF05705" w:rsidR="008D2649" w:rsidRDefault="008D2649" w:rsidP="00574DE2">
      <w:pPr>
        <w:pStyle w:val="Els-body-text"/>
        <w:spacing w:after="120"/>
        <w:rPr>
          <w:lang w:val="en-GB"/>
        </w:rPr>
      </w:pPr>
      <w:r>
        <w:rPr>
          <w:b/>
          <w:bCs/>
          <w:lang w:val="en-GB"/>
        </w:rPr>
        <w:t>Keywords</w:t>
      </w:r>
      <w:r>
        <w:rPr>
          <w:lang w:val="en-GB"/>
        </w:rPr>
        <w:t xml:space="preserve">: </w:t>
      </w:r>
      <w:r w:rsidR="00594D7B" w:rsidRPr="00594D7B">
        <w:rPr>
          <w:lang w:val="en-GB"/>
        </w:rPr>
        <w:t>Superstructure optimisation, Direct air capture, CO</w:t>
      </w:r>
      <w:r w:rsidR="00594D7B" w:rsidRPr="00295D53">
        <w:rPr>
          <w:vertAlign w:val="subscript"/>
          <w:lang w:val="en-GB"/>
        </w:rPr>
        <w:t>2</w:t>
      </w:r>
      <w:r w:rsidR="00594D7B" w:rsidRPr="00594D7B">
        <w:rPr>
          <w:lang w:val="en-GB"/>
        </w:rPr>
        <w:t xml:space="preserve"> utilisation, Techno-economic analysis, Dual function material</w:t>
      </w:r>
      <w:r w:rsidR="00594D7B">
        <w:rPr>
          <w:lang w:val="en-GB"/>
        </w:rPr>
        <w:t>.</w:t>
      </w:r>
    </w:p>
    <w:p w14:paraId="144DE689" w14:textId="4B47A9FB" w:rsidR="008D2649" w:rsidRDefault="00AB021D" w:rsidP="00574DE2">
      <w:pPr>
        <w:pStyle w:val="Els-1storder-head"/>
        <w:keepNext w:val="0"/>
        <w:suppressAutoHyphens w:val="0"/>
      </w:pPr>
      <w:r>
        <w:t>Introduction</w:t>
      </w:r>
    </w:p>
    <w:p w14:paraId="4E570AFE" w14:textId="3552CF15" w:rsidR="00207FB4" w:rsidRDefault="00C91B8A" w:rsidP="00574DE2">
      <w:pPr>
        <w:pStyle w:val="Els-body-text"/>
        <w:rPr>
          <w:rFonts w:asciiTheme="majorBidi" w:hAnsiTheme="majorBidi" w:cstheme="majorBidi"/>
        </w:rPr>
      </w:pPr>
      <w:r>
        <w:rPr>
          <w:rFonts w:asciiTheme="majorBidi" w:hAnsiTheme="majorBidi" w:cstheme="majorBidi"/>
        </w:rPr>
        <w:t>D</w:t>
      </w:r>
      <w:r w:rsidR="00A420D0" w:rsidRPr="00075AC7">
        <w:rPr>
          <w:rFonts w:asciiTheme="majorBidi" w:hAnsiTheme="majorBidi" w:cstheme="majorBidi"/>
        </w:rPr>
        <w:t>irect air captur</w:t>
      </w:r>
      <w:r w:rsidR="0085072E">
        <w:rPr>
          <w:rFonts w:asciiTheme="majorBidi" w:hAnsiTheme="majorBidi" w:cstheme="majorBidi"/>
        </w:rPr>
        <w:t>ing</w:t>
      </w:r>
      <w:r w:rsidR="00A420D0" w:rsidRPr="00075AC7">
        <w:rPr>
          <w:rFonts w:asciiTheme="majorBidi" w:hAnsiTheme="majorBidi" w:cstheme="majorBidi"/>
        </w:rPr>
        <w:t xml:space="preserve"> (DAC)</w:t>
      </w:r>
      <w:r w:rsidR="0085072E">
        <w:rPr>
          <w:rFonts w:asciiTheme="majorBidi" w:hAnsiTheme="majorBidi" w:cstheme="majorBidi"/>
        </w:rPr>
        <w:t xml:space="preserve"> </w:t>
      </w:r>
      <w:r w:rsidR="00051397">
        <w:rPr>
          <w:rFonts w:asciiTheme="majorBidi" w:hAnsiTheme="majorBidi" w:cstheme="majorBidi"/>
        </w:rPr>
        <w:t xml:space="preserve">as a </w:t>
      </w:r>
      <w:r w:rsidR="00B330D8">
        <w:rPr>
          <w:rFonts w:asciiTheme="majorBidi" w:hAnsiTheme="majorBidi" w:cstheme="majorBidi"/>
        </w:rPr>
        <w:t xml:space="preserve">potential </w:t>
      </w:r>
      <w:r w:rsidR="005D26C7">
        <w:rPr>
          <w:rFonts w:asciiTheme="majorBidi" w:hAnsiTheme="majorBidi" w:cstheme="majorBidi"/>
        </w:rPr>
        <w:t xml:space="preserve">solution to </w:t>
      </w:r>
      <w:proofErr w:type="gramStart"/>
      <w:r w:rsidR="005D26C7">
        <w:rPr>
          <w:rFonts w:asciiTheme="majorBidi" w:hAnsiTheme="majorBidi" w:cstheme="majorBidi"/>
        </w:rPr>
        <w:t>the major</w:t>
      </w:r>
      <w:r w:rsidR="00F83806">
        <w:rPr>
          <w:rFonts w:asciiTheme="majorBidi" w:hAnsiTheme="majorBidi" w:cstheme="majorBidi"/>
        </w:rPr>
        <w:t>ity</w:t>
      </w:r>
      <w:r w:rsidR="00BB6293">
        <w:rPr>
          <w:rFonts w:asciiTheme="majorBidi" w:hAnsiTheme="majorBidi" w:cstheme="majorBidi"/>
        </w:rPr>
        <w:t xml:space="preserve"> </w:t>
      </w:r>
      <w:r w:rsidR="00F83806">
        <w:rPr>
          <w:rFonts w:asciiTheme="majorBidi" w:hAnsiTheme="majorBidi" w:cstheme="majorBidi"/>
        </w:rPr>
        <w:t>of</w:t>
      </w:r>
      <w:proofErr w:type="gramEnd"/>
      <w:r w:rsidR="00F83806">
        <w:rPr>
          <w:rFonts w:asciiTheme="majorBidi" w:hAnsiTheme="majorBidi" w:cstheme="majorBidi"/>
        </w:rPr>
        <w:t xml:space="preserve"> non-location specific </w:t>
      </w:r>
      <w:r w:rsidR="00443C18">
        <w:rPr>
          <w:rFonts w:asciiTheme="majorBidi" w:hAnsiTheme="majorBidi" w:cstheme="majorBidi"/>
        </w:rPr>
        <w:t xml:space="preserve">greenhouse gas </w:t>
      </w:r>
      <w:r w:rsidR="00B04DE0">
        <w:rPr>
          <w:rFonts w:asciiTheme="majorBidi" w:hAnsiTheme="majorBidi" w:cstheme="majorBidi"/>
        </w:rPr>
        <w:t xml:space="preserve">emitters </w:t>
      </w:r>
      <w:r w:rsidR="00A420D0" w:rsidRPr="00075AC7">
        <w:rPr>
          <w:rFonts w:asciiTheme="majorBidi" w:hAnsiTheme="majorBidi" w:cstheme="majorBidi"/>
        </w:rPr>
        <w:t xml:space="preserve">faces unique </w:t>
      </w:r>
      <w:r w:rsidR="00A77A59">
        <w:rPr>
          <w:rFonts w:asciiTheme="majorBidi" w:hAnsiTheme="majorBidi" w:cstheme="majorBidi"/>
        </w:rPr>
        <w:t xml:space="preserve">techno-economic </w:t>
      </w:r>
      <w:r w:rsidR="00A420D0" w:rsidRPr="00075AC7">
        <w:rPr>
          <w:rFonts w:asciiTheme="majorBidi" w:hAnsiTheme="majorBidi" w:cstheme="majorBidi"/>
        </w:rPr>
        <w:t>challenges, mainly handling extremely low CO</w:t>
      </w:r>
      <w:r w:rsidR="00A420D0" w:rsidRPr="00075AC7">
        <w:rPr>
          <w:rFonts w:asciiTheme="majorBidi" w:hAnsiTheme="majorBidi" w:cstheme="majorBidi"/>
          <w:vertAlign w:val="subscript"/>
        </w:rPr>
        <w:t>2</w:t>
      </w:r>
      <w:r w:rsidR="00A420D0" w:rsidRPr="00075AC7">
        <w:rPr>
          <w:rFonts w:asciiTheme="majorBidi" w:hAnsiTheme="majorBidi" w:cstheme="majorBidi"/>
        </w:rPr>
        <w:t xml:space="preserve"> concentrations. In response, </w:t>
      </w:r>
      <w:r w:rsidR="009450AF">
        <w:rPr>
          <w:rFonts w:asciiTheme="majorBidi" w:hAnsiTheme="majorBidi" w:cstheme="majorBidi"/>
        </w:rPr>
        <w:t xml:space="preserve">there </w:t>
      </w:r>
      <w:r w:rsidR="001A5156">
        <w:rPr>
          <w:rFonts w:asciiTheme="majorBidi" w:hAnsiTheme="majorBidi" w:cstheme="majorBidi"/>
        </w:rPr>
        <w:t>are different technologies available</w:t>
      </w:r>
      <w:r w:rsidR="00B330D8">
        <w:rPr>
          <w:rFonts w:asciiTheme="majorBidi" w:hAnsiTheme="majorBidi" w:cstheme="majorBidi"/>
        </w:rPr>
        <w:t>,</w:t>
      </w:r>
      <w:r w:rsidR="001A5156">
        <w:rPr>
          <w:rFonts w:asciiTheme="majorBidi" w:hAnsiTheme="majorBidi" w:cstheme="majorBidi"/>
        </w:rPr>
        <w:t xml:space="preserve"> among which </w:t>
      </w:r>
      <w:r w:rsidR="00C9126F">
        <w:rPr>
          <w:rFonts w:asciiTheme="majorBidi" w:hAnsiTheme="majorBidi" w:cstheme="majorBidi"/>
        </w:rPr>
        <w:t>temperature vacuum swing adsorption (TVSA)</w:t>
      </w:r>
      <w:r w:rsidR="00121928">
        <w:rPr>
          <w:rFonts w:asciiTheme="majorBidi" w:hAnsiTheme="majorBidi" w:cstheme="majorBidi"/>
        </w:rPr>
        <w:t xml:space="preserve"> has found to be </w:t>
      </w:r>
      <w:r w:rsidR="00E2669C">
        <w:rPr>
          <w:rFonts w:asciiTheme="majorBidi" w:hAnsiTheme="majorBidi" w:cstheme="majorBidi"/>
        </w:rPr>
        <w:t xml:space="preserve">the most </w:t>
      </w:r>
      <w:r w:rsidR="00422E7B">
        <w:rPr>
          <w:rFonts w:asciiTheme="majorBidi" w:hAnsiTheme="majorBidi" w:cstheme="majorBidi"/>
        </w:rPr>
        <w:t xml:space="preserve">energy efficient </w:t>
      </w:r>
      <w:r w:rsidR="004102A8">
        <w:rPr>
          <w:rFonts w:asciiTheme="majorBidi" w:hAnsiTheme="majorBidi" w:cstheme="majorBidi"/>
        </w:rPr>
        <w:t xml:space="preserve">capturing </w:t>
      </w:r>
      <w:r w:rsidR="00E10140">
        <w:rPr>
          <w:rFonts w:asciiTheme="majorBidi" w:hAnsiTheme="majorBidi" w:cstheme="majorBidi"/>
        </w:rPr>
        <w:t>solution,</w:t>
      </w:r>
      <w:r w:rsidR="00422E7B">
        <w:rPr>
          <w:rFonts w:asciiTheme="majorBidi" w:hAnsiTheme="majorBidi" w:cstheme="majorBidi"/>
        </w:rPr>
        <w:t xml:space="preserve"> </w:t>
      </w:r>
      <w:r w:rsidR="001C3AA2">
        <w:rPr>
          <w:rFonts w:asciiTheme="majorBidi" w:hAnsiTheme="majorBidi" w:cstheme="majorBidi"/>
          <w:color w:val="000000"/>
        </w:rPr>
        <w:t xml:space="preserve">which </w:t>
      </w:r>
      <w:r w:rsidR="007303B4">
        <w:rPr>
          <w:rFonts w:asciiTheme="majorBidi" w:hAnsiTheme="majorBidi" w:cstheme="majorBidi"/>
          <w:color w:val="000000"/>
        </w:rPr>
        <w:t xml:space="preserve">is </w:t>
      </w:r>
      <w:r w:rsidR="007303B4" w:rsidRPr="00904A92">
        <w:t xml:space="preserve">backed by substantial research literature, and </w:t>
      </w:r>
      <w:r w:rsidR="00B330D8">
        <w:t xml:space="preserve">has been </w:t>
      </w:r>
      <w:r w:rsidR="007303B4" w:rsidRPr="00904A92">
        <w:t>steadily gaining momentum in commercial implementation</w:t>
      </w:r>
      <w:r w:rsidR="00FF665D">
        <w:t xml:space="preserve"> </w:t>
      </w:r>
      <w:sdt>
        <w:sdtPr>
          <w:rPr>
            <w:color w:val="000000"/>
          </w:rPr>
          <w:tag w:val="MENDELEY_CITATION_v3_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"/>
          <w:id w:val="464169016"/>
          <w:placeholder>
            <w:docPart w:val="DefaultPlaceholder_-1854013440"/>
          </w:placeholder>
        </w:sdtPr>
        <w:sdtEndPr/>
        <w:sdtContent>
          <w:r w:rsidR="0032266F" w:rsidRPr="0032266F">
            <w:rPr>
              <w:color w:val="000000"/>
            </w:rPr>
            <w:t>(Sabatino et al., 2021)</w:t>
          </w:r>
        </w:sdtContent>
      </w:sdt>
      <w:r w:rsidR="007303B4" w:rsidRPr="00904A92">
        <w:t>.</w:t>
      </w:r>
      <w:r w:rsidR="0036116F">
        <w:t xml:space="preserve"> </w:t>
      </w:r>
      <w:r w:rsidR="00E576A6" w:rsidRPr="00E576A6">
        <w:t>Numerous studies emphasi</w:t>
      </w:r>
      <w:r w:rsidR="000D479C">
        <w:t>z</w:t>
      </w:r>
      <w:r w:rsidR="00E576A6" w:rsidRPr="00E576A6">
        <w:t>e the environmental risks and uncertainties of storing CO</w:t>
      </w:r>
      <w:r w:rsidR="00E576A6" w:rsidRPr="00E576A6">
        <w:rPr>
          <w:vertAlign w:val="subscript"/>
        </w:rPr>
        <w:t>2</w:t>
      </w:r>
      <w:r w:rsidR="003E2C9D">
        <w:t xml:space="preserve"> </w:t>
      </w:r>
      <w:sdt>
        <w:sdtPr>
          <w:rPr>
            <w:color w:val="000000"/>
          </w:rPr>
          <w:tag w:val="MENDELEY_CITATION_v3_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"/>
          <w:id w:val="285090715"/>
          <w:placeholder>
            <w:docPart w:val="DefaultPlaceholder_-1854013440"/>
          </w:placeholder>
        </w:sdtPr>
        <w:sdtEndPr/>
        <w:sdtContent>
          <w:r w:rsidR="0032266F" w:rsidRPr="0032266F">
            <w:rPr>
              <w:color w:val="000000"/>
            </w:rPr>
            <w:t>(Faruque Hasan et al., 2022)</w:t>
          </w:r>
        </w:sdtContent>
      </w:sdt>
      <w:r w:rsidR="00B75EC8">
        <w:rPr>
          <w:color w:val="000000"/>
        </w:rPr>
        <w:t>,</w:t>
      </w:r>
      <w:r w:rsidR="00E576A6" w:rsidRPr="00E576A6">
        <w:t xml:space="preserve"> prompting a shift toward exploring carbon </w:t>
      </w:r>
      <w:proofErr w:type="spellStart"/>
      <w:r w:rsidR="00E576A6" w:rsidRPr="00E576A6">
        <w:t>utili</w:t>
      </w:r>
      <w:r w:rsidR="000D479C">
        <w:t>s</w:t>
      </w:r>
      <w:r w:rsidR="00E576A6" w:rsidRPr="00E576A6">
        <w:t>ation</w:t>
      </w:r>
      <w:proofErr w:type="spellEnd"/>
      <w:r w:rsidR="00E576A6" w:rsidRPr="00E576A6">
        <w:t xml:space="preserve">. </w:t>
      </w:r>
      <w:r w:rsidR="006E2C03">
        <w:t>One</w:t>
      </w:r>
      <w:r w:rsidR="00E576A6" w:rsidRPr="00E576A6">
        <w:t xml:space="preserve"> sustainable approach involves catalytic conversion of captured CO</w:t>
      </w:r>
      <w:r w:rsidR="00E576A6" w:rsidRPr="00601DAE">
        <w:rPr>
          <w:vertAlign w:val="subscript"/>
        </w:rPr>
        <w:t>2</w:t>
      </w:r>
      <w:r w:rsidR="00E576A6" w:rsidRPr="00E576A6">
        <w:t xml:space="preserve"> into products like synthetic natural gas using green hydrogen</w:t>
      </w:r>
      <w:r w:rsidR="00BE0CC9">
        <w:t xml:space="preserve"> known as</w:t>
      </w:r>
      <w:r w:rsidR="00BE0CC9" w:rsidRPr="00E576A6">
        <w:t xml:space="preserve"> power-to-</w:t>
      </w:r>
      <w:r w:rsidR="00B330D8">
        <w:t>g</w:t>
      </w:r>
      <w:r w:rsidR="00BE0CC9" w:rsidRPr="00E576A6">
        <w:t>as (</w:t>
      </w:r>
      <w:proofErr w:type="spellStart"/>
      <w:r w:rsidR="00BE0CC9" w:rsidRPr="00E576A6">
        <w:t>PtG</w:t>
      </w:r>
      <w:proofErr w:type="spellEnd"/>
      <w:r w:rsidR="00BE0CC9" w:rsidRPr="00E576A6">
        <w:t>)</w:t>
      </w:r>
      <w:r w:rsidR="00EA1DB9">
        <w:t>.</w:t>
      </w:r>
    </w:p>
    <w:p w14:paraId="3D093396" w14:textId="3D9067F6" w:rsidR="000D112A" w:rsidRDefault="000B01FB" w:rsidP="00574DE2">
      <w:pPr>
        <w:pStyle w:val="Els-body-text"/>
      </w:pPr>
      <w:r>
        <w:rPr>
          <w:rFonts w:asciiTheme="majorBidi" w:hAnsiTheme="majorBidi" w:cstheme="majorBidi"/>
        </w:rPr>
        <w:t>In this context</w:t>
      </w:r>
      <w:r w:rsidR="00F15383">
        <w:rPr>
          <w:rFonts w:asciiTheme="majorBidi" w:hAnsiTheme="majorBidi" w:cstheme="majorBidi"/>
        </w:rPr>
        <w:t>,</w:t>
      </w:r>
      <w:r w:rsidR="00A420D0" w:rsidRPr="00075AC7">
        <w:rPr>
          <w:rFonts w:asciiTheme="majorBidi" w:hAnsiTheme="majorBidi" w:cstheme="majorBidi"/>
        </w:rPr>
        <w:t xml:space="preserve"> Dual Function Material (DFM) technology </w:t>
      </w:r>
      <w:r>
        <w:rPr>
          <w:rFonts w:asciiTheme="majorBidi" w:hAnsiTheme="majorBidi" w:cstheme="majorBidi"/>
        </w:rPr>
        <w:t>has emerged as</w:t>
      </w:r>
      <w:r w:rsidR="00A420D0" w:rsidRPr="00075AC7">
        <w:rPr>
          <w:rFonts w:asciiTheme="majorBidi" w:hAnsiTheme="majorBidi" w:cstheme="majorBidi"/>
        </w:rPr>
        <w:t xml:space="preserve"> a promising solution</w:t>
      </w:r>
      <w:r w:rsidR="002D086C">
        <w:t xml:space="preserve">. </w:t>
      </w:r>
      <w:r w:rsidR="00E167BC" w:rsidRPr="00904A92">
        <w:t xml:space="preserve">In this novel approach proposed by </w:t>
      </w:r>
      <w:sdt>
        <w:sdtPr>
          <w:rPr>
            <w:color w:val="000000"/>
          </w:rPr>
          <w:tag w:val="MENDELEY_CITATION_v3_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"/>
          <w:id w:val="546878338"/>
          <w:placeholder>
            <w:docPart w:val="DefaultPlaceholder_-1854013440"/>
          </w:placeholder>
        </w:sdtPr>
        <w:sdtEndPr/>
        <w:sdtContent>
          <w:r w:rsidR="0032266F" w:rsidRPr="0032266F">
            <w:rPr>
              <w:color w:val="000000"/>
            </w:rPr>
            <w:t xml:space="preserve">Duyar et al. </w:t>
          </w:r>
          <w:r w:rsidR="00B330D8">
            <w:rPr>
              <w:color w:val="000000"/>
            </w:rPr>
            <w:t>(</w:t>
          </w:r>
          <w:r w:rsidR="0032266F" w:rsidRPr="0032266F">
            <w:rPr>
              <w:color w:val="000000"/>
            </w:rPr>
            <w:t>2015</w:t>
          </w:r>
          <w:r w:rsidR="00B330D8">
            <w:rPr>
              <w:color w:val="000000"/>
            </w:rPr>
            <w:t>)</w:t>
          </w:r>
        </w:sdtContent>
      </w:sdt>
      <w:r w:rsidR="00221A09">
        <w:rPr>
          <w:color w:val="000000"/>
        </w:rPr>
        <w:t xml:space="preserve"> </w:t>
      </w:r>
      <w:r w:rsidR="00E167BC" w:rsidRPr="00904A92">
        <w:t>CO</w:t>
      </w:r>
      <w:r w:rsidR="00E167BC" w:rsidRPr="00904A92">
        <w:rPr>
          <w:vertAlign w:val="subscript"/>
        </w:rPr>
        <w:t>2</w:t>
      </w:r>
      <w:r w:rsidR="00E167BC" w:rsidRPr="00904A92">
        <w:t xml:space="preserve"> selectively adsorbs on an alkaline or alkaline earth element acting as sorbent and undergoes in-situ hydrogenation assisted by a noble metal without requiring energy-intensive intermediate CO</w:t>
      </w:r>
      <w:r w:rsidR="00E167BC" w:rsidRPr="00904A92">
        <w:rPr>
          <w:vertAlign w:val="subscript"/>
        </w:rPr>
        <w:t>2</w:t>
      </w:r>
      <w:r w:rsidR="00E167BC" w:rsidRPr="00904A92">
        <w:t xml:space="preserve"> sequestration processes</w:t>
      </w:r>
      <w:r w:rsidR="00E167BC" w:rsidRPr="00904A92">
        <w:rPr>
          <w:color w:val="000000"/>
        </w:rPr>
        <w:t xml:space="preserve">. </w:t>
      </w:r>
      <w:r w:rsidR="00E167BC" w:rsidRPr="00904A92">
        <w:t xml:space="preserve">The </w:t>
      </w:r>
      <w:r w:rsidR="005B48A6">
        <w:t xml:space="preserve">continuous </w:t>
      </w:r>
      <w:r w:rsidR="00E167BC" w:rsidRPr="00904A92">
        <w:t xml:space="preserve">operation occurs consecutively in </w:t>
      </w:r>
      <w:r w:rsidR="00FF447E">
        <w:t>four</w:t>
      </w:r>
      <w:r w:rsidR="00E167BC" w:rsidRPr="00904A92">
        <w:t xml:space="preserve"> parallel trains of reactors</w:t>
      </w:r>
      <w:r w:rsidR="005F650C">
        <w:t xml:space="preserve"> due to the 4-staged process</w:t>
      </w:r>
      <w:r w:rsidR="00E167BC" w:rsidRPr="00904A92">
        <w:t xml:space="preserve">: in one </w:t>
      </w:r>
      <w:r w:rsidR="0033048E">
        <w:t>stage</w:t>
      </w:r>
      <w:r w:rsidR="00E167BC" w:rsidRPr="00904A92">
        <w:t xml:space="preserve"> CO</w:t>
      </w:r>
      <w:r w:rsidR="00E167BC" w:rsidRPr="00904A92">
        <w:rPr>
          <w:vertAlign w:val="subscript"/>
        </w:rPr>
        <w:t>2</w:t>
      </w:r>
      <w:r w:rsidR="00E167BC" w:rsidRPr="00904A92">
        <w:t xml:space="preserve"> is contacted with the DFM until saturation occurs. </w:t>
      </w:r>
      <w:r w:rsidR="00FF447E">
        <w:t xml:space="preserve">In the second </w:t>
      </w:r>
      <w:r w:rsidR="0033048E">
        <w:t>stage</w:t>
      </w:r>
      <w:r w:rsidR="00FF447E">
        <w:t xml:space="preserve">, the </w:t>
      </w:r>
      <w:r w:rsidR="0086537C">
        <w:t xml:space="preserve">reactor is purged with an inert gas </w:t>
      </w:r>
      <w:r w:rsidR="0033048E">
        <w:t>and consequently</w:t>
      </w:r>
      <w:r w:rsidR="00E167BC" w:rsidRPr="00904A92">
        <w:t xml:space="preserve">, </w:t>
      </w:r>
      <w:r w:rsidR="00E167BC">
        <w:t>h</w:t>
      </w:r>
      <w:r w:rsidR="00E167BC" w:rsidRPr="00904A92">
        <w:t xml:space="preserve">ydrogen is injected, leading to the release and transport of the </w:t>
      </w:r>
      <w:r w:rsidR="00E167BC" w:rsidRPr="00904A92">
        <w:lastRenderedPageBreak/>
        <w:t>chemisorbed CO</w:t>
      </w:r>
      <w:r w:rsidR="00E167BC" w:rsidRPr="00904A92">
        <w:rPr>
          <w:vertAlign w:val="subscript"/>
        </w:rPr>
        <w:t>2</w:t>
      </w:r>
      <w:r w:rsidR="00E167BC" w:rsidRPr="00904A92">
        <w:t xml:space="preserve"> to the </w:t>
      </w:r>
      <w:proofErr w:type="spellStart"/>
      <w:r w:rsidR="00E167BC" w:rsidRPr="00904A92">
        <w:t>neighbour</w:t>
      </w:r>
      <w:proofErr w:type="spellEnd"/>
      <w:r w:rsidR="00E167BC" w:rsidRPr="00904A92">
        <w:t xml:space="preserve"> metal site where the methanation process occurs.</w:t>
      </w:r>
      <w:r w:rsidR="00B169BB">
        <w:t xml:space="preserve"> The process is re-commenced after purging </w:t>
      </w:r>
      <w:r w:rsidR="0033048E">
        <w:t xml:space="preserve">the </w:t>
      </w:r>
      <w:r w:rsidR="00AA0061">
        <w:t>reactor.</w:t>
      </w:r>
    </w:p>
    <w:p w14:paraId="15132375" w14:textId="62FA0B21" w:rsidR="00A83EE3" w:rsidRPr="00A83EE3" w:rsidRDefault="00D14C50" w:rsidP="00574DE2">
      <w:pPr>
        <w:pStyle w:val="Els-body-text"/>
      </w:pPr>
      <w:r w:rsidRPr="00D14C50">
        <w:t>To systematically evaluate the operability and techno-economic potential of the DFM</w:t>
      </w:r>
      <w:r w:rsidR="00B330D8">
        <w:t xml:space="preserve"> technology</w:t>
      </w:r>
      <w:r w:rsidRPr="00D14C50">
        <w:t xml:space="preserve"> and understand its behavior within a broader context encompassing crucial technologies upstream and downstream, a comparative framework is necessary.</w:t>
      </w:r>
    </w:p>
    <w:p w14:paraId="218E395B" w14:textId="305F8F46" w:rsidR="00311EB2" w:rsidRPr="00302230" w:rsidRDefault="00B330D8" w:rsidP="00574DE2">
      <w:pPr>
        <w:pStyle w:val="Els-body-text"/>
      </w:pPr>
      <w:r w:rsidRPr="002C6B77">
        <w:rPr>
          <w:rFonts w:asciiTheme="majorBidi" w:hAnsiTheme="majorBidi" w:cstheme="majorBidi"/>
        </w:rPr>
        <w:t>Superstructure optimisation employs mathematical models and optimisation algorithms, to systematically identify the most suitable process flowsheets based on a defined set of</w:t>
      </w:r>
      <w:r w:rsidRPr="00904A92">
        <w:t xml:space="preserve"> objective functions </w:t>
      </w:r>
      <w:sdt>
        <w:sdtPr>
          <w:rPr>
            <w:color w:val="000000"/>
          </w:rPr>
          <w:tag w:val="MENDELEY_CITATION_v3_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"/>
          <w:id w:val="-845474401"/>
          <w:placeholder>
            <w:docPart w:val="0C5FD76AB4C84468966C0285806C6351"/>
          </w:placeholder>
        </w:sdtPr>
        <w:sdtEndPr/>
        <w:sdtContent>
          <w:r w:rsidRPr="0032266F">
            <w:rPr>
              <w:color w:val="000000"/>
            </w:rPr>
            <w:t>(Bertran et al., 2017)</w:t>
          </w:r>
        </w:sdtContent>
      </w:sdt>
      <w:r>
        <w:t xml:space="preserve">. </w:t>
      </w:r>
      <w:r w:rsidR="00062478" w:rsidRPr="002C6B77">
        <w:rPr>
          <w:rFonts w:asciiTheme="majorBidi" w:hAnsiTheme="majorBidi" w:cstheme="majorBidi"/>
        </w:rPr>
        <w:t>Superstructure optimisation serves as an effective approach to explore and determine the optimal process route when various process layout</w:t>
      </w:r>
      <w:r>
        <w:rPr>
          <w:rFonts w:asciiTheme="majorBidi" w:hAnsiTheme="majorBidi" w:cstheme="majorBidi"/>
        </w:rPr>
        <w:t>s</w:t>
      </w:r>
      <w:r w:rsidR="00062478" w:rsidRPr="002C6B77">
        <w:rPr>
          <w:rFonts w:asciiTheme="majorBidi" w:hAnsiTheme="majorBidi" w:cstheme="majorBidi"/>
        </w:rPr>
        <w:t xml:space="preserve"> or technology options are available for a specific product synthesis</w:t>
      </w:r>
      <w:r>
        <w:rPr>
          <w:rFonts w:asciiTheme="majorBidi" w:hAnsiTheme="majorBidi" w:cstheme="majorBidi"/>
        </w:rPr>
        <w:t>,</w:t>
      </w:r>
      <w:r w:rsidR="00062478" w:rsidRPr="002C6B77">
        <w:rPr>
          <w:rFonts w:asciiTheme="majorBidi" w:hAnsiTheme="majorBidi" w:cstheme="majorBidi"/>
        </w:rPr>
        <w:t xml:space="preserve"> or there is a need of “selection” among a various range of feedstocks and/or range of prospect products.</w:t>
      </w:r>
      <w:r w:rsidR="0091564D">
        <w:rPr>
          <w:rFonts w:asciiTheme="majorBidi" w:hAnsiTheme="majorBidi" w:cstheme="majorBidi"/>
        </w:rPr>
        <w:t xml:space="preserve"> </w:t>
      </w:r>
      <w:r w:rsidR="00C72531" w:rsidRPr="00904A92">
        <w:t>While superstructure optimisation studies have been dominant in sub-systems</w:t>
      </w:r>
      <w:r w:rsidR="00C72531">
        <w:t xml:space="preserve"> </w:t>
      </w:r>
      <w:sdt>
        <w:sdtPr>
          <w:rPr>
            <w:color w:val="000000"/>
          </w:rPr>
          <w:tag w:val="MENDELEY_CITATION_v3_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"/>
          <w:id w:val="-1650202918"/>
          <w:placeholder>
            <w:docPart w:val="DefaultPlaceholder_-1854013440"/>
          </w:placeholder>
        </w:sdtPr>
        <w:sdtEndPr/>
        <w:sdtContent>
          <w:r w:rsidR="0032266F">
            <w:t>(Chen &amp; Grossmann, 2017)</w:t>
          </w:r>
        </w:sdtContent>
      </w:sdt>
      <w:r w:rsidR="00C72531" w:rsidRPr="00904A92">
        <w:t xml:space="preserve">, there are very few studies applying superstructure optimisation approach in the synthesis of </w:t>
      </w:r>
      <w:proofErr w:type="spellStart"/>
      <w:r w:rsidR="00C72531" w:rsidRPr="00904A92">
        <w:t>PtX</w:t>
      </w:r>
      <w:proofErr w:type="spellEnd"/>
      <w:r w:rsidR="00C72531" w:rsidRPr="00904A92">
        <w:t xml:space="preserve"> processes covering the </w:t>
      </w:r>
      <w:proofErr w:type="spellStart"/>
      <w:r w:rsidR="00C72531" w:rsidRPr="00904A92">
        <w:t>utilisation</w:t>
      </w:r>
      <w:proofErr w:type="spellEnd"/>
      <w:r w:rsidR="00C72531" w:rsidRPr="00904A92">
        <w:t xml:space="preserve"> of CO</w:t>
      </w:r>
      <w:r w:rsidR="00C72531" w:rsidRPr="00904A92">
        <w:rPr>
          <w:vertAlign w:val="subscript"/>
        </w:rPr>
        <w:t>2</w:t>
      </w:r>
      <w:r w:rsidR="00C72531" w:rsidRPr="00904A92">
        <w:t>.</w:t>
      </w:r>
      <w:r w:rsidR="00374078">
        <w:t xml:space="preserve"> </w:t>
      </w:r>
      <w:sdt>
        <w:sdtPr>
          <w:rPr>
            <w:color w:val="000000"/>
          </w:rPr>
          <w:tag w:val="MENDELEY_CITATION_v3_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"/>
          <w:id w:val="-1573885169"/>
          <w:placeholder>
            <w:docPart w:val="DefaultPlaceholder_-1854013440"/>
          </w:placeholder>
        </w:sdtPr>
        <w:sdtEndPr/>
        <w:sdtContent>
          <w:r w:rsidR="0032266F" w:rsidRPr="0032266F">
            <w:rPr>
              <w:color w:val="000000"/>
            </w:rPr>
            <w:t xml:space="preserve">Uebbing et al. </w:t>
          </w:r>
          <w:r>
            <w:rPr>
              <w:color w:val="000000"/>
            </w:rPr>
            <w:t>(</w:t>
          </w:r>
          <w:r w:rsidR="0032266F" w:rsidRPr="0032266F">
            <w:rPr>
              <w:color w:val="000000"/>
            </w:rPr>
            <w:t>2020</w:t>
          </w:r>
          <w:r>
            <w:rPr>
              <w:color w:val="000000"/>
            </w:rPr>
            <w:t>)</w:t>
          </w:r>
        </w:sdtContent>
      </w:sdt>
      <w:r w:rsidR="008170F0">
        <w:rPr>
          <w:color w:val="000000"/>
        </w:rPr>
        <w:t xml:space="preserve"> </w:t>
      </w:r>
      <w:r w:rsidR="003A5B3C">
        <w:rPr>
          <w:color w:val="000000"/>
        </w:rPr>
        <w:t>employed a superstructure optimisation approach to investigate the methanation of CO</w:t>
      </w:r>
      <w:r w:rsidR="003A5B3C">
        <w:rPr>
          <w:color w:val="000000"/>
          <w:vertAlign w:val="subscript"/>
        </w:rPr>
        <w:t>2</w:t>
      </w:r>
      <w:r w:rsidR="003A5B3C">
        <w:rPr>
          <w:color w:val="000000"/>
        </w:rPr>
        <w:t xml:space="preserve"> </w:t>
      </w:r>
      <w:r w:rsidR="0087656B">
        <w:rPr>
          <w:color w:val="000000"/>
        </w:rPr>
        <w:t xml:space="preserve">obtained from </w:t>
      </w:r>
      <w:r>
        <w:rPr>
          <w:color w:val="000000"/>
        </w:rPr>
        <w:t xml:space="preserve">a </w:t>
      </w:r>
      <w:r w:rsidR="0087656B">
        <w:rPr>
          <w:color w:val="000000"/>
        </w:rPr>
        <w:t>biogas plant</w:t>
      </w:r>
      <w:r w:rsidR="006F6A83">
        <w:rPr>
          <w:color w:val="000000"/>
        </w:rPr>
        <w:t xml:space="preserve">. </w:t>
      </w:r>
      <w:sdt>
        <w:sdtPr>
          <w:rPr>
            <w:color w:val="000000"/>
          </w:rPr>
          <w:tag w:val="MENDELEY_CITATION_v3_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"/>
          <w:id w:val="-2142869429"/>
          <w:placeholder>
            <w:docPart w:val="DefaultPlaceholder_-1854013440"/>
          </w:placeholder>
        </w:sdtPr>
        <w:sdtEndPr/>
        <w:sdtContent>
          <w:r w:rsidR="0032266F" w:rsidRPr="0032266F">
            <w:rPr>
              <w:color w:val="000000"/>
            </w:rPr>
            <w:t xml:space="preserve">Kenkel et al. </w:t>
          </w:r>
          <w:r>
            <w:rPr>
              <w:color w:val="000000"/>
            </w:rPr>
            <w:t>(</w:t>
          </w:r>
          <w:r w:rsidR="0032266F" w:rsidRPr="0032266F">
            <w:rPr>
              <w:color w:val="000000"/>
            </w:rPr>
            <w:t>2021</w:t>
          </w:r>
          <w:r>
            <w:rPr>
              <w:color w:val="000000"/>
            </w:rPr>
            <w:t>)</w:t>
          </w:r>
        </w:sdtContent>
      </w:sdt>
      <w:r w:rsidR="000B0B97">
        <w:rPr>
          <w:color w:val="000000"/>
        </w:rPr>
        <w:t xml:space="preserve"> </w:t>
      </w:r>
      <w:r w:rsidR="00037AF2" w:rsidRPr="00904A92">
        <w:t xml:space="preserve">have developed an open-source python-based tool, to model superstructures with </w:t>
      </w:r>
      <w:r>
        <w:t xml:space="preserve">the </w:t>
      </w:r>
      <w:r w:rsidR="00037AF2" w:rsidRPr="00904A92">
        <w:t xml:space="preserve">optimisation performed using </w:t>
      </w:r>
      <w:proofErr w:type="spellStart"/>
      <w:r w:rsidR="00037AF2" w:rsidRPr="00904A92">
        <w:t>Pyomo</w:t>
      </w:r>
      <w:proofErr w:type="spellEnd"/>
      <w:r w:rsidR="00037AF2" w:rsidRPr="00904A92">
        <w:t>. In their case study, they investigate methanol synthesis from CO</w:t>
      </w:r>
      <w:r w:rsidR="00037AF2" w:rsidRPr="00904A92">
        <w:rPr>
          <w:vertAlign w:val="subscript"/>
        </w:rPr>
        <w:t>2</w:t>
      </w:r>
      <w:r w:rsidR="00037AF2" w:rsidRPr="00904A92">
        <w:t xml:space="preserve"> hydrogenation under various hydrogen production and carbon capture scenarios.</w:t>
      </w:r>
      <w:r w:rsidR="009E0C90">
        <w:t xml:space="preserve"> </w:t>
      </w:r>
      <w:r w:rsidR="009C73F4">
        <w:t>Up to now, n</w:t>
      </w:r>
      <w:r w:rsidR="00311EB2" w:rsidRPr="00215174">
        <w:t xml:space="preserve">o prior research has undertaken an evaluation of the techno-economic aspects of various </w:t>
      </w:r>
      <w:r w:rsidR="00311EB2">
        <w:t>DAC</w:t>
      </w:r>
      <w:r w:rsidR="00311EB2" w:rsidRPr="00215174">
        <w:t xml:space="preserve"> technologies within the </w:t>
      </w:r>
      <w:r w:rsidR="00F67E0B">
        <w:t xml:space="preserve">superstructure </w:t>
      </w:r>
      <w:r w:rsidR="00311EB2" w:rsidRPr="00215174">
        <w:t xml:space="preserve">framework. Furthermore, the DFM process has not been considered as a </w:t>
      </w:r>
      <w:r w:rsidR="00F67E0B">
        <w:t>potential</w:t>
      </w:r>
      <w:r w:rsidR="00F67E0B" w:rsidRPr="00215174">
        <w:t xml:space="preserve"> </w:t>
      </w:r>
      <w:r w:rsidR="00311EB2" w:rsidRPr="00215174">
        <w:t>option for CO</w:t>
      </w:r>
      <w:r w:rsidR="00311EB2" w:rsidRPr="003015D6">
        <w:rPr>
          <w:vertAlign w:val="subscript"/>
        </w:rPr>
        <w:t>2</w:t>
      </w:r>
      <w:r w:rsidR="00311EB2" w:rsidRPr="00215174">
        <w:t xml:space="preserve"> capture and </w:t>
      </w:r>
      <w:proofErr w:type="spellStart"/>
      <w:r w:rsidR="00311EB2" w:rsidRPr="00215174">
        <w:t>utili</w:t>
      </w:r>
      <w:r w:rsidR="00311EB2">
        <w:t>s</w:t>
      </w:r>
      <w:r w:rsidR="00311EB2" w:rsidRPr="00215174">
        <w:t>ation</w:t>
      </w:r>
      <w:proofErr w:type="spellEnd"/>
      <w:r w:rsidR="00311EB2" w:rsidRPr="00215174">
        <w:t xml:space="preserve"> in any </w:t>
      </w:r>
      <w:r w:rsidR="00F67E0B">
        <w:t xml:space="preserve">optimisation </w:t>
      </w:r>
      <w:r w:rsidR="00311EB2" w:rsidRPr="00215174">
        <w:t>study so far.</w:t>
      </w:r>
      <w:r w:rsidR="00A94B2F">
        <w:t xml:space="preserve"> This study aims to </w:t>
      </w:r>
      <w:r w:rsidR="00284FE2">
        <w:t xml:space="preserve">systematically compare the performance of the DFM process versus the </w:t>
      </w:r>
      <w:r w:rsidR="006E7763">
        <w:t xml:space="preserve">TVSA technology </w:t>
      </w:r>
      <w:proofErr w:type="gramStart"/>
      <w:r w:rsidR="006E7763">
        <w:t>taking into account</w:t>
      </w:r>
      <w:proofErr w:type="gramEnd"/>
      <w:r w:rsidR="006E7763">
        <w:t xml:space="preserve"> the pivotal downstream and upstream process layers</w:t>
      </w:r>
      <w:r w:rsidR="00E00840">
        <w:t xml:space="preserve"> </w:t>
      </w:r>
      <w:r w:rsidR="004C36EB">
        <w:t xml:space="preserve">leveraging the superstructure optimisation </w:t>
      </w:r>
      <w:r w:rsidR="00C54094">
        <w:t>framework.</w:t>
      </w:r>
      <w:r w:rsidR="0054321D">
        <w:t xml:space="preserve"> </w:t>
      </w:r>
    </w:p>
    <w:p w14:paraId="3B5A4CAA" w14:textId="77777777" w:rsidR="00BC5A5B" w:rsidRDefault="00BC5A5B" w:rsidP="00574DE2">
      <w:pPr>
        <w:pStyle w:val="Els-1storder-head"/>
        <w:keepNext w:val="0"/>
        <w:suppressAutoHyphens w:val="0"/>
      </w:pPr>
      <w:r>
        <w:t>Methodology</w:t>
      </w:r>
    </w:p>
    <w:tbl>
      <w:tblPr>
        <w:tblStyle w:val="TableGrid"/>
        <w:tblpPr w:leftFromText="180" w:rightFromText="180" w:vertAnchor="text" w:horzAnchor="margin" w:tblpY="3211"/>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5"/>
        <w:gridCol w:w="532"/>
      </w:tblGrid>
      <w:tr w:rsidR="00B02885" w:rsidRPr="00904A92" w14:paraId="119CCB6E" w14:textId="77777777" w:rsidTr="00E060D8">
        <w:tc>
          <w:tcPr>
            <w:tcW w:w="6555" w:type="dxa"/>
          </w:tcPr>
          <w:p w14:paraId="0113722C" w14:textId="77777777" w:rsidR="00B02885" w:rsidRPr="00561001" w:rsidRDefault="00F327B5" w:rsidP="00E060D8">
            <w:pPr>
              <w:spacing w:before="60" w:after="60"/>
              <w:jc w:val="center"/>
              <w:rPr>
                <w:rFonts w:ascii="Calibri" w:eastAsia="Times New Roman" w:hAnsi="Calibri" w:cs="Arial"/>
                <w:sz w:val="20"/>
                <w:szCs w:val="20"/>
              </w:rPr>
            </w:pP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k</m:t>
                  </m:r>
                  <m:r>
                    <w:rPr>
                      <w:rFonts w:ascii="Cambria Math" w:hAnsi="Cambria Math"/>
                      <w:sz w:val="20"/>
                      <w:szCs w:val="20"/>
                    </w:rPr>
                    <m:t>,</m:t>
                  </m:r>
                  <m:r>
                    <w:rPr>
                      <w:rFonts w:ascii="Cambria Math" w:hAnsi="Cambria Math"/>
                      <w:sz w:val="20"/>
                      <w:szCs w:val="20"/>
                    </w:rPr>
                    <m:t>c</m:t>
                  </m:r>
                </m:sub>
              </m:sSub>
              <m:r>
                <w:rPr>
                  <w:rFonts w:ascii="Cambria Math" w:hAnsi="Cambria Math"/>
                  <w:sz w:val="20"/>
                  <w:szCs w:val="20"/>
                </w:rPr>
                <m:t xml:space="preserve">= </m:t>
              </m:r>
              <m:nary>
                <m:naryPr>
                  <m:chr m:val="∑"/>
                  <m:limLoc m:val="undOvr"/>
                  <m:supHide m:val="1"/>
                  <m:ctrlPr>
                    <w:rPr>
                      <w:rFonts w:ascii="Cambria Math" w:hAnsi="Cambria Math"/>
                      <w:i/>
                      <w:sz w:val="20"/>
                      <w:szCs w:val="20"/>
                    </w:rPr>
                  </m:ctrlPr>
                </m:naryPr>
                <m:sub>
                  <m:r>
                    <w:rPr>
                      <w:rFonts w:ascii="Cambria Math" w:hAnsi="Cambria Math"/>
                      <w:sz w:val="20"/>
                      <w:szCs w:val="20"/>
                    </w:rPr>
                    <m:t>u</m:t>
                  </m:r>
                  <m:r>
                    <w:rPr>
                      <w:rFonts w:ascii="Cambria Math" w:hAnsi="Cambria Math"/>
                      <w:sz w:val="20"/>
                      <w:szCs w:val="20"/>
                    </w:rPr>
                    <m:t xml:space="preserve"> </m:t>
                  </m:r>
                  <m:r>
                    <w:rPr>
                      <w:rFonts w:ascii="Cambria Math" w:hAnsi="Cambria Math"/>
                      <w:sz w:val="20"/>
                      <w:szCs w:val="20"/>
                    </w:rPr>
                    <m:t>ϵ</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layer</m:t>
                      </m:r>
                    </m:sub>
                  </m:sSub>
                </m:sub>
                <m:sup/>
                <m:e>
                  <m:nary>
                    <m:naryPr>
                      <m:chr m:val="∑"/>
                      <m:limLoc m:val="undOvr"/>
                      <m:supHide m:val="1"/>
                      <m:ctrlPr>
                        <w:rPr>
                          <w:rFonts w:ascii="Cambria Math" w:hAnsi="Cambria Math"/>
                          <w:i/>
                          <w:sz w:val="20"/>
                          <w:szCs w:val="20"/>
                        </w:rPr>
                      </m:ctrlPr>
                    </m:naryPr>
                    <m:sub>
                      <m:r>
                        <w:rPr>
                          <w:rFonts w:ascii="Cambria Math" w:hAnsi="Cambria Math"/>
                          <w:sz w:val="20"/>
                          <w:szCs w:val="20"/>
                        </w:rPr>
                        <m:t>c</m:t>
                      </m:r>
                      <m:r>
                        <w:rPr>
                          <w:rFonts w:ascii="Cambria Math" w:hAnsi="Cambria Math"/>
                          <w:sz w:val="20"/>
                          <w:szCs w:val="20"/>
                        </w:rPr>
                        <m:t xml:space="preserve"> </m:t>
                      </m:r>
                      <m:r>
                        <w:rPr>
                          <w:rFonts w:ascii="Cambria Math" w:hAnsi="Cambria Math"/>
                          <w:sz w:val="20"/>
                          <w:szCs w:val="20"/>
                        </w:rPr>
                        <m:t>ϵ</m:t>
                      </m:r>
                      <m:r>
                        <w:rPr>
                          <w:rFonts w:ascii="Cambria Math" w:hAnsi="Cambria Math"/>
                          <w:sz w:val="20"/>
                          <w:szCs w:val="20"/>
                        </w:rPr>
                        <m:t xml:space="preserve"> </m:t>
                      </m:r>
                      <m:r>
                        <w:rPr>
                          <w:rFonts w:ascii="Cambria Math" w:hAnsi="Cambria Math"/>
                          <w:sz w:val="20"/>
                          <w:szCs w:val="20"/>
                        </w:rPr>
                        <m:t>C</m:t>
                      </m:r>
                    </m:sub>
                    <m:sup/>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 xml:space="preserve"> </m:t>
                          </m:r>
                          <m:r>
                            <w:rPr>
                              <w:rFonts w:ascii="Cambria Math" w:hAnsi="Cambria Math"/>
                              <w:sz w:val="20"/>
                              <w:szCs w:val="20"/>
                            </w:rPr>
                            <m:t>outlet</m:t>
                          </m:r>
                          <m:r>
                            <w:rPr>
                              <w:rFonts w:ascii="Cambria Math" w:hAnsi="Cambria Math"/>
                              <w:sz w:val="20"/>
                              <w:szCs w:val="20"/>
                            </w:rPr>
                            <m:t xml:space="preserve"> </m:t>
                          </m:r>
                          <m:r>
                            <w:rPr>
                              <w:rFonts w:ascii="Cambria Math" w:hAnsi="Cambria Math"/>
                              <w:sz w:val="20"/>
                              <w:szCs w:val="20"/>
                            </w:rPr>
                            <m:t>u</m:t>
                          </m:r>
                          <m:r>
                            <w:rPr>
                              <w:rFonts w:ascii="Cambria Math" w:hAnsi="Cambria Math"/>
                              <w:sz w:val="20"/>
                              <w:szCs w:val="20"/>
                            </w:rPr>
                            <m:t xml:space="preserve"> ,</m:t>
                          </m:r>
                          <m:r>
                            <w:rPr>
                              <w:rFonts w:ascii="Cambria Math" w:hAnsi="Cambria Math"/>
                              <w:sz w:val="20"/>
                              <w:szCs w:val="20"/>
                            </w:rPr>
                            <m:t>c</m:t>
                          </m:r>
                        </m:sub>
                      </m:sSub>
                      <m:r>
                        <m:rPr>
                          <m:sty m:val="p"/>
                        </m:rPr>
                        <w:rPr>
                          <w:rFonts w:ascii="Cambria Math" w:eastAsiaTheme="minorEastAsia"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u</m:t>
                          </m:r>
                        </m:sub>
                      </m:sSub>
                      <m:r>
                        <w:rPr>
                          <w:rFonts w:ascii="Cambria Math" w:hAnsi="Cambria Math"/>
                          <w:sz w:val="20"/>
                          <w:szCs w:val="20"/>
                        </w:rPr>
                        <m:t xml:space="preserve"> </m:t>
                      </m:r>
                    </m:e>
                  </m:nary>
                </m:e>
              </m:nary>
            </m:oMath>
            <w:r w:rsidR="00B02885">
              <w:rPr>
                <w:rFonts w:ascii="Calibri" w:eastAsia="Times New Roman" w:hAnsi="Calibri" w:cs="Arial"/>
                <w:sz w:val="20"/>
                <w:szCs w:val="20"/>
              </w:rPr>
              <w:t xml:space="preserve"> </w:t>
            </w:r>
          </w:p>
        </w:tc>
        <w:tc>
          <w:tcPr>
            <w:tcW w:w="532" w:type="dxa"/>
          </w:tcPr>
          <w:p w14:paraId="620FC245" w14:textId="605580FD" w:rsidR="00B02885" w:rsidRPr="00561001" w:rsidRDefault="00B02885" w:rsidP="00E060D8">
            <w:pPr>
              <w:spacing w:before="60" w:after="60"/>
              <w:rPr>
                <w:sz w:val="20"/>
                <w:szCs w:val="20"/>
              </w:rPr>
            </w:pPr>
            <w:r w:rsidRPr="00561001">
              <w:rPr>
                <w:rFonts w:eastAsiaTheme="minorEastAsia"/>
                <w:sz w:val="20"/>
                <w:szCs w:val="20"/>
              </w:rPr>
              <w:t>(</w:t>
            </w:r>
            <w:r w:rsidRPr="00561001">
              <w:rPr>
                <w:rFonts w:eastAsiaTheme="minorEastAsia"/>
              </w:rPr>
              <w:fldChar w:fldCharType="begin"/>
            </w:r>
            <w:r w:rsidRPr="00561001">
              <w:rPr>
                <w:rFonts w:eastAsiaTheme="minorEastAsia"/>
                <w:sz w:val="20"/>
                <w:szCs w:val="20"/>
              </w:rPr>
              <w:instrText xml:space="preserve"> SEQ Equation \* ARABIC </w:instrText>
            </w:r>
            <w:r w:rsidRPr="00561001">
              <w:rPr>
                <w:rFonts w:eastAsiaTheme="minorEastAsia"/>
              </w:rPr>
              <w:fldChar w:fldCharType="separate"/>
            </w:r>
            <w:r w:rsidR="00112912">
              <w:rPr>
                <w:rFonts w:eastAsiaTheme="minorEastAsia"/>
                <w:noProof/>
                <w:sz w:val="20"/>
                <w:szCs w:val="20"/>
              </w:rPr>
              <w:t>1</w:t>
            </w:r>
            <w:r w:rsidRPr="00561001">
              <w:rPr>
                <w:rFonts w:eastAsiaTheme="minorEastAsia"/>
              </w:rPr>
              <w:fldChar w:fldCharType="end"/>
            </w:r>
            <w:r w:rsidRPr="00561001">
              <w:rPr>
                <w:rFonts w:eastAsiaTheme="minorEastAsia"/>
                <w:sz w:val="20"/>
                <w:szCs w:val="20"/>
              </w:rPr>
              <w:t>)</w:t>
            </w:r>
          </w:p>
        </w:tc>
      </w:tr>
      <w:tr w:rsidR="00B02885" w:rsidRPr="00904A92" w14:paraId="506F1367" w14:textId="77777777" w:rsidTr="00E060D8">
        <w:tc>
          <w:tcPr>
            <w:tcW w:w="6555" w:type="dxa"/>
          </w:tcPr>
          <w:p w14:paraId="4734EB4A" w14:textId="77777777" w:rsidR="00B02885" w:rsidRPr="00561001" w:rsidRDefault="00F327B5" w:rsidP="00E060D8">
            <w:pPr>
              <w:spacing w:before="60" w:after="60"/>
              <w:jc w:val="center"/>
              <w:rPr>
                <w:rFonts w:ascii="Calibri" w:eastAsia="Times New Roman" w:hAnsi="Calibri" w:cs="Arial"/>
                <w:sz w:val="20"/>
                <w:szCs w:val="20"/>
              </w:rPr>
            </w:pP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k</m:t>
                  </m:r>
                </m:sub>
              </m:sSub>
              <m:r>
                <w:rPr>
                  <w:rFonts w:ascii="Cambria Math" w:hAnsi="Cambria Math"/>
                  <w:sz w:val="20"/>
                  <w:szCs w:val="20"/>
                </w:rPr>
                <m:t xml:space="preserve">= </m:t>
              </m:r>
              <m:nary>
                <m:naryPr>
                  <m:chr m:val="∑"/>
                  <m:limLoc m:val="undOvr"/>
                  <m:supHide m:val="1"/>
                  <m:ctrlPr>
                    <w:rPr>
                      <w:rFonts w:ascii="Cambria Math" w:hAnsi="Cambria Math"/>
                      <w:i/>
                      <w:sz w:val="20"/>
                      <w:szCs w:val="20"/>
                    </w:rPr>
                  </m:ctrlPr>
                </m:naryPr>
                <m:sub>
                  <m:r>
                    <w:rPr>
                      <w:rFonts w:ascii="Cambria Math" w:hAnsi="Cambria Math"/>
                      <w:sz w:val="20"/>
                      <w:szCs w:val="20"/>
                    </w:rPr>
                    <m:t>u</m:t>
                  </m:r>
                  <m:r>
                    <w:rPr>
                      <w:rFonts w:ascii="Cambria Math" w:hAnsi="Cambria Math"/>
                      <w:sz w:val="20"/>
                      <w:szCs w:val="20"/>
                    </w:rPr>
                    <m:t xml:space="preserve"> </m:t>
                  </m:r>
                  <m:r>
                    <w:rPr>
                      <w:rFonts w:ascii="Cambria Math" w:hAnsi="Cambria Math"/>
                      <w:sz w:val="20"/>
                      <w:szCs w:val="20"/>
                    </w:rPr>
                    <m:t>ϵ</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layer</m:t>
                      </m:r>
                    </m:sub>
                  </m:sSub>
                </m:sub>
                <m:sup/>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 xml:space="preserve"> </m:t>
                      </m:r>
                      <m:r>
                        <w:rPr>
                          <w:rFonts w:ascii="Cambria Math" w:hAnsi="Cambria Math"/>
                          <w:sz w:val="20"/>
                          <w:szCs w:val="20"/>
                        </w:rPr>
                        <m:t>outlet</m:t>
                      </m:r>
                      <m:r>
                        <w:rPr>
                          <w:rFonts w:ascii="Cambria Math" w:hAnsi="Cambria Math"/>
                          <w:sz w:val="20"/>
                          <w:szCs w:val="20"/>
                        </w:rPr>
                        <m:t xml:space="preserve"> </m:t>
                      </m:r>
                      <m:r>
                        <w:rPr>
                          <w:rFonts w:ascii="Cambria Math" w:hAnsi="Cambria Math"/>
                          <w:sz w:val="20"/>
                          <w:szCs w:val="20"/>
                        </w:rPr>
                        <m:t>u</m:t>
                      </m:r>
                    </m:sub>
                  </m:sSub>
                  <m:r>
                    <m:rPr>
                      <m:sty m:val="p"/>
                    </m:rPr>
                    <w:rPr>
                      <w:rFonts w:ascii="Cambria Math" w:eastAsiaTheme="minorEastAsia"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u</m:t>
                      </m:r>
                    </m:sub>
                  </m:sSub>
                </m:e>
              </m:nary>
            </m:oMath>
            <w:r w:rsidR="00B02885">
              <w:rPr>
                <w:rFonts w:ascii="Calibri" w:eastAsia="Times New Roman" w:hAnsi="Calibri" w:cs="Arial"/>
                <w:sz w:val="20"/>
                <w:szCs w:val="20"/>
              </w:rPr>
              <w:t xml:space="preserve"> </w:t>
            </w:r>
          </w:p>
        </w:tc>
        <w:tc>
          <w:tcPr>
            <w:tcW w:w="532" w:type="dxa"/>
          </w:tcPr>
          <w:p w14:paraId="543355CA" w14:textId="57F1E449" w:rsidR="00B02885" w:rsidRPr="00561001" w:rsidRDefault="00B02885" w:rsidP="00E060D8">
            <w:pPr>
              <w:spacing w:before="60" w:after="60"/>
              <w:rPr>
                <w:sz w:val="20"/>
                <w:szCs w:val="20"/>
              </w:rPr>
            </w:pPr>
            <w:r w:rsidRPr="00561001">
              <w:rPr>
                <w:rFonts w:eastAsiaTheme="minorEastAsia"/>
                <w:sz w:val="20"/>
                <w:szCs w:val="20"/>
              </w:rPr>
              <w:t>(</w:t>
            </w:r>
            <w:r w:rsidRPr="00561001">
              <w:rPr>
                <w:rFonts w:eastAsiaTheme="minorEastAsia"/>
              </w:rPr>
              <w:fldChar w:fldCharType="begin"/>
            </w:r>
            <w:r w:rsidRPr="00561001">
              <w:rPr>
                <w:rFonts w:eastAsiaTheme="minorEastAsia"/>
                <w:sz w:val="20"/>
                <w:szCs w:val="20"/>
              </w:rPr>
              <w:instrText xml:space="preserve"> SEQ Equation \* ARABIC </w:instrText>
            </w:r>
            <w:r w:rsidRPr="00561001">
              <w:rPr>
                <w:rFonts w:eastAsiaTheme="minorEastAsia"/>
              </w:rPr>
              <w:fldChar w:fldCharType="separate"/>
            </w:r>
            <w:r w:rsidR="00112912">
              <w:rPr>
                <w:rFonts w:eastAsiaTheme="minorEastAsia"/>
                <w:noProof/>
                <w:sz w:val="20"/>
                <w:szCs w:val="20"/>
              </w:rPr>
              <w:t>2</w:t>
            </w:r>
            <w:r w:rsidRPr="00561001">
              <w:rPr>
                <w:rFonts w:eastAsiaTheme="minorEastAsia"/>
              </w:rPr>
              <w:fldChar w:fldCharType="end"/>
            </w:r>
            <w:r w:rsidRPr="00561001">
              <w:rPr>
                <w:rFonts w:eastAsiaTheme="minorEastAsia"/>
                <w:sz w:val="20"/>
                <w:szCs w:val="20"/>
              </w:rPr>
              <w:t>)</w:t>
            </w:r>
          </w:p>
        </w:tc>
      </w:tr>
      <w:tr w:rsidR="00B02885" w:rsidRPr="00904A92" w14:paraId="47CFF89F" w14:textId="77777777" w:rsidTr="00E060D8">
        <w:trPr>
          <w:trHeight w:val="502"/>
        </w:trPr>
        <w:tc>
          <w:tcPr>
            <w:tcW w:w="6555" w:type="dxa"/>
          </w:tcPr>
          <w:p w14:paraId="50483B45" w14:textId="77777777" w:rsidR="00B02885" w:rsidRPr="00561001" w:rsidRDefault="00F327B5" w:rsidP="00E060D8">
            <w:pPr>
              <w:spacing w:before="60" w:after="60"/>
              <w:jc w:val="center"/>
              <w:rPr>
                <w:rFonts w:ascii="Calibri" w:eastAsia="Times New Roman" w:hAnsi="Calibri" w:cs="Arial"/>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u</m:t>
                  </m:r>
                  <m:r>
                    <w:rPr>
                      <w:rFonts w:ascii="Cambria Math" w:hAnsi="Cambria Math"/>
                      <w:sz w:val="20"/>
                      <w:szCs w:val="20"/>
                    </w:rPr>
                    <m:t xml:space="preserve"> </m:t>
                  </m:r>
                  <m:r>
                    <w:rPr>
                      <w:rFonts w:ascii="Cambria Math" w:hAnsi="Cambria Math"/>
                      <w:sz w:val="20"/>
                      <w:szCs w:val="20"/>
                    </w:rPr>
                    <m:t>ϵ</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layer</m:t>
                      </m:r>
                    </m:sub>
                  </m:sSub>
                </m:sub>
                <m:sup/>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u</m:t>
                      </m:r>
                    </m:sub>
                  </m:sSub>
                </m:e>
              </m:nary>
              <m:r>
                <w:rPr>
                  <w:rFonts w:ascii="Cambria Math" w:hAnsi="Cambria Math"/>
                  <w:sz w:val="20"/>
                  <w:szCs w:val="20"/>
                </w:rPr>
                <m:t>=1</m:t>
              </m:r>
            </m:oMath>
            <w:r w:rsidR="00B02885">
              <w:rPr>
                <w:rFonts w:ascii="Calibri" w:eastAsia="Times New Roman" w:hAnsi="Calibri" w:cs="Arial"/>
                <w:sz w:val="20"/>
                <w:szCs w:val="20"/>
              </w:rPr>
              <w:t xml:space="preserve"> </w:t>
            </w:r>
          </w:p>
        </w:tc>
        <w:tc>
          <w:tcPr>
            <w:tcW w:w="532" w:type="dxa"/>
          </w:tcPr>
          <w:p w14:paraId="7E16B2A2" w14:textId="1791A9B4" w:rsidR="00B02885" w:rsidRPr="00561001" w:rsidRDefault="00B02885" w:rsidP="00E060D8">
            <w:pPr>
              <w:spacing w:before="60" w:after="60"/>
              <w:rPr>
                <w:sz w:val="20"/>
                <w:szCs w:val="20"/>
              </w:rPr>
            </w:pPr>
            <w:r w:rsidRPr="00561001">
              <w:rPr>
                <w:sz w:val="20"/>
                <w:szCs w:val="20"/>
              </w:rPr>
              <w:t>(</w:t>
            </w:r>
            <w:r w:rsidRPr="00561001">
              <w:rPr>
                <w:rFonts w:eastAsiaTheme="minorEastAsia"/>
              </w:rPr>
              <w:fldChar w:fldCharType="begin"/>
            </w:r>
            <w:r w:rsidRPr="00561001">
              <w:rPr>
                <w:rFonts w:eastAsiaTheme="minorEastAsia"/>
                <w:sz w:val="20"/>
                <w:szCs w:val="20"/>
              </w:rPr>
              <w:instrText xml:space="preserve"> SEQ Equation \* ARABIC </w:instrText>
            </w:r>
            <w:r w:rsidRPr="00561001">
              <w:rPr>
                <w:rFonts w:eastAsiaTheme="minorEastAsia"/>
              </w:rPr>
              <w:fldChar w:fldCharType="separate"/>
            </w:r>
            <w:r w:rsidR="00112912">
              <w:rPr>
                <w:rFonts w:eastAsiaTheme="minorEastAsia"/>
                <w:noProof/>
                <w:sz w:val="20"/>
                <w:szCs w:val="20"/>
              </w:rPr>
              <w:t>3</w:t>
            </w:r>
            <w:r w:rsidRPr="00561001">
              <w:rPr>
                <w:rFonts w:eastAsiaTheme="minorEastAsia"/>
              </w:rPr>
              <w:fldChar w:fldCharType="end"/>
            </w:r>
            <w:r w:rsidRPr="00561001">
              <w:rPr>
                <w:rFonts w:eastAsiaTheme="minorEastAsia"/>
                <w:sz w:val="20"/>
                <w:szCs w:val="20"/>
              </w:rPr>
              <w:t>)</w:t>
            </w:r>
          </w:p>
        </w:tc>
      </w:tr>
    </w:tbl>
    <w:p w14:paraId="5C75D521" w14:textId="2E2DFD85" w:rsidR="00D12175" w:rsidRPr="00D12175" w:rsidRDefault="00D12175" w:rsidP="001E6BFC">
      <w:pPr>
        <w:jc w:val="both"/>
        <w:rPr>
          <w:lang w:val="en-US"/>
        </w:rPr>
      </w:pPr>
      <w:r w:rsidRPr="00AF080D">
        <w:rPr>
          <w:lang w:val="en-US"/>
        </w:rPr>
        <w:t xml:space="preserve">The superstructure and building block process units are modelled in </w:t>
      </w:r>
      <w:proofErr w:type="spellStart"/>
      <w:r w:rsidRPr="00AF080D">
        <w:rPr>
          <w:lang w:val="en-US"/>
        </w:rPr>
        <w:t>Pyomo</w:t>
      </w:r>
      <w:proofErr w:type="spellEnd"/>
      <w:r w:rsidRPr="00AF080D">
        <w:rPr>
          <w:lang w:val="en-US"/>
        </w:rPr>
        <w:t xml:space="preserve">, as an open-source Python-based platform for further integration into future studies and taking the benefit of </w:t>
      </w:r>
      <w:proofErr w:type="spellStart"/>
      <w:r w:rsidRPr="00AF080D">
        <w:rPr>
          <w:lang w:val="en-US"/>
        </w:rPr>
        <w:t>utili</w:t>
      </w:r>
      <w:r>
        <w:rPr>
          <w:lang w:val="en-US"/>
        </w:rPr>
        <w:t>s</w:t>
      </w:r>
      <w:r w:rsidRPr="00AF080D">
        <w:rPr>
          <w:lang w:val="en-US"/>
        </w:rPr>
        <w:t>ation</w:t>
      </w:r>
      <w:proofErr w:type="spellEnd"/>
      <w:r w:rsidRPr="00AF080D">
        <w:rPr>
          <w:lang w:val="en-US"/>
        </w:rPr>
        <w:t xml:space="preserve"> of other relevant packages and models from prior works. Also, the whole superstructure and unit models </w:t>
      </w:r>
      <w:r w:rsidR="00F67E0B">
        <w:rPr>
          <w:lang w:val="en-US"/>
        </w:rPr>
        <w:t>are formulated as a mixed-integer nonlinear program (</w:t>
      </w:r>
      <w:r w:rsidRPr="00AF080D">
        <w:rPr>
          <w:lang w:val="en-US"/>
        </w:rPr>
        <w:t>MINLP</w:t>
      </w:r>
      <w:r w:rsidR="00F67E0B">
        <w:rPr>
          <w:lang w:val="en-US"/>
        </w:rPr>
        <w:t>)</w:t>
      </w:r>
      <w:r w:rsidRPr="00AF080D">
        <w:rPr>
          <w:lang w:val="en-US"/>
        </w:rPr>
        <w:t xml:space="preserve">, with the objective function set to </w:t>
      </w:r>
      <w:proofErr w:type="spellStart"/>
      <w:r w:rsidRPr="00AF080D">
        <w:rPr>
          <w:lang w:val="en-US"/>
        </w:rPr>
        <w:t>minimi</w:t>
      </w:r>
      <w:r>
        <w:rPr>
          <w:lang w:val="en-US"/>
        </w:rPr>
        <w:t>s</w:t>
      </w:r>
      <w:r w:rsidRPr="00AF080D">
        <w:rPr>
          <w:lang w:val="en-US"/>
        </w:rPr>
        <w:t>e</w:t>
      </w:r>
      <w:proofErr w:type="spellEnd"/>
      <w:r w:rsidRPr="00AF080D">
        <w:rPr>
          <w:lang w:val="en-US"/>
        </w:rPr>
        <w:t xml:space="preserve"> the total annual cost of the project. The formulations follow a generic format. According to </w:t>
      </w:r>
      <w:r w:rsidR="00E753C0">
        <w:rPr>
          <w:lang w:val="en-US"/>
        </w:rPr>
        <w:fldChar w:fldCharType="begin"/>
      </w:r>
      <w:r w:rsidR="00E753C0">
        <w:rPr>
          <w:lang w:val="en-US"/>
        </w:rPr>
        <w:instrText xml:space="preserve"> REF _Ref151283215 \h </w:instrText>
      </w:r>
      <w:r w:rsidR="001E6BFC">
        <w:rPr>
          <w:lang w:val="en-US"/>
        </w:rPr>
        <w:instrText xml:space="preserve"> \* MERGEFORMAT </w:instrText>
      </w:r>
      <w:r w:rsidR="00E753C0">
        <w:rPr>
          <w:lang w:val="en-US"/>
        </w:rPr>
      </w:r>
      <w:r w:rsidR="00E753C0">
        <w:rPr>
          <w:lang w:val="en-US"/>
        </w:rPr>
        <w:fldChar w:fldCharType="separate"/>
      </w:r>
      <w:r w:rsidR="00112912" w:rsidRPr="00E060D8">
        <w:rPr>
          <w:szCs w:val="18"/>
        </w:rPr>
        <w:t xml:space="preserve">Figure </w:t>
      </w:r>
      <w:r w:rsidR="00112912">
        <w:rPr>
          <w:noProof/>
          <w:szCs w:val="18"/>
        </w:rPr>
        <w:t>1</w:t>
      </w:r>
      <w:r w:rsidR="00E753C0">
        <w:rPr>
          <w:lang w:val="en-US"/>
        </w:rPr>
        <w:fldChar w:fldCharType="end"/>
      </w:r>
      <w:r w:rsidR="00E753C0">
        <w:rPr>
          <w:lang w:val="en-US"/>
        </w:rPr>
        <w:t>(</w:t>
      </w:r>
      <w:r w:rsidRPr="00AF080D">
        <w:rPr>
          <w:lang w:val="en-US"/>
        </w:rPr>
        <w:t>a</w:t>
      </w:r>
      <w:r w:rsidR="00E753C0">
        <w:rPr>
          <w:lang w:val="en-US"/>
        </w:rPr>
        <w:t>)</w:t>
      </w:r>
      <w:r w:rsidRPr="00AF080D">
        <w:rPr>
          <w:lang w:val="en-US"/>
        </w:rPr>
        <w:t xml:space="preserve"> in the unit model,</w:t>
      </w:r>
      <w:r>
        <w:rPr>
          <w:lang w:val="en-US"/>
        </w:rPr>
        <w:t xml:space="preserve"> </w:t>
      </w:r>
      <w:proofErr w:type="spellStart"/>
      <w:proofErr w:type="gramStart"/>
      <w:r w:rsidRPr="001F7463">
        <w:rPr>
          <w:i/>
          <w:iCs/>
          <w:lang w:val="en-US"/>
        </w:rPr>
        <w:t>x</w:t>
      </w:r>
      <w:r w:rsidRPr="001F7463">
        <w:rPr>
          <w:i/>
          <w:iCs/>
          <w:vertAlign w:val="subscript"/>
          <w:lang w:val="en-US"/>
        </w:rPr>
        <w:t>k,c</w:t>
      </w:r>
      <w:proofErr w:type="spellEnd"/>
      <w:proofErr w:type="gramEnd"/>
      <w:r w:rsidRPr="00AF080D">
        <w:rPr>
          <w:lang w:val="en-US"/>
        </w:rPr>
        <w:t xml:space="preserve"> (</w:t>
      </w:r>
      <w:proofErr w:type="spellStart"/>
      <w:r w:rsidRPr="00AF080D">
        <w:rPr>
          <w:lang w:val="en-US"/>
        </w:rPr>
        <w:t>kmol</w:t>
      </w:r>
      <w:proofErr w:type="spellEnd"/>
      <w:r w:rsidRPr="00AF080D">
        <w:rPr>
          <w:lang w:val="en-US"/>
        </w:rPr>
        <w:t xml:space="preserve">/s) represent the molar flow of component </w:t>
      </w:r>
      <w:r w:rsidRPr="001F7463">
        <w:rPr>
          <w:i/>
          <w:iCs/>
          <w:lang w:val="en-US"/>
        </w:rPr>
        <w:t>c</w:t>
      </w:r>
      <w:r w:rsidRPr="00AF080D">
        <w:rPr>
          <w:lang w:val="en-US"/>
        </w:rPr>
        <w:t xml:space="preserve"> in stream </w:t>
      </w:r>
      <w:r w:rsidRPr="001F7463">
        <w:rPr>
          <w:i/>
          <w:iCs/>
          <w:lang w:val="en-US"/>
        </w:rPr>
        <w:t>k</w:t>
      </w:r>
      <w:r w:rsidRPr="00AF080D">
        <w:rPr>
          <w:lang w:val="en-US"/>
        </w:rPr>
        <w:t xml:space="preserve">. Each stream </w:t>
      </w:r>
      <w:r w:rsidRPr="001F7463">
        <w:rPr>
          <w:i/>
          <w:iCs/>
          <w:lang w:val="en-US"/>
        </w:rPr>
        <w:t>k</w:t>
      </w:r>
      <w:r w:rsidRPr="00AF080D">
        <w:rPr>
          <w:lang w:val="en-US"/>
        </w:rPr>
        <w:t xml:space="preserve"> encompasses lumped properties (</w:t>
      </w:r>
      <w:r w:rsidRPr="005F1199">
        <w:rPr>
          <w:i/>
          <w:iCs/>
          <w:lang w:val="en-US"/>
        </w:rPr>
        <w:t>Θ</w:t>
      </w:r>
      <w:r w:rsidRPr="00AF080D">
        <w:rPr>
          <w:lang w:val="en-US"/>
        </w:rPr>
        <w:t>) such as pressure (</w:t>
      </w:r>
      <w:r w:rsidRPr="005F1199">
        <w:rPr>
          <w:i/>
          <w:iCs/>
          <w:lang w:val="en-US"/>
        </w:rPr>
        <w:t>p</w:t>
      </w:r>
      <w:r w:rsidRPr="00AF080D">
        <w:rPr>
          <w:lang w:val="en-US"/>
        </w:rPr>
        <w:t>) and temperature (</w:t>
      </w:r>
      <w:r w:rsidRPr="005F1199">
        <w:rPr>
          <w:i/>
          <w:iCs/>
          <w:lang w:val="en-US"/>
        </w:rPr>
        <w:t>T</w:t>
      </w:r>
      <w:r w:rsidRPr="00AF080D">
        <w:rPr>
          <w:lang w:val="en-US"/>
        </w:rPr>
        <w:t xml:space="preserve">) as well as individual properties of each component </w:t>
      </w:r>
      <w:r w:rsidRPr="005F1199">
        <w:rPr>
          <w:i/>
          <w:iCs/>
          <w:lang w:val="en-US"/>
        </w:rPr>
        <w:t>c</w:t>
      </w:r>
      <w:r w:rsidRPr="00AF080D">
        <w:rPr>
          <w:lang w:val="en-US"/>
        </w:rPr>
        <w:t xml:space="preserve"> (such as specific heat, molecular weight, etc.). </w:t>
      </w:r>
      <w:r w:rsidR="003475CB" w:rsidRPr="00AF080D">
        <w:rPr>
          <w:lang w:val="en-US"/>
        </w:rPr>
        <w:t xml:space="preserve">In the superstructure representation </w:t>
      </w:r>
      <w:r w:rsidR="00642848">
        <w:rPr>
          <w:lang w:val="en-US"/>
        </w:rPr>
        <w:fldChar w:fldCharType="begin"/>
      </w:r>
      <w:r w:rsidR="00642848">
        <w:rPr>
          <w:lang w:val="en-US"/>
        </w:rPr>
        <w:instrText xml:space="preserve"> REF _Ref151283215 \h </w:instrText>
      </w:r>
      <w:r w:rsidR="001E6BFC">
        <w:rPr>
          <w:lang w:val="en-US"/>
        </w:rPr>
        <w:instrText xml:space="preserve"> \* MERGEFORMAT </w:instrText>
      </w:r>
      <w:r w:rsidR="00642848">
        <w:rPr>
          <w:lang w:val="en-US"/>
        </w:rPr>
      </w:r>
      <w:r w:rsidR="00642848">
        <w:rPr>
          <w:lang w:val="en-US"/>
        </w:rPr>
        <w:fldChar w:fldCharType="separate"/>
      </w:r>
      <w:r w:rsidR="00112912" w:rsidRPr="00E060D8">
        <w:rPr>
          <w:szCs w:val="18"/>
        </w:rPr>
        <w:t xml:space="preserve">Figure </w:t>
      </w:r>
      <w:r w:rsidR="00112912">
        <w:rPr>
          <w:noProof/>
          <w:szCs w:val="18"/>
        </w:rPr>
        <w:t>1</w:t>
      </w:r>
      <w:r w:rsidR="00642848">
        <w:rPr>
          <w:lang w:val="en-US"/>
        </w:rPr>
        <w:fldChar w:fldCharType="end"/>
      </w:r>
      <w:r w:rsidR="00642848">
        <w:rPr>
          <w:lang w:val="en-US"/>
        </w:rPr>
        <w:t>(</w:t>
      </w:r>
      <w:r w:rsidR="003475CB" w:rsidRPr="00AF080D">
        <w:rPr>
          <w:lang w:val="en-US"/>
        </w:rPr>
        <w:t>b</w:t>
      </w:r>
      <w:r w:rsidR="00642848">
        <w:rPr>
          <w:lang w:val="en-US"/>
        </w:rPr>
        <w:t>)</w:t>
      </w:r>
      <w:r w:rsidR="003475CB" w:rsidRPr="00AF080D">
        <w:rPr>
          <w:lang w:val="en-US"/>
        </w:rPr>
        <w:t xml:space="preserve">, where there are several operation units available in a process layer </w:t>
      </w:r>
      <w:proofErr w:type="spellStart"/>
      <w:r w:rsidR="003475CB" w:rsidRPr="00AF080D">
        <w:rPr>
          <w:lang w:val="en-US"/>
        </w:rPr>
        <w:t>U</w:t>
      </w:r>
      <w:r w:rsidR="003475CB" w:rsidRPr="005F1199">
        <w:rPr>
          <w:vertAlign w:val="subscript"/>
          <w:lang w:val="en-US"/>
        </w:rPr>
        <w:t>layer</w:t>
      </w:r>
      <w:proofErr w:type="spellEnd"/>
      <w:r w:rsidR="003475CB" w:rsidRPr="00AF080D">
        <w:rPr>
          <w:lang w:val="en-US"/>
        </w:rPr>
        <w:t xml:space="preserve"> (bounded between two nodes), the selection will be</w:t>
      </w:r>
      <w:r w:rsidR="00794B4B">
        <w:rPr>
          <w:lang w:val="en-US"/>
        </w:rPr>
        <w:t xml:space="preserve"> </w:t>
      </w:r>
      <w:r w:rsidR="00794B4B" w:rsidRPr="00AF080D">
        <w:rPr>
          <w:lang w:val="en-US"/>
        </w:rPr>
        <w:t xml:space="preserve">made by the means of binary variables </w:t>
      </w:r>
      <w:proofErr w:type="spellStart"/>
      <w:r w:rsidR="00794B4B" w:rsidRPr="00AF080D">
        <w:rPr>
          <w:lang w:val="en-US"/>
        </w:rPr>
        <w:t>y</w:t>
      </w:r>
      <w:r w:rsidR="00794B4B" w:rsidRPr="00984424">
        <w:rPr>
          <w:vertAlign w:val="subscript"/>
          <w:lang w:val="en-US"/>
        </w:rPr>
        <w:t>u</w:t>
      </w:r>
      <w:proofErr w:type="spellEnd"/>
      <w:r w:rsidR="00794B4B" w:rsidRPr="00AF080D">
        <w:rPr>
          <w:lang w:val="en-US"/>
        </w:rPr>
        <w:t xml:space="preserve"> which ensure that the inlet and outlet streams of the chosen unit match the inlet and outlet streams of the adjacent nodes.</w:t>
      </w:r>
    </w:p>
    <w:p w14:paraId="0BC123B9" w14:textId="182F6D59" w:rsidR="009415C3" w:rsidRDefault="00D12175" w:rsidP="00D12175">
      <w:pPr>
        <w:jc w:val="both"/>
      </w:pPr>
      <w:r w:rsidRPr="00904A92">
        <w:rPr>
          <w:noProof/>
        </w:rPr>
        <w:lastRenderedPageBreak/>
        <w:drawing>
          <wp:anchor distT="0" distB="0" distL="114300" distR="114300" simplePos="0" relativeHeight="251658242" behindDoc="0" locked="0" layoutInCell="1" allowOverlap="0" wp14:anchorId="19C25F28" wp14:editId="7B26132E">
            <wp:simplePos x="0" y="0"/>
            <wp:positionH relativeFrom="margin">
              <wp:align>center</wp:align>
            </wp:positionH>
            <wp:positionV relativeFrom="margin">
              <wp:align>top</wp:align>
            </wp:positionV>
            <wp:extent cx="2674620" cy="1363980"/>
            <wp:effectExtent l="0" t="0" r="0" b="7620"/>
            <wp:wrapTopAndBottom/>
            <wp:docPr id="451410804" name="Picture 45141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10804" name="Picture 4514108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4620" cy="1363980"/>
                    </a:xfrm>
                    <a:prstGeom prst="rect">
                      <a:avLst/>
                    </a:prstGeom>
                  </pic:spPr>
                </pic:pic>
              </a:graphicData>
            </a:graphic>
            <wp14:sizeRelH relativeFrom="margin">
              <wp14:pctWidth>0</wp14:pctWidth>
            </wp14:sizeRelH>
            <wp14:sizeRelV relativeFrom="margin">
              <wp14:pctHeight>0</wp14:pctHeight>
            </wp14:sizeRelV>
          </wp:anchor>
        </w:drawing>
      </w:r>
      <w:r w:rsidR="00F642FD">
        <w:rPr>
          <w:noProof/>
        </w:rPr>
        <mc:AlternateContent>
          <mc:Choice Requires="wps">
            <w:drawing>
              <wp:anchor distT="0" distB="0" distL="114300" distR="114300" simplePos="0" relativeHeight="251658241" behindDoc="0" locked="1" layoutInCell="1" allowOverlap="0" wp14:anchorId="0A172A78" wp14:editId="47067DB1">
                <wp:simplePos x="0" y="0"/>
                <wp:positionH relativeFrom="margin">
                  <wp:align>left</wp:align>
                </wp:positionH>
                <wp:positionV relativeFrom="page">
                  <wp:posOffset>2895600</wp:posOffset>
                </wp:positionV>
                <wp:extent cx="4524375" cy="450215"/>
                <wp:effectExtent l="0" t="0" r="9525" b="6985"/>
                <wp:wrapTopAndBottom/>
                <wp:docPr id="536744673" name="Text Box 536744673"/>
                <wp:cNvGraphicFramePr/>
                <a:graphic xmlns:a="http://schemas.openxmlformats.org/drawingml/2006/main">
                  <a:graphicData uri="http://schemas.microsoft.com/office/word/2010/wordprocessingShape">
                    <wps:wsp>
                      <wps:cNvSpPr txBox="1"/>
                      <wps:spPr>
                        <a:xfrm>
                          <a:off x="0" y="0"/>
                          <a:ext cx="4524375" cy="450376"/>
                        </a:xfrm>
                        <a:prstGeom prst="rect">
                          <a:avLst/>
                        </a:prstGeom>
                        <a:solidFill>
                          <a:prstClr val="white"/>
                        </a:solidFill>
                        <a:ln>
                          <a:noFill/>
                        </a:ln>
                      </wps:spPr>
                      <wps:txbx>
                        <w:txbxContent>
                          <w:p w14:paraId="0AEB9EBF" w14:textId="1CB67410" w:rsidR="00DC1E6A" w:rsidRPr="00E060D8" w:rsidRDefault="00DC1E6A" w:rsidP="00E060D8">
                            <w:pPr>
                              <w:pStyle w:val="Caption"/>
                              <w:jc w:val="both"/>
                              <w:rPr>
                                <w:szCs w:val="18"/>
                              </w:rPr>
                            </w:pPr>
                            <w:bookmarkStart w:id="0" w:name="_Ref151283215"/>
                            <w:r w:rsidRPr="00E060D8">
                              <w:rPr>
                                <w:szCs w:val="18"/>
                              </w:rPr>
                              <w:t xml:space="preserve">Figure </w:t>
                            </w:r>
                            <w:r w:rsidRPr="00E060D8">
                              <w:rPr>
                                <w:szCs w:val="18"/>
                              </w:rPr>
                              <w:fldChar w:fldCharType="begin"/>
                            </w:r>
                            <w:r w:rsidRPr="00E060D8">
                              <w:rPr>
                                <w:szCs w:val="18"/>
                              </w:rPr>
                              <w:instrText xml:space="preserve"> SEQ Figure \* ARABIC </w:instrText>
                            </w:r>
                            <w:r w:rsidRPr="00E060D8">
                              <w:rPr>
                                <w:szCs w:val="18"/>
                              </w:rPr>
                              <w:fldChar w:fldCharType="separate"/>
                            </w:r>
                            <w:r w:rsidR="00112912">
                              <w:rPr>
                                <w:noProof/>
                                <w:szCs w:val="18"/>
                              </w:rPr>
                              <w:t>1</w:t>
                            </w:r>
                            <w:r w:rsidRPr="00E060D8">
                              <w:rPr>
                                <w:szCs w:val="18"/>
                              </w:rPr>
                              <w:fldChar w:fldCharType="end"/>
                            </w:r>
                            <w:bookmarkEnd w:id="0"/>
                            <w:r w:rsidRPr="00E060D8">
                              <w:rPr>
                                <w:szCs w:val="18"/>
                              </w:rPr>
                              <w:t xml:space="preserve">: </w:t>
                            </w:r>
                            <w:r w:rsidR="00AA79C8" w:rsidRPr="00E060D8">
                              <w:rPr>
                                <w:szCs w:val="18"/>
                              </w:rPr>
                              <w:t>(a) Schematic of a process unit model consisting of inlet</w:t>
                            </w:r>
                            <w:r w:rsidR="0048786C" w:rsidRPr="00E060D8">
                              <w:rPr>
                                <w:szCs w:val="18"/>
                              </w:rPr>
                              <w:t>-outlet material</w:t>
                            </w:r>
                            <w:r w:rsidR="00AA79C8" w:rsidRPr="00E060D8">
                              <w:rPr>
                                <w:szCs w:val="18"/>
                              </w:rPr>
                              <w:t xml:space="preserve"> stream</w:t>
                            </w:r>
                            <w:r w:rsidR="0048786C" w:rsidRPr="00E060D8">
                              <w:rPr>
                                <w:szCs w:val="18"/>
                              </w:rPr>
                              <w:t xml:space="preserve"> </w:t>
                            </w:r>
                            <w:r w:rsidR="006A6913" w:rsidRPr="00E060D8">
                              <w:rPr>
                                <w:szCs w:val="18"/>
                              </w:rPr>
                              <w:t>with</w:t>
                            </w:r>
                            <w:r w:rsidR="00AA79C8" w:rsidRPr="00E060D8">
                              <w:rPr>
                                <w:szCs w:val="18"/>
                              </w:rPr>
                              <w:t xml:space="preserve"> heat</w:t>
                            </w:r>
                            <w:r w:rsidR="0048786C" w:rsidRPr="00E060D8">
                              <w:rPr>
                                <w:szCs w:val="18"/>
                              </w:rPr>
                              <w:t>-</w:t>
                            </w:r>
                            <w:r w:rsidR="00AA79C8" w:rsidRPr="00E060D8">
                              <w:rPr>
                                <w:szCs w:val="18"/>
                              </w:rPr>
                              <w:t>power demand/output. (b) Schematic superstructure representation of units in a process laye</w:t>
                            </w:r>
                            <w:r w:rsidR="005B2652" w:rsidRPr="00E060D8">
                              <w:rPr>
                                <w:szCs w:val="18"/>
                              </w:rPr>
                              <w:t>r</w:t>
                            </w:r>
                            <w:r w:rsidR="00AA79C8" w:rsidRPr="00E060D8">
                              <w:rPr>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72A78" id="_x0000_t202" coordsize="21600,21600" o:spt="202" path="m,l,21600r21600,l21600,xe">
                <v:stroke joinstyle="miter"/>
                <v:path gradientshapeok="t" o:connecttype="rect"/>
              </v:shapetype>
              <v:shape id="Text Box 536744673" o:spid="_x0000_s1026" type="#_x0000_t202" style="position:absolute;left:0;text-align:left;margin-left:0;margin-top:228pt;width:356.25pt;height:35.4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" o:allowoverlap="f" stroked="f">
                <v:textbox inset="0,0,0,0">
                  <w:txbxContent>
                    <w:p w14:paraId="0AEB9EBF" w14:textId="1CB67410" w:rsidR="00DC1E6A" w:rsidRPr="00E060D8" w:rsidRDefault="00DC1E6A" w:rsidP="00E060D8">
                      <w:pPr>
                        <w:pStyle w:val="Caption"/>
                        <w:jc w:val="both"/>
                        <w:rPr>
                          <w:szCs w:val="18"/>
                        </w:rPr>
                      </w:pPr>
                      <w:bookmarkStart w:id="1" w:name="_Ref151283215"/>
                      <w:r w:rsidRPr="00E060D8">
                        <w:rPr>
                          <w:szCs w:val="18"/>
                        </w:rPr>
                        <w:t xml:space="preserve">Figure </w:t>
                      </w:r>
                      <w:r w:rsidRPr="00E060D8">
                        <w:rPr>
                          <w:szCs w:val="18"/>
                        </w:rPr>
                        <w:fldChar w:fldCharType="begin"/>
                      </w:r>
                      <w:r w:rsidRPr="00E060D8">
                        <w:rPr>
                          <w:szCs w:val="18"/>
                        </w:rPr>
                        <w:instrText xml:space="preserve"> SEQ Figure \* ARABIC </w:instrText>
                      </w:r>
                      <w:r w:rsidRPr="00E060D8">
                        <w:rPr>
                          <w:szCs w:val="18"/>
                        </w:rPr>
                        <w:fldChar w:fldCharType="separate"/>
                      </w:r>
                      <w:r w:rsidR="00112912">
                        <w:rPr>
                          <w:noProof/>
                          <w:szCs w:val="18"/>
                        </w:rPr>
                        <w:t>1</w:t>
                      </w:r>
                      <w:r w:rsidRPr="00E060D8">
                        <w:rPr>
                          <w:szCs w:val="18"/>
                        </w:rPr>
                        <w:fldChar w:fldCharType="end"/>
                      </w:r>
                      <w:bookmarkEnd w:id="1"/>
                      <w:r w:rsidRPr="00E060D8">
                        <w:rPr>
                          <w:szCs w:val="18"/>
                        </w:rPr>
                        <w:t xml:space="preserve">: </w:t>
                      </w:r>
                      <w:r w:rsidR="00AA79C8" w:rsidRPr="00E060D8">
                        <w:rPr>
                          <w:szCs w:val="18"/>
                        </w:rPr>
                        <w:t>(a) Schematic of a process unit model consisting of inlet</w:t>
                      </w:r>
                      <w:r w:rsidR="0048786C" w:rsidRPr="00E060D8">
                        <w:rPr>
                          <w:szCs w:val="18"/>
                        </w:rPr>
                        <w:t>-outlet material</w:t>
                      </w:r>
                      <w:r w:rsidR="00AA79C8" w:rsidRPr="00E060D8">
                        <w:rPr>
                          <w:szCs w:val="18"/>
                        </w:rPr>
                        <w:t xml:space="preserve"> stream</w:t>
                      </w:r>
                      <w:r w:rsidR="0048786C" w:rsidRPr="00E060D8">
                        <w:rPr>
                          <w:szCs w:val="18"/>
                        </w:rPr>
                        <w:t xml:space="preserve"> </w:t>
                      </w:r>
                      <w:r w:rsidR="006A6913" w:rsidRPr="00E060D8">
                        <w:rPr>
                          <w:szCs w:val="18"/>
                        </w:rPr>
                        <w:t>with</w:t>
                      </w:r>
                      <w:r w:rsidR="00AA79C8" w:rsidRPr="00E060D8">
                        <w:rPr>
                          <w:szCs w:val="18"/>
                        </w:rPr>
                        <w:t xml:space="preserve"> heat</w:t>
                      </w:r>
                      <w:r w:rsidR="0048786C" w:rsidRPr="00E060D8">
                        <w:rPr>
                          <w:szCs w:val="18"/>
                        </w:rPr>
                        <w:t>-</w:t>
                      </w:r>
                      <w:r w:rsidR="00AA79C8" w:rsidRPr="00E060D8">
                        <w:rPr>
                          <w:szCs w:val="18"/>
                        </w:rPr>
                        <w:t>power demand/output. (b) Schematic superstructure representation of units in a process laye</w:t>
                      </w:r>
                      <w:r w:rsidR="005B2652" w:rsidRPr="00E060D8">
                        <w:rPr>
                          <w:szCs w:val="18"/>
                        </w:rPr>
                        <w:t>r</w:t>
                      </w:r>
                      <w:r w:rsidR="00AA79C8" w:rsidRPr="00E060D8">
                        <w:rPr>
                          <w:szCs w:val="18"/>
                        </w:rPr>
                        <w:t>.</w:t>
                      </w:r>
                    </w:p>
                  </w:txbxContent>
                </v:textbox>
                <w10:wrap type="topAndBottom" anchorx="margin" anchory="page"/>
                <w10:anchorlock/>
              </v:shape>
            </w:pict>
          </mc:Fallback>
        </mc:AlternateContent>
      </w:r>
      <w:r w:rsidR="009415C3">
        <w:t xml:space="preserve">The </w:t>
      </w:r>
      <w:r w:rsidR="009B6BA8">
        <w:t>link between the inlet and outlet material and energy streams</w:t>
      </w:r>
      <w:r w:rsidR="00ED1F4D">
        <w:t xml:space="preserve"> of a unit</w:t>
      </w:r>
      <w:r w:rsidR="009B6BA8">
        <w:t xml:space="preserve"> </w:t>
      </w:r>
      <w:r w:rsidR="002F6912">
        <w:t xml:space="preserve">is achieved through the mathematical model of the </w:t>
      </w:r>
      <w:r w:rsidR="00A03318">
        <w:t xml:space="preserve">unit which performs the mass and energy balance related to that specific unit and </w:t>
      </w:r>
      <w:r w:rsidR="009149D8">
        <w:t>also calculates the operational and capita</w:t>
      </w:r>
      <w:r w:rsidR="00D76F6D">
        <w:t>l</w:t>
      </w:r>
      <w:r w:rsidR="009149D8">
        <w:t xml:space="preserve"> cost pertained to the mass and energy flow inside the system.</w:t>
      </w:r>
    </w:p>
    <w:p w14:paraId="127E2117" w14:textId="3BFB9365" w:rsidR="00BE25D2" w:rsidRPr="00904A92" w:rsidRDefault="00FC04C6" w:rsidP="004E7D5A">
      <w:pPr>
        <w:pStyle w:val="Els-body-text"/>
        <w:rPr>
          <w:rFonts w:eastAsiaTheme="minorEastAsia"/>
        </w:rPr>
      </w:pPr>
      <w:r w:rsidRPr="00904A92">
        <w:t xml:space="preserve">To ensure a </w:t>
      </w:r>
      <w:proofErr w:type="spellStart"/>
      <w:r w:rsidRPr="00904A92">
        <w:t>standardi</w:t>
      </w:r>
      <w:r>
        <w:t>s</w:t>
      </w:r>
      <w:r w:rsidRPr="00904A92">
        <w:t>ed</w:t>
      </w:r>
      <w:proofErr w:type="spellEnd"/>
      <w:r w:rsidRPr="00904A92">
        <w:t xml:space="preserve"> approach to equipment cost evaluation, a general costing procedure for equipment has been adopted, </w:t>
      </w:r>
      <w:r w:rsidR="00AC7D64">
        <w:t>based on proced</w:t>
      </w:r>
      <w:r w:rsidR="004E7D5A">
        <w:t>ure proposed by</w:t>
      </w:r>
      <w:r w:rsidRPr="00904A92">
        <w:t xml:space="preserve"> </w:t>
      </w:r>
      <w:sdt>
        <w:sdtPr>
          <w:rPr>
            <w:color w:val="000000"/>
          </w:rPr>
          <w:tag w:val="MENDELEY_CITATION_v3_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"/>
          <w:id w:val="-399141584"/>
          <w:placeholder>
            <w:docPart w:val="5B55147C051644768CB12A6BDD8D779F"/>
          </w:placeholder>
        </w:sdtPr>
        <w:sdtEndPr/>
        <w:sdtContent>
          <w:r w:rsidR="0032266F">
            <w:t>Towler &amp; Sinnott</w:t>
          </w:r>
          <w:r w:rsidR="00F67E0B">
            <w:t xml:space="preserve"> (</w:t>
          </w:r>
          <w:r w:rsidR="0032266F">
            <w:t>2021</w:t>
          </w:r>
          <w:r w:rsidR="00683160">
            <w:t>)</w:t>
          </w:r>
        </w:sdtContent>
      </w:sdt>
      <w:r w:rsidR="004E7D5A">
        <w:t>.</w:t>
      </w:r>
      <w:r w:rsidR="00E844F6">
        <w:t xml:space="preserve"> T</w:t>
      </w:r>
      <w:r w:rsidR="001E1BFD">
        <w:t xml:space="preserve">he technology (or equipment) capacity (or size) </w:t>
      </w:r>
      <w:r w:rsidR="0025751E">
        <w:t xml:space="preserve">is determined by the model and the pertinent </w:t>
      </w:r>
      <w:r w:rsidR="00E844F6">
        <w:t>costing parameters</w:t>
      </w:r>
      <w:r w:rsidR="001E1BFD">
        <w:t xml:space="preserve"> </w:t>
      </w:r>
      <w:r w:rsidR="00EE7DA6">
        <w:t xml:space="preserve">are </w:t>
      </w:r>
      <w:r w:rsidR="006A1D2A">
        <w:t xml:space="preserve">derived </w:t>
      </w:r>
      <w:r w:rsidR="007B3398">
        <w:t xml:space="preserve">from the </w:t>
      </w:r>
      <w:r w:rsidR="00D47497">
        <w:t xml:space="preserve">relevant tables in the </w:t>
      </w:r>
      <w:r w:rsidR="004B7D38">
        <w:t>reference</w:t>
      </w:r>
      <w:r w:rsidR="001E1BFD">
        <w:t>.</w:t>
      </w:r>
      <w:r w:rsidR="004B7D38">
        <w:t xml:space="preserve"> </w:t>
      </w:r>
      <w:r w:rsidR="00722AB6">
        <w:t xml:space="preserve">The minimum and maximum equipment size in the </w:t>
      </w:r>
      <w:r w:rsidR="00BE159A">
        <w:t>cost estimation table</w:t>
      </w:r>
      <w:r w:rsidR="001E1BFD">
        <w:t xml:space="preserve"> serves as a constraint during the optimisation process. </w:t>
      </w:r>
      <w:r w:rsidR="001E1BFD" w:rsidRPr="004B4415">
        <w:t>This constraint balances the choice between scaling up the size and increasing the number of equipment units</w:t>
      </w:r>
      <w:r w:rsidR="001E1BFD">
        <w:t>.</w:t>
      </w:r>
    </w:p>
    <w:p w14:paraId="144DE6A1" w14:textId="6B9CC396" w:rsidR="008D2649" w:rsidRPr="00A94774" w:rsidRDefault="00D40863" w:rsidP="007807DB">
      <w:pPr>
        <w:pStyle w:val="Els-1storder-head"/>
        <w:keepNext w:val="0"/>
        <w:suppressLineNumbers/>
        <w:suppressAutoHyphens w:val="0"/>
        <w:spacing w:after="120"/>
        <w:rPr>
          <w:lang w:val="en-GB"/>
        </w:rPr>
      </w:pPr>
      <w:r>
        <w:rPr>
          <w:lang w:val="en-GB"/>
        </w:rPr>
        <w:t>Ca</w:t>
      </w:r>
      <w:r w:rsidR="008C5AB4">
        <w:rPr>
          <w:lang w:val="en-GB"/>
        </w:rPr>
        <w:t>se study</w:t>
      </w:r>
    </w:p>
    <w:p w14:paraId="08E04229" w14:textId="1BC098CE" w:rsidR="004541B1" w:rsidRDefault="008F48BB" w:rsidP="007807DB">
      <w:pPr>
        <w:pStyle w:val="Els-body-text"/>
        <w:suppressLineNumbers/>
        <w:rPr>
          <w:color w:val="000000"/>
        </w:rPr>
      </w:pPr>
      <w:r>
        <w:t>According</w:t>
      </w:r>
      <w:r w:rsidR="00EB5717">
        <w:t xml:space="preserve"> </w:t>
      </w:r>
      <w:r w:rsidR="00BD354A">
        <w:fldChar w:fldCharType="begin"/>
      </w:r>
      <w:r w:rsidR="00BD354A">
        <w:instrText xml:space="preserve"> REF _Ref151728782 \h </w:instrText>
      </w:r>
      <w:r w:rsidR="00BD354A">
        <w:fldChar w:fldCharType="separate"/>
      </w:r>
      <w:r w:rsidR="00112912" w:rsidRPr="00D513D2">
        <w:rPr>
          <w:szCs w:val="18"/>
        </w:rPr>
        <w:t xml:space="preserve">Figure </w:t>
      </w:r>
      <w:r w:rsidR="00112912">
        <w:rPr>
          <w:noProof/>
          <w:szCs w:val="18"/>
        </w:rPr>
        <w:t>2</w:t>
      </w:r>
      <w:r w:rsidR="00BD354A">
        <w:fldChar w:fldCharType="end"/>
      </w:r>
      <w:r w:rsidR="002734B9">
        <w:t>, t</w:t>
      </w:r>
      <w:r w:rsidR="00AD2446">
        <w:t xml:space="preserve">he </w:t>
      </w:r>
      <w:r w:rsidR="00A57BB7">
        <w:t xml:space="preserve">case study includes a </w:t>
      </w:r>
      <w:r w:rsidR="00AD2446">
        <w:t xml:space="preserve">superstructure </w:t>
      </w:r>
      <w:r w:rsidR="00545385">
        <w:t xml:space="preserve">encompassing </w:t>
      </w:r>
      <w:r w:rsidR="00435C91">
        <w:t>the DFM and TVSA as two main CO</w:t>
      </w:r>
      <w:r w:rsidR="00435C91" w:rsidRPr="005E340A">
        <w:rPr>
          <w:vertAlign w:val="subscript"/>
        </w:rPr>
        <w:t>2</w:t>
      </w:r>
      <w:r w:rsidR="00435C91">
        <w:t xml:space="preserve"> capturing and </w:t>
      </w:r>
      <w:proofErr w:type="spellStart"/>
      <w:r w:rsidR="00435C91">
        <w:t>utili</w:t>
      </w:r>
      <w:r w:rsidR="002657F8">
        <w:t>s</w:t>
      </w:r>
      <w:r w:rsidR="00435C91">
        <w:t>ation</w:t>
      </w:r>
      <w:proofErr w:type="spellEnd"/>
      <w:r w:rsidR="00435C91">
        <w:t xml:space="preserve"> route</w:t>
      </w:r>
      <w:r w:rsidR="00724302">
        <w:t xml:space="preserve"> </w:t>
      </w:r>
      <w:r w:rsidR="00724302" w:rsidRPr="00FD5423">
        <w:t>along</w:t>
      </w:r>
      <w:r w:rsidR="00724302">
        <w:t xml:space="preserve"> with </w:t>
      </w:r>
      <w:r w:rsidR="00412762">
        <w:t xml:space="preserve">the </w:t>
      </w:r>
      <w:r w:rsidR="00724302">
        <w:t xml:space="preserve">integration of various </w:t>
      </w:r>
      <w:r w:rsidR="006060AD">
        <w:t>fan</w:t>
      </w:r>
      <w:r w:rsidR="00981C91">
        <w:t>s</w:t>
      </w:r>
      <w:r w:rsidR="005B3B44">
        <w:t xml:space="preserve">, hydrogen production and </w:t>
      </w:r>
      <w:r w:rsidR="008F7A5F">
        <w:t>steam generation</w:t>
      </w:r>
      <w:r w:rsidR="00636B26">
        <w:t xml:space="preserve"> technologies.</w:t>
      </w:r>
      <w:r w:rsidR="00943088">
        <w:t xml:space="preserve"> </w:t>
      </w:r>
      <w:r w:rsidR="00943088" w:rsidRPr="00943088">
        <w:t>Centrifugal Backward Curved Fan (CBCF), Centrifugal Straight Radial Fan (CBSRF) and Vane Axial Fan (VAF)</w:t>
      </w:r>
      <w:r w:rsidR="002E5E09">
        <w:t xml:space="preserve"> </w:t>
      </w:r>
      <w:r w:rsidR="00AD68E1">
        <w:t xml:space="preserve">are the options </w:t>
      </w:r>
      <w:r w:rsidR="00102D9A">
        <w:t>available for the air-intake technologies</w:t>
      </w:r>
      <w:r w:rsidR="00A255AB">
        <w:t>.</w:t>
      </w:r>
      <w:r w:rsidR="00CB0ED8">
        <w:t xml:space="preserve"> </w:t>
      </w:r>
      <w:r w:rsidR="00981C91">
        <w:t>A</w:t>
      </w:r>
      <w:r w:rsidR="00EB6700" w:rsidRPr="00EB6700">
        <w:t xml:space="preserve">lkaline (AEL), proton exchange membrane (PEMEL), and high-temperature solid oxide (SOEL) </w:t>
      </w:r>
      <w:proofErr w:type="spellStart"/>
      <w:r w:rsidR="00EB6700" w:rsidRPr="00EB6700">
        <w:t>electroly</w:t>
      </w:r>
      <w:r w:rsidR="008F3D3B">
        <w:t>z</w:t>
      </w:r>
      <w:r w:rsidR="00EB6700" w:rsidRPr="00EB6700">
        <w:t>ers</w:t>
      </w:r>
      <w:proofErr w:type="spellEnd"/>
      <w:r w:rsidR="005D5C96">
        <w:t xml:space="preserve"> are the </w:t>
      </w:r>
      <w:r w:rsidR="008F3D3B">
        <w:t>H</w:t>
      </w:r>
      <w:r w:rsidR="008F3D3B">
        <w:rPr>
          <w:vertAlign w:val="subscript"/>
        </w:rPr>
        <w:t>2</w:t>
      </w:r>
      <w:r w:rsidR="00885215">
        <w:rPr>
          <w:vertAlign w:val="subscript"/>
        </w:rPr>
        <w:t xml:space="preserve"> </w:t>
      </w:r>
      <w:r w:rsidR="006418A8">
        <w:t xml:space="preserve">production </w:t>
      </w:r>
      <w:r w:rsidR="00AD7740">
        <w:t xml:space="preserve">options. </w:t>
      </w:r>
      <w:r w:rsidR="005517D9" w:rsidRPr="005517D9">
        <w:t>Depending on the outlet H</w:t>
      </w:r>
      <w:r w:rsidR="005517D9" w:rsidRPr="007663F2">
        <w:rPr>
          <w:vertAlign w:val="subscript"/>
        </w:rPr>
        <w:t>2</w:t>
      </w:r>
      <w:r w:rsidR="005517D9" w:rsidRPr="005517D9">
        <w:t xml:space="preserve"> temperature and the hydrogenation step requirements in either the Sabatier reactor or the DFM reaction stage, a furnace may be required.</w:t>
      </w:r>
      <w:r w:rsidR="00052529">
        <w:t xml:space="preserve"> There are also options available to </w:t>
      </w:r>
      <w:r w:rsidR="005A5BF2">
        <w:t>select</w:t>
      </w:r>
      <w:r w:rsidR="00052529">
        <w:t xml:space="preserve"> the desired level of steam generation (low, medium, high</w:t>
      </w:r>
      <w:r w:rsidR="00064177">
        <w:t xml:space="preserve"> pressure saturated steam)</w:t>
      </w:r>
      <w:r w:rsidR="005A5BF2">
        <w:t>.</w:t>
      </w:r>
      <w:r w:rsidR="003C2254">
        <w:t xml:space="preserve"> The TVSA route includes four differen</w:t>
      </w:r>
      <w:r w:rsidR="00747F36">
        <w:t>t types of solid sorbents</w:t>
      </w:r>
      <w:r w:rsidR="002548A4">
        <w:t xml:space="preserve"> named as </w:t>
      </w:r>
      <w:r w:rsidR="00767AEB" w:rsidRPr="00767AEB">
        <w:t>APDES-NFC</w:t>
      </w:r>
      <w:r w:rsidR="00767AEB">
        <w:t xml:space="preserve">, </w:t>
      </w:r>
      <w:r w:rsidR="00FD214A" w:rsidRPr="00FD214A">
        <w:t>Tri-PE-MCM 41</w:t>
      </w:r>
      <w:r w:rsidR="00FD214A">
        <w:t xml:space="preserve">, </w:t>
      </w:r>
      <w:r w:rsidR="00786AB0" w:rsidRPr="00786AB0">
        <w:t>MIL-101(Cr) PEI-800</w:t>
      </w:r>
      <w:r w:rsidR="00693D30">
        <w:t xml:space="preserve"> and </w:t>
      </w:r>
      <w:proofErr w:type="spellStart"/>
      <w:r w:rsidR="00693D30" w:rsidRPr="00693D30">
        <w:t>Lewatit</w:t>
      </w:r>
      <w:proofErr w:type="spellEnd"/>
      <w:r w:rsidR="00693D30" w:rsidRPr="00693D30">
        <w:t xml:space="preserve"> VP OC 106</w:t>
      </w:r>
      <w:r w:rsidR="00FC72D3">
        <w:t xml:space="preserve"> </w:t>
      </w:r>
      <w:r w:rsidR="00FF7B70">
        <w:t xml:space="preserve">with isotherm and </w:t>
      </w:r>
      <w:r w:rsidR="00035D70">
        <w:t xml:space="preserve">physical parameters reported by </w:t>
      </w:r>
      <w:sdt>
        <w:sdtPr>
          <w:rPr>
            <w:color w:val="000000"/>
          </w:rPr>
          <w:tag w:val="MENDELEY_CITATION_v3_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"/>
          <w:id w:val="38489553"/>
          <w:placeholder>
            <w:docPart w:val="DefaultPlaceholder_-1854013440"/>
          </w:placeholder>
        </w:sdtPr>
        <w:sdtEndPr/>
        <w:sdtContent>
          <w:r w:rsidR="0032266F" w:rsidRPr="0032266F">
            <w:rPr>
              <w:color w:val="000000"/>
            </w:rPr>
            <w:t xml:space="preserve">Sabatino et al. </w:t>
          </w:r>
          <w:r w:rsidR="009F0C09">
            <w:rPr>
              <w:color w:val="000000"/>
            </w:rPr>
            <w:t>(</w:t>
          </w:r>
          <w:r w:rsidR="0032266F" w:rsidRPr="0032266F">
            <w:rPr>
              <w:color w:val="000000"/>
            </w:rPr>
            <w:t>2021</w:t>
          </w:r>
          <w:r w:rsidR="000F5AD8">
            <w:rPr>
              <w:color w:val="000000"/>
            </w:rPr>
            <w:t>)</w:t>
          </w:r>
        </w:sdtContent>
      </w:sdt>
      <w:r w:rsidR="000A67CE">
        <w:rPr>
          <w:color w:val="000000"/>
        </w:rPr>
        <w:t>.</w:t>
      </w:r>
    </w:p>
    <w:p w14:paraId="7F7085C6" w14:textId="230FA0CE" w:rsidR="003E73F9" w:rsidRPr="00471BCC" w:rsidRDefault="00A57BB7" w:rsidP="00AE3DE1">
      <w:pPr>
        <w:pStyle w:val="Els-body-text"/>
        <w:suppressLineNumbers/>
      </w:pPr>
      <w:r>
        <w:rPr>
          <w:lang w:val="en-GB"/>
        </w:rPr>
        <w:t>A</w:t>
      </w:r>
      <w:r w:rsidR="004541B1" w:rsidRPr="00AB5BCA">
        <w:rPr>
          <w:lang w:val="en-GB"/>
        </w:rPr>
        <w:t xml:space="preserve"> base case model is prepared to accommodate a capturing rate of 10,000 tonnes CO</w:t>
      </w:r>
      <w:r w:rsidR="004541B1" w:rsidRPr="00190A12">
        <w:rPr>
          <w:vertAlign w:val="subscript"/>
          <w:lang w:val="en-GB"/>
        </w:rPr>
        <w:t>2</w:t>
      </w:r>
      <w:r w:rsidR="004541B1" w:rsidRPr="00AB5BCA">
        <w:rPr>
          <w:lang w:val="en-GB"/>
        </w:rPr>
        <w:t xml:space="preserve"> per year, aligned with the </w:t>
      </w:r>
      <w:r w:rsidR="006A2026">
        <w:rPr>
          <w:lang w:val="en-GB"/>
        </w:rPr>
        <w:t>recent</w:t>
      </w:r>
      <w:r w:rsidR="004541B1" w:rsidRPr="00AB5BCA">
        <w:rPr>
          <w:lang w:val="en-GB"/>
        </w:rPr>
        <w:t xml:space="preserve"> industrial capacity benchmarks in this field</w:t>
      </w:r>
      <w:r w:rsidR="004541B1">
        <w:rPr>
          <w:lang w:val="en-GB"/>
        </w:rPr>
        <w:t xml:space="preserve">. </w:t>
      </w:r>
      <w:proofErr w:type="spellStart"/>
      <w:r w:rsidR="004541B1">
        <w:t>B</w:t>
      </w:r>
      <w:r w:rsidR="009F0C09">
        <w:t>b</w:t>
      </w:r>
      <w:r w:rsidR="004541B1" w:rsidRPr="00904A92">
        <w:t>ase</w:t>
      </w:r>
      <w:proofErr w:type="spellEnd"/>
      <w:r w:rsidR="004541B1" w:rsidRPr="00904A92">
        <w:t xml:space="preserve"> case model is </w:t>
      </w:r>
      <w:r w:rsidR="004541B1" w:rsidRPr="007E3EBD">
        <w:rPr>
          <w:lang w:val="en-GB"/>
        </w:rPr>
        <w:t>realised</w:t>
      </w:r>
      <w:r w:rsidR="004541B1" w:rsidRPr="00904A92">
        <w:t xml:space="preserve"> by </w:t>
      </w:r>
      <w:proofErr w:type="spellStart"/>
      <w:r w:rsidR="004541B1" w:rsidRPr="00904A92">
        <w:t>initiali</w:t>
      </w:r>
      <w:r w:rsidR="00C20CFF">
        <w:t>s</w:t>
      </w:r>
      <w:r w:rsidR="004541B1" w:rsidRPr="00904A92">
        <w:t>ing</w:t>
      </w:r>
      <w:proofErr w:type="spellEnd"/>
      <w:r w:rsidR="004541B1" w:rsidRPr="00904A92">
        <w:t xml:space="preserve"> the</w:t>
      </w:r>
      <w:r w:rsidR="004541B1">
        <w:t xml:space="preserve"> model</w:t>
      </w:r>
      <w:r w:rsidR="004541B1" w:rsidRPr="00904A92">
        <w:t xml:space="preserve"> degrees of freedom, which include both continuous and </w:t>
      </w:r>
      <w:r w:rsidR="004541B1">
        <w:t>binary</w:t>
      </w:r>
      <w:r w:rsidR="004541B1" w:rsidRPr="00904A92">
        <w:t xml:space="preserve"> variables, with arbitrary yet feasible values.</w:t>
      </w:r>
      <w:r w:rsidR="0018369C">
        <w:t xml:space="preserve"> </w:t>
      </w:r>
      <w:r w:rsidR="00CE005C">
        <w:t>For the base case,</w:t>
      </w:r>
      <w:r w:rsidR="00A1075F">
        <w:t xml:space="preserve"> 20</w:t>
      </w:r>
      <w:r w:rsidR="00CE005C">
        <w:t xml:space="preserve"> </w:t>
      </w:r>
      <w:r w:rsidR="0018369C">
        <w:t>CBCF</w:t>
      </w:r>
      <w:r w:rsidR="00A1075F">
        <w:t>s</w:t>
      </w:r>
      <w:r w:rsidR="00086EEF">
        <w:t xml:space="preserve"> </w:t>
      </w:r>
      <w:r w:rsidR="00A1075F">
        <w:t>are considered as the selected fan</w:t>
      </w:r>
      <w:r w:rsidR="006A0E79">
        <w:t>s</w:t>
      </w:r>
      <w:r w:rsidR="00A1075F">
        <w:t xml:space="preserve"> </w:t>
      </w:r>
      <w:r w:rsidR="00086EEF">
        <w:t xml:space="preserve">and AEL </w:t>
      </w:r>
      <w:r w:rsidR="00B35A42">
        <w:t xml:space="preserve">(with furnace) </w:t>
      </w:r>
      <w:r w:rsidR="006A0E79">
        <w:t>is considered as</w:t>
      </w:r>
      <w:r w:rsidR="00BC4E00">
        <w:t xml:space="preserve"> the</w:t>
      </w:r>
      <w:r w:rsidR="006A0E79">
        <w:t xml:space="preserve"> </w:t>
      </w:r>
      <w:r w:rsidR="00BC4E00">
        <w:t>h</w:t>
      </w:r>
      <w:r w:rsidR="006A0E79">
        <w:t>ydrogen production unit</w:t>
      </w:r>
      <w:r w:rsidR="00016596">
        <w:t>.</w:t>
      </w:r>
      <w:r w:rsidR="007127D3">
        <w:t xml:space="preserve"> TVSA with </w:t>
      </w:r>
      <w:r w:rsidR="007012DB">
        <w:t xml:space="preserve">8,874 kg </w:t>
      </w:r>
      <w:r w:rsidR="007127D3">
        <w:t xml:space="preserve">APDES-NFC sorbents </w:t>
      </w:r>
      <w:r w:rsidR="00FD0E58">
        <w:t>is the initial capturing route</w:t>
      </w:r>
      <w:r w:rsidR="009514AA">
        <w:t>,</w:t>
      </w:r>
      <w:r w:rsidR="00FD0E58">
        <w:t xml:space="preserve"> with the Sabatier reactor as the </w:t>
      </w:r>
      <w:r w:rsidR="00AA17FC">
        <w:t>compulsory downstream reaction option.</w:t>
      </w:r>
      <w:r w:rsidR="002974D0">
        <w:t xml:space="preserve"> </w:t>
      </w:r>
      <w:r w:rsidR="0084174E">
        <w:t>In each of the 4-trained process</w:t>
      </w:r>
      <w:r w:rsidR="009514AA">
        <w:t>es</w:t>
      </w:r>
      <w:r w:rsidR="0084174E">
        <w:t>, t</w:t>
      </w:r>
      <w:r w:rsidR="002974D0">
        <w:t>here are 15</w:t>
      </w:r>
      <w:r w:rsidR="00DD708A">
        <w:t xml:space="preserve"> contactors each with</w:t>
      </w:r>
      <w:r w:rsidR="008B1828">
        <w:t xml:space="preserve"> 2m diameter and 3m lengt</w:t>
      </w:r>
      <w:r w:rsidR="009B0902">
        <w:t>h</w:t>
      </w:r>
      <w:r w:rsidR="00DD708A">
        <w:t xml:space="preserve"> </w:t>
      </w:r>
      <w:r w:rsidR="009B0902">
        <w:t>(</w:t>
      </w:r>
      <w:r w:rsidR="00DD708A">
        <w:t>9.42 m</w:t>
      </w:r>
      <w:r w:rsidR="00DD708A">
        <w:rPr>
          <w:vertAlign w:val="superscript"/>
        </w:rPr>
        <w:t>3</w:t>
      </w:r>
      <w:r w:rsidR="00DD708A">
        <w:t xml:space="preserve"> size</w:t>
      </w:r>
      <w:r w:rsidR="009B0902">
        <w:t>)</w:t>
      </w:r>
      <w:r w:rsidR="00DC6EA0">
        <w:t>.</w:t>
      </w:r>
      <w:r w:rsidR="0052662C">
        <w:t xml:space="preserve"> Finally, heat integration through high </w:t>
      </w:r>
      <w:r w:rsidR="00763FB9">
        <w:t xml:space="preserve">pressure </w:t>
      </w:r>
      <w:r w:rsidR="0052662C">
        <w:t xml:space="preserve">steam generation is </w:t>
      </w:r>
      <w:r w:rsidR="002B6F5C">
        <w:t>considered</w:t>
      </w:r>
      <w:r w:rsidR="00F41DE4">
        <w:t>.</w:t>
      </w:r>
      <w:r w:rsidR="00274D33">
        <w:t xml:space="preserve"> The</w:t>
      </w:r>
      <w:r w:rsidR="002D52AD">
        <w:t xml:space="preserve"> resultant pressure drop in the columns </w:t>
      </w:r>
      <w:r w:rsidR="001C39BB">
        <w:t>is</w:t>
      </w:r>
      <w:r w:rsidR="002D52AD">
        <w:t xml:space="preserve"> 3</w:t>
      </w:r>
      <w:r w:rsidR="002620C7">
        <w:t>,</w:t>
      </w:r>
      <w:r w:rsidR="002D52AD">
        <w:t>712 Pa</w:t>
      </w:r>
      <w:r w:rsidR="009D57D9">
        <w:t xml:space="preserve"> leading to</w:t>
      </w:r>
      <w:r w:rsidR="002620C7">
        <w:t xml:space="preserve"> a </w:t>
      </w:r>
      <w:r w:rsidR="00FF11C8">
        <w:rPr>
          <w:noProof/>
        </w:rPr>
        <w:lastRenderedPageBreak/>
        <w:drawing>
          <wp:anchor distT="0" distB="0" distL="114300" distR="114300" simplePos="0" relativeHeight="251658245" behindDoc="0" locked="0" layoutInCell="1" allowOverlap="1" wp14:anchorId="22A2DAF9" wp14:editId="19B31346">
            <wp:simplePos x="0" y="0"/>
            <wp:positionH relativeFrom="margin">
              <wp:posOffset>45720</wp:posOffset>
            </wp:positionH>
            <wp:positionV relativeFrom="margin">
              <wp:align>top</wp:align>
            </wp:positionV>
            <wp:extent cx="4401185" cy="227203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4409386" cy="2276400"/>
                    </a:xfrm>
                    <a:prstGeom prst="rect">
                      <a:avLst/>
                    </a:prstGeom>
                  </pic:spPr>
                </pic:pic>
              </a:graphicData>
            </a:graphic>
            <wp14:sizeRelH relativeFrom="margin">
              <wp14:pctWidth>0</wp14:pctWidth>
            </wp14:sizeRelH>
            <wp14:sizeRelV relativeFrom="margin">
              <wp14:pctHeight>0</wp14:pctHeight>
            </wp14:sizeRelV>
          </wp:anchor>
        </w:drawing>
      </w:r>
      <w:r w:rsidR="002620C7">
        <w:t>requirement of</w:t>
      </w:r>
      <w:r w:rsidR="009D57D9">
        <w:t xml:space="preserve"> 2,984 kW fan power</w:t>
      </w:r>
      <w:r w:rsidR="000C2771">
        <w:t>.</w:t>
      </w:r>
      <w:r w:rsidR="00F41DE4">
        <w:t xml:space="preserve"> </w:t>
      </w:r>
      <w:r w:rsidR="00914DA0">
        <w:t xml:space="preserve">The </w:t>
      </w:r>
      <w:r w:rsidR="00AD7955">
        <w:t xml:space="preserve">resultant operational and capital costs of the process </w:t>
      </w:r>
      <w:r w:rsidR="00B87585">
        <w:t xml:space="preserve">are reported in </w:t>
      </w:r>
      <w:r w:rsidR="00EC636D">
        <w:fldChar w:fldCharType="begin"/>
      </w:r>
      <w:r w:rsidR="00EC636D">
        <w:instrText xml:space="preserve"> REF _Ref151380446 \h </w:instrText>
      </w:r>
      <w:r w:rsidR="00EC636D">
        <w:fldChar w:fldCharType="separate"/>
      </w:r>
      <w:r w:rsidR="00112912" w:rsidRPr="00A916BD">
        <w:t xml:space="preserve">Table </w:t>
      </w:r>
      <w:r w:rsidR="00112912">
        <w:rPr>
          <w:noProof/>
        </w:rPr>
        <w:t>1</w:t>
      </w:r>
      <w:r w:rsidR="00EC636D">
        <w:fldChar w:fldCharType="end"/>
      </w:r>
      <w:r w:rsidR="00F216D0">
        <w:t>.</w:t>
      </w:r>
      <w:r w:rsidR="00CF1FDC">
        <w:t xml:space="preserve"> </w:t>
      </w:r>
    </w:p>
    <w:p w14:paraId="144DE6A5" w14:textId="362EA51A" w:rsidR="008D2649" w:rsidRPr="00A94774" w:rsidRDefault="00634D36" w:rsidP="00574DE2">
      <w:pPr>
        <w:pStyle w:val="Els-1storder-head"/>
        <w:keepNext w:val="0"/>
        <w:suppressAutoHyphens w:val="0"/>
        <w:spacing w:after="120"/>
        <w:rPr>
          <w:lang w:val="en-GB"/>
        </w:rPr>
      </w:pPr>
      <w:r>
        <w:rPr>
          <w:lang w:val="en-GB"/>
        </w:rPr>
        <w:t xml:space="preserve">Results and </w:t>
      </w:r>
      <w:r w:rsidR="00C70E31">
        <w:rPr>
          <w:lang w:val="en-GB"/>
        </w:rPr>
        <w:t>d</w:t>
      </w:r>
      <w:r>
        <w:rPr>
          <w:lang w:val="en-GB"/>
        </w:rPr>
        <w:t>iscussions</w:t>
      </w:r>
    </w:p>
    <w:p w14:paraId="7073795A" w14:textId="2FD7C0A0" w:rsidR="00EB7EC3" w:rsidRPr="00FD5423" w:rsidRDefault="002F675D" w:rsidP="00574DE2">
      <w:pPr>
        <w:pStyle w:val="Els-body-text"/>
      </w:pPr>
      <w:r w:rsidRPr="002F675D">
        <w:rPr>
          <w:lang w:val="en-GB"/>
        </w:rPr>
        <w:t>The superstructure model was solved using</w:t>
      </w:r>
      <w:r w:rsidR="00972655">
        <w:rPr>
          <w:lang w:val="en-GB"/>
        </w:rPr>
        <w:t xml:space="preserve"> the</w:t>
      </w:r>
      <w:r w:rsidRPr="002F675D">
        <w:rPr>
          <w:lang w:val="en-GB"/>
        </w:rPr>
        <w:t xml:space="preserve"> BARON solver accessible through integrating GAMS as an external solver.</w:t>
      </w:r>
      <w:r w:rsidR="0097705C">
        <w:rPr>
          <w:lang w:val="en-GB"/>
        </w:rPr>
        <w:t xml:space="preserve"> </w:t>
      </w:r>
      <w:r w:rsidR="00864682" w:rsidRPr="00864682">
        <w:rPr>
          <w:lang w:val="en-GB"/>
        </w:rPr>
        <w:t xml:space="preserve">The result of the superstructure optimisation </w:t>
      </w:r>
      <w:r w:rsidR="008E32A1">
        <w:rPr>
          <w:lang w:val="en-GB"/>
        </w:rPr>
        <w:t>is shown in</w:t>
      </w:r>
      <w:r w:rsidR="00412836">
        <w:rPr>
          <w:lang w:val="en-GB"/>
        </w:rPr>
        <w:t xml:space="preserve"> </w:t>
      </w:r>
      <w:r w:rsidR="00412836" w:rsidRPr="004235D6">
        <w:rPr>
          <w:lang w:val="en-GB"/>
        </w:rPr>
        <w:fldChar w:fldCharType="begin"/>
      </w:r>
      <w:r w:rsidR="00412836" w:rsidRPr="004235D6">
        <w:rPr>
          <w:lang w:val="en-GB"/>
        </w:rPr>
        <w:instrText xml:space="preserve"> REF _Ref151417302 \h </w:instrText>
      </w:r>
      <w:r w:rsidR="004235D6">
        <w:rPr>
          <w:lang w:val="en-GB"/>
        </w:rPr>
        <w:instrText xml:space="preserve"> \* MERGEFORMAT </w:instrText>
      </w:r>
      <w:r w:rsidR="00412836" w:rsidRPr="004235D6">
        <w:rPr>
          <w:lang w:val="en-GB"/>
        </w:rPr>
      </w:r>
      <w:r w:rsidR="00412836" w:rsidRPr="004235D6">
        <w:rPr>
          <w:lang w:val="en-GB"/>
        </w:rPr>
        <w:fldChar w:fldCharType="separate"/>
      </w:r>
      <w:r w:rsidR="00112912" w:rsidRPr="00112912">
        <w:t xml:space="preserve">Figure </w:t>
      </w:r>
      <w:r w:rsidR="00112912" w:rsidRPr="00112912">
        <w:rPr>
          <w:noProof/>
        </w:rPr>
        <w:t>3</w:t>
      </w:r>
      <w:r w:rsidR="00412836" w:rsidRPr="004235D6">
        <w:rPr>
          <w:lang w:val="en-GB"/>
        </w:rPr>
        <w:fldChar w:fldCharType="end"/>
      </w:r>
      <w:r w:rsidR="008E32A1">
        <w:rPr>
          <w:lang w:val="en-GB"/>
        </w:rPr>
        <w:t xml:space="preserve"> </w:t>
      </w:r>
      <w:r w:rsidR="00A3684E">
        <w:rPr>
          <w:lang w:val="en-GB"/>
        </w:rPr>
        <w:t xml:space="preserve">with </w:t>
      </w:r>
      <w:r w:rsidR="00986541">
        <w:rPr>
          <w:lang w:val="en-GB"/>
        </w:rPr>
        <w:t>economic metrics</w:t>
      </w:r>
      <w:r w:rsidR="00CD5E38">
        <w:rPr>
          <w:lang w:val="en-GB"/>
        </w:rPr>
        <w:t xml:space="preserve"> </w:t>
      </w:r>
      <w:r w:rsidR="00A3684E">
        <w:rPr>
          <w:lang w:val="en-GB"/>
        </w:rPr>
        <w:t>listed in</w:t>
      </w:r>
      <w:r w:rsidR="00FD745B">
        <w:rPr>
          <w:lang w:val="en-GB"/>
        </w:rPr>
        <w:t xml:space="preserve"> </w:t>
      </w:r>
      <w:r w:rsidR="00AB4322" w:rsidRPr="006D44A0">
        <w:rPr>
          <w:lang w:val="en-GB"/>
        </w:rPr>
        <w:fldChar w:fldCharType="begin"/>
      </w:r>
      <w:r w:rsidR="00AB4322" w:rsidRPr="006D44A0">
        <w:rPr>
          <w:lang w:val="en-GB"/>
        </w:rPr>
        <w:instrText xml:space="preserve"> REF _Ref151380446 \h </w:instrText>
      </w:r>
      <w:r w:rsidR="006D44A0">
        <w:rPr>
          <w:lang w:val="en-GB"/>
        </w:rPr>
        <w:instrText xml:space="preserve"> \* MERGEFORMAT </w:instrText>
      </w:r>
      <w:r w:rsidR="00AB4322" w:rsidRPr="006D44A0">
        <w:rPr>
          <w:lang w:val="en-GB"/>
        </w:rPr>
      </w:r>
      <w:r w:rsidR="00AB4322" w:rsidRPr="006D44A0">
        <w:rPr>
          <w:lang w:val="en-GB"/>
        </w:rPr>
        <w:fldChar w:fldCharType="separate"/>
      </w:r>
      <w:r w:rsidR="00112912" w:rsidRPr="00A916BD">
        <w:t xml:space="preserve">Table </w:t>
      </w:r>
      <w:r w:rsidR="00112912">
        <w:rPr>
          <w:noProof/>
        </w:rPr>
        <w:t>1</w:t>
      </w:r>
      <w:r w:rsidR="00AB4322" w:rsidRPr="006D44A0">
        <w:rPr>
          <w:lang w:val="en-GB"/>
        </w:rPr>
        <w:fldChar w:fldCharType="end"/>
      </w:r>
      <w:r w:rsidR="00C70DDE">
        <w:rPr>
          <w:lang w:val="en-GB"/>
        </w:rPr>
        <w:t>.</w:t>
      </w:r>
      <w:r w:rsidR="00864682">
        <w:rPr>
          <w:lang w:val="en-GB"/>
        </w:rPr>
        <w:t xml:space="preserve"> </w:t>
      </w:r>
      <w:r w:rsidR="0097705C" w:rsidRPr="0097705C">
        <w:rPr>
          <w:lang w:val="en-GB"/>
        </w:rPr>
        <w:t xml:space="preserve">According to the results, the VAF and SOEL are selected as air-intake and </w:t>
      </w:r>
      <w:r w:rsidR="00C70DDE">
        <w:rPr>
          <w:lang w:val="en-GB"/>
        </w:rPr>
        <w:t>h</w:t>
      </w:r>
      <w:r w:rsidR="0097705C" w:rsidRPr="0097705C">
        <w:rPr>
          <w:lang w:val="en-GB"/>
        </w:rPr>
        <w:t>ydrogen production units respectively. The DFM technology is selected as the optimal route for CO</w:t>
      </w:r>
      <w:r w:rsidR="0097705C" w:rsidRPr="00021B07">
        <w:rPr>
          <w:vertAlign w:val="subscript"/>
          <w:lang w:val="en-GB"/>
        </w:rPr>
        <w:t>2</w:t>
      </w:r>
      <w:r w:rsidR="0097705C" w:rsidRPr="0097705C">
        <w:rPr>
          <w:lang w:val="en-GB"/>
        </w:rPr>
        <w:t xml:space="preserve"> adsorption and </w:t>
      </w:r>
      <w:r w:rsidR="0097705C" w:rsidRPr="00FD5423">
        <w:t xml:space="preserve">hydrogenation and the steam generation through LP-steam is found </w:t>
      </w:r>
      <w:r w:rsidR="00C73883">
        <w:t xml:space="preserve">as </w:t>
      </w:r>
      <w:r w:rsidR="0097705C" w:rsidRPr="00FD5423">
        <w:t>the best heat integration scenario for exploiting the reactor’s products thermal energy.</w:t>
      </w:r>
      <w:r w:rsidR="00600B2C" w:rsidRPr="00FD5423">
        <w:t xml:space="preserve"> Also, as the hydrogen is supplied through the high temperature </w:t>
      </w:r>
      <w:r w:rsidR="002A29D7" w:rsidRPr="00FD5423">
        <w:t xml:space="preserve">SOEL, the furnace was not </w:t>
      </w:r>
      <w:r w:rsidR="00B63BB7" w:rsidRPr="00FD5423">
        <w:t>selected.</w:t>
      </w:r>
    </w:p>
    <w:p w14:paraId="3F327EA5" w14:textId="250D954F" w:rsidR="00527B59" w:rsidRPr="00FD5423" w:rsidRDefault="00FF11C8" w:rsidP="00574DE2">
      <w:pPr>
        <w:pStyle w:val="Els-body-text"/>
      </w:pPr>
      <w:r>
        <w:rPr>
          <w:noProof/>
        </w:rPr>
        <mc:AlternateContent>
          <mc:Choice Requires="wps">
            <w:drawing>
              <wp:anchor distT="0" distB="0" distL="114300" distR="114300" simplePos="0" relativeHeight="251658240" behindDoc="0" locked="0" layoutInCell="1" allowOverlap="0" wp14:anchorId="0D92F78B" wp14:editId="4ED9EB63">
                <wp:simplePos x="0" y="0"/>
                <wp:positionH relativeFrom="margin">
                  <wp:align>left</wp:align>
                </wp:positionH>
                <wp:positionV relativeFrom="page">
                  <wp:posOffset>3766185</wp:posOffset>
                </wp:positionV>
                <wp:extent cx="4498340" cy="368300"/>
                <wp:effectExtent l="0" t="0" r="0" b="0"/>
                <wp:wrapTopAndBottom/>
                <wp:docPr id="694781819" name="Text Box 694781819"/>
                <wp:cNvGraphicFramePr/>
                <a:graphic xmlns:a="http://schemas.openxmlformats.org/drawingml/2006/main">
                  <a:graphicData uri="http://schemas.microsoft.com/office/word/2010/wordprocessingShape">
                    <wps:wsp>
                      <wps:cNvSpPr txBox="1"/>
                      <wps:spPr>
                        <a:xfrm>
                          <a:off x="0" y="0"/>
                          <a:ext cx="4498340" cy="368300"/>
                        </a:xfrm>
                        <a:prstGeom prst="rect">
                          <a:avLst/>
                        </a:prstGeom>
                        <a:solidFill>
                          <a:prstClr val="white"/>
                        </a:solidFill>
                        <a:ln>
                          <a:noFill/>
                        </a:ln>
                      </wps:spPr>
                      <wps:txbx>
                        <w:txbxContent>
                          <w:p w14:paraId="711D2036" w14:textId="5E6FB256" w:rsidR="0033321C" w:rsidRPr="00D513D2" w:rsidRDefault="0033321C" w:rsidP="0033321C">
                            <w:pPr>
                              <w:pStyle w:val="Caption"/>
                              <w:rPr>
                                <w:noProof/>
                                <w:szCs w:val="18"/>
                              </w:rPr>
                            </w:pPr>
                            <w:bookmarkStart w:id="2" w:name="_Ref151728782"/>
                            <w:r w:rsidRPr="00D513D2">
                              <w:rPr>
                                <w:szCs w:val="18"/>
                              </w:rPr>
                              <w:t xml:space="preserve">Figure </w:t>
                            </w:r>
                            <w:r w:rsidRPr="00D513D2">
                              <w:rPr>
                                <w:szCs w:val="18"/>
                              </w:rPr>
                              <w:fldChar w:fldCharType="begin"/>
                            </w:r>
                            <w:r w:rsidRPr="00D513D2">
                              <w:rPr>
                                <w:szCs w:val="18"/>
                              </w:rPr>
                              <w:instrText xml:space="preserve"> SEQ Figure \* ARABIC </w:instrText>
                            </w:r>
                            <w:r w:rsidRPr="00D513D2">
                              <w:rPr>
                                <w:szCs w:val="18"/>
                              </w:rPr>
                              <w:fldChar w:fldCharType="separate"/>
                            </w:r>
                            <w:r w:rsidR="00112912">
                              <w:rPr>
                                <w:noProof/>
                                <w:szCs w:val="18"/>
                              </w:rPr>
                              <w:t>2</w:t>
                            </w:r>
                            <w:r w:rsidRPr="00D513D2">
                              <w:rPr>
                                <w:szCs w:val="18"/>
                              </w:rPr>
                              <w:fldChar w:fldCharType="end"/>
                            </w:r>
                            <w:bookmarkEnd w:id="2"/>
                            <w:r w:rsidRPr="00D513D2">
                              <w:rPr>
                                <w:szCs w:val="18"/>
                              </w:rPr>
                              <w:t xml:space="preserve">: </w:t>
                            </w:r>
                            <w:r w:rsidR="006B7CF8" w:rsidRPr="00D513D2">
                              <w:rPr>
                                <w:szCs w:val="18"/>
                              </w:rPr>
                              <w:t xml:space="preserve">Superstructure presentation of DAC </w:t>
                            </w:r>
                            <w:r w:rsidR="00630051" w:rsidRPr="00D513D2">
                              <w:rPr>
                                <w:szCs w:val="18"/>
                              </w:rPr>
                              <w:t>integrating</w:t>
                            </w:r>
                            <w:r w:rsidR="006B7CF8" w:rsidRPr="00D513D2">
                              <w:rPr>
                                <w:szCs w:val="18"/>
                              </w:rPr>
                              <w:t xml:space="preserve"> </w:t>
                            </w:r>
                            <w:r w:rsidR="00A67F23" w:rsidRPr="00D513D2">
                              <w:rPr>
                                <w:szCs w:val="18"/>
                              </w:rPr>
                              <w:t>TVSA/Sabatier reaction vs DFM technology</w:t>
                            </w:r>
                            <w:r w:rsidR="006B7CF8" w:rsidRPr="00D513D2">
                              <w:rPr>
                                <w:szCs w:val="18"/>
                              </w:rPr>
                              <w:t xml:space="preserve"> routes</w:t>
                            </w:r>
                            <w:r w:rsidR="00A67F23" w:rsidRPr="00D513D2">
                              <w:rPr>
                                <w:szCs w:val="18"/>
                              </w:rPr>
                              <w:t xml:space="preserve">. The base case </w:t>
                            </w:r>
                            <w:r w:rsidR="00A46198" w:rsidRPr="00D513D2">
                              <w:rPr>
                                <w:szCs w:val="18"/>
                              </w:rPr>
                              <w:t>units are</w:t>
                            </w:r>
                            <w:r w:rsidR="005D21EC" w:rsidRPr="00D513D2">
                              <w:rPr>
                                <w:szCs w:val="18"/>
                              </w:rPr>
                              <w:t xml:space="preserve"> highlighted.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F78B" id="Text Box 694781819" o:spid="_x0000_s1027" type="#_x0000_t202" style="position:absolute;left:0;text-align:left;margin-left:0;margin-top:296.55pt;width:354.2pt;height:29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" o:allowoverlap="f" stroked="f">
                <v:textbox inset="0,0,0,0">
                  <w:txbxContent>
                    <w:p w14:paraId="711D2036" w14:textId="5E6FB256" w:rsidR="0033321C" w:rsidRPr="00D513D2" w:rsidRDefault="0033321C" w:rsidP="0033321C">
                      <w:pPr>
                        <w:pStyle w:val="Caption"/>
                        <w:rPr>
                          <w:noProof/>
                          <w:szCs w:val="18"/>
                        </w:rPr>
                      </w:pPr>
                      <w:bookmarkStart w:id="3" w:name="_Ref151728782"/>
                      <w:r w:rsidRPr="00D513D2">
                        <w:rPr>
                          <w:szCs w:val="18"/>
                        </w:rPr>
                        <w:t xml:space="preserve">Figure </w:t>
                      </w:r>
                      <w:r w:rsidRPr="00D513D2">
                        <w:rPr>
                          <w:szCs w:val="18"/>
                        </w:rPr>
                        <w:fldChar w:fldCharType="begin"/>
                      </w:r>
                      <w:r w:rsidRPr="00D513D2">
                        <w:rPr>
                          <w:szCs w:val="18"/>
                        </w:rPr>
                        <w:instrText xml:space="preserve"> SEQ Figure \* ARABIC </w:instrText>
                      </w:r>
                      <w:r w:rsidRPr="00D513D2">
                        <w:rPr>
                          <w:szCs w:val="18"/>
                        </w:rPr>
                        <w:fldChar w:fldCharType="separate"/>
                      </w:r>
                      <w:r w:rsidR="00112912">
                        <w:rPr>
                          <w:noProof/>
                          <w:szCs w:val="18"/>
                        </w:rPr>
                        <w:t>2</w:t>
                      </w:r>
                      <w:r w:rsidRPr="00D513D2">
                        <w:rPr>
                          <w:szCs w:val="18"/>
                        </w:rPr>
                        <w:fldChar w:fldCharType="end"/>
                      </w:r>
                      <w:bookmarkEnd w:id="3"/>
                      <w:r w:rsidRPr="00D513D2">
                        <w:rPr>
                          <w:szCs w:val="18"/>
                        </w:rPr>
                        <w:t xml:space="preserve">: </w:t>
                      </w:r>
                      <w:r w:rsidR="006B7CF8" w:rsidRPr="00D513D2">
                        <w:rPr>
                          <w:szCs w:val="18"/>
                        </w:rPr>
                        <w:t xml:space="preserve">Superstructure presentation of DAC </w:t>
                      </w:r>
                      <w:r w:rsidR="00630051" w:rsidRPr="00D513D2">
                        <w:rPr>
                          <w:szCs w:val="18"/>
                        </w:rPr>
                        <w:t>integrating</w:t>
                      </w:r>
                      <w:r w:rsidR="006B7CF8" w:rsidRPr="00D513D2">
                        <w:rPr>
                          <w:szCs w:val="18"/>
                        </w:rPr>
                        <w:t xml:space="preserve"> </w:t>
                      </w:r>
                      <w:r w:rsidR="00A67F23" w:rsidRPr="00D513D2">
                        <w:rPr>
                          <w:szCs w:val="18"/>
                        </w:rPr>
                        <w:t>TVSA/Sabatier reaction vs DFM technology</w:t>
                      </w:r>
                      <w:r w:rsidR="006B7CF8" w:rsidRPr="00D513D2">
                        <w:rPr>
                          <w:szCs w:val="18"/>
                        </w:rPr>
                        <w:t xml:space="preserve"> routes</w:t>
                      </w:r>
                      <w:r w:rsidR="00A67F23" w:rsidRPr="00D513D2">
                        <w:rPr>
                          <w:szCs w:val="18"/>
                        </w:rPr>
                        <w:t xml:space="preserve">. The base case </w:t>
                      </w:r>
                      <w:r w:rsidR="00A46198" w:rsidRPr="00D513D2">
                        <w:rPr>
                          <w:szCs w:val="18"/>
                        </w:rPr>
                        <w:t>units are</w:t>
                      </w:r>
                      <w:r w:rsidR="005D21EC" w:rsidRPr="00D513D2">
                        <w:rPr>
                          <w:szCs w:val="18"/>
                        </w:rPr>
                        <w:t xml:space="preserve"> highlighted.</w:t>
                      </w:r>
                    </w:p>
                  </w:txbxContent>
                </v:textbox>
                <w10:wrap type="topAndBottom" anchorx="margin" anchory="page"/>
              </v:shape>
            </w:pict>
          </mc:Fallback>
        </mc:AlternateContent>
      </w:r>
      <w:r w:rsidR="00DF18AF">
        <w:t>T</w:t>
      </w:r>
      <w:r w:rsidR="007B3223" w:rsidRPr="00FD5423">
        <w:t xml:space="preserve">he </w:t>
      </w:r>
      <w:proofErr w:type="spellStart"/>
      <w:r w:rsidR="007B3223" w:rsidRPr="00FD5423">
        <w:t>optimised</w:t>
      </w:r>
      <w:proofErr w:type="spellEnd"/>
      <w:r w:rsidR="007B3223" w:rsidRPr="00FD5423">
        <w:t xml:space="preserve"> flowsheet hal</w:t>
      </w:r>
      <w:r w:rsidR="0065577D">
        <w:t>ves</w:t>
      </w:r>
      <w:r w:rsidR="007B3223" w:rsidRPr="00FD5423">
        <w:t xml:space="preserve"> the TAC of the plant</w:t>
      </w:r>
      <w:r w:rsidR="0065577D">
        <w:t xml:space="preserve"> compared to the base case</w:t>
      </w:r>
      <w:r w:rsidR="00AD3B14" w:rsidRPr="00FD5423">
        <w:t xml:space="preserve">. This substantial </w:t>
      </w:r>
      <w:r w:rsidR="000118B8">
        <w:t>decrease</w:t>
      </w:r>
      <w:r w:rsidR="00AD3B14" w:rsidRPr="00FD5423">
        <w:t xml:space="preserve"> is primarily attributed to the significant </w:t>
      </w:r>
      <w:r w:rsidR="006264D6" w:rsidRPr="00FD5423">
        <w:t>55%</w:t>
      </w:r>
      <w:r w:rsidR="004D7F36" w:rsidRPr="00FD5423">
        <w:t xml:space="preserve"> decrease in the operational cost.</w:t>
      </w:r>
      <w:r w:rsidR="000A2A0A" w:rsidRPr="000A2A0A">
        <w:t xml:space="preserve"> </w:t>
      </w:r>
      <w:r w:rsidR="006264D6">
        <w:t>T</w:t>
      </w:r>
      <w:r w:rsidR="000A2A0A" w:rsidRPr="00FD5423">
        <w:t xml:space="preserve">he decrease in OPEX is primarily due to the transition from AEL to SOEL, despite the higher </w:t>
      </w:r>
      <w:r w:rsidR="00670BA1" w:rsidRPr="00FD5423">
        <w:t>purchase</w:t>
      </w:r>
      <w:r w:rsidR="000A2A0A" w:rsidRPr="00FD5423">
        <w:t xml:space="preserve"> cost of the SOEL technology. </w:t>
      </w:r>
      <w:r w:rsidR="004D7F36" w:rsidRPr="00FD5423">
        <w:t xml:space="preserve">The noticeable </w:t>
      </w:r>
      <w:r w:rsidR="00670BA1" w:rsidRPr="00FD5423">
        <w:t>61</w:t>
      </w:r>
      <w:r w:rsidR="00AB4ABF" w:rsidRPr="00FD5423">
        <w:t>%</w:t>
      </w:r>
      <w:r w:rsidR="00DD3DB0" w:rsidRPr="00FD5423">
        <w:t xml:space="preserve"> increase in CAPEX has minimal impact on this positive tren</w:t>
      </w:r>
      <w:r w:rsidR="00D242EC" w:rsidRPr="00FD5423">
        <w:t xml:space="preserve">d which is expected </w:t>
      </w:r>
      <w:proofErr w:type="gramStart"/>
      <w:r w:rsidR="00D242EC" w:rsidRPr="00FD5423">
        <w:t>due to the</w:t>
      </w:r>
      <w:r w:rsidR="00CA09C0" w:rsidRPr="00FD5423">
        <w:t xml:space="preserve"> </w:t>
      </w:r>
      <w:r w:rsidR="00A44FD4" w:rsidRPr="00FD5423">
        <w:t>fact that</w:t>
      </w:r>
      <w:proofErr w:type="gramEnd"/>
      <w:r w:rsidR="00A44FD4" w:rsidRPr="00FD5423">
        <w:t xml:space="preserve"> such processes are energy intensive rather than being</w:t>
      </w:r>
      <w:r w:rsidR="00AB4ABF" w:rsidRPr="00FD5423">
        <w:t xml:space="preserve"> highly</w:t>
      </w:r>
      <w:r w:rsidR="00A44FD4" w:rsidRPr="00FD5423">
        <w:t xml:space="preserve"> </w:t>
      </w:r>
      <w:r w:rsidR="00463176" w:rsidRPr="00FD5423">
        <w:t xml:space="preserve">affected by </w:t>
      </w:r>
      <w:r w:rsidR="00A44FD4" w:rsidRPr="00FD5423">
        <w:t>capital in</w:t>
      </w:r>
      <w:r w:rsidR="00463176" w:rsidRPr="00FD5423">
        <w:t>vestments</w:t>
      </w:r>
      <w:r w:rsidR="00A44FD4" w:rsidRPr="00FD5423">
        <w:t>.</w:t>
      </w:r>
      <w:r w:rsidR="00FD5A28" w:rsidRPr="00FD5423">
        <w:t xml:space="preserve"> Also, due to the fixed production rate (</w:t>
      </w:r>
      <w:r w:rsidR="002B42AF" w:rsidRPr="00FD5423">
        <w:t>26 kmol</w:t>
      </w:r>
      <w:r w:rsidR="0029734E" w:rsidRPr="00303128">
        <w:rPr>
          <w:vertAlign w:val="subscript"/>
        </w:rPr>
        <w:t>CH4</w:t>
      </w:r>
      <w:r w:rsidR="0029734E" w:rsidRPr="00FD5423">
        <w:t xml:space="preserve"> </w:t>
      </w:r>
      <w:r w:rsidR="002B42AF" w:rsidRPr="00FD5423">
        <w:t>/h)</w:t>
      </w:r>
      <w:r w:rsidR="00996206" w:rsidRPr="00FD5423">
        <w:t xml:space="preserve"> the </w:t>
      </w:r>
      <w:r w:rsidR="00B05211" w:rsidRPr="00FD5423">
        <w:t xml:space="preserve">only change in revenue </w:t>
      </w:r>
      <w:r w:rsidR="0070330B" w:rsidRPr="00FD5423">
        <w:t xml:space="preserve">(slight </w:t>
      </w:r>
      <w:r w:rsidR="00AE4B92" w:rsidRPr="00FD5423">
        <w:t>0.32</w:t>
      </w:r>
      <w:r w:rsidR="0070330B" w:rsidRPr="00FD5423">
        <w:t xml:space="preserve"> % increase) is </w:t>
      </w:r>
      <w:r w:rsidR="00C41AA3" w:rsidRPr="00FD5423">
        <w:t>attributed to earnings from the low-pressure steam generation level.</w:t>
      </w:r>
    </w:p>
    <w:p w14:paraId="666CC6AC" w14:textId="5E275F52" w:rsidR="00937D80" w:rsidRPr="00FD5423" w:rsidRDefault="00937D80" w:rsidP="00574DE2">
      <w:pPr>
        <w:pStyle w:val="Els-body-text"/>
      </w:pPr>
      <w:r w:rsidRPr="00FD5423">
        <w:t xml:space="preserve">The transition from 20 CBCF units to 3 VAF units in the </w:t>
      </w:r>
      <w:r w:rsidR="00F7127D">
        <w:t>fan</w:t>
      </w:r>
      <w:r w:rsidRPr="00FD5423">
        <w:t xml:space="preserve"> technology had a profound impact on the process economy, leading to a significant reduction of nearly 84% in electrical consumption </w:t>
      </w:r>
      <w:r w:rsidR="00F532F6">
        <w:t xml:space="preserve">(466 kW) </w:t>
      </w:r>
      <w:r w:rsidRPr="00FD5423">
        <w:t xml:space="preserve">and 60% reduction in total capital expenditure of air-intake unit. This transformation was closely related to the improvement in the pressure drop in the downstream reactors of the DFM unit, which stands at 580 Pa, well below the 2500 Pa threshold of the VAF. This improvement enabled the </w:t>
      </w:r>
      <w:proofErr w:type="spellStart"/>
      <w:r w:rsidRPr="00FD5423">
        <w:t>utilisation</w:t>
      </w:r>
      <w:proofErr w:type="spellEnd"/>
      <w:r w:rsidRPr="00FD5423">
        <w:t xml:space="preserve"> of VAF as </w:t>
      </w:r>
      <w:proofErr w:type="gramStart"/>
      <w:r w:rsidRPr="00FD5423">
        <w:t>suitable options</w:t>
      </w:r>
      <w:proofErr w:type="gramEnd"/>
      <w:r w:rsidRPr="00FD5423">
        <w:t xml:space="preserve"> for low-pressure air-intake.</w:t>
      </w:r>
    </w:p>
    <w:p w14:paraId="21A1CE21" w14:textId="239E27DC" w:rsidR="00212522" w:rsidRPr="00FD5423" w:rsidRDefault="00212522" w:rsidP="00212522">
      <w:pPr>
        <w:pStyle w:val="Els-body-text"/>
      </w:pPr>
      <w:r w:rsidRPr="00FD5423">
        <w:t xml:space="preserve">To accommodate this change, the diameter of the reactors increased from 2m to 4m while decreasing their length from 3m to 1m, working within the defined optimisation bounds. These adjustments were crucial, as they significantly </w:t>
      </w:r>
      <w:proofErr w:type="gramStart"/>
      <w:r w:rsidRPr="00FD5423">
        <w:t>impacted</w:t>
      </w:r>
      <w:proofErr w:type="gramEnd"/>
      <w:r w:rsidRPr="00FD5423">
        <w:t xml:space="preserve"> the pressure drop. </w:t>
      </w:r>
      <w:r w:rsidR="00FF11C8">
        <w:rPr>
          <w:noProof/>
        </w:rPr>
        <w:lastRenderedPageBreak/>
        <mc:AlternateContent>
          <mc:Choice Requires="wps">
            <w:drawing>
              <wp:anchor distT="0" distB="0" distL="114300" distR="114300" simplePos="0" relativeHeight="251658243" behindDoc="0" locked="0" layoutInCell="1" allowOverlap="0" wp14:anchorId="074614A6" wp14:editId="056BF366">
                <wp:simplePos x="0" y="0"/>
                <wp:positionH relativeFrom="margin">
                  <wp:align>left</wp:align>
                </wp:positionH>
                <wp:positionV relativeFrom="page">
                  <wp:posOffset>3790173</wp:posOffset>
                </wp:positionV>
                <wp:extent cx="4499610" cy="254635"/>
                <wp:effectExtent l="0" t="0" r="0" b="0"/>
                <wp:wrapTopAndBottom/>
                <wp:docPr id="941168231" name="Text Box 941168231"/>
                <wp:cNvGraphicFramePr/>
                <a:graphic xmlns:a="http://schemas.openxmlformats.org/drawingml/2006/main">
                  <a:graphicData uri="http://schemas.microsoft.com/office/word/2010/wordprocessingShape">
                    <wps:wsp>
                      <wps:cNvSpPr txBox="1"/>
                      <wps:spPr>
                        <a:xfrm>
                          <a:off x="0" y="0"/>
                          <a:ext cx="4499610" cy="254635"/>
                        </a:xfrm>
                        <a:prstGeom prst="rect">
                          <a:avLst/>
                        </a:prstGeom>
                        <a:solidFill>
                          <a:prstClr val="white"/>
                        </a:solidFill>
                        <a:ln>
                          <a:noFill/>
                        </a:ln>
                      </wps:spPr>
                      <wps:txbx>
                        <w:txbxContent>
                          <w:p w14:paraId="4081EA48" w14:textId="0DA19647" w:rsidR="00BD6859" w:rsidRPr="00937AE0" w:rsidRDefault="00BD6859" w:rsidP="00BD6859">
                            <w:pPr>
                              <w:pStyle w:val="Els-body-text"/>
                              <w:keepNext/>
                              <w:rPr>
                                <w:sz w:val="18"/>
                                <w:szCs w:val="18"/>
                                <w:lang w:val="en-GB"/>
                              </w:rPr>
                            </w:pPr>
                            <w:bookmarkStart w:id="4" w:name="_Ref151417302"/>
                            <w:r w:rsidRPr="00937AE0">
                              <w:rPr>
                                <w:sz w:val="18"/>
                                <w:szCs w:val="18"/>
                              </w:rPr>
                              <w:t xml:space="preserve">Figure </w:t>
                            </w:r>
                            <w:r w:rsidRPr="00937AE0">
                              <w:rPr>
                                <w:sz w:val="18"/>
                                <w:szCs w:val="18"/>
                              </w:rPr>
                              <w:fldChar w:fldCharType="begin"/>
                            </w:r>
                            <w:r w:rsidRPr="00937AE0">
                              <w:rPr>
                                <w:sz w:val="18"/>
                                <w:szCs w:val="18"/>
                              </w:rPr>
                              <w:instrText xml:space="preserve"> SEQ Figure \* ARABIC </w:instrText>
                            </w:r>
                            <w:r w:rsidRPr="00937AE0">
                              <w:rPr>
                                <w:sz w:val="18"/>
                                <w:szCs w:val="18"/>
                              </w:rPr>
                              <w:fldChar w:fldCharType="separate"/>
                            </w:r>
                            <w:r w:rsidR="00112912">
                              <w:rPr>
                                <w:noProof/>
                                <w:sz w:val="18"/>
                                <w:szCs w:val="18"/>
                              </w:rPr>
                              <w:t>3</w:t>
                            </w:r>
                            <w:r w:rsidRPr="00937AE0">
                              <w:rPr>
                                <w:sz w:val="18"/>
                                <w:szCs w:val="18"/>
                              </w:rPr>
                              <w:fldChar w:fldCharType="end"/>
                            </w:r>
                            <w:bookmarkEnd w:id="4"/>
                            <w:r w:rsidRPr="00937AE0">
                              <w:rPr>
                                <w:sz w:val="18"/>
                                <w:szCs w:val="18"/>
                              </w:rPr>
                              <w:t xml:space="preserve">: The </w:t>
                            </w:r>
                            <w:r w:rsidRPr="00937AE0">
                              <w:rPr>
                                <w:sz w:val="18"/>
                                <w:szCs w:val="18"/>
                              </w:rPr>
                              <w:t>optimi</w:t>
                            </w:r>
                            <w:r w:rsidR="00C20CFF" w:rsidRPr="00937AE0">
                              <w:rPr>
                                <w:sz w:val="18"/>
                                <w:szCs w:val="18"/>
                              </w:rPr>
                              <w:t>s</w:t>
                            </w:r>
                            <w:r w:rsidRPr="00937AE0">
                              <w:rPr>
                                <w:sz w:val="18"/>
                                <w:szCs w:val="18"/>
                              </w:rPr>
                              <w:t>ed flowsheet showcasing the selected units leading to minimum 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14A6" id="Text Box 941168231" o:spid="_x0000_s1028" type="#_x0000_t202" style="position:absolute;left:0;text-align:left;margin-left:0;margin-top:298.45pt;width:354.3pt;height:20.0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" o:allowoverlap="f" stroked="f">
                <v:textbox inset="0,0,0,0">
                  <w:txbxContent>
                    <w:p w14:paraId="4081EA48" w14:textId="0DA19647" w:rsidR="00BD6859" w:rsidRPr="00937AE0" w:rsidRDefault="00BD6859" w:rsidP="00BD6859">
                      <w:pPr>
                        <w:pStyle w:val="Els-body-text"/>
                        <w:keepNext/>
                        <w:rPr>
                          <w:sz w:val="18"/>
                          <w:szCs w:val="18"/>
                          <w:lang w:val="en-GB"/>
                        </w:rPr>
                      </w:pPr>
                      <w:bookmarkStart w:id="5" w:name="_Ref151417302"/>
                      <w:r w:rsidRPr="00937AE0">
                        <w:rPr>
                          <w:sz w:val="18"/>
                          <w:szCs w:val="18"/>
                        </w:rPr>
                        <w:t xml:space="preserve">Figure </w:t>
                      </w:r>
                      <w:r w:rsidRPr="00937AE0">
                        <w:rPr>
                          <w:sz w:val="18"/>
                          <w:szCs w:val="18"/>
                        </w:rPr>
                        <w:fldChar w:fldCharType="begin"/>
                      </w:r>
                      <w:r w:rsidRPr="00937AE0">
                        <w:rPr>
                          <w:sz w:val="18"/>
                          <w:szCs w:val="18"/>
                        </w:rPr>
                        <w:instrText xml:space="preserve"> SEQ Figure \* ARABIC </w:instrText>
                      </w:r>
                      <w:r w:rsidRPr="00937AE0">
                        <w:rPr>
                          <w:sz w:val="18"/>
                          <w:szCs w:val="18"/>
                        </w:rPr>
                        <w:fldChar w:fldCharType="separate"/>
                      </w:r>
                      <w:r w:rsidR="00112912">
                        <w:rPr>
                          <w:noProof/>
                          <w:sz w:val="18"/>
                          <w:szCs w:val="18"/>
                        </w:rPr>
                        <w:t>3</w:t>
                      </w:r>
                      <w:r w:rsidRPr="00937AE0">
                        <w:rPr>
                          <w:sz w:val="18"/>
                          <w:szCs w:val="18"/>
                        </w:rPr>
                        <w:fldChar w:fldCharType="end"/>
                      </w:r>
                      <w:bookmarkEnd w:id="5"/>
                      <w:r w:rsidRPr="00937AE0">
                        <w:rPr>
                          <w:sz w:val="18"/>
                          <w:szCs w:val="18"/>
                        </w:rPr>
                        <w:t xml:space="preserve">: The </w:t>
                      </w:r>
                      <w:r w:rsidRPr="00937AE0">
                        <w:rPr>
                          <w:sz w:val="18"/>
                          <w:szCs w:val="18"/>
                        </w:rPr>
                        <w:t>optimi</w:t>
                      </w:r>
                      <w:r w:rsidR="00C20CFF" w:rsidRPr="00937AE0">
                        <w:rPr>
                          <w:sz w:val="18"/>
                          <w:szCs w:val="18"/>
                        </w:rPr>
                        <w:t>s</w:t>
                      </w:r>
                      <w:r w:rsidRPr="00937AE0">
                        <w:rPr>
                          <w:sz w:val="18"/>
                          <w:szCs w:val="18"/>
                        </w:rPr>
                        <w:t>ed flowsheet showcasing the selected units leading to minimum TAC.</w:t>
                      </w:r>
                    </w:p>
                  </w:txbxContent>
                </v:textbox>
                <w10:wrap type="topAndBottom" anchorx="margin" anchory="page"/>
              </v:shape>
            </w:pict>
          </mc:Fallback>
        </mc:AlternateContent>
      </w:r>
      <w:r w:rsidR="00FF11C8">
        <w:rPr>
          <w:noProof/>
        </w:rPr>
        <w:drawing>
          <wp:anchor distT="0" distB="0" distL="114300" distR="114300" simplePos="0" relativeHeight="251658246" behindDoc="0" locked="0" layoutInCell="1" allowOverlap="0" wp14:anchorId="1EA1B6AD" wp14:editId="4DF72CF0">
            <wp:simplePos x="0" y="0"/>
            <wp:positionH relativeFrom="margin">
              <wp:posOffset>52705</wp:posOffset>
            </wp:positionH>
            <wp:positionV relativeFrom="margin">
              <wp:align>top</wp:align>
            </wp:positionV>
            <wp:extent cx="4380230" cy="2272030"/>
            <wp:effectExtent l="0" t="0" r="1270" b="0"/>
            <wp:wrapTopAndBottom/>
            <wp:docPr id="119846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6222" name="Picture 1"/>
                    <pic:cNvPicPr/>
                  </pic:nvPicPr>
                  <pic:blipFill>
                    <a:blip r:embed="rId10"/>
                    <a:stretch>
                      <a:fillRect/>
                    </a:stretch>
                  </pic:blipFill>
                  <pic:spPr>
                    <a:xfrm>
                      <a:off x="0" y="0"/>
                      <a:ext cx="4380230" cy="2272030"/>
                    </a:xfrm>
                    <a:prstGeom prst="rect">
                      <a:avLst/>
                    </a:prstGeom>
                  </pic:spPr>
                </pic:pic>
              </a:graphicData>
            </a:graphic>
            <wp14:sizeRelH relativeFrom="margin">
              <wp14:pctWidth>0</wp14:pctWidth>
            </wp14:sizeRelH>
            <wp14:sizeRelV relativeFrom="margin">
              <wp14:pctHeight>0</wp14:pctHeight>
            </wp14:sizeRelV>
          </wp:anchor>
        </w:drawing>
      </w:r>
      <w:r w:rsidRPr="00FD5423">
        <w:t xml:space="preserve">Notably, the number of sections decreased from 15 to 8 units. Below this threshold, the pressure </w:t>
      </w:r>
      <w:proofErr w:type="gramStart"/>
      <w:r w:rsidRPr="00FD5423">
        <w:t>drop</w:t>
      </w:r>
      <w:proofErr w:type="gramEnd"/>
      <w:r w:rsidRPr="00FD5423">
        <w:t xml:space="preserve"> and fans’ operational costs increased. Conversely, exceeding this level leads to a considerable rise in purchased equipment costs, which, when multiplied by 4 to account for all four trains, affects the overall process economy.</w:t>
      </w:r>
    </w:p>
    <w:p w14:paraId="5F434657" w14:textId="7903FB48" w:rsidR="005A1071" w:rsidRPr="007C6543" w:rsidRDefault="00F33B4B" w:rsidP="00574DE2">
      <w:pPr>
        <w:pStyle w:val="Els-body-text"/>
        <w:rPr>
          <w:lang w:val="en-GB"/>
        </w:rPr>
      </w:pPr>
      <w:r w:rsidRPr="00F33B4B">
        <w:t xml:space="preserve">The current DFM process assumes isothermal adsorption capacity at elevated temperatures (350°C), resulting in a significantly lower equilibrium capacity compared to </w:t>
      </w:r>
      <w:proofErr w:type="spellStart"/>
      <w:r w:rsidRPr="00F33B4B">
        <w:t>amine</w:t>
      </w:r>
      <w:proofErr w:type="spellEnd"/>
      <w:r w:rsidRPr="00F33B4B">
        <w:t>-</w:t>
      </w:r>
      <w:proofErr w:type="spellStart"/>
      <w:r w:rsidRPr="00F33B4B">
        <w:t>functionali</w:t>
      </w:r>
      <w:r w:rsidR="00050B5E">
        <w:t>s</w:t>
      </w:r>
      <w:r w:rsidRPr="00F33B4B">
        <w:t>ed</w:t>
      </w:r>
      <w:proofErr w:type="spellEnd"/>
      <w:r w:rsidRPr="00F33B4B">
        <w:t xml:space="preserve"> sorbents or MOFs in the TVSA route, by about an order of magnitude. This leads to a requirement of 16,244 kg of catalysts (twice as much as required for solid sorbents in TVSA). Despite th</w:t>
      </w:r>
      <w:r w:rsidR="00D4635D">
        <w:t>is</w:t>
      </w:r>
      <w:r w:rsidRPr="00F33B4B">
        <w:t xml:space="preserve"> substantial difference and a non-industrialized cost of approximately $272/kg for a DFM catalyst, nearly 18 times higher than reported for solid sorbents like MIL-101 (Sinha et al., 2017), DFMs demonstrate cost superiority.</w:t>
      </w:r>
      <w:r w:rsidR="005A1071" w:rsidRPr="007C6543">
        <w:rPr>
          <w:lang w:val="en-GB"/>
        </w:rPr>
        <w:t xml:space="preserve"> This is attributed to the fact that the size and number of reactors are mainly dictated by pressure drop limitations rather than adsorption rates. Additionally, the </w:t>
      </w:r>
      <w:proofErr w:type="gramStart"/>
      <w:r w:rsidR="005A1071" w:rsidRPr="007C6543">
        <w:rPr>
          <w:lang w:val="en-GB"/>
        </w:rPr>
        <w:t>heat-intensive</w:t>
      </w:r>
      <w:proofErr w:type="gramEnd"/>
      <w:r w:rsidR="005A1071" w:rsidRPr="007C6543">
        <w:rPr>
          <w:lang w:val="en-GB"/>
        </w:rPr>
        <w:t xml:space="preserve"> TVSA process imposes a high operational cost on the plant economy, a cost that can be mitigated by the DFM process with negligible external heat demand.</w:t>
      </w:r>
    </w:p>
    <w:p w14:paraId="32EE52A5" w14:textId="2FA6BAA3" w:rsidR="005A1071" w:rsidRPr="00FD5423" w:rsidRDefault="005A1071" w:rsidP="00574DE2">
      <w:pPr>
        <w:pStyle w:val="Els-body-text"/>
      </w:pPr>
      <w:r w:rsidRPr="007C6543">
        <w:rPr>
          <w:lang w:val="en-GB"/>
        </w:rPr>
        <w:t xml:space="preserve">The selected adsorption columns have the potential to accommodate additional sorbent loadings and increase adsorption rates, as the chosen reactor size (12.6 m³ reactors) exceeds the necessary catalyst </w:t>
      </w:r>
      <w:r w:rsidRPr="00FD5423">
        <w:t>containment volume by about 2.5 m³. This results in an extra total volume of 80 m³ for the entire 4 trains, indicating significant potential for elevating CO</w:t>
      </w:r>
      <w:r w:rsidRPr="005E6ADD">
        <w:rPr>
          <w:vertAlign w:val="subscript"/>
        </w:rPr>
        <w:t>2</w:t>
      </w:r>
      <w:r w:rsidRPr="00FD5423">
        <w:t xml:space="preserve"> concentration through scenarios such as integrating point source capturing.</w:t>
      </w:r>
    </w:p>
    <w:p w14:paraId="23DA024F" w14:textId="77777777" w:rsidR="00C96EAD" w:rsidRDefault="005A1071" w:rsidP="00BD6859">
      <w:pPr>
        <w:pStyle w:val="Els-body-text"/>
      </w:pPr>
      <w:r w:rsidRPr="00FD5423">
        <w:t xml:space="preserve">It's noteworthy that the </w:t>
      </w:r>
      <w:proofErr w:type="spellStart"/>
      <w:r w:rsidRPr="00FD5423">
        <w:t>optimi</w:t>
      </w:r>
      <w:r w:rsidR="00AB0CFA">
        <w:t>s</w:t>
      </w:r>
      <w:r w:rsidRPr="00FD5423">
        <w:t>ed</w:t>
      </w:r>
      <w:proofErr w:type="spellEnd"/>
      <w:r w:rsidRPr="00FD5423">
        <w:t xml:space="preserve"> DFM route </w:t>
      </w:r>
      <w:r w:rsidR="00F20E59">
        <w:t xml:space="preserve">is </w:t>
      </w:r>
      <w:r w:rsidRPr="00FD5423">
        <w:t>closely follow</w:t>
      </w:r>
      <w:r w:rsidR="00F20E59">
        <w:t>ed by</w:t>
      </w:r>
      <w:r w:rsidRPr="00FD5423">
        <w:t xml:space="preserve"> the optimum TVSA route (</w:t>
      </w:r>
      <w:r w:rsidR="007865BE">
        <w:t xml:space="preserve">in terms of </w:t>
      </w:r>
      <w:proofErr w:type="spellStart"/>
      <w:r w:rsidR="007865BE">
        <w:t>minimi</w:t>
      </w:r>
      <w:r w:rsidR="00B526EA">
        <w:t>s</w:t>
      </w:r>
      <w:r w:rsidR="007865BE">
        <w:t>ed</w:t>
      </w:r>
      <w:proofErr w:type="spellEnd"/>
      <w:r w:rsidR="007865BE">
        <w:t xml:space="preserve"> TAC</w:t>
      </w:r>
      <w:r w:rsidRPr="00FD5423">
        <w:t xml:space="preserve">), indicating room for further improvement in operational performance. </w:t>
      </w:r>
    </w:p>
    <w:p w14:paraId="457BA931" w14:textId="028C6C51" w:rsidR="00C96EAD" w:rsidRPr="00A916BD" w:rsidRDefault="00C96EAD" w:rsidP="00C96EAD">
      <w:pPr>
        <w:pStyle w:val="Caption"/>
        <w:keepNext/>
        <w:spacing w:before="120" w:after="80"/>
      </w:pPr>
      <w:bookmarkStart w:id="6" w:name="_Ref151380446"/>
      <w:r w:rsidRPr="00A916BD">
        <w:t xml:space="preserve">Table </w:t>
      </w:r>
      <w:r w:rsidRPr="00A916BD">
        <w:fldChar w:fldCharType="begin"/>
      </w:r>
      <w:r w:rsidRPr="00A916BD">
        <w:instrText xml:space="preserve"> SEQ Table \* ARABIC </w:instrText>
      </w:r>
      <w:r w:rsidRPr="00A916BD">
        <w:fldChar w:fldCharType="separate"/>
      </w:r>
      <w:r w:rsidR="00112912">
        <w:rPr>
          <w:noProof/>
        </w:rPr>
        <w:t>1</w:t>
      </w:r>
      <w:r w:rsidRPr="00A916BD">
        <w:fldChar w:fldCharType="end"/>
      </w:r>
      <w:bookmarkEnd w:id="6"/>
      <w:r w:rsidRPr="00A916BD">
        <w:t xml:space="preserve">: Economic metrics of the base-case and the </w:t>
      </w:r>
      <w:proofErr w:type="spellStart"/>
      <w:r w:rsidRPr="00A916BD">
        <w:t>optimi</w:t>
      </w:r>
      <w:r>
        <w:t>s</w:t>
      </w:r>
      <w:r w:rsidRPr="00A916BD">
        <w:t>ed</w:t>
      </w:r>
      <w:proofErr w:type="spellEnd"/>
      <w:r w:rsidRPr="00A916BD">
        <w:t xml:space="preserve"> case</w:t>
      </w:r>
    </w:p>
    <w:tbl>
      <w:tblPr>
        <w:tblStyle w:val="TableGrid"/>
        <w:tblW w:w="70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1616"/>
        <w:gridCol w:w="1321"/>
        <w:gridCol w:w="1269"/>
      </w:tblGrid>
      <w:tr w:rsidR="00C96EAD" w:rsidRPr="00A916BD" w14:paraId="45807F2D" w14:textId="77777777" w:rsidTr="000E6690">
        <w:trPr>
          <w:cantSplit/>
          <w:trHeight w:val="258"/>
          <w:jc w:val="center"/>
        </w:trPr>
        <w:tc>
          <w:tcPr>
            <w:tcW w:w="2836" w:type="dxa"/>
            <w:tcBorders>
              <w:top w:val="single" w:sz="8" w:space="0" w:color="000000"/>
              <w:bottom w:val="single" w:sz="8" w:space="0" w:color="000000"/>
            </w:tcBorders>
            <w:vAlign w:val="center"/>
          </w:tcPr>
          <w:p w14:paraId="341690DF" w14:textId="77777777" w:rsidR="00C96EAD" w:rsidRPr="00A916BD" w:rsidRDefault="00C96EAD" w:rsidP="000E6690">
            <w:pPr>
              <w:spacing w:after="60"/>
              <w:contextualSpacing/>
              <w:rPr>
                <w:rFonts w:asciiTheme="majorBidi" w:hAnsiTheme="majorBidi" w:cstheme="majorBidi"/>
                <w:b/>
                <w:bCs/>
                <w:sz w:val="18"/>
                <w:szCs w:val="18"/>
              </w:rPr>
            </w:pPr>
            <w:r w:rsidRPr="00A916BD">
              <w:rPr>
                <w:rFonts w:asciiTheme="majorBidi" w:hAnsiTheme="majorBidi" w:cstheme="majorBidi"/>
                <w:b/>
                <w:bCs/>
                <w:sz w:val="18"/>
                <w:szCs w:val="18"/>
              </w:rPr>
              <w:t>Description</w:t>
            </w:r>
          </w:p>
        </w:tc>
        <w:tc>
          <w:tcPr>
            <w:tcW w:w="1616" w:type="dxa"/>
            <w:tcBorders>
              <w:top w:val="single" w:sz="8" w:space="0" w:color="000000"/>
              <w:bottom w:val="single" w:sz="8" w:space="0" w:color="000000"/>
            </w:tcBorders>
            <w:vAlign w:val="center"/>
          </w:tcPr>
          <w:p w14:paraId="60C08D35" w14:textId="77777777" w:rsidR="00C96EAD" w:rsidRPr="00A916BD" w:rsidRDefault="00C96EAD" w:rsidP="000E6690">
            <w:pPr>
              <w:spacing w:after="60"/>
              <w:contextualSpacing/>
              <w:rPr>
                <w:rFonts w:asciiTheme="majorBidi" w:hAnsiTheme="majorBidi" w:cstheme="majorBidi"/>
                <w:b/>
                <w:bCs/>
                <w:sz w:val="18"/>
                <w:szCs w:val="18"/>
              </w:rPr>
            </w:pPr>
            <w:r w:rsidRPr="00A916BD">
              <w:rPr>
                <w:rFonts w:asciiTheme="majorBidi" w:hAnsiTheme="majorBidi" w:cstheme="majorBidi"/>
                <w:b/>
                <w:bCs/>
                <w:sz w:val="18"/>
                <w:szCs w:val="18"/>
              </w:rPr>
              <w:t>Variable</w:t>
            </w:r>
          </w:p>
        </w:tc>
        <w:tc>
          <w:tcPr>
            <w:tcW w:w="1321" w:type="dxa"/>
            <w:tcBorders>
              <w:top w:val="single" w:sz="8" w:space="0" w:color="000000"/>
              <w:bottom w:val="single" w:sz="8" w:space="0" w:color="000000"/>
            </w:tcBorders>
            <w:vAlign w:val="center"/>
          </w:tcPr>
          <w:p w14:paraId="55F60E0F" w14:textId="77777777" w:rsidR="00C96EAD" w:rsidRPr="00A916BD" w:rsidRDefault="00C96EAD" w:rsidP="000E6690">
            <w:pPr>
              <w:spacing w:after="60"/>
              <w:contextualSpacing/>
              <w:rPr>
                <w:rFonts w:asciiTheme="majorBidi" w:hAnsiTheme="majorBidi" w:cstheme="majorBidi"/>
                <w:b/>
                <w:bCs/>
                <w:sz w:val="18"/>
                <w:szCs w:val="18"/>
              </w:rPr>
            </w:pPr>
            <w:r w:rsidRPr="00A916BD">
              <w:rPr>
                <w:rFonts w:asciiTheme="majorBidi" w:hAnsiTheme="majorBidi" w:cstheme="majorBidi"/>
                <w:b/>
                <w:bCs/>
                <w:sz w:val="18"/>
                <w:szCs w:val="18"/>
              </w:rPr>
              <w:t>Base-Case</w:t>
            </w:r>
          </w:p>
        </w:tc>
        <w:tc>
          <w:tcPr>
            <w:tcW w:w="1269" w:type="dxa"/>
            <w:tcBorders>
              <w:top w:val="single" w:sz="8" w:space="0" w:color="000000"/>
              <w:bottom w:val="single" w:sz="8" w:space="0" w:color="000000"/>
            </w:tcBorders>
            <w:vAlign w:val="center"/>
          </w:tcPr>
          <w:p w14:paraId="5B862D30" w14:textId="77777777" w:rsidR="00C96EAD" w:rsidRPr="00A916BD" w:rsidRDefault="00C96EAD" w:rsidP="000E6690">
            <w:pPr>
              <w:spacing w:after="60"/>
              <w:contextualSpacing/>
              <w:rPr>
                <w:rFonts w:asciiTheme="majorBidi" w:hAnsiTheme="majorBidi" w:cstheme="majorBidi"/>
                <w:b/>
                <w:bCs/>
                <w:sz w:val="18"/>
                <w:szCs w:val="18"/>
              </w:rPr>
            </w:pPr>
            <w:r w:rsidRPr="00A916BD">
              <w:rPr>
                <w:rFonts w:asciiTheme="majorBidi" w:hAnsiTheme="majorBidi" w:cstheme="majorBidi"/>
                <w:b/>
                <w:bCs/>
                <w:sz w:val="18"/>
                <w:szCs w:val="18"/>
              </w:rPr>
              <w:t>Optimised</w:t>
            </w:r>
          </w:p>
        </w:tc>
      </w:tr>
      <w:tr w:rsidR="00C96EAD" w:rsidRPr="00A916BD" w14:paraId="3586C226" w14:textId="77777777" w:rsidTr="000E6690">
        <w:trPr>
          <w:cantSplit/>
          <w:trHeight w:val="258"/>
          <w:jc w:val="center"/>
        </w:trPr>
        <w:tc>
          <w:tcPr>
            <w:tcW w:w="2836" w:type="dxa"/>
            <w:tcBorders>
              <w:top w:val="single" w:sz="8" w:space="0" w:color="000000"/>
            </w:tcBorders>
            <w:vAlign w:val="center"/>
          </w:tcPr>
          <w:p w14:paraId="6D9BBB09" w14:textId="77777777" w:rsidR="00C96EAD" w:rsidRPr="00A916BD" w:rsidRDefault="00C96EAD" w:rsidP="000E6690">
            <w:pPr>
              <w:spacing w:after="60"/>
              <w:contextualSpacing/>
              <w:rPr>
                <w:rFonts w:asciiTheme="majorBidi" w:hAnsiTheme="majorBidi" w:cstheme="majorBidi"/>
                <w:i/>
                <w:iCs/>
                <w:sz w:val="18"/>
                <w:szCs w:val="18"/>
              </w:rPr>
            </w:pPr>
            <w:r w:rsidRPr="00A916BD">
              <w:rPr>
                <w:rFonts w:asciiTheme="majorBidi" w:hAnsiTheme="majorBidi" w:cstheme="majorBidi"/>
                <w:i/>
                <w:iCs/>
                <w:sz w:val="18"/>
                <w:szCs w:val="18"/>
              </w:rPr>
              <w:t>Total annual cost</w:t>
            </w:r>
          </w:p>
        </w:tc>
        <w:tc>
          <w:tcPr>
            <w:tcW w:w="1616" w:type="dxa"/>
            <w:tcBorders>
              <w:top w:val="single" w:sz="8" w:space="0" w:color="000000"/>
            </w:tcBorders>
            <w:vAlign w:val="center"/>
          </w:tcPr>
          <w:p w14:paraId="0A63325F" w14:textId="77777777" w:rsidR="00C96EAD" w:rsidRPr="00A916BD" w:rsidRDefault="00C96EAD" w:rsidP="000E6690">
            <w:pPr>
              <w:spacing w:after="60"/>
              <w:contextualSpacing/>
              <w:rPr>
                <w:rFonts w:asciiTheme="majorBidi" w:hAnsiTheme="majorBidi" w:cstheme="majorBidi"/>
                <w:i/>
                <w:iCs/>
                <w:sz w:val="18"/>
                <w:szCs w:val="18"/>
              </w:rPr>
            </w:pPr>
            <w:r w:rsidRPr="00A916BD">
              <w:rPr>
                <w:rFonts w:asciiTheme="majorBidi" w:hAnsiTheme="majorBidi" w:cstheme="majorBidi"/>
                <w:i/>
                <w:iCs/>
                <w:sz w:val="18"/>
                <w:szCs w:val="18"/>
              </w:rPr>
              <w:t>TAC ($)</w:t>
            </w:r>
          </w:p>
        </w:tc>
        <w:tc>
          <w:tcPr>
            <w:tcW w:w="1321" w:type="dxa"/>
            <w:tcBorders>
              <w:top w:val="single" w:sz="8" w:space="0" w:color="000000"/>
            </w:tcBorders>
            <w:vAlign w:val="center"/>
          </w:tcPr>
          <w:p w14:paraId="1A9021C8" w14:textId="77777777" w:rsidR="00C96EAD" w:rsidRPr="00A916BD" w:rsidRDefault="00C96EAD" w:rsidP="000E6690">
            <w:pPr>
              <w:spacing w:after="60"/>
              <w:contextualSpacing/>
              <w:rPr>
                <w:rFonts w:asciiTheme="majorBidi" w:hAnsiTheme="majorBidi" w:cstheme="majorBidi"/>
                <w:sz w:val="18"/>
                <w:szCs w:val="18"/>
              </w:rPr>
            </w:pPr>
            <w:r w:rsidRPr="00A916BD">
              <w:rPr>
                <w:rFonts w:asciiTheme="majorBidi" w:hAnsiTheme="majorBidi" w:cstheme="majorBidi"/>
                <w:sz w:val="18"/>
                <w:szCs w:val="18"/>
              </w:rPr>
              <w:t>32,632,516</w:t>
            </w:r>
          </w:p>
        </w:tc>
        <w:tc>
          <w:tcPr>
            <w:tcW w:w="1269" w:type="dxa"/>
            <w:tcBorders>
              <w:top w:val="single" w:sz="8" w:space="0" w:color="000000"/>
            </w:tcBorders>
            <w:vAlign w:val="center"/>
          </w:tcPr>
          <w:p w14:paraId="266CC322" w14:textId="77777777" w:rsidR="00C96EAD" w:rsidRPr="00A916BD" w:rsidRDefault="00C96EAD" w:rsidP="000E6690">
            <w:pPr>
              <w:spacing w:after="60"/>
              <w:contextualSpacing/>
              <w:rPr>
                <w:rFonts w:asciiTheme="majorBidi" w:hAnsiTheme="majorBidi" w:cstheme="majorBidi"/>
                <w:sz w:val="18"/>
                <w:szCs w:val="18"/>
              </w:rPr>
            </w:pPr>
            <w:r w:rsidRPr="00A916BD">
              <w:rPr>
                <w:rFonts w:asciiTheme="majorBidi" w:hAnsiTheme="majorBidi" w:cstheme="majorBidi"/>
                <w:sz w:val="18"/>
                <w:szCs w:val="18"/>
              </w:rPr>
              <w:t xml:space="preserve"> 16,016,557 </w:t>
            </w:r>
          </w:p>
        </w:tc>
      </w:tr>
      <w:tr w:rsidR="00C96EAD" w:rsidRPr="00A916BD" w14:paraId="01AB61E8" w14:textId="77777777" w:rsidTr="000E6690">
        <w:trPr>
          <w:cantSplit/>
          <w:trHeight w:val="258"/>
          <w:jc w:val="center"/>
        </w:trPr>
        <w:tc>
          <w:tcPr>
            <w:tcW w:w="2836" w:type="dxa"/>
            <w:vAlign w:val="center"/>
          </w:tcPr>
          <w:p w14:paraId="0DD2FAA2" w14:textId="77777777" w:rsidR="00C96EAD" w:rsidRPr="00A916BD" w:rsidRDefault="00C96EAD" w:rsidP="000E6690">
            <w:pPr>
              <w:spacing w:after="60"/>
              <w:contextualSpacing/>
              <w:rPr>
                <w:rFonts w:asciiTheme="majorBidi" w:hAnsiTheme="majorBidi" w:cstheme="majorBidi"/>
                <w:i/>
                <w:iCs/>
                <w:sz w:val="18"/>
                <w:szCs w:val="18"/>
              </w:rPr>
            </w:pPr>
            <w:proofErr w:type="gramStart"/>
            <w:r w:rsidRPr="00A916BD">
              <w:rPr>
                <w:rFonts w:asciiTheme="majorBidi" w:hAnsiTheme="majorBidi" w:cstheme="majorBidi"/>
                <w:i/>
                <w:iCs/>
                <w:sz w:val="18"/>
                <w:szCs w:val="18"/>
              </w:rPr>
              <w:t>Total</w:t>
            </w:r>
            <w:proofErr w:type="gramEnd"/>
            <w:r w:rsidRPr="00A916BD">
              <w:rPr>
                <w:rFonts w:asciiTheme="majorBidi" w:hAnsiTheme="majorBidi" w:cstheme="majorBidi"/>
                <w:i/>
                <w:iCs/>
                <w:sz w:val="18"/>
                <w:szCs w:val="18"/>
              </w:rPr>
              <w:t xml:space="preserve"> </w:t>
            </w:r>
            <w:r>
              <w:rPr>
                <w:rFonts w:asciiTheme="majorBidi" w:hAnsiTheme="majorBidi" w:cstheme="majorBidi"/>
                <w:i/>
                <w:iCs/>
                <w:sz w:val="18"/>
                <w:szCs w:val="18"/>
              </w:rPr>
              <w:t xml:space="preserve">annualise </w:t>
            </w:r>
            <w:r w:rsidRPr="00A916BD">
              <w:rPr>
                <w:rFonts w:asciiTheme="majorBidi" w:hAnsiTheme="majorBidi" w:cstheme="majorBidi"/>
                <w:i/>
                <w:iCs/>
                <w:sz w:val="18"/>
                <w:szCs w:val="18"/>
              </w:rPr>
              <w:t>capital cost</w:t>
            </w:r>
          </w:p>
        </w:tc>
        <w:tc>
          <w:tcPr>
            <w:tcW w:w="1616" w:type="dxa"/>
            <w:vAlign w:val="center"/>
          </w:tcPr>
          <w:p w14:paraId="71E5CF9F" w14:textId="77777777" w:rsidR="00C96EAD" w:rsidRPr="00A916BD" w:rsidRDefault="00C96EAD" w:rsidP="000E6690">
            <w:pPr>
              <w:spacing w:after="60"/>
              <w:contextualSpacing/>
              <w:rPr>
                <w:rFonts w:asciiTheme="majorBidi" w:hAnsiTheme="majorBidi" w:cstheme="majorBidi"/>
                <w:i/>
                <w:iCs/>
                <w:sz w:val="18"/>
                <w:szCs w:val="18"/>
              </w:rPr>
            </w:pPr>
            <w:r w:rsidRPr="00A916BD">
              <w:rPr>
                <w:rFonts w:asciiTheme="majorBidi" w:hAnsiTheme="majorBidi" w:cstheme="majorBidi"/>
                <w:i/>
                <w:iCs/>
                <w:sz w:val="18"/>
                <w:szCs w:val="18"/>
              </w:rPr>
              <w:t>CAPEX ($)</w:t>
            </w:r>
          </w:p>
        </w:tc>
        <w:tc>
          <w:tcPr>
            <w:tcW w:w="1321" w:type="dxa"/>
            <w:vAlign w:val="center"/>
          </w:tcPr>
          <w:p w14:paraId="185AFE80" w14:textId="77777777" w:rsidR="00C96EAD" w:rsidRPr="00A916BD" w:rsidRDefault="00C96EAD" w:rsidP="000E6690">
            <w:pPr>
              <w:spacing w:after="60"/>
              <w:contextualSpacing/>
              <w:rPr>
                <w:rFonts w:asciiTheme="majorBidi" w:hAnsiTheme="majorBidi" w:cstheme="majorBidi"/>
                <w:sz w:val="18"/>
                <w:szCs w:val="18"/>
              </w:rPr>
            </w:pPr>
            <w:r w:rsidRPr="00A916BD">
              <w:rPr>
                <w:rFonts w:asciiTheme="majorBidi" w:hAnsiTheme="majorBidi" w:cstheme="majorBidi"/>
                <w:sz w:val="18"/>
                <w:szCs w:val="18"/>
              </w:rPr>
              <w:t>2,056,203</w:t>
            </w:r>
          </w:p>
        </w:tc>
        <w:tc>
          <w:tcPr>
            <w:tcW w:w="1269" w:type="dxa"/>
            <w:vAlign w:val="center"/>
          </w:tcPr>
          <w:p w14:paraId="75E2322A" w14:textId="77777777" w:rsidR="00C96EAD" w:rsidRPr="00A916BD" w:rsidRDefault="00C96EAD" w:rsidP="000E6690">
            <w:pPr>
              <w:spacing w:after="60"/>
              <w:contextualSpacing/>
              <w:rPr>
                <w:rFonts w:asciiTheme="majorBidi" w:hAnsiTheme="majorBidi" w:cstheme="majorBidi"/>
                <w:sz w:val="18"/>
                <w:szCs w:val="18"/>
              </w:rPr>
            </w:pPr>
            <w:r w:rsidRPr="00A916BD">
              <w:rPr>
                <w:rFonts w:asciiTheme="majorBidi" w:hAnsiTheme="majorBidi" w:cstheme="majorBidi"/>
                <w:sz w:val="18"/>
                <w:szCs w:val="18"/>
              </w:rPr>
              <w:t xml:space="preserve"> 3,308,706 </w:t>
            </w:r>
          </w:p>
        </w:tc>
      </w:tr>
      <w:tr w:rsidR="00C96EAD" w:rsidRPr="00A916BD" w14:paraId="1AFECFD7" w14:textId="77777777" w:rsidTr="000E6690">
        <w:trPr>
          <w:cantSplit/>
          <w:trHeight w:val="258"/>
          <w:jc w:val="center"/>
        </w:trPr>
        <w:tc>
          <w:tcPr>
            <w:tcW w:w="2836" w:type="dxa"/>
            <w:vAlign w:val="center"/>
          </w:tcPr>
          <w:p w14:paraId="26D7C372" w14:textId="77777777" w:rsidR="00C96EAD" w:rsidRPr="00A916BD" w:rsidRDefault="00C96EAD" w:rsidP="000E6690">
            <w:pPr>
              <w:spacing w:after="60"/>
              <w:contextualSpacing/>
              <w:rPr>
                <w:rFonts w:asciiTheme="majorBidi" w:hAnsiTheme="majorBidi" w:cstheme="majorBidi"/>
                <w:i/>
                <w:iCs/>
                <w:sz w:val="18"/>
                <w:szCs w:val="18"/>
              </w:rPr>
            </w:pPr>
            <w:r w:rsidRPr="00A916BD">
              <w:rPr>
                <w:rFonts w:asciiTheme="majorBidi" w:hAnsiTheme="majorBidi" w:cstheme="majorBidi"/>
                <w:i/>
                <w:iCs/>
                <w:sz w:val="18"/>
                <w:szCs w:val="18"/>
              </w:rPr>
              <w:t>Total operating cost</w:t>
            </w:r>
          </w:p>
        </w:tc>
        <w:tc>
          <w:tcPr>
            <w:tcW w:w="1616" w:type="dxa"/>
            <w:vAlign w:val="center"/>
          </w:tcPr>
          <w:p w14:paraId="3E71AECE" w14:textId="77777777" w:rsidR="00C96EAD" w:rsidRPr="00A916BD" w:rsidRDefault="00C96EAD" w:rsidP="000E6690">
            <w:pPr>
              <w:spacing w:after="60"/>
              <w:contextualSpacing/>
              <w:rPr>
                <w:rFonts w:asciiTheme="majorBidi" w:hAnsiTheme="majorBidi" w:cstheme="majorBidi"/>
                <w:i/>
                <w:iCs/>
                <w:sz w:val="18"/>
                <w:szCs w:val="18"/>
              </w:rPr>
            </w:pPr>
            <w:r w:rsidRPr="00A916BD">
              <w:rPr>
                <w:rFonts w:asciiTheme="majorBidi" w:hAnsiTheme="majorBidi" w:cstheme="majorBidi"/>
                <w:i/>
                <w:iCs/>
                <w:sz w:val="18"/>
                <w:szCs w:val="18"/>
              </w:rPr>
              <w:t>OPEX ($)</w:t>
            </w:r>
          </w:p>
        </w:tc>
        <w:tc>
          <w:tcPr>
            <w:tcW w:w="1321" w:type="dxa"/>
            <w:vAlign w:val="center"/>
          </w:tcPr>
          <w:p w14:paraId="2A4BDCC5" w14:textId="77777777" w:rsidR="00C96EAD" w:rsidRPr="00A916BD" w:rsidRDefault="00C96EAD" w:rsidP="000E6690">
            <w:pPr>
              <w:spacing w:after="60"/>
              <w:contextualSpacing/>
              <w:rPr>
                <w:rFonts w:asciiTheme="majorBidi" w:hAnsiTheme="majorBidi" w:cstheme="majorBidi"/>
                <w:sz w:val="18"/>
                <w:szCs w:val="18"/>
              </w:rPr>
            </w:pPr>
            <w:r w:rsidRPr="00A916BD">
              <w:rPr>
                <w:rFonts w:asciiTheme="majorBidi" w:hAnsiTheme="majorBidi" w:cstheme="majorBidi"/>
                <w:sz w:val="18"/>
                <w:szCs w:val="18"/>
              </w:rPr>
              <w:t>32,444,606</w:t>
            </w:r>
          </w:p>
        </w:tc>
        <w:tc>
          <w:tcPr>
            <w:tcW w:w="1269" w:type="dxa"/>
            <w:vAlign w:val="center"/>
          </w:tcPr>
          <w:p w14:paraId="3B61336E" w14:textId="77777777" w:rsidR="00C96EAD" w:rsidRPr="00A916BD" w:rsidRDefault="00C96EAD" w:rsidP="000E6690">
            <w:pPr>
              <w:spacing w:after="60"/>
              <w:contextualSpacing/>
              <w:rPr>
                <w:rFonts w:asciiTheme="majorBidi" w:hAnsiTheme="majorBidi" w:cstheme="majorBidi"/>
                <w:sz w:val="18"/>
                <w:szCs w:val="18"/>
              </w:rPr>
            </w:pPr>
            <w:r w:rsidRPr="00A916BD">
              <w:rPr>
                <w:rFonts w:asciiTheme="majorBidi" w:hAnsiTheme="majorBidi" w:cstheme="majorBidi"/>
                <w:sz w:val="18"/>
                <w:szCs w:val="18"/>
              </w:rPr>
              <w:t xml:space="preserve"> 14,582,117 </w:t>
            </w:r>
          </w:p>
        </w:tc>
      </w:tr>
      <w:tr w:rsidR="00C96EAD" w:rsidRPr="00A916BD" w14:paraId="38AFB3FA" w14:textId="77777777" w:rsidTr="000E6690">
        <w:trPr>
          <w:cantSplit/>
          <w:trHeight w:val="142"/>
          <w:jc w:val="center"/>
        </w:trPr>
        <w:tc>
          <w:tcPr>
            <w:tcW w:w="2836" w:type="dxa"/>
            <w:tcBorders>
              <w:bottom w:val="single" w:sz="8" w:space="0" w:color="000000"/>
            </w:tcBorders>
            <w:vAlign w:val="center"/>
          </w:tcPr>
          <w:p w14:paraId="3C782C85" w14:textId="77777777" w:rsidR="00C96EAD" w:rsidRPr="00A916BD" w:rsidRDefault="00C96EAD" w:rsidP="000E6690">
            <w:pPr>
              <w:spacing w:after="60"/>
              <w:contextualSpacing/>
              <w:rPr>
                <w:rFonts w:asciiTheme="majorBidi" w:hAnsiTheme="majorBidi" w:cstheme="majorBidi"/>
                <w:i/>
                <w:iCs/>
                <w:sz w:val="18"/>
                <w:szCs w:val="18"/>
              </w:rPr>
            </w:pPr>
            <w:r w:rsidRPr="00A916BD">
              <w:rPr>
                <w:rFonts w:asciiTheme="majorBidi" w:hAnsiTheme="majorBidi" w:cstheme="majorBidi"/>
                <w:i/>
                <w:iCs/>
                <w:sz w:val="18"/>
                <w:szCs w:val="18"/>
              </w:rPr>
              <w:t>Total revenue</w:t>
            </w:r>
          </w:p>
        </w:tc>
        <w:tc>
          <w:tcPr>
            <w:tcW w:w="1616" w:type="dxa"/>
            <w:tcBorders>
              <w:bottom w:val="single" w:sz="8" w:space="0" w:color="000000"/>
            </w:tcBorders>
            <w:vAlign w:val="center"/>
          </w:tcPr>
          <w:p w14:paraId="6950B3BE" w14:textId="77777777" w:rsidR="00C96EAD" w:rsidRPr="00A916BD" w:rsidRDefault="00C96EAD" w:rsidP="000E6690">
            <w:pPr>
              <w:spacing w:after="60"/>
              <w:contextualSpacing/>
              <w:rPr>
                <w:rFonts w:asciiTheme="majorBidi" w:hAnsiTheme="majorBidi" w:cstheme="majorBidi"/>
                <w:i/>
                <w:iCs/>
                <w:sz w:val="18"/>
                <w:szCs w:val="18"/>
              </w:rPr>
            </w:pPr>
            <w:r w:rsidRPr="00A916BD">
              <w:rPr>
                <w:rFonts w:asciiTheme="majorBidi" w:hAnsiTheme="majorBidi" w:cstheme="majorBidi"/>
                <w:i/>
                <w:iCs/>
                <w:sz w:val="18"/>
                <w:szCs w:val="18"/>
              </w:rPr>
              <w:t>Revenue ($)</w:t>
            </w:r>
          </w:p>
        </w:tc>
        <w:tc>
          <w:tcPr>
            <w:tcW w:w="1321" w:type="dxa"/>
            <w:tcBorders>
              <w:bottom w:val="single" w:sz="8" w:space="0" w:color="000000"/>
            </w:tcBorders>
            <w:vAlign w:val="center"/>
          </w:tcPr>
          <w:p w14:paraId="580C8086" w14:textId="77777777" w:rsidR="00C96EAD" w:rsidRPr="00A916BD" w:rsidRDefault="00C96EAD" w:rsidP="000E6690">
            <w:pPr>
              <w:spacing w:after="60"/>
              <w:contextualSpacing/>
              <w:rPr>
                <w:rFonts w:asciiTheme="majorBidi" w:hAnsiTheme="majorBidi" w:cstheme="majorBidi"/>
                <w:sz w:val="18"/>
                <w:szCs w:val="18"/>
              </w:rPr>
            </w:pPr>
            <w:r w:rsidRPr="00A916BD">
              <w:rPr>
                <w:rFonts w:asciiTheme="majorBidi" w:hAnsiTheme="majorBidi" w:cstheme="majorBidi"/>
                <w:sz w:val="18"/>
                <w:szCs w:val="18"/>
              </w:rPr>
              <w:t>1,868,293</w:t>
            </w:r>
          </w:p>
        </w:tc>
        <w:tc>
          <w:tcPr>
            <w:tcW w:w="1269" w:type="dxa"/>
            <w:tcBorders>
              <w:bottom w:val="single" w:sz="8" w:space="0" w:color="000000"/>
            </w:tcBorders>
            <w:vAlign w:val="center"/>
          </w:tcPr>
          <w:p w14:paraId="72AB8239" w14:textId="77777777" w:rsidR="00C96EAD" w:rsidRPr="00A916BD" w:rsidRDefault="00C96EAD" w:rsidP="000E6690">
            <w:pPr>
              <w:spacing w:after="60"/>
              <w:contextualSpacing/>
              <w:rPr>
                <w:rFonts w:asciiTheme="majorBidi" w:hAnsiTheme="majorBidi" w:cstheme="majorBidi"/>
                <w:sz w:val="18"/>
                <w:szCs w:val="18"/>
              </w:rPr>
            </w:pPr>
            <w:r w:rsidRPr="00A916BD">
              <w:rPr>
                <w:rFonts w:asciiTheme="majorBidi" w:hAnsiTheme="majorBidi" w:cstheme="majorBidi"/>
                <w:sz w:val="18"/>
                <w:szCs w:val="18"/>
              </w:rPr>
              <w:t xml:space="preserve"> 1,874,266 </w:t>
            </w:r>
          </w:p>
        </w:tc>
      </w:tr>
    </w:tbl>
    <w:p w14:paraId="7DF19263" w14:textId="2D9763BD" w:rsidR="00272142" w:rsidRDefault="005A1071" w:rsidP="00BD6859">
      <w:pPr>
        <w:pStyle w:val="Els-body-text"/>
        <w:rPr>
          <w:lang w:val="en-GB"/>
        </w:rPr>
      </w:pPr>
      <w:r w:rsidRPr="00FD5423">
        <w:lastRenderedPageBreak/>
        <w:t>The DFM process will undergo further study in the</w:t>
      </w:r>
      <w:r w:rsidRPr="007C6543">
        <w:rPr>
          <w:lang w:val="en-GB"/>
        </w:rPr>
        <w:t xml:space="preserve"> non-isothermal mode, automatically increasing its CO</w:t>
      </w:r>
      <w:r w:rsidRPr="0081355F">
        <w:rPr>
          <w:vertAlign w:val="subscript"/>
          <w:lang w:val="en-GB"/>
        </w:rPr>
        <w:t>2</w:t>
      </w:r>
      <w:r w:rsidRPr="007C6543">
        <w:rPr>
          <w:lang w:val="en-GB"/>
        </w:rPr>
        <w:t xml:space="preserve"> capacity rate, reducing catalyst weight, and associated capital costs. Furthermore, ongoing </w:t>
      </w:r>
      <w:r w:rsidRPr="00FD5423">
        <w:t>material</w:t>
      </w:r>
      <w:r w:rsidRPr="007C6543">
        <w:rPr>
          <w:lang w:val="en-GB"/>
        </w:rPr>
        <w:t xml:space="preserve"> enhancements aim to further augment CO</w:t>
      </w:r>
      <w:r w:rsidRPr="00C403D3">
        <w:rPr>
          <w:vertAlign w:val="subscript"/>
          <w:lang w:val="en-GB"/>
        </w:rPr>
        <w:t>2</w:t>
      </w:r>
      <w:r w:rsidRPr="007C6543">
        <w:rPr>
          <w:lang w:val="en-GB"/>
        </w:rPr>
        <w:t xml:space="preserve"> uptake.</w:t>
      </w:r>
    </w:p>
    <w:p w14:paraId="144DE6BA" w14:textId="29E4DB3A" w:rsidR="008D2649" w:rsidRPr="00A94774" w:rsidRDefault="008D2649" w:rsidP="00574DE2">
      <w:pPr>
        <w:pStyle w:val="Els-1storder-head"/>
        <w:keepNext w:val="0"/>
        <w:suppressAutoHyphens w:val="0"/>
        <w:spacing w:after="120"/>
        <w:rPr>
          <w:lang w:val="en-GB"/>
        </w:rPr>
      </w:pPr>
      <w:r w:rsidRPr="00A94774">
        <w:rPr>
          <w:lang w:val="en-GB"/>
        </w:rPr>
        <w:t>Conclusions</w:t>
      </w:r>
    </w:p>
    <w:p w14:paraId="24C6C6EF" w14:textId="1DD0753D" w:rsidR="009D185C" w:rsidRPr="00D7516B" w:rsidRDefault="001B13CD" w:rsidP="008B419E">
      <w:pPr>
        <w:pStyle w:val="Els-body-text"/>
        <w:jc w:val="lowKashida"/>
      </w:pPr>
      <w:r w:rsidRPr="001B13CD">
        <w:t xml:space="preserve">Despite </w:t>
      </w:r>
      <w:r w:rsidR="000974BB">
        <w:t>its</w:t>
      </w:r>
      <w:r w:rsidRPr="001B13CD">
        <w:t xml:space="preserve"> lower CO</w:t>
      </w:r>
      <w:r w:rsidRPr="001B13CD">
        <w:rPr>
          <w:vertAlign w:val="subscript"/>
        </w:rPr>
        <w:t>2</w:t>
      </w:r>
      <w:r w:rsidRPr="001B13CD">
        <w:t xml:space="preserve"> capacity and a more expensive catalyst, DFM </w:t>
      </w:r>
      <w:r w:rsidR="002C4D77">
        <w:t>is shown to being a more cost-effective DAC technology than</w:t>
      </w:r>
      <w:r w:rsidRPr="001B13CD">
        <w:t xml:space="preserve"> TVSA</w:t>
      </w:r>
      <w:r w:rsidR="00693FA4">
        <w:t xml:space="preserve"> (3,260 $/</w:t>
      </w:r>
      <w:r w:rsidR="00A846DD">
        <w:t>t</w:t>
      </w:r>
      <w:r w:rsidR="00A846DD">
        <w:rPr>
          <w:vertAlign w:val="subscript"/>
        </w:rPr>
        <w:t>CO</w:t>
      </w:r>
      <w:r w:rsidR="00303CAE">
        <w:rPr>
          <w:vertAlign w:val="subscript"/>
        </w:rPr>
        <w:t>2</w:t>
      </w:r>
      <w:r w:rsidR="0077243D">
        <w:t xml:space="preserve"> per year</w:t>
      </w:r>
      <w:r w:rsidR="009646EC">
        <w:t>)</w:t>
      </w:r>
      <w:r w:rsidR="00A846DD">
        <w:t xml:space="preserve"> </w:t>
      </w:r>
      <w:r w:rsidRPr="001B13CD">
        <w:t xml:space="preserve">indicating a promising future for development. This is </w:t>
      </w:r>
      <w:r w:rsidR="00CB5E0A">
        <w:t>potentially</w:t>
      </w:r>
      <w:r w:rsidR="005A6F0D">
        <w:t xml:space="preserve"> </w:t>
      </w:r>
      <w:r w:rsidRPr="001B13CD">
        <w:t>achiev</w:t>
      </w:r>
      <w:r w:rsidR="005A6F0D">
        <w:t>able</w:t>
      </w:r>
      <w:r w:rsidRPr="001B13CD">
        <w:t xml:space="preserve"> through enhancing uptake capacity via low-temperature adsorption and material design. Additionally, the research highlights the crucial impact of reactor geometry on air-intake performance, subsequently affecting fan energy consumption and the overall cost of DAC projects.</w:t>
      </w:r>
      <w:r w:rsidR="005D35E0">
        <w:t xml:space="preserve"> </w:t>
      </w:r>
    </w:p>
    <w:p w14:paraId="144DE6BF" w14:textId="608D0AD6" w:rsidR="008D2649" w:rsidRDefault="008D2649" w:rsidP="008D2649">
      <w:pPr>
        <w:pStyle w:val="Els-reference-head"/>
      </w:pPr>
      <w:r>
        <w:t>References</w:t>
      </w:r>
    </w:p>
    <w:sdt>
      <w:sdtPr>
        <w:rPr>
          <w:noProof/>
          <w:sz w:val="18"/>
          <w:lang w:val="en-US"/>
        </w:rPr>
        <w:tag w:val="MENDELEY_BIBLIOGRAPHY"/>
        <w:id w:val="-1741779645"/>
        <w:placeholder>
          <w:docPart w:val="DefaultPlaceholder_-1854013440"/>
        </w:placeholder>
      </w:sdtPr>
      <w:sdtEndPr/>
      <w:sdtContent>
        <w:p w14:paraId="6DD02B78" w14:textId="77777777" w:rsidR="0032266F" w:rsidRDefault="0032266F">
          <w:pPr>
            <w:autoSpaceDE w:val="0"/>
            <w:autoSpaceDN w:val="0"/>
            <w:ind w:hanging="480"/>
            <w:divId w:val="1631789191"/>
            <w:rPr>
              <w:sz w:val="24"/>
              <w:szCs w:val="24"/>
            </w:rPr>
          </w:pPr>
          <w:r>
            <w:t xml:space="preserve">Bertran, M. O., </w:t>
          </w:r>
          <w:proofErr w:type="spellStart"/>
          <w:r>
            <w:t>Frauzem</w:t>
          </w:r>
          <w:proofErr w:type="spellEnd"/>
          <w:r>
            <w:t xml:space="preserve">, R., Sanchez-Arcilla, A. S., Zhang, L., Woodley, J. M., &amp; Gani, R. (2017). A generic methodology for processing route synthesis and design based on superstructure optimization. </w:t>
          </w:r>
          <w:r>
            <w:rPr>
              <w:i/>
              <w:iCs/>
            </w:rPr>
            <w:t>Computers &amp; Chemical Engineering</w:t>
          </w:r>
          <w:r>
            <w:t xml:space="preserve">, </w:t>
          </w:r>
          <w:r>
            <w:rPr>
              <w:i/>
              <w:iCs/>
            </w:rPr>
            <w:t>106</w:t>
          </w:r>
          <w:r>
            <w:t>, 892–910. https://doi.org/10.1016/J.COMPCHEMENG.2017.01.030</w:t>
          </w:r>
        </w:p>
        <w:p w14:paraId="662095C6" w14:textId="77777777" w:rsidR="0032266F" w:rsidRDefault="0032266F">
          <w:pPr>
            <w:autoSpaceDE w:val="0"/>
            <w:autoSpaceDN w:val="0"/>
            <w:ind w:hanging="480"/>
            <w:divId w:val="1849520384"/>
          </w:pPr>
          <w:r>
            <w:t xml:space="preserve">Chen, Q., &amp; Grossmann, I. E. (2017). Recent Developments and Challenges in Optimization-Based Process Synthesis. </w:t>
          </w:r>
          <w:r>
            <w:rPr>
              <w:i/>
              <w:iCs/>
            </w:rPr>
            <w:t>Https://Doi.Org/10.1146/Annurev-Chembioeng-080615-033546</w:t>
          </w:r>
          <w:r>
            <w:t xml:space="preserve">, </w:t>
          </w:r>
          <w:r>
            <w:rPr>
              <w:i/>
              <w:iCs/>
            </w:rPr>
            <w:t>8</w:t>
          </w:r>
          <w:r>
            <w:t>, 249–283. https://doi.org/10.1146/ANNUREV-CHEMBIOENG-080615-033546</w:t>
          </w:r>
        </w:p>
        <w:p w14:paraId="0B1EBE73" w14:textId="77777777" w:rsidR="0032266F" w:rsidRDefault="0032266F">
          <w:pPr>
            <w:autoSpaceDE w:val="0"/>
            <w:autoSpaceDN w:val="0"/>
            <w:ind w:hanging="480"/>
            <w:divId w:val="1009411842"/>
          </w:pPr>
          <w:r>
            <w:t xml:space="preserve">Duyar, M. S., Treviño, M. A. A., &amp; Farrauto, R. J. (2015). Dual function materials for CO2 capture and conversion using renewable H2. </w:t>
          </w:r>
          <w:r>
            <w:rPr>
              <w:i/>
              <w:iCs/>
            </w:rPr>
            <w:t>Applied Catalysis B: Environmental</w:t>
          </w:r>
          <w:r>
            <w:t xml:space="preserve">, </w:t>
          </w:r>
          <w:r>
            <w:rPr>
              <w:i/>
              <w:iCs/>
            </w:rPr>
            <w:t>168–169</w:t>
          </w:r>
          <w:r>
            <w:t>, 370–376. https://doi.org/10.1016/J.APCATB.2014.12.025</w:t>
          </w:r>
        </w:p>
        <w:p w14:paraId="357CFC5F" w14:textId="77777777" w:rsidR="0032266F" w:rsidRDefault="0032266F">
          <w:pPr>
            <w:autoSpaceDE w:val="0"/>
            <w:autoSpaceDN w:val="0"/>
            <w:ind w:hanging="480"/>
            <w:divId w:val="1609003136"/>
          </w:pPr>
          <w:r>
            <w:t xml:space="preserve">Faruque Hasan, M. M., </w:t>
          </w:r>
          <w:proofErr w:type="spellStart"/>
          <w:r>
            <w:t>Zantye</w:t>
          </w:r>
          <w:proofErr w:type="spellEnd"/>
          <w:r>
            <w:t xml:space="preserve">, M. S., &amp; Kazi, M.-K. (2022). </w:t>
          </w:r>
          <w:r>
            <w:rPr>
              <w:i/>
              <w:iCs/>
            </w:rPr>
            <w:t xml:space="preserve">Challenges and opportunities in carbon capture, </w:t>
          </w:r>
          <w:proofErr w:type="gramStart"/>
          <w:r>
            <w:rPr>
              <w:i/>
              <w:iCs/>
            </w:rPr>
            <w:t>utilization</w:t>
          </w:r>
          <w:proofErr w:type="gramEnd"/>
          <w:r>
            <w:rPr>
              <w:i/>
              <w:iCs/>
            </w:rPr>
            <w:t xml:space="preserve"> and storage: A process systems engineering perspective</w:t>
          </w:r>
          <w:r>
            <w:t>. https://doi.org/10.1016/j.compchemeng.2022.107925</w:t>
          </w:r>
        </w:p>
        <w:p w14:paraId="16EAA401" w14:textId="77777777" w:rsidR="0032266F" w:rsidRDefault="0032266F">
          <w:pPr>
            <w:autoSpaceDE w:val="0"/>
            <w:autoSpaceDN w:val="0"/>
            <w:ind w:hanging="480"/>
            <w:divId w:val="72090549"/>
          </w:pPr>
          <w:r>
            <w:t xml:space="preserve">Kenkel, P., Wassermann, T., Rose, C., &amp; Zondervan, E. (2021). A generic superstructure modeling and optimization framework on the example of bi-criteria Power-to-Methanol process design. </w:t>
          </w:r>
          <w:r>
            <w:rPr>
              <w:i/>
              <w:iCs/>
            </w:rPr>
            <w:t>Computers &amp; Chemical Engineering</w:t>
          </w:r>
          <w:r>
            <w:t xml:space="preserve">, </w:t>
          </w:r>
          <w:r>
            <w:rPr>
              <w:i/>
              <w:iCs/>
            </w:rPr>
            <w:t>150</w:t>
          </w:r>
          <w:r>
            <w:t>, 107327. https://doi.org/https://doi.org/10.1016/j.compchemeng.2021.107327</w:t>
          </w:r>
        </w:p>
        <w:p w14:paraId="42A26586" w14:textId="77777777" w:rsidR="0032266F" w:rsidRDefault="0032266F">
          <w:pPr>
            <w:autoSpaceDE w:val="0"/>
            <w:autoSpaceDN w:val="0"/>
            <w:ind w:hanging="480"/>
            <w:divId w:val="1216964859"/>
          </w:pPr>
          <w:r>
            <w:t xml:space="preserve">Sabatino, F., Grimm, A., Gallucci, F., van Sint </w:t>
          </w:r>
          <w:proofErr w:type="spellStart"/>
          <w:r>
            <w:t>Annaland</w:t>
          </w:r>
          <w:proofErr w:type="spellEnd"/>
          <w:r>
            <w:t xml:space="preserve">, M., Kramer, G. J., &amp; </w:t>
          </w:r>
          <w:proofErr w:type="spellStart"/>
          <w:r>
            <w:t>Gazzani</w:t>
          </w:r>
          <w:proofErr w:type="spellEnd"/>
          <w:r>
            <w:t xml:space="preserve">, M. (2021). A comparative energy and costs assessment and optimization for direct air capture technologies. </w:t>
          </w:r>
          <w:r>
            <w:rPr>
              <w:i/>
              <w:iCs/>
            </w:rPr>
            <w:t>Joule</w:t>
          </w:r>
          <w:r>
            <w:t xml:space="preserve">, </w:t>
          </w:r>
          <w:r>
            <w:rPr>
              <w:i/>
              <w:iCs/>
            </w:rPr>
            <w:t>5</w:t>
          </w:r>
          <w:r>
            <w:t>(8), 2047–2076. https://doi.org/10.1016/J.JOULE.2021.05.023</w:t>
          </w:r>
        </w:p>
        <w:p w14:paraId="6B1D9121" w14:textId="77777777" w:rsidR="0032266F" w:rsidRDefault="0032266F">
          <w:pPr>
            <w:autoSpaceDE w:val="0"/>
            <w:autoSpaceDN w:val="0"/>
            <w:ind w:hanging="480"/>
            <w:divId w:val="433673112"/>
          </w:pPr>
          <w:r>
            <w:t xml:space="preserve">Sinha, A., </w:t>
          </w:r>
          <w:proofErr w:type="spellStart"/>
          <w:r>
            <w:t>Darunte</w:t>
          </w:r>
          <w:proofErr w:type="spellEnd"/>
          <w:r>
            <w:t xml:space="preserve">, L. A., Jones, C. W., </w:t>
          </w:r>
          <w:proofErr w:type="spellStart"/>
          <w:r>
            <w:t>Realff</w:t>
          </w:r>
          <w:proofErr w:type="spellEnd"/>
          <w:r>
            <w:t xml:space="preserve">, M. J., &amp; </w:t>
          </w:r>
          <w:proofErr w:type="spellStart"/>
          <w:r>
            <w:t>Kawajiri</w:t>
          </w:r>
          <w:proofErr w:type="spellEnd"/>
          <w:r>
            <w:t>, Y. (2017). Systems Design and Economic Analysis of Direct Air Capture of CO2 through Temperature Vacuum Swing Adsorption Using MIL-101(Cr)-PEI-800 and mmen-Mg2(</w:t>
          </w:r>
          <w:proofErr w:type="spellStart"/>
          <w:r>
            <w:t>dobpdc</w:t>
          </w:r>
          <w:proofErr w:type="spellEnd"/>
          <w:r>
            <w:t xml:space="preserve">) MOF Adsorbents. </w:t>
          </w:r>
          <w:r>
            <w:rPr>
              <w:i/>
              <w:iCs/>
            </w:rPr>
            <w:t>Industrial &amp; Engineering Chemistry Research</w:t>
          </w:r>
          <w:r>
            <w:t xml:space="preserve">, </w:t>
          </w:r>
          <w:r>
            <w:rPr>
              <w:i/>
              <w:iCs/>
            </w:rPr>
            <w:t>56</w:t>
          </w:r>
          <w:r>
            <w:t>(3), 750–764. https://doi.org/10.1021/acs.iecr.6b03887</w:t>
          </w:r>
        </w:p>
        <w:p w14:paraId="68559BD1" w14:textId="77777777" w:rsidR="0032266F" w:rsidRDefault="0032266F">
          <w:pPr>
            <w:autoSpaceDE w:val="0"/>
            <w:autoSpaceDN w:val="0"/>
            <w:ind w:hanging="480"/>
            <w:divId w:val="319507070"/>
          </w:pPr>
          <w:r>
            <w:t xml:space="preserve">Towler, G., &amp; Sinnott, R. (2021). Chemical Engineering Design: Principles, Practice and Economics of Plant and Process Design. </w:t>
          </w:r>
          <w:r>
            <w:rPr>
              <w:i/>
              <w:iCs/>
            </w:rPr>
            <w:t>Chemical Engineering Design: Principles, Practice and Economics of Plant and Process Design</w:t>
          </w:r>
          <w:r>
            <w:t>, 1–1027. https://doi.org/10.1016/B978-0-12-821179-3.01001-3</w:t>
          </w:r>
        </w:p>
        <w:p w14:paraId="37479271" w14:textId="77777777" w:rsidR="0032266F" w:rsidRDefault="0032266F">
          <w:pPr>
            <w:autoSpaceDE w:val="0"/>
            <w:autoSpaceDN w:val="0"/>
            <w:ind w:hanging="480"/>
            <w:divId w:val="1428579916"/>
          </w:pPr>
          <w:r>
            <w:t xml:space="preserve">Uebbing, J., </w:t>
          </w:r>
          <w:proofErr w:type="spellStart"/>
          <w:r>
            <w:t>Rihko</w:t>
          </w:r>
          <w:proofErr w:type="spellEnd"/>
          <w:r>
            <w:t xml:space="preserve">-Struckmann, L., Sager, S., &amp; </w:t>
          </w:r>
          <w:proofErr w:type="spellStart"/>
          <w:r>
            <w:t>Sundmacher</w:t>
          </w:r>
          <w:proofErr w:type="spellEnd"/>
          <w:r>
            <w:t xml:space="preserve">, K. (2020). CO2 methanation process synthesis by superstructure optimization. </w:t>
          </w:r>
          <w:r>
            <w:rPr>
              <w:i/>
              <w:iCs/>
            </w:rPr>
            <w:t>Journal of CO2 Utilization</w:t>
          </w:r>
          <w:r>
            <w:t xml:space="preserve">, </w:t>
          </w:r>
          <w:r>
            <w:rPr>
              <w:i/>
              <w:iCs/>
            </w:rPr>
            <w:t>40</w:t>
          </w:r>
          <w:r>
            <w:t>, 101228. https://doi.org/https://doi.org/10.1016/j.jcou.2020.101228</w:t>
          </w:r>
        </w:p>
        <w:p w14:paraId="144DE6C3" w14:textId="4FC9DA02" w:rsidR="008D2649" w:rsidRDefault="0032266F" w:rsidP="008B419E">
          <w:pPr>
            <w:pStyle w:val="Els-referenceno-number"/>
            <w:jc w:val="lowKashida"/>
            <w:rPr>
              <w:lang w:val="en-US"/>
            </w:rPr>
          </w:pPr>
          <w:r>
            <w:t> </w:t>
          </w:r>
        </w:p>
      </w:sdtContent>
    </w:sdt>
    <w:sectPr w:rsidR="008D2649" w:rsidSect="001C1D14">
      <w:headerReference w:type="even" r:id="rId11"/>
      <w:headerReference w:type="default" r:id="rId12"/>
      <w:headerReference w:type="first" r:id="rId13"/>
      <w:type w:val="continuous"/>
      <w:pgSz w:w="11906" w:h="16838" w:code="9"/>
      <w:pgMar w:top="2377" w:right="2410" w:bottom="2892" w:left="2410" w:header="1560"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029F1" w14:textId="77777777" w:rsidR="00B240DA" w:rsidRDefault="00B240DA">
      <w:r>
        <w:separator/>
      </w:r>
    </w:p>
  </w:endnote>
  <w:endnote w:type="continuationSeparator" w:id="0">
    <w:p w14:paraId="5F351B6C" w14:textId="77777777" w:rsidR="00B240DA" w:rsidRDefault="00B240DA">
      <w:r>
        <w:continuationSeparator/>
      </w:r>
    </w:p>
  </w:endnote>
  <w:endnote w:type="continuationNotice" w:id="1">
    <w:p w14:paraId="5F8D3752" w14:textId="77777777" w:rsidR="00B240DA" w:rsidRDefault="00B240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F650D" w14:textId="77777777" w:rsidR="00B240DA" w:rsidRDefault="00B240DA">
      <w:r>
        <w:separator/>
      </w:r>
    </w:p>
  </w:footnote>
  <w:footnote w:type="continuationSeparator" w:id="0">
    <w:p w14:paraId="7C8BC486" w14:textId="77777777" w:rsidR="00B240DA" w:rsidRDefault="00B240DA">
      <w:r>
        <w:continuationSeparator/>
      </w:r>
    </w:p>
  </w:footnote>
  <w:footnote w:type="continuationNotice" w:id="1">
    <w:p w14:paraId="11827B8C" w14:textId="77777777" w:rsidR="00B240DA" w:rsidRDefault="00B240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17D08262" w:rsidR="00DD3D9E" w:rsidRDefault="00DD3D9E">
    <w:pPr>
      <w:pStyle w:val="Header"/>
      <w:tabs>
        <w:tab w:val="clear" w:pos="7200"/>
        <w:tab w:val="right" w:pos="7088"/>
      </w:tabs>
    </w:pPr>
    <w:r>
      <w:rPr>
        <w:rStyle w:val="PageNumber"/>
      </w:rPr>
      <w:tab/>
    </w:r>
    <w:r>
      <w:rPr>
        <w:rStyle w:val="PageNumber"/>
        <w:i/>
      </w:rPr>
      <w:tab/>
    </w:r>
    <w:r w:rsidR="006F16D5">
      <w:rPr>
        <w:i/>
      </w:rPr>
      <w:t>M. Dolat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58B039EF" w:rsidR="00DD3D9E" w:rsidRDefault="002D6780" w:rsidP="002D6780">
    <w:pPr>
      <w:pStyle w:val="Header"/>
      <w:tabs>
        <w:tab w:val="clear" w:pos="7200"/>
        <w:tab w:val="right" w:pos="7088"/>
      </w:tabs>
      <w:rPr>
        <w:sz w:val="24"/>
      </w:rPr>
    </w:pPr>
    <w:r w:rsidRPr="00606B12">
      <w:rPr>
        <w:color w:val="000000" w:themeColor="text1"/>
      </w:rPr>
      <w:t>Techno-economic evaluation of novel dual-function reactor for direct air capture applying superstructure optimisation</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212841B4"/>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714084298">
    <w:abstractNumId w:val="11"/>
  </w:num>
  <w:num w:numId="2" w16cid:durableId="1204946632">
    <w:abstractNumId w:val="11"/>
  </w:num>
  <w:num w:numId="3" w16cid:durableId="1542553050">
    <w:abstractNumId w:val="11"/>
  </w:num>
  <w:num w:numId="4" w16cid:durableId="1396584709">
    <w:abstractNumId w:val="11"/>
  </w:num>
  <w:num w:numId="5" w16cid:durableId="343361936">
    <w:abstractNumId w:val="0"/>
  </w:num>
  <w:num w:numId="6" w16cid:durableId="1164930026">
    <w:abstractNumId w:val="6"/>
  </w:num>
  <w:num w:numId="7" w16cid:durableId="1694839419">
    <w:abstractNumId w:val="12"/>
  </w:num>
  <w:num w:numId="8" w16cid:durableId="1110929514">
    <w:abstractNumId w:val="1"/>
  </w:num>
  <w:num w:numId="9" w16cid:durableId="1393115561">
    <w:abstractNumId w:val="10"/>
  </w:num>
  <w:num w:numId="10" w16cid:durableId="1961453655">
    <w:abstractNumId w:val="14"/>
  </w:num>
  <w:num w:numId="11" w16cid:durableId="1886333048">
    <w:abstractNumId w:val="13"/>
  </w:num>
  <w:num w:numId="12" w16cid:durableId="431246328">
    <w:abstractNumId w:val="5"/>
  </w:num>
  <w:num w:numId="13" w16cid:durableId="945891392">
    <w:abstractNumId w:val="8"/>
  </w:num>
  <w:num w:numId="14" w16cid:durableId="929318351">
    <w:abstractNumId w:val="2"/>
  </w:num>
  <w:num w:numId="15" w16cid:durableId="1281841181">
    <w:abstractNumId w:val="7"/>
  </w:num>
  <w:num w:numId="16" w16cid:durableId="262500467">
    <w:abstractNumId w:val="3"/>
  </w:num>
  <w:num w:numId="17" w16cid:durableId="1854761168">
    <w:abstractNumId w:val="4"/>
  </w:num>
  <w:num w:numId="18" w16cid:durableId="7746396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5106"/>
    <w:rsid w:val="000073A8"/>
    <w:rsid w:val="00007627"/>
    <w:rsid w:val="000118B8"/>
    <w:rsid w:val="00011E90"/>
    <w:rsid w:val="0001205B"/>
    <w:rsid w:val="00015E22"/>
    <w:rsid w:val="00016596"/>
    <w:rsid w:val="00017655"/>
    <w:rsid w:val="00021B07"/>
    <w:rsid w:val="0002586E"/>
    <w:rsid w:val="000263D7"/>
    <w:rsid w:val="0003292C"/>
    <w:rsid w:val="00035D70"/>
    <w:rsid w:val="00037AF2"/>
    <w:rsid w:val="00043B76"/>
    <w:rsid w:val="000441F1"/>
    <w:rsid w:val="00047874"/>
    <w:rsid w:val="00050B5E"/>
    <w:rsid w:val="00050E01"/>
    <w:rsid w:val="00051397"/>
    <w:rsid w:val="00052529"/>
    <w:rsid w:val="00055B6F"/>
    <w:rsid w:val="00055FE5"/>
    <w:rsid w:val="00062478"/>
    <w:rsid w:val="00064177"/>
    <w:rsid w:val="0006619D"/>
    <w:rsid w:val="00067402"/>
    <w:rsid w:val="00067483"/>
    <w:rsid w:val="00070625"/>
    <w:rsid w:val="000717B6"/>
    <w:rsid w:val="0007401E"/>
    <w:rsid w:val="00074C6F"/>
    <w:rsid w:val="00075DAE"/>
    <w:rsid w:val="00083C0F"/>
    <w:rsid w:val="00086C14"/>
    <w:rsid w:val="00086EEF"/>
    <w:rsid w:val="000935D7"/>
    <w:rsid w:val="00095BE1"/>
    <w:rsid w:val="00096590"/>
    <w:rsid w:val="000974BB"/>
    <w:rsid w:val="000A0371"/>
    <w:rsid w:val="000A2A0A"/>
    <w:rsid w:val="000A3130"/>
    <w:rsid w:val="000A3366"/>
    <w:rsid w:val="000A3C73"/>
    <w:rsid w:val="000A67CE"/>
    <w:rsid w:val="000B01FB"/>
    <w:rsid w:val="000B0B97"/>
    <w:rsid w:val="000C0105"/>
    <w:rsid w:val="000C1A3C"/>
    <w:rsid w:val="000C2771"/>
    <w:rsid w:val="000D112A"/>
    <w:rsid w:val="000D2DC5"/>
    <w:rsid w:val="000D3D9B"/>
    <w:rsid w:val="000D479C"/>
    <w:rsid w:val="000D5BC1"/>
    <w:rsid w:val="000D5C92"/>
    <w:rsid w:val="000E2253"/>
    <w:rsid w:val="000E4DF1"/>
    <w:rsid w:val="000E5F3E"/>
    <w:rsid w:val="000F293C"/>
    <w:rsid w:val="000F5AD8"/>
    <w:rsid w:val="000F7C3D"/>
    <w:rsid w:val="00100FDE"/>
    <w:rsid w:val="00101871"/>
    <w:rsid w:val="00101D69"/>
    <w:rsid w:val="00102357"/>
    <w:rsid w:val="00102D9A"/>
    <w:rsid w:val="00106A67"/>
    <w:rsid w:val="00107641"/>
    <w:rsid w:val="00112912"/>
    <w:rsid w:val="00121928"/>
    <w:rsid w:val="0012486E"/>
    <w:rsid w:val="00140545"/>
    <w:rsid w:val="001512D9"/>
    <w:rsid w:val="00151683"/>
    <w:rsid w:val="00152004"/>
    <w:rsid w:val="00152789"/>
    <w:rsid w:val="00154920"/>
    <w:rsid w:val="00160044"/>
    <w:rsid w:val="0016032F"/>
    <w:rsid w:val="00171F1A"/>
    <w:rsid w:val="001759BD"/>
    <w:rsid w:val="00180F4A"/>
    <w:rsid w:val="00181D70"/>
    <w:rsid w:val="0018369C"/>
    <w:rsid w:val="00185C27"/>
    <w:rsid w:val="00187544"/>
    <w:rsid w:val="001879F6"/>
    <w:rsid w:val="00187B73"/>
    <w:rsid w:val="00190A12"/>
    <w:rsid w:val="00193871"/>
    <w:rsid w:val="0019427A"/>
    <w:rsid w:val="00194B1B"/>
    <w:rsid w:val="00197012"/>
    <w:rsid w:val="00197D98"/>
    <w:rsid w:val="001A21FB"/>
    <w:rsid w:val="001A5156"/>
    <w:rsid w:val="001A5171"/>
    <w:rsid w:val="001A570A"/>
    <w:rsid w:val="001B1182"/>
    <w:rsid w:val="001B13CD"/>
    <w:rsid w:val="001B42C6"/>
    <w:rsid w:val="001C009C"/>
    <w:rsid w:val="001C0148"/>
    <w:rsid w:val="001C1D14"/>
    <w:rsid w:val="001C39BB"/>
    <w:rsid w:val="001C3AA2"/>
    <w:rsid w:val="001C6F8A"/>
    <w:rsid w:val="001C6FE6"/>
    <w:rsid w:val="001C757E"/>
    <w:rsid w:val="001D39C6"/>
    <w:rsid w:val="001D6278"/>
    <w:rsid w:val="001E1BFD"/>
    <w:rsid w:val="001E1DAA"/>
    <w:rsid w:val="001E6BFC"/>
    <w:rsid w:val="001F1B5B"/>
    <w:rsid w:val="001F5BFE"/>
    <w:rsid w:val="001F7463"/>
    <w:rsid w:val="002002F1"/>
    <w:rsid w:val="002024BA"/>
    <w:rsid w:val="0020390F"/>
    <w:rsid w:val="0020714B"/>
    <w:rsid w:val="00207FB4"/>
    <w:rsid w:val="00212522"/>
    <w:rsid w:val="00216B1A"/>
    <w:rsid w:val="00221A09"/>
    <w:rsid w:val="0022577D"/>
    <w:rsid w:val="0022627A"/>
    <w:rsid w:val="00230F2B"/>
    <w:rsid w:val="00231E96"/>
    <w:rsid w:val="0023467C"/>
    <w:rsid w:val="00234718"/>
    <w:rsid w:val="00241606"/>
    <w:rsid w:val="002422E3"/>
    <w:rsid w:val="00243037"/>
    <w:rsid w:val="002462A0"/>
    <w:rsid w:val="00247B7B"/>
    <w:rsid w:val="002512DA"/>
    <w:rsid w:val="002548A4"/>
    <w:rsid w:val="00254AC8"/>
    <w:rsid w:val="002564D6"/>
    <w:rsid w:val="00256F2D"/>
    <w:rsid w:val="0025751E"/>
    <w:rsid w:val="002607D4"/>
    <w:rsid w:val="002620C7"/>
    <w:rsid w:val="00264926"/>
    <w:rsid w:val="00264927"/>
    <w:rsid w:val="00264ED3"/>
    <w:rsid w:val="002657F8"/>
    <w:rsid w:val="00267AE5"/>
    <w:rsid w:val="00271133"/>
    <w:rsid w:val="00272142"/>
    <w:rsid w:val="002734B9"/>
    <w:rsid w:val="002736D6"/>
    <w:rsid w:val="002746A1"/>
    <w:rsid w:val="00274D33"/>
    <w:rsid w:val="00282C23"/>
    <w:rsid w:val="00284FE2"/>
    <w:rsid w:val="00287FD0"/>
    <w:rsid w:val="00291BAB"/>
    <w:rsid w:val="0029201B"/>
    <w:rsid w:val="00295D53"/>
    <w:rsid w:val="0029734E"/>
    <w:rsid w:val="002974D0"/>
    <w:rsid w:val="002A08FA"/>
    <w:rsid w:val="002A22DB"/>
    <w:rsid w:val="002A29D7"/>
    <w:rsid w:val="002A386E"/>
    <w:rsid w:val="002B0923"/>
    <w:rsid w:val="002B273D"/>
    <w:rsid w:val="002B3C83"/>
    <w:rsid w:val="002B42AF"/>
    <w:rsid w:val="002B4F1C"/>
    <w:rsid w:val="002B6DE9"/>
    <w:rsid w:val="002B6F5C"/>
    <w:rsid w:val="002B7B58"/>
    <w:rsid w:val="002C4D77"/>
    <w:rsid w:val="002C6868"/>
    <w:rsid w:val="002C6B77"/>
    <w:rsid w:val="002D01E5"/>
    <w:rsid w:val="002D086C"/>
    <w:rsid w:val="002D0EF9"/>
    <w:rsid w:val="002D36BB"/>
    <w:rsid w:val="002D52AD"/>
    <w:rsid w:val="002D6780"/>
    <w:rsid w:val="002E30B8"/>
    <w:rsid w:val="002E3AF1"/>
    <w:rsid w:val="002E5BC4"/>
    <w:rsid w:val="002E5E09"/>
    <w:rsid w:val="002F65A8"/>
    <w:rsid w:val="002F675D"/>
    <w:rsid w:val="002F6912"/>
    <w:rsid w:val="002F7F7A"/>
    <w:rsid w:val="00302230"/>
    <w:rsid w:val="00303128"/>
    <w:rsid w:val="00303755"/>
    <w:rsid w:val="003038F3"/>
    <w:rsid w:val="00303CAE"/>
    <w:rsid w:val="00305D1F"/>
    <w:rsid w:val="003078A7"/>
    <w:rsid w:val="00311EB2"/>
    <w:rsid w:val="00312B62"/>
    <w:rsid w:val="00320592"/>
    <w:rsid w:val="00321B99"/>
    <w:rsid w:val="0032266F"/>
    <w:rsid w:val="00322C0B"/>
    <w:rsid w:val="003256AA"/>
    <w:rsid w:val="0033048E"/>
    <w:rsid w:val="00331753"/>
    <w:rsid w:val="00331833"/>
    <w:rsid w:val="0033321C"/>
    <w:rsid w:val="00333B41"/>
    <w:rsid w:val="00335CFE"/>
    <w:rsid w:val="00336E58"/>
    <w:rsid w:val="003376E8"/>
    <w:rsid w:val="0034075B"/>
    <w:rsid w:val="003452DA"/>
    <w:rsid w:val="0034736D"/>
    <w:rsid w:val="003475CB"/>
    <w:rsid w:val="00351F6A"/>
    <w:rsid w:val="00360E82"/>
    <w:rsid w:val="0036116F"/>
    <w:rsid w:val="00374078"/>
    <w:rsid w:val="00375DB1"/>
    <w:rsid w:val="00380769"/>
    <w:rsid w:val="00386403"/>
    <w:rsid w:val="00387261"/>
    <w:rsid w:val="00397C1E"/>
    <w:rsid w:val="003A0FBC"/>
    <w:rsid w:val="003A43AD"/>
    <w:rsid w:val="003A5B3C"/>
    <w:rsid w:val="003A66A1"/>
    <w:rsid w:val="003B2956"/>
    <w:rsid w:val="003B30B7"/>
    <w:rsid w:val="003B4B3C"/>
    <w:rsid w:val="003B6103"/>
    <w:rsid w:val="003C0B65"/>
    <w:rsid w:val="003C0CCC"/>
    <w:rsid w:val="003C2254"/>
    <w:rsid w:val="003C484B"/>
    <w:rsid w:val="003C567B"/>
    <w:rsid w:val="003C6A8B"/>
    <w:rsid w:val="003C795F"/>
    <w:rsid w:val="003D1582"/>
    <w:rsid w:val="003D16AC"/>
    <w:rsid w:val="003D7E4C"/>
    <w:rsid w:val="003E11E6"/>
    <w:rsid w:val="003E2C9D"/>
    <w:rsid w:val="003E41C2"/>
    <w:rsid w:val="003E50B4"/>
    <w:rsid w:val="003E73F9"/>
    <w:rsid w:val="003F089B"/>
    <w:rsid w:val="003F2E4D"/>
    <w:rsid w:val="003F65B4"/>
    <w:rsid w:val="00400C0E"/>
    <w:rsid w:val="004102A8"/>
    <w:rsid w:val="00412762"/>
    <w:rsid w:val="00412836"/>
    <w:rsid w:val="0041360C"/>
    <w:rsid w:val="004168B2"/>
    <w:rsid w:val="0041754E"/>
    <w:rsid w:val="0042159E"/>
    <w:rsid w:val="00421788"/>
    <w:rsid w:val="00422E7B"/>
    <w:rsid w:val="004235D6"/>
    <w:rsid w:val="00424004"/>
    <w:rsid w:val="00426F55"/>
    <w:rsid w:val="00427D69"/>
    <w:rsid w:val="0043480A"/>
    <w:rsid w:val="00435C91"/>
    <w:rsid w:val="00443C18"/>
    <w:rsid w:val="004519B2"/>
    <w:rsid w:val="004538E3"/>
    <w:rsid w:val="004541B1"/>
    <w:rsid w:val="00463176"/>
    <w:rsid w:val="0046784D"/>
    <w:rsid w:val="00471BCC"/>
    <w:rsid w:val="00473D6F"/>
    <w:rsid w:val="00474C82"/>
    <w:rsid w:val="00476FF4"/>
    <w:rsid w:val="004800F3"/>
    <w:rsid w:val="00480F59"/>
    <w:rsid w:val="0048163E"/>
    <w:rsid w:val="00487577"/>
    <w:rsid w:val="0048786C"/>
    <w:rsid w:val="0049772C"/>
    <w:rsid w:val="004A2F4D"/>
    <w:rsid w:val="004B21C0"/>
    <w:rsid w:val="004B4858"/>
    <w:rsid w:val="004B7D38"/>
    <w:rsid w:val="004B7E06"/>
    <w:rsid w:val="004C19E3"/>
    <w:rsid w:val="004C36EB"/>
    <w:rsid w:val="004C73D0"/>
    <w:rsid w:val="004D26B7"/>
    <w:rsid w:val="004D67DC"/>
    <w:rsid w:val="004D6DDD"/>
    <w:rsid w:val="004D7F36"/>
    <w:rsid w:val="004E16CF"/>
    <w:rsid w:val="004E23DF"/>
    <w:rsid w:val="004E7D5A"/>
    <w:rsid w:val="004F57C9"/>
    <w:rsid w:val="0050120B"/>
    <w:rsid w:val="00503B17"/>
    <w:rsid w:val="00505701"/>
    <w:rsid w:val="00507756"/>
    <w:rsid w:val="0051334E"/>
    <w:rsid w:val="0051611B"/>
    <w:rsid w:val="00521269"/>
    <w:rsid w:val="00521A2A"/>
    <w:rsid w:val="00523375"/>
    <w:rsid w:val="00523599"/>
    <w:rsid w:val="00524ED0"/>
    <w:rsid w:val="00525281"/>
    <w:rsid w:val="00525D3F"/>
    <w:rsid w:val="0052662C"/>
    <w:rsid w:val="00527B59"/>
    <w:rsid w:val="00530F5B"/>
    <w:rsid w:val="005330B2"/>
    <w:rsid w:val="0054321D"/>
    <w:rsid w:val="00545385"/>
    <w:rsid w:val="00545DF5"/>
    <w:rsid w:val="00546462"/>
    <w:rsid w:val="005517D9"/>
    <w:rsid w:val="00552EEB"/>
    <w:rsid w:val="00553725"/>
    <w:rsid w:val="0055565A"/>
    <w:rsid w:val="00561001"/>
    <w:rsid w:val="0056154E"/>
    <w:rsid w:val="0056210E"/>
    <w:rsid w:val="00566986"/>
    <w:rsid w:val="00566FE1"/>
    <w:rsid w:val="00570665"/>
    <w:rsid w:val="00572A9D"/>
    <w:rsid w:val="00574DE2"/>
    <w:rsid w:val="00580FD7"/>
    <w:rsid w:val="00581018"/>
    <w:rsid w:val="00583BB6"/>
    <w:rsid w:val="005862D8"/>
    <w:rsid w:val="005910F8"/>
    <w:rsid w:val="00594494"/>
    <w:rsid w:val="005944BD"/>
    <w:rsid w:val="00594D7B"/>
    <w:rsid w:val="005A1071"/>
    <w:rsid w:val="005A1F17"/>
    <w:rsid w:val="005A3E94"/>
    <w:rsid w:val="005A4E1C"/>
    <w:rsid w:val="005A5BF2"/>
    <w:rsid w:val="005A5EB3"/>
    <w:rsid w:val="005A6EDF"/>
    <w:rsid w:val="005A6F0D"/>
    <w:rsid w:val="005A78C6"/>
    <w:rsid w:val="005B2652"/>
    <w:rsid w:val="005B3063"/>
    <w:rsid w:val="005B3758"/>
    <w:rsid w:val="005B3B44"/>
    <w:rsid w:val="005B451F"/>
    <w:rsid w:val="005B48A6"/>
    <w:rsid w:val="005C5612"/>
    <w:rsid w:val="005D0A2C"/>
    <w:rsid w:val="005D21EC"/>
    <w:rsid w:val="005D26C7"/>
    <w:rsid w:val="005D35E0"/>
    <w:rsid w:val="005D3B42"/>
    <w:rsid w:val="005D5C96"/>
    <w:rsid w:val="005D7086"/>
    <w:rsid w:val="005D710D"/>
    <w:rsid w:val="005E05FA"/>
    <w:rsid w:val="005E0FA7"/>
    <w:rsid w:val="005E340A"/>
    <w:rsid w:val="005E3DE8"/>
    <w:rsid w:val="005E6187"/>
    <w:rsid w:val="005E6ADD"/>
    <w:rsid w:val="005F1199"/>
    <w:rsid w:val="005F3E19"/>
    <w:rsid w:val="005F5DCE"/>
    <w:rsid w:val="005F650C"/>
    <w:rsid w:val="00600B2C"/>
    <w:rsid w:val="0060178A"/>
    <w:rsid w:val="00601DAE"/>
    <w:rsid w:val="00601F88"/>
    <w:rsid w:val="006060AD"/>
    <w:rsid w:val="00606B12"/>
    <w:rsid w:val="00610A4D"/>
    <w:rsid w:val="00615177"/>
    <w:rsid w:val="00620A53"/>
    <w:rsid w:val="006215F0"/>
    <w:rsid w:val="006247CE"/>
    <w:rsid w:val="00624F7B"/>
    <w:rsid w:val="006264D6"/>
    <w:rsid w:val="0062683E"/>
    <w:rsid w:val="006277AB"/>
    <w:rsid w:val="00630051"/>
    <w:rsid w:val="006333C6"/>
    <w:rsid w:val="00634D36"/>
    <w:rsid w:val="006359A7"/>
    <w:rsid w:val="00636B26"/>
    <w:rsid w:val="006418A8"/>
    <w:rsid w:val="00641AF4"/>
    <w:rsid w:val="0064217F"/>
    <w:rsid w:val="00642848"/>
    <w:rsid w:val="00643F76"/>
    <w:rsid w:val="0064580A"/>
    <w:rsid w:val="00646CEF"/>
    <w:rsid w:val="006509C7"/>
    <w:rsid w:val="00650C23"/>
    <w:rsid w:val="0065395D"/>
    <w:rsid w:val="0065432D"/>
    <w:rsid w:val="0065577D"/>
    <w:rsid w:val="00660C6A"/>
    <w:rsid w:val="006629AE"/>
    <w:rsid w:val="00664782"/>
    <w:rsid w:val="00665708"/>
    <w:rsid w:val="00667066"/>
    <w:rsid w:val="00670BA1"/>
    <w:rsid w:val="00672262"/>
    <w:rsid w:val="00673AC5"/>
    <w:rsid w:val="0067440D"/>
    <w:rsid w:val="006777C7"/>
    <w:rsid w:val="00683160"/>
    <w:rsid w:val="00684BCB"/>
    <w:rsid w:val="00693B80"/>
    <w:rsid w:val="00693D30"/>
    <w:rsid w:val="00693FA4"/>
    <w:rsid w:val="006A06A3"/>
    <w:rsid w:val="006A0E79"/>
    <w:rsid w:val="006A1D2A"/>
    <w:rsid w:val="006A2026"/>
    <w:rsid w:val="006A6913"/>
    <w:rsid w:val="006A69BF"/>
    <w:rsid w:val="006B1BD7"/>
    <w:rsid w:val="006B7CF8"/>
    <w:rsid w:val="006C00AF"/>
    <w:rsid w:val="006C14F9"/>
    <w:rsid w:val="006C6736"/>
    <w:rsid w:val="006D06D1"/>
    <w:rsid w:val="006D1323"/>
    <w:rsid w:val="006D44A0"/>
    <w:rsid w:val="006D4901"/>
    <w:rsid w:val="006D5367"/>
    <w:rsid w:val="006E0FD8"/>
    <w:rsid w:val="006E2C03"/>
    <w:rsid w:val="006E50D6"/>
    <w:rsid w:val="006E54C2"/>
    <w:rsid w:val="006E6C68"/>
    <w:rsid w:val="006E7763"/>
    <w:rsid w:val="006F16D5"/>
    <w:rsid w:val="006F6A83"/>
    <w:rsid w:val="007012DB"/>
    <w:rsid w:val="0070330B"/>
    <w:rsid w:val="00710FFE"/>
    <w:rsid w:val="00711879"/>
    <w:rsid w:val="00711DF4"/>
    <w:rsid w:val="007126BE"/>
    <w:rsid w:val="007127D3"/>
    <w:rsid w:val="00712A47"/>
    <w:rsid w:val="007169F4"/>
    <w:rsid w:val="00716A32"/>
    <w:rsid w:val="00716A82"/>
    <w:rsid w:val="00716DD0"/>
    <w:rsid w:val="007204B3"/>
    <w:rsid w:val="00720647"/>
    <w:rsid w:val="007229D9"/>
    <w:rsid w:val="00722AB6"/>
    <w:rsid w:val="0072388D"/>
    <w:rsid w:val="00724302"/>
    <w:rsid w:val="007303B4"/>
    <w:rsid w:val="007309BE"/>
    <w:rsid w:val="0073445A"/>
    <w:rsid w:val="00735B95"/>
    <w:rsid w:val="007400C0"/>
    <w:rsid w:val="00742D98"/>
    <w:rsid w:val="0074351E"/>
    <w:rsid w:val="00747F36"/>
    <w:rsid w:val="00751D39"/>
    <w:rsid w:val="00753CA3"/>
    <w:rsid w:val="00755DF0"/>
    <w:rsid w:val="00763FB9"/>
    <w:rsid w:val="007663F2"/>
    <w:rsid w:val="00767AEB"/>
    <w:rsid w:val="0077243D"/>
    <w:rsid w:val="00775CC9"/>
    <w:rsid w:val="007807DB"/>
    <w:rsid w:val="0078424A"/>
    <w:rsid w:val="007865BE"/>
    <w:rsid w:val="00786AB0"/>
    <w:rsid w:val="00787EB2"/>
    <w:rsid w:val="00790C1A"/>
    <w:rsid w:val="00790CCC"/>
    <w:rsid w:val="00790FA6"/>
    <w:rsid w:val="00794B4B"/>
    <w:rsid w:val="007A41BB"/>
    <w:rsid w:val="007B02F7"/>
    <w:rsid w:val="007B0323"/>
    <w:rsid w:val="007B2E7F"/>
    <w:rsid w:val="007B3223"/>
    <w:rsid w:val="007B3398"/>
    <w:rsid w:val="007B3464"/>
    <w:rsid w:val="007B650F"/>
    <w:rsid w:val="007C392B"/>
    <w:rsid w:val="007C630F"/>
    <w:rsid w:val="007C6543"/>
    <w:rsid w:val="007C6AEE"/>
    <w:rsid w:val="007D09E1"/>
    <w:rsid w:val="007D2C24"/>
    <w:rsid w:val="007D55C8"/>
    <w:rsid w:val="007D70A1"/>
    <w:rsid w:val="007E1222"/>
    <w:rsid w:val="007E3EBD"/>
    <w:rsid w:val="007E4205"/>
    <w:rsid w:val="007E54B9"/>
    <w:rsid w:val="007E59DA"/>
    <w:rsid w:val="007E5A98"/>
    <w:rsid w:val="007E6BF4"/>
    <w:rsid w:val="007F084A"/>
    <w:rsid w:val="007F211A"/>
    <w:rsid w:val="007F2A96"/>
    <w:rsid w:val="007F2E2C"/>
    <w:rsid w:val="007F30A8"/>
    <w:rsid w:val="007F6B0A"/>
    <w:rsid w:val="007F6BCC"/>
    <w:rsid w:val="007F75CB"/>
    <w:rsid w:val="007F7980"/>
    <w:rsid w:val="00805E16"/>
    <w:rsid w:val="00811A8F"/>
    <w:rsid w:val="00811DDB"/>
    <w:rsid w:val="00812EC9"/>
    <w:rsid w:val="008132E8"/>
    <w:rsid w:val="0081355F"/>
    <w:rsid w:val="0081408C"/>
    <w:rsid w:val="00815C28"/>
    <w:rsid w:val="00815C6E"/>
    <w:rsid w:val="008170F0"/>
    <w:rsid w:val="00817E38"/>
    <w:rsid w:val="00822246"/>
    <w:rsid w:val="00823407"/>
    <w:rsid w:val="0082476F"/>
    <w:rsid w:val="00824DF1"/>
    <w:rsid w:val="00824E28"/>
    <w:rsid w:val="00825D16"/>
    <w:rsid w:val="00830BC5"/>
    <w:rsid w:val="00831D2A"/>
    <w:rsid w:val="008335D4"/>
    <w:rsid w:val="0084174E"/>
    <w:rsid w:val="00841ECE"/>
    <w:rsid w:val="008420D3"/>
    <w:rsid w:val="008432B4"/>
    <w:rsid w:val="008437FD"/>
    <w:rsid w:val="008447C4"/>
    <w:rsid w:val="0085072E"/>
    <w:rsid w:val="00854D65"/>
    <w:rsid w:val="00855400"/>
    <w:rsid w:val="00860D25"/>
    <w:rsid w:val="00861094"/>
    <w:rsid w:val="008633E8"/>
    <w:rsid w:val="00864682"/>
    <w:rsid w:val="0086537C"/>
    <w:rsid w:val="00865BC0"/>
    <w:rsid w:val="00867039"/>
    <w:rsid w:val="008758F9"/>
    <w:rsid w:val="0087656B"/>
    <w:rsid w:val="00884E8D"/>
    <w:rsid w:val="00884FC5"/>
    <w:rsid w:val="00885215"/>
    <w:rsid w:val="008934BC"/>
    <w:rsid w:val="008A1977"/>
    <w:rsid w:val="008A7AE0"/>
    <w:rsid w:val="008B0184"/>
    <w:rsid w:val="008B0312"/>
    <w:rsid w:val="008B1828"/>
    <w:rsid w:val="008B3F42"/>
    <w:rsid w:val="008B419E"/>
    <w:rsid w:val="008B69AA"/>
    <w:rsid w:val="008B7AFF"/>
    <w:rsid w:val="008C185E"/>
    <w:rsid w:val="008C355A"/>
    <w:rsid w:val="008C3BB1"/>
    <w:rsid w:val="008C5AB4"/>
    <w:rsid w:val="008C5D02"/>
    <w:rsid w:val="008D0A47"/>
    <w:rsid w:val="008D2649"/>
    <w:rsid w:val="008E32A1"/>
    <w:rsid w:val="008E530F"/>
    <w:rsid w:val="008E7330"/>
    <w:rsid w:val="008F3D3B"/>
    <w:rsid w:val="008F48BB"/>
    <w:rsid w:val="008F792E"/>
    <w:rsid w:val="008F7A5F"/>
    <w:rsid w:val="009001CC"/>
    <w:rsid w:val="00901A6D"/>
    <w:rsid w:val="00901D01"/>
    <w:rsid w:val="00902F0E"/>
    <w:rsid w:val="0090568D"/>
    <w:rsid w:val="00906A9D"/>
    <w:rsid w:val="009125C9"/>
    <w:rsid w:val="00913070"/>
    <w:rsid w:val="00913879"/>
    <w:rsid w:val="009149D8"/>
    <w:rsid w:val="00914DA0"/>
    <w:rsid w:val="0091564D"/>
    <w:rsid w:val="00917661"/>
    <w:rsid w:val="00922BFB"/>
    <w:rsid w:val="00922D5C"/>
    <w:rsid w:val="0092476D"/>
    <w:rsid w:val="00930107"/>
    <w:rsid w:val="0093298C"/>
    <w:rsid w:val="0093354B"/>
    <w:rsid w:val="00937836"/>
    <w:rsid w:val="00937AD4"/>
    <w:rsid w:val="00937AE0"/>
    <w:rsid w:val="00937D80"/>
    <w:rsid w:val="009415C3"/>
    <w:rsid w:val="00943088"/>
    <w:rsid w:val="00944903"/>
    <w:rsid w:val="009450AF"/>
    <w:rsid w:val="00946FB0"/>
    <w:rsid w:val="009514AA"/>
    <w:rsid w:val="0095156E"/>
    <w:rsid w:val="009520D9"/>
    <w:rsid w:val="00953525"/>
    <w:rsid w:val="00962771"/>
    <w:rsid w:val="009646EC"/>
    <w:rsid w:val="009648D4"/>
    <w:rsid w:val="00966848"/>
    <w:rsid w:val="00970E5D"/>
    <w:rsid w:val="00971BFE"/>
    <w:rsid w:val="00972655"/>
    <w:rsid w:val="0097701C"/>
    <w:rsid w:val="0097705C"/>
    <w:rsid w:val="00980A65"/>
    <w:rsid w:val="00980CBB"/>
    <w:rsid w:val="00981C91"/>
    <w:rsid w:val="00984424"/>
    <w:rsid w:val="00985357"/>
    <w:rsid w:val="00986541"/>
    <w:rsid w:val="00996206"/>
    <w:rsid w:val="009B0902"/>
    <w:rsid w:val="009B1221"/>
    <w:rsid w:val="009B14A2"/>
    <w:rsid w:val="009B47B0"/>
    <w:rsid w:val="009B6BA8"/>
    <w:rsid w:val="009C03C6"/>
    <w:rsid w:val="009C2217"/>
    <w:rsid w:val="009C73F4"/>
    <w:rsid w:val="009D01B7"/>
    <w:rsid w:val="009D185C"/>
    <w:rsid w:val="009D2BA6"/>
    <w:rsid w:val="009D57D9"/>
    <w:rsid w:val="009D70A6"/>
    <w:rsid w:val="009E0C90"/>
    <w:rsid w:val="009E23A5"/>
    <w:rsid w:val="009E42B3"/>
    <w:rsid w:val="009E682B"/>
    <w:rsid w:val="009E6A9A"/>
    <w:rsid w:val="009F07FE"/>
    <w:rsid w:val="009F0C09"/>
    <w:rsid w:val="009F26CE"/>
    <w:rsid w:val="009F280A"/>
    <w:rsid w:val="00A03318"/>
    <w:rsid w:val="00A1075F"/>
    <w:rsid w:val="00A14542"/>
    <w:rsid w:val="00A16E33"/>
    <w:rsid w:val="00A20AD6"/>
    <w:rsid w:val="00A2110F"/>
    <w:rsid w:val="00A255AB"/>
    <w:rsid w:val="00A25E70"/>
    <w:rsid w:val="00A317EB"/>
    <w:rsid w:val="00A31890"/>
    <w:rsid w:val="00A33765"/>
    <w:rsid w:val="00A33BD4"/>
    <w:rsid w:val="00A3684E"/>
    <w:rsid w:val="00A40FB1"/>
    <w:rsid w:val="00A420D0"/>
    <w:rsid w:val="00A44FD4"/>
    <w:rsid w:val="00A46198"/>
    <w:rsid w:val="00A5178A"/>
    <w:rsid w:val="00A53909"/>
    <w:rsid w:val="00A56D71"/>
    <w:rsid w:val="00A57BB7"/>
    <w:rsid w:val="00A62D91"/>
    <w:rsid w:val="00A63269"/>
    <w:rsid w:val="00A6428F"/>
    <w:rsid w:val="00A648FF"/>
    <w:rsid w:val="00A651FE"/>
    <w:rsid w:val="00A661D3"/>
    <w:rsid w:val="00A6683E"/>
    <w:rsid w:val="00A67991"/>
    <w:rsid w:val="00A67F23"/>
    <w:rsid w:val="00A72937"/>
    <w:rsid w:val="00A72B9E"/>
    <w:rsid w:val="00A74AFB"/>
    <w:rsid w:val="00A768DC"/>
    <w:rsid w:val="00A77A59"/>
    <w:rsid w:val="00A829E4"/>
    <w:rsid w:val="00A82DDD"/>
    <w:rsid w:val="00A83EE3"/>
    <w:rsid w:val="00A846DD"/>
    <w:rsid w:val="00A8521F"/>
    <w:rsid w:val="00A916BD"/>
    <w:rsid w:val="00A92377"/>
    <w:rsid w:val="00A93CE2"/>
    <w:rsid w:val="00A94B2F"/>
    <w:rsid w:val="00A973D3"/>
    <w:rsid w:val="00AA0061"/>
    <w:rsid w:val="00AA17FC"/>
    <w:rsid w:val="00AA1CA4"/>
    <w:rsid w:val="00AA3C1B"/>
    <w:rsid w:val="00AA49CD"/>
    <w:rsid w:val="00AA70AD"/>
    <w:rsid w:val="00AA78B9"/>
    <w:rsid w:val="00AA78E1"/>
    <w:rsid w:val="00AA79C8"/>
    <w:rsid w:val="00AB021D"/>
    <w:rsid w:val="00AB0CFA"/>
    <w:rsid w:val="00AB29ED"/>
    <w:rsid w:val="00AB3975"/>
    <w:rsid w:val="00AB4322"/>
    <w:rsid w:val="00AB4ABF"/>
    <w:rsid w:val="00AB4B3B"/>
    <w:rsid w:val="00AB5BCA"/>
    <w:rsid w:val="00AB6703"/>
    <w:rsid w:val="00AB79ED"/>
    <w:rsid w:val="00AC1689"/>
    <w:rsid w:val="00AC37DE"/>
    <w:rsid w:val="00AC41C3"/>
    <w:rsid w:val="00AC7D64"/>
    <w:rsid w:val="00AD2446"/>
    <w:rsid w:val="00AD2539"/>
    <w:rsid w:val="00AD316E"/>
    <w:rsid w:val="00AD3B14"/>
    <w:rsid w:val="00AD47CF"/>
    <w:rsid w:val="00AD62B4"/>
    <w:rsid w:val="00AD68E1"/>
    <w:rsid w:val="00AD695F"/>
    <w:rsid w:val="00AD7740"/>
    <w:rsid w:val="00AD7955"/>
    <w:rsid w:val="00AE10FF"/>
    <w:rsid w:val="00AE2CF1"/>
    <w:rsid w:val="00AE3DE1"/>
    <w:rsid w:val="00AE4166"/>
    <w:rsid w:val="00AE4B92"/>
    <w:rsid w:val="00AE4BD8"/>
    <w:rsid w:val="00AF080D"/>
    <w:rsid w:val="00AF1705"/>
    <w:rsid w:val="00AF2016"/>
    <w:rsid w:val="00AF3091"/>
    <w:rsid w:val="00AF3E63"/>
    <w:rsid w:val="00AF4E99"/>
    <w:rsid w:val="00AF5203"/>
    <w:rsid w:val="00B004CF"/>
    <w:rsid w:val="00B015E6"/>
    <w:rsid w:val="00B02885"/>
    <w:rsid w:val="00B03346"/>
    <w:rsid w:val="00B0430A"/>
    <w:rsid w:val="00B04DE0"/>
    <w:rsid w:val="00B05211"/>
    <w:rsid w:val="00B06285"/>
    <w:rsid w:val="00B169BB"/>
    <w:rsid w:val="00B20298"/>
    <w:rsid w:val="00B20898"/>
    <w:rsid w:val="00B240DA"/>
    <w:rsid w:val="00B2667B"/>
    <w:rsid w:val="00B326B6"/>
    <w:rsid w:val="00B330D8"/>
    <w:rsid w:val="00B35A42"/>
    <w:rsid w:val="00B35F44"/>
    <w:rsid w:val="00B364FE"/>
    <w:rsid w:val="00B37713"/>
    <w:rsid w:val="00B4388F"/>
    <w:rsid w:val="00B44087"/>
    <w:rsid w:val="00B45FF0"/>
    <w:rsid w:val="00B526EA"/>
    <w:rsid w:val="00B53BF2"/>
    <w:rsid w:val="00B54ECC"/>
    <w:rsid w:val="00B57410"/>
    <w:rsid w:val="00B6069D"/>
    <w:rsid w:val="00B61284"/>
    <w:rsid w:val="00B63237"/>
    <w:rsid w:val="00B63BB7"/>
    <w:rsid w:val="00B65E0B"/>
    <w:rsid w:val="00B72A7B"/>
    <w:rsid w:val="00B72CEA"/>
    <w:rsid w:val="00B7390D"/>
    <w:rsid w:val="00B740A1"/>
    <w:rsid w:val="00B74B15"/>
    <w:rsid w:val="00B75EC8"/>
    <w:rsid w:val="00B80608"/>
    <w:rsid w:val="00B80E61"/>
    <w:rsid w:val="00B81BFC"/>
    <w:rsid w:val="00B81E4E"/>
    <w:rsid w:val="00B87585"/>
    <w:rsid w:val="00B87E2C"/>
    <w:rsid w:val="00B949E9"/>
    <w:rsid w:val="00BA761F"/>
    <w:rsid w:val="00BA7B25"/>
    <w:rsid w:val="00BA7B52"/>
    <w:rsid w:val="00BA7D6B"/>
    <w:rsid w:val="00BB1F21"/>
    <w:rsid w:val="00BB45F4"/>
    <w:rsid w:val="00BB5473"/>
    <w:rsid w:val="00BB6293"/>
    <w:rsid w:val="00BC4E00"/>
    <w:rsid w:val="00BC5018"/>
    <w:rsid w:val="00BC5A5B"/>
    <w:rsid w:val="00BD2679"/>
    <w:rsid w:val="00BD354A"/>
    <w:rsid w:val="00BD3850"/>
    <w:rsid w:val="00BD6859"/>
    <w:rsid w:val="00BE0CC9"/>
    <w:rsid w:val="00BE0DC0"/>
    <w:rsid w:val="00BE119C"/>
    <w:rsid w:val="00BE159A"/>
    <w:rsid w:val="00BE25D2"/>
    <w:rsid w:val="00BE5E1B"/>
    <w:rsid w:val="00BF0C19"/>
    <w:rsid w:val="00BF0F37"/>
    <w:rsid w:val="00BF6384"/>
    <w:rsid w:val="00BF6ACA"/>
    <w:rsid w:val="00C0147D"/>
    <w:rsid w:val="00C01C9E"/>
    <w:rsid w:val="00C03BAD"/>
    <w:rsid w:val="00C05913"/>
    <w:rsid w:val="00C05C1D"/>
    <w:rsid w:val="00C0610F"/>
    <w:rsid w:val="00C079A0"/>
    <w:rsid w:val="00C12712"/>
    <w:rsid w:val="00C1468D"/>
    <w:rsid w:val="00C153E2"/>
    <w:rsid w:val="00C20CFF"/>
    <w:rsid w:val="00C22ACF"/>
    <w:rsid w:val="00C2362E"/>
    <w:rsid w:val="00C255CD"/>
    <w:rsid w:val="00C25B5D"/>
    <w:rsid w:val="00C263DA"/>
    <w:rsid w:val="00C26DB2"/>
    <w:rsid w:val="00C37514"/>
    <w:rsid w:val="00C403D3"/>
    <w:rsid w:val="00C41AA3"/>
    <w:rsid w:val="00C426D2"/>
    <w:rsid w:val="00C50B66"/>
    <w:rsid w:val="00C54094"/>
    <w:rsid w:val="00C5490B"/>
    <w:rsid w:val="00C550B2"/>
    <w:rsid w:val="00C659CC"/>
    <w:rsid w:val="00C66C1E"/>
    <w:rsid w:val="00C67488"/>
    <w:rsid w:val="00C70C6E"/>
    <w:rsid w:val="00C70DDE"/>
    <w:rsid w:val="00C70E31"/>
    <w:rsid w:val="00C72531"/>
    <w:rsid w:val="00C73883"/>
    <w:rsid w:val="00C745AC"/>
    <w:rsid w:val="00C749ED"/>
    <w:rsid w:val="00C8022A"/>
    <w:rsid w:val="00C80272"/>
    <w:rsid w:val="00C8376E"/>
    <w:rsid w:val="00C85020"/>
    <w:rsid w:val="00C85CB7"/>
    <w:rsid w:val="00C87E2F"/>
    <w:rsid w:val="00C9126F"/>
    <w:rsid w:val="00C91B8A"/>
    <w:rsid w:val="00C91C4D"/>
    <w:rsid w:val="00C91F77"/>
    <w:rsid w:val="00C960DC"/>
    <w:rsid w:val="00C96CB6"/>
    <w:rsid w:val="00C96EAD"/>
    <w:rsid w:val="00C97BCC"/>
    <w:rsid w:val="00CA03C9"/>
    <w:rsid w:val="00CA09C0"/>
    <w:rsid w:val="00CB0CD7"/>
    <w:rsid w:val="00CB0ED8"/>
    <w:rsid w:val="00CB3DC6"/>
    <w:rsid w:val="00CB5E0A"/>
    <w:rsid w:val="00CC05E5"/>
    <w:rsid w:val="00CC1D64"/>
    <w:rsid w:val="00CC2508"/>
    <w:rsid w:val="00CC3FEA"/>
    <w:rsid w:val="00CC51F6"/>
    <w:rsid w:val="00CC6B60"/>
    <w:rsid w:val="00CD4A61"/>
    <w:rsid w:val="00CD5E38"/>
    <w:rsid w:val="00CD613B"/>
    <w:rsid w:val="00CE005C"/>
    <w:rsid w:val="00CE05DC"/>
    <w:rsid w:val="00CE1982"/>
    <w:rsid w:val="00CE4290"/>
    <w:rsid w:val="00CE49A4"/>
    <w:rsid w:val="00CF1C6A"/>
    <w:rsid w:val="00CF1E94"/>
    <w:rsid w:val="00CF1FDC"/>
    <w:rsid w:val="00CF37AD"/>
    <w:rsid w:val="00CF4022"/>
    <w:rsid w:val="00CF4708"/>
    <w:rsid w:val="00CF6B6B"/>
    <w:rsid w:val="00CF7658"/>
    <w:rsid w:val="00D02C75"/>
    <w:rsid w:val="00D10E22"/>
    <w:rsid w:val="00D12087"/>
    <w:rsid w:val="00D12175"/>
    <w:rsid w:val="00D13D2C"/>
    <w:rsid w:val="00D14C50"/>
    <w:rsid w:val="00D15A67"/>
    <w:rsid w:val="00D16FE3"/>
    <w:rsid w:val="00D20212"/>
    <w:rsid w:val="00D21C8E"/>
    <w:rsid w:val="00D242EC"/>
    <w:rsid w:val="00D24966"/>
    <w:rsid w:val="00D33D9B"/>
    <w:rsid w:val="00D3549D"/>
    <w:rsid w:val="00D40863"/>
    <w:rsid w:val="00D41552"/>
    <w:rsid w:val="00D41A0F"/>
    <w:rsid w:val="00D42D3F"/>
    <w:rsid w:val="00D4635D"/>
    <w:rsid w:val="00D46464"/>
    <w:rsid w:val="00D46E65"/>
    <w:rsid w:val="00D47497"/>
    <w:rsid w:val="00D513D2"/>
    <w:rsid w:val="00D61640"/>
    <w:rsid w:val="00D62563"/>
    <w:rsid w:val="00D62900"/>
    <w:rsid w:val="00D62C04"/>
    <w:rsid w:val="00D62CC8"/>
    <w:rsid w:val="00D64659"/>
    <w:rsid w:val="00D7516B"/>
    <w:rsid w:val="00D75D34"/>
    <w:rsid w:val="00D760F9"/>
    <w:rsid w:val="00D76F6D"/>
    <w:rsid w:val="00D77AF3"/>
    <w:rsid w:val="00D77EB6"/>
    <w:rsid w:val="00D80109"/>
    <w:rsid w:val="00D80B7E"/>
    <w:rsid w:val="00D87E00"/>
    <w:rsid w:val="00D93802"/>
    <w:rsid w:val="00D93A0B"/>
    <w:rsid w:val="00DA1855"/>
    <w:rsid w:val="00DA3FBD"/>
    <w:rsid w:val="00DA7332"/>
    <w:rsid w:val="00DB14B0"/>
    <w:rsid w:val="00DB5B3E"/>
    <w:rsid w:val="00DC1E6A"/>
    <w:rsid w:val="00DC21F5"/>
    <w:rsid w:val="00DC2F94"/>
    <w:rsid w:val="00DC3B3C"/>
    <w:rsid w:val="00DC665E"/>
    <w:rsid w:val="00DC6EA0"/>
    <w:rsid w:val="00DD1AD7"/>
    <w:rsid w:val="00DD3435"/>
    <w:rsid w:val="00DD3D9E"/>
    <w:rsid w:val="00DD3DB0"/>
    <w:rsid w:val="00DD708A"/>
    <w:rsid w:val="00DD7908"/>
    <w:rsid w:val="00DE3990"/>
    <w:rsid w:val="00DF0405"/>
    <w:rsid w:val="00DF18AF"/>
    <w:rsid w:val="00DF43D8"/>
    <w:rsid w:val="00DF67DB"/>
    <w:rsid w:val="00E00840"/>
    <w:rsid w:val="00E01D10"/>
    <w:rsid w:val="00E060D8"/>
    <w:rsid w:val="00E07999"/>
    <w:rsid w:val="00E079DB"/>
    <w:rsid w:val="00E10140"/>
    <w:rsid w:val="00E13544"/>
    <w:rsid w:val="00E144B8"/>
    <w:rsid w:val="00E167BC"/>
    <w:rsid w:val="00E16AA3"/>
    <w:rsid w:val="00E20AB8"/>
    <w:rsid w:val="00E214F2"/>
    <w:rsid w:val="00E224E2"/>
    <w:rsid w:val="00E25877"/>
    <w:rsid w:val="00E2669C"/>
    <w:rsid w:val="00E31BF6"/>
    <w:rsid w:val="00E32B4C"/>
    <w:rsid w:val="00E33754"/>
    <w:rsid w:val="00E35C75"/>
    <w:rsid w:val="00E36583"/>
    <w:rsid w:val="00E411FD"/>
    <w:rsid w:val="00E45371"/>
    <w:rsid w:val="00E46A3C"/>
    <w:rsid w:val="00E478E2"/>
    <w:rsid w:val="00E576A6"/>
    <w:rsid w:val="00E637BE"/>
    <w:rsid w:val="00E65CA7"/>
    <w:rsid w:val="00E66A3E"/>
    <w:rsid w:val="00E70141"/>
    <w:rsid w:val="00E753C0"/>
    <w:rsid w:val="00E757FF"/>
    <w:rsid w:val="00E82297"/>
    <w:rsid w:val="00E8395F"/>
    <w:rsid w:val="00E844F6"/>
    <w:rsid w:val="00E87686"/>
    <w:rsid w:val="00E910DC"/>
    <w:rsid w:val="00E928F8"/>
    <w:rsid w:val="00E96CFE"/>
    <w:rsid w:val="00EA1DB9"/>
    <w:rsid w:val="00EB3127"/>
    <w:rsid w:val="00EB32C5"/>
    <w:rsid w:val="00EB51A7"/>
    <w:rsid w:val="00EB5717"/>
    <w:rsid w:val="00EB6700"/>
    <w:rsid w:val="00EB7EC3"/>
    <w:rsid w:val="00EB7FCE"/>
    <w:rsid w:val="00EC4C96"/>
    <w:rsid w:val="00EC636D"/>
    <w:rsid w:val="00ED12D0"/>
    <w:rsid w:val="00ED1886"/>
    <w:rsid w:val="00ED1F4D"/>
    <w:rsid w:val="00ED6BDE"/>
    <w:rsid w:val="00ED73B7"/>
    <w:rsid w:val="00ED77F5"/>
    <w:rsid w:val="00EE0EC6"/>
    <w:rsid w:val="00EE3C78"/>
    <w:rsid w:val="00EE7DA6"/>
    <w:rsid w:val="00EF0AB4"/>
    <w:rsid w:val="00EF3253"/>
    <w:rsid w:val="00EF39FD"/>
    <w:rsid w:val="00EF6083"/>
    <w:rsid w:val="00F00662"/>
    <w:rsid w:val="00F064F7"/>
    <w:rsid w:val="00F06842"/>
    <w:rsid w:val="00F107FD"/>
    <w:rsid w:val="00F10CE9"/>
    <w:rsid w:val="00F11984"/>
    <w:rsid w:val="00F15383"/>
    <w:rsid w:val="00F158CD"/>
    <w:rsid w:val="00F20E59"/>
    <w:rsid w:val="00F216D0"/>
    <w:rsid w:val="00F22F25"/>
    <w:rsid w:val="00F25B2A"/>
    <w:rsid w:val="00F327B5"/>
    <w:rsid w:val="00F33B4B"/>
    <w:rsid w:val="00F344B9"/>
    <w:rsid w:val="00F41CF5"/>
    <w:rsid w:val="00F41DE4"/>
    <w:rsid w:val="00F423E9"/>
    <w:rsid w:val="00F47601"/>
    <w:rsid w:val="00F532F6"/>
    <w:rsid w:val="00F642FD"/>
    <w:rsid w:val="00F67E0B"/>
    <w:rsid w:val="00F711AB"/>
    <w:rsid w:val="00F7127D"/>
    <w:rsid w:val="00F71534"/>
    <w:rsid w:val="00F737E5"/>
    <w:rsid w:val="00F75FF6"/>
    <w:rsid w:val="00F8162D"/>
    <w:rsid w:val="00F81F08"/>
    <w:rsid w:val="00F83806"/>
    <w:rsid w:val="00F8520B"/>
    <w:rsid w:val="00F86082"/>
    <w:rsid w:val="00F8641F"/>
    <w:rsid w:val="00F87A29"/>
    <w:rsid w:val="00F87FFD"/>
    <w:rsid w:val="00F945D2"/>
    <w:rsid w:val="00F96D62"/>
    <w:rsid w:val="00F97CD8"/>
    <w:rsid w:val="00FA1B16"/>
    <w:rsid w:val="00FB0832"/>
    <w:rsid w:val="00FB1D25"/>
    <w:rsid w:val="00FB1DA5"/>
    <w:rsid w:val="00FB3849"/>
    <w:rsid w:val="00FB5A82"/>
    <w:rsid w:val="00FB64A8"/>
    <w:rsid w:val="00FB64E2"/>
    <w:rsid w:val="00FB69C6"/>
    <w:rsid w:val="00FC04C6"/>
    <w:rsid w:val="00FC72D3"/>
    <w:rsid w:val="00FC740E"/>
    <w:rsid w:val="00FD0E58"/>
    <w:rsid w:val="00FD1283"/>
    <w:rsid w:val="00FD214A"/>
    <w:rsid w:val="00FD5224"/>
    <w:rsid w:val="00FD5423"/>
    <w:rsid w:val="00FD5A28"/>
    <w:rsid w:val="00FD62E9"/>
    <w:rsid w:val="00FD745B"/>
    <w:rsid w:val="00FE091C"/>
    <w:rsid w:val="00FE2C26"/>
    <w:rsid w:val="00FF11C8"/>
    <w:rsid w:val="00FF352D"/>
    <w:rsid w:val="00FF447E"/>
    <w:rsid w:val="00FF665D"/>
    <w:rsid w:val="00FF78BC"/>
    <w:rsid w:val="00FF7B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4DE67F"/>
  <w14:defaultImageDpi w14:val="32767"/>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1">
    <w:name w:val="heading 1"/>
    <w:basedOn w:val="Els-1storder-head"/>
    <w:next w:val="Normal"/>
    <w:link w:val="Heading1Char"/>
    <w:qFormat/>
    <w:rsid w:val="001A570A"/>
    <w:pPr>
      <w:outlineLvl w:val="0"/>
    </w:pPr>
  </w:style>
  <w:style w:type="paragraph" w:styleId="Heading2">
    <w:name w:val="heading 2"/>
    <w:basedOn w:val="Els-2ndorder-head"/>
    <w:next w:val="Normal"/>
    <w:link w:val="Heading2Char"/>
    <w:uiPriority w:val="9"/>
    <w:unhideWhenUsed/>
    <w:qFormat/>
    <w:rsid w:val="002B6DE9"/>
    <w:pPr>
      <w:outlineLvl w:val="1"/>
    </w:pPr>
  </w:style>
  <w:style w:type="paragraph" w:styleId="Heading3">
    <w:name w:val="heading 3"/>
    <w:basedOn w:val="Els-3rdorder-head"/>
    <w:next w:val="Normal"/>
    <w:link w:val="Heading3Char"/>
    <w:qFormat/>
    <w:rsid w:val="00264ED3"/>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link w:val="Els-body-textChar"/>
    <w:rsid w:val="008B0184"/>
    <w:pPr>
      <w:jc w:val="both"/>
    </w:pPr>
    <w:rPr>
      <w:lang w:val="en-US" w:eastAsia="en-US"/>
    </w:rPr>
  </w:style>
  <w:style w:type="paragraph" w:customStyle="1" w:styleId="Els-2ndorder-head">
    <w:name w:val="Els-2ndorder-head"/>
    <w:basedOn w:val="Els-body-text"/>
    <w:next w:val="Els-body-text"/>
    <w:link w:val="Els-2ndorder-headChar"/>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link w:val="CommentSubjectChar"/>
    <w:uiPriority w:val="99"/>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customStyle="1" w:styleId="CommentSubjectChar">
    <w:name w:val="Comment Subject Char"/>
    <w:basedOn w:val="DefaultParagraphFont"/>
    <w:link w:val="CommentSubject"/>
    <w:uiPriority w:val="99"/>
    <w:semiHidden/>
    <w:rsid w:val="00C26DB2"/>
    <w:rPr>
      <w:b/>
      <w:bCs/>
      <w:lang w:eastAsia="en-US"/>
    </w:rPr>
  </w:style>
  <w:style w:type="character" w:styleId="UnresolvedMention">
    <w:name w:val="Unresolved Mention"/>
    <w:basedOn w:val="DefaultParagraphFont"/>
    <w:uiPriority w:val="99"/>
    <w:semiHidden/>
    <w:unhideWhenUsed/>
    <w:rsid w:val="00CE4290"/>
    <w:rPr>
      <w:color w:val="605E5C"/>
      <w:shd w:val="clear" w:color="auto" w:fill="E1DFDD"/>
    </w:rPr>
  </w:style>
  <w:style w:type="character" w:customStyle="1" w:styleId="Heading1Char">
    <w:name w:val="Heading 1 Char"/>
    <w:basedOn w:val="DefaultParagraphFont"/>
    <w:link w:val="Heading1"/>
    <w:rsid w:val="001A570A"/>
    <w:rPr>
      <w:b/>
      <w:sz w:val="22"/>
      <w:lang w:val="en-US" w:eastAsia="en-US"/>
    </w:rPr>
  </w:style>
  <w:style w:type="paragraph" w:customStyle="1" w:styleId="Heading20">
    <w:name w:val="Heading2"/>
    <w:basedOn w:val="Els-2ndorder-head"/>
    <w:link w:val="Heading2Char0"/>
    <w:rsid w:val="005A3E94"/>
  </w:style>
  <w:style w:type="character" w:customStyle="1" w:styleId="Els-body-textChar">
    <w:name w:val="Els-body-text Char"/>
    <w:basedOn w:val="DefaultParagraphFont"/>
    <w:link w:val="Els-body-text"/>
    <w:rsid w:val="005A3E94"/>
    <w:rPr>
      <w:lang w:val="en-US" w:eastAsia="en-US"/>
    </w:rPr>
  </w:style>
  <w:style w:type="character" w:customStyle="1" w:styleId="Els-2ndorder-headChar">
    <w:name w:val="Els-2ndorder-head Char"/>
    <w:basedOn w:val="Els-body-textChar"/>
    <w:link w:val="Els-2ndorder-head"/>
    <w:rsid w:val="005A3E94"/>
    <w:rPr>
      <w:i/>
      <w:lang w:val="en-US" w:eastAsia="en-US"/>
    </w:rPr>
  </w:style>
  <w:style w:type="character" w:customStyle="1" w:styleId="Heading2Char0">
    <w:name w:val="Heading2 Char"/>
    <w:basedOn w:val="Els-2ndorder-headChar"/>
    <w:link w:val="Heading20"/>
    <w:rsid w:val="005A3E94"/>
    <w:rPr>
      <w:i/>
      <w:lang w:val="en-US" w:eastAsia="en-US"/>
    </w:rPr>
  </w:style>
  <w:style w:type="character" w:customStyle="1" w:styleId="Heading2Char">
    <w:name w:val="Heading 2 Char"/>
    <w:basedOn w:val="DefaultParagraphFont"/>
    <w:link w:val="Heading2"/>
    <w:uiPriority w:val="9"/>
    <w:rsid w:val="002B6DE9"/>
    <w:rPr>
      <w:i/>
      <w:lang w:val="en-US" w:eastAsia="en-US"/>
    </w:rPr>
  </w:style>
  <w:style w:type="table" w:styleId="TableGrid">
    <w:name w:val="Table Grid"/>
    <w:basedOn w:val="TableNormal"/>
    <w:uiPriority w:val="39"/>
    <w:rsid w:val="008B7A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97CD8"/>
    <w:rPr>
      <w:color w:val="666666"/>
    </w:rPr>
  </w:style>
  <w:style w:type="character" w:customStyle="1" w:styleId="Heading3Char">
    <w:name w:val="Heading 3 Char"/>
    <w:basedOn w:val="DefaultParagraphFont"/>
    <w:link w:val="Heading3"/>
    <w:rsid w:val="00062478"/>
    <w:rPr>
      <w:i/>
      <w:lang w:val="en-US" w:eastAsia="en-US"/>
    </w:rPr>
  </w:style>
  <w:style w:type="paragraph" w:styleId="Revision">
    <w:name w:val="Revision"/>
    <w:hidden/>
    <w:uiPriority w:val="99"/>
    <w:semiHidden/>
    <w:rsid w:val="00B330D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2280">
      <w:bodyDiv w:val="1"/>
      <w:marLeft w:val="0"/>
      <w:marRight w:val="0"/>
      <w:marTop w:val="0"/>
      <w:marBottom w:val="0"/>
      <w:divBdr>
        <w:top w:val="none" w:sz="0" w:space="0" w:color="auto"/>
        <w:left w:val="none" w:sz="0" w:space="0" w:color="auto"/>
        <w:bottom w:val="none" w:sz="0" w:space="0" w:color="auto"/>
        <w:right w:val="none" w:sz="0" w:space="0" w:color="auto"/>
      </w:divBdr>
      <w:divsChild>
        <w:div w:id="1943605326">
          <w:marLeft w:val="480"/>
          <w:marRight w:val="0"/>
          <w:marTop w:val="0"/>
          <w:marBottom w:val="0"/>
          <w:divBdr>
            <w:top w:val="none" w:sz="0" w:space="0" w:color="auto"/>
            <w:left w:val="none" w:sz="0" w:space="0" w:color="auto"/>
            <w:bottom w:val="none" w:sz="0" w:space="0" w:color="auto"/>
            <w:right w:val="none" w:sz="0" w:space="0" w:color="auto"/>
          </w:divBdr>
        </w:div>
        <w:div w:id="5402234">
          <w:marLeft w:val="480"/>
          <w:marRight w:val="0"/>
          <w:marTop w:val="0"/>
          <w:marBottom w:val="0"/>
          <w:divBdr>
            <w:top w:val="none" w:sz="0" w:space="0" w:color="auto"/>
            <w:left w:val="none" w:sz="0" w:space="0" w:color="auto"/>
            <w:bottom w:val="none" w:sz="0" w:space="0" w:color="auto"/>
            <w:right w:val="none" w:sz="0" w:space="0" w:color="auto"/>
          </w:divBdr>
        </w:div>
        <w:div w:id="1886018167">
          <w:marLeft w:val="480"/>
          <w:marRight w:val="0"/>
          <w:marTop w:val="0"/>
          <w:marBottom w:val="0"/>
          <w:divBdr>
            <w:top w:val="none" w:sz="0" w:space="0" w:color="auto"/>
            <w:left w:val="none" w:sz="0" w:space="0" w:color="auto"/>
            <w:bottom w:val="none" w:sz="0" w:space="0" w:color="auto"/>
            <w:right w:val="none" w:sz="0" w:space="0" w:color="auto"/>
          </w:divBdr>
        </w:div>
        <w:div w:id="415975502">
          <w:marLeft w:val="480"/>
          <w:marRight w:val="0"/>
          <w:marTop w:val="0"/>
          <w:marBottom w:val="0"/>
          <w:divBdr>
            <w:top w:val="none" w:sz="0" w:space="0" w:color="auto"/>
            <w:left w:val="none" w:sz="0" w:space="0" w:color="auto"/>
            <w:bottom w:val="none" w:sz="0" w:space="0" w:color="auto"/>
            <w:right w:val="none" w:sz="0" w:space="0" w:color="auto"/>
          </w:divBdr>
        </w:div>
      </w:divsChild>
    </w:div>
    <w:div w:id="70855796">
      <w:bodyDiv w:val="1"/>
      <w:marLeft w:val="0"/>
      <w:marRight w:val="0"/>
      <w:marTop w:val="0"/>
      <w:marBottom w:val="0"/>
      <w:divBdr>
        <w:top w:val="none" w:sz="0" w:space="0" w:color="auto"/>
        <w:left w:val="none" w:sz="0" w:space="0" w:color="auto"/>
        <w:bottom w:val="none" w:sz="0" w:space="0" w:color="auto"/>
        <w:right w:val="none" w:sz="0" w:space="0" w:color="auto"/>
      </w:divBdr>
    </w:div>
    <w:div w:id="76709083">
      <w:bodyDiv w:val="1"/>
      <w:marLeft w:val="0"/>
      <w:marRight w:val="0"/>
      <w:marTop w:val="0"/>
      <w:marBottom w:val="0"/>
      <w:divBdr>
        <w:top w:val="none" w:sz="0" w:space="0" w:color="auto"/>
        <w:left w:val="none" w:sz="0" w:space="0" w:color="auto"/>
        <w:bottom w:val="none" w:sz="0" w:space="0" w:color="auto"/>
        <w:right w:val="none" w:sz="0" w:space="0" w:color="auto"/>
      </w:divBdr>
    </w:div>
    <w:div w:id="121382780">
      <w:bodyDiv w:val="1"/>
      <w:marLeft w:val="0"/>
      <w:marRight w:val="0"/>
      <w:marTop w:val="0"/>
      <w:marBottom w:val="0"/>
      <w:divBdr>
        <w:top w:val="none" w:sz="0" w:space="0" w:color="auto"/>
        <w:left w:val="none" w:sz="0" w:space="0" w:color="auto"/>
        <w:bottom w:val="none" w:sz="0" w:space="0" w:color="auto"/>
        <w:right w:val="none" w:sz="0" w:space="0" w:color="auto"/>
      </w:divBdr>
    </w:div>
    <w:div w:id="150803442">
      <w:bodyDiv w:val="1"/>
      <w:marLeft w:val="0"/>
      <w:marRight w:val="0"/>
      <w:marTop w:val="0"/>
      <w:marBottom w:val="0"/>
      <w:divBdr>
        <w:top w:val="none" w:sz="0" w:space="0" w:color="auto"/>
        <w:left w:val="none" w:sz="0" w:space="0" w:color="auto"/>
        <w:bottom w:val="none" w:sz="0" w:space="0" w:color="auto"/>
        <w:right w:val="none" w:sz="0" w:space="0" w:color="auto"/>
      </w:divBdr>
    </w:div>
    <w:div w:id="235670246">
      <w:bodyDiv w:val="1"/>
      <w:marLeft w:val="0"/>
      <w:marRight w:val="0"/>
      <w:marTop w:val="0"/>
      <w:marBottom w:val="0"/>
      <w:divBdr>
        <w:top w:val="none" w:sz="0" w:space="0" w:color="auto"/>
        <w:left w:val="none" w:sz="0" w:space="0" w:color="auto"/>
        <w:bottom w:val="none" w:sz="0" w:space="0" w:color="auto"/>
        <w:right w:val="none" w:sz="0" w:space="0" w:color="auto"/>
      </w:divBdr>
      <w:divsChild>
        <w:div w:id="1648631991">
          <w:marLeft w:val="480"/>
          <w:marRight w:val="0"/>
          <w:marTop w:val="0"/>
          <w:marBottom w:val="0"/>
          <w:divBdr>
            <w:top w:val="none" w:sz="0" w:space="0" w:color="auto"/>
            <w:left w:val="none" w:sz="0" w:space="0" w:color="auto"/>
            <w:bottom w:val="none" w:sz="0" w:space="0" w:color="auto"/>
            <w:right w:val="none" w:sz="0" w:space="0" w:color="auto"/>
          </w:divBdr>
        </w:div>
        <w:div w:id="474225679">
          <w:marLeft w:val="480"/>
          <w:marRight w:val="0"/>
          <w:marTop w:val="0"/>
          <w:marBottom w:val="0"/>
          <w:divBdr>
            <w:top w:val="none" w:sz="0" w:space="0" w:color="auto"/>
            <w:left w:val="none" w:sz="0" w:space="0" w:color="auto"/>
            <w:bottom w:val="none" w:sz="0" w:space="0" w:color="auto"/>
            <w:right w:val="none" w:sz="0" w:space="0" w:color="auto"/>
          </w:divBdr>
        </w:div>
        <w:div w:id="1854295466">
          <w:marLeft w:val="480"/>
          <w:marRight w:val="0"/>
          <w:marTop w:val="0"/>
          <w:marBottom w:val="0"/>
          <w:divBdr>
            <w:top w:val="none" w:sz="0" w:space="0" w:color="auto"/>
            <w:left w:val="none" w:sz="0" w:space="0" w:color="auto"/>
            <w:bottom w:val="none" w:sz="0" w:space="0" w:color="auto"/>
            <w:right w:val="none" w:sz="0" w:space="0" w:color="auto"/>
          </w:divBdr>
        </w:div>
        <w:div w:id="457185934">
          <w:marLeft w:val="480"/>
          <w:marRight w:val="0"/>
          <w:marTop w:val="0"/>
          <w:marBottom w:val="0"/>
          <w:divBdr>
            <w:top w:val="none" w:sz="0" w:space="0" w:color="auto"/>
            <w:left w:val="none" w:sz="0" w:space="0" w:color="auto"/>
            <w:bottom w:val="none" w:sz="0" w:space="0" w:color="auto"/>
            <w:right w:val="none" w:sz="0" w:space="0" w:color="auto"/>
          </w:divBdr>
        </w:div>
        <w:div w:id="986740949">
          <w:marLeft w:val="480"/>
          <w:marRight w:val="0"/>
          <w:marTop w:val="0"/>
          <w:marBottom w:val="0"/>
          <w:divBdr>
            <w:top w:val="none" w:sz="0" w:space="0" w:color="auto"/>
            <w:left w:val="none" w:sz="0" w:space="0" w:color="auto"/>
            <w:bottom w:val="none" w:sz="0" w:space="0" w:color="auto"/>
            <w:right w:val="none" w:sz="0" w:space="0" w:color="auto"/>
          </w:divBdr>
        </w:div>
        <w:div w:id="811873350">
          <w:marLeft w:val="480"/>
          <w:marRight w:val="0"/>
          <w:marTop w:val="0"/>
          <w:marBottom w:val="0"/>
          <w:divBdr>
            <w:top w:val="none" w:sz="0" w:space="0" w:color="auto"/>
            <w:left w:val="none" w:sz="0" w:space="0" w:color="auto"/>
            <w:bottom w:val="none" w:sz="0" w:space="0" w:color="auto"/>
            <w:right w:val="none" w:sz="0" w:space="0" w:color="auto"/>
          </w:divBdr>
        </w:div>
        <w:div w:id="2067028536">
          <w:marLeft w:val="480"/>
          <w:marRight w:val="0"/>
          <w:marTop w:val="0"/>
          <w:marBottom w:val="0"/>
          <w:divBdr>
            <w:top w:val="none" w:sz="0" w:space="0" w:color="auto"/>
            <w:left w:val="none" w:sz="0" w:space="0" w:color="auto"/>
            <w:bottom w:val="none" w:sz="0" w:space="0" w:color="auto"/>
            <w:right w:val="none" w:sz="0" w:space="0" w:color="auto"/>
          </w:divBdr>
        </w:div>
        <w:div w:id="1164276393">
          <w:marLeft w:val="480"/>
          <w:marRight w:val="0"/>
          <w:marTop w:val="0"/>
          <w:marBottom w:val="0"/>
          <w:divBdr>
            <w:top w:val="none" w:sz="0" w:space="0" w:color="auto"/>
            <w:left w:val="none" w:sz="0" w:space="0" w:color="auto"/>
            <w:bottom w:val="none" w:sz="0" w:space="0" w:color="auto"/>
            <w:right w:val="none" w:sz="0" w:space="0" w:color="auto"/>
          </w:divBdr>
        </w:div>
        <w:div w:id="1580872540">
          <w:marLeft w:val="480"/>
          <w:marRight w:val="0"/>
          <w:marTop w:val="0"/>
          <w:marBottom w:val="0"/>
          <w:divBdr>
            <w:top w:val="none" w:sz="0" w:space="0" w:color="auto"/>
            <w:left w:val="none" w:sz="0" w:space="0" w:color="auto"/>
            <w:bottom w:val="none" w:sz="0" w:space="0" w:color="auto"/>
            <w:right w:val="none" w:sz="0" w:space="0" w:color="auto"/>
          </w:divBdr>
        </w:div>
        <w:div w:id="1934967268">
          <w:marLeft w:val="480"/>
          <w:marRight w:val="0"/>
          <w:marTop w:val="0"/>
          <w:marBottom w:val="0"/>
          <w:divBdr>
            <w:top w:val="none" w:sz="0" w:space="0" w:color="auto"/>
            <w:left w:val="none" w:sz="0" w:space="0" w:color="auto"/>
            <w:bottom w:val="none" w:sz="0" w:space="0" w:color="auto"/>
            <w:right w:val="none" w:sz="0" w:space="0" w:color="auto"/>
          </w:divBdr>
        </w:div>
        <w:div w:id="1956402612">
          <w:marLeft w:val="480"/>
          <w:marRight w:val="0"/>
          <w:marTop w:val="0"/>
          <w:marBottom w:val="0"/>
          <w:divBdr>
            <w:top w:val="none" w:sz="0" w:space="0" w:color="auto"/>
            <w:left w:val="none" w:sz="0" w:space="0" w:color="auto"/>
            <w:bottom w:val="none" w:sz="0" w:space="0" w:color="auto"/>
            <w:right w:val="none" w:sz="0" w:space="0" w:color="auto"/>
          </w:divBdr>
        </w:div>
      </w:divsChild>
    </w:div>
    <w:div w:id="263415749">
      <w:bodyDiv w:val="1"/>
      <w:marLeft w:val="0"/>
      <w:marRight w:val="0"/>
      <w:marTop w:val="0"/>
      <w:marBottom w:val="0"/>
      <w:divBdr>
        <w:top w:val="none" w:sz="0" w:space="0" w:color="auto"/>
        <w:left w:val="none" w:sz="0" w:space="0" w:color="auto"/>
        <w:bottom w:val="none" w:sz="0" w:space="0" w:color="auto"/>
        <w:right w:val="none" w:sz="0" w:space="0" w:color="auto"/>
      </w:divBdr>
    </w:div>
    <w:div w:id="300965520">
      <w:bodyDiv w:val="1"/>
      <w:marLeft w:val="0"/>
      <w:marRight w:val="0"/>
      <w:marTop w:val="0"/>
      <w:marBottom w:val="0"/>
      <w:divBdr>
        <w:top w:val="none" w:sz="0" w:space="0" w:color="auto"/>
        <w:left w:val="none" w:sz="0" w:space="0" w:color="auto"/>
        <w:bottom w:val="none" w:sz="0" w:space="0" w:color="auto"/>
        <w:right w:val="none" w:sz="0" w:space="0" w:color="auto"/>
      </w:divBdr>
    </w:div>
    <w:div w:id="352343732">
      <w:bodyDiv w:val="1"/>
      <w:marLeft w:val="0"/>
      <w:marRight w:val="0"/>
      <w:marTop w:val="0"/>
      <w:marBottom w:val="0"/>
      <w:divBdr>
        <w:top w:val="none" w:sz="0" w:space="0" w:color="auto"/>
        <w:left w:val="none" w:sz="0" w:space="0" w:color="auto"/>
        <w:bottom w:val="none" w:sz="0" w:space="0" w:color="auto"/>
        <w:right w:val="none" w:sz="0" w:space="0" w:color="auto"/>
      </w:divBdr>
    </w:div>
    <w:div w:id="365638727">
      <w:bodyDiv w:val="1"/>
      <w:marLeft w:val="0"/>
      <w:marRight w:val="0"/>
      <w:marTop w:val="0"/>
      <w:marBottom w:val="0"/>
      <w:divBdr>
        <w:top w:val="none" w:sz="0" w:space="0" w:color="auto"/>
        <w:left w:val="none" w:sz="0" w:space="0" w:color="auto"/>
        <w:bottom w:val="none" w:sz="0" w:space="0" w:color="auto"/>
        <w:right w:val="none" w:sz="0" w:space="0" w:color="auto"/>
      </w:divBdr>
    </w:div>
    <w:div w:id="366175741">
      <w:bodyDiv w:val="1"/>
      <w:marLeft w:val="0"/>
      <w:marRight w:val="0"/>
      <w:marTop w:val="0"/>
      <w:marBottom w:val="0"/>
      <w:divBdr>
        <w:top w:val="none" w:sz="0" w:space="0" w:color="auto"/>
        <w:left w:val="none" w:sz="0" w:space="0" w:color="auto"/>
        <w:bottom w:val="none" w:sz="0" w:space="0" w:color="auto"/>
        <w:right w:val="none" w:sz="0" w:space="0" w:color="auto"/>
      </w:divBdr>
      <w:divsChild>
        <w:div w:id="1631789191">
          <w:marLeft w:val="480"/>
          <w:marRight w:val="0"/>
          <w:marTop w:val="0"/>
          <w:marBottom w:val="0"/>
          <w:divBdr>
            <w:top w:val="none" w:sz="0" w:space="0" w:color="auto"/>
            <w:left w:val="none" w:sz="0" w:space="0" w:color="auto"/>
            <w:bottom w:val="none" w:sz="0" w:space="0" w:color="auto"/>
            <w:right w:val="none" w:sz="0" w:space="0" w:color="auto"/>
          </w:divBdr>
        </w:div>
        <w:div w:id="1849520384">
          <w:marLeft w:val="480"/>
          <w:marRight w:val="0"/>
          <w:marTop w:val="0"/>
          <w:marBottom w:val="0"/>
          <w:divBdr>
            <w:top w:val="none" w:sz="0" w:space="0" w:color="auto"/>
            <w:left w:val="none" w:sz="0" w:space="0" w:color="auto"/>
            <w:bottom w:val="none" w:sz="0" w:space="0" w:color="auto"/>
            <w:right w:val="none" w:sz="0" w:space="0" w:color="auto"/>
          </w:divBdr>
        </w:div>
        <w:div w:id="1009411842">
          <w:marLeft w:val="480"/>
          <w:marRight w:val="0"/>
          <w:marTop w:val="0"/>
          <w:marBottom w:val="0"/>
          <w:divBdr>
            <w:top w:val="none" w:sz="0" w:space="0" w:color="auto"/>
            <w:left w:val="none" w:sz="0" w:space="0" w:color="auto"/>
            <w:bottom w:val="none" w:sz="0" w:space="0" w:color="auto"/>
            <w:right w:val="none" w:sz="0" w:space="0" w:color="auto"/>
          </w:divBdr>
        </w:div>
        <w:div w:id="1609003136">
          <w:marLeft w:val="480"/>
          <w:marRight w:val="0"/>
          <w:marTop w:val="0"/>
          <w:marBottom w:val="0"/>
          <w:divBdr>
            <w:top w:val="none" w:sz="0" w:space="0" w:color="auto"/>
            <w:left w:val="none" w:sz="0" w:space="0" w:color="auto"/>
            <w:bottom w:val="none" w:sz="0" w:space="0" w:color="auto"/>
            <w:right w:val="none" w:sz="0" w:space="0" w:color="auto"/>
          </w:divBdr>
        </w:div>
        <w:div w:id="72090549">
          <w:marLeft w:val="480"/>
          <w:marRight w:val="0"/>
          <w:marTop w:val="0"/>
          <w:marBottom w:val="0"/>
          <w:divBdr>
            <w:top w:val="none" w:sz="0" w:space="0" w:color="auto"/>
            <w:left w:val="none" w:sz="0" w:space="0" w:color="auto"/>
            <w:bottom w:val="none" w:sz="0" w:space="0" w:color="auto"/>
            <w:right w:val="none" w:sz="0" w:space="0" w:color="auto"/>
          </w:divBdr>
        </w:div>
        <w:div w:id="1216964859">
          <w:marLeft w:val="480"/>
          <w:marRight w:val="0"/>
          <w:marTop w:val="0"/>
          <w:marBottom w:val="0"/>
          <w:divBdr>
            <w:top w:val="none" w:sz="0" w:space="0" w:color="auto"/>
            <w:left w:val="none" w:sz="0" w:space="0" w:color="auto"/>
            <w:bottom w:val="none" w:sz="0" w:space="0" w:color="auto"/>
            <w:right w:val="none" w:sz="0" w:space="0" w:color="auto"/>
          </w:divBdr>
        </w:div>
        <w:div w:id="433673112">
          <w:marLeft w:val="480"/>
          <w:marRight w:val="0"/>
          <w:marTop w:val="0"/>
          <w:marBottom w:val="0"/>
          <w:divBdr>
            <w:top w:val="none" w:sz="0" w:space="0" w:color="auto"/>
            <w:left w:val="none" w:sz="0" w:space="0" w:color="auto"/>
            <w:bottom w:val="none" w:sz="0" w:space="0" w:color="auto"/>
            <w:right w:val="none" w:sz="0" w:space="0" w:color="auto"/>
          </w:divBdr>
        </w:div>
        <w:div w:id="319507070">
          <w:marLeft w:val="480"/>
          <w:marRight w:val="0"/>
          <w:marTop w:val="0"/>
          <w:marBottom w:val="0"/>
          <w:divBdr>
            <w:top w:val="none" w:sz="0" w:space="0" w:color="auto"/>
            <w:left w:val="none" w:sz="0" w:space="0" w:color="auto"/>
            <w:bottom w:val="none" w:sz="0" w:space="0" w:color="auto"/>
            <w:right w:val="none" w:sz="0" w:space="0" w:color="auto"/>
          </w:divBdr>
        </w:div>
        <w:div w:id="1428579916">
          <w:marLeft w:val="480"/>
          <w:marRight w:val="0"/>
          <w:marTop w:val="0"/>
          <w:marBottom w:val="0"/>
          <w:divBdr>
            <w:top w:val="none" w:sz="0" w:space="0" w:color="auto"/>
            <w:left w:val="none" w:sz="0" w:space="0" w:color="auto"/>
            <w:bottom w:val="none" w:sz="0" w:space="0" w:color="auto"/>
            <w:right w:val="none" w:sz="0" w:space="0" w:color="auto"/>
          </w:divBdr>
        </w:div>
      </w:divsChild>
    </w:div>
    <w:div w:id="389303171">
      <w:bodyDiv w:val="1"/>
      <w:marLeft w:val="0"/>
      <w:marRight w:val="0"/>
      <w:marTop w:val="0"/>
      <w:marBottom w:val="0"/>
      <w:divBdr>
        <w:top w:val="none" w:sz="0" w:space="0" w:color="auto"/>
        <w:left w:val="none" w:sz="0" w:space="0" w:color="auto"/>
        <w:bottom w:val="none" w:sz="0" w:space="0" w:color="auto"/>
        <w:right w:val="none" w:sz="0" w:space="0" w:color="auto"/>
      </w:divBdr>
      <w:divsChild>
        <w:div w:id="1116482473">
          <w:marLeft w:val="480"/>
          <w:marRight w:val="0"/>
          <w:marTop w:val="0"/>
          <w:marBottom w:val="0"/>
          <w:divBdr>
            <w:top w:val="none" w:sz="0" w:space="0" w:color="auto"/>
            <w:left w:val="none" w:sz="0" w:space="0" w:color="auto"/>
            <w:bottom w:val="none" w:sz="0" w:space="0" w:color="auto"/>
            <w:right w:val="none" w:sz="0" w:space="0" w:color="auto"/>
          </w:divBdr>
        </w:div>
        <w:div w:id="180510313">
          <w:marLeft w:val="480"/>
          <w:marRight w:val="0"/>
          <w:marTop w:val="0"/>
          <w:marBottom w:val="0"/>
          <w:divBdr>
            <w:top w:val="none" w:sz="0" w:space="0" w:color="auto"/>
            <w:left w:val="none" w:sz="0" w:space="0" w:color="auto"/>
            <w:bottom w:val="none" w:sz="0" w:space="0" w:color="auto"/>
            <w:right w:val="none" w:sz="0" w:space="0" w:color="auto"/>
          </w:divBdr>
        </w:div>
      </w:divsChild>
    </w:div>
    <w:div w:id="389379413">
      <w:bodyDiv w:val="1"/>
      <w:marLeft w:val="0"/>
      <w:marRight w:val="0"/>
      <w:marTop w:val="0"/>
      <w:marBottom w:val="0"/>
      <w:divBdr>
        <w:top w:val="none" w:sz="0" w:space="0" w:color="auto"/>
        <w:left w:val="none" w:sz="0" w:space="0" w:color="auto"/>
        <w:bottom w:val="none" w:sz="0" w:space="0" w:color="auto"/>
        <w:right w:val="none" w:sz="0" w:space="0" w:color="auto"/>
      </w:divBdr>
    </w:div>
    <w:div w:id="397899045">
      <w:bodyDiv w:val="1"/>
      <w:marLeft w:val="0"/>
      <w:marRight w:val="0"/>
      <w:marTop w:val="0"/>
      <w:marBottom w:val="0"/>
      <w:divBdr>
        <w:top w:val="none" w:sz="0" w:space="0" w:color="auto"/>
        <w:left w:val="none" w:sz="0" w:space="0" w:color="auto"/>
        <w:bottom w:val="none" w:sz="0" w:space="0" w:color="auto"/>
        <w:right w:val="none" w:sz="0" w:space="0" w:color="auto"/>
      </w:divBdr>
      <w:divsChild>
        <w:div w:id="1469470191">
          <w:marLeft w:val="480"/>
          <w:marRight w:val="0"/>
          <w:marTop w:val="0"/>
          <w:marBottom w:val="0"/>
          <w:divBdr>
            <w:top w:val="none" w:sz="0" w:space="0" w:color="auto"/>
            <w:left w:val="none" w:sz="0" w:space="0" w:color="auto"/>
            <w:bottom w:val="none" w:sz="0" w:space="0" w:color="auto"/>
            <w:right w:val="none" w:sz="0" w:space="0" w:color="auto"/>
          </w:divBdr>
        </w:div>
        <w:div w:id="1495031559">
          <w:marLeft w:val="480"/>
          <w:marRight w:val="0"/>
          <w:marTop w:val="0"/>
          <w:marBottom w:val="0"/>
          <w:divBdr>
            <w:top w:val="none" w:sz="0" w:space="0" w:color="auto"/>
            <w:left w:val="none" w:sz="0" w:space="0" w:color="auto"/>
            <w:bottom w:val="none" w:sz="0" w:space="0" w:color="auto"/>
            <w:right w:val="none" w:sz="0" w:space="0" w:color="auto"/>
          </w:divBdr>
        </w:div>
        <w:div w:id="994450279">
          <w:marLeft w:val="480"/>
          <w:marRight w:val="0"/>
          <w:marTop w:val="0"/>
          <w:marBottom w:val="0"/>
          <w:divBdr>
            <w:top w:val="none" w:sz="0" w:space="0" w:color="auto"/>
            <w:left w:val="none" w:sz="0" w:space="0" w:color="auto"/>
            <w:bottom w:val="none" w:sz="0" w:space="0" w:color="auto"/>
            <w:right w:val="none" w:sz="0" w:space="0" w:color="auto"/>
          </w:divBdr>
        </w:div>
        <w:div w:id="1399018462">
          <w:marLeft w:val="480"/>
          <w:marRight w:val="0"/>
          <w:marTop w:val="0"/>
          <w:marBottom w:val="0"/>
          <w:divBdr>
            <w:top w:val="none" w:sz="0" w:space="0" w:color="auto"/>
            <w:left w:val="none" w:sz="0" w:space="0" w:color="auto"/>
            <w:bottom w:val="none" w:sz="0" w:space="0" w:color="auto"/>
            <w:right w:val="none" w:sz="0" w:space="0" w:color="auto"/>
          </w:divBdr>
        </w:div>
        <w:div w:id="221643632">
          <w:marLeft w:val="480"/>
          <w:marRight w:val="0"/>
          <w:marTop w:val="0"/>
          <w:marBottom w:val="0"/>
          <w:divBdr>
            <w:top w:val="none" w:sz="0" w:space="0" w:color="auto"/>
            <w:left w:val="none" w:sz="0" w:space="0" w:color="auto"/>
            <w:bottom w:val="none" w:sz="0" w:space="0" w:color="auto"/>
            <w:right w:val="none" w:sz="0" w:space="0" w:color="auto"/>
          </w:divBdr>
        </w:div>
        <w:div w:id="2016808838">
          <w:marLeft w:val="480"/>
          <w:marRight w:val="0"/>
          <w:marTop w:val="0"/>
          <w:marBottom w:val="0"/>
          <w:divBdr>
            <w:top w:val="none" w:sz="0" w:space="0" w:color="auto"/>
            <w:left w:val="none" w:sz="0" w:space="0" w:color="auto"/>
            <w:bottom w:val="none" w:sz="0" w:space="0" w:color="auto"/>
            <w:right w:val="none" w:sz="0" w:space="0" w:color="auto"/>
          </w:divBdr>
        </w:div>
        <w:div w:id="331030946">
          <w:marLeft w:val="480"/>
          <w:marRight w:val="0"/>
          <w:marTop w:val="0"/>
          <w:marBottom w:val="0"/>
          <w:divBdr>
            <w:top w:val="none" w:sz="0" w:space="0" w:color="auto"/>
            <w:left w:val="none" w:sz="0" w:space="0" w:color="auto"/>
            <w:bottom w:val="none" w:sz="0" w:space="0" w:color="auto"/>
            <w:right w:val="none" w:sz="0" w:space="0" w:color="auto"/>
          </w:divBdr>
        </w:div>
        <w:div w:id="1129468571">
          <w:marLeft w:val="480"/>
          <w:marRight w:val="0"/>
          <w:marTop w:val="0"/>
          <w:marBottom w:val="0"/>
          <w:divBdr>
            <w:top w:val="none" w:sz="0" w:space="0" w:color="auto"/>
            <w:left w:val="none" w:sz="0" w:space="0" w:color="auto"/>
            <w:bottom w:val="none" w:sz="0" w:space="0" w:color="auto"/>
            <w:right w:val="none" w:sz="0" w:space="0" w:color="auto"/>
          </w:divBdr>
        </w:div>
        <w:div w:id="906765989">
          <w:marLeft w:val="480"/>
          <w:marRight w:val="0"/>
          <w:marTop w:val="0"/>
          <w:marBottom w:val="0"/>
          <w:divBdr>
            <w:top w:val="none" w:sz="0" w:space="0" w:color="auto"/>
            <w:left w:val="none" w:sz="0" w:space="0" w:color="auto"/>
            <w:bottom w:val="none" w:sz="0" w:space="0" w:color="auto"/>
            <w:right w:val="none" w:sz="0" w:space="0" w:color="auto"/>
          </w:divBdr>
        </w:div>
        <w:div w:id="610746683">
          <w:marLeft w:val="480"/>
          <w:marRight w:val="0"/>
          <w:marTop w:val="0"/>
          <w:marBottom w:val="0"/>
          <w:divBdr>
            <w:top w:val="none" w:sz="0" w:space="0" w:color="auto"/>
            <w:left w:val="none" w:sz="0" w:space="0" w:color="auto"/>
            <w:bottom w:val="none" w:sz="0" w:space="0" w:color="auto"/>
            <w:right w:val="none" w:sz="0" w:space="0" w:color="auto"/>
          </w:divBdr>
        </w:div>
      </w:divsChild>
    </w:div>
    <w:div w:id="408235780">
      <w:bodyDiv w:val="1"/>
      <w:marLeft w:val="0"/>
      <w:marRight w:val="0"/>
      <w:marTop w:val="0"/>
      <w:marBottom w:val="0"/>
      <w:divBdr>
        <w:top w:val="none" w:sz="0" w:space="0" w:color="auto"/>
        <w:left w:val="none" w:sz="0" w:space="0" w:color="auto"/>
        <w:bottom w:val="none" w:sz="0" w:space="0" w:color="auto"/>
        <w:right w:val="none" w:sz="0" w:space="0" w:color="auto"/>
      </w:divBdr>
      <w:divsChild>
        <w:div w:id="1229073785">
          <w:marLeft w:val="480"/>
          <w:marRight w:val="0"/>
          <w:marTop w:val="0"/>
          <w:marBottom w:val="0"/>
          <w:divBdr>
            <w:top w:val="none" w:sz="0" w:space="0" w:color="auto"/>
            <w:left w:val="none" w:sz="0" w:space="0" w:color="auto"/>
            <w:bottom w:val="none" w:sz="0" w:space="0" w:color="auto"/>
            <w:right w:val="none" w:sz="0" w:space="0" w:color="auto"/>
          </w:divBdr>
        </w:div>
        <w:div w:id="324745750">
          <w:marLeft w:val="480"/>
          <w:marRight w:val="0"/>
          <w:marTop w:val="0"/>
          <w:marBottom w:val="0"/>
          <w:divBdr>
            <w:top w:val="none" w:sz="0" w:space="0" w:color="auto"/>
            <w:left w:val="none" w:sz="0" w:space="0" w:color="auto"/>
            <w:bottom w:val="none" w:sz="0" w:space="0" w:color="auto"/>
            <w:right w:val="none" w:sz="0" w:space="0" w:color="auto"/>
          </w:divBdr>
        </w:div>
        <w:div w:id="121313903">
          <w:marLeft w:val="480"/>
          <w:marRight w:val="0"/>
          <w:marTop w:val="0"/>
          <w:marBottom w:val="0"/>
          <w:divBdr>
            <w:top w:val="none" w:sz="0" w:space="0" w:color="auto"/>
            <w:left w:val="none" w:sz="0" w:space="0" w:color="auto"/>
            <w:bottom w:val="none" w:sz="0" w:space="0" w:color="auto"/>
            <w:right w:val="none" w:sz="0" w:space="0" w:color="auto"/>
          </w:divBdr>
        </w:div>
        <w:div w:id="791896502">
          <w:marLeft w:val="480"/>
          <w:marRight w:val="0"/>
          <w:marTop w:val="0"/>
          <w:marBottom w:val="0"/>
          <w:divBdr>
            <w:top w:val="none" w:sz="0" w:space="0" w:color="auto"/>
            <w:left w:val="none" w:sz="0" w:space="0" w:color="auto"/>
            <w:bottom w:val="none" w:sz="0" w:space="0" w:color="auto"/>
            <w:right w:val="none" w:sz="0" w:space="0" w:color="auto"/>
          </w:divBdr>
        </w:div>
        <w:div w:id="410808631">
          <w:marLeft w:val="480"/>
          <w:marRight w:val="0"/>
          <w:marTop w:val="0"/>
          <w:marBottom w:val="0"/>
          <w:divBdr>
            <w:top w:val="none" w:sz="0" w:space="0" w:color="auto"/>
            <w:left w:val="none" w:sz="0" w:space="0" w:color="auto"/>
            <w:bottom w:val="none" w:sz="0" w:space="0" w:color="auto"/>
            <w:right w:val="none" w:sz="0" w:space="0" w:color="auto"/>
          </w:divBdr>
        </w:div>
        <w:div w:id="2050110072">
          <w:marLeft w:val="480"/>
          <w:marRight w:val="0"/>
          <w:marTop w:val="0"/>
          <w:marBottom w:val="0"/>
          <w:divBdr>
            <w:top w:val="none" w:sz="0" w:space="0" w:color="auto"/>
            <w:left w:val="none" w:sz="0" w:space="0" w:color="auto"/>
            <w:bottom w:val="none" w:sz="0" w:space="0" w:color="auto"/>
            <w:right w:val="none" w:sz="0" w:space="0" w:color="auto"/>
          </w:divBdr>
        </w:div>
        <w:div w:id="807550779">
          <w:marLeft w:val="480"/>
          <w:marRight w:val="0"/>
          <w:marTop w:val="0"/>
          <w:marBottom w:val="0"/>
          <w:divBdr>
            <w:top w:val="none" w:sz="0" w:space="0" w:color="auto"/>
            <w:left w:val="none" w:sz="0" w:space="0" w:color="auto"/>
            <w:bottom w:val="none" w:sz="0" w:space="0" w:color="auto"/>
            <w:right w:val="none" w:sz="0" w:space="0" w:color="auto"/>
          </w:divBdr>
        </w:div>
        <w:div w:id="1365327520">
          <w:marLeft w:val="480"/>
          <w:marRight w:val="0"/>
          <w:marTop w:val="0"/>
          <w:marBottom w:val="0"/>
          <w:divBdr>
            <w:top w:val="none" w:sz="0" w:space="0" w:color="auto"/>
            <w:left w:val="none" w:sz="0" w:space="0" w:color="auto"/>
            <w:bottom w:val="none" w:sz="0" w:space="0" w:color="auto"/>
            <w:right w:val="none" w:sz="0" w:space="0" w:color="auto"/>
          </w:divBdr>
        </w:div>
        <w:div w:id="516579398">
          <w:marLeft w:val="480"/>
          <w:marRight w:val="0"/>
          <w:marTop w:val="0"/>
          <w:marBottom w:val="0"/>
          <w:divBdr>
            <w:top w:val="none" w:sz="0" w:space="0" w:color="auto"/>
            <w:left w:val="none" w:sz="0" w:space="0" w:color="auto"/>
            <w:bottom w:val="none" w:sz="0" w:space="0" w:color="auto"/>
            <w:right w:val="none" w:sz="0" w:space="0" w:color="auto"/>
          </w:divBdr>
        </w:div>
        <w:div w:id="2120759917">
          <w:marLeft w:val="480"/>
          <w:marRight w:val="0"/>
          <w:marTop w:val="0"/>
          <w:marBottom w:val="0"/>
          <w:divBdr>
            <w:top w:val="none" w:sz="0" w:space="0" w:color="auto"/>
            <w:left w:val="none" w:sz="0" w:space="0" w:color="auto"/>
            <w:bottom w:val="none" w:sz="0" w:space="0" w:color="auto"/>
            <w:right w:val="none" w:sz="0" w:space="0" w:color="auto"/>
          </w:divBdr>
        </w:div>
        <w:div w:id="196890183">
          <w:marLeft w:val="480"/>
          <w:marRight w:val="0"/>
          <w:marTop w:val="0"/>
          <w:marBottom w:val="0"/>
          <w:divBdr>
            <w:top w:val="none" w:sz="0" w:space="0" w:color="auto"/>
            <w:left w:val="none" w:sz="0" w:space="0" w:color="auto"/>
            <w:bottom w:val="none" w:sz="0" w:space="0" w:color="auto"/>
            <w:right w:val="none" w:sz="0" w:space="0" w:color="auto"/>
          </w:divBdr>
        </w:div>
      </w:divsChild>
    </w:div>
    <w:div w:id="429662151">
      <w:bodyDiv w:val="1"/>
      <w:marLeft w:val="0"/>
      <w:marRight w:val="0"/>
      <w:marTop w:val="0"/>
      <w:marBottom w:val="0"/>
      <w:divBdr>
        <w:top w:val="none" w:sz="0" w:space="0" w:color="auto"/>
        <w:left w:val="none" w:sz="0" w:space="0" w:color="auto"/>
        <w:bottom w:val="none" w:sz="0" w:space="0" w:color="auto"/>
        <w:right w:val="none" w:sz="0" w:space="0" w:color="auto"/>
      </w:divBdr>
      <w:divsChild>
        <w:div w:id="235405923">
          <w:marLeft w:val="480"/>
          <w:marRight w:val="0"/>
          <w:marTop w:val="0"/>
          <w:marBottom w:val="0"/>
          <w:divBdr>
            <w:top w:val="none" w:sz="0" w:space="0" w:color="auto"/>
            <w:left w:val="none" w:sz="0" w:space="0" w:color="auto"/>
            <w:bottom w:val="none" w:sz="0" w:space="0" w:color="auto"/>
            <w:right w:val="none" w:sz="0" w:space="0" w:color="auto"/>
          </w:divBdr>
        </w:div>
      </w:divsChild>
    </w:div>
    <w:div w:id="521433063">
      <w:bodyDiv w:val="1"/>
      <w:marLeft w:val="0"/>
      <w:marRight w:val="0"/>
      <w:marTop w:val="0"/>
      <w:marBottom w:val="0"/>
      <w:divBdr>
        <w:top w:val="none" w:sz="0" w:space="0" w:color="auto"/>
        <w:left w:val="none" w:sz="0" w:space="0" w:color="auto"/>
        <w:bottom w:val="none" w:sz="0" w:space="0" w:color="auto"/>
        <w:right w:val="none" w:sz="0" w:space="0" w:color="auto"/>
      </w:divBdr>
      <w:divsChild>
        <w:div w:id="293870447">
          <w:marLeft w:val="480"/>
          <w:marRight w:val="0"/>
          <w:marTop w:val="0"/>
          <w:marBottom w:val="0"/>
          <w:divBdr>
            <w:top w:val="none" w:sz="0" w:space="0" w:color="auto"/>
            <w:left w:val="none" w:sz="0" w:space="0" w:color="auto"/>
            <w:bottom w:val="none" w:sz="0" w:space="0" w:color="auto"/>
            <w:right w:val="none" w:sz="0" w:space="0" w:color="auto"/>
          </w:divBdr>
        </w:div>
        <w:div w:id="86659379">
          <w:marLeft w:val="480"/>
          <w:marRight w:val="0"/>
          <w:marTop w:val="0"/>
          <w:marBottom w:val="0"/>
          <w:divBdr>
            <w:top w:val="none" w:sz="0" w:space="0" w:color="auto"/>
            <w:left w:val="none" w:sz="0" w:space="0" w:color="auto"/>
            <w:bottom w:val="none" w:sz="0" w:space="0" w:color="auto"/>
            <w:right w:val="none" w:sz="0" w:space="0" w:color="auto"/>
          </w:divBdr>
        </w:div>
        <w:div w:id="915436636">
          <w:marLeft w:val="480"/>
          <w:marRight w:val="0"/>
          <w:marTop w:val="0"/>
          <w:marBottom w:val="0"/>
          <w:divBdr>
            <w:top w:val="none" w:sz="0" w:space="0" w:color="auto"/>
            <w:left w:val="none" w:sz="0" w:space="0" w:color="auto"/>
            <w:bottom w:val="none" w:sz="0" w:space="0" w:color="auto"/>
            <w:right w:val="none" w:sz="0" w:space="0" w:color="auto"/>
          </w:divBdr>
        </w:div>
      </w:divsChild>
    </w:div>
    <w:div w:id="532424127">
      <w:bodyDiv w:val="1"/>
      <w:marLeft w:val="0"/>
      <w:marRight w:val="0"/>
      <w:marTop w:val="0"/>
      <w:marBottom w:val="0"/>
      <w:divBdr>
        <w:top w:val="none" w:sz="0" w:space="0" w:color="auto"/>
        <w:left w:val="none" w:sz="0" w:space="0" w:color="auto"/>
        <w:bottom w:val="none" w:sz="0" w:space="0" w:color="auto"/>
        <w:right w:val="none" w:sz="0" w:space="0" w:color="auto"/>
      </w:divBdr>
      <w:divsChild>
        <w:div w:id="2141922562">
          <w:marLeft w:val="480"/>
          <w:marRight w:val="0"/>
          <w:marTop w:val="0"/>
          <w:marBottom w:val="0"/>
          <w:divBdr>
            <w:top w:val="none" w:sz="0" w:space="0" w:color="auto"/>
            <w:left w:val="none" w:sz="0" w:space="0" w:color="auto"/>
            <w:bottom w:val="none" w:sz="0" w:space="0" w:color="auto"/>
            <w:right w:val="none" w:sz="0" w:space="0" w:color="auto"/>
          </w:divBdr>
        </w:div>
        <w:div w:id="1388187740">
          <w:marLeft w:val="480"/>
          <w:marRight w:val="0"/>
          <w:marTop w:val="0"/>
          <w:marBottom w:val="0"/>
          <w:divBdr>
            <w:top w:val="none" w:sz="0" w:space="0" w:color="auto"/>
            <w:left w:val="none" w:sz="0" w:space="0" w:color="auto"/>
            <w:bottom w:val="none" w:sz="0" w:space="0" w:color="auto"/>
            <w:right w:val="none" w:sz="0" w:space="0" w:color="auto"/>
          </w:divBdr>
        </w:div>
        <w:div w:id="567111872">
          <w:marLeft w:val="480"/>
          <w:marRight w:val="0"/>
          <w:marTop w:val="0"/>
          <w:marBottom w:val="0"/>
          <w:divBdr>
            <w:top w:val="none" w:sz="0" w:space="0" w:color="auto"/>
            <w:left w:val="none" w:sz="0" w:space="0" w:color="auto"/>
            <w:bottom w:val="none" w:sz="0" w:space="0" w:color="auto"/>
            <w:right w:val="none" w:sz="0" w:space="0" w:color="auto"/>
          </w:divBdr>
        </w:div>
        <w:div w:id="713387191">
          <w:marLeft w:val="480"/>
          <w:marRight w:val="0"/>
          <w:marTop w:val="0"/>
          <w:marBottom w:val="0"/>
          <w:divBdr>
            <w:top w:val="none" w:sz="0" w:space="0" w:color="auto"/>
            <w:left w:val="none" w:sz="0" w:space="0" w:color="auto"/>
            <w:bottom w:val="none" w:sz="0" w:space="0" w:color="auto"/>
            <w:right w:val="none" w:sz="0" w:space="0" w:color="auto"/>
          </w:divBdr>
        </w:div>
        <w:div w:id="1235701163">
          <w:marLeft w:val="480"/>
          <w:marRight w:val="0"/>
          <w:marTop w:val="0"/>
          <w:marBottom w:val="0"/>
          <w:divBdr>
            <w:top w:val="none" w:sz="0" w:space="0" w:color="auto"/>
            <w:left w:val="none" w:sz="0" w:space="0" w:color="auto"/>
            <w:bottom w:val="none" w:sz="0" w:space="0" w:color="auto"/>
            <w:right w:val="none" w:sz="0" w:space="0" w:color="auto"/>
          </w:divBdr>
        </w:div>
        <w:div w:id="1101415124">
          <w:marLeft w:val="480"/>
          <w:marRight w:val="0"/>
          <w:marTop w:val="0"/>
          <w:marBottom w:val="0"/>
          <w:divBdr>
            <w:top w:val="none" w:sz="0" w:space="0" w:color="auto"/>
            <w:left w:val="none" w:sz="0" w:space="0" w:color="auto"/>
            <w:bottom w:val="none" w:sz="0" w:space="0" w:color="auto"/>
            <w:right w:val="none" w:sz="0" w:space="0" w:color="auto"/>
          </w:divBdr>
        </w:div>
        <w:div w:id="1281378604">
          <w:marLeft w:val="480"/>
          <w:marRight w:val="0"/>
          <w:marTop w:val="0"/>
          <w:marBottom w:val="0"/>
          <w:divBdr>
            <w:top w:val="none" w:sz="0" w:space="0" w:color="auto"/>
            <w:left w:val="none" w:sz="0" w:space="0" w:color="auto"/>
            <w:bottom w:val="none" w:sz="0" w:space="0" w:color="auto"/>
            <w:right w:val="none" w:sz="0" w:space="0" w:color="auto"/>
          </w:divBdr>
        </w:div>
        <w:div w:id="1246264342">
          <w:marLeft w:val="480"/>
          <w:marRight w:val="0"/>
          <w:marTop w:val="0"/>
          <w:marBottom w:val="0"/>
          <w:divBdr>
            <w:top w:val="none" w:sz="0" w:space="0" w:color="auto"/>
            <w:left w:val="none" w:sz="0" w:space="0" w:color="auto"/>
            <w:bottom w:val="none" w:sz="0" w:space="0" w:color="auto"/>
            <w:right w:val="none" w:sz="0" w:space="0" w:color="auto"/>
          </w:divBdr>
        </w:div>
        <w:div w:id="2081056342">
          <w:marLeft w:val="480"/>
          <w:marRight w:val="0"/>
          <w:marTop w:val="0"/>
          <w:marBottom w:val="0"/>
          <w:divBdr>
            <w:top w:val="none" w:sz="0" w:space="0" w:color="auto"/>
            <w:left w:val="none" w:sz="0" w:space="0" w:color="auto"/>
            <w:bottom w:val="none" w:sz="0" w:space="0" w:color="auto"/>
            <w:right w:val="none" w:sz="0" w:space="0" w:color="auto"/>
          </w:divBdr>
        </w:div>
        <w:div w:id="628971076">
          <w:marLeft w:val="480"/>
          <w:marRight w:val="0"/>
          <w:marTop w:val="0"/>
          <w:marBottom w:val="0"/>
          <w:divBdr>
            <w:top w:val="none" w:sz="0" w:space="0" w:color="auto"/>
            <w:left w:val="none" w:sz="0" w:space="0" w:color="auto"/>
            <w:bottom w:val="none" w:sz="0" w:space="0" w:color="auto"/>
            <w:right w:val="none" w:sz="0" w:space="0" w:color="auto"/>
          </w:divBdr>
        </w:div>
        <w:div w:id="20132765">
          <w:marLeft w:val="480"/>
          <w:marRight w:val="0"/>
          <w:marTop w:val="0"/>
          <w:marBottom w:val="0"/>
          <w:divBdr>
            <w:top w:val="none" w:sz="0" w:space="0" w:color="auto"/>
            <w:left w:val="none" w:sz="0" w:space="0" w:color="auto"/>
            <w:bottom w:val="none" w:sz="0" w:space="0" w:color="auto"/>
            <w:right w:val="none" w:sz="0" w:space="0" w:color="auto"/>
          </w:divBdr>
        </w:div>
      </w:divsChild>
    </w:div>
    <w:div w:id="574171469">
      <w:bodyDiv w:val="1"/>
      <w:marLeft w:val="0"/>
      <w:marRight w:val="0"/>
      <w:marTop w:val="0"/>
      <w:marBottom w:val="0"/>
      <w:divBdr>
        <w:top w:val="none" w:sz="0" w:space="0" w:color="auto"/>
        <w:left w:val="none" w:sz="0" w:space="0" w:color="auto"/>
        <w:bottom w:val="none" w:sz="0" w:space="0" w:color="auto"/>
        <w:right w:val="none" w:sz="0" w:space="0" w:color="auto"/>
      </w:divBdr>
    </w:div>
    <w:div w:id="621886744">
      <w:bodyDiv w:val="1"/>
      <w:marLeft w:val="0"/>
      <w:marRight w:val="0"/>
      <w:marTop w:val="0"/>
      <w:marBottom w:val="0"/>
      <w:divBdr>
        <w:top w:val="none" w:sz="0" w:space="0" w:color="auto"/>
        <w:left w:val="none" w:sz="0" w:space="0" w:color="auto"/>
        <w:bottom w:val="none" w:sz="0" w:space="0" w:color="auto"/>
        <w:right w:val="none" w:sz="0" w:space="0" w:color="auto"/>
      </w:divBdr>
      <w:divsChild>
        <w:div w:id="1568880493">
          <w:marLeft w:val="480"/>
          <w:marRight w:val="0"/>
          <w:marTop w:val="0"/>
          <w:marBottom w:val="0"/>
          <w:divBdr>
            <w:top w:val="none" w:sz="0" w:space="0" w:color="auto"/>
            <w:left w:val="none" w:sz="0" w:space="0" w:color="auto"/>
            <w:bottom w:val="none" w:sz="0" w:space="0" w:color="auto"/>
            <w:right w:val="none" w:sz="0" w:space="0" w:color="auto"/>
          </w:divBdr>
        </w:div>
        <w:div w:id="2056543786">
          <w:marLeft w:val="480"/>
          <w:marRight w:val="0"/>
          <w:marTop w:val="0"/>
          <w:marBottom w:val="0"/>
          <w:divBdr>
            <w:top w:val="none" w:sz="0" w:space="0" w:color="auto"/>
            <w:left w:val="none" w:sz="0" w:space="0" w:color="auto"/>
            <w:bottom w:val="none" w:sz="0" w:space="0" w:color="auto"/>
            <w:right w:val="none" w:sz="0" w:space="0" w:color="auto"/>
          </w:divBdr>
        </w:div>
        <w:div w:id="578909251">
          <w:marLeft w:val="480"/>
          <w:marRight w:val="0"/>
          <w:marTop w:val="0"/>
          <w:marBottom w:val="0"/>
          <w:divBdr>
            <w:top w:val="none" w:sz="0" w:space="0" w:color="auto"/>
            <w:left w:val="none" w:sz="0" w:space="0" w:color="auto"/>
            <w:bottom w:val="none" w:sz="0" w:space="0" w:color="auto"/>
            <w:right w:val="none" w:sz="0" w:space="0" w:color="auto"/>
          </w:divBdr>
        </w:div>
        <w:div w:id="1297027811">
          <w:marLeft w:val="480"/>
          <w:marRight w:val="0"/>
          <w:marTop w:val="0"/>
          <w:marBottom w:val="0"/>
          <w:divBdr>
            <w:top w:val="none" w:sz="0" w:space="0" w:color="auto"/>
            <w:left w:val="none" w:sz="0" w:space="0" w:color="auto"/>
            <w:bottom w:val="none" w:sz="0" w:space="0" w:color="auto"/>
            <w:right w:val="none" w:sz="0" w:space="0" w:color="auto"/>
          </w:divBdr>
        </w:div>
      </w:divsChild>
    </w:div>
    <w:div w:id="678847131">
      <w:bodyDiv w:val="1"/>
      <w:marLeft w:val="0"/>
      <w:marRight w:val="0"/>
      <w:marTop w:val="0"/>
      <w:marBottom w:val="0"/>
      <w:divBdr>
        <w:top w:val="none" w:sz="0" w:space="0" w:color="auto"/>
        <w:left w:val="none" w:sz="0" w:space="0" w:color="auto"/>
        <w:bottom w:val="none" w:sz="0" w:space="0" w:color="auto"/>
        <w:right w:val="none" w:sz="0" w:space="0" w:color="auto"/>
      </w:divBdr>
      <w:divsChild>
        <w:div w:id="479267994">
          <w:marLeft w:val="480"/>
          <w:marRight w:val="0"/>
          <w:marTop w:val="0"/>
          <w:marBottom w:val="0"/>
          <w:divBdr>
            <w:top w:val="none" w:sz="0" w:space="0" w:color="auto"/>
            <w:left w:val="none" w:sz="0" w:space="0" w:color="auto"/>
            <w:bottom w:val="none" w:sz="0" w:space="0" w:color="auto"/>
            <w:right w:val="none" w:sz="0" w:space="0" w:color="auto"/>
          </w:divBdr>
        </w:div>
        <w:div w:id="65300202">
          <w:marLeft w:val="480"/>
          <w:marRight w:val="0"/>
          <w:marTop w:val="0"/>
          <w:marBottom w:val="0"/>
          <w:divBdr>
            <w:top w:val="none" w:sz="0" w:space="0" w:color="auto"/>
            <w:left w:val="none" w:sz="0" w:space="0" w:color="auto"/>
            <w:bottom w:val="none" w:sz="0" w:space="0" w:color="auto"/>
            <w:right w:val="none" w:sz="0" w:space="0" w:color="auto"/>
          </w:divBdr>
        </w:div>
        <w:div w:id="891578257">
          <w:marLeft w:val="480"/>
          <w:marRight w:val="0"/>
          <w:marTop w:val="0"/>
          <w:marBottom w:val="0"/>
          <w:divBdr>
            <w:top w:val="none" w:sz="0" w:space="0" w:color="auto"/>
            <w:left w:val="none" w:sz="0" w:space="0" w:color="auto"/>
            <w:bottom w:val="none" w:sz="0" w:space="0" w:color="auto"/>
            <w:right w:val="none" w:sz="0" w:space="0" w:color="auto"/>
          </w:divBdr>
        </w:div>
        <w:div w:id="1592085071">
          <w:marLeft w:val="480"/>
          <w:marRight w:val="0"/>
          <w:marTop w:val="0"/>
          <w:marBottom w:val="0"/>
          <w:divBdr>
            <w:top w:val="none" w:sz="0" w:space="0" w:color="auto"/>
            <w:left w:val="none" w:sz="0" w:space="0" w:color="auto"/>
            <w:bottom w:val="none" w:sz="0" w:space="0" w:color="auto"/>
            <w:right w:val="none" w:sz="0" w:space="0" w:color="auto"/>
          </w:divBdr>
        </w:div>
        <w:div w:id="1310791919">
          <w:marLeft w:val="480"/>
          <w:marRight w:val="0"/>
          <w:marTop w:val="0"/>
          <w:marBottom w:val="0"/>
          <w:divBdr>
            <w:top w:val="none" w:sz="0" w:space="0" w:color="auto"/>
            <w:left w:val="none" w:sz="0" w:space="0" w:color="auto"/>
            <w:bottom w:val="none" w:sz="0" w:space="0" w:color="auto"/>
            <w:right w:val="none" w:sz="0" w:space="0" w:color="auto"/>
          </w:divBdr>
        </w:div>
        <w:div w:id="132336068">
          <w:marLeft w:val="480"/>
          <w:marRight w:val="0"/>
          <w:marTop w:val="0"/>
          <w:marBottom w:val="0"/>
          <w:divBdr>
            <w:top w:val="none" w:sz="0" w:space="0" w:color="auto"/>
            <w:left w:val="none" w:sz="0" w:space="0" w:color="auto"/>
            <w:bottom w:val="none" w:sz="0" w:space="0" w:color="auto"/>
            <w:right w:val="none" w:sz="0" w:space="0" w:color="auto"/>
          </w:divBdr>
        </w:div>
        <w:div w:id="44303698">
          <w:marLeft w:val="480"/>
          <w:marRight w:val="0"/>
          <w:marTop w:val="0"/>
          <w:marBottom w:val="0"/>
          <w:divBdr>
            <w:top w:val="none" w:sz="0" w:space="0" w:color="auto"/>
            <w:left w:val="none" w:sz="0" w:space="0" w:color="auto"/>
            <w:bottom w:val="none" w:sz="0" w:space="0" w:color="auto"/>
            <w:right w:val="none" w:sz="0" w:space="0" w:color="auto"/>
          </w:divBdr>
        </w:div>
        <w:div w:id="748231522">
          <w:marLeft w:val="480"/>
          <w:marRight w:val="0"/>
          <w:marTop w:val="0"/>
          <w:marBottom w:val="0"/>
          <w:divBdr>
            <w:top w:val="none" w:sz="0" w:space="0" w:color="auto"/>
            <w:left w:val="none" w:sz="0" w:space="0" w:color="auto"/>
            <w:bottom w:val="none" w:sz="0" w:space="0" w:color="auto"/>
            <w:right w:val="none" w:sz="0" w:space="0" w:color="auto"/>
          </w:divBdr>
        </w:div>
        <w:div w:id="436215044">
          <w:marLeft w:val="480"/>
          <w:marRight w:val="0"/>
          <w:marTop w:val="0"/>
          <w:marBottom w:val="0"/>
          <w:divBdr>
            <w:top w:val="none" w:sz="0" w:space="0" w:color="auto"/>
            <w:left w:val="none" w:sz="0" w:space="0" w:color="auto"/>
            <w:bottom w:val="none" w:sz="0" w:space="0" w:color="auto"/>
            <w:right w:val="none" w:sz="0" w:space="0" w:color="auto"/>
          </w:divBdr>
        </w:div>
        <w:div w:id="850685720">
          <w:marLeft w:val="480"/>
          <w:marRight w:val="0"/>
          <w:marTop w:val="0"/>
          <w:marBottom w:val="0"/>
          <w:divBdr>
            <w:top w:val="none" w:sz="0" w:space="0" w:color="auto"/>
            <w:left w:val="none" w:sz="0" w:space="0" w:color="auto"/>
            <w:bottom w:val="none" w:sz="0" w:space="0" w:color="auto"/>
            <w:right w:val="none" w:sz="0" w:space="0" w:color="auto"/>
          </w:divBdr>
        </w:div>
        <w:div w:id="427896219">
          <w:marLeft w:val="480"/>
          <w:marRight w:val="0"/>
          <w:marTop w:val="0"/>
          <w:marBottom w:val="0"/>
          <w:divBdr>
            <w:top w:val="none" w:sz="0" w:space="0" w:color="auto"/>
            <w:left w:val="none" w:sz="0" w:space="0" w:color="auto"/>
            <w:bottom w:val="none" w:sz="0" w:space="0" w:color="auto"/>
            <w:right w:val="none" w:sz="0" w:space="0" w:color="auto"/>
          </w:divBdr>
        </w:div>
      </w:divsChild>
    </w:div>
    <w:div w:id="686058256">
      <w:bodyDiv w:val="1"/>
      <w:marLeft w:val="0"/>
      <w:marRight w:val="0"/>
      <w:marTop w:val="0"/>
      <w:marBottom w:val="0"/>
      <w:divBdr>
        <w:top w:val="none" w:sz="0" w:space="0" w:color="auto"/>
        <w:left w:val="none" w:sz="0" w:space="0" w:color="auto"/>
        <w:bottom w:val="none" w:sz="0" w:space="0" w:color="auto"/>
        <w:right w:val="none" w:sz="0" w:space="0" w:color="auto"/>
      </w:divBdr>
      <w:divsChild>
        <w:div w:id="400103622">
          <w:marLeft w:val="480"/>
          <w:marRight w:val="0"/>
          <w:marTop w:val="0"/>
          <w:marBottom w:val="0"/>
          <w:divBdr>
            <w:top w:val="none" w:sz="0" w:space="0" w:color="auto"/>
            <w:left w:val="none" w:sz="0" w:space="0" w:color="auto"/>
            <w:bottom w:val="none" w:sz="0" w:space="0" w:color="auto"/>
            <w:right w:val="none" w:sz="0" w:space="0" w:color="auto"/>
          </w:divBdr>
        </w:div>
        <w:div w:id="1990093674">
          <w:marLeft w:val="480"/>
          <w:marRight w:val="0"/>
          <w:marTop w:val="0"/>
          <w:marBottom w:val="0"/>
          <w:divBdr>
            <w:top w:val="none" w:sz="0" w:space="0" w:color="auto"/>
            <w:left w:val="none" w:sz="0" w:space="0" w:color="auto"/>
            <w:bottom w:val="none" w:sz="0" w:space="0" w:color="auto"/>
            <w:right w:val="none" w:sz="0" w:space="0" w:color="auto"/>
          </w:divBdr>
        </w:div>
        <w:div w:id="1627538691">
          <w:marLeft w:val="480"/>
          <w:marRight w:val="0"/>
          <w:marTop w:val="0"/>
          <w:marBottom w:val="0"/>
          <w:divBdr>
            <w:top w:val="none" w:sz="0" w:space="0" w:color="auto"/>
            <w:left w:val="none" w:sz="0" w:space="0" w:color="auto"/>
            <w:bottom w:val="none" w:sz="0" w:space="0" w:color="auto"/>
            <w:right w:val="none" w:sz="0" w:space="0" w:color="auto"/>
          </w:divBdr>
        </w:div>
      </w:divsChild>
    </w:div>
    <w:div w:id="780026980">
      <w:bodyDiv w:val="1"/>
      <w:marLeft w:val="0"/>
      <w:marRight w:val="0"/>
      <w:marTop w:val="0"/>
      <w:marBottom w:val="0"/>
      <w:divBdr>
        <w:top w:val="none" w:sz="0" w:space="0" w:color="auto"/>
        <w:left w:val="none" w:sz="0" w:space="0" w:color="auto"/>
        <w:bottom w:val="none" w:sz="0" w:space="0" w:color="auto"/>
        <w:right w:val="none" w:sz="0" w:space="0" w:color="auto"/>
      </w:divBdr>
    </w:div>
    <w:div w:id="850722834">
      <w:bodyDiv w:val="1"/>
      <w:marLeft w:val="0"/>
      <w:marRight w:val="0"/>
      <w:marTop w:val="0"/>
      <w:marBottom w:val="0"/>
      <w:divBdr>
        <w:top w:val="none" w:sz="0" w:space="0" w:color="auto"/>
        <w:left w:val="none" w:sz="0" w:space="0" w:color="auto"/>
        <w:bottom w:val="none" w:sz="0" w:space="0" w:color="auto"/>
        <w:right w:val="none" w:sz="0" w:space="0" w:color="auto"/>
      </w:divBdr>
      <w:divsChild>
        <w:div w:id="106391531">
          <w:marLeft w:val="480"/>
          <w:marRight w:val="0"/>
          <w:marTop w:val="0"/>
          <w:marBottom w:val="0"/>
          <w:divBdr>
            <w:top w:val="none" w:sz="0" w:space="0" w:color="auto"/>
            <w:left w:val="none" w:sz="0" w:space="0" w:color="auto"/>
            <w:bottom w:val="none" w:sz="0" w:space="0" w:color="auto"/>
            <w:right w:val="none" w:sz="0" w:space="0" w:color="auto"/>
          </w:divBdr>
        </w:div>
        <w:div w:id="1034962400">
          <w:marLeft w:val="480"/>
          <w:marRight w:val="0"/>
          <w:marTop w:val="0"/>
          <w:marBottom w:val="0"/>
          <w:divBdr>
            <w:top w:val="none" w:sz="0" w:space="0" w:color="auto"/>
            <w:left w:val="none" w:sz="0" w:space="0" w:color="auto"/>
            <w:bottom w:val="none" w:sz="0" w:space="0" w:color="auto"/>
            <w:right w:val="none" w:sz="0" w:space="0" w:color="auto"/>
          </w:divBdr>
        </w:div>
      </w:divsChild>
    </w:div>
    <w:div w:id="878468232">
      <w:bodyDiv w:val="1"/>
      <w:marLeft w:val="0"/>
      <w:marRight w:val="0"/>
      <w:marTop w:val="0"/>
      <w:marBottom w:val="0"/>
      <w:divBdr>
        <w:top w:val="none" w:sz="0" w:space="0" w:color="auto"/>
        <w:left w:val="none" w:sz="0" w:space="0" w:color="auto"/>
        <w:bottom w:val="none" w:sz="0" w:space="0" w:color="auto"/>
        <w:right w:val="none" w:sz="0" w:space="0" w:color="auto"/>
      </w:divBdr>
      <w:divsChild>
        <w:div w:id="1197279331">
          <w:marLeft w:val="480"/>
          <w:marRight w:val="0"/>
          <w:marTop w:val="0"/>
          <w:marBottom w:val="0"/>
          <w:divBdr>
            <w:top w:val="none" w:sz="0" w:space="0" w:color="auto"/>
            <w:left w:val="none" w:sz="0" w:space="0" w:color="auto"/>
            <w:bottom w:val="none" w:sz="0" w:space="0" w:color="auto"/>
            <w:right w:val="none" w:sz="0" w:space="0" w:color="auto"/>
          </w:divBdr>
        </w:div>
        <w:div w:id="1065907136">
          <w:marLeft w:val="480"/>
          <w:marRight w:val="0"/>
          <w:marTop w:val="0"/>
          <w:marBottom w:val="0"/>
          <w:divBdr>
            <w:top w:val="none" w:sz="0" w:space="0" w:color="auto"/>
            <w:left w:val="none" w:sz="0" w:space="0" w:color="auto"/>
            <w:bottom w:val="none" w:sz="0" w:space="0" w:color="auto"/>
            <w:right w:val="none" w:sz="0" w:space="0" w:color="auto"/>
          </w:divBdr>
        </w:div>
        <w:div w:id="727799722">
          <w:marLeft w:val="480"/>
          <w:marRight w:val="0"/>
          <w:marTop w:val="0"/>
          <w:marBottom w:val="0"/>
          <w:divBdr>
            <w:top w:val="none" w:sz="0" w:space="0" w:color="auto"/>
            <w:left w:val="none" w:sz="0" w:space="0" w:color="auto"/>
            <w:bottom w:val="none" w:sz="0" w:space="0" w:color="auto"/>
            <w:right w:val="none" w:sz="0" w:space="0" w:color="auto"/>
          </w:divBdr>
        </w:div>
        <w:div w:id="1081834601">
          <w:marLeft w:val="480"/>
          <w:marRight w:val="0"/>
          <w:marTop w:val="0"/>
          <w:marBottom w:val="0"/>
          <w:divBdr>
            <w:top w:val="none" w:sz="0" w:space="0" w:color="auto"/>
            <w:left w:val="none" w:sz="0" w:space="0" w:color="auto"/>
            <w:bottom w:val="none" w:sz="0" w:space="0" w:color="auto"/>
            <w:right w:val="none" w:sz="0" w:space="0" w:color="auto"/>
          </w:divBdr>
        </w:div>
        <w:div w:id="2088839047">
          <w:marLeft w:val="480"/>
          <w:marRight w:val="0"/>
          <w:marTop w:val="0"/>
          <w:marBottom w:val="0"/>
          <w:divBdr>
            <w:top w:val="none" w:sz="0" w:space="0" w:color="auto"/>
            <w:left w:val="none" w:sz="0" w:space="0" w:color="auto"/>
            <w:bottom w:val="none" w:sz="0" w:space="0" w:color="auto"/>
            <w:right w:val="none" w:sz="0" w:space="0" w:color="auto"/>
          </w:divBdr>
        </w:div>
        <w:div w:id="1877886089">
          <w:marLeft w:val="480"/>
          <w:marRight w:val="0"/>
          <w:marTop w:val="0"/>
          <w:marBottom w:val="0"/>
          <w:divBdr>
            <w:top w:val="none" w:sz="0" w:space="0" w:color="auto"/>
            <w:left w:val="none" w:sz="0" w:space="0" w:color="auto"/>
            <w:bottom w:val="none" w:sz="0" w:space="0" w:color="auto"/>
            <w:right w:val="none" w:sz="0" w:space="0" w:color="auto"/>
          </w:divBdr>
        </w:div>
        <w:div w:id="1234969069">
          <w:marLeft w:val="480"/>
          <w:marRight w:val="0"/>
          <w:marTop w:val="0"/>
          <w:marBottom w:val="0"/>
          <w:divBdr>
            <w:top w:val="none" w:sz="0" w:space="0" w:color="auto"/>
            <w:left w:val="none" w:sz="0" w:space="0" w:color="auto"/>
            <w:bottom w:val="none" w:sz="0" w:space="0" w:color="auto"/>
            <w:right w:val="none" w:sz="0" w:space="0" w:color="auto"/>
          </w:divBdr>
        </w:div>
        <w:div w:id="430515602">
          <w:marLeft w:val="480"/>
          <w:marRight w:val="0"/>
          <w:marTop w:val="0"/>
          <w:marBottom w:val="0"/>
          <w:divBdr>
            <w:top w:val="none" w:sz="0" w:space="0" w:color="auto"/>
            <w:left w:val="none" w:sz="0" w:space="0" w:color="auto"/>
            <w:bottom w:val="none" w:sz="0" w:space="0" w:color="auto"/>
            <w:right w:val="none" w:sz="0" w:space="0" w:color="auto"/>
          </w:divBdr>
        </w:div>
        <w:div w:id="1692803711">
          <w:marLeft w:val="480"/>
          <w:marRight w:val="0"/>
          <w:marTop w:val="0"/>
          <w:marBottom w:val="0"/>
          <w:divBdr>
            <w:top w:val="none" w:sz="0" w:space="0" w:color="auto"/>
            <w:left w:val="none" w:sz="0" w:space="0" w:color="auto"/>
            <w:bottom w:val="none" w:sz="0" w:space="0" w:color="auto"/>
            <w:right w:val="none" w:sz="0" w:space="0" w:color="auto"/>
          </w:divBdr>
        </w:div>
        <w:div w:id="1669406180">
          <w:marLeft w:val="480"/>
          <w:marRight w:val="0"/>
          <w:marTop w:val="0"/>
          <w:marBottom w:val="0"/>
          <w:divBdr>
            <w:top w:val="none" w:sz="0" w:space="0" w:color="auto"/>
            <w:left w:val="none" w:sz="0" w:space="0" w:color="auto"/>
            <w:bottom w:val="none" w:sz="0" w:space="0" w:color="auto"/>
            <w:right w:val="none" w:sz="0" w:space="0" w:color="auto"/>
          </w:divBdr>
        </w:div>
      </w:divsChild>
    </w:div>
    <w:div w:id="909270187">
      <w:bodyDiv w:val="1"/>
      <w:marLeft w:val="0"/>
      <w:marRight w:val="0"/>
      <w:marTop w:val="0"/>
      <w:marBottom w:val="0"/>
      <w:divBdr>
        <w:top w:val="none" w:sz="0" w:space="0" w:color="auto"/>
        <w:left w:val="none" w:sz="0" w:space="0" w:color="auto"/>
        <w:bottom w:val="none" w:sz="0" w:space="0" w:color="auto"/>
        <w:right w:val="none" w:sz="0" w:space="0" w:color="auto"/>
      </w:divBdr>
      <w:divsChild>
        <w:div w:id="2058164592">
          <w:marLeft w:val="480"/>
          <w:marRight w:val="0"/>
          <w:marTop w:val="0"/>
          <w:marBottom w:val="0"/>
          <w:divBdr>
            <w:top w:val="none" w:sz="0" w:space="0" w:color="auto"/>
            <w:left w:val="none" w:sz="0" w:space="0" w:color="auto"/>
            <w:bottom w:val="none" w:sz="0" w:space="0" w:color="auto"/>
            <w:right w:val="none" w:sz="0" w:space="0" w:color="auto"/>
          </w:divBdr>
        </w:div>
        <w:div w:id="1976326042">
          <w:marLeft w:val="480"/>
          <w:marRight w:val="0"/>
          <w:marTop w:val="0"/>
          <w:marBottom w:val="0"/>
          <w:divBdr>
            <w:top w:val="none" w:sz="0" w:space="0" w:color="auto"/>
            <w:left w:val="none" w:sz="0" w:space="0" w:color="auto"/>
            <w:bottom w:val="none" w:sz="0" w:space="0" w:color="auto"/>
            <w:right w:val="none" w:sz="0" w:space="0" w:color="auto"/>
          </w:divBdr>
        </w:div>
        <w:div w:id="1191796101">
          <w:marLeft w:val="480"/>
          <w:marRight w:val="0"/>
          <w:marTop w:val="0"/>
          <w:marBottom w:val="0"/>
          <w:divBdr>
            <w:top w:val="none" w:sz="0" w:space="0" w:color="auto"/>
            <w:left w:val="none" w:sz="0" w:space="0" w:color="auto"/>
            <w:bottom w:val="none" w:sz="0" w:space="0" w:color="auto"/>
            <w:right w:val="none" w:sz="0" w:space="0" w:color="auto"/>
          </w:divBdr>
        </w:div>
        <w:div w:id="1741293817">
          <w:marLeft w:val="480"/>
          <w:marRight w:val="0"/>
          <w:marTop w:val="0"/>
          <w:marBottom w:val="0"/>
          <w:divBdr>
            <w:top w:val="none" w:sz="0" w:space="0" w:color="auto"/>
            <w:left w:val="none" w:sz="0" w:space="0" w:color="auto"/>
            <w:bottom w:val="none" w:sz="0" w:space="0" w:color="auto"/>
            <w:right w:val="none" w:sz="0" w:space="0" w:color="auto"/>
          </w:divBdr>
        </w:div>
      </w:divsChild>
    </w:div>
    <w:div w:id="958295160">
      <w:bodyDiv w:val="1"/>
      <w:marLeft w:val="0"/>
      <w:marRight w:val="0"/>
      <w:marTop w:val="0"/>
      <w:marBottom w:val="0"/>
      <w:divBdr>
        <w:top w:val="none" w:sz="0" w:space="0" w:color="auto"/>
        <w:left w:val="none" w:sz="0" w:space="0" w:color="auto"/>
        <w:bottom w:val="none" w:sz="0" w:space="0" w:color="auto"/>
        <w:right w:val="none" w:sz="0" w:space="0" w:color="auto"/>
      </w:divBdr>
      <w:divsChild>
        <w:div w:id="1994672038">
          <w:marLeft w:val="480"/>
          <w:marRight w:val="0"/>
          <w:marTop w:val="0"/>
          <w:marBottom w:val="0"/>
          <w:divBdr>
            <w:top w:val="none" w:sz="0" w:space="0" w:color="auto"/>
            <w:left w:val="none" w:sz="0" w:space="0" w:color="auto"/>
            <w:bottom w:val="none" w:sz="0" w:space="0" w:color="auto"/>
            <w:right w:val="none" w:sz="0" w:space="0" w:color="auto"/>
          </w:divBdr>
        </w:div>
      </w:divsChild>
    </w:div>
    <w:div w:id="975719683">
      <w:bodyDiv w:val="1"/>
      <w:marLeft w:val="0"/>
      <w:marRight w:val="0"/>
      <w:marTop w:val="0"/>
      <w:marBottom w:val="0"/>
      <w:divBdr>
        <w:top w:val="none" w:sz="0" w:space="0" w:color="auto"/>
        <w:left w:val="none" w:sz="0" w:space="0" w:color="auto"/>
        <w:bottom w:val="none" w:sz="0" w:space="0" w:color="auto"/>
        <w:right w:val="none" w:sz="0" w:space="0" w:color="auto"/>
      </w:divBdr>
      <w:divsChild>
        <w:div w:id="326401013">
          <w:marLeft w:val="480"/>
          <w:marRight w:val="0"/>
          <w:marTop w:val="0"/>
          <w:marBottom w:val="0"/>
          <w:divBdr>
            <w:top w:val="none" w:sz="0" w:space="0" w:color="auto"/>
            <w:left w:val="none" w:sz="0" w:space="0" w:color="auto"/>
            <w:bottom w:val="none" w:sz="0" w:space="0" w:color="auto"/>
            <w:right w:val="none" w:sz="0" w:space="0" w:color="auto"/>
          </w:divBdr>
        </w:div>
        <w:div w:id="190456573">
          <w:marLeft w:val="480"/>
          <w:marRight w:val="0"/>
          <w:marTop w:val="0"/>
          <w:marBottom w:val="0"/>
          <w:divBdr>
            <w:top w:val="none" w:sz="0" w:space="0" w:color="auto"/>
            <w:left w:val="none" w:sz="0" w:space="0" w:color="auto"/>
            <w:bottom w:val="none" w:sz="0" w:space="0" w:color="auto"/>
            <w:right w:val="none" w:sz="0" w:space="0" w:color="auto"/>
          </w:divBdr>
        </w:div>
        <w:div w:id="1328510960">
          <w:marLeft w:val="480"/>
          <w:marRight w:val="0"/>
          <w:marTop w:val="0"/>
          <w:marBottom w:val="0"/>
          <w:divBdr>
            <w:top w:val="none" w:sz="0" w:space="0" w:color="auto"/>
            <w:left w:val="none" w:sz="0" w:space="0" w:color="auto"/>
            <w:bottom w:val="none" w:sz="0" w:space="0" w:color="auto"/>
            <w:right w:val="none" w:sz="0" w:space="0" w:color="auto"/>
          </w:divBdr>
        </w:div>
        <w:div w:id="1872834975">
          <w:marLeft w:val="480"/>
          <w:marRight w:val="0"/>
          <w:marTop w:val="0"/>
          <w:marBottom w:val="0"/>
          <w:divBdr>
            <w:top w:val="none" w:sz="0" w:space="0" w:color="auto"/>
            <w:left w:val="none" w:sz="0" w:space="0" w:color="auto"/>
            <w:bottom w:val="none" w:sz="0" w:space="0" w:color="auto"/>
            <w:right w:val="none" w:sz="0" w:space="0" w:color="auto"/>
          </w:divBdr>
        </w:div>
        <w:div w:id="680005787">
          <w:marLeft w:val="480"/>
          <w:marRight w:val="0"/>
          <w:marTop w:val="0"/>
          <w:marBottom w:val="0"/>
          <w:divBdr>
            <w:top w:val="none" w:sz="0" w:space="0" w:color="auto"/>
            <w:left w:val="none" w:sz="0" w:space="0" w:color="auto"/>
            <w:bottom w:val="none" w:sz="0" w:space="0" w:color="auto"/>
            <w:right w:val="none" w:sz="0" w:space="0" w:color="auto"/>
          </w:divBdr>
        </w:div>
        <w:div w:id="677733052">
          <w:marLeft w:val="480"/>
          <w:marRight w:val="0"/>
          <w:marTop w:val="0"/>
          <w:marBottom w:val="0"/>
          <w:divBdr>
            <w:top w:val="none" w:sz="0" w:space="0" w:color="auto"/>
            <w:left w:val="none" w:sz="0" w:space="0" w:color="auto"/>
            <w:bottom w:val="none" w:sz="0" w:space="0" w:color="auto"/>
            <w:right w:val="none" w:sz="0" w:space="0" w:color="auto"/>
          </w:divBdr>
        </w:div>
        <w:div w:id="1929267550">
          <w:marLeft w:val="480"/>
          <w:marRight w:val="0"/>
          <w:marTop w:val="0"/>
          <w:marBottom w:val="0"/>
          <w:divBdr>
            <w:top w:val="none" w:sz="0" w:space="0" w:color="auto"/>
            <w:left w:val="none" w:sz="0" w:space="0" w:color="auto"/>
            <w:bottom w:val="none" w:sz="0" w:space="0" w:color="auto"/>
            <w:right w:val="none" w:sz="0" w:space="0" w:color="auto"/>
          </w:divBdr>
        </w:div>
        <w:div w:id="877472537">
          <w:marLeft w:val="480"/>
          <w:marRight w:val="0"/>
          <w:marTop w:val="0"/>
          <w:marBottom w:val="0"/>
          <w:divBdr>
            <w:top w:val="none" w:sz="0" w:space="0" w:color="auto"/>
            <w:left w:val="none" w:sz="0" w:space="0" w:color="auto"/>
            <w:bottom w:val="none" w:sz="0" w:space="0" w:color="auto"/>
            <w:right w:val="none" w:sz="0" w:space="0" w:color="auto"/>
          </w:divBdr>
        </w:div>
        <w:div w:id="1654867075">
          <w:marLeft w:val="480"/>
          <w:marRight w:val="0"/>
          <w:marTop w:val="0"/>
          <w:marBottom w:val="0"/>
          <w:divBdr>
            <w:top w:val="none" w:sz="0" w:space="0" w:color="auto"/>
            <w:left w:val="none" w:sz="0" w:space="0" w:color="auto"/>
            <w:bottom w:val="none" w:sz="0" w:space="0" w:color="auto"/>
            <w:right w:val="none" w:sz="0" w:space="0" w:color="auto"/>
          </w:divBdr>
        </w:div>
        <w:div w:id="2101557585">
          <w:marLeft w:val="480"/>
          <w:marRight w:val="0"/>
          <w:marTop w:val="0"/>
          <w:marBottom w:val="0"/>
          <w:divBdr>
            <w:top w:val="none" w:sz="0" w:space="0" w:color="auto"/>
            <w:left w:val="none" w:sz="0" w:space="0" w:color="auto"/>
            <w:bottom w:val="none" w:sz="0" w:space="0" w:color="auto"/>
            <w:right w:val="none" w:sz="0" w:space="0" w:color="auto"/>
          </w:divBdr>
        </w:div>
        <w:div w:id="1931350659">
          <w:marLeft w:val="480"/>
          <w:marRight w:val="0"/>
          <w:marTop w:val="0"/>
          <w:marBottom w:val="0"/>
          <w:divBdr>
            <w:top w:val="none" w:sz="0" w:space="0" w:color="auto"/>
            <w:left w:val="none" w:sz="0" w:space="0" w:color="auto"/>
            <w:bottom w:val="none" w:sz="0" w:space="0" w:color="auto"/>
            <w:right w:val="none" w:sz="0" w:space="0" w:color="auto"/>
          </w:divBdr>
        </w:div>
      </w:divsChild>
    </w:div>
    <w:div w:id="1010642859">
      <w:bodyDiv w:val="1"/>
      <w:marLeft w:val="0"/>
      <w:marRight w:val="0"/>
      <w:marTop w:val="0"/>
      <w:marBottom w:val="0"/>
      <w:divBdr>
        <w:top w:val="none" w:sz="0" w:space="0" w:color="auto"/>
        <w:left w:val="none" w:sz="0" w:space="0" w:color="auto"/>
        <w:bottom w:val="none" w:sz="0" w:space="0" w:color="auto"/>
        <w:right w:val="none" w:sz="0" w:space="0" w:color="auto"/>
      </w:divBdr>
    </w:div>
    <w:div w:id="1176846828">
      <w:bodyDiv w:val="1"/>
      <w:marLeft w:val="0"/>
      <w:marRight w:val="0"/>
      <w:marTop w:val="0"/>
      <w:marBottom w:val="0"/>
      <w:divBdr>
        <w:top w:val="none" w:sz="0" w:space="0" w:color="auto"/>
        <w:left w:val="none" w:sz="0" w:space="0" w:color="auto"/>
        <w:bottom w:val="none" w:sz="0" w:space="0" w:color="auto"/>
        <w:right w:val="none" w:sz="0" w:space="0" w:color="auto"/>
      </w:divBdr>
    </w:div>
    <w:div w:id="1236741047">
      <w:bodyDiv w:val="1"/>
      <w:marLeft w:val="0"/>
      <w:marRight w:val="0"/>
      <w:marTop w:val="0"/>
      <w:marBottom w:val="0"/>
      <w:divBdr>
        <w:top w:val="none" w:sz="0" w:space="0" w:color="auto"/>
        <w:left w:val="none" w:sz="0" w:space="0" w:color="auto"/>
        <w:bottom w:val="none" w:sz="0" w:space="0" w:color="auto"/>
        <w:right w:val="none" w:sz="0" w:space="0" w:color="auto"/>
      </w:divBdr>
    </w:div>
    <w:div w:id="1266307905">
      <w:bodyDiv w:val="1"/>
      <w:marLeft w:val="0"/>
      <w:marRight w:val="0"/>
      <w:marTop w:val="0"/>
      <w:marBottom w:val="0"/>
      <w:divBdr>
        <w:top w:val="none" w:sz="0" w:space="0" w:color="auto"/>
        <w:left w:val="none" w:sz="0" w:space="0" w:color="auto"/>
        <w:bottom w:val="none" w:sz="0" w:space="0" w:color="auto"/>
        <w:right w:val="none" w:sz="0" w:space="0" w:color="auto"/>
      </w:divBdr>
    </w:div>
    <w:div w:id="1291086138">
      <w:bodyDiv w:val="1"/>
      <w:marLeft w:val="0"/>
      <w:marRight w:val="0"/>
      <w:marTop w:val="0"/>
      <w:marBottom w:val="0"/>
      <w:divBdr>
        <w:top w:val="none" w:sz="0" w:space="0" w:color="auto"/>
        <w:left w:val="none" w:sz="0" w:space="0" w:color="auto"/>
        <w:bottom w:val="none" w:sz="0" w:space="0" w:color="auto"/>
        <w:right w:val="none" w:sz="0" w:space="0" w:color="auto"/>
      </w:divBdr>
      <w:divsChild>
        <w:div w:id="2041583665">
          <w:marLeft w:val="480"/>
          <w:marRight w:val="0"/>
          <w:marTop w:val="0"/>
          <w:marBottom w:val="0"/>
          <w:divBdr>
            <w:top w:val="none" w:sz="0" w:space="0" w:color="auto"/>
            <w:left w:val="none" w:sz="0" w:space="0" w:color="auto"/>
            <w:bottom w:val="none" w:sz="0" w:space="0" w:color="auto"/>
            <w:right w:val="none" w:sz="0" w:space="0" w:color="auto"/>
          </w:divBdr>
        </w:div>
        <w:div w:id="445735101">
          <w:marLeft w:val="480"/>
          <w:marRight w:val="0"/>
          <w:marTop w:val="0"/>
          <w:marBottom w:val="0"/>
          <w:divBdr>
            <w:top w:val="none" w:sz="0" w:space="0" w:color="auto"/>
            <w:left w:val="none" w:sz="0" w:space="0" w:color="auto"/>
            <w:bottom w:val="none" w:sz="0" w:space="0" w:color="auto"/>
            <w:right w:val="none" w:sz="0" w:space="0" w:color="auto"/>
          </w:divBdr>
        </w:div>
        <w:div w:id="1247180541">
          <w:marLeft w:val="480"/>
          <w:marRight w:val="0"/>
          <w:marTop w:val="0"/>
          <w:marBottom w:val="0"/>
          <w:divBdr>
            <w:top w:val="none" w:sz="0" w:space="0" w:color="auto"/>
            <w:left w:val="none" w:sz="0" w:space="0" w:color="auto"/>
            <w:bottom w:val="none" w:sz="0" w:space="0" w:color="auto"/>
            <w:right w:val="none" w:sz="0" w:space="0" w:color="auto"/>
          </w:divBdr>
        </w:div>
        <w:div w:id="1886597364">
          <w:marLeft w:val="480"/>
          <w:marRight w:val="0"/>
          <w:marTop w:val="0"/>
          <w:marBottom w:val="0"/>
          <w:divBdr>
            <w:top w:val="none" w:sz="0" w:space="0" w:color="auto"/>
            <w:left w:val="none" w:sz="0" w:space="0" w:color="auto"/>
            <w:bottom w:val="none" w:sz="0" w:space="0" w:color="auto"/>
            <w:right w:val="none" w:sz="0" w:space="0" w:color="auto"/>
          </w:divBdr>
        </w:div>
        <w:div w:id="532813998">
          <w:marLeft w:val="480"/>
          <w:marRight w:val="0"/>
          <w:marTop w:val="0"/>
          <w:marBottom w:val="0"/>
          <w:divBdr>
            <w:top w:val="none" w:sz="0" w:space="0" w:color="auto"/>
            <w:left w:val="none" w:sz="0" w:space="0" w:color="auto"/>
            <w:bottom w:val="none" w:sz="0" w:space="0" w:color="auto"/>
            <w:right w:val="none" w:sz="0" w:space="0" w:color="auto"/>
          </w:divBdr>
        </w:div>
        <w:div w:id="1262106902">
          <w:marLeft w:val="480"/>
          <w:marRight w:val="0"/>
          <w:marTop w:val="0"/>
          <w:marBottom w:val="0"/>
          <w:divBdr>
            <w:top w:val="none" w:sz="0" w:space="0" w:color="auto"/>
            <w:left w:val="none" w:sz="0" w:space="0" w:color="auto"/>
            <w:bottom w:val="none" w:sz="0" w:space="0" w:color="auto"/>
            <w:right w:val="none" w:sz="0" w:space="0" w:color="auto"/>
          </w:divBdr>
        </w:div>
        <w:div w:id="572399904">
          <w:marLeft w:val="480"/>
          <w:marRight w:val="0"/>
          <w:marTop w:val="0"/>
          <w:marBottom w:val="0"/>
          <w:divBdr>
            <w:top w:val="none" w:sz="0" w:space="0" w:color="auto"/>
            <w:left w:val="none" w:sz="0" w:space="0" w:color="auto"/>
            <w:bottom w:val="none" w:sz="0" w:space="0" w:color="auto"/>
            <w:right w:val="none" w:sz="0" w:space="0" w:color="auto"/>
          </w:divBdr>
        </w:div>
      </w:divsChild>
    </w:div>
    <w:div w:id="1324166366">
      <w:bodyDiv w:val="1"/>
      <w:marLeft w:val="0"/>
      <w:marRight w:val="0"/>
      <w:marTop w:val="0"/>
      <w:marBottom w:val="0"/>
      <w:divBdr>
        <w:top w:val="none" w:sz="0" w:space="0" w:color="auto"/>
        <w:left w:val="none" w:sz="0" w:space="0" w:color="auto"/>
        <w:bottom w:val="none" w:sz="0" w:space="0" w:color="auto"/>
        <w:right w:val="none" w:sz="0" w:space="0" w:color="auto"/>
      </w:divBdr>
      <w:divsChild>
        <w:div w:id="165168475">
          <w:marLeft w:val="480"/>
          <w:marRight w:val="0"/>
          <w:marTop w:val="0"/>
          <w:marBottom w:val="0"/>
          <w:divBdr>
            <w:top w:val="none" w:sz="0" w:space="0" w:color="auto"/>
            <w:left w:val="none" w:sz="0" w:space="0" w:color="auto"/>
            <w:bottom w:val="none" w:sz="0" w:space="0" w:color="auto"/>
            <w:right w:val="none" w:sz="0" w:space="0" w:color="auto"/>
          </w:divBdr>
        </w:div>
        <w:div w:id="1540976397">
          <w:marLeft w:val="480"/>
          <w:marRight w:val="0"/>
          <w:marTop w:val="0"/>
          <w:marBottom w:val="0"/>
          <w:divBdr>
            <w:top w:val="none" w:sz="0" w:space="0" w:color="auto"/>
            <w:left w:val="none" w:sz="0" w:space="0" w:color="auto"/>
            <w:bottom w:val="none" w:sz="0" w:space="0" w:color="auto"/>
            <w:right w:val="none" w:sz="0" w:space="0" w:color="auto"/>
          </w:divBdr>
        </w:div>
        <w:div w:id="1948584798">
          <w:marLeft w:val="480"/>
          <w:marRight w:val="0"/>
          <w:marTop w:val="0"/>
          <w:marBottom w:val="0"/>
          <w:divBdr>
            <w:top w:val="none" w:sz="0" w:space="0" w:color="auto"/>
            <w:left w:val="none" w:sz="0" w:space="0" w:color="auto"/>
            <w:bottom w:val="none" w:sz="0" w:space="0" w:color="auto"/>
            <w:right w:val="none" w:sz="0" w:space="0" w:color="auto"/>
          </w:divBdr>
        </w:div>
        <w:div w:id="476339517">
          <w:marLeft w:val="480"/>
          <w:marRight w:val="0"/>
          <w:marTop w:val="0"/>
          <w:marBottom w:val="0"/>
          <w:divBdr>
            <w:top w:val="none" w:sz="0" w:space="0" w:color="auto"/>
            <w:left w:val="none" w:sz="0" w:space="0" w:color="auto"/>
            <w:bottom w:val="none" w:sz="0" w:space="0" w:color="auto"/>
            <w:right w:val="none" w:sz="0" w:space="0" w:color="auto"/>
          </w:divBdr>
        </w:div>
        <w:div w:id="119568706">
          <w:marLeft w:val="480"/>
          <w:marRight w:val="0"/>
          <w:marTop w:val="0"/>
          <w:marBottom w:val="0"/>
          <w:divBdr>
            <w:top w:val="none" w:sz="0" w:space="0" w:color="auto"/>
            <w:left w:val="none" w:sz="0" w:space="0" w:color="auto"/>
            <w:bottom w:val="none" w:sz="0" w:space="0" w:color="auto"/>
            <w:right w:val="none" w:sz="0" w:space="0" w:color="auto"/>
          </w:divBdr>
        </w:div>
        <w:div w:id="345132585">
          <w:marLeft w:val="480"/>
          <w:marRight w:val="0"/>
          <w:marTop w:val="0"/>
          <w:marBottom w:val="0"/>
          <w:divBdr>
            <w:top w:val="none" w:sz="0" w:space="0" w:color="auto"/>
            <w:left w:val="none" w:sz="0" w:space="0" w:color="auto"/>
            <w:bottom w:val="none" w:sz="0" w:space="0" w:color="auto"/>
            <w:right w:val="none" w:sz="0" w:space="0" w:color="auto"/>
          </w:divBdr>
        </w:div>
        <w:div w:id="505294430">
          <w:marLeft w:val="480"/>
          <w:marRight w:val="0"/>
          <w:marTop w:val="0"/>
          <w:marBottom w:val="0"/>
          <w:divBdr>
            <w:top w:val="none" w:sz="0" w:space="0" w:color="auto"/>
            <w:left w:val="none" w:sz="0" w:space="0" w:color="auto"/>
            <w:bottom w:val="none" w:sz="0" w:space="0" w:color="auto"/>
            <w:right w:val="none" w:sz="0" w:space="0" w:color="auto"/>
          </w:divBdr>
        </w:div>
      </w:divsChild>
    </w:div>
    <w:div w:id="1436755240">
      <w:bodyDiv w:val="1"/>
      <w:marLeft w:val="0"/>
      <w:marRight w:val="0"/>
      <w:marTop w:val="0"/>
      <w:marBottom w:val="0"/>
      <w:divBdr>
        <w:top w:val="none" w:sz="0" w:space="0" w:color="auto"/>
        <w:left w:val="none" w:sz="0" w:space="0" w:color="auto"/>
        <w:bottom w:val="none" w:sz="0" w:space="0" w:color="auto"/>
        <w:right w:val="none" w:sz="0" w:space="0" w:color="auto"/>
      </w:divBdr>
    </w:div>
    <w:div w:id="1650093647">
      <w:bodyDiv w:val="1"/>
      <w:marLeft w:val="0"/>
      <w:marRight w:val="0"/>
      <w:marTop w:val="0"/>
      <w:marBottom w:val="0"/>
      <w:divBdr>
        <w:top w:val="none" w:sz="0" w:space="0" w:color="auto"/>
        <w:left w:val="none" w:sz="0" w:space="0" w:color="auto"/>
        <w:bottom w:val="none" w:sz="0" w:space="0" w:color="auto"/>
        <w:right w:val="none" w:sz="0" w:space="0" w:color="auto"/>
      </w:divBdr>
    </w:div>
    <w:div w:id="1655136777">
      <w:bodyDiv w:val="1"/>
      <w:marLeft w:val="0"/>
      <w:marRight w:val="0"/>
      <w:marTop w:val="0"/>
      <w:marBottom w:val="0"/>
      <w:divBdr>
        <w:top w:val="none" w:sz="0" w:space="0" w:color="auto"/>
        <w:left w:val="none" w:sz="0" w:space="0" w:color="auto"/>
        <w:bottom w:val="none" w:sz="0" w:space="0" w:color="auto"/>
        <w:right w:val="none" w:sz="0" w:space="0" w:color="auto"/>
      </w:divBdr>
      <w:divsChild>
        <w:div w:id="1383169316">
          <w:marLeft w:val="480"/>
          <w:marRight w:val="0"/>
          <w:marTop w:val="0"/>
          <w:marBottom w:val="0"/>
          <w:divBdr>
            <w:top w:val="none" w:sz="0" w:space="0" w:color="auto"/>
            <w:left w:val="none" w:sz="0" w:space="0" w:color="auto"/>
            <w:bottom w:val="none" w:sz="0" w:space="0" w:color="auto"/>
            <w:right w:val="none" w:sz="0" w:space="0" w:color="auto"/>
          </w:divBdr>
        </w:div>
        <w:div w:id="1821580745">
          <w:marLeft w:val="480"/>
          <w:marRight w:val="0"/>
          <w:marTop w:val="0"/>
          <w:marBottom w:val="0"/>
          <w:divBdr>
            <w:top w:val="none" w:sz="0" w:space="0" w:color="auto"/>
            <w:left w:val="none" w:sz="0" w:space="0" w:color="auto"/>
            <w:bottom w:val="none" w:sz="0" w:space="0" w:color="auto"/>
            <w:right w:val="none" w:sz="0" w:space="0" w:color="auto"/>
          </w:divBdr>
        </w:div>
        <w:div w:id="842860600">
          <w:marLeft w:val="480"/>
          <w:marRight w:val="0"/>
          <w:marTop w:val="0"/>
          <w:marBottom w:val="0"/>
          <w:divBdr>
            <w:top w:val="none" w:sz="0" w:space="0" w:color="auto"/>
            <w:left w:val="none" w:sz="0" w:space="0" w:color="auto"/>
            <w:bottom w:val="none" w:sz="0" w:space="0" w:color="auto"/>
            <w:right w:val="none" w:sz="0" w:space="0" w:color="auto"/>
          </w:divBdr>
        </w:div>
        <w:div w:id="1754937718">
          <w:marLeft w:val="480"/>
          <w:marRight w:val="0"/>
          <w:marTop w:val="0"/>
          <w:marBottom w:val="0"/>
          <w:divBdr>
            <w:top w:val="none" w:sz="0" w:space="0" w:color="auto"/>
            <w:left w:val="none" w:sz="0" w:space="0" w:color="auto"/>
            <w:bottom w:val="none" w:sz="0" w:space="0" w:color="auto"/>
            <w:right w:val="none" w:sz="0" w:space="0" w:color="auto"/>
          </w:divBdr>
        </w:div>
        <w:div w:id="1833255824">
          <w:marLeft w:val="480"/>
          <w:marRight w:val="0"/>
          <w:marTop w:val="0"/>
          <w:marBottom w:val="0"/>
          <w:divBdr>
            <w:top w:val="none" w:sz="0" w:space="0" w:color="auto"/>
            <w:left w:val="none" w:sz="0" w:space="0" w:color="auto"/>
            <w:bottom w:val="none" w:sz="0" w:space="0" w:color="auto"/>
            <w:right w:val="none" w:sz="0" w:space="0" w:color="auto"/>
          </w:divBdr>
        </w:div>
        <w:div w:id="184097998">
          <w:marLeft w:val="480"/>
          <w:marRight w:val="0"/>
          <w:marTop w:val="0"/>
          <w:marBottom w:val="0"/>
          <w:divBdr>
            <w:top w:val="none" w:sz="0" w:space="0" w:color="auto"/>
            <w:left w:val="none" w:sz="0" w:space="0" w:color="auto"/>
            <w:bottom w:val="none" w:sz="0" w:space="0" w:color="auto"/>
            <w:right w:val="none" w:sz="0" w:space="0" w:color="auto"/>
          </w:divBdr>
        </w:div>
        <w:div w:id="474840565">
          <w:marLeft w:val="480"/>
          <w:marRight w:val="0"/>
          <w:marTop w:val="0"/>
          <w:marBottom w:val="0"/>
          <w:divBdr>
            <w:top w:val="none" w:sz="0" w:space="0" w:color="auto"/>
            <w:left w:val="none" w:sz="0" w:space="0" w:color="auto"/>
            <w:bottom w:val="none" w:sz="0" w:space="0" w:color="auto"/>
            <w:right w:val="none" w:sz="0" w:space="0" w:color="auto"/>
          </w:divBdr>
        </w:div>
        <w:div w:id="1269921779">
          <w:marLeft w:val="480"/>
          <w:marRight w:val="0"/>
          <w:marTop w:val="0"/>
          <w:marBottom w:val="0"/>
          <w:divBdr>
            <w:top w:val="none" w:sz="0" w:space="0" w:color="auto"/>
            <w:left w:val="none" w:sz="0" w:space="0" w:color="auto"/>
            <w:bottom w:val="none" w:sz="0" w:space="0" w:color="auto"/>
            <w:right w:val="none" w:sz="0" w:space="0" w:color="auto"/>
          </w:divBdr>
        </w:div>
        <w:div w:id="1425034695">
          <w:marLeft w:val="480"/>
          <w:marRight w:val="0"/>
          <w:marTop w:val="0"/>
          <w:marBottom w:val="0"/>
          <w:divBdr>
            <w:top w:val="none" w:sz="0" w:space="0" w:color="auto"/>
            <w:left w:val="none" w:sz="0" w:space="0" w:color="auto"/>
            <w:bottom w:val="none" w:sz="0" w:space="0" w:color="auto"/>
            <w:right w:val="none" w:sz="0" w:space="0" w:color="auto"/>
          </w:divBdr>
        </w:div>
        <w:div w:id="1645163017">
          <w:marLeft w:val="480"/>
          <w:marRight w:val="0"/>
          <w:marTop w:val="0"/>
          <w:marBottom w:val="0"/>
          <w:divBdr>
            <w:top w:val="none" w:sz="0" w:space="0" w:color="auto"/>
            <w:left w:val="none" w:sz="0" w:space="0" w:color="auto"/>
            <w:bottom w:val="none" w:sz="0" w:space="0" w:color="auto"/>
            <w:right w:val="none" w:sz="0" w:space="0" w:color="auto"/>
          </w:divBdr>
        </w:div>
        <w:div w:id="435447124">
          <w:marLeft w:val="480"/>
          <w:marRight w:val="0"/>
          <w:marTop w:val="0"/>
          <w:marBottom w:val="0"/>
          <w:divBdr>
            <w:top w:val="none" w:sz="0" w:space="0" w:color="auto"/>
            <w:left w:val="none" w:sz="0" w:space="0" w:color="auto"/>
            <w:bottom w:val="none" w:sz="0" w:space="0" w:color="auto"/>
            <w:right w:val="none" w:sz="0" w:space="0" w:color="auto"/>
          </w:divBdr>
        </w:div>
      </w:divsChild>
    </w:div>
    <w:div w:id="1673945414">
      <w:bodyDiv w:val="1"/>
      <w:marLeft w:val="0"/>
      <w:marRight w:val="0"/>
      <w:marTop w:val="0"/>
      <w:marBottom w:val="0"/>
      <w:divBdr>
        <w:top w:val="none" w:sz="0" w:space="0" w:color="auto"/>
        <w:left w:val="none" w:sz="0" w:space="0" w:color="auto"/>
        <w:bottom w:val="none" w:sz="0" w:space="0" w:color="auto"/>
        <w:right w:val="none" w:sz="0" w:space="0" w:color="auto"/>
      </w:divBdr>
      <w:divsChild>
        <w:div w:id="1183203057">
          <w:marLeft w:val="480"/>
          <w:marRight w:val="0"/>
          <w:marTop w:val="0"/>
          <w:marBottom w:val="0"/>
          <w:divBdr>
            <w:top w:val="none" w:sz="0" w:space="0" w:color="auto"/>
            <w:left w:val="none" w:sz="0" w:space="0" w:color="auto"/>
            <w:bottom w:val="none" w:sz="0" w:space="0" w:color="auto"/>
            <w:right w:val="none" w:sz="0" w:space="0" w:color="auto"/>
          </w:divBdr>
        </w:div>
        <w:div w:id="1022630453">
          <w:marLeft w:val="480"/>
          <w:marRight w:val="0"/>
          <w:marTop w:val="0"/>
          <w:marBottom w:val="0"/>
          <w:divBdr>
            <w:top w:val="none" w:sz="0" w:space="0" w:color="auto"/>
            <w:left w:val="none" w:sz="0" w:space="0" w:color="auto"/>
            <w:bottom w:val="none" w:sz="0" w:space="0" w:color="auto"/>
            <w:right w:val="none" w:sz="0" w:space="0" w:color="auto"/>
          </w:divBdr>
        </w:div>
        <w:div w:id="87391059">
          <w:marLeft w:val="480"/>
          <w:marRight w:val="0"/>
          <w:marTop w:val="0"/>
          <w:marBottom w:val="0"/>
          <w:divBdr>
            <w:top w:val="none" w:sz="0" w:space="0" w:color="auto"/>
            <w:left w:val="none" w:sz="0" w:space="0" w:color="auto"/>
            <w:bottom w:val="none" w:sz="0" w:space="0" w:color="auto"/>
            <w:right w:val="none" w:sz="0" w:space="0" w:color="auto"/>
          </w:divBdr>
        </w:div>
        <w:div w:id="1574000390">
          <w:marLeft w:val="480"/>
          <w:marRight w:val="0"/>
          <w:marTop w:val="0"/>
          <w:marBottom w:val="0"/>
          <w:divBdr>
            <w:top w:val="none" w:sz="0" w:space="0" w:color="auto"/>
            <w:left w:val="none" w:sz="0" w:space="0" w:color="auto"/>
            <w:bottom w:val="none" w:sz="0" w:space="0" w:color="auto"/>
            <w:right w:val="none" w:sz="0" w:space="0" w:color="auto"/>
          </w:divBdr>
        </w:div>
        <w:div w:id="780608474">
          <w:marLeft w:val="480"/>
          <w:marRight w:val="0"/>
          <w:marTop w:val="0"/>
          <w:marBottom w:val="0"/>
          <w:divBdr>
            <w:top w:val="none" w:sz="0" w:space="0" w:color="auto"/>
            <w:left w:val="none" w:sz="0" w:space="0" w:color="auto"/>
            <w:bottom w:val="none" w:sz="0" w:space="0" w:color="auto"/>
            <w:right w:val="none" w:sz="0" w:space="0" w:color="auto"/>
          </w:divBdr>
        </w:div>
        <w:div w:id="1687369831">
          <w:marLeft w:val="480"/>
          <w:marRight w:val="0"/>
          <w:marTop w:val="0"/>
          <w:marBottom w:val="0"/>
          <w:divBdr>
            <w:top w:val="none" w:sz="0" w:space="0" w:color="auto"/>
            <w:left w:val="none" w:sz="0" w:space="0" w:color="auto"/>
            <w:bottom w:val="none" w:sz="0" w:space="0" w:color="auto"/>
            <w:right w:val="none" w:sz="0" w:space="0" w:color="auto"/>
          </w:divBdr>
        </w:div>
        <w:div w:id="1753088690">
          <w:marLeft w:val="480"/>
          <w:marRight w:val="0"/>
          <w:marTop w:val="0"/>
          <w:marBottom w:val="0"/>
          <w:divBdr>
            <w:top w:val="none" w:sz="0" w:space="0" w:color="auto"/>
            <w:left w:val="none" w:sz="0" w:space="0" w:color="auto"/>
            <w:bottom w:val="none" w:sz="0" w:space="0" w:color="auto"/>
            <w:right w:val="none" w:sz="0" w:space="0" w:color="auto"/>
          </w:divBdr>
        </w:div>
      </w:divsChild>
    </w:div>
    <w:div w:id="1743748990">
      <w:bodyDiv w:val="1"/>
      <w:marLeft w:val="0"/>
      <w:marRight w:val="0"/>
      <w:marTop w:val="0"/>
      <w:marBottom w:val="0"/>
      <w:divBdr>
        <w:top w:val="none" w:sz="0" w:space="0" w:color="auto"/>
        <w:left w:val="none" w:sz="0" w:space="0" w:color="auto"/>
        <w:bottom w:val="none" w:sz="0" w:space="0" w:color="auto"/>
        <w:right w:val="none" w:sz="0" w:space="0" w:color="auto"/>
      </w:divBdr>
      <w:divsChild>
        <w:div w:id="1113131555">
          <w:marLeft w:val="480"/>
          <w:marRight w:val="0"/>
          <w:marTop w:val="0"/>
          <w:marBottom w:val="0"/>
          <w:divBdr>
            <w:top w:val="none" w:sz="0" w:space="0" w:color="auto"/>
            <w:left w:val="none" w:sz="0" w:space="0" w:color="auto"/>
            <w:bottom w:val="none" w:sz="0" w:space="0" w:color="auto"/>
            <w:right w:val="none" w:sz="0" w:space="0" w:color="auto"/>
          </w:divBdr>
        </w:div>
        <w:div w:id="1968464676">
          <w:marLeft w:val="480"/>
          <w:marRight w:val="0"/>
          <w:marTop w:val="0"/>
          <w:marBottom w:val="0"/>
          <w:divBdr>
            <w:top w:val="none" w:sz="0" w:space="0" w:color="auto"/>
            <w:left w:val="none" w:sz="0" w:space="0" w:color="auto"/>
            <w:bottom w:val="none" w:sz="0" w:space="0" w:color="auto"/>
            <w:right w:val="none" w:sz="0" w:space="0" w:color="auto"/>
          </w:divBdr>
        </w:div>
        <w:div w:id="2074351728">
          <w:marLeft w:val="480"/>
          <w:marRight w:val="0"/>
          <w:marTop w:val="0"/>
          <w:marBottom w:val="0"/>
          <w:divBdr>
            <w:top w:val="none" w:sz="0" w:space="0" w:color="auto"/>
            <w:left w:val="none" w:sz="0" w:space="0" w:color="auto"/>
            <w:bottom w:val="none" w:sz="0" w:space="0" w:color="auto"/>
            <w:right w:val="none" w:sz="0" w:space="0" w:color="auto"/>
          </w:divBdr>
        </w:div>
        <w:div w:id="106582741">
          <w:marLeft w:val="480"/>
          <w:marRight w:val="0"/>
          <w:marTop w:val="0"/>
          <w:marBottom w:val="0"/>
          <w:divBdr>
            <w:top w:val="none" w:sz="0" w:space="0" w:color="auto"/>
            <w:left w:val="none" w:sz="0" w:space="0" w:color="auto"/>
            <w:bottom w:val="none" w:sz="0" w:space="0" w:color="auto"/>
            <w:right w:val="none" w:sz="0" w:space="0" w:color="auto"/>
          </w:divBdr>
        </w:div>
        <w:div w:id="1573615657">
          <w:marLeft w:val="480"/>
          <w:marRight w:val="0"/>
          <w:marTop w:val="0"/>
          <w:marBottom w:val="0"/>
          <w:divBdr>
            <w:top w:val="none" w:sz="0" w:space="0" w:color="auto"/>
            <w:left w:val="none" w:sz="0" w:space="0" w:color="auto"/>
            <w:bottom w:val="none" w:sz="0" w:space="0" w:color="auto"/>
            <w:right w:val="none" w:sz="0" w:space="0" w:color="auto"/>
          </w:divBdr>
        </w:div>
      </w:divsChild>
    </w:div>
    <w:div w:id="1760174509">
      <w:bodyDiv w:val="1"/>
      <w:marLeft w:val="0"/>
      <w:marRight w:val="0"/>
      <w:marTop w:val="0"/>
      <w:marBottom w:val="0"/>
      <w:divBdr>
        <w:top w:val="none" w:sz="0" w:space="0" w:color="auto"/>
        <w:left w:val="none" w:sz="0" w:space="0" w:color="auto"/>
        <w:bottom w:val="none" w:sz="0" w:space="0" w:color="auto"/>
        <w:right w:val="none" w:sz="0" w:space="0" w:color="auto"/>
      </w:divBdr>
    </w:div>
    <w:div w:id="1762800239">
      <w:bodyDiv w:val="1"/>
      <w:marLeft w:val="0"/>
      <w:marRight w:val="0"/>
      <w:marTop w:val="0"/>
      <w:marBottom w:val="0"/>
      <w:divBdr>
        <w:top w:val="none" w:sz="0" w:space="0" w:color="auto"/>
        <w:left w:val="none" w:sz="0" w:space="0" w:color="auto"/>
        <w:bottom w:val="none" w:sz="0" w:space="0" w:color="auto"/>
        <w:right w:val="none" w:sz="0" w:space="0" w:color="auto"/>
      </w:divBdr>
      <w:divsChild>
        <w:div w:id="956066249">
          <w:marLeft w:val="480"/>
          <w:marRight w:val="0"/>
          <w:marTop w:val="0"/>
          <w:marBottom w:val="0"/>
          <w:divBdr>
            <w:top w:val="none" w:sz="0" w:space="0" w:color="auto"/>
            <w:left w:val="none" w:sz="0" w:space="0" w:color="auto"/>
            <w:bottom w:val="none" w:sz="0" w:space="0" w:color="auto"/>
            <w:right w:val="none" w:sz="0" w:space="0" w:color="auto"/>
          </w:divBdr>
        </w:div>
        <w:div w:id="2017228143">
          <w:marLeft w:val="480"/>
          <w:marRight w:val="0"/>
          <w:marTop w:val="0"/>
          <w:marBottom w:val="0"/>
          <w:divBdr>
            <w:top w:val="none" w:sz="0" w:space="0" w:color="auto"/>
            <w:left w:val="none" w:sz="0" w:space="0" w:color="auto"/>
            <w:bottom w:val="none" w:sz="0" w:space="0" w:color="auto"/>
            <w:right w:val="none" w:sz="0" w:space="0" w:color="auto"/>
          </w:divBdr>
        </w:div>
        <w:div w:id="1072389240">
          <w:marLeft w:val="480"/>
          <w:marRight w:val="0"/>
          <w:marTop w:val="0"/>
          <w:marBottom w:val="0"/>
          <w:divBdr>
            <w:top w:val="none" w:sz="0" w:space="0" w:color="auto"/>
            <w:left w:val="none" w:sz="0" w:space="0" w:color="auto"/>
            <w:bottom w:val="none" w:sz="0" w:space="0" w:color="auto"/>
            <w:right w:val="none" w:sz="0" w:space="0" w:color="auto"/>
          </w:divBdr>
        </w:div>
        <w:div w:id="101152910">
          <w:marLeft w:val="480"/>
          <w:marRight w:val="0"/>
          <w:marTop w:val="0"/>
          <w:marBottom w:val="0"/>
          <w:divBdr>
            <w:top w:val="none" w:sz="0" w:space="0" w:color="auto"/>
            <w:left w:val="none" w:sz="0" w:space="0" w:color="auto"/>
            <w:bottom w:val="none" w:sz="0" w:space="0" w:color="auto"/>
            <w:right w:val="none" w:sz="0" w:space="0" w:color="auto"/>
          </w:divBdr>
        </w:div>
        <w:div w:id="201554526">
          <w:marLeft w:val="480"/>
          <w:marRight w:val="0"/>
          <w:marTop w:val="0"/>
          <w:marBottom w:val="0"/>
          <w:divBdr>
            <w:top w:val="none" w:sz="0" w:space="0" w:color="auto"/>
            <w:left w:val="none" w:sz="0" w:space="0" w:color="auto"/>
            <w:bottom w:val="none" w:sz="0" w:space="0" w:color="auto"/>
            <w:right w:val="none" w:sz="0" w:space="0" w:color="auto"/>
          </w:divBdr>
        </w:div>
        <w:div w:id="395131464">
          <w:marLeft w:val="480"/>
          <w:marRight w:val="0"/>
          <w:marTop w:val="0"/>
          <w:marBottom w:val="0"/>
          <w:divBdr>
            <w:top w:val="none" w:sz="0" w:space="0" w:color="auto"/>
            <w:left w:val="none" w:sz="0" w:space="0" w:color="auto"/>
            <w:bottom w:val="none" w:sz="0" w:space="0" w:color="auto"/>
            <w:right w:val="none" w:sz="0" w:space="0" w:color="auto"/>
          </w:divBdr>
        </w:div>
        <w:div w:id="2146504545">
          <w:marLeft w:val="480"/>
          <w:marRight w:val="0"/>
          <w:marTop w:val="0"/>
          <w:marBottom w:val="0"/>
          <w:divBdr>
            <w:top w:val="none" w:sz="0" w:space="0" w:color="auto"/>
            <w:left w:val="none" w:sz="0" w:space="0" w:color="auto"/>
            <w:bottom w:val="none" w:sz="0" w:space="0" w:color="auto"/>
            <w:right w:val="none" w:sz="0" w:space="0" w:color="auto"/>
          </w:divBdr>
        </w:div>
        <w:div w:id="444037966">
          <w:marLeft w:val="480"/>
          <w:marRight w:val="0"/>
          <w:marTop w:val="0"/>
          <w:marBottom w:val="0"/>
          <w:divBdr>
            <w:top w:val="none" w:sz="0" w:space="0" w:color="auto"/>
            <w:left w:val="none" w:sz="0" w:space="0" w:color="auto"/>
            <w:bottom w:val="none" w:sz="0" w:space="0" w:color="auto"/>
            <w:right w:val="none" w:sz="0" w:space="0" w:color="auto"/>
          </w:divBdr>
        </w:div>
        <w:div w:id="2055110411">
          <w:marLeft w:val="480"/>
          <w:marRight w:val="0"/>
          <w:marTop w:val="0"/>
          <w:marBottom w:val="0"/>
          <w:divBdr>
            <w:top w:val="none" w:sz="0" w:space="0" w:color="auto"/>
            <w:left w:val="none" w:sz="0" w:space="0" w:color="auto"/>
            <w:bottom w:val="none" w:sz="0" w:space="0" w:color="auto"/>
            <w:right w:val="none" w:sz="0" w:space="0" w:color="auto"/>
          </w:divBdr>
        </w:div>
        <w:div w:id="1898469855">
          <w:marLeft w:val="480"/>
          <w:marRight w:val="0"/>
          <w:marTop w:val="0"/>
          <w:marBottom w:val="0"/>
          <w:divBdr>
            <w:top w:val="none" w:sz="0" w:space="0" w:color="auto"/>
            <w:left w:val="none" w:sz="0" w:space="0" w:color="auto"/>
            <w:bottom w:val="none" w:sz="0" w:space="0" w:color="auto"/>
            <w:right w:val="none" w:sz="0" w:space="0" w:color="auto"/>
          </w:divBdr>
        </w:div>
      </w:divsChild>
    </w:div>
    <w:div w:id="1775132867">
      <w:bodyDiv w:val="1"/>
      <w:marLeft w:val="0"/>
      <w:marRight w:val="0"/>
      <w:marTop w:val="0"/>
      <w:marBottom w:val="0"/>
      <w:divBdr>
        <w:top w:val="none" w:sz="0" w:space="0" w:color="auto"/>
        <w:left w:val="none" w:sz="0" w:space="0" w:color="auto"/>
        <w:bottom w:val="none" w:sz="0" w:space="0" w:color="auto"/>
        <w:right w:val="none" w:sz="0" w:space="0" w:color="auto"/>
      </w:divBdr>
      <w:divsChild>
        <w:div w:id="1070999472">
          <w:marLeft w:val="480"/>
          <w:marRight w:val="0"/>
          <w:marTop w:val="0"/>
          <w:marBottom w:val="0"/>
          <w:divBdr>
            <w:top w:val="none" w:sz="0" w:space="0" w:color="auto"/>
            <w:left w:val="none" w:sz="0" w:space="0" w:color="auto"/>
            <w:bottom w:val="none" w:sz="0" w:space="0" w:color="auto"/>
            <w:right w:val="none" w:sz="0" w:space="0" w:color="auto"/>
          </w:divBdr>
        </w:div>
        <w:div w:id="464782959">
          <w:marLeft w:val="480"/>
          <w:marRight w:val="0"/>
          <w:marTop w:val="0"/>
          <w:marBottom w:val="0"/>
          <w:divBdr>
            <w:top w:val="none" w:sz="0" w:space="0" w:color="auto"/>
            <w:left w:val="none" w:sz="0" w:space="0" w:color="auto"/>
            <w:bottom w:val="none" w:sz="0" w:space="0" w:color="auto"/>
            <w:right w:val="none" w:sz="0" w:space="0" w:color="auto"/>
          </w:divBdr>
        </w:div>
      </w:divsChild>
    </w:div>
    <w:div w:id="1804351393">
      <w:bodyDiv w:val="1"/>
      <w:marLeft w:val="0"/>
      <w:marRight w:val="0"/>
      <w:marTop w:val="0"/>
      <w:marBottom w:val="0"/>
      <w:divBdr>
        <w:top w:val="none" w:sz="0" w:space="0" w:color="auto"/>
        <w:left w:val="none" w:sz="0" w:space="0" w:color="auto"/>
        <w:bottom w:val="none" w:sz="0" w:space="0" w:color="auto"/>
        <w:right w:val="none" w:sz="0" w:space="0" w:color="auto"/>
      </w:divBdr>
      <w:divsChild>
        <w:div w:id="396981353">
          <w:marLeft w:val="480"/>
          <w:marRight w:val="0"/>
          <w:marTop w:val="0"/>
          <w:marBottom w:val="0"/>
          <w:divBdr>
            <w:top w:val="none" w:sz="0" w:space="0" w:color="auto"/>
            <w:left w:val="none" w:sz="0" w:space="0" w:color="auto"/>
            <w:bottom w:val="none" w:sz="0" w:space="0" w:color="auto"/>
            <w:right w:val="none" w:sz="0" w:space="0" w:color="auto"/>
          </w:divBdr>
        </w:div>
        <w:div w:id="495341463">
          <w:marLeft w:val="480"/>
          <w:marRight w:val="0"/>
          <w:marTop w:val="0"/>
          <w:marBottom w:val="0"/>
          <w:divBdr>
            <w:top w:val="none" w:sz="0" w:space="0" w:color="auto"/>
            <w:left w:val="none" w:sz="0" w:space="0" w:color="auto"/>
            <w:bottom w:val="none" w:sz="0" w:space="0" w:color="auto"/>
            <w:right w:val="none" w:sz="0" w:space="0" w:color="auto"/>
          </w:divBdr>
        </w:div>
      </w:divsChild>
    </w:div>
    <w:div w:id="1821652816">
      <w:bodyDiv w:val="1"/>
      <w:marLeft w:val="0"/>
      <w:marRight w:val="0"/>
      <w:marTop w:val="0"/>
      <w:marBottom w:val="0"/>
      <w:divBdr>
        <w:top w:val="none" w:sz="0" w:space="0" w:color="auto"/>
        <w:left w:val="none" w:sz="0" w:space="0" w:color="auto"/>
        <w:bottom w:val="none" w:sz="0" w:space="0" w:color="auto"/>
        <w:right w:val="none" w:sz="0" w:space="0" w:color="auto"/>
      </w:divBdr>
      <w:divsChild>
        <w:div w:id="984511691">
          <w:marLeft w:val="480"/>
          <w:marRight w:val="0"/>
          <w:marTop w:val="0"/>
          <w:marBottom w:val="0"/>
          <w:divBdr>
            <w:top w:val="none" w:sz="0" w:space="0" w:color="auto"/>
            <w:left w:val="none" w:sz="0" w:space="0" w:color="auto"/>
            <w:bottom w:val="none" w:sz="0" w:space="0" w:color="auto"/>
            <w:right w:val="none" w:sz="0" w:space="0" w:color="auto"/>
          </w:divBdr>
        </w:div>
        <w:div w:id="1200820052">
          <w:marLeft w:val="480"/>
          <w:marRight w:val="0"/>
          <w:marTop w:val="0"/>
          <w:marBottom w:val="0"/>
          <w:divBdr>
            <w:top w:val="none" w:sz="0" w:space="0" w:color="auto"/>
            <w:left w:val="none" w:sz="0" w:space="0" w:color="auto"/>
            <w:bottom w:val="none" w:sz="0" w:space="0" w:color="auto"/>
            <w:right w:val="none" w:sz="0" w:space="0" w:color="auto"/>
          </w:divBdr>
        </w:div>
        <w:div w:id="649678769">
          <w:marLeft w:val="480"/>
          <w:marRight w:val="0"/>
          <w:marTop w:val="0"/>
          <w:marBottom w:val="0"/>
          <w:divBdr>
            <w:top w:val="none" w:sz="0" w:space="0" w:color="auto"/>
            <w:left w:val="none" w:sz="0" w:space="0" w:color="auto"/>
            <w:bottom w:val="none" w:sz="0" w:space="0" w:color="auto"/>
            <w:right w:val="none" w:sz="0" w:space="0" w:color="auto"/>
          </w:divBdr>
        </w:div>
        <w:div w:id="1379354071">
          <w:marLeft w:val="480"/>
          <w:marRight w:val="0"/>
          <w:marTop w:val="0"/>
          <w:marBottom w:val="0"/>
          <w:divBdr>
            <w:top w:val="none" w:sz="0" w:space="0" w:color="auto"/>
            <w:left w:val="none" w:sz="0" w:space="0" w:color="auto"/>
            <w:bottom w:val="none" w:sz="0" w:space="0" w:color="auto"/>
            <w:right w:val="none" w:sz="0" w:space="0" w:color="auto"/>
          </w:divBdr>
        </w:div>
        <w:div w:id="1706829385">
          <w:marLeft w:val="480"/>
          <w:marRight w:val="0"/>
          <w:marTop w:val="0"/>
          <w:marBottom w:val="0"/>
          <w:divBdr>
            <w:top w:val="none" w:sz="0" w:space="0" w:color="auto"/>
            <w:left w:val="none" w:sz="0" w:space="0" w:color="auto"/>
            <w:bottom w:val="none" w:sz="0" w:space="0" w:color="auto"/>
            <w:right w:val="none" w:sz="0" w:space="0" w:color="auto"/>
          </w:divBdr>
        </w:div>
        <w:div w:id="1418401142">
          <w:marLeft w:val="480"/>
          <w:marRight w:val="0"/>
          <w:marTop w:val="0"/>
          <w:marBottom w:val="0"/>
          <w:divBdr>
            <w:top w:val="none" w:sz="0" w:space="0" w:color="auto"/>
            <w:left w:val="none" w:sz="0" w:space="0" w:color="auto"/>
            <w:bottom w:val="none" w:sz="0" w:space="0" w:color="auto"/>
            <w:right w:val="none" w:sz="0" w:space="0" w:color="auto"/>
          </w:divBdr>
        </w:div>
        <w:div w:id="1676613149">
          <w:marLeft w:val="480"/>
          <w:marRight w:val="0"/>
          <w:marTop w:val="0"/>
          <w:marBottom w:val="0"/>
          <w:divBdr>
            <w:top w:val="none" w:sz="0" w:space="0" w:color="auto"/>
            <w:left w:val="none" w:sz="0" w:space="0" w:color="auto"/>
            <w:bottom w:val="none" w:sz="0" w:space="0" w:color="auto"/>
            <w:right w:val="none" w:sz="0" w:space="0" w:color="auto"/>
          </w:divBdr>
        </w:div>
        <w:div w:id="1591767561">
          <w:marLeft w:val="480"/>
          <w:marRight w:val="0"/>
          <w:marTop w:val="0"/>
          <w:marBottom w:val="0"/>
          <w:divBdr>
            <w:top w:val="none" w:sz="0" w:space="0" w:color="auto"/>
            <w:left w:val="none" w:sz="0" w:space="0" w:color="auto"/>
            <w:bottom w:val="none" w:sz="0" w:space="0" w:color="auto"/>
            <w:right w:val="none" w:sz="0" w:space="0" w:color="auto"/>
          </w:divBdr>
        </w:div>
        <w:div w:id="1957717515">
          <w:marLeft w:val="480"/>
          <w:marRight w:val="0"/>
          <w:marTop w:val="0"/>
          <w:marBottom w:val="0"/>
          <w:divBdr>
            <w:top w:val="none" w:sz="0" w:space="0" w:color="auto"/>
            <w:left w:val="none" w:sz="0" w:space="0" w:color="auto"/>
            <w:bottom w:val="none" w:sz="0" w:space="0" w:color="auto"/>
            <w:right w:val="none" w:sz="0" w:space="0" w:color="auto"/>
          </w:divBdr>
        </w:div>
        <w:div w:id="1321274864">
          <w:marLeft w:val="480"/>
          <w:marRight w:val="0"/>
          <w:marTop w:val="0"/>
          <w:marBottom w:val="0"/>
          <w:divBdr>
            <w:top w:val="none" w:sz="0" w:space="0" w:color="auto"/>
            <w:left w:val="none" w:sz="0" w:space="0" w:color="auto"/>
            <w:bottom w:val="none" w:sz="0" w:space="0" w:color="auto"/>
            <w:right w:val="none" w:sz="0" w:space="0" w:color="auto"/>
          </w:divBdr>
        </w:div>
        <w:div w:id="1177421863">
          <w:marLeft w:val="480"/>
          <w:marRight w:val="0"/>
          <w:marTop w:val="0"/>
          <w:marBottom w:val="0"/>
          <w:divBdr>
            <w:top w:val="none" w:sz="0" w:space="0" w:color="auto"/>
            <w:left w:val="none" w:sz="0" w:space="0" w:color="auto"/>
            <w:bottom w:val="none" w:sz="0" w:space="0" w:color="auto"/>
            <w:right w:val="none" w:sz="0" w:space="0" w:color="auto"/>
          </w:divBdr>
        </w:div>
        <w:div w:id="1105273291">
          <w:marLeft w:val="480"/>
          <w:marRight w:val="0"/>
          <w:marTop w:val="0"/>
          <w:marBottom w:val="0"/>
          <w:divBdr>
            <w:top w:val="none" w:sz="0" w:space="0" w:color="auto"/>
            <w:left w:val="none" w:sz="0" w:space="0" w:color="auto"/>
            <w:bottom w:val="none" w:sz="0" w:space="0" w:color="auto"/>
            <w:right w:val="none" w:sz="0" w:space="0" w:color="auto"/>
          </w:divBdr>
        </w:div>
      </w:divsChild>
    </w:div>
    <w:div w:id="1822237653">
      <w:bodyDiv w:val="1"/>
      <w:marLeft w:val="0"/>
      <w:marRight w:val="0"/>
      <w:marTop w:val="0"/>
      <w:marBottom w:val="0"/>
      <w:divBdr>
        <w:top w:val="none" w:sz="0" w:space="0" w:color="auto"/>
        <w:left w:val="none" w:sz="0" w:space="0" w:color="auto"/>
        <w:bottom w:val="none" w:sz="0" w:space="0" w:color="auto"/>
        <w:right w:val="none" w:sz="0" w:space="0" w:color="auto"/>
      </w:divBdr>
    </w:div>
    <w:div w:id="1874537864">
      <w:bodyDiv w:val="1"/>
      <w:marLeft w:val="0"/>
      <w:marRight w:val="0"/>
      <w:marTop w:val="0"/>
      <w:marBottom w:val="0"/>
      <w:divBdr>
        <w:top w:val="none" w:sz="0" w:space="0" w:color="auto"/>
        <w:left w:val="none" w:sz="0" w:space="0" w:color="auto"/>
        <w:bottom w:val="none" w:sz="0" w:space="0" w:color="auto"/>
        <w:right w:val="none" w:sz="0" w:space="0" w:color="auto"/>
      </w:divBdr>
      <w:divsChild>
        <w:div w:id="1850213452">
          <w:marLeft w:val="480"/>
          <w:marRight w:val="0"/>
          <w:marTop w:val="0"/>
          <w:marBottom w:val="0"/>
          <w:divBdr>
            <w:top w:val="none" w:sz="0" w:space="0" w:color="auto"/>
            <w:left w:val="none" w:sz="0" w:space="0" w:color="auto"/>
            <w:bottom w:val="none" w:sz="0" w:space="0" w:color="auto"/>
            <w:right w:val="none" w:sz="0" w:space="0" w:color="auto"/>
          </w:divBdr>
        </w:div>
      </w:divsChild>
    </w:div>
    <w:div w:id="1888302073">
      <w:bodyDiv w:val="1"/>
      <w:marLeft w:val="0"/>
      <w:marRight w:val="0"/>
      <w:marTop w:val="0"/>
      <w:marBottom w:val="0"/>
      <w:divBdr>
        <w:top w:val="none" w:sz="0" w:space="0" w:color="auto"/>
        <w:left w:val="none" w:sz="0" w:space="0" w:color="auto"/>
        <w:bottom w:val="none" w:sz="0" w:space="0" w:color="auto"/>
        <w:right w:val="none" w:sz="0" w:space="0" w:color="auto"/>
      </w:divBdr>
      <w:divsChild>
        <w:div w:id="1918592629">
          <w:marLeft w:val="480"/>
          <w:marRight w:val="0"/>
          <w:marTop w:val="0"/>
          <w:marBottom w:val="0"/>
          <w:divBdr>
            <w:top w:val="none" w:sz="0" w:space="0" w:color="auto"/>
            <w:left w:val="none" w:sz="0" w:space="0" w:color="auto"/>
            <w:bottom w:val="none" w:sz="0" w:space="0" w:color="auto"/>
            <w:right w:val="none" w:sz="0" w:space="0" w:color="auto"/>
          </w:divBdr>
        </w:div>
        <w:div w:id="1129664171">
          <w:marLeft w:val="480"/>
          <w:marRight w:val="0"/>
          <w:marTop w:val="0"/>
          <w:marBottom w:val="0"/>
          <w:divBdr>
            <w:top w:val="none" w:sz="0" w:space="0" w:color="auto"/>
            <w:left w:val="none" w:sz="0" w:space="0" w:color="auto"/>
            <w:bottom w:val="none" w:sz="0" w:space="0" w:color="auto"/>
            <w:right w:val="none" w:sz="0" w:space="0" w:color="auto"/>
          </w:divBdr>
        </w:div>
        <w:div w:id="82340222">
          <w:marLeft w:val="480"/>
          <w:marRight w:val="0"/>
          <w:marTop w:val="0"/>
          <w:marBottom w:val="0"/>
          <w:divBdr>
            <w:top w:val="none" w:sz="0" w:space="0" w:color="auto"/>
            <w:left w:val="none" w:sz="0" w:space="0" w:color="auto"/>
            <w:bottom w:val="none" w:sz="0" w:space="0" w:color="auto"/>
            <w:right w:val="none" w:sz="0" w:space="0" w:color="auto"/>
          </w:divBdr>
        </w:div>
        <w:div w:id="883522419">
          <w:marLeft w:val="480"/>
          <w:marRight w:val="0"/>
          <w:marTop w:val="0"/>
          <w:marBottom w:val="0"/>
          <w:divBdr>
            <w:top w:val="none" w:sz="0" w:space="0" w:color="auto"/>
            <w:left w:val="none" w:sz="0" w:space="0" w:color="auto"/>
            <w:bottom w:val="none" w:sz="0" w:space="0" w:color="auto"/>
            <w:right w:val="none" w:sz="0" w:space="0" w:color="auto"/>
          </w:divBdr>
        </w:div>
        <w:div w:id="109784615">
          <w:marLeft w:val="480"/>
          <w:marRight w:val="0"/>
          <w:marTop w:val="0"/>
          <w:marBottom w:val="0"/>
          <w:divBdr>
            <w:top w:val="none" w:sz="0" w:space="0" w:color="auto"/>
            <w:left w:val="none" w:sz="0" w:space="0" w:color="auto"/>
            <w:bottom w:val="none" w:sz="0" w:space="0" w:color="auto"/>
            <w:right w:val="none" w:sz="0" w:space="0" w:color="auto"/>
          </w:divBdr>
        </w:div>
        <w:div w:id="536359245">
          <w:marLeft w:val="480"/>
          <w:marRight w:val="0"/>
          <w:marTop w:val="0"/>
          <w:marBottom w:val="0"/>
          <w:divBdr>
            <w:top w:val="none" w:sz="0" w:space="0" w:color="auto"/>
            <w:left w:val="none" w:sz="0" w:space="0" w:color="auto"/>
            <w:bottom w:val="none" w:sz="0" w:space="0" w:color="auto"/>
            <w:right w:val="none" w:sz="0" w:space="0" w:color="auto"/>
          </w:divBdr>
        </w:div>
        <w:div w:id="1779829485">
          <w:marLeft w:val="480"/>
          <w:marRight w:val="0"/>
          <w:marTop w:val="0"/>
          <w:marBottom w:val="0"/>
          <w:divBdr>
            <w:top w:val="none" w:sz="0" w:space="0" w:color="auto"/>
            <w:left w:val="none" w:sz="0" w:space="0" w:color="auto"/>
            <w:bottom w:val="none" w:sz="0" w:space="0" w:color="auto"/>
            <w:right w:val="none" w:sz="0" w:space="0" w:color="auto"/>
          </w:divBdr>
        </w:div>
        <w:div w:id="1051733668">
          <w:marLeft w:val="480"/>
          <w:marRight w:val="0"/>
          <w:marTop w:val="0"/>
          <w:marBottom w:val="0"/>
          <w:divBdr>
            <w:top w:val="none" w:sz="0" w:space="0" w:color="auto"/>
            <w:left w:val="none" w:sz="0" w:space="0" w:color="auto"/>
            <w:bottom w:val="none" w:sz="0" w:space="0" w:color="auto"/>
            <w:right w:val="none" w:sz="0" w:space="0" w:color="auto"/>
          </w:divBdr>
        </w:div>
      </w:divsChild>
    </w:div>
    <w:div w:id="1893227010">
      <w:bodyDiv w:val="1"/>
      <w:marLeft w:val="0"/>
      <w:marRight w:val="0"/>
      <w:marTop w:val="0"/>
      <w:marBottom w:val="0"/>
      <w:divBdr>
        <w:top w:val="none" w:sz="0" w:space="0" w:color="auto"/>
        <w:left w:val="none" w:sz="0" w:space="0" w:color="auto"/>
        <w:bottom w:val="none" w:sz="0" w:space="0" w:color="auto"/>
        <w:right w:val="none" w:sz="0" w:space="0" w:color="auto"/>
      </w:divBdr>
      <w:divsChild>
        <w:div w:id="1604916527">
          <w:marLeft w:val="480"/>
          <w:marRight w:val="0"/>
          <w:marTop w:val="0"/>
          <w:marBottom w:val="0"/>
          <w:divBdr>
            <w:top w:val="none" w:sz="0" w:space="0" w:color="auto"/>
            <w:left w:val="none" w:sz="0" w:space="0" w:color="auto"/>
            <w:bottom w:val="none" w:sz="0" w:space="0" w:color="auto"/>
            <w:right w:val="none" w:sz="0" w:space="0" w:color="auto"/>
          </w:divBdr>
        </w:div>
        <w:div w:id="720372783">
          <w:marLeft w:val="480"/>
          <w:marRight w:val="0"/>
          <w:marTop w:val="0"/>
          <w:marBottom w:val="0"/>
          <w:divBdr>
            <w:top w:val="none" w:sz="0" w:space="0" w:color="auto"/>
            <w:left w:val="none" w:sz="0" w:space="0" w:color="auto"/>
            <w:bottom w:val="none" w:sz="0" w:space="0" w:color="auto"/>
            <w:right w:val="none" w:sz="0" w:space="0" w:color="auto"/>
          </w:divBdr>
        </w:div>
        <w:div w:id="28377606">
          <w:marLeft w:val="480"/>
          <w:marRight w:val="0"/>
          <w:marTop w:val="0"/>
          <w:marBottom w:val="0"/>
          <w:divBdr>
            <w:top w:val="none" w:sz="0" w:space="0" w:color="auto"/>
            <w:left w:val="none" w:sz="0" w:space="0" w:color="auto"/>
            <w:bottom w:val="none" w:sz="0" w:space="0" w:color="auto"/>
            <w:right w:val="none" w:sz="0" w:space="0" w:color="auto"/>
          </w:divBdr>
        </w:div>
        <w:div w:id="622619442">
          <w:marLeft w:val="480"/>
          <w:marRight w:val="0"/>
          <w:marTop w:val="0"/>
          <w:marBottom w:val="0"/>
          <w:divBdr>
            <w:top w:val="none" w:sz="0" w:space="0" w:color="auto"/>
            <w:left w:val="none" w:sz="0" w:space="0" w:color="auto"/>
            <w:bottom w:val="none" w:sz="0" w:space="0" w:color="auto"/>
            <w:right w:val="none" w:sz="0" w:space="0" w:color="auto"/>
          </w:divBdr>
        </w:div>
        <w:div w:id="265694631">
          <w:marLeft w:val="480"/>
          <w:marRight w:val="0"/>
          <w:marTop w:val="0"/>
          <w:marBottom w:val="0"/>
          <w:divBdr>
            <w:top w:val="none" w:sz="0" w:space="0" w:color="auto"/>
            <w:left w:val="none" w:sz="0" w:space="0" w:color="auto"/>
            <w:bottom w:val="none" w:sz="0" w:space="0" w:color="auto"/>
            <w:right w:val="none" w:sz="0" w:space="0" w:color="auto"/>
          </w:divBdr>
        </w:div>
        <w:div w:id="5327156">
          <w:marLeft w:val="480"/>
          <w:marRight w:val="0"/>
          <w:marTop w:val="0"/>
          <w:marBottom w:val="0"/>
          <w:divBdr>
            <w:top w:val="none" w:sz="0" w:space="0" w:color="auto"/>
            <w:left w:val="none" w:sz="0" w:space="0" w:color="auto"/>
            <w:bottom w:val="none" w:sz="0" w:space="0" w:color="auto"/>
            <w:right w:val="none" w:sz="0" w:space="0" w:color="auto"/>
          </w:divBdr>
        </w:div>
      </w:divsChild>
    </w:div>
    <w:div w:id="2011248749">
      <w:bodyDiv w:val="1"/>
      <w:marLeft w:val="0"/>
      <w:marRight w:val="0"/>
      <w:marTop w:val="0"/>
      <w:marBottom w:val="0"/>
      <w:divBdr>
        <w:top w:val="none" w:sz="0" w:space="0" w:color="auto"/>
        <w:left w:val="none" w:sz="0" w:space="0" w:color="auto"/>
        <w:bottom w:val="none" w:sz="0" w:space="0" w:color="auto"/>
        <w:right w:val="none" w:sz="0" w:space="0" w:color="auto"/>
      </w:divBdr>
    </w:div>
    <w:div w:id="2039356197">
      <w:bodyDiv w:val="1"/>
      <w:marLeft w:val="0"/>
      <w:marRight w:val="0"/>
      <w:marTop w:val="0"/>
      <w:marBottom w:val="0"/>
      <w:divBdr>
        <w:top w:val="none" w:sz="0" w:space="0" w:color="auto"/>
        <w:left w:val="none" w:sz="0" w:space="0" w:color="auto"/>
        <w:bottom w:val="none" w:sz="0" w:space="0" w:color="auto"/>
        <w:right w:val="none" w:sz="0" w:space="0" w:color="auto"/>
      </w:divBdr>
    </w:div>
    <w:div w:id="2082363238">
      <w:bodyDiv w:val="1"/>
      <w:marLeft w:val="0"/>
      <w:marRight w:val="0"/>
      <w:marTop w:val="0"/>
      <w:marBottom w:val="0"/>
      <w:divBdr>
        <w:top w:val="none" w:sz="0" w:space="0" w:color="auto"/>
        <w:left w:val="none" w:sz="0" w:space="0" w:color="auto"/>
        <w:bottom w:val="none" w:sz="0" w:space="0" w:color="auto"/>
        <w:right w:val="none" w:sz="0" w:space="0" w:color="auto"/>
      </w:divBdr>
      <w:divsChild>
        <w:div w:id="501704105">
          <w:marLeft w:val="480"/>
          <w:marRight w:val="0"/>
          <w:marTop w:val="0"/>
          <w:marBottom w:val="0"/>
          <w:divBdr>
            <w:top w:val="none" w:sz="0" w:space="0" w:color="auto"/>
            <w:left w:val="none" w:sz="0" w:space="0" w:color="auto"/>
            <w:bottom w:val="none" w:sz="0" w:space="0" w:color="auto"/>
            <w:right w:val="none" w:sz="0" w:space="0" w:color="auto"/>
          </w:divBdr>
        </w:div>
        <w:div w:id="570893857">
          <w:marLeft w:val="480"/>
          <w:marRight w:val="0"/>
          <w:marTop w:val="0"/>
          <w:marBottom w:val="0"/>
          <w:divBdr>
            <w:top w:val="none" w:sz="0" w:space="0" w:color="auto"/>
            <w:left w:val="none" w:sz="0" w:space="0" w:color="auto"/>
            <w:bottom w:val="none" w:sz="0" w:space="0" w:color="auto"/>
            <w:right w:val="none" w:sz="0" w:space="0" w:color="auto"/>
          </w:divBdr>
        </w:div>
        <w:div w:id="1582830033">
          <w:marLeft w:val="480"/>
          <w:marRight w:val="0"/>
          <w:marTop w:val="0"/>
          <w:marBottom w:val="0"/>
          <w:divBdr>
            <w:top w:val="none" w:sz="0" w:space="0" w:color="auto"/>
            <w:left w:val="none" w:sz="0" w:space="0" w:color="auto"/>
            <w:bottom w:val="none" w:sz="0" w:space="0" w:color="auto"/>
            <w:right w:val="none" w:sz="0" w:space="0" w:color="auto"/>
          </w:divBdr>
        </w:div>
        <w:div w:id="239684127">
          <w:marLeft w:val="480"/>
          <w:marRight w:val="0"/>
          <w:marTop w:val="0"/>
          <w:marBottom w:val="0"/>
          <w:divBdr>
            <w:top w:val="none" w:sz="0" w:space="0" w:color="auto"/>
            <w:left w:val="none" w:sz="0" w:space="0" w:color="auto"/>
            <w:bottom w:val="none" w:sz="0" w:space="0" w:color="auto"/>
            <w:right w:val="none" w:sz="0" w:space="0" w:color="auto"/>
          </w:divBdr>
        </w:div>
        <w:div w:id="699475686">
          <w:marLeft w:val="480"/>
          <w:marRight w:val="0"/>
          <w:marTop w:val="0"/>
          <w:marBottom w:val="0"/>
          <w:divBdr>
            <w:top w:val="none" w:sz="0" w:space="0" w:color="auto"/>
            <w:left w:val="none" w:sz="0" w:space="0" w:color="auto"/>
            <w:bottom w:val="none" w:sz="0" w:space="0" w:color="auto"/>
            <w:right w:val="none" w:sz="0" w:space="0" w:color="auto"/>
          </w:divBdr>
        </w:div>
        <w:div w:id="1616448299">
          <w:marLeft w:val="480"/>
          <w:marRight w:val="0"/>
          <w:marTop w:val="0"/>
          <w:marBottom w:val="0"/>
          <w:divBdr>
            <w:top w:val="none" w:sz="0" w:space="0" w:color="auto"/>
            <w:left w:val="none" w:sz="0" w:space="0" w:color="auto"/>
            <w:bottom w:val="none" w:sz="0" w:space="0" w:color="auto"/>
            <w:right w:val="none" w:sz="0" w:space="0" w:color="auto"/>
          </w:divBdr>
        </w:div>
        <w:div w:id="149951887">
          <w:marLeft w:val="480"/>
          <w:marRight w:val="0"/>
          <w:marTop w:val="0"/>
          <w:marBottom w:val="0"/>
          <w:divBdr>
            <w:top w:val="none" w:sz="0" w:space="0" w:color="auto"/>
            <w:left w:val="none" w:sz="0" w:space="0" w:color="auto"/>
            <w:bottom w:val="none" w:sz="0" w:space="0" w:color="auto"/>
            <w:right w:val="none" w:sz="0" w:space="0" w:color="auto"/>
          </w:divBdr>
        </w:div>
        <w:div w:id="273752804">
          <w:marLeft w:val="480"/>
          <w:marRight w:val="0"/>
          <w:marTop w:val="0"/>
          <w:marBottom w:val="0"/>
          <w:divBdr>
            <w:top w:val="none" w:sz="0" w:space="0" w:color="auto"/>
            <w:left w:val="none" w:sz="0" w:space="0" w:color="auto"/>
            <w:bottom w:val="none" w:sz="0" w:space="0" w:color="auto"/>
            <w:right w:val="none" w:sz="0" w:space="0" w:color="auto"/>
          </w:divBdr>
        </w:div>
        <w:div w:id="286201100">
          <w:marLeft w:val="480"/>
          <w:marRight w:val="0"/>
          <w:marTop w:val="0"/>
          <w:marBottom w:val="0"/>
          <w:divBdr>
            <w:top w:val="none" w:sz="0" w:space="0" w:color="auto"/>
            <w:left w:val="none" w:sz="0" w:space="0" w:color="auto"/>
            <w:bottom w:val="none" w:sz="0" w:space="0" w:color="auto"/>
            <w:right w:val="none" w:sz="0" w:space="0" w:color="auto"/>
          </w:divBdr>
        </w:div>
      </w:divsChild>
    </w:div>
    <w:div w:id="2083986783">
      <w:bodyDiv w:val="1"/>
      <w:marLeft w:val="0"/>
      <w:marRight w:val="0"/>
      <w:marTop w:val="0"/>
      <w:marBottom w:val="0"/>
      <w:divBdr>
        <w:top w:val="none" w:sz="0" w:space="0" w:color="auto"/>
        <w:left w:val="none" w:sz="0" w:space="0" w:color="auto"/>
        <w:bottom w:val="none" w:sz="0" w:space="0" w:color="auto"/>
        <w:right w:val="none" w:sz="0" w:space="0" w:color="auto"/>
      </w:divBdr>
    </w:div>
    <w:div w:id="2119911167">
      <w:bodyDiv w:val="1"/>
      <w:marLeft w:val="0"/>
      <w:marRight w:val="0"/>
      <w:marTop w:val="0"/>
      <w:marBottom w:val="0"/>
      <w:divBdr>
        <w:top w:val="none" w:sz="0" w:space="0" w:color="auto"/>
        <w:left w:val="none" w:sz="0" w:space="0" w:color="auto"/>
        <w:bottom w:val="none" w:sz="0" w:space="0" w:color="auto"/>
        <w:right w:val="none" w:sz="0" w:space="0" w:color="auto"/>
      </w:divBdr>
      <w:divsChild>
        <w:div w:id="114326592">
          <w:marLeft w:val="480"/>
          <w:marRight w:val="0"/>
          <w:marTop w:val="0"/>
          <w:marBottom w:val="0"/>
          <w:divBdr>
            <w:top w:val="none" w:sz="0" w:space="0" w:color="auto"/>
            <w:left w:val="none" w:sz="0" w:space="0" w:color="auto"/>
            <w:bottom w:val="none" w:sz="0" w:space="0" w:color="auto"/>
            <w:right w:val="none" w:sz="0" w:space="0" w:color="auto"/>
          </w:divBdr>
        </w:div>
        <w:div w:id="1279142261">
          <w:marLeft w:val="480"/>
          <w:marRight w:val="0"/>
          <w:marTop w:val="0"/>
          <w:marBottom w:val="0"/>
          <w:divBdr>
            <w:top w:val="none" w:sz="0" w:space="0" w:color="auto"/>
            <w:left w:val="none" w:sz="0" w:space="0" w:color="auto"/>
            <w:bottom w:val="none" w:sz="0" w:space="0" w:color="auto"/>
            <w:right w:val="none" w:sz="0" w:space="0" w:color="auto"/>
          </w:divBdr>
        </w:div>
        <w:div w:id="298924045">
          <w:marLeft w:val="480"/>
          <w:marRight w:val="0"/>
          <w:marTop w:val="0"/>
          <w:marBottom w:val="0"/>
          <w:divBdr>
            <w:top w:val="none" w:sz="0" w:space="0" w:color="auto"/>
            <w:left w:val="none" w:sz="0" w:space="0" w:color="auto"/>
            <w:bottom w:val="none" w:sz="0" w:space="0" w:color="auto"/>
            <w:right w:val="none" w:sz="0" w:space="0" w:color="auto"/>
          </w:divBdr>
        </w:div>
        <w:div w:id="1417819442">
          <w:marLeft w:val="480"/>
          <w:marRight w:val="0"/>
          <w:marTop w:val="0"/>
          <w:marBottom w:val="0"/>
          <w:divBdr>
            <w:top w:val="none" w:sz="0" w:space="0" w:color="auto"/>
            <w:left w:val="none" w:sz="0" w:space="0" w:color="auto"/>
            <w:bottom w:val="none" w:sz="0" w:space="0" w:color="auto"/>
            <w:right w:val="none" w:sz="0" w:space="0" w:color="auto"/>
          </w:divBdr>
        </w:div>
        <w:div w:id="130511502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1DBB69E-97BC-401E-9EB2-8B7EEA51110E}"/>
      </w:docPartPr>
      <w:docPartBody>
        <w:p w:rsidR="00D24166" w:rsidRDefault="00D24166">
          <w:r w:rsidRPr="0059658D">
            <w:rPr>
              <w:rStyle w:val="PlaceholderText"/>
            </w:rPr>
            <w:t>Click or tap here to enter text.</w:t>
          </w:r>
        </w:p>
      </w:docPartBody>
    </w:docPart>
    <w:docPart>
      <w:docPartPr>
        <w:name w:val="5B55147C051644768CB12A6BDD8D779F"/>
        <w:category>
          <w:name w:val="General"/>
          <w:gallery w:val="placeholder"/>
        </w:category>
        <w:types>
          <w:type w:val="bbPlcHdr"/>
        </w:types>
        <w:behaviors>
          <w:behavior w:val="content"/>
        </w:behaviors>
        <w:guid w:val="{EE40A412-5962-448F-97F0-4884478330B2}"/>
      </w:docPartPr>
      <w:docPartBody>
        <w:p w:rsidR="00D24166" w:rsidRDefault="00D24166" w:rsidP="00D24166">
          <w:pPr>
            <w:pStyle w:val="5B55147C051644768CB12A6BDD8D779F"/>
          </w:pPr>
          <w:r w:rsidRPr="001C07A4">
            <w:rPr>
              <w:rStyle w:val="PlaceholderText"/>
            </w:rPr>
            <w:t>Click or tap here to enter text.</w:t>
          </w:r>
        </w:p>
      </w:docPartBody>
    </w:docPart>
    <w:docPart>
      <w:docPartPr>
        <w:name w:val="0C5FD76AB4C84468966C0285806C6351"/>
        <w:category>
          <w:name w:val="General"/>
          <w:gallery w:val="placeholder"/>
        </w:category>
        <w:types>
          <w:type w:val="bbPlcHdr"/>
        </w:types>
        <w:behaviors>
          <w:behavior w:val="content"/>
        </w:behaviors>
        <w:guid w:val="{437E4ADD-1772-4CB1-B72F-15FB9C9204D6}"/>
      </w:docPartPr>
      <w:docPartBody>
        <w:p w:rsidR="00771668" w:rsidRDefault="00771668" w:rsidP="00771668">
          <w:pPr>
            <w:pStyle w:val="0C5FD76AB4C84468966C0285806C6351"/>
          </w:pPr>
          <w:r w:rsidRPr="001C07A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166"/>
    <w:rsid w:val="00365BB0"/>
    <w:rsid w:val="003A7779"/>
    <w:rsid w:val="005D7DDB"/>
    <w:rsid w:val="005E4568"/>
    <w:rsid w:val="00771668"/>
    <w:rsid w:val="007C6467"/>
    <w:rsid w:val="00926A60"/>
    <w:rsid w:val="00A809BE"/>
    <w:rsid w:val="00D241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1668"/>
    <w:rPr>
      <w:color w:val="808080"/>
    </w:rPr>
  </w:style>
  <w:style w:type="paragraph" w:customStyle="1" w:styleId="5B55147C051644768CB12A6BDD8D779F">
    <w:name w:val="5B55147C051644768CB12A6BDD8D779F"/>
    <w:rsid w:val="00D24166"/>
  </w:style>
  <w:style w:type="paragraph" w:customStyle="1" w:styleId="0C5FD76AB4C84468966C0285806C6351">
    <w:name w:val="0C5FD76AB4C84468966C0285806C6351"/>
    <w:rsid w:val="007716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15608E-3FAC-4041-B1B2-E0605EB6ED3A}">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d6a677a6-1421-4a50-800e-c80c1c35e54e&quot;,&quot;properties&quot;:{&quot;noteIndex&quot;:0},&quot;isEdited&quot;:false,&quot;manualOverride&quot;:{&quot;isManuallyOverridden&quot;:false,&quot;citeprocText&quot;:&quot;(Sabatino et al., 2021)&quot;,&quot;manualOverrideText&quot;:&quot;&quot;},&quot;citationTag&quot;:&quot;MENDELEY_CITATION_v3_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&quot;,&quot;citationItems&quot;:[{&quot;id&quot;:&quot;86061895-4cf1-36fe-ad67-6f90ed2f4793&quot;,&quot;itemData&quot;:{&quot;type&quot;:&quot;article-journal&quot;,&quot;id&quot;:&quot;86061895-4cf1-36fe-ad67-6f90ed2f4793&quot;,&quot;title&quot;:&quot;A comparative energy and costs assessment and optimization for direct air capture technologies&quot;,&quot;author&quot;:[{&quot;family&quot;:&quot;Sabatino&quot;,&quot;given&quot;:&quot;Francesco&quot;,&quot;parse-names&quot;:false,&quot;dropping-particle&quot;:&quot;&quot;,&quot;non-dropping-particle&quot;:&quot;&quot;},{&quot;family&quot;:&quot;Grimm&quot;,&quot;given&quot;:&quot;Alexa&quot;,&quot;parse-names&quot;:false,&quot;dropping-particle&quot;:&quot;&quot;,&quot;non-dropping-particle&quot;:&quot;&quot;},{&quot;family&quot;:&quot;Gallucci&quot;,&quot;given&quot;:&quot;Fausto&quot;,&quot;parse-names&quot;:false,&quot;dropping-particle&quot;:&quot;&quot;,&quot;non-dropping-particle&quot;:&quot;&quot;},{&quot;family&quot;:&quot;Sint Annaland&quot;,&quot;given&quot;:&quot;Martin&quot;,&quot;parse-names&quot;:false,&quot;dropping-particle&quot;:&quot;&quot;,&quot;non-dropping-particle&quot;:&quot;van&quot;},{&quot;family&quot;:&quot;Kramer&quot;,&quot;given&quot;:&quot;Gert Jan&quot;,&quot;parse-names&quot;:false,&quot;dropping-particle&quot;:&quot;&quot;,&quot;non-dropping-particle&quot;:&quot;&quot;},{&quot;family&quot;:&quot;Gazzani&quot;,&quot;given&quot;:&quot;Matteo&quot;,&quot;parse-names&quot;:false,&quot;dropping-particle&quot;:&quot;&quot;,&quot;non-dropping-particle&quot;:&quot;&quot;}],&quot;container-title&quot;:&quot;Joule&quot;,&quot;container-title-short&quot;:&quot;Joule&quot;,&quot;accessed&quot;:{&quot;date-parts&quot;:[[2023,2,21]]},&quot;DOI&quot;:&quot;10.1016/J.JOULE.2021.05.023&quot;,&quot;ISSN&quot;:&quot;2542-4351&quot;,&quot;issued&quot;:{&quot;date-parts&quot;:[[2021,8,18]]},&quot;page&quot;:&quot;2047-2076&quot;,&quot;abstract&quot;:&quot;This work provides a comparative technical assessment of three technologies for CO2 removal from air: two aqueous-scrubbing processes and one solid sorbent process. We compute productivity and exergy and energy consumption using process simulations and mathematical optimization. Moreover, we evaluate the cost range and discuss the challenges for large-scale deployment. We show that all technologies can provide high-purity CO2 and that the solid-based process has the potential to offer the best performance, owing to an exergy demand of 1.4–3.7 MJ.kgCO2−1 and a productivity of 3.8–10.6 kgCO2.m−3.h−1. Translating productivity and energy into cost of CO2 capture via a simple model, we show that the capital cost is the main cost driver. All technologies have the potential to operate below 200 $.tonCO2−1 under favorable, yet realistic, energy and reactor costs. The solid-sorbent process achieves this under a broader range of conditions and is less dependent on the installation cost when a high mass transfer is achieved.&quot;,&quot;publisher&quot;:&quot;Cell Press&quot;,&quot;issue&quot;:&quot;8&quot;,&quot;volume&quot;:&quot;5&quot;},&quot;isTemporary&quot;:false}]},{&quot;citationID&quot;:&quot;MENDELEY_CITATION_81847f0e-590b-4e78-9208-903249fbcf9c&quot;,&quot;properties&quot;:{&quot;noteIndex&quot;:0},&quot;isEdited&quot;:false,&quot;manualOverride&quot;:{&quot;isManuallyOverridden&quot;:false,&quot;citeprocText&quot;:&quot;(Faruque Hasan et al., 2022)&quot;,&quot;manualOverrideText&quot;:&quot;&quot;},&quot;citationTag&quot;:&quot;MENDELEY_CITATION_v3_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&quot;,&quot;citationItems&quot;:[{&quot;id&quot;:&quot;7741d7ee-55ef-37fb-8422-9d08fd27e0bf&quot;,&quot;itemData&quot;:{&quot;type&quot;:&quot;article-journal&quot;,&quot;id&quot;:&quot;7741d7ee-55ef-37fb-8422-9d08fd27e0bf&quot;,&quot;title&quot;:&quot;Challenges and opportunities in carbon capture, utilization and storage: A process systems engineering perspective&quot;,&quot;author&quot;:[{&quot;family&quot;:&quot;Faruque Hasan&quot;,&quot;given&quot;:&quot;M M&quot;,&quot;parse-names&quot;:false,&quot;dropping-particle&quot;:&quot;&quot;,&quot;non-dropping-particle&quot;:&quot;&quot;},{&quot;family&quot;:&quot;Zantye&quot;,&quot;given&quot;:&quot;Manali S&quot;,&quot;parse-names&quot;:false,&quot;dropping-particle&quot;:&quot;&quot;,&quot;non-dropping-particle&quot;:&quot;&quot;},{&quot;family&quot;:&quot;Kazi&quot;,&quot;given&quot;:&quot;Monzure-Khoda&quot;,&quot;parse-names&quot;:false,&quot;dropping-particle&quot;:&quot;&quot;,&quot;non-dropping-particle&quot;:&quot;&quot;}],&quot;accessed&quot;:{&quot;date-parts&quot;:[[2023,1,17]]},&quot;DOI&quot;:&quot;10.1016/j.compchemeng.2022.107925&quot;,&quot;URL&quot;:&quot;https://doi.org/10.1016/j.compchemeng.2022.107925&quot;,&quot;issued&quot;:{&quot;date-parts&quot;:[[2022]]},&quot;abstract&quot;:&quot;A R T I C L E I N F O Keywords: Carbon capture CCUS Optimization Process modeling and simulation Process systems engineering CO 2 management A B S T R A C T Carbon capture, utilization, and storage (CCUS) is a promising pathway to decarbonize fossil-based power and industrial sectors and is a bridging technology for a sustainable transition to a net-zero emission energy future. This work provides an overview of process systems engineering (PSE) research challenges, advances, and opportunities for CCUS applications. We review PSE methods, tools, and techniques in process modeling, simulation , optimization, control, material screening, strategic planning, and supply chain network design for CO 2 management. We also attempt to give a PSE perspective on emerging CCUS research interests in molecular and materials systems engineering, multiscale modeling and optimization, systems design and integration under uncertainty, and the application of intelligent systems. The purpose is not to cover all aspects of PSE research for CCUS but rather to foster discussion by presenting some plausible future directions and ideas.&quot;,&quot;container-title-short&quot;:&quot;&quot;},&quot;isTemporary&quot;:false}]},{&quot;citationID&quot;:&quot;MENDELEY_CITATION_b2d66821-ae7e-400c-b30f-400c19a1cb79&quot;,&quot;properties&quot;:{&quot;noteIndex&quot;:0},&quot;isEdited&quot;:false,&quot;manualOverride&quot;:{&quot;isManuallyOverridden&quot;:true,&quot;citeprocText&quot;:&quot;(Duyar et al., 2015)&quot;,&quot;manualOverrideText&quot;:&quot;Duyar et al., 2015&quot;},&quot;citationTag&quot;:&quot;MENDELEY_CITATION_v3_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&quot;,&quot;citationItems&quot;:[{&quot;id&quot;:&quot;52ae419d-7097-36d9-916b-4064dc0b100b&quot;,&quot;itemData&quot;:{&quot;type&quot;:&quot;article-journal&quot;,&quot;id&quot;:&quot;52ae419d-7097-36d9-916b-4064dc0b100b&quot;,&quot;title&quot;:&quot;Dual function materials for CO2 capture and conversion using renewable H2&quot;,&quot;author&quot;:[{&quot;family&quot;:&quot;Duyar&quot;,&quot;given&quot;:&quot;Melis S.&quot;,&quot;parse-names&quot;:false,&quot;dropping-particle&quot;:&quot;&quot;,&quot;non-dropping-particle&quot;:&quot;&quot;},{&quot;family&quot;:&quot;Treviño&quot;,&quot;given&quot;:&quot;Martha A.Arellano&quot;,&quot;parse-names&quot;:false,&quot;dropping-particle&quot;:&quot;&quot;,&quot;non-dropping-particle&quot;:&quot;&quot;},{&quot;family&quot;:&quot;Farrauto&quot;,&quot;given&quot;:&quot;Robert J.&quot;,&quot;parse-names&quot;:false,&quot;dropping-particle&quot;:&quot;&quot;,&quot;non-dropping-particle&quot;:&quot;&quot;}],&quot;container-title&quot;:&quot;Applied Catalysis B: Environmental&quot;,&quot;container-title-short&quot;:&quot;Appl Catal B&quot;,&quot;accessed&quot;:{&quot;date-parts&quot;:[[2023,7,21]]},&quot;DOI&quot;:&quot;10.1016/J.APCATB.2014.12.025&quot;,&quot;ISSN&quot;:&quot;0926-3373&quot;,&quot;issued&quot;:{&quot;date-parts&quot;:[[2015,6,1]]},&quot;page&quot;:&quot;370-376&quot;,&quot;abstract&quot;:&quot;The accumulation of CO2 emissions in the atmosphere due to industrialization is being held responsible for climate change with increasing certainty by the scientific community. In order to prevent its further accumulation in the atmosphere, CO2 must be captured for storage or converted to useful products. Current materials and processes for CO2 capture are energy intensive. We report a feasibility study of dual function materials (DFM), which capture CO2 from an emission source and at the same temperature (320°C) in the same reactor convert it to synthetic natural gas, requiring no additional heat input. The DFM consists of Ru as methanation catalyst and nano dispersed CaO as CO2 adsorbent, both supported on a porous γ-Al2O3 carrier. A spillover process drives CO2 from the sorbent to the Ru sites where methanation occurs using stored H2 from excess renewable power. This approach utilizes flue gas sensible heat and eliminates the current energy intensive and corrosive capture and storage processes without having to transport captured CO2 or add external heat.&quot;,&quot;publisher&quot;:&quot;Elsevier&quot;,&quot;volume&quot;:&quot;168-169&quot;},&quot;isTemporary&quot;:false}]},{&quot;citationID&quot;:&quot;MENDELEY_CITATION_fc3e8aa7-ccfe-4daf-9caa-c457626f1079&quot;,&quot;properties&quot;:{&quot;noteIndex&quot;:0},&quot;isEdited&quot;:false,&quot;manualOverride&quot;:{&quot;isManuallyOverridden&quot;:false,&quot;citeprocText&quot;:&quot;(Bertran et al., 2017)&quot;,&quot;manualOverrideText&quot;:&quot;&quot;},&quot;citationTag&quot;:&quot;MENDELEY_CITATION_v3_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&quot;,&quot;citationItems&quot;:[{&quot;id&quot;:&quot;c1e1934f-fded-3235-8db5-7cbb312e96df&quot;,&quot;itemData&quot;:{&quot;type&quot;:&quot;article-journal&quot;,&quot;id&quot;:&quot;c1e1934f-fded-3235-8db5-7cbb312e96df&quot;,&quot;title&quot;:&quot;A generic methodology for processing route synthesis and design based on superstructure optimization&quot;,&quot;author&quot;:[{&quot;family&quot;:&quot;Bertran&quot;,&quot;given&quot;:&quot;Maria Ona&quot;,&quot;parse-names&quot;:false,&quot;dropping-particle&quot;:&quot;&quot;,&quot;non-dropping-particle&quot;:&quot;&quot;},{&quot;family&quot;:&quot;Frauzem&quot;,&quot;given&quot;:&quot;Rebecca&quot;,&quot;parse-names&quot;:false,&quot;dropping-particle&quot;:&quot;&quot;,&quot;non-dropping-particle&quot;:&quot;&quot;},{&quot;family&quot;:&quot;Sanchez-Arcilla&quot;,&quot;given&quot;:&quot;Ana Sofia&quot;,&quot;parse-names&quot;:false,&quot;dropping-particle&quot;:&quot;&quot;,&quot;non-dropping-particle&quot;:&quot;&quot;},{&quot;family&quot;:&quot;Zhang&quot;,&quot;given&quot;:&quot;Lei&quot;,&quot;parse-names&quot;:false,&quot;dropping-particle&quot;:&quot;&quot;,&quot;non-dropping-particle&quot;:&quot;&quot;},{&quot;family&quot;:&quot;Woodley&quot;,&quot;given&quot;:&quot;John M.&quot;,&quot;parse-names&quot;:false,&quot;dropping-particle&quot;:&quot;&quot;,&quot;non-dropping-particle&quot;:&quot;&quot;},{&quot;family&quot;:&quot;Gani&quot;,&quot;given&quot;:&quot;Rafiqul&quot;,&quot;parse-names&quot;:false,&quot;dropping-particle&quot;:&quot;&quot;,&quot;non-dropping-particle&quot;:&quot;&quot;}],&quot;container-title&quot;:&quot;Computers &amp; Chemical Engineering&quot;,&quot;container-title-short&quot;:&quot;Comput Chem Eng&quot;,&quot;accessed&quot;:{&quot;date-parts&quot;:[[2022,12,4]]},&quot;DOI&quot;:&quot;10.1016/J.COMPCHEMENG.2017.01.030&quot;,&quot;ISSN&quot;:&quot;0098-1354&quot;,&quot;issued&quot;:{&quot;date-parts&quot;:[[2017,11,2]]},&quot;page&quot;:&quot;892-910&quot;,&quot;abstract&quot;:&quot;In this paper, a systematic framework for novel and sustainable synthesis-design of processing routes is presented along with the associated computer-aided methods and tools. In Stage 1, superstructure optimization is used to determine the optimal processing route(s). In Stage 2, the design issues are resolved and targets for improvement are identified through the use of integrated tools. In Stage 3, new alternatives are generated using the selected route and the previously identified targets. In addition to the various computer-aided tools, two special tools are presented: (1) a database employing a specially developed knowledge representation system, and (2) Super-O, a software interface that guides users through the formulation and solution of synthesis problems. Super-O transfers data between the different tools, including a library of generic models, representing a wide range of processing options. Application of the synthesis and design stages is highlighted through two case studies (biorefinery and carbon capture-utilization).&quot;,&quot;publisher&quot;:&quot;Pergamon&quot;,&quot;volume&quot;:&quot;106&quot;},&quot;isTemporary&quot;:false}]},{&quot;citationID&quot;:&quot;MENDELEY_CITATION_61fc5295-eec2-4c5a-98ba-da6e28e3c0da&quot;,&quot;properties&quot;:{&quot;noteIndex&quot;:0},&quot;isEdited&quot;:false,&quot;manualOverride&quot;:{&quot;isManuallyOverridden&quot;:false,&quot;citeprocText&quot;:&quot;(Chen &amp;#38; Grossmann, 2017)&quot;,&quot;manualOverrideText&quot;:&quot;&quot;},&quot;citationTag&quot;:&quot;MENDELEY_CITATION_v3_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&quot;,&quot;citationItems&quot;:[{&quot;id&quot;:&quot;1c9915ff-f650-3054-b7e0-a2357360bb10&quot;,&quot;itemData&quot;:{&quot;type&quot;:&quot;article-journal&quot;,&quot;id&quot;:&quot;1c9915ff-f650-3054-b7e0-a2357360bb10&quot;,&quot;title&quot;:&quot;Recent Developments and Challenges in Optimization-Based Process Synthesis&quot;,&quot;author&quot;:[{&quot;family&quot;:&quot;Chen&quot;,&quot;given&quot;:&quot;Qi&quot;,&quot;parse-names&quot;:false,&quot;dropping-particle&quot;:&quot;&quot;,&quot;non-dropping-particle&quot;:&quot;&quot;},{&quot;family&quot;:&quot;Grossmann&quot;,&quot;given&quot;:&quot;I. E.&quot;,&quot;parse-names&quot;:false,&quot;dropping-particle&quot;:&quot;&quot;,&quot;non-dropping-particle&quot;:&quot;&quot;}],&quot;container-title&quot;:&quot;https://doi.org/10.1146/annurev-chembioeng-080615-033546&quot;,&quot;accessed&quot;:{&quot;date-parts&quot;:[[2022,12,22]]},&quot;DOI&quot;:&quot;10.1146/ANNUREV-CHEMBIOENG-080615-033546&quot;,&quot;ISSN&quot;:&quot;19475438&quot;,&quot;PMID&quot;:&quot;28375774&quot;,&quot;URL&quot;:&quot;https://www.annualreviews.org/doi/abs/10.1146/annurev-chembioeng-080615-033546&quot;,&quot;issued&quot;:{&quot;date-parts&quot;:[[2017,6,7]]},&quot;page&quot;:&quot;249-283&quot;,&quot;abstract&quot;:&quot;This article first reviews recent developments in process synthesis and discusses some of the major challenges in the theory and practice in this area. Next, the article reviews key concepts in opt...&quot;,&quot;publisher&quot;:&quot; Annual Reviews &quot;,&quot;volume&quot;:&quot;8&quot;,&quot;container-title-short&quot;:&quot;&quot;},&quot;isTemporary&quot;:false}]},{&quot;citationID&quot;:&quot;MENDELEY_CITATION_1ef18a8f-9a4b-4726-8bfa-1cf52bbfb9d6&quot;,&quot;properties&quot;:{&quot;noteIndex&quot;:0},&quot;isEdited&quot;:false,&quot;manualOverride&quot;:{&quot;isManuallyOverridden&quot;:true,&quot;citeprocText&quot;:&quot;(Uebbing et al., 2020)&quot;,&quot;manualOverrideText&quot;:&quot;Uebbing et al., 2020&quot;},&quot;citationTag&quot;:&quot;MENDELEY_CITATION_v3_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&quot;,&quot;citationItems&quot;:[{&quot;id&quot;:&quot;8caea7a9-7fde-3899-9692-ea68af6c87c3&quot;,&quot;itemData&quot;:{&quot;type&quot;:&quot;article-journal&quot;,&quot;id&quot;:&quot;8caea7a9-7fde-3899-9692-ea68af6c87c3&quot;,&quot;title&quot;:&quot;CO2 methanation process synthesis by superstructure optimization&quot;,&quot;author&quot;:[{&quot;family&quot;:&quot;Uebbing&quot;,&quot;given&quot;:&quot;Jennifer&quot;,&quot;parse-names&quot;:false,&quot;dropping-particle&quot;:&quot;&quot;,&quot;non-dropping-particle&quot;:&quot;&quot;},{&quot;family&quot;:&quot;Rihko-Struckmann&quot;,&quot;given&quot;:&quot;Liisa&quot;,&quot;parse-names&quot;:false,&quot;dropping-particle&quot;:&quot;&quot;,&quot;non-dropping-particle&quot;:&quot;&quot;},{&quot;family&quot;:&quot;Sager&quot;,&quot;given&quot;:&quot;Sebastian&quot;,&quot;parse-names&quot;:false,&quot;dropping-particle&quot;:&quot;&quot;,&quot;non-dropping-particle&quot;:&quot;&quot;},{&quot;family&quot;:&quot;Sundmacher&quot;,&quot;given&quot;:&quot;Kai&quot;,&quot;parse-names&quot;:false,&quot;dropping-particle&quot;:&quot;&quot;,&quot;non-dropping-particle&quot;:&quot;&quot;}],&quot;container-title&quot;:&quot;Journal of CO2 Utilization&quot;,&quot;DOI&quot;:&quot;https://doi.org/10.1016/j.jcou.2020.101228&quot;,&quot;ISSN&quot;:&quot;2212-9820&quot;,&quot;URL&quot;:&quot;https://www.sciencedirect.com/science/article/pii/S221298202030278X&quot;,&quot;issued&quot;:{&quot;date-parts&quot;:[[2020]]},&quot;page&quot;:&quot;101228&quot;,&quot;abstract&quot;:&quot;A superstructure optimization approach to power-to-methane process design that includes heat integration is presented. Carbon dioxide from biogas plants is considered as carbon source. The superstructure includes 13 alternative process technologies in seven layers for power-to-methane processes at their current stage of development. For different scenarios, the most efficient process in terms of product chemical exergy and the most cost-effective process in terms of capital and total annual costs are identified. We consider indirect heat integration via utilities, which for all scenarios, is determined to be a main contributor to both energy efficiency and process cost. The product methane must meet the requirements for feed into the gas grid. The requirements for the gas grid have a direct influence on the most efficient process route. The number of necessary process units is reduced, if hydrogen can be fed to the gas grid. Furthermore, extend of the heat exchanger network determines the trade-off between efficiency and costs, rather than choice of unit operations.&quot;,&quot;volume&quot;:&quot;40&quot;,&quot;container-title-short&quot;:&quot;&quot;},&quot;isTemporary&quot;:false}]},{&quot;citationID&quot;:&quot;MENDELEY_CITATION_c1a71fa4-3923-4af0-985d-9cc04961cc51&quot;,&quot;properties&quot;:{&quot;noteIndex&quot;:0},&quot;isEdited&quot;:false,&quot;manualOverride&quot;:{&quot;isManuallyOverridden&quot;:true,&quot;citeprocText&quot;:&quot;(Kenkel et al., 2021)&quot;,&quot;manualOverrideText&quot;:&quot;Kenkel et al., 2021&quot;},&quot;citationTag&quot;:&quot;MENDELEY_CITATION_v3_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&quot;,&quot;citationItems&quot;:[{&quot;id&quot;:&quot;6e843451-a8a5-3cf3-b71d-188a9abd697f&quot;,&quot;itemData&quot;:{&quot;type&quot;:&quot;article-journal&quot;,&quot;id&quot;:&quot;6e843451-a8a5-3cf3-b71d-188a9abd697f&quot;,&quot;title&quot;:&quot;A generic superstructure modeling and optimization framework on the example of bi-criteria Power-to-Methanol process design&quot;,&quot;author&quot;:[{&quot;family&quot;:&quot;Kenkel&quot;,&quot;given&quot;:&quot;Philipp&quot;,&quot;parse-names&quot;:false,&quot;dropping-particle&quot;:&quot;&quot;,&quot;non-dropping-particle&quot;:&quot;&quot;},{&quot;family&quot;:&quot;Wassermann&quot;,&quot;given&quot;:&quot;Timo&quot;,&quot;parse-names&quot;:false,&quot;dropping-particle&quot;:&quot;&quot;,&quot;non-dropping-particle&quot;:&quot;&quot;},{&quot;family&quot;:&quot;Rose&quot;,&quot;given&quot;:&quot;Celina&quot;,&quot;parse-names&quot;:false,&quot;dropping-particle&quot;:&quot;&quot;,&quot;non-dropping-particle&quot;:&quot;&quot;},{&quot;family&quot;:&quot;Zondervan&quot;,&quot;given&quot;:&quot;Edwin&quot;,&quot;parse-names&quot;:false,&quot;dropping-particle&quot;:&quot;&quot;,&quot;non-dropping-particle&quot;:&quot;&quot;}],&quot;container-title&quot;:&quot;Computers &amp; Chemical Engineering&quot;,&quot;container-title-short&quot;:&quot;Comput Chem Eng&quot;,&quot;DOI&quot;:&quot;https://doi.org/10.1016/j.compchemeng.2021.107327&quot;,&quot;ISSN&quot;:&quot;0098-1354&quot;,&quot;URL&quot;:&quot;https://www.sciencedirect.com/science/article/pii/S0098135421001058&quot;,&quot;issued&quot;:{&quot;date-parts&quot;:[[2021]]},&quot;page&quot;:&quot;107327&quot;,&quot;abstract&quot;:&quot;This work presents a fully open-source superstructure optimization model for bi-criteria process design optimization. This model is implemented in the Open sUperstrucTure moDeling and OptimizatiOn fRamework (OUTDOOR). It combines mass, energy and cost balances with a more sophisticated heat integration concept with low computational effort and acceptable accuracy. The model is applied to a Power-to-Methanol (PtM) process design case study. A cost optimal methanol plant is identified at net production costs (NPC) of 892 €/tMeOH and net production emissions (NPE) of -1.937 tCO2-eq./tMeOH. It utilizes CO2 captured from refinery flue gas and hydrogen supply via. ambient pressure alkaline electrolysis. A plant configuration, designed for minimum CO2 emissions yields costs of 979 €/tMeOH with emissions of -2.191 tCO2-eq./tMeOH, using CO2 from ambient air and refinery and cement factory flue gases. A sensitivity analysis on electricity prices forecasts cost competitive methanol at large production capacities and low electricity prices of 2 ct/kWh.&quot;,&quot;volume&quot;:&quot;150&quot;},&quot;isTemporary&quot;:false}]},{&quot;citationID&quot;:&quot;MENDELEY_CITATION_173a086d-0197-451e-a476-7e0a04ec4c53&quot;,&quot;properties&quot;:{&quot;noteIndex&quot;:0},&quot;isEdited&quot;:false,&quot;manualOverride&quot;:{&quot;isManuallyOverridden&quot;:true,&quot;citeprocText&quot;:&quot;(Towler &amp;#38; Sinnott, 2021)&quot;,&quot;manualOverrideText&quot;:&quot;Towler &amp; Sinnott, 2021&quot;},&quot;citationTag&quot;:&quot;MENDELEY_CITATION_v3_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&quot;,&quot;citationItems&quot;:[{&quot;id&quot;:&quot;ef5fb96f-b2ef-32b2-a2ca-9b89beb64b6a&quot;,&quot;itemData&quot;:{&quot;type&quot;:&quot;article-journal&quot;,&quot;id&quot;:&quot;ef5fb96f-b2ef-32b2-a2ca-9b89beb64b6a&quot;,&quot;title&quot;:&quot;Chemical Engineering Design: Principles, Practice and Economics of Plant and Process Design&quot;,&quot;author&quot;:[{&quot;family&quot;:&quot;Towler&quot;,&quot;given&quot;:&quot;Gavin&quot;,&quot;parse-names&quot;:false,&quot;dropping-particle&quot;:&quot;&quot;,&quot;non-dropping-particle&quot;:&quot;&quot;},{&quot;family&quot;:&quot;Sinnott&quot;,&quot;given&quot;:&quot;Ray&quot;,&quot;parse-names&quot;:false,&quot;dropping-particle&quot;:&quot;&quot;,&quot;non-dropping-particle&quot;:&quot;&quot;}],&quot;container-title&quot;:&quot;Chemical Engineering Design: Principles, Practice and Economics of Plant and Process Design&quot;,&quot;accessed&quot;:{&quot;date-parts&quot;:[[2023,2,1]]},&quot;DOI&quot;:&quot;10.1016/B978-0-12-821179-3.01001-3&quot;,&quot;ISBN&quot;:&quot;9780128211793&quot;,&quot;issued&quot;:{&quot;date-parts&quot;:[[2021,1,1]]},&quot;page&quot;:&quot;1-1027&quot;,&quot;abstract&quot;:&quot;Chemical Engineering Design: Principles, Practice and Economics of Plant and Process Design is one of the best-known and most widely adopted texts available for students of chemical engineering. The text deals with the application of chemical engineering principles to the design of chemical processes and equipment. The third edition retains its hallmark features of scope, clarity and practical emphasis, while providing the latest US codes and standards, including API, ASME and ISA design codes and ANSI standards, as well as coverage of the latest aspects of process design, operations, safety, loss prevention, equipment selection, and more. The text is designed for chemical and biochemical engineering students (senior undergraduate year, plus appropriate for capstone design courses where taken), and professionals in industry (chemical process, biochemical, pharmaceutical, petrochemical sectors).&quot;,&quot;publisher&quot;:&quot;Elsevier&quot;,&quot;container-title-short&quot;:&quot;&quot;},&quot;isTemporary&quot;:false}]},{&quot;citationID&quot;:&quot;MENDELEY_CITATION_4f493291-adaa-4b17-a8b2-a7042e13d2ad&quot;,&quot;properties&quot;:{&quot;noteIndex&quot;:0},&quot;isEdited&quot;:false,&quot;manualOverride&quot;:{&quot;isManuallyOverridden&quot;:true,&quot;citeprocText&quot;:&quot;(Sabatino et al., 2021)&quot;,&quot;manualOverrideText&quot;:&quot;Sabatino et al., 2021&quot;},&quot;citationTag&quot;:&quot;MENDELEY_CITATION_v3_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&quot;,&quot;citationItems&quot;:[{&quot;id&quot;:&quot;86061895-4cf1-36fe-ad67-6f90ed2f4793&quot;,&quot;itemData&quot;:{&quot;type&quot;:&quot;article-journal&quot;,&quot;id&quot;:&quot;86061895-4cf1-36fe-ad67-6f90ed2f4793&quot;,&quot;title&quot;:&quot;A comparative energy and costs assessment and optimization for direct air capture technologies&quot;,&quot;author&quot;:[{&quot;family&quot;:&quot;Sabatino&quot;,&quot;given&quot;:&quot;Francesco&quot;,&quot;parse-names&quot;:false,&quot;dropping-particle&quot;:&quot;&quot;,&quot;non-dropping-particle&quot;:&quot;&quot;},{&quot;family&quot;:&quot;Grimm&quot;,&quot;given&quot;:&quot;Alexa&quot;,&quot;parse-names&quot;:false,&quot;dropping-particle&quot;:&quot;&quot;,&quot;non-dropping-particle&quot;:&quot;&quot;},{&quot;family&quot;:&quot;Gallucci&quot;,&quot;given&quot;:&quot;Fausto&quot;,&quot;parse-names&quot;:false,&quot;dropping-particle&quot;:&quot;&quot;,&quot;non-dropping-particle&quot;:&quot;&quot;},{&quot;family&quot;:&quot;Sint Annaland&quot;,&quot;given&quot;:&quot;Martin&quot;,&quot;parse-names&quot;:false,&quot;dropping-particle&quot;:&quot;&quot;,&quot;non-dropping-particle&quot;:&quot;van&quot;},{&quot;family&quot;:&quot;Kramer&quot;,&quot;given&quot;:&quot;Gert Jan&quot;,&quot;parse-names&quot;:false,&quot;dropping-particle&quot;:&quot;&quot;,&quot;non-dropping-particle&quot;:&quot;&quot;},{&quot;family&quot;:&quot;Gazzani&quot;,&quot;given&quot;:&quot;Matteo&quot;,&quot;parse-names&quot;:false,&quot;dropping-particle&quot;:&quot;&quot;,&quot;non-dropping-particle&quot;:&quot;&quot;}],&quot;container-title&quot;:&quot;Joule&quot;,&quot;container-title-short&quot;:&quot;Joule&quot;,&quot;accessed&quot;:{&quot;date-parts&quot;:[[2023,2,21]]},&quot;DOI&quot;:&quot;10.1016/J.JOULE.2021.05.023&quot;,&quot;ISSN&quot;:&quot;2542-4351&quot;,&quot;issued&quot;:{&quot;date-parts&quot;:[[2021,8,18]]},&quot;page&quot;:&quot;2047-2076&quot;,&quot;abstract&quot;:&quot;This work provides a comparative technical assessment of three technologies for CO2 removal from air: two aqueous-scrubbing processes and one solid sorbent process. We compute productivity and exergy and energy consumption using process simulations and mathematical optimization. Moreover, we evaluate the cost range and discuss the challenges for large-scale deployment. We show that all technologies can provide high-purity CO2 and that the solid-based process has the potential to offer the best performance, owing to an exergy demand of 1.4–3.7 MJ.kgCO2−1 and a productivity of 3.8–10.6 kgCO2.m−3.h−1. Translating productivity and energy into cost of CO2 capture via a simple model, we show that the capital cost is the main cost driver. All technologies have the potential to operate below 200 $.tonCO2−1 under favorable, yet realistic, energy and reactor costs. The solid-sorbent process achieves this under a broader range of conditions and is less dependent on the installation cost when a high mass transfer is achieved.&quot;,&quot;publisher&quot;:&quot;Cell Press&quot;,&quot;issue&quot;:&quot;8&quot;,&quot;volume&quot;:&quot;5&quot;},&quot;isTemporary&quot;:false}]},{&quot;citationID&quot;:&quot;MENDELEY_CITATION_d7b56eb1-44d5-4961-84a4-c543c7909436&quot;,&quot;properties&quot;:{&quot;noteIndex&quot;:0},&quot;isEdited&quot;:false,&quot;manualOverride&quot;:{&quot;isManuallyOverridden&quot;:false,&quot;citeprocText&quot;:&quot;(Sinha et al., 2017)&quot;,&quot;manualOverrideText&quot;:&quot;&quot;},&quot;citationTag&quot;:&quot;MENDELEY_CITATION_v3_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&quot;,&quot;citationItems&quot;:[{&quot;id&quot;:&quot;980f4757-2e4c-3527-8e28-cd4414aa708c&quot;,&quot;itemData&quot;:{&quot;type&quot;:&quot;article-journal&quot;,&quot;id&quot;:&quot;980f4757-2e4c-3527-8e28-cd4414aa708c&quot;,&quot;title&quot;:&quot;Systems Design and Economic Analysis of Direct Air Capture of CO2 through Temperature Vacuum Swing Adsorption Using MIL-101(Cr)-PEI-800 and mmen-Mg2(dobpdc) MOF Adsorbents&quot;,&quot;author&quot;:[{&quot;family&quot;:&quot;Sinha&quot;,&quot;given&quot;:&quot;Anshuman&quot;,&quot;parse-names&quot;:false,&quot;dropping-particle&quot;:&quot;&quot;,&quot;non-dropping-particle&quot;:&quot;&quot;},{&quot;family&quot;:&quot;Darunte&quot;,&quot;given&quot;:&quot;Lalit A&quot;,&quot;parse-names&quot;:false,&quot;dropping-particle&quot;:&quot;&quot;,&quot;non-dropping-particle&quot;:&quot;&quot;},{&quot;family&quot;:&quot;Jones&quot;,&quot;given&quot;:&quot;Christopher W&quot;,&quot;parse-names&quot;:false,&quot;dropping-particle&quot;:&quot;&quot;,&quot;non-dropping-particle&quot;:&quot;&quot;},{&quot;family&quot;:&quot;Realff&quot;,&quot;given&quot;:&quot;Matthew J&quot;,&quot;parse-names&quot;:false,&quot;dropping-particle&quot;:&quot;&quot;,&quot;non-dropping-particle&quot;:&quot;&quot;},{&quot;family&quot;:&quot;Kawajiri&quot;,&quot;given&quot;:&quot;Yoshiaki&quot;,&quot;parse-names&quot;:false,&quot;dropping-particle&quot;:&quot;&quot;,&quot;non-dropping-particle&quot;:&quot;&quot;}],&quot;container-title&quot;:&quot;Industrial &amp; Engineering Chemistry Research&quot;,&quot;container-title-short&quot;:&quot;Ind Eng Chem Res&quot;,&quot;DOI&quot;:&quot;10.1021/acs.iecr.6b03887&quot;,&quot;ISSN&quot;:&quot;0888-5885&quot;,&quot;URL&quot;:&quot;https://doi.org/10.1021/acs.iecr.6b03887&quot;,&quot;issued&quot;:{&quot;date-parts&quot;:[[2017,1,25]]},&quot;page&quot;:&quot;750-764&quot;,&quot;publisher&quot;:&quot;American Chemical Society&quot;,&quot;issue&quot;:&quot;3&quot;,&quot;volume&quot;:&quot;56&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Chapter.dotx</Template>
  <TotalTime>0</TotalTime>
  <Pages>6</Pages>
  <Words>2593</Words>
  <Characters>14781</Characters>
  <Application>Microsoft Office Word</Application>
  <DocSecurity>0</DocSecurity>
  <Lines>123</Lines>
  <Paragraphs>34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Dolat, Meshkat (PG/R - Chemistry &amp; Chem Eng)</cp:lastModifiedBy>
  <cp:revision>2</cp:revision>
  <cp:lastPrinted>2023-11-24T14:44:00Z</cp:lastPrinted>
  <dcterms:created xsi:type="dcterms:W3CDTF">2023-11-24T17:50:00Z</dcterms:created>
  <dcterms:modified xsi:type="dcterms:W3CDTF">2023-11-24T17:50:00Z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