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171" w14:textId="3E201BD4" w:rsidR="000A3FDA" w:rsidRPr="00277CDB" w:rsidRDefault="000A3FDA" w:rsidP="000A3FDA">
      <w:pPr>
        <w:pStyle w:val="Els-Title"/>
        <w:jc w:val="both"/>
        <w:rPr>
          <w:lang w:val="en-GB"/>
        </w:rPr>
      </w:pPr>
      <w:r>
        <w:rPr>
          <w:lang w:val="en-GB"/>
        </w:rPr>
        <w:t xml:space="preserve">Alternative pathways </w:t>
      </w:r>
      <w:r w:rsidR="293BEB3A" w:rsidRPr="73A51518">
        <w:rPr>
          <w:lang w:val="en-GB"/>
        </w:rPr>
        <w:t>to</w:t>
      </w:r>
      <w:r>
        <w:rPr>
          <w:lang w:val="en-GB"/>
        </w:rPr>
        <w:t xml:space="preserve"> sustainable aviation fuel from CO</w:t>
      </w:r>
      <w:r w:rsidRPr="00655BA5">
        <w:rPr>
          <w:vertAlign w:val="subscript"/>
          <w:lang w:val="en-GB"/>
        </w:rPr>
        <w:t>2</w:t>
      </w:r>
      <w:r>
        <w:rPr>
          <w:lang w:val="en-GB"/>
        </w:rPr>
        <w:t xml:space="preserve"> and H</w:t>
      </w:r>
      <w:r w:rsidRPr="00655BA5">
        <w:rPr>
          <w:vertAlign w:val="subscript"/>
          <w:lang w:val="en-GB"/>
        </w:rPr>
        <w:t>2</w:t>
      </w:r>
      <w:r>
        <w:rPr>
          <w:lang w:val="en-GB"/>
        </w:rPr>
        <w:t>: an enviro-economic assessment</w:t>
      </w:r>
    </w:p>
    <w:p w14:paraId="6A6B5C52" w14:textId="1D5A47F6" w:rsidR="0035213F" w:rsidRPr="00277CDB" w:rsidRDefault="0035213F" w:rsidP="0035213F">
      <w:pPr>
        <w:pStyle w:val="Els-Author"/>
        <w:rPr>
          <w:vertAlign w:val="superscript"/>
        </w:rPr>
      </w:pPr>
      <w:r w:rsidRPr="00277CDB">
        <w:t>Andrea Bernardi</w:t>
      </w:r>
      <w:r>
        <w:rPr>
          <w:vertAlign w:val="superscript"/>
        </w:rPr>
        <w:t>a</w:t>
      </w:r>
      <w:r w:rsidRPr="00277CDB">
        <w:rPr>
          <w:vertAlign w:val="superscript"/>
        </w:rPr>
        <w:t>,</w:t>
      </w:r>
      <w:r w:rsidR="002815F4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277CDB">
        <w:t xml:space="preserve">, </w:t>
      </w:r>
      <w:r w:rsidR="002815F4">
        <w:t>David Danaci</w:t>
      </w:r>
      <w:r w:rsidR="002815F4">
        <w:rPr>
          <w:vertAlign w:val="superscript"/>
        </w:rPr>
        <w:t>a</w:t>
      </w:r>
      <w:r w:rsidR="001F33F3" w:rsidRPr="43D14DA6">
        <w:rPr>
          <w:vertAlign w:val="superscript"/>
        </w:rPr>
        <w:t>,b</w:t>
      </w:r>
      <w:r>
        <w:t>,</w:t>
      </w:r>
      <w:r w:rsidRPr="00277CDB">
        <w:t xml:space="preserve"> </w:t>
      </w:r>
      <w:r>
        <w:t>Andrew Symes</w:t>
      </w:r>
      <w:r w:rsidR="0E7FC787" w:rsidRPr="474C1CB5">
        <w:rPr>
          <w:vertAlign w:val="superscript"/>
        </w:rPr>
        <w:t>c</w:t>
      </w:r>
      <w:r>
        <w:t xml:space="preserve">, </w:t>
      </w:r>
      <w:r w:rsidRPr="00277CDB">
        <w:t>Benoit Chachuat</w:t>
      </w:r>
      <w:r>
        <w:rPr>
          <w:vertAlign w:val="superscript"/>
        </w:rPr>
        <w:t>a</w:t>
      </w:r>
    </w:p>
    <w:p w14:paraId="6E430D4B" w14:textId="7663DC2E" w:rsidR="00CA0B1D" w:rsidRDefault="00CA0B1D" w:rsidP="00CA0B1D">
      <w:pPr>
        <w:pStyle w:val="Els-Affiliation"/>
        <w:spacing w:after="40"/>
      </w:pPr>
      <w:r w:rsidRPr="7694C535">
        <w:rPr>
          <w:vertAlign w:val="superscript"/>
        </w:rPr>
        <w:t>a</w:t>
      </w:r>
      <w:r>
        <w:t>The Sargent Centre for Process Systems Engineering, Imperial College London,</w:t>
      </w:r>
      <w:r w:rsidR="667F80E4">
        <w:t>UK</w:t>
      </w:r>
    </w:p>
    <w:p w14:paraId="5E9C98CB" w14:textId="14095F94" w:rsidR="1A435977" w:rsidRDefault="1A435977" w:rsidP="008516E5">
      <w:pPr>
        <w:pStyle w:val="Els-Affiliation"/>
        <w:spacing w:after="40"/>
        <w:ind w:right="-2"/>
        <w:jc w:val="both"/>
      </w:pPr>
      <w:r w:rsidRPr="65F825FC">
        <w:rPr>
          <w:vertAlign w:val="superscript"/>
        </w:rPr>
        <w:t>b</w:t>
      </w:r>
      <w:r>
        <w:t>I-X Centre for AI In Science, Imperial College London,</w:t>
      </w:r>
      <w:r w:rsidR="008809E5">
        <w:t xml:space="preserve"> </w:t>
      </w:r>
      <w:r>
        <w:t>London,</w:t>
      </w:r>
      <w:r w:rsidRPr="008516E5">
        <w:rPr>
          <w:sz w:val="6"/>
          <w:szCs w:val="6"/>
        </w:rPr>
        <w:t xml:space="preserve"> </w:t>
      </w:r>
      <w:r>
        <w:t>UK</w:t>
      </w:r>
    </w:p>
    <w:p w14:paraId="4289F06D" w14:textId="1C7758EF" w:rsidR="00CA0B1D" w:rsidRDefault="1A435977" w:rsidP="7694C535">
      <w:pPr>
        <w:pStyle w:val="Els-Affiliation"/>
        <w:spacing w:after="40"/>
      </w:pPr>
      <w:r w:rsidRPr="43D14DA6">
        <w:rPr>
          <w:vertAlign w:val="superscript"/>
        </w:rPr>
        <w:t>c</w:t>
      </w:r>
      <w:r w:rsidR="00CA0B1D">
        <w:t>OXCCU T</w:t>
      </w:r>
      <w:r w:rsidR="768DFFC1">
        <w:t>ech</w:t>
      </w:r>
      <w:r w:rsidR="00CA0B1D">
        <w:t xml:space="preserve"> L</w:t>
      </w:r>
      <w:r w:rsidR="201537C7">
        <w:t>td</w:t>
      </w:r>
      <w:r w:rsidR="00CA0B1D">
        <w:t xml:space="preserve">, Oxford, </w:t>
      </w:r>
      <w:r w:rsidR="3203BF4D">
        <w:t>UK</w:t>
      </w:r>
    </w:p>
    <w:p w14:paraId="37E7B422" w14:textId="77777777" w:rsidR="00CA0B1D" w:rsidRPr="00277CDB" w:rsidRDefault="00CA0B1D" w:rsidP="00CA0B1D">
      <w:pPr>
        <w:pStyle w:val="Els-Affiliation"/>
        <w:spacing w:after="120"/>
      </w:pPr>
      <w:r w:rsidRPr="00277CDB">
        <w:t>*</w:t>
      </w:r>
      <w:r>
        <w:t>a.bernardi13</w:t>
      </w:r>
      <w:r w:rsidRPr="00277CDB">
        <w:t>@imperial.ac.uk</w:t>
      </w:r>
    </w:p>
    <w:p w14:paraId="4E9836B6" w14:textId="29ED8600" w:rsidR="00DD3D9E" w:rsidRDefault="00DD3D9E">
      <w:pPr>
        <w:pStyle w:val="Els-Abstract"/>
      </w:pPr>
      <w:r>
        <w:t>Abstract</w:t>
      </w:r>
    </w:p>
    <w:p w14:paraId="4540026F" w14:textId="1870FC87" w:rsidR="00DD3D9E" w:rsidRPr="002B0158" w:rsidRDefault="1CBD46B3">
      <w:pPr>
        <w:pStyle w:val="Els-body-text"/>
        <w:rPr>
          <w:lang w:val="en-GB"/>
        </w:rPr>
      </w:pPr>
      <w:r w:rsidRPr="0F219487">
        <w:rPr>
          <w:lang w:val="en-GB"/>
        </w:rPr>
        <w:t>With a</w:t>
      </w:r>
      <w:r w:rsidR="34260E02" w:rsidRPr="0F219487">
        <w:rPr>
          <w:lang w:val="en-GB"/>
        </w:rPr>
        <w:t xml:space="preserve">ir transportation </w:t>
      </w:r>
      <w:r w:rsidR="1B925DFB" w:rsidRPr="0F219487">
        <w:rPr>
          <w:lang w:val="en-GB"/>
        </w:rPr>
        <w:t>responsible for 2% of the total GHG emissions and 10% of the fuel consumption worldwide</w:t>
      </w:r>
      <w:r w:rsidR="4C80AB98" w:rsidRPr="0F219487">
        <w:rPr>
          <w:lang w:val="en-GB"/>
        </w:rPr>
        <w:t>,</w:t>
      </w:r>
      <w:r w:rsidR="1B925DFB" w:rsidRPr="0F219487">
        <w:rPr>
          <w:lang w:val="en-GB"/>
        </w:rPr>
        <w:t xml:space="preserve"> sustainable aviation fuel (SAF) is considered a key </w:t>
      </w:r>
      <w:r w:rsidR="34260E02" w:rsidRPr="0F219487">
        <w:rPr>
          <w:lang w:val="en-GB"/>
        </w:rPr>
        <w:t xml:space="preserve">enabler to reach </w:t>
      </w:r>
      <w:r w:rsidR="1B925DFB" w:rsidRPr="0F219487">
        <w:rPr>
          <w:lang w:val="en-GB"/>
        </w:rPr>
        <w:t>net-zero aviation</w:t>
      </w:r>
      <w:r w:rsidR="34260E02" w:rsidRPr="0F219487">
        <w:rPr>
          <w:lang w:val="en-GB"/>
        </w:rPr>
        <w:t xml:space="preserve"> by 2050</w:t>
      </w:r>
      <w:r w:rsidR="1B925DFB" w:rsidRPr="0F219487">
        <w:rPr>
          <w:lang w:val="en-GB"/>
        </w:rPr>
        <w:t xml:space="preserve">. </w:t>
      </w:r>
      <w:r w:rsidR="1B925DFB">
        <w:t xml:space="preserve">In this work, we carry out an enviro-economic comparison </w:t>
      </w:r>
      <w:r w:rsidR="5DD95DA9">
        <w:t>between</w:t>
      </w:r>
      <w:r w:rsidR="1B925DFB">
        <w:t xml:space="preserve"> a one-step Fischer-Tropsch process (1sFT)</w:t>
      </w:r>
      <w:r w:rsidR="23075955">
        <w:t xml:space="preserve"> </w:t>
      </w:r>
      <w:r w:rsidR="61968B12">
        <w:t>and</w:t>
      </w:r>
      <w:r w:rsidR="23075955">
        <w:t xml:space="preserve"> a methanol-to-jet </w:t>
      </w:r>
      <w:r w:rsidR="7E3FDBC5">
        <w:t xml:space="preserve">process </w:t>
      </w:r>
      <w:r w:rsidR="23075955">
        <w:t>(MTJ).</w:t>
      </w:r>
      <w:r w:rsidR="1B925DFB">
        <w:t xml:space="preserve"> </w:t>
      </w:r>
      <w:r w:rsidR="7DE776C5">
        <w:t xml:space="preserve">1sFT is </w:t>
      </w:r>
      <w:r w:rsidR="1B925DFB">
        <w:t xml:space="preserve">based on a </w:t>
      </w:r>
      <w:r w:rsidR="1B925DFB" w:rsidRPr="0F219487">
        <w:rPr>
          <w:lang w:val="en-GB"/>
        </w:rPr>
        <w:t>novel Mn-Fe-K catalyst</w:t>
      </w:r>
      <w:r w:rsidR="44CA3CF8" w:rsidRPr="0F219487">
        <w:rPr>
          <w:lang w:val="en-GB"/>
        </w:rPr>
        <w:t xml:space="preserve"> promoting direct conversion of</w:t>
      </w:r>
      <w:r w:rsidR="1B925DFB" w:rsidRPr="0F219487">
        <w:rPr>
          <w:lang w:val="en-GB"/>
        </w:rPr>
        <w:t xml:space="preserve"> CO</w:t>
      </w:r>
      <w:r w:rsidR="1B925DFB" w:rsidRPr="0F219487">
        <w:rPr>
          <w:vertAlign w:val="subscript"/>
          <w:lang w:val="en-GB"/>
        </w:rPr>
        <w:t>2</w:t>
      </w:r>
      <w:r w:rsidR="1B925DFB">
        <w:t xml:space="preserve"> and H</w:t>
      </w:r>
      <w:r w:rsidR="1B925DFB" w:rsidRPr="0F219487">
        <w:rPr>
          <w:vertAlign w:val="subscript"/>
        </w:rPr>
        <w:t>2</w:t>
      </w:r>
      <w:r w:rsidR="1B925DFB">
        <w:t xml:space="preserve"> to liquid hydrocarbons</w:t>
      </w:r>
      <w:r w:rsidR="08D88FB1">
        <w:t>.</w:t>
      </w:r>
      <w:r w:rsidR="1B925DFB">
        <w:t xml:space="preserve"> </w:t>
      </w:r>
      <w:r w:rsidR="711BBF4F">
        <w:t>In</w:t>
      </w:r>
      <w:r w:rsidR="1CCEFF2F">
        <w:t xml:space="preserve"> </w:t>
      </w:r>
      <w:r w:rsidR="09561924">
        <w:t>MTJ</w:t>
      </w:r>
      <w:r w:rsidR="51749306">
        <w:t>,</w:t>
      </w:r>
      <w:r w:rsidR="09561924">
        <w:t xml:space="preserve"> </w:t>
      </w:r>
      <w:r w:rsidR="34260E02">
        <w:t>methanol is produced first,</w:t>
      </w:r>
      <w:r w:rsidR="3D3BF078">
        <w:t xml:space="preserve"> followed</w:t>
      </w:r>
      <w:r w:rsidR="34260E02">
        <w:t xml:space="preserve"> </w:t>
      </w:r>
      <w:r w:rsidR="547CD5C6">
        <w:t>by methanol-to-olefin conversion, oligomerization, and hydro-processing</w:t>
      </w:r>
      <w:r w:rsidR="1B925DFB">
        <w:t xml:space="preserve">. Our analysis considers 1 MJ of liquid fuel as functional unit and the following key performance indicators: levelized cost of production, global warming potential, and monetized end-point environmental impacts. </w:t>
      </w:r>
      <w:r w:rsidR="1B925DFB" w:rsidRPr="0F219487">
        <w:rPr>
          <w:lang w:val="en-GB"/>
        </w:rPr>
        <w:t xml:space="preserve">Our results suggest that 1sFT </w:t>
      </w:r>
      <w:r w:rsidR="37080589" w:rsidRPr="0F219487">
        <w:rPr>
          <w:lang w:val="en-GB"/>
        </w:rPr>
        <w:t xml:space="preserve">outperforms </w:t>
      </w:r>
      <w:r w:rsidR="771F6574" w:rsidRPr="0F219487">
        <w:rPr>
          <w:lang w:val="en-GB"/>
        </w:rPr>
        <w:t xml:space="preserve">MTJ </w:t>
      </w:r>
      <w:r w:rsidR="37080589" w:rsidRPr="0F219487">
        <w:rPr>
          <w:lang w:val="en-GB"/>
        </w:rPr>
        <w:t xml:space="preserve">by </w:t>
      </w:r>
      <w:r w:rsidR="3F2B7107" w:rsidRPr="0F219487">
        <w:rPr>
          <w:lang w:val="en-GB"/>
        </w:rPr>
        <w:t>23</w:t>
      </w:r>
      <w:r w:rsidR="37080589" w:rsidRPr="0F219487">
        <w:rPr>
          <w:lang w:val="en-GB"/>
        </w:rPr>
        <w:t>-</w:t>
      </w:r>
      <w:r w:rsidR="3F2B7107" w:rsidRPr="0F219487">
        <w:rPr>
          <w:lang w:val="en-GB"/>
        </w:rPr>
        <w:t>36</w:t>
      </w:r>
      <w:r w:rsidR="37080589" w:rsidRPr="0F219487">
        <w:rPr>
          <w:lang w:val="en-GB"/>
        </w:rPr>
        <w:t xml:space="preserve">%, depending on </w:t>
      </w:r>
      <w:r w:rsidR="4F30FEDA" w:rsidRPr="0F219487">
        <w:rPr>
          <w:lang w:val="en-GB"/>
        </w:rPr>
        <w:t>H</w:t>
      </w:r>
      <w:r w:rsidR="4F30FEDA" w:rsidRPr="0F219487">
        <w:rPr>
          <w:vertAlign w:val="subscript"/>
          <w:lang w:val="en-GB"/>
        </w:rPr>
        <w:t>2</w:t>
      </w:r>
      <w:r w:rsidR="4F30FEDA" w:rsidRPr="0F219487">
        <w:rPr>
          <w:lang w:val="en-GB"/>
        </w:rPr>
        <w:t xml:space="preserve"> and CO</w:t>
      </w:r>
      <w:r w:rsidR="4F30FEDA" w:rsidRPr="0F219487">
        <w:rPr>
          <w:vertAlign w:val="subscript"/>
          <w:lang w:val="en-GB"/>
        </w:rPr>
        <w:t>2</w:t>
      </w:r>
      <w:r w:rsidR="4F30FEDA" w:rsidRPr="0F219487">
        <w:rPr>
          <w:lang w:val="en-GB"/>
        </w:rPr>
        <w:t xml:space="preserve"> </w:t>
      </w:r>
      <w:r w:rsidR="37080589" w:rsidRPr="0F219487">
        <w:rPr>
          <w:lang w:val="en-GB"/>
        </w:rPr>
        <w:t>costs</w:t>
      </w:r>
      <w:r w:rsidR="4F30FEDA" w:rsidRPr="0F219487">
        <w:rPr>
          <w:lang w:val="en-GB"/>
        </w:rPr>
        <w:t xml:space="preserve">. </w:t>
      </w:r>
      <w:r w:rsidR="1B925DFB" w:rsidRPr="0F219487">
        <w:rPr>
          <w:lang w:val="en-GB"/>
        </w:rPr>
        <w:t xml:space="preserve">1sFT is also found to be superior to </w:t>
      </w:r>
      <w:r w:rsidR="4F30FEDA" w:rsidRPr="0F219487">
        <w:rPr>
          <w:lang w:val="en-GB"/>
        </w:rPr>
        <w:t xml:space="preserve">MTJ </w:t>
      </w:r>
      <w:r w:rsidR="1B925DFB" w:rsidRPr="0F219487">
        <w:rPr>
          <w:lang w:val="en-GB"/>
        </w:rPr>
        <w:t xml:space="preserve">from an environmental point of view, with </w:t>
      </w:r>
      <w:r w:rsidR="78774325" w:rsidRPr="0F219487">
        <w:rPr>
          <w:lang w:val="en-GB"/>
        </w:rPr>
        <w:t xml:space="preserve">up to </w:t>
      </w:r>
      <w:r w:rsidR="6C10C1BF" w:rsidRPr="0F219487">
        <w:rPr>
          <w:lang w:val="en-GB"/>
        </w:rPr>
        <w:t>33</w:t>
      </w:r>
      <w:r w:rsidR="78774325" w:rsidRPr="0F219487">
        <w:rPr>
          <w:lang w:val="en-GB"/>
        </w:rPr>
        <w:t xml:space="preserve">% </w:t>
      </w:r>
      <w:r w:rsidR="58F29C1A" w:rsidRPr="0F219487">
        <w:rPr>
          <w:lang w:val="en-GB"/>
        </w:rPr>
        <w:t>reduction in</w:t>
      </w:r>
      <w:r w:rsidR="78774325" w:rsidRPr="0F219487">
        <w:rPr>
          <w:lang w:val="en-GB"/>
        </w:rPr>
        <w:t xml:space="preserve"> </w:t>
      </w:r>
      <w:r w:rsidR="1B925DFB" w:rsidRPr="0F219487">
        <w:rPr>
          <w:lang w:val="en-GB"/>
        </w:rPr>
        <w:t xml:space="preserve">GWP and </w:t>
      </w:r>
      <w:r w:rsidR="2AC1C22D" w:rsidRPr="0F219487">
        <w:rPr>
          <w:lang w:val="en-GB"/>
        </w:rPr>
        <w:t>28</w:t>
      </w:r>
      <w:r w:rsidR="1B925DFB" w:rsidRPr="0F219487">
        <w:rPr>
          <w:lang w:val="en-GB"/>
        </w:rPr>
        <w:t xml:space="preserve">% </w:t>
      </w:r>
      <w:r w:rsidR="3434471C" w:rsidRPr="0F219487">
        <w:rPr>
          <w:lang w:val="en-GB"/>
        </w:rPr>
        <w:t xml:space="preserve">reduction in monetized </w:t>
      </w:r>
      <w:r w:rsidR="498485BE" w:rsidRPr="0F219487">
        <w:rPr>
          <w:lang w:val="en-GB"/>
        </w:rPr>
        <w:t xml:space="preserve">environmental </w:t>
      </w:r>
      <w:r w:rsidR="1B925DFB" w:rsidRPr="0F219487">
        <w:rPr>
          <w:lang w:val="en-GB"/>
        </w:rPr>
        <w:t>externalities</w:t>
      </w:r>
      <w:r w:rsidR="78774325" w:rsidRPr="0F219487">
        <w:rPr>
          <w:lang w:val="en-GB"/>
        </w:rPr>
        <w:t xml:space="preserve"> on a well-to-wake basis</w:t>
      </w:r>
      <w:r w:rsidR="1B925DFB" w:rsidRPr="0F219487">
        <w:rPr>
          <w:lang w:val="en-GB"/>
        </w:rPr>
        <w:t>.</w:t>
      </w:r>
    </w:p>
    <w:p w14:paraId="43AA3EDB" w14:textId="0016601C" w:rsidR="00DD3D9E" w:rsidRDefault="00DD3D9E">
      <w:pPr>
        <w:pStyle w:val="Els-body-text"/>
      </w:pPr>
      <w:r>
        <w:rPr>
          <w:b/>
          <w:bCs/>
        </w:rPr>
        <w:t>Keywords</w:t>
      </w:r>
      <w:r>
        <w:t xml:space="preserve">: </w:t>
      </w:r>
      <w:r w:rsidR="009F7D65">
        <w:rPr>
          <w:lang w:val="en-GB"/>
        </w:rPr>
        <w:t>SAF</w:t>
      </w:r>
      <w:r w:rsidR="00A75546">
        <w:rPr>
          <w:lang w:val="en-GB"/>
        </w:rPr>
        <w:t>, technoeconomic analysis, LCA, Fischer-Tropsch</w:t>
      </w:r>
      <w:r w:rsidR="002B0158">
        <w:rPr>
          <w:lang w:val="en-GB"/>
        </w:rPr>
        <w:t>, Methanol-to-Jet</w:t>
      </w:r>
    </w:p>
    <w:p w14:paraId="0A2B17E9" w14:textId="52D73346" w:rsidR="000C69C4" w:rsidRPr="00EE6245" w:rsidRDefault="00A75546">
      <w:pPr>
        <w:pStyle w:val="Els-1storder-head"/>
        <w:rPr>
          <w:lang w:val="en-GB"/>
        </w:rPr>
      </w:pPr>
      <w:r>
        <w:t>Introduction</w:t>
      </w:r>
    </w:p>
    <w:p w14:paraId="32410543" w14:textId="4C74E9AB" w:rsidR="000C69C4" w:rsidRDefault="69466744" w:rsidP="005635B6">
      <w:pPr>
        <w:pStyle w:val="Els-body-text"/>
        <w:spacing w:after="120"/>
        <w:rPr>
          <w:lang w:val="en-GB"/>
        </w:rPr>
      </w:pPr>
      <w:r w:rsidRPr="0F219487">
        <w:rPr>
          <w:lang w:val="en-GB"/>
        </w:rPr>
        <w:t xml:space="preserve">The aviation industry is heavily reliant on fossil </w:t>
      </w:r>
      <w:r w:rsidR="02A8641B" w:rsidRPr="0F219487">
        <w:rPr>
          <w:lang w:val="en-GB"/>
        </w:rPr>
        <w:t>resources,</w:t>
      </w:r>
      <w:r w:rsidRPr="0F219487">
        <w:rPr>
          <w:lang w:val="en-GB"/>
        </w:rPr>
        <w:t xml:space="preserve"> and, unlike other transportation modes, it cannot be decarbonised through electrification due to the high energy density required for long distance travel (Becattini et al. 2021). </w:t>
      </w:r>
      <w:r w:rsidR="3DA7054F" w:rsidRPr="0F219487">
        <w:rPr>
          <w:lang w:val="en-GB"/>
        </w:rPr>
        <w:t xml:space="preserve">Sustainable aviation fuel (SAF) is defined as a </w:t>
      </w:r>
      <w:r w:rsidR="08857153" w:rsidRPr="0F219487">
        <w:rPr>
          <w:lang w:val="en-GB"/>
        </w:rPr>
        <w:t>drop-in alternative</w:t>
      </w:r>
      <w:r w:rsidRPr="0F219487">
        <w:rPr>
          <w:lang w:val="en-GB"/>
        </w:rPr>
        <w:t xml:space="preserve"> that can be used in existing aircrafts while meeting certain sustainability criteria,</w:t>
      </w:r>
      <w:r w:rsidR="55879319" w:rsidRPr="0F219487">
        <w:rPr>
          <w:lang w:val="en-GB"/>
        </w:rPr>
        <w:t xml:space="preserve"> and it is considered a key step towards net-zero aviation. </w:t>
      </w:r>
      <w:r w:rsidR="5B04EB10" w:rsidRPr="0F219487">
        <w:rPr>
          <w:lang w:val="en-GB"/>
        </w:rPr>
        <w:t>From a regulatory perspective,</w:t>
      </w:r>
      <w:r w:rsidR="4EDA3AB8" w:rsidRPr="0F219487">
        <w:rPr>
          <w:lang w:val="en-GB"/>
        </w:rPr>
        <w:t xml:space="preserve"> alternative </w:t>
      </w:r>
      <w:r w:rsidR="624960E4" w:rsidRPr="0F219487">
        <w:rPr>
          <w:lang w:val="en-GB"/>
        </w:rPr>
        <w:t>fuel</w:t>
      </w:r>
      <w:r w:rsidR="4EDA3AB8" w:rsidRPr="0F219487">
        <w:rPr>
          <w:lang w:val="en-GB"/>
        </w:rPr>
        <w:t>s</w:t>
      </w:r>
      <w:r w:rsidR="624960E4" w:rsidRPr="0F219487">
        <w:rPr>
          <w:lang w:val="en-GB"/>
        </w:rPr>
        <w:t xml:space="preserve"> </w:t>
      </w:r>
      <w:r w:rsidR="662CB1F5" w:rsidRPr="0F219487">
        <w:rPr>
          <w:lang w:val="en-GB"/>
        </w:rPr>
        <w:t>need</w:t>
      </w:r>
      <w:r w:rsidR="6E85B5E8" w:rsidRPr="0F219487">
        <w:rPr>
          <w:lang w:val="en-GB"/>
        </w:rPr>
        <w:t xml:space="preserve"> to achieve</w:t>
      </w:r>
      <w:r w:rsidR="5B04EB10" w:rsidRPr="0F219487">
        <w:rPr>
          <w:lang w:val="en-GB"/>
        </w:rPr>
        <w:t xml:space="preserve"> a minimum </w:t>
      </w:r>
      <w:r w:rsidR="6E85B5E8" w:rsidRPr="0F219487">
        <w:rPr>
          <w:lang w:val="en-GB"/>
        </w:rPr>
        <w:t>of 50 %</w:t>
      </w:r>
      <w:r w:rsidR="79496A1D" w:rsidRPr="0F219487">
        <w:rPr>
          <w:lang w:val="en-GB"/>
        </w:rPr>
        <w:t xml:space="preserve"> </w:t>
      </w:r>
      <w:r w:rsidR="5B04EB10" w:rsidRPr="0F219487">
        <w:rPr>
          <w:lang w:val="en-GB"/>
        </w:rPr>
        <w:t xml:space="preserve">GWP reduction on a life-cycle basis </w:t>
      </w:r>
      <w:r w:rsidR="624960E4" w:rsidRPr="0F219487">
        <w:rPr>
          <w:lang w:val="en-GB"/>
        </w:rPr>
        <w:t>to be classified as SAF</w:t>
      </w:r>
      <w:r w:rsidR="3463AD2A" w:rsidRPr="0F219487">
        <w:rPr>
          <w:lang w:val="en-GB"/>
        </w:rPr>
        <w:t xml:space="preserve"> in the UK</w:t>
      </w:r>
      <w:r w:rsidR="624960E4" w:rsidRPr="0F219487">
        <w:rPr>
          <w:lang w:val="en-GB"/>
        </w:rPr>
        <w:t xml:space="preserve">. </w:t>
      </w:r>
    </w:p>
    <w:p w14:paraId="78E1CFC4" w14:textId="1BFD9025" w:rsidR="008A0D21" w:rsidRPr="00C22179" w:rsidRDefault="09F3F4AC" w:rsidP="0F219487">
      <w:pPr>
        <w:pStyle w:val="Els-body-text"/>
        <w:spacing w:line="259" w:lineRule="auto"/>
      </w:pPr>
      <w:r w:rsidRPr="0F219487">
        <w:rPr>
          <w:lang w:val="en-GB"/>
        </w:rPr>
        <w:t xml:space="preserve">Two </w:t>
      </w:r>
      <w:r w:rsidR="40258323" w:rsidRPr="0F219487">
        <w:rPr>
          <w:lang w:val="en-GB"/>
        </w:rPr>
        <w:t xml:space="preserve">routes </w:t>
      </w:r>
      <w:r w:rsidR="61D90B35" w:rsidRPr="0F219487">
        <w:rPr>
          <w:lang w:val="en-GB"/>
        </w:rPr>
        <w:t xml:space="preserve">under investigation for </w:t>
      </w:r>
      <w:r w:rsidR="51889E07" w:rsidRPr="0F219487">
        <w:rPr>
          <w:lang w:val="en-GB"/>
        </w:rPr>
        <w:t>produ</w:t>
      </w:r>
      <w:r w:rsidR="60C2664D" w:rsidRPr="0F219487">
        <w:rPr>
          <w:lang w:val="en-GB"/>
        </w:rPr>
        <w:t>cing</w:t>
      </w:r>
      <w:r w:rsidR="51889E07" w:rsidRPr="0F219487">
        <w:rPr>
          <w:lang w:val="en-GB"/>
        </w:rPr>
        <w:t xml:space="preserve"> SAF from </w:t>
      </w:r>
      <w:r w:rsidR="38BA414E" w:rsidRPr="0F219487">
        <w:rPr>
          <w:lang w:val="en-GB"/>
        </w:rPr>
        <w:t>CO</w:t>
      </w:r>
      <w:r w:rsidR="38BA414E" w:rsidRPr="0F219487">
        <w:rPr>
          <w:vertAlign w:val="subscript"/>
          <w:lang w:val="en-GB"/>
        </w:rPr>
        <w:t>2</w:t>
      </w:r>
      <w:r w:rsidR="38BA414E" w:rsidRPr="0F219487">
        <w:rPr>
          <w:lang w:val="en-GB"/>
        </w:rPr>
        <w:t xml:space="preserve"> and H</w:t>
      </w:r>
      <w:r w:rsidR="38BA414E" w:rsidRPr="0F219487">
        <w:rPr>
          <w:vertAlign w:val="subscript"/>
          <w:lang w:val="en-GB"/>
        </w:rPr>
        <w:t>2</w:t>
      </w:r>
      <w:r w:rsidR="38BA414E" w:rsidRPr="0F219487">
        <w:rPr>
          <w:lang w:val="en-GB"/>
        </w:rPr>
        <w:t xml:space="preserve"> are </w:t>
      </w:r>
      <w:r w:rsidR="190424D4" w:rsidRPr="0F219487">
        <w:rPr>
          <w:lang w:val="en-GB"/>
        </w:rPr>
        <w:t>Fischer-Tropsch (FT) synthesis</w:t>
      </w:r>
      <w:r w:rsidR="5CAAAD46" w:rsidRPr="0F219487">
        <w:rPr>
          <w:lang w:val="en-GB"/>
        </w:rPr>
        <w:t xml:space="preserve"> </w:t>
      </w:r>
      <w:r w:rsidR="190424D4" w:rsidRPr="0F219487">
        <w:rPr>
          <w:lang w:val="en-GB"/>
        </w:rPr>
        <w:t xml:space="preserve">and </w:t>
      </w:r>
      <w:r w:rsidR="49DF1C98" w:rsidRPr="0F219487">
        <w:rPr>
          <w:lang w:val="en-GB"/>
        </w:rPr>
        <w:t>a</w:t>
      </w:r>
      <w:r w:rsidR="190424D4" w:rsidRPr="0F219487">
        <w:rPr>
          <w:lang w:val="en-GB"/>
        </w:rPr>
        <w:t>lcohol-to-</w:t>
      </w:r>
      <w:r w:rsidR="49DF1C98" w:rsidRPr="0F219487">
        <w:rPr>
          <w:lang w:val="en-GB"/>
        </w:rPr>
        <w:t>j</w:t>
      </w:r>
      <w:r w:rsidR="190424D4" w:rsidRPr="0F219487">
        <w:rPr>
          <w:lang w:val="en-GB"/>
        </w:rPr>
        <w:t>et routes</w:t>
      </w:r>
      <w:r w:rsidR="243AEBAF" w:rsidRPr="0F219487">
        <w:rPr>
          <w:lang w:val="en-GB"/>
        </w:rPr>
        <w:t xml:space="preserve"> with either </w:t>
      </w:r>
      <w:r w:rsidR="2F53D421" w:rsidRPr="0F219487">
        <w:rPr>
          <w:lang w:val="en-GB"/>
        </w:rPr>
        <w:t>methanol</w:t>
      </w:r>
      <w:r w:rsidR="49DF1C98" w:rsidRPr="0F219487">
        <w:rPr>
          <w:lang w:val="en-GB"/>
        </w:rPr>
        <w:t xml:space="preserve"> or </w:t>
      </w:r>
      <w:r w:rsidR="2F53D421" w:rsidRPr="0F219487">
        <w:rPr>
          <w:lang w:val="en-GB"/>
        </w:rPr>
        <w:t>ethanol</w:t>
      </w:r>
      <w:r w:rsidR="49DF1C98" w:rsidRPr="0F219487">
        <w:rPr>
          <w:lang w:val="en-GB"/>
        </w:rPr>
        <w:t xml:space="preserve"> </w:t>
      </w:r>
      <w:r w:rsidR="2F53D421" w:rsidRPr="0F219487">
        <w:rPr>
          <w:lang w:val="en-GB"/>
        </w:rPr>
        <w:t>as intermediate</w:t>
      </w:r>
      <w:r w:rsidR="1310C0AD" w:rsidRPr="0F219487">
        <w:rPr>
          <w:lang w:val="en-GB"/>
        </w:rPr>
        <w:t>s</w:t>
      </w:r>
      <w:r w:rsidR="2F53D421" w:rsidRPr="0F219487">
        <w:rPr>
          <w:lang w:val="en-GB"/>
        </w:rPr>
        <w:t>.</w:t>
      </w:r>
      <w:r w:rsidR="2EF7D100" w:rsidRPr="0F219487">
        <w:rPr>
          <w:lang w:val="en-GB"/>
        </w:rPr>
        <w:t xml:space="preserve"> </w:t>
      </w:r>
      <w:r w:rsidR="37D692B6" w:rsidRPr="0F219487">
        <w:rPr>
          <w:lang w:val="en-GB"/>
        </w:rPr>
        <w:t>In particular, t</w:t>
      </w:r>
      <w:r w:rsidR="2EF7D100" w:rsidRPr="0F219487">
        <w:rPr>
          <w:lang w:val="en-GB"/>
        </w:rPr>
        <w:t xml:space="preserve">he methanol-to-jet </w:t>
      </w:r>
      <w:r w:rsidR="7BC68041" w:rsidRPr="0F219487">
        <w:rPr>
          <w:lang w:val="en-GB"/>
        </w:rPr>
        <w:t xml:space="preserve">(MTJ) </w:t>
      </w:r>
      <w:r w:rsidR="2EF7D100" w:rsidRPr="0F219487">
        <w:rPr>
          <w:lang w:val="en-GB"/>
        </w:rPr>
        <w:t xml:space="preserve">pathway </w:t>
      </w:r>
      <w:r w:rsidR="1EB5C595" w:rsidRPr="0F219487">
        <w:rPr>
          <w:lang w:val="en-GB"/>
        </w:rPr>
        <w:t>is attracting significant attention</w:t>
      </w:r>
      <w:r w:rsidR="2EF7D100" w:rsidRPr="0F219487">
        <w:rPr>
          <w:lang w:val="en-GB"/>
        </w:rPr>
        <w:t xml:space="preserve">, with </w:t>
      </w:r>
      <w:r w:rsidR="2EF7D100">
        <w:t xml:space="preserve">major companies such as Honeywell, </w:t>
      </w:r>
      <w:proofErr w:type="spellStart"/>
      <w:r w:rsidR="2EF7D100">
        <w:t>Topsoe</w:t>
      </w:r>
      <w:proofErr w:type="spellEnd"/>
      <w:r w:rsidR="2EF7D100">
        <w:t xml:space="preserve"> and ExxonMobil announcing the development of proprietary technologies.</w:t>
      </w:r>
      <w:r w:rsidR="2F53D421" w:rsidRPr="0F219487">
        <w:rPr>
          <w:lang w:val="en-GB"/>
        </w:rPr>
        <w:t xml:space="preserve"> </w:t>
      </w:r>
      <w:r w:rsidR="6115DC47" w:rsidRPr="0F219487">
        <w:rPr>
          <w:lang w:val="en-GB"/>
        </w:rPr>
        <w:t xml:space="preserve">Recently, </w:t>
      </w:r>
      <w:r w:rsidR="57C419BE" w:rsidRPr="0F219487">
        <w:rPr>
          <w:lang w:val="en-GB"/>
        </w:rPr>
        <w:t>Bernardi</w:t>
      </w:r>
      <w:r w:rsidR="60F8165D" w:rsidRPr="0F219487">
        <w:rPr>
          <w:lang w:val="en-GB"/>
        </w:rPr>
        <w:t> </w:t>
      </w:r>
      <w:r w:rsidR="57C419BE" w:rsidRPr="0F219487">
        <w:rPr>
          <w:lang w:val="en-GB"/>
        </w:rPr>
        <w:t>et al.</w:t>
      </w:r>
      <w:r w:rsidR="60F8165D" w:rsidRPr="0F219487">
        <w:rPr>
          <w:lang w:val="en-GB"/>
        </w:rPr>
        <w:t> </w:t>
      </w:r>
      <w:r w:rsidR="57C419BE" w:rsidRPr="0F219487">
        <w:rPr>
          <w:lang w:val="en-GB"/>
        </w:rPr>
        <w:t>(</w:t>
      </w:r>
      <w:r w:rsidR="57C419BE">
        <w:t>2022)</w:t>
      </w:r>
      <w:r w:rsidR="60F8165D">
        <w:t xml:space="preserve"> </w:t>
      </w:r>
      <w:proofErr w:type="spellStart"/>
      <w:r w:rsidR="194D8BB5" w:rsidRPr="0F219487">
        <w:rPr>
          <w:lang w:val="en-GB"/>
        </w:rPr>
        <w:t>compar</w:t>
      </w:r>
      <w:proofErr w:type="spellEnd"/>
      <w:r w:rsidR="60F8165D">
        <w:t xml:space="preserve">ed two FT routes, </w:t>
      </w:r>
      <w:r w:rsidR="18F324EF" w:rsidRPr="0F219487">
        <w:rPr>
          <w:lang w:val="en-GB"/>
        </w:rPr>
        <w:t>a</w:t>
      </w:r>
      <w:r w:rsidR="60F8165D">
        <w:t xml:space="preserve"> </w:t>
      </w:r>
      <w:r w:rsidR="57C419BE">
        <w:t>one-step FT</w:t>
      </w:r>
      <w:r w:rsidR="60F8165D">
        <w:t xml:space="preserve"> </w:t>
      </w:r>
      <w:r w:rsidR="57C419BE">
        <w:t xml:space="preserve">process </w:t>
      </w:r>
      <w:r w:rsidR="0BAF96FC">
        <w:t xml:space="preserve">(1sFT) </w:t>
      </w:r>
      <w:r w:rsidR="57C419BE">
        <w:t xml:space="preserve">based on a novel Mn-Fe-K catalyst (Yao et al., 2020) </w:t>
      </w:r>
      <w:r w:rsidR="39A0B256">
        <w:t>and</w:t>
      </w:r>
      <w:r w:rsidR="57C419BE">
        <w:t xml:space="preserve"> a two-step process </w:t>
      </w:r>
      <w:r w:rsidR="24FC56A0">
        <w:t xml:space="preserve">(2sFT) </w:t>
      </w:r>
      <w:r w:rsidR="57C419BE">
        <w:t>using a reverse water gas shift reactor to convert CO</w:t>
      </w:r>
      <w:r w:rsidR="57C419BE" w:rsidRPr="0F219487">
        <w:rPr>
          <w:vertAlign w:val="subscript"/>
        </w:rPr>
        <w:t>2</w:t>
      </w:r>
      <w:r w:rsidR="57C419BE">
        <w:t xml:space="preserve"> and H</w:t>
      </w:r>
      <w:r w:rsidR="57C419BE" w:rsidRPr="0F219487">
        <w:rPr>
          <w:vertAlign w:val="subscript"/>
        </w:rPr>
        <w:t>2</w:t>
      </w:r>
      <w:r w:rsidR="57C419BE">
        <w:t xml:space="preserve"> to syngas</w:t>
      </w:r>
      <w:r w:rsidR="60F8165D">
        <w:t xml:space="preserve"> first, followed by a conventional FT reactor </w:t>
      </w:r>
      <w:r w:rsidR="57C419BE">
        <w:t xml:space="preserve">(Zang et al., 2021). </w:t>
      </w:r>
      <w:r w:rsidR="24FC56A0">
        <w:t>1sFT</w:t>
      </w:r>
      <w:r w:rsidR="57C419BE">
        <w:t xml:space="preserve"> </w:t>
      </w:r>
      <w:r w:rsidR="492CB604">
        <w:t xml:space="preserve">was found to </w:t>
      </w:r>
      <w:r w:rsidR="24FC56A0">
        <w:t>outperform 2sFT both f</w:t>
      </w:r>
      <w:r w:rsidR="57C419BE">
        <w:t xml:space="preserve">rom an economic and environmental </w:t>
      </w:r>
      <w:r w:rsidR="24FC56A0">
        <w:t>standpoint</w:t>
      </w:r>
      <w:r w:rsidR="57C419BE">
        <w:t xml:space="preserve">, </w:t>
      </w:r>
      <w:r w:rsidR="64357AD2">
        <w:t xml:space="preserve">but </w:t>
      </w:r>
      <w:r w:rsidR="57C419BE">
        <w:t>significant reductions in CO</w:t>
      </w:r>
      <w:r w:rsidR="57C419BE" w:rsidRPr="0F219487">
        <w:rPr>
          <w:vertAlign w:val="subscript"/>
        </w:rPr>
        <w:t>2</w:t>
      </w:r>
      <w:r w:rsidR="57C419BE">
        <w:t xml:space="preserve"> and H</w:t>
      </w:r>
      <w:r w:rsidR="57C419BE" w:rsidRPr="0F219487">
        <w:rPr>
          <w:vertAlign w:val="subscript"/>
        </w:rPr>
        <w:t>2</w:t>
      </w:r>
      <w:r w:rsidR="57C419BE">
        <w:t xml:space="preserve"> prices as well as policy interventions such as carbon taxation </w:t>
      </w:r>
      <w:r w:rsidR="333A1BF2">
        <w:t>were deemed</w:t>
      </w:r>
      <w:r w:rsidR="57C419BE">
        <w:t xml:space="preserve"> necessary for the synthetic fuel to be economically </w:t>
      </w:r>
      <w:r w:rsidR="57C419BE">
        <w:lastRenderedPageBreak/>
        <w:t xml:space="preserve">competitive with its fossil counterpart. Schmidt et al. (2018) compared </w:t>
      </w:r>
      <w:r w:rsidR="67212A37">
        <w:t>MTJ</w:t>
      </w:r>
      <w:r w:rsidR="63D07086">
        <w:t xml:space="preserve"> </w:t>
      </w:r>
      <w:r w:rsidR="55BBA1D5">
        <w:t>with</w:t>
      </w:r>
      <w:r w:rsidR="57C419BE">
        <w:t xml:space="preserve"> </w:t>
      </w:r>
      <w:r w:rsidR="64357AD2">
        <w:t xml:space="preserve">a </w:t>
      </w:r>
      <w:r w:rsidR="44C5BC6A">
        <w:t xml:space="preserve">two-step FT </w:t>
      </w:r>
      <w:r w:rsidR="078B75C1" w:rsidRPr="0F219487">
        <w:rPr>
          <w:lang w:val="en-GB"/>
        </w:rPr>
        <w:t>process</w:t>
      </w:r>
      <w:r w:rsidR="57C419BE">
        <w:t xml:space="preserve"> </w:t>
      </w:r>
      <w:r w:rsidR="72BFAC82" w:rsidRPr="0F219487">
        <w:rPr>
          <w:lang w:val="en-GB"/>
        </w:rPr>
        <w:t>in terms of</w:t>
      </w:r>
      <w:r w:rsidR="7FC9D864">
        <w:t xml:space="preserve"> </w:t>
      </w:r>
      <w:r w:rsidR="55F6FF35">
        <w:t xml:space="preserve">their </w:t>
      </w:r>
      <w:r w:rsidR="7CE59087">
        <w:t xml:space="preserve">economics, GHG emissions, </w:t>
      </w:r>
      <w:r w:rsidR="28B24B1B">
        <w:t xml:space="preserve">water consumption and land use, </w:t>
      </w:r>
      <w:r w:rsidR="57C419BE">
        <w:t xml:space="preserve">and concluded </w:t>
      </w:r>
      <w:r w:rsidR="7A79107F">
        <w:t xml:space="preserve">that </w:t>
      </w:r>
      <w:r w:rsidR="64357AD2">
        <w:t xml:space="preserve">they </w:t>
      </w:r>
      <w:r w:rsidR="00881C76">
        <w:t xml:space="preserve">were performing </w:t>
      </w:r>
      <w:r w:rsidR="723F879E" w:rsidRPr="0F219487">
        <w:rPr>
          <w:lang w:val="en-GB"/>
        </w:rPr>
        <w:t>similarly.</w:t>
      </w:r>
    </w:p>
    <w:p w14:paraId="78072859" w14:textId="7209C561" w:rsidR="008974A1" w:rsidRPr="00AB52F8" w:rsidRDefault="57C419BE" w:rsidP="00A4490F">
      <w:pPr>
        <w:pStyle w:val="Els-body-text"/>
        <w:spacing w:before="120"/>
      </w:pPr>
      <w:r>
        <w:t>T</w:t>
      </w:r>
      <w:r w:rsidR="76A48C9C">
        <w:t>he main objective of this paper</w:t>
      </w:r>
      <w:r w:rsidR="2FBCA6A1">
        <w:t xml:space="preserve"> </w:t>
      </w:r>
      <w:r w:rsidR="76A48C9C">
        <w:t xml:space="preserve">is </w:t>
      </w:r>
      <w:r w:rsidR="33DC8B3B">
        <w:t>a</w:t>
      </w:r>
      <w:r w:rsidR="76A48C9C">
        <w:t xml:space="preserve"> </w:t>
      </w:r>
      <w:r w:rsidR="6048B2BB">
        <w:t>compar</w:t>
      </w:r>
      <w:r w:rsidR="0DB90EAF">
        <w:t>ison of</w:t>
      </w:r>
      <w:r w:rsidR="76A48C9C">
        <w:t xml:space="preserve"> </w:t>
      </w:r>
      <w:r>
        <w:t xml:space="preserve">the </w:t>
      </w:r>
      <w:r w:rsidR="6048B2BB">
        <w:t>1sFT</w:t>
      </w:r>
      <w:r>
        <w:t xml:space="preserve"> </w:t>
      </w:r>
      <w:r w:rsidR="687E4F65">
        <w:t xml:space="preserve">process </w:t>
      </w:r>
      <w:r w:rsidR="6048B2BB">
        <w:t xml:space="preserve">analyzed in Bernardi et al. (2022) </w:t>
      </w:r>
      <w:r w:rsidR="0D46499A">
        <w:t>with</w:t>
      </w:r>
      <w:r w:rsidR="687E4F65">
        <w:t xml:space="preserve"> a</w:t>
      </w:r>
      <w:r w:rsidR="703DF638">
        <w:t>n MTJ</w:t>
      </w:r>
      <w:r w:rsidR="687E4F65">
        <w:t xml:space="preserve"> process.</w:t>
      </w:r>
      <w:r w:rsidR="54377296">
        <w:t xml:space="preserve"> The</w:t>
      </w:r>
      <w:r w:rsidR="04C0C9AB">
        <w:t>se</w:t>
      </w:r>
      <w:r w:rsidR="54377296">
        <w:t xml:space="preserve"> </w:t>
      </w:r>
      <w:r w:rsidR="179E85F8">
        <w:t xml:space="preserve">two processes are </w:t>
      </w:r>
      <w:r w:rsidR="0D302255">
        <w:t xml:space="preserve">also </w:t>
      </w:r>
      <w:r w:rsidR="179E85F8">
        <w:t xml:space="preserve">compared to </w:t>
      </w:r>
      <w:r w:rsidR="76A48C9C">
        <w:t xml:space="preserve">a fossil-based alternative in terms of economic and environmental performance. The methodology is described in </w:t>
      </w:r>
      <w:r w:rsidR="1D347E46">
        <w:t>S</w:t>
      </w:r>
      <w:r w:rsidR="76A48C9C">
        <w:t>ection</w:t>
      </w:r>
      <w:r w:rsidR="17D38064">
        <w:t xml:space="preserve"> 2</w:t>
      </w:r>
      <w:r w:rsidR="76A48C9C">
        <w:t>, followed by results and discussions</w:t>
      </w:r>
      <w:r w:rsidR="0053318F">
        <w:t xml:space="preserve"> in Section 3</w:t>
      </w:r>
      <w:r w:rsidR="76A48C9C">
        <w:t>, before concluding the paper</w:t>
      </w:r>
      <w:r w:rsidR="0E726DE7">
        <w:t xml:space="preserve"> in Section 4</w:t>
      </w:r>
      <w:r w:rsidR="76A48C9C">
        <w:t>.</w:t>
      </w:r>
    </w:p>
    <w:p w14:paraId="3E037204" w14:textId="7E15E064" w:rsidR="00DD3D9E" w:rsidRDefault="006F5157">
      <w:pPr>
        <w:pStyle w:val="Els-1storder-head"/>
      </w:pPr>
      <w:r>
        <w:t>Methodology</w:t>
      </w:r>
    </w:p>
    <w:p w14:paraId="0E1BEFB3" w14:textId="492EF385" w:rsidR="004D2E18" w:rsidRDefault="7A972E55" w:rsidP="007A7DCD">
      <w:pPr>
        <w:pStyle w:val="Els-body-text"/>
        <w:spacing w:after="160" w:line="259" w:lineRule="auto"/>
      </w:pPr>
      <w:r>
        <w:t>B</w:t>
      </w:r>
      <w:r w:rsidR="2A256FFF">
        <w:t xml:space="preserve">lock flow diagrams of the </w:t>
      </w:r>
      <w:r w:rsidR="60C8CCED">
        <w:t xml:space="preserve">two </w:t>
      </w:r>
      <w:r w:rsidR="2A256FFF">
        <w:t xml:space="preserve">processes </w:t>
      </w:r>
      <w:r w:rsidR="25501661">
        <w:t xml:space="preserve">are </w:t>
      </w:r>
      <w:r w:rsidR="06A324CE">
        <w:t>shown</w:t>
      </w:r>
      <w:r w:rsidR="25501661">
        <w:t xml:space="preserve"> in Figure 1. </w:t>
      </w:r>
      <w:r w:rsidR="5877F385">
        <w:t xml:space="preserve">Aspen HYSYS v11 </w:t>
      </w:r>
      <w:r w:rsidR="419646E9">
        <w:t>i</w:t>
      </w:r>
      <w:r w:rsidR="5877F385">
        <w:t xml:space="preserve">s used to simulate the processes at scale, considering a feed of </w:t>
      </w:r>
      <w:r w:rsidR="2187484F">
        <w:t>100 t/h of CO</w:t>
      </w:r>
      <w:r w:rsidR="2187484F" w:rsidRPr="0F219487">
        <w:rPr>
          <w:vertAlign w:val="subscript"/>
        </w:rPr>
        <w:t>2</w:t>
      </w:r>
      <w:r w:rsidR="2187484F">
        <w:t xml:space="preserve"> </w:t>
      </w:r>
      <w:r w:rsidR="25597E27">
        <w:t xml:space="preserve">either from </w:t>
      </w:r>
      <w:r w:rsidR="002F7461">
        <w:t>direct air capture (</w:t>
      </w:r>
      <w:r w:rsidR="25597E27">
        <w:t>DAC</w:t>
      </w:r>
      <w:r w:rsidR="002F7461">
        <w:t>)</w:t>
      </w:r>
      <w:r w:rsidR="25597E27">
        <w:t xml:space="preserve"> or biogenic, </w:t>
      </w:r>
      <w:r w:rsidR="399CFF43">
        <w:t>and H</w:t>
      </w:r>
      <w:r w:rsidR="399CFF43" w:rsidRPr="0F219487">
        <w:rPr>
          <w:vertAlign w:val="subscript"/>
        </w:rPr>
        <w:t>2</w:t>
      </w:r>
      <w:r w:rsidR="399CFF43">
        <w:t xml:space="preserve"> from water electrolysis</w:t>
      </w:r>
      <w:r w:rsidR="2A256FFF">
        <w:t>.</w:t>
      </w:r>
      <w:r w:rsidR="08428898">
        <w:t xml:space="preserve"> </w:t>
      </w:r>
      <w:r w:rsidR="54073CAC">
        <w:t xml:space="preserve">Both </w:t>
      </w:r>
      <w:r w:rsidR="63F295BB">
        <w:t>CO</w:t>
      </w:r>
      <w:r w:rsidR="63F295BB" w:rsidRPr="0F219487">
        <w:rPr>
          <w:vertAlign w:val="subscript"/>
        </w:rPr>
        <w:t>2</w:t>
      </w:r>
      <w:r w:rsidR="63F295BB">
        <w:t xml:space="preserve"> and H</w:t>
      </w:r>
      <w:r w:rsidR="63F295BB" w:rsidRPr="0F219487">
        <w:rPr>
          <w:vertAlign w:val="subscript"/>
        </w:rPr>
        <w:t>2</w:t>
      </w:r>
      <w:r w:rsidR="63F295BB">
        <w:t xml:space="preserve"> </w:t>
      </w:r>
      <w:r w:rsidR="1B44BBBD">
        <w:t xml:space="preserve">gases </w:t>
      </w:r>
      <w:r w:rsidR="63F295BB">
        <w:t>are</w:t>
      </w:r>
      <w:r w:rsidR="13FEC253">
        <w:t xml:space="preserve"> </w:t>
      </w:r>
      <w:r w:rsidR="00FDC4BA">
        <w:t>fed</w:t>
      </w:r>
      <w:r w:rsidR="25597E27">
        <w:t xml:space="preserve"> at 25</w:t>
      </w:r>
      <w:r w:rsidR="5EC50066">
        <w:t> </w:t>
      </w:r>
      <w:r w:rsidR="20648760">
        <w:t>°</w:t>
      </w:r>
      <w:r w:rsidR="5EC50066">
        <w:t xml:space="preserve">C and 30 bar, with </w:t>
      </w:r>
      <w:r w:rsidR="78C8E87C">
        <w:t xml:space="preserve">no </w:t>
      </w:r>
      <w:r w:rsidR="5EC50066">
        <w:t xml:space="preserve">significant </w:t>
      </w:r>
      <w:r w:rsidR="78C8E87C">
        <w:t>impurities</w:t>
      </w:r>
      <w:r w:rsidR="5642871B">
        <w:t xml:space="preserve">, and the </w:t>
      </w:r>
      <w:r w:rsidR="4DC222D1">
        <w:t>produced fuel blend</w:t>
      </w:r>
      <w:r w:rsidR="55E694D3">
        <w:t>s</w:t>
      </w:r>
      <w:r w:rsidR="5D3B8C5D">
        <w:t xml:space="preserve"> </w:t>
      </w:r>
      <w:r w:rsidR="22B41DA5">
        <w:t>are sent</w:t>
      </w:r>
      <w:r w:rsidR="5D3B8C5D">
        <w:t xml:space="preserve"> to an existing </w:t>
      </w:r>
      <w:r w:rsidR="13FEC253">
        <w:t>refinery</w:t>
      </w:r>
      <w:r w:rsidR="5D3B8C5D">
        <w:t xml:space="preserve">. </w:t>
      </w:r>
      <w:r w:rsidR="5EC50066">
        <w:t>T</w:t>
      </w:r>
      <w:r w:rsidR="4794FF54">
        <w:t xml:space="preserve">he NTRL-RK fluid package </w:t>
      </w:r>
      <w:r w:rsidR="5EC50066">
        <w:t xml:space="preserve">is used </w:t>
      </w:r>
      <w:r w:rsidR="4794FF54">
        <w:t>in the methanol synthesis section and the Peng Robinson fluid package everywhere else. Heat integration is performed in Aspen Energy Analyze</w:t>
      </w:r>
      <w:r w:rsidR="23E44B2F">
        <w:t>r</w:t>
      </w:r>
      <w:r w:rsidR="4794FF54">
        <w:t xml:space="preserve">. </w:t>
      </w:r>
    </w:p>
    <w:p w14:paraId="33A68AF6" w14:textId="1C755BED" w:rsidR="00DF06AE" w:rsidRPr="00AC11DC" w:rsidRDefault="00976E59" w:rsidP="00BB3532">
      <w:pPr>
        <w:pStyle w:val="Els-body-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544513" wp14:editId="03387394">
            <wp:extent cx="4272402" cy="1738266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417" cy="183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22AA9" w14:textId="1A5A63FF" w:rsidR="00DF06AE" w:rsidRPr="00950878" w:rsidRDefault="68C3C921" w:rsidP="00DF06AE">
      <w:pPr>
        <w:pStyle w:val="Els-caption"/>
      </w:pPr>
      <w:r>
        <w:t xml:space="preserve">Figure </w:t>
      </w:r>
      <w:r w:rsidR="00DF06AE">
        <w:fldChar w:fldCharType="begin"/>
      </w:r>
      <w:r w:rsidR="00DF06AE">
        <w:instrText xml:space="preserve"> SEQ Figure \* ARABIC </w:instrText>
      </w:r>
      <w:r w:rsidR="00DF06AE">
        <w:fldChar w:fldCharType="separate"/>
      </w:r>
      <w:r w:rsidR="000A3C8D">
        <w:rPr>
          <w:noProof/>
        </w:rPr>
        <w:t>1</w:t>
      </w:r>
      <w:r w:rsidR="00DF06AE">
        <w:fldChar w:fldCharType="end"/>
      </w:r>
      <w:r>
        <w:t xml:space="preserve">: block flow diagrams of the </w:t>
      </w:r>
      <w:r w:rsidR="04917C74">
        <w:t>MTJ</w:t>
      </w:r>
      <w:r w:rsidR="36E7E62B">
        <w:t xml:space="preserve"> </w:t>
      </w:r>
      <w:r>
        <w:t>(</w:t>
      </w:r>
      <w:r w:rsidR="0C6B48AB">
        <w:t>left</w:t>
      </w:r>
      <w:r>
        <w:t>) and</w:t>
      </w:r>
      <w:r w:rsidR="36E7E62B">
        <w:t xml:space="preserve"> </w:t>
      </w:r>
      <w:r w:rsidR="04917C74">
        <w:t xml:space="preserve">1sFT </w:t>
      </w:r>
      <w:r>
        <w:t>(</w:t>
      </w:r>
      <w:r w:rsidR="0C6B48AB">
        <w:t>right</w:t>
      </w:r>
      <w:r>
        <w:t>)</w:t>
      </w:r>
      <w:r w:rsidR="04917C74">
        <w:t xml:space="preserve"> processes</w:t>
      </w:r>
      <w:r>
        <w:t xml:space="preserve">. </w:t>
      </w:r>
      <w:r w:rsidR="2D7D385E">
        <w:t xml:space="preserve">The </w:t>
      </w:r>
      <w:r w:rsidR="6C9C51E1">
        <w:t>p</w:t>
      </w:r>
      <w:r w:rsidR="138ADB70">
        <w:t xml:space="preserve">ower generation and </w:t>
      </w:r>
      <w:r w:rsidR="00E524C0">
        <w:t xml:space="preserve">carbon capture </w:t>
      </w:r>
      <w:r w:rsidR="138ADB70">
        <w:t>unit</w:t>
      </w:r>
      <w:r w:rsidR="00996755">
        <w:t>s are</w:t>
      </w:r>
      <w:r w:rsidR="5152AFC6">
        <w:t xml:space="preserve"> </w:t>
      </w:r>
      <w:r w:rsidR="71889B6E">
        <w:t xml:space="preserve">used for the </w:t>
      </w:r>
      <w:proofErr w:type="gramStart"/>
      <w:r w:rsidR="71889B6E">
        <w:t>off-gases</w:t>
      </w:r>
      <w:proofErr w:type="gramEnd"/>
      <w:r w:rsidR="71889B6E">
        <w:t xml:space="preserve"> of both processes but only </w:t>
      </w:r>
      <w:r w:rsidR="5152AFC6">
        <w:t>represented in 1sFT</w:t>
      </w:r>
      <w:r w:rsidR="5843049B">
        <w:t>.</w:t>
      </w:r>
      <w:r w:rsidR="130FBCFC">
        <w:t xml:space="preserve"> </w:t>
      </w:r>
    </w:p>
    <w:p w14:paraId="3C2A05D3" w14:textId="772CEB92" w:rsidR="00F81A15" w:rsidRDefault="00632E97" w:rsidP="00632E97">
      <w:pPr>
        <w:pStyle w:val="Els-2ndorder-head"/>
      </w:pPr>
      <w:r>
        <w:t>Process simulation and economic analysis</w:t>
      </w:r>
    </w:p>
    <w:p w14:paraId="21AA56BC" w14:textId="5914D6FF" w:rsidR="00AE5FFA" w:rsidRDefault="246187BE" w:rsidP="007A7DCD">
      <w:pPr>
        <w:pStyle w:val="Els-body-text"/>
        <w:spacing w:before="120" w:line="259" w:lineRule="auto"/>
      </w:pPr>
      <w:r w:rsidRPr="009D23AF">
        <w:rPr>
          <w:b/>
          <w:bCs/>
        </w:rPr>
        <w:t>Feed streams.</w:t>
      </w:r>
      <w:r w:rsidR="09B42246" w:rsidRPr="009D23AF">
        <w:t xml:space="preserve"> </w:t>
      </w:r>
      <w:r w:rsidR="02BC4051" w:rsidRPr="009D23AF">
        <w:t xml:space="preserve">We considered </w:t>
      </w:r>
      <w:r w:rsidR="5ADA3DA9">
        <w:t>t</w:t>
      </w:r>
      <w:r w:rsidR="42F6745A">
        <w:t xml:space="preserve">wo options for </w:t>
      </w:r>
      <w:r w:rsidR="0E0D888B">
        <w:t>CO2</w:t>
      </w:r>
      <w:r w:rsidR="42F6745A">
        <w:t xml:space="preserve"> procurement</w:t>
      </w:r>
      <w:r w:rsidR="0FEC8B6D" w:rsidRPr="009D23AF">
        <w:t>: DAC</w:t>
      </w:r>
      <w:r w:rsidR="199CBC3C" w:rsidRPr="009D23AF">
        <w:t xml:space="preserve">, and </w:t>
      </w:r>
      <w:r w:rsidR="15A6F9C0">
        <w:t>carbon capture from a</w:t>
      </w:r>
      <w:r w:rsidR="199CBC3C" w:rsidRPr="009D23AF">
        <w:t xml:space="preserve"> pulp and paper mill</w:t>
      </w:r>
      <w:r w:rsidR="450F1525" w:rsidRPr="009D23AF">
        <w:t xml:space="preserve"> (PP</w:t>
      </w:r>
      <w:r w:rsidR="0089739B">
        <w:t>CC</w:t>
      </w:r>
      <w:r w:rsidR="450F1525" w:rsidRPr="009D23AF">
        <w:t>)</w:t>
      </w:r>
      <w:r w:rsidR="199CBC3C" w:rsidRPr="009D23AF">
        <w:t xml:space="preserve">. </w:t>
      </w:r>
      <w:r w:rsidR="688C707F" w:rsidRPr="009D23AF">
        <w:t>In our baseline scenario</w:t>
      </w:r>
      <w:r w:rsidR="1012612D">
        <w:t xml:space="preserve">, we considered a solid sorbent </w:t>
      </w:r>
      <w:r w:rsidR="005462CD">
        <w:t>DAC process</w:t>
      </w:r>
      <w:r w:rsidR="4128C40B">
        <w:t xml:space="preserve">, with heat requirements fulfilled by a natural gas steam </w:t>
      </w:r>
      <w:r w:rsidR="2491B6BB">
        <w:t>boiler or</w:t>
      </w:r>
      <w:r w:rsidR="4128C40B">
        <w:t xml:space="preserve"> coming from a low</w:t>
      </w:r>
      <w:r w:rsidR="005462CD">
        <w:t>-</w:t>
      </w:r>
      <w:r w:rsidR="4128C40B">
        <w:t xml:space="preserve">grade </w:t>
      </w:r>
      <w:r w:rsidR="005462CD">
        <w:t xml:space="preserve">heat source </w:t>
      </w:r>
      <w:r w:rsidR="5973A7E6" w:rsidRPr="0F219487">
        <w:rPr>
          <w:b/>
          <w:bCs/>
        </w:rPr>
        <w:t>(</w:t>
      </w:r>
      <w:r w:rsidR="005462CD">
        <w:t>considered available</w:t>
      </w:r>
      <w:r w:rsidR="2F18C89A">
        <w:t xml:space="preserve"> </w:t>
      </w:r>
      <w:r w:rsidR="005462CD">
        <w:t>free</w:t>
      </w:r>
      <w:r w:rsidR="7C2F42C9">
        <w:t xml:space="preserve"> of charge</w:t>
      </w:r>
      <w:r w:rsidR="557DFA38">
        <w:t>)</w:t>
      </w:r>
      <w:r w:rsidR="5DD7DA44">
        <w:t xml:space="preserve">, which result in a cost of </w:t>
      </w:r>
      <w:r w:rsidR="40A670EB" w:rsidRPr="009D23AF">
        <w:t>430 $/t</w:t>
      </w:r>
      <w:r w:rsidR="0066195C" w:rsidRPr="009D23AF">
        <w:softHyphen/>
      </w:r>
      <w:r w:rsidR="53135B73">
        <w:rPr>
          <w:vertAlign w:val="subscript"/>
        </w:rPr>
        <w:t>CO</w:t>
      </w:r>
      <w:r w:rsidR="40A670EB" w:rsidRPr="009D23AF">
        <w:rPr>
          <w:vertAlign w:val="subscript"/>
        </w:rPr>
        <w:t>2</w:t>
      </w:r>
      <w:r w:rsidR="40A670EB" w:rsidRPr="009D23AF">
        <w:t xml:space="preserve"> </w:t>
      </w:r>
      <w:r w:rsidR="5DD7DA44">
        <w:t xml:space="preserve">and </w:t>
      </w:r>
      <w:r w:rsidR="53135B73">
        <w:t>281 </w:t>
      </w:r>
      <w:r w:rsidR="53135B73" w:rsidRPr="009D23AF">
        <w:t>$/t</w:t>
      </w:r>
      <w:r w:rsidR="001B67B2" w:rsidRPr="009D23AF">
        <w:softHyphen/>
      </w:r>
      <w:r w:rsidR="53135B73">
        <w:rPr>
          <w:vertAlign w:val="subscript"/>
        </w:rPr>
        <w:t>CO</w:t>
      </w:r>
      <w:r w:rsidR="53135B73" w:rsidRPr="009D23AF">
        <w:rPr>
          <w:vertAlign w:val="subscript"/>
        </w:rPr>
        <w:t>2</w:t>
      </w:r>
      <w:r w:rsidR="53135B73">
        <w:rPr>
          <w:vertAlign w:val="subscript"/>
        </w:rPr>
        <w:t xml:space="preserve">, </w:t>
      </w:r>
      <w:r w:rsidR="53135B73">
        <w:t>respectively (</w:t>
      </w:r>
      <w:r w:rsidR="40A670EB" w:rsidRPr="00D06FAD">
        <w:t>Sabatino et al 202</w:t>
      </w:r>
      <w:r w:rsidR="782E3399" w:rsidRPr="00D06FAD">
        <w:t>1</w:t>
      </w:r>
      <w:r w:rsidR="53135B73" w:rsidRPr="00D06FAD">
        <w:t>)</w:t>
      </w:r>
      <w:r w:rsidR="76AAB54E" w:rsidRPr="00D06FAD">
        <w:t>.</w:t>
      </w:r>
      <w:r w:rsidR="76AAB54E">
        <w:t xml:space="preserve"> The CO</w:t>
      </w:r>
      <w:r w:rsidR="76AAB54E">
        <w:rPr>
          <w:vertAlign w:val="subscript"/>
        </w:rPr>
        <w:t>2</w:t>
      </w:r>
      <w:r w:rsidR="76AAB54E">
        <w:t xml:space="preserve"> captured from the pulp and paper mill is 95% biogenic and </w:t>
      </w:r>
      <w:r w:rsidR="5F560C28">
        <w:t xml:space="preserve">has </w:t>
      </w:r>
      <w:r w:rsidR="76AAB54E">
        <w:t xml:space="preserve">a cost of </w:t>
      </w:r>
      <w:r w:rsidR="05EC140B" w:rsidRPr="009D23AF">
        <w:t>75 $/t</w:t>
      </w:r>
      <w:r w:rsidR="05EC140B" w:rsidRPr="009D23AF">
        <w:rPr>
          <w:vertAlign w:val="subscript"/>
        </w:rPr>
        <w:t>CO2</w:t>
      </w:r>
      <w:r w:rsidR="76AAB54E">
        <w:t xml:space="preserve"> in the baseline scenario (</w:t>
      </w:r>
      <w:r w:rsidR="27C2E194" w:rsidRPr="004B523C">
        <w:t>Onarheim et al. 2017</w:t>
      </w:r>
      <w:r w:rsidR="76AAB54E">
        <w:t xml:space="preserve">). </w:t>
      </w:r>
      <w:r w:rsidR="0CA618CA" w:rsidRPr="009D23AF">
        <w:t>The H</w:t>
      </w:r>
      <w:r w:rsidR="0CA618CA" w:rsidRPr="009D23AF">
        <w:rPr>
          <w:vertAlign w:val="subscript"/>
        </w:rPr>
        <w:t>2</w:t>
      </w:r>
      <w:r w:rsidR="0CA618CA" w:rsidRPr="009D23AF">
        <w:t xml:space="preserve"> </w:t>
      </w:r>
      <w:r w:rsidR="76AAB54E">
        <w:t xml:space="preserve">cost </w:t>
      </w:r>
      <w:r w:rsidR="0CA618CA" w:rsidRPr="009D23AF">
        <w:t xml:space="preserve">is estimated </w:t>
      </w:r>
      <w:r w:rsidR="643E3391" w:rsidRPr="009D23AF">
        <w:t>at 4.3 $/kg</w:t>
      </w:r>
      <w:r w:rsidR="643E3391" w:rsidRPr="009D23AF">
        <w:rPr>
          <w:vertAlign w:val="subscript"/>
        </w:rPr>
        <w:t>H2</w:t>
      </w:r>
      <w:r w:rsidR="643E3391" w:rsidRPr="009D23AF">
        <w:t xml:space="preserve">, </w:t>
      </w:r>
      <w:r w:rsidR="0CA618CA" w:rsidRPr="009D23AF">
        <w:t xml:space="preserve">considering </w:t>
      </w:r>
      <w:r w:rsidR="025EC802" w:rsidRPr="009D23AF">
        <w:t xml:space="preserve">an </w:t>
      </w:r>
      <w:r w:rsidR="76AAB54E">
        <w:t xml:space="preserve">offshore wind </w:t>
      </w:r>
      <w:r w:rsidR="025EC802" w:rsidRPr="009D23AF">
        <w:t xml:space="preserve">electricity </w:t>
      </w:r>
      <w:r w:rsidR="76AAB54E">
        <w:t xml:space="preserve">price </w:t>
      </w:r>
      <w:r w:rsidR="025EC802" w:rsidRPr="009D23AF">
        <w:t xml:space="preserve">of </w:t>
      </w:r>
      <w:r w:rsidR="002DEB84" w:rsidRPr="009D23AF">
        <w:t>67 $/</w:t>
      </w:r>
      <w:proofErr w:type="spellStart"/>
      <w:r w:rsidR="002DEB84" w:rsidRPr="009D23AF">
        <w:t>MWh</w:t>
      </w:r>
      <w:r w:rsidR="53D72393" w:rsidRPr="009D23AF">
        <w:rPr>
          <w:vertAlign w:val="subscript"/>
        </w:rPr>
        <w:t>el</w:t>
      </w:r>
      <w:proofErr w:type="spellEnd"/>
      <w:r w:rsidR="025EC802" w:rsidRPr="009D23AF">
        <w:t xml:space="preserve">, </w:t>
      </w:r>
      <w:r w:rsidR="0CA618CA" w:rsidRPr="009D23AF">
        <w:t>an energy efficiency of 67.5</w:t>
      </w:r>
      <w:r w:rsidR="653B48C6" w:rsidRPr="009D23AF">
        <w:t> </w:t>
      </w:r>
      <w:r w:rsidR="0CA618CA" w:rsidRPr="009D23AF">
        <w:t>%</w:t>
      </w:r>
      <w:r w:rsidR="0CA618CA" w:rsidRPr="009D23AF">
        <w:rPr>
          <w:vertAlign w:val="subscript"/>
        </w:rPr>
        <w:t>LHV</w:t>
      </w:r>
      <w:r w:rsidR="653B48C6" w:rsidRPr="009D23AF">
        <w:t>, 20 %</w:t>
      </w:r>
      <w:r w:rsidR="4B2E67BD" w:rsidRPr="009D23AF">
        <w:t xml:space="preserve"> cost increase</w:t>
      </w:r>
      <w:r w:rsidR="653B48C6" w:rsidRPr="009D23AF">
        <w:t xml:space="preserve"> to account for </w:t>
      </w:r>
      <w:r w:rsidR="644F62AC" w:rsidRPr="009D23AF">
        <w:t xml:space="preserve">electricity </w:t>
      </w:r>
      <w:r w:rsidR="12ED992F" w:rsidRPr="009D23AF">
        <w:t xml:space="preserve">intermittency, and 26% </w:t>
      </w:r>
      <w:r w:rsidR="644F62AC" w:rsidRPr="009D23AF">
        <w:t>added to the total cost to account for capital and operating expenditures other than electricity</w:t>
      </w:r>
      <w:r w:rsidR="313E56D5">
        <w:t>.</w:t>
      </w:r>
      <w:r w:rsidR="49DCEAAB">
        <w:t xml:space="preserve"> </w:t>
      </w:r>
      <w:r w:rsidR="2FB4C54B">
        <w:t>An optimistic scenario</w:t>
      </w:r>
      <w:r w:rsidR="517A949B">
        <w:t xml:space="preserve"> is also briefly discussed, </w:t>
      </w:r>
      <w:r w:rsidR="41E2E680">
        <w:t xml:space="preserve">which </w:t>
      </w:r>
      <w:r w:rsidR="52A34C55">
        <w:t>consider</w:t>
      </w:r>
      <w:r w:rsidR="47C54AC2">
        <w:t>s</w:t>
      </w:r>
      <w:r w:rsidR="52A34C55">
        <w:t xml:space="preserve"> price</w:t>
      </w:r>
      <w:r w:rsidR="3515B9B8">
        <w:t>s</w:t>
      </w:r>
      <w:r w:rsidR="52F23C8E">
        <w:t xml:space="preserve"> of </w:t>
      </w:r>
      <w:r w:rsidR="517A949B">
        <w:t>1.5</w:t>
      </w:r>
      <w:r w:rsidR="7BD0F80F">
        <w:t> </w:t>
      </w:r>
      <w:r w:rsidR="517A949B">
        <w:t>$/kg</w:t>
      </w:r>
      <w:r w:rsidR="7BD0F80F" w:rsidRPr="3A6A90CB">
        <w:rPr>
          <w:vertAlign w:val="subscript"/>
        </w:rPr>
        <w:t>H2</w:t>
      </w:r>
      <w:r w:rsidR="6666DEB4">
        <w:t xml:space="preserve"> </w:t>
      </w:r>
      <w:r w:rsidR="3D25BD70">
        <w:t>(</w:t>
      </w:r>
      <w:r w:rsidR="100487BE" w:rsidRPr="00A53E01">
        <w:t>Brändle</w:t>
      </w:r>
      <w:r w:rsidR="100487BE" w:rsidRPr="0F219487">
        <w:t xml:space="preserve"> </w:t>
      </w:r>
      <w:r w:rsidR="100487BE" w:rsidRPr="007A7DCD">
        <w:t>et al.</w:t>
      </w:r>
      <w:r w:rsidR="37B65DD0" w:rsidRPr="0F219487">
        <w:rPr>
          <w:i/>
          <w:iCs/>
        </w:rPr>
        <w:t>,</w:t>
      </w:r>
      <w:r w:rsidR="100487BE">
        <w:t xml:space="preserve"> 2021)</w:t>
      </w:r>
      <w:r w:rsidR="3C9448BD">
        <w:t xml:space="preserve">, </w:t>
      </w:r>
      <w:r w:rsidR="1D7297DF">
        <w:t xml:space="preserve">150 </w:t>
      </w:r>
      <w:r w:rsidR="48B56522">
        <w:t>$/t</w:t>
      </w:r>
      <w:r w:rsidR="48B56522" w:rsidRPr="3A6A90CB">
        <w:rPr>
          <w:vertAlign w:val="subscript"/>
        </w:rPr>
        <w:t>CO2</w:t>
      </w:r>
      <w:r w:rsidR="752CE4A9">
        <w:rPr>
          <w:vertAlign w:val="subscript"/>
        </w:rPr>
        <w:t>, DAC</w:t>
      </w:r>
      <w:r w:rsidR="752CE4A9">
        <w:t>, and 50 $/t</w:t>
      </w:r>
      <w:r w:rsidR="752CE4A9">
        <w:rPr>
          <w:vertAlign w:val="subscript"/>
        </w:rPr>
        <w:t>C</w:t>
      </w:r>
      <w:r w:rsidR="752CE4A9" w:rsidRPr="3A6A90CB">
        <w:rPr>
          <w:vertAlign w:val="subscript"/>
        </w:rPr>
        <w:t>O</w:t>
      </w:r>
      <w:proofErr w:type="gramStart"/>
      <w:r w:rsidR="752CE4A9" w:rsidRPr="3A6A90CB">
        <w:rPr>
          <w:vertAlign w:val="subscript"/>
        </w:rPr>
        <w:t>2</w:t>
      </w:r>
      <w:r w:rsidR="66B9E619">
        <w:rPr>
          <w:vertAlign w:val="subscript"/>
        </w:rPr>
        <w:t>,biog</w:t>
      </w:r>
      <w:r w:rsidR="104DDCF1">
        <w:t>.</w:t>
      </w:r>
      <w:proofErr w:type="gramEnd"/>
      <w:r w:rsidR="1F45413D">
        <w:t xml:space="preserve"> </w:t>
      </w:r>
      <w:r w:rsidR="66B9E619">
        <w:t>All</w:t>
      </w:r>
      <w:r w:rsidR="1F45413D" w:rsidRPr="009D23AF">
        <w:t xml:space="preserve"> costs throughout the paper are expressed in US$</w:t>
      </w:r>
      <w:r w:rsidR="1F45413D" w:rsidRPr="009D23AF">
        <w:rPr>
          <w:vertAlign w:val="subscript"/>
        </w:rPr>
        <w:t>2023</w:t>
      </w:r>
      <w:r w:rsidR="09206591" w:rsidRPr="009D23AF">
        <w:t xml:space="preserve"> for consistency.</w:t>
      </w:r>
    </w:p>
    <w:p w14:paraId="14D15ED9" w14:textId="239F34C3" w:rsidR="00E2145A" w:rsidRDefault="38502177" w:rsidP="007A7DCD">
      <w:pPr>
        <w:pStyle w:val="Els-body-text"/>
        <w:spacing w:before="120" w:line="259" w:lineRule="auto"/>
      </w:pPr>
      <w:r w:rsidRPr="0F219487">
        <w:rPr>
          <w:b/>
          <w:bCs/>
        </w:rPr>
        <w:lastRenderedPageBreak/>
        <w:t>One-step FT synthesis</w:t>
      </w:r>
      <w:r w:rsidR="32EAE71B" w:rsidRPr="0F219487">
        <w:rPr>
          <w:b/>
          <w:bCs/>
        </w:rPr>
        <w:t xml:space="preserve"> (1sFT)</w:t>
      </w:r>
      <w:r w:rsidRPr="0F219487">
        <w:rPr>
          <w:b/>
          <w:bCs/>
        </w:rPr>
        <w:t>.</w:t>
      </w:r>
      <w:r>
        <w:t xml:space="preserve"> </w:t>
      </w:r>
      <w:r w:rsidR="5148CBA8">
        <w:t xml:space="preserve">The FT reactor operates at </w:t>
      </w:r>
      <w:r w:rsidR="6F6DA4B1">
        <w:t>260 °C and 10</w:t>
      </w:r>
      <w:r w:rsidR="1FB1F0F8">
        <w:t> </w:t>
      </w:r>
      <w:r w:rsidR="6F6DA4B1">
        <w:t>bar</w:t>
      </w:r>
      <w:r w:rsidR="1FB1F0F8">
        <w:t xml:space="preserve"> </w:t>
      </w:r>
      <w:r w:rsidR="04315586">
        <w:t xml:space="preserve">with conversion and selectivities obtained from </w:t>
      </w:r>
      <w:r w:rsidR="1FB1F0F8">
        <w:t>Y</w:t>
      </w:r>
      <w:r w:rsidR="6F6DA4B1">
        <w:t>ao</w:t>
      </w:r>
      <w:r w:rsidR="6F6DA4B1" w:rsidRPr="0F219487">
        <w:t xml:space="preserve"> et al. </w:t>
      </w:r>
      <w:r w:rsidR="07A7E720">
        <w:t>(</w:t>
      </w:r>
      <w:r w:rsidR="6F6DA4B1">
        <w:t>2020)</w:t>
      </w:r>
      <w:r w:rsidR="166A6EAF">
        <w:t xml:space="preserve">.  </w:t>
      </w:r>
      <w:r w:rsidR="7221356B">
        <w:t>H</w:t>
      </w:r>
      <w:r w:rsidR="7221356B" w:rsidRPr="0F219487">
        <w:rPr>
          <w:vertAlign w:val="subscript"/>
        </w:rPr>
        <w:t>2</w:t>
      </w:r>
      <w:r w:rsidR="7221356B">
        <w:t xml:space="preserve"> is fed </w:t>
      </w:r>
      <w:r w:rsidR="3E00868B">
        <w:t xml:space="preserve">to the process </w:t>
      </w:r>
      <w:r w:rsidR="7221356B">
        <w:t xml:space="preserve">in a </w:t>
      </w:r>
      <w:r w:rsidR="4646F97D">
        <w:t>H</w:t>
      </w:r>
      <w:proofErr w:type="gramStart"/>
      <w:r w:rsidR="4646F97D" w:rsidRPr="0F219487">
        <w:rPr>
          <w:vertAlign w:val="subscript"/>
        </w:rPr>
        <w:t>2</w:t>
      </w:r>
      <w:r w:rsidR="166A6EAF">
        <w:t>:CO</w:t>
      </w:r>
      <w:r w:rsidR="166A6EAF" w:rsidRPr="0F219487">
        <w:rPr>
          <w:vertAlign w:val="subscript"/>
        </w:rPr>
        <w:t>2</w:t>
      </w:r>
      <w:proofErr w:type="gramEnd"/>
      <w:r w:rsidR="166A6EAF">
        <w:t xml:space="preserve"> molar ratio</w:t>
      </w:r>
      <w:r w:rsidR="3BC923E0">
        <w:t xml:space="preserve"> of 3:1.</w:t>
      </w:r>
      <w:r w:rsidR="166A6EAF">
        <w:t xml:space="preserve"> </w:t>
      </w:r>
      <w:r w:rsidR="7482D3BB">
        <w:t xml:space="preserve">The outlet stream </w:t>
      </w:r>
      <w:r w:rsidR="1FF261D4">
        <w:t xml:space="preserve">enters </w:t>
      </w:r>
      <w:r w:rsidR="7482D3BB">
        <w:t>a sequence of two 3-phase separators operating at</w:t>
      </w:r>
      <w:r w:rsidR="1FCD6E68">
        <w:t xml:space="preserve"> 70 °C and 40 °C</w:t>
      </w:r>
      <w:r w:rsidR="64284BBE">
        <w:t xml:space="preserve"> </w:t>
      </w:r>
      <w:r w:rsidR="7C5338C8">
        <w:t>both under</w:t>
      </w:r>
      <w:r w:rsidR="7482D3BB">
        <w:t xml:space="preserve"> </w:t>
      </w:r>
      <w:r w:rsidR="1FCD6E68">
        <w:t>10 bar</w:t>
      </w:r>
      <w:r w:rsidR="34A06B2A">
        <w:t xml:space="preserve">. </w:t>
      </w:r>
      <w:r w:rsidR="45ECA9A0">
        <w:t xml:space="preserve">A small (2%) fraction </w:t>
      </w:r>
      <w:r w:rsidR="14D2E3A1">
        <w:t xml:space="preserve">of the gaseous stream coming out of the second separator is burned to produce </w:t>
      </w:r>
      <w:r w:rsidR="73AB70F6">
        <w:t xml:space="preserve">heat and </w:t>
      </w:r>
      <w:r w:rsidR="14D2E3A1">
        <w:t xml:space="preserve">electricity </w:t>
      </w:r>
      <w:r w:rsidR="73AB70F6">
        <w:t>in a gas and steam cycle</w:t>
      </w:r>
      <w:r w:rsidR="1DCCCFC3">
        <w:t>, while the rest is recycled to the FT reactor. The</w:t>
      </w:r>
      <w:r w:rsidR="0917C916">
        <w:t xml:space="preserve"> other two streams from the 3-phase separators are wastewater</w:t>
      </w:r>
      <w:r w:rsidR="1753D120">
        <w:t xml:space="preserve"> and liquid hydrocarbons. The liquid hydrocarbons are </w:t>
      </w:r>
      <w:r w:rsidR="07957354">
        <w:t>mixed</w:t>
      </w:r>
      <w:r w:rsidR="5E5EFF51">
        <w:t>, expanded to 1 bar and cooled down to 35 °C</w:t>
      </w:r>
      <w:r w:rsidR="741D73BB">
        <w:t xml:space="preserve">. </w:t>
      </w:r>
      <w:r w:rsidR="4414E9FB" w:rsidRPr="007A7DCD">
        <w:t>T</w:t>
      </w:r>
      <w:r w:rsidR="3FB2AD81">
        <w:t>he vapor phase</w:t>
      </w:r>
      <w:r w:rsidR="73B1E95B">
        <w:t xml:space="preserve"> </w:t>
      </w:r>
      <w:r w:rsidR="526B292A">
        <w:t xml:space="preserve">from a flash </w:t>
      </w:r>
      <w:r w:rsidR="4D01F8D8">
        <w:t>separator</w:t>
      </w:r>
      <w:r w:rsidR="526B292A">
        <w:t xml:space="preserve"> </w:t>
      </w:r>
      <w:r w:rsidR="73B1E95B">
        <w:t>(</w:t>
      </w:r>
      <w:r w:rsidR="3FB2AD81">
        <w:t>CO</w:t>
      </w:r>
      <w:r w:rsidR="3FB2AD81" w:rsidRPr="0F219487">
        <w:rPr>
          <w:vertAlign w:val="subscript"/>
        </w:rPr>
        <w:t>2</w:t>
      </w:r>
      <w:r w:rsidR="3FB2AD81">
        <w:t xml:space="preserve"> and </w:t>
      </w:r>
      <w:r w:rsidR="0B980DA1">
        <w:t xml:space="preserve">C1–C4 </w:t>
      </w:r>
      <w:r w:rsidR="3FB2AD81">
        <w:t>hydrocarbons)</w:t>
      </w:r>
      <w:r w:rsidR="20534DAA">
        <w:t xml:space="preserve"> is burned to produce additional electricity</w:t>
      </w:r>
      <w:r w:rsidR="35F7EE84">
        <w:t xml:space="preserve">, </w:t>
      </w:r>
      <w:r w:rsidR="081E5C96">
        <w:t xml:space="preserve">while </w:t>
      </w:r>
      <w:r w:rsidR="35F7EE84">
        <w:t xml:space="preserve">the liquid </w:t>
      </w:r>
      <w:r w:rsidR="3494EB34">
        <w:t xml:space="preserve">phase </w:t>
      </w:r>
      <w:r w:rsidR="25B622D9">
        <w:t>containing</w:t>
      </w:r>
      <w:r w:rsidR="2C59A7D7">
        <w:t xml:space="preserve"> the </w:t>
      </w:r>
      <w:r w:rsidR="70BBE972">
        <w:t>fuel blend</w:t>
      </w:r>
      <w:r w:rsidR="7A670535">
        <w:t xml:space="preserve"> </w:t>
      </w:r>
      <w:r w:rsidR="7E19F01F">
        <w:t xml:space="preserve">product </w:t>
      </w:r>
      <w:r w:rsidR="2E1477A3">
        <w:t>is</w:t>
      </w:r>
      <w:r w:rsidR="4EFE7294">
        <w:t xml:space="preserve"> sent to the refinery.</w:t>
      </w:r>
      <w:r w:rsidR="1DA333CC">
        <w:t xml:space="preserve"> </w:t>
      </w:r>
      <w:r w:rsidR="69013B03">
        <w:t>A carbon capture (CC) unit is installed to capture 95%</w:t>
      </w:r>
      <w:r w:rsidR="4DB442E8" w:rsidRPr="0F219487">
        <w:rPr>
          <w:vertAlign w:val="subscript"/>
        </w:rPr>
        <w:t>wt</w:t>
      </w:r>
      <w:r w:rsidR="4DB442E8">
        <w:t xml:space="preserve"> of the CO</w:t>
      </w:r>
      <w:r w:rsidR="4DB442E8" w:rsidRPr="0F219487">
        <w:rPr>
          <w:vertAlign w:val="subscript"/>
        </w:rPr>
        <w:t>2</w:t>
      </w:r>
      <w:r w:rsidR="69013B03">
        <w:t xml:space="preserve"> </w:t>
      </w:r>
      <w:r w:rsidR="4DB442E8">
        <w:t>in the flue gas</w:t>
      </w:r>
      <w:r w:rsidR="10E28136">
        <w:t>, which</w:t>
      </w:r>
      <w:r w:rsidR="6C3B8D71">
        <w:t xml:space="preserve"> is </w:t>
      </w:r>
      <w:r w:rsidR="73D2FEE0">
        <w:t>recycle</w:t>
      </w:r>
      <w:r w:rsidR="6C3B8D71">
        <w:t>d</w:t>
      </w:r>
      <w:r w:rsidR="73D2FEE0">
        <w:t xml:space="preserve"> back to the FT reactor. The fuel</w:t>
      </w:r>
      <w:r w:rsidR="4EFE7294">
        <w:t xml:space="preserve"> blend contains </w:t>
      </w:r>
      <w:r w:rsidR="451C3D52">
        <w:t>1</w:t>
      </w:r>
      <w:r w:rsidR="50787D39">
        <w:t>6.4</w:t>
      </w:r>
      <w:r w:rsidR="19622667">
        <w:t>%</w:t>
      </w:r>
      <w:r w:rsidR="3869DD6D" w:rsidRPr="0F219487">
        <w:rPr>
          <w:vertAlign w:val="subscript"/>
        </w:rPr>
        <w:t>wt</w:t>
      </w:r>
      <w:r w:rsidR="19622667">
        <w:t xml:space="preserve"> gasoline</w:t>
      </w:r>
      <w:r w:rsidR="0BCD8082">
        <w:t xml:space="preserve"> (C5-C7)</w:t>
      </w:r>
      <w:r w:rsidR="19622667">
        <w:t xml:space="preserve">, </w:t>
      </w:r>
      <w:r w:rsidR="451C3D52">
        <w:t>76</w:t>
      </w:r>
      <w:r w:rsidR="19622667">
        <w:t>%</w:t>
      </w:r>
      <w:r w:rsidR="3869DD6D" w:rsidRPr="0F219487">
        <w:rPr>
          <w:vertAlign w:val="subscript"/>
        </w:rPr>
        <w:t>wt</w:t>
      </w:r>
      <w:r w:rsidR="19622667">
        <w:t xml:space="preserve"> SAF</w:t>
      </w:r>
      <w:r w:rsidR="0BCD8082">
        <w:t xml:space="preserve"> (C8-C16)</w:t>
      </w:r>
      <w:r w:rsidR="19622667">
        <w:t xml:space="preserve">, </w:t>
      </w:r>
      <w:r w:rsidR="7C41E80E">
        <w:t>4.6</w:t>
      </w:r>
      <w:r w:rsidR="2A208EC1">
        <w:t>%</w:t>
      </w:r>
      <w:r w:rsidR="3869DD6D" w:rsidRPr="0F219487">
        <w:rPr>
          <w:vertAlign w:val="subscript"/>
        </w:rPr>
        <w:t>wt</w:t>
      </w:r>
      <w:r w:rsidR="2A208EC1">
        <w:t xml:space="preserve"> diesel</w:t>
      </w:r>
      <w:r w:rsidR="0BCD8082">
        <w:t xml:space="preserve"> (C17-C</w:t>
      </w:r>
      <w:r w:rsidR="57A99593">
        <w:t>20)</w:t>
      </w:r>
      <w:r w:rsidR="2A208EC1">
        <w:t>, 2.</w:t>
      </w:r>
      <w:r w:rsidR="50787D39">
        <w:t>8</w:t>
      </w:r>
      <w:r w:rsidR="2A208EC1">
        <w:t>%</w:t>
      </w:r>
      <w:r w:rsidR="3869DD6D" w:rsidRPr="0F219487">
        <w:rPr>
          <w:vertAlign w:val="subscript"/>
        </w:rPr>
        <w:t>wt</w:t>
      </w:r>
      <w:r w:rsidR="2A208EC1">
        <w:t xml:space="preserve"> light hydrocarbons</w:t>
      </w:r>
      <w:r w:rsidR="57A99593">
        <w:t xml:space="preserve"> (C1-C4)</w:t>
      </w:r>
      <w:r w:rsidR="6C57C712">
        <w:t>,</w:t>
      </w:r>
      <w:r w:rsidR="2A208EC1">
        <w:t xml:space="preserve"> and </w:t>
      </w:r>
      <w:r w:rsidR="1A8351B4">
        <w:t>traces (&lt;1%</w:t>
      </w:r>
      <w:r w:rsidR="3869DD6D" w:rsidRPr="0F219487">
        <w:rPr>
          <w:vertAlign w:val="subscript"/>
        </w:rPr>
        <w:t>wt</w:t>
      </w:r>
      <w:r w:rsidR="1A8351B4">
        <w:t>) amount of wax</w:t>
      </w:r>
      <w:r w:rsidR="57A99593">
        <w:t xml:space="preserve"> (C20+</w:t>
      </w:r>
      <w:r w:rsidR="29D31E05">
        <w:t>)</w:t>
      </w:r>
      <w:r w:rsidR="1A8351B4">
        <w:t xml:space="preserve">. </w:t>
      </w:r>
    </w:p>
    <w:p w14:paraId="2539E3AA" w14:textId="48DF8B4A" w:rsidR="00981851" w:rsidRDefault="5E5BE0FE" w:rsidP="007A7DCD">
      <w:pPr>
        <w:pStyle w:val="Els-body-text"/>
        <w:spacing w:before="120" w:line="259" w:lineRule="auto"/>
      </w:pPr>
      <w:r w:rsidRPr="0F219487">
        <w:rPr>
          <w:b/>
          <w:bCs/>
        </w:rPr>
        <w:t>Methanol-to-</w:t>
      </w:r>
      <w:r w:rsidR="1A9F9E9C" w:rsidRPr="0F219487">
        <w:rPr>
          <w:b/>
          <w:bCs/>
        </w:rPr>
        <w:t>j</w:t>
      </w:r>
      <w:r w:rsidRPr="0F219487">
        <w:rPr>
          <w:b/>
          <w:bCs/>
        </w:rPr>
        <w:t>et process (MTJ)</w:t>
      </w:r>
      <w:r w:rsidR="1F57A983" w:rsidRPr="0F219487">
        <w:rPr>
          <w:b/>
          <w:bCs/>
        </w:rPr>
        <w:t>.</w:t>
      </w:r>
      <w:r w:rsidR="6865A93F">
        <w:t xml:space="preserve"> </w:t>
      </w:r>
      <w:r w:rsidR="5D186856">
        <w:t>M</w:t>
      </w:r>
      <w:r w:rsidR="1FAA1640">
        <w:t xml:space="preserve">ethanol </w:t>
      </w:r>
      <w:r w:rsidR="5D186856">
        <w:t>is produced from direct CO</w:t>
      </w:r>
      <w:r w:rsidR="5D186856" w:rsidRPr="0F219487">
        <w:rPr>
          <w:vertAlign w:val="subscript"/>
        </w:rPr>
        <w:t>2</w:t>
      </w:r>
      <w:r w:rsidR="5D186856">
        <w:t xml:space="preserve"> hydrogenation in </w:t>
      </w:r>
      <w:r w:rsidR="5ECD7803">
        <w:t xml:space="preserve">an isothermal reactor </w:t>
      </w:r>
      <w:r w:rsidR="5D186856">
        <w:t xml:space="preserve">operating </w:t>
      </w:r>
      <w:r w:rsidR="0E5289AC">
        <w:t xml:space="preserve">at 260 </w:t>
      </w:r>
      <w:r w:rsidR="0B839225">
        <w:t>°</w:t>
      </w:r>
      <w:r w:rsidR="0E5289AC">
        <w:t>C and 65 bar</w:t>
      </w:r>
      <w:r w:rsidR="5ECD7803">
        <w:t xml:space="preserve">, </w:t>
      </w:r>
      <w:r w:rsidR="06155406">
        <w:t>described by</w:t>
      </w:r>
      <w:r w:rsidR="5ECD7803">
        <w:t xml:space="preserve"> the model by </w:t>
      </w:r>
      <w:r w:rsidR="069FC90F">
        <w:t xml:space="preserve">Vanden </w:t>
      </w:r>
      <w:proofErr w:type="spellStart"/>
      <w:r w:rsidR="069FC90F">
        <w:t>Bussche</w:t>
      </w:r>
      <w:proofErr w:type="spellEnd"/>
      <w:r w:rsidR="069FC90F">
        <w:t xml:space="preserve"> and Froment (1996)</w:t>
      </w:r>
      <w:r w:rsidR="0E5289AC">
        <w:t xml:space="preserve">. </w:t>
      </w:r>
      <w:r w:rsidR="7FE7208A">
        <w:t xml:space="preserve">Methanol and water are recovered in two flash separators </w:t>
      </w:r>
      <w:r w:rsidR="6D10C23A">
        <w:t xml:space="preserve">operating at </w:t>
      </w:r>
      <w:r w:rsidR="261D9231">
        <w:t xml:space="preserve">50 °C and under </w:t>
      </w:r>
      <w:r w:rsidR="344E0E6F">
        <w:t xml:space="preserve">65 </w:t>
      </w:r>
      <w:r w:rsidR="4095B9AF">
        <w:t xml:space="preserve">bar </w:t>
      </w:r>
      <w:r w:rsidR="344E0E6F">
        <w:t>and 1 bar</w:t>
      </w:r>
      <w:r w:rsidR="0B839225">
        <w:t>.</w:t>
      </w:r>
      <w:r w:rsidR="6D10C23A">
        <w:t xml:space="preserve"> The unreacted syngas is recycled back to the methanol react</w:t>
      </w:r>
      <w:r w:rsidR="04B39F23">
        <w:t xml:space="preserve">or </w:t>
      </w:r>
      <w:r w:rsidR="1FB6FBCD">
        <w:t xml:space="preserve">except for </w:t>
      </w:r>
      <w:r w:rsidR="1599DCAD">
        <w:t>a 1%</w:t>
      </w:r>
      <w:r w:rsidR="04B39F23">
        <w:t xml:space="preserve"> purg</w:t>
      </w:r>
      <w:r w:rsidR="67BBB54F">
        <w:t xml:space="preserve">e stream that is </w:t>
      </w:r>
      <w:r w:rsidR="0B87A4E3">
        <w:t xml:space="preserve">burned to </w:t>
      </w:r>
      <w:r w:rsidR="1043E8CA">
        <w:t>produce electricity</w:t>
      </w:r>
      <w:r w:rsidR="04B39F23">
        <w:t xml:space="preserve">. A distillation column is used to </w:t>
      </w:r>
      <w:r w:rsidR="2DC70FC8">
        <w:t xml:space="preserve">separate water from </w:t>
      </w:r>
      <w:r w:rsidR="08263A67">
        <w:t xml:space="preserve">the </w:t>
      </w:r>
      <w:r w:rsidR="2DC70FC8">
        <w:t>methanol</w:t>
      </w:r>
      <w:r w:rsidR="790D16C8">
        <w:t xml:space="preserve"> product that is </w:t>
      </w:r>
      <w:r w:rsidR="0271CDD8">
        <w:t xml:space="preserve">sent to the upgrading section. </w:t>
      </w:r>
      <w:r w:rsidR="02C74C25">
        <w:t xml:space="preserve">Methanol is first converted to olefins in a methanol-to-olefins (MTO) reactor, operating at </w:t>
      </w:r>
      <w:r w:rsidR="144637EF">
        <w:t xml:space="preserve">450 </w:t>
      </w:r>
      <w:r w:rsidR="1043E8CA">
        <w:t>°</w:t>
      </w:r>
      <w:r w:rsidR="144637EF">
        <w:t>C and 2 bar</w:t>
      </w:r>
      <w:r w:rsidR="063C6334">
        <w:t xml:space="preserve">. </w:t>
      </w:r>
      <w:r w:rsidR="438BD883">
        <w:t xml:space="preserve">The outlet stream is cooled to </w:t>
      </w:r>
      <w:r w:rsidR="756743D5">
        <w:t xml:space="preserve">50 </w:t>
      </w:r>
      <w:r w:rsidR="1043E8CA">
        <w:t>°</w:t>
      </w:r>
      <w:r w:rsidR="756743D5">
        <w:t xml:space="preserve">C to remove the </w:t>
      </w:r>
      <w:r w:rsidR="652E371C">
        <w:t xml:space="preserve">water </w:t>
      </w:r>
      <w:r w:rsidR="28D3C7CE">
        <w:t>then</w:t>
      </w:r>
      <w:r w:rsidR="756743D5">
        <w:t xml:space="preserve"> sent to an adsorption column to remove the CO</w:t>
      </w:r>
      <w:r w:rsidR="756743D5" w:rsidRPr="0F219487">
        <w:rPr>
          <w:vertAlign w:val="subscript"/>
        </w:rPr>
        <w:t>2</w:t>
      </w:r>
      <w:r w:rsidR="756743D5">
        <w:t xml:space="preserve"> </w:t>
      </w:r>
      <w:r w:rsidR="226D316A">
        <w:t xml:space="preserve">and </w:t>
      </w:r>
      <w:r w:rsidR="756743D5">
        <w:t xml:space="preserve">a </w:t>
      </w:r>
      <w:r w:rsidR="5FD280D1">
        <w:t xml:space="preserve">distillation train to separate </w:t>
      </w:r>
      <w:r w:rsidR="0B8E58CF">
        <w:t xml:space="preserve">the </w:t>
      </w:r>
      <w:r w:rsidR="5FD280D1">
        <w:t>ethylene, propene and butene</w:t>
      </w:r>
      <w:r w:rsidR="7883CCE8">
        <w:t xml:space="preserve"> co-products</w:t>
      </w:r>
      <w:r w:rsidR="5FD280D1">
        <w:t xml:space="preserve">. </w:t>
      </w:r>
      <w:r w:rsidR="3F04A72C">
        <w:t>The</w:t>
      </w:r>
      <w:r w:rsidR="46BE48C2">
        <w:t xml:space="preserve"> olefins stream is compressed to </w:t>
      </w:r>
      <w:r w:rsidR="0991A0E2">
        <w:t xml:space="preserve">30 </w:t>
      </w:r>
      <w:proofErr w:type="gramStart"/>
      <w:r w:rsidR="0991A0E2">
        <w:t>bar</w:t>
      </w:r>
      <w:proofErr w:type="gramEnd"/>
      <w:r w:rsidR="0991A0E2">
        <w:t xml:space="preserve"> before entering the first column</w:t>
      </w:r>
      <w:r w:rsidR="437840D0">
        <w:t>, where</w:t>
      </w:r>
      <w:r w:rsidR="0991A0E2">
        <w:t xml:space="preserve"> </w:t>
      </w:r>
      <w:r w:rsidR="001496ED">
        <w:t>99%</w:t>
      </w:r>
      <w:r w:rsidR="001496ED" w:rsidRPr="0F219487">
        <w:rPr>
          <w:vertAlign w:val="subscript"/>
        </w:rPr>
        <w:t>wt</w:t>
      </w:r>
      <w:r w:rsidR="001496ED">
        <w:t xml:space="preserve"> pure </w:t>
      </w:r>
      <w:r w:rsidR="0991A0E2">
        <w:t xml:space="preserve">ethylene is </w:t>
      </w:r>
      <w:r w:rsidR="11430668">
        <w:t xml:space="preserve">recovered at </w:t>
      </w:r>
      <w:r w:rsidR="001496ED">
        <w:t>the top</w:t>
      </w:r>
      <w:r w:rsidR="437840D0">
        <w:t xml:space="preserve"> </w:t>
      </w:r>
      <w:r w:rsidR="0ADC7004">
        <w:t xml:space="preserve">with </w:t>
      </w:r>
      <w:r w:rsidR="6F0192EA">
        <w:t>a</w:t>
      </w:r>
      <w:r w:rsidR="437840D0">
        <w:t xml:space="preserve"> condenser temperature </w:t>
      </w:r>
      <w:r w:rsidR="0BC64782">
        <w:t>of</w:t>
      </w:r>
      <w:r w:rsidR="001496ED">
        <w:t xml:space="preserve"> -13 </w:t>
      </w:r>
      <w:r w:rsidR="46380B94">
        <w:t>°</w:t>
      </w:r>
      <w:r w:rsidR="001496ED">
        <w:t>C</w:t>
      </w:r>
      <w:r w:rsidR="0A8CB8E4">
        <w:t xml:space="preserve">. The </w:t>
      </w:r>
      <w:r w:rsidR="0D96550F">
        <w:t xml:space="preserve">bottom stream </w:t>
      </w:r>
      <w:r w:rsidR="51F31A4D">
        <w:t xml:space="preserve">is </w:t>
      </w:r>
      <w:r w:rsidR="0D96550F">
        <w:t xml:space="preserve">sent to a second column </w:t>
      </w:r>
      <w:r w:rsidR="51F31A4D">
        <w:t xml:space="preserve">operating at 20 </w:t>
      </w:r>
      <w:proofErr w:type="gramStart"/>
      <w:r w:rsidR="51F31A4D">
        <w:t>bar</w:t>
      </w:r>
      <w:proofErr w:type="gramEnd"/>
      <w:r w:rsidR="51F31A4D">
        <w:t xml:space="preserve"> </w:t>
      </w:r>
      <w:r w:rsidR="0D96550F">
        <w:t>where propylene and butene are separated</w:t>
      </w:r>
      <w:r w:rsidR="400FDAE4">
        <w:t xml:space="preserve">. Ethylene reacts at </w:t>
      </w:r>
      <w:r w:rsidR="34DD9119">
        <w:t xml:space="preserve">25 </w:t>
      </w:r>
      <w:r w:rsidR="46380B94">
        <w:t>°</w:t>
      </w:r>
      <w:r w:rsidR="34DD9119">
        <w:t>C and 50 bar to produce n-butane</w:t>
      </w:r>
      <w:r w:rsidR="7605278F">
        <w:t xml:space="preserve">, </w:t>
      </w:r>
      <w:proofErr w:type="spellStart"/>
      <w:r w:rsidR="7605278F">
        <w:t>i</w:t>
      </w:r>
      <w:proofErr w:type="spellEnd"/>
      <w:r w:rsidR="7605278F">
        <w:t>-butane and hexene</w:t>
      </w:r>
      <w:r w:rsidR="0A4B75E3">
        <w:t>.</w:t>
      </w:r>
      <w:r w:rsidR="34DD9119">
        <w:t xml:space="preserve"> </w:t>
      </w:r>
      <w:r w:rsidR="2E8F3847">
        <w:t xml:space="preserve">Propene and butene are further upgraded </w:t>
      </w:r>
      <w:r w:rsidR="59133445">
        <w:t xml:space="preserve">in oligomerization reactors operating at 270 </w:t>
      </w:r>
      <w:r w:rsidR="46380B94">
        <w:t>°</w:t>
      </w:r>
      <w:r w:rsidR="59133445">
        <w:t xml:space="preserve">C and 40 bar, and </w:t>
      </w:r>
      <w:r w:rsidR="039E73E4">
        <w:t xml:space="preserve">350 </w:t>
      </w:r>
      <w:r w:rsidR="46380B94">
        <w:t>°</w:t>
      </w:r>
      <w:r w:rsidR="039E73E4">
        <w:t>C and 10 bar, respectively.</w:t>
      </w:r>
      <w:r w:rsidR="6C5D92BC">
        <w:t xml:space="preserve"> </w:t>
      </w:r>
      <w:r w:rsidR="29BF9AA0">
        <w:t xml:space="preserve">Lastly, a hydrotreatment reactor operating at 300 </w:t>
      </w:r>
      <w:r w:rsidR="46380B94">
        <w:t>°</w:t>
      </w:r>
      <w:r w:rsidR="29BF9AA0">
        <w:t>C and 30 bar</w:t>
      </w:r>
      <w:r w:rsidR="75364112">
        <w:t xml:space="preserve"> and fed with a stochiometric </w:t>
      </w:r>
      <w:r w:rsidR="1E06E3F8">
        <w:t xml:space="preserve">amount </w:t>
      </w:r>
      <w:r w:rsidR="75364112">
        <w:t>of H</w:t>
      </w:r>
      <w:r w:rsidR="75364112" w:rsidRPr="0F219487">
        <w:rPr>
          <w:vertAlign w:val="subscript"/>
        </w:rPr>
        <w:t>2</w:t>
      </w:r>
      <w:r w:rsidR="29BF9AA0">
        <w:t xml:space="preserve"> </w:t>
      </w:r>
      <w:r w:rsidR="3EB4715F">
        <w:t xml:space="preserve">is used </w:t>
      </w:r>
      <w:r w:rsidR="29BF9AA0">
        <w:t xml:space="preserve">to convert the olefins </w:t>
      </w:r>
      <w:r w:rsidR="2F2EAF4C">
        <w:t>in</w:t>
      </w:r>
      <w:r w:rsidR="29BF9AA0">
        <w:t>to alkanes</w:t>
      </w:r>
      <w:r w:rsidR="5C28DE1F">
        <w:t xml:space="preserve">. The final liquid fuel blend is obtained in a flash separator </w:t>
      </w:r>
      <w:r w:rsidR="30D53A8F">
        <w:t xml:space="preserve">operating at 40 </w:t>
      </w:r>
      <w:r w:rsidR="519BD394">
        <w:t>°</w:t>
      </w:r>
      <w:r w:rsidR="30D53A8F">
        <w:t xml:space="preserve">C and 1 bar. </w:t>
      </w:r>
      <w:r w:rsidR="42CA3EE9">
        <w:t>As in</w:t>
      </w:r>
      <w:r w:rsidR="4C5D2DB5">
        <w:t xml:space="preserve"> 1sFT the </w:t>
      </w:r>
      <w:r w:rsidR="42CA3EE9">
        <w:t>off gases</w:t>
      </w:r>
      <w:r w:rsidR="4C5D2DB5">
        <w:t xml:space="preserve"> are used to produce electricity and </w:t>
      </w:r>
      <w:r w:rsidR="42CA3EE9">
        <w:t>sent to a CC unit to capture and recycle 95% of the CO</w:t>
      </w:r>
      <w:r w:rsidR="42CA3EE9" w:rsidRPr="0F219487">
        <w:rPr>
          <w:vertAlign w:val="subscript"/>
        </w:rPr>
        <w:t>2</w:t>
      </w:r>
      <w:r w:rsidR="42CA3EE9">
        <w:t xml:space="preserve">. </w:t>
      </w:r>
      <w:r w:rsidR="5AD157DD">
        <w:t>The</w:t>
      </w:r>
      <w:r w:rsidR="3771AFDB">
        <w:t xml:space="preserve"> </w:t>
      </w:r>
      <w:r w:rsidR="7B65B246">
        <w:t xml:space="preserve">liquid fuel blend </w:t>
      </w:r>
      <w:r w:rsidR="12E1C161">
        <w:t xml:space="preserve">produced </w:t>
      </w:r>
      <w:r w:rsidR="7B65B246">
        <w:t xml:space="preserve">contains </w:t>
      </w:r>
      <w:r w:rsidR="5B9494D9">
        <w:t>4.5</w:t>
      </w:r>
      <w:r w:rsidR="7B65B246">
        <w:t>%</w:t>
      </w:r>
      <w:r w:rsidR="5AD157DD" w:rsidRPr="0F219487">
        <w:rPr>
          <w:vertAlign w:val="subscript"/>
        </w:rPr>
        <w:t>wt</w:t>
      </w:r>
      <w:r w:rsidR="7B65B246">
        <w:t xml:space="preserve"> gasoline, </w:t>
      </w:r>
      <w:r w:rsidR="5B9494D9">
        <w:t>86.2</w:t>
      </w:r>
      <w:r w:rsidR="7B65B246">
        <w:t>%</w:t>
      </w:r>
      <w:r w:rsidR="5AD157DD" w:rsidRPr="0F219487">
        <w:rPr>
          <w:vertAlign w:val="subscript"/>
        </w:rPr>
        <w:t>wt</w:t>
      </w:r>
      <w:r w:rsidR="7B65B246">
        <w:t xml:space="preserve"> SAF, </w:t>
      </w:r>
      <w:r w:rsidR="5B9494D9">
        <w:t>2.3</w:t>
      </w:r>
      <w:r w:rsidR="7B65B246">
        <w:t>%</w:t>
      </w:r>
      <w:r w:rsidR="065966AD" w:rsidRPr="0F219487">
        <w:rPr>
          <w:vertAlign w:val="subscript"/>
        </w:rPr>
        <w:t>wt</w:t>
      </w:r>
      <w:r w:rsidR="7B65B246">
        <w:t xml:space="preserve"> diesel, </w:t>
      </w:r>
      <w:r w:rsidR="5B9494D9">
        <w:t>6.9</w:t>
      </w:r>
      <w:r w:rsidR="7B65B246">
        <w:t>%</w:t>
      </w:r>
      <w:r w:rsidR="065966AD" w:rsidRPr="0F219487">
        <w:rPr>
          <w:vertAlign w:val="subscript"/>
        </w:rPr>
        <w:t>wt</w:t>
      </w:r>
      <w:r w:rsidR="7B65B246">
        <w:t xml:space="preserve"> light hydrocarbons</w:t>
      </w:r>
      <w:r w:rsidR="191B464F">
        <w:t>,</w:t>
      </w:r>
      <w:r w:rsidR="7B65B246">
        <w:t xml:space="preserve"> and </w:t>
      </w:r>
      <w:r w:rsidR="5B9494D9">
        <w:t xml:space="preserve">no </w:t>
      </w:r>
      <w:r w:rsidR="7B65B246">
        <w:t>wax.</w:t>
      </w:r>
    </w:p>
    <w:p w14:paraId="55D9B36F" w14:textId="6E521AEA" w:rsidR="00336D26" w:rsidRDefault="1139B730" w:rsidP="000F568B">
      <w:pPr>
        <w:pStyle w:val="Els-body-text"/>
        <w:spacing w:before="120"/>
        <w:rPr>
          <w:b/>
          <w:bCs/>
        </w:rPr>
      </w:pPr>
      <w:r w:rsidRPr="0F219487">
        <w:rPr>
          <w:b/>
          <w:bCs/>
        </w:rPr>
        <w:t>Economic analysis.</w:t>
      </w:r>
      <w:r>
        <w:t xml:space="preserve"> </w:t>
      </w:r>
      <w:r w:rsidR="5936F54D">
        <w:t>In</w:t>
      </w:r>
      <w:r>
        <w:t xml:space="preserve"> 1sFT</w:t>
      </w:r>
      <w:r w:rsidR="6875FCED">
        <w:t>,</w:t>
      </w:r>
      <w:r>
        <w:t xml:space="preserve"> the </w:t>
      </w:r>
      <w:r w:rsidR="2515C2CE">
        <w:t xml:space="preserve">FT </w:t>
      </w:r>
      <w:r>
        <w:t xml:space="preserve">reactor </w:t>
      </w:r>
      <w:r w:rsidR="26A58606">
        <w:t>yields</w:t>
      </w:r>
      <w:r>
        <w:t xml:space="preserve"> and selectivit</w:t>
      </w:r>
      <w:r w:rsidR="5936F54D">
        <w:t>ies</w:t>
      </w:r>
      <w:r>
        <w:t xml:space="preserve"> are </w:t>
      </w:r>
      <w:r w:rsidR="6B99925D">
        <w:t>obtained from</w:t>
      </w:r>
      <w:r>
        <w:t xml:space="preserve"> Zao </w:t>
      </w:r>
      <w:r w:rsidRPr="007A7DCD">
        <w:t>et al.</w:t>
      </w:r>
      <w:r>
        <w:t xml:space="preserve"> (2020), </w:t>
      </w:r>
      <w:r w:rsidR="62E057CF">
        <w:t>with</w:t>
      </w:r>
      <w:r>
        <w:t xml:space="preserve"> correlations from </w:t>
      </w:r>
      <w:r w:rsidR="38571167">
        <w:t>Zang</w:t>
      </w:r>
      <w:r w:rsidR="6B99925D" w:rsidRPr="0F219487">
        <w:t> </w:t>
      </w:r>
      <w:r w:rsidR="38571167" w:rsidRPr="007A7DCD">
        <w:t>et</w:t>
      </w:r>
      <w:r w:rsidR="6B99925D" w:rsidRPr="007A7DCD">
        <w:t> </w:t>
      </w:r>
      <w:r w:rsidR="38571167" w:rsidRPr="007A7DCD">
        <w:t>al.</w:t>
      </w:r>
      <w:r w:rsidR="6B99925D" w:rsidRPr="007A7DCD">
        <w:t> </w:t>
      </w:r>
      <w:r w:rsidR="38571167">
        <w:t>(2021)</w:t>
      </w:r>
      <w:r w:rsidR="7C61C838">
        <w:t xml:space="preserve"> used to estimate the cost</w:t>
      </w:r>
      <w:r w:rsidR="38571167">
        <w:t>.</w:t>
      </w:r>
      <w:r w:rsidR="240D9C55">
        <w:t xml:space="preserve"> </w:t>
      </w:r>
      <w:r w:rsidR="0590F4D5">
        <w:t>In the methanol upgrading section of MTJ, c</w:t>
      </w:r>
      <w:r w:rsidR="240D9C55">
        <w:t xml:space="preserve">onversion and selectivities are obtained from </w:t>
      </w:r>
      <w:proofErr w:type="spellStart"/>
      <w:r w:rsidR="000305F4" w:rsidRPr="000305F4">
        <w:t>Atsonios</w:t>
      </w:r>
      <w:proofErr w:type="spellEnd"/>
      <w:r w:rsidR="240D9C55">
        <w:t xml:space="preserve"> et al</w:t>
      </w:r>
      <w:r w:rsidR="6AD78670">
        <w:t>.</w:t>
      </w:r>
      <w:r w:rsidR="240D9C55">
        <w:t xml:space="preserve"> </w:t>
      </w:r>
      <w:r w:rsidR="6AD78670">
        <w:t>(</w:t>
      </w:r>
      <w:r w:rsidR="240D9C55">
        <w:t>2023</w:t>
      </w:r>
      <w:r w:rsidR="2216F7B9">
        <w:t>)</w:t>
      </w:r>
      <w:r w:rsidR="4956BD63">
        <w:t xml:space="preserve">. </w:t>
      </w:r>
      <w:r w:rsidR="4F9F55CC">
        <w:t>The levelized cost of production (LCP)</w:t>
      </w:r>
      <w:r w:rsidR="754524D2">
        <w:t xml:space="preserve"> is</w:t>
      </w:r>
      <w:r w:rsidR="4F9F55CC">
        <w:t xml:space="preserve"> </w:t>
      </w:r>
      <w:r w:rsidR="754524D2">
        <w:t>calculated assuming a 15% interest rate and 20</w:t>
      </w:r>
      <w:r w:rsidR="66335AA6">
        <w:t>-</w:t>
      </w:r>
      <w:r w:rsidR="754524D2">
        <w:t xml:space="preserve">year </w:t>
      </w:r>
      <w:r w:rsidR="2216F7B9">
        <w:t xml:space="preserve">plant </w:t>
      </w:r>
      <w:r w:rsidR="38571167">
        <w:t>lifetime</w:t>
      </w:r>
      <w:r w:rsidR="45E457AC">
        <w:t xml:space="preserve">. </w:t>
      </w:r>
      <w:r w:rsidR="1DAA1BE3">
        <w:t xml:space="preserve">LCP is </w:t>
      </w:r>
      <w:r w:rsidR="754524D2">
        <w:t xml:space="preserve">compared with </w:t>
      </w:r>
      <w:r w:rsidR="1DAA1BE3">
        <w:t xml:space="preserve">the </w:t>
      </w:r>
      <w:r w:rsidR="1149E01D">
        <w:t>fossil fuel</w:t>
      </w:r>
      <w:r w:rsidR="1DAA1BE3">
        <w:t xml:space="preserve"> cost, which </w:t>
      </w:r>
      <w:r w:rsidR="45E457AC">
        <w:t xml:space="preserve">is assumed to be </w:t>
      </w:r>
      <w:r w:rsidR="0A441A6C">
        <w:t>14</w:t>
      </w:r>
      <w:r w:rsidR="6E140723">
        <w:t> $/</w:t>
      </w:r>
      <w:proofErr w:type="spellStart"/>
      <w:r w:rsidR="6E140723">
        <w:t>GJ</w:t>
      </w:r>
      <w:r w:rsidR="6E140723" w:rsidRPr="0F219487">
        <w:rPr>
          <w:vertAlign w:val="subscript"/>
        </w:rPr>
        <w:t>fuel</w:t>
      </w:r>
      <w:proofErr w:type="spellEnd"/>
      <w:r w:rsidR="6E140723">
        <w:t xml:space="preserve"> in the base case, and </w:t>
      </w:r>
      <w:r w:rsidR="1149E01D">
        <w:t>2</w:t>
      </w:r>
      <w:r w:rsidR="4A076208">
        <w:t>3</w:t>
      </w:r>
      <w:r w:rsidR="1E14DE8D">
        <w:t> </w:t>
      </w:r>
      <w:r w:rsidR="1149E01D">
        <w:t>$/</w:t>
      </w:r>
      <w:proofErr w:type="spellStart"/>
      <w:r w:rsidR="1149E01D">
        <w:t>GJ</w:t>
      </w:r>
      <w:r w:rsidR="1149E01D" w:rsidRPr="0F219487">
        <w:rPr>
          <w:vertAlign w:val="subscript"/>
        </w:rPr>
        <w:t>fuel</w:t>
      </w:r>
      <w:proofErr w:type="spellEnd"/>
      <w:r w:rsidR="1DAA1BE3">
        <w:t xml:space="preserve"> in the </w:t>
      </w:r>
      <w:r w:rsidR="589DB01D">
        <w:t xml:space="preserve">optimistic </w:t>
      </w:r>
      <w:r w:rsidR="1DAA1BE3">
        <w:t>best-case scenario</w:t>
      </w:r>
      <w:r w:rsidR="559DD741">
        <w:t xml:space="preserve"> </w:t>
      </w:r>
      <w:r w:rsidR="0CA430C3">
        <w:t>considering</w:t>
      </w:r>
      <w:r w:rsidR="01DCA466">
        <w:t xml:space="preserve"> </w:t>
      </w:r>
      <w:r w:rsidR="38A8761A">
        <w:t>a carbon tax of 150</w:t>
      </w:r>
      <w:r w:rsidR="0C254E21">
        <w:t xml:space="preserve"> </w:t>
      </w:r>
      <w:r w:rsidR="38A8761A">
        <w:t>$/t</w:t>
      </w:r>
      <w:r w:rsidR="38A8761A" w:rsidRPr="0F219487">
        <w:rPr>
          <w:vertAlign w:val="subscript"/>
        </w:rPr>
        <w:t>CO2</w:t>
      </w:r>
      <w:r w:rsidR="754524D2">
        <w:t xml:space="preserve"> </w:t>
      </w:r>
      <w:r w:rsidR="18688332">
        <w:t>(IEA 2020).</w:t>
      </w:r>
    </w:p>
    <w:p w14:paraId="2A96B3F7" w14:textId="31C044C2" w:rsidR="00E43EB3" w:rsidRPr="00336D26" w:rsidRDefault="00F33B1E" w:rsidP="00F33B1E">
      <w:pPr>
        <w:pStyle w:val="Els-2ndorder-head"/>
      </w:pPr>
      <w:r>
        <w:t xml:space="preserve">Life cycle analysis </w:t>
      </w:r>
    </w:p>
    <w:p w14:paraId="02D8DA01" w14:textId="1C8FAC2A" w:rsidR="00776858" w:rsidRDefault="5761D0F4" w:rsidP="00776858">
      <w:pPr>
        <w:pStyle w:val="Els-body-text"/>
      </w:pPr>
      <w:r>
        <w:t>Th</w:t>
      </w:r>
      <w:r w:rsidR="1829BB92">
        <w:t>e functional unit (FU) for the LCA analysis is chosen as “</w:t>
      </w:r>
      <w:r w:rsidR="1829BB92" w:rsidRPr="0F219487">
        <w:rPr>
          <w:i/>
          <w:iCs/>
        </w:rPr>
        <w:t xml:space="preserve">1 MJ of </w:t>
      </w:r>
      <w:r w:rsidR="0B01FF0C" w:rsidRPr="0F219487">
        <w:rPr>
          <w:i/>
          <w:iCs/>
        </w:rPr>
        <w:t>liquid fuel</w:t>
      </w:r>
      <w:r w:rsidR="1D3C701C" w:rsidRPr="0F219487">
        <w:rPr>
          <w:i/>
          <w:iCs/>
        </w:rPr>
        <w:t xml:space="preserve"> blend</w:t>
      </w:r>
      <w:r w:rsidR="0B01FF0C">
        <w:t xml:space="preserve">” and the assessment is </w:t>
      </w:r>
      <w:r w:rsidR="32F880B8">
        <w:t>done</w:t>
      </w:r>
      <w:r w:rsidR="527B9D73">
        <w:t xml:space="preserve"> considering</w:t>
      </w:r>
      <w:r w:rsidR="0C225D7D">
        <w:t xml:space="preserve"> a Well-to-Wake </w:t>
      </w:r>
      <w:r w:rsidR="15576590">
        <w:t>(</w:t>
      </w:r>
      <w:proofErr w:type="spellStart"/>
      <w:r w:rsidR="15576590">
        <w:t>WtW</w:t>
      </w:r>
      <w:proofErr w:type="spellEnd"/>
      <w:r w:rsidR="15576590">
        <w:t xml:space="preserve">) </w:t>
      </w:r>
      <w:r w:rsidR="0C225D7D">
        <w:t xml:space="preserve">perspective, assuming </w:t>
      </w:r>
      <w:r w:rsidR="0C225D7D">
        <w:lastRenderedPageBreak/>
        <w:t xml:space="preserve">that all the carbon </w:t>
      </w:r>
      <w:r w:rsidR="31440194">
        <w:t>in the fuel blend is released as CO</w:t>
      </w:r>
      <w:r w:rsidR="31440194" w:rsidRPr="0F219487">
        <w:rPr>
          <w:vertAlign w:val="subscript"/>
        </w:rPr>
        <w:t>2</w:t>
      </w:r>
      <w:r w:rsidR="31440194">
        <w:t xml:space="preserve"> during the use phase. </w:t>
      </w:r>
      <w:r w:rsidR="5EFCABD9">
        <w:t>S</w:t>
      </w:r>
      <w:r w:rsidR="2F603675">
        <w:t xml:space="preserve">ystem expansion via substitution is adopted to deal with multi-functionality. </w:t>
      </w:r>
    </w:p>
    <w:p w14:paraId="64AA3D8A" w14:textId="3FF70126" w:rsidR="00316019" w:rsidRDefault="73C69187" w:rsidP="000F568B">
      <w:pPr>
        <w:pStyle w:val="Els-body-text"/>
        <w:spacing w:before="120"/>
      </w:pPr>
      <w:r w:rsidRPr="0F219487">
        <w:rPr>
          <w:b/>
          <w:bCs/>
        </w:rPr>
        <w:t xml:space="preserve">Data collection and </w:t>
      </w:r>
      <w:r w:rsidR="121074A9" w:rsidRPr="0F219487">
        <w:rPr>
          <w:b/>
          <w:bCs/>
        </w:rPr>
        <w:t>life</w:t>
      </w:r>
      <w:r w:rsidR="5373D719" w:rsidRPr="0F219487">
        <w:rPr>
          <w:b/>
          <w:bCs/>
        </w:rPr>
        <w:t>-</w:t>
      </w:r>
      <w:r w:rsidR="121074A9" w:rsidRPr="0F219487">
        <w:rPr>
          <w:b/>
          <w:bCs/>
        </w:rPr>
        <w:t>cycle inventories.</w:t>
      </w:r>
      <w:r w:rsidR="121074A9">
        <w:t xml:space="preserve"> The life</w:t>
      </w:r>
      <w:r w:rsidR="3550FF89">
        <w:t>-</w:t>
      </w:r>
      <w:r w:rsidR="121074A9">
        <w:t xml:space="preserve">cycle inventories </w:t>
      </w:r>
      <w:r w:rsidR="2AC3B2E4">
        <w:t xml:space="preserve">(LCIs) </w:t>
      </w:r>
      <w:r w:rsidR="2C2DD4BE">
        <w:t>of</w:t>
      </w:r>
      <w:r w:rsidR="121074A9">
        <w:t xml:space="preserve"> 1sFT and </w:t>
      </w:r>
      <w:r w:rsidR="6526A197">
        <w:t>MTJ</w:t>
      </w:r>
      <w:r w:rsidR="121074A9">
        <w:t xml:space="preserve"> are </w:t>
      </w:r>
      <w:r w:rsidR="7D2EB971">
        <w:t>computed</w:t>
      </w:r>
      <w:r w:rsidR="121074A9">
        <w:t xml:space="preserve"> from the </w:t>
      </w:r>
      <w:r w:rsidR="3C44E20A">
        <w:t xml:space="preserve">two process </w:t>
      </w:r>
      <w:r w:rsidR="592736EB">
        <w:t>flowsheets</w:t>
      </w:r>
      <w:r w:rsidR="52C15022">
        <w:t xml:space="preserve"> </w:t>
      </w:r>
      <w:r w:rsidR="7D158A2B">
        <w:t>(</w:t>
      </w:r>
      <w:r w:rsidR="52C15022">
        <w:t>Section 2.1</w:t>
      </w:r>
      <w:r w:rsidR="42D3AA21">
        <w:t>), as</w:t>
      </w:r>
      <w:r w:rsidR="121074A9">
        <w:t xml:space="preserve"> summarized in Table 1.</w:t>
      </w:r>
      <w:r w:rsidR="23ECF617">
        <w:t xml:space="preserve"> </w:t>
      </w:r>
      <w:r w:rsidR="2AC3B2E4">
        <w:t xml:space="preserve">The LCIs for </w:t>
      </w:r>
      <w:r w:rsidR="3DD0B2CE">
        <w:t>DAC</w:t>
      </w:r>
      <w:r w:rsidR="5EFCABD9">
        <w:t>, biogenic CO</w:t>
      </w:r>
      <w:r w:rsidR="5EFCABD9" w:rsidRPr="0F219487">
        <w:rPr>
          <w:vertAlign w:val="subscript"/>
        </w:rPr>
        <w:t>2</w:t>
      </w:r>
      <w:r w:rsidR="5EFCABD9">
        <w:t xml:space="preserve">, </w:t>
      </w:r>
      <w:r w:rsidR="23C5CA51">
        <w:t>and H</w:t>
      </w:r>
      <w:r w:rsidR="23C5CA51" w:rsidRPr="0F219487">
        <w:rPr>
          <w:vertAlign w:val="subscript"/>
        </w:rPr>
        <w:t>2</w:t>
      </w:r>
      <w:r w:rsidR="23C5CA51">
        <w:t xml:space="preserve"> </w:t>
      </w:r>
      <w:r w:rsidR="4CD02DEF">
        <w:t xml:space="preserve">are </w:t>
      </w:r>
      <w:r w:rsidR="387F330C">
        <w:t xml:space="preserve">adapted </w:t>
      </w:r>
      <w:r w:rsidR="4CD02DEF">
        <w:t xml:space="preserve">from </w:t>
      </w:r>
      <w:r w:rsidR="387F330C">
        <w:t>Sabatino et al. </w:t>
      </w:r>
      <w:r w:rsidR="5EFCABD9">
        <w:t>(</w:t>
      </w:r>
      <w:r w:rsidR="387F330C">
        <w:t>2023</w:t>
      </w:r>
      <w:r w:rsidR="5EFCABD9">
        <w:t>)</w:t>
      </w:r>
      <w:r w:rsidR="23C5CA51">
        <w:t xml:space="preserve">, </w:t>
      </w:r>
      <w:r w:rsidR="387F330C">
        <w:t>Ona</w:t>
      </w:r>
      <w:r w:rsidR="090E2FFF">
        <w:t>r</w:t>
      </w:r>
      <w:r w:rsidR="387F330C">
        <w:t>heim</w:t>
      </w:r>
      <w:r w:rsidR="090E2FFF">
        <w:t xml:space="preserve"> et al. (2017), </w:t>
      </w:r>
      <w:r w:rsidR="23C5CA51">
        <w:t xml:space="preserve">and </w:t>
      </w:r>
      <w:r w:rsidR="61F8B4EF">
        <w:t xml:space="preserve">Brändle et al. </w:t>
      </w:r>
      <w:r w:rsidR="0337E04C">
        <w:t>(2021), respectively. Offshore wind</w:t>
      </w:r>
      <w:r w:rsidR="5EFCABD9">
        <w:t xml:space="preserve"> electricity is </w:t>
      </w:r>
      <w:r w:rsidR="29955100">
        <w:t>assume</w:t>
      </w:r>
      <w:r w:rsidR="5EFCABD9">
        <w:t>d for</w:t>
      </w:r>
      <w:r w:rsidR="523F14C3">
        <w:t xml:space="preserve"> H</w:t>
      </w:r>
      <w:r w:rsidR="523F14C3" w:rsidRPr="0F219487">
        <w:rPr>
          <w:vertAlign w:val="subscript"/>
        </w:rPr>
        <w:t>2</w:t>
      </w:r>
      <w:r w:rsidR="523F14C3">
        <w:t xml:space="preserve"> production, and </w:t>
      </w:r>
      <w:r w:rsidR="78AA342D">
        <w:t xml:space="preserve">credits given for </w:t>
      </w:r>
      <w:r w:rsidR="7C841572">
        <w:t>selling</w:t>
      </w:r>
      <w:r w:rsidR="78AA342D">
        <w:t xml:space="preserve"> </w:t>
      </w:r>
      <w:r w:rsidR="4D3637E7">
        <w:t xml:space="preserve">any excess </w:t>
      </w:r>
      <w:r w:rsidR="78AA342D">
        <w:t xml:space="preserve">electricity </w:t>
      </w:r>
      <w:r w:rsidR="01919D79">
        <w:t>are based on the</w:t>
      </w:r>
      <w:r w:rsidR="5E00637F">
        <w:t xml:space="preserve"> UK</w:t>
      </w:r>
      <w:r w:rsidR="01919D79">
        <w:t xml:space="preserve"> production</w:t>
      </w:r>
      <w:r w:rsidR="6A82AD39">
        <w:t xml:space="preserve"> mix</w:t>
      </w:r>
      <w:r w:rsidR="01919D79">
        <w:t xml:space="preserve">. </w:t>
      </w:r>
    </w:p>
    <w:p w14:paraId="44D6AF60" w14:textId="42151D2B" w:rsidR="007F4F24" w:rsidRPr="008B1208" w:rsidRDefault="007F4F24" w:rsidP="007F4F24">
      <w:pPr>
        <w:pStyle w:val="Els-caption"/>
      </w:pPr>
      <w:r>
        <w:t xml:space="preserve">Table 1: </w:t>
      </w:r>
      <w:r w:rsidR="00411AF9">
        <w:t>life</w:t>
      </w:r>
      <w:r w:rsidR="46624F70">
        <w:t>-</w:t>
      </w:r>
      <w:r w:rsidR="00411AF9">
        <w:t xml:space="preserve">cycle inventories </w:t>
      </w:r>
      <w:r w:rsidR="01FD2459">
        <w:t>of</w:t>
      </w:r>
      <w:r w:rsidR="00411AF9">
        <w:t xml:space="preserve"> 1sFT and</w:t>
      </w:r>
      <w:r w:rsidR="00735DA4">
        <w:t xml:space="preserve"> MTJ</w:t>
      </w:r>
      <w:r w:rsidR="00411AF9">
        <w:t xml:space="preserve"> processes.</w:t>
      </w:r>
      <w:r w:rsidR="00735DA4">
        <w:t xml:space="preserve"> HPS = high pressure steam,</w:t>
      </w:r>
      <w:r w:rsidR="00411AF9">
        <w:t xml:space="preserve"> </w:t>
      </w:r>
      <w:r w:rsidR="001A0B55">
        <w:t xml:space="preserve">FH = Fired Heater, CW = Cooling water, WW = Wastewater. </w:t>
      </w:r>
      <w:r w:rsidR="00950878">
        <w:t xml:space="preserve">The </w:t>
      </w:r>
      <w:r w:rsidR="00411AF9">
        <w:t>FU is 1 MJ of liquid fuel blend.</w:t>
      </w:r>
    </w:p>
    <w:tbl>
      <w:tblPr>
        <w:tblStyle w:val="TableGrid"/>
        <w:tblW w:w="66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07"/>
        <w:gridCol w:w="907"/>
        <w:gridCol w:w="680"/>
        <w:gridCol w:w="964"/>
        <w:gridCol w:w="907"/>
        <w:gridCol w:w="907"/>
        <w:gridCol w:w="680"/>
      </w:tblGrid>
      <w:tr w:rsidR="00361664" w14:paraId="69F65CBC" w14:textId="60D75897" w:rsidTr="009C3066">
        <w:trPr>
          <w:jc w:val="center"/>
        </w:trPr>
        <w:tc>
          <w:tcPr>
            <w:tcW w:w="737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403DE393" w14:textId="3383A752" w:rsidR="00361664" w:rsidRDefault="00361664" w:rsidP="00317465">
            <w:pPr>
              <w:pStyle w:val="Els-table-text"/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21506116" w14:textId="48C5C352" w:rsidR="00361664" w:rsidRPr="00C957D6" w:rsidRDefault="00361664" w:rsidP="00317465">
            <w:pPr>
              <w:pStyle w:val="Els-table-text"/>
              <w:jc w:val="center"/>
              <w:rPr>
                <w:b/>
                <w:bCs/>
              </w:rPr>
            </w:pPr>
            <w:r w:rsidRPr="00C957D6">
              <w:rPr>
                <w:b/>
                <w:bCs/>
              </w:rPr>
              <w:t>1sFT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23A944F0" w14:textId="16A7D0B0" w:rsidR="00361664" w:rsidRPr="00C957D6" w:rsidRDefault="00A970FD" w:rsidP="00317465">
            <w:pPr>
              <w:pStyle w:val="Els-table-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MTJ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2FC66AA7" w14:textId="38ECCFF0" w:rsidR="00361664" w:rsidRDefault="00361664" w:rsidP="00317465">
            <w:pPr>
              <w:pStyle w:val="Els-table-text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5789FFC8" w14:textId="77777777" w:rsidR="00361664" w:rsidRDefault="00361664" w:rsidP="00317465">
            <w:pPr>
              <w:pStyle w:val="Els-table-text"/>
              <w:ind w:right="-46"/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64268694" w14:textId="022A73D4" w:rsidR="00361664" w:rsidRDefault="00361664" w:rsidP="00317465">
            <w:pPr>
              <w:pStyle w:val="Els-table-text"/>
              <w:jc w:val="center"/>
            </w:pPr>
            <w:r w:rsidRPr="00C957D6">
              <w:rPr>
                <w:b/>
                <w:bCs/>
              </w:rPr>
              <w:t>1sFT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3505BD53" w14:textId="66056695" w:rsidR="00361664" w:rsidRDefault="00A970FD" w:rsidP="00317465">
            <w:pPr>
              <w:pStyle w:val="Els-table-text"/>
              <w:jc w:val="center"/>
            </w:pPr>
            <w:r>
              <w:rPr>
                <w:b/>
                <w:bCs/>
              </w:rPr>
              <w:t>MTJ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14:paraId="406E8367" w14:textId="77777777" w:rsidR="00361664" w:rsidRPr="00C957D6" w:rsidRDefault="00361664" w:rsidP="00317465">
            <w:pPr>
              <w:pStyle w:val="Els-table-text"/>
              <w:jc w:val="center"/>
              <w:rPr>
                <w:b/>
                <w:bCs/>
              </w:rPr>
            </w:pPr>
          </w:p>
        </w:tc>
      </w:tr>
      <w:tr w:rsidR="009C3066" w14:paraId="64B93F97" w14:textId="77777777" w:rsidTr="00B60148">
        <w:trPr>
          <w:jc w:val="center"/>
        </w:trPr>
        <w:tc>
          <w:tcPr>
            <w:tcW w:w="737" w:type="dxa"/>
            <w:tcBorders>
              <w:top w:val="single" w:sz="8" w:space="0" w:color="000000"/>
            </w:tcBorders>
            <w:vAlign w:val="center"/>
          </w:tcPr>
          <w:p w14:paraId="2BC77A2F" w14:textId="135E3D20" w:rsidR="009C3066" w:rsidRPr="00637C1D" w:rsidRDefault="009C3066" w:rsidP="00317465">
            <w:pPr>
              <w:pStyle w:val="Els-table-text"/>
              <w:jc w:val="center"/>
              <w:rPr>
                <w:b/>
                <w:bCs/>
              </w:rPr>
            </w:pPr>
            <w:r w:rsidRPr="00637C1D">
              <w:rPr>
                <w:b/>
                <w:bCs/>
              </w:rPr>
              <w:t>Inputs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</w:tcBorders>
            <w:vAlign w:val="center"/>
          </w:tcPr>
          <w:p w14:paraId="0F2F097A" w14:textId="3AACC104" w:rsidR="009C3066" w:rsidRPr="0047504F" w:rsidRDefault="00C609DA" w:rsidP="00317465">
            <w:pPr>
              <w:pStyle w:val="Els-table-text"/>
              <w:jc w:val="center"/>
            </w:pPr>
            <w:r>
              <w:rPr>
                <w:b/>
                <w:bCs/>
              </w:rPr>
              <w:t>Quantity</w:t>
            </w:r>
          </w:p>
        </w:tc>
        <w:tc>
          <w:tcPr>
            <w:tcW w:w="680" w:type="dxa"/>
            <w:tcBorders>
              <w:top w:val="single" w:sz="8" w:space="0" w:color="000000"/>
            </w:tcBorders>
            <w:vAlign w:val="center"/>
          </w:tcPr>
          <w:p w14:paraId="1A8B4C0A" w14:textId="51F7308A" w:rsidR="009C3066" w:rsidRDefault="009C3066" w:rsidP="00317465">
            <w:pPr>
              <w:pStyle w:val="Els-table-text"/>
              <w:jc w:val="center"/>
            </w:pPr>
            <w:r w:rsidRPr="00C957D6">
              <w:rPr>
                <w:b/>
                <w:bCs/>
              </w:rPr>
              <w:t>Units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vAlign w:val="center"/>
          </w:tcPr>
          <w:p w14:paraId="6CF0D061" w14:textId="4E2B59FC" w:rsidR="009C3066" w:rsidRDefault="009C3066" w:rsidP="00317465">
            <w:pPr>
              <w:pStyle w:val="Els-table-text"/>
              <w:ind w:right="-46"/>
              <w:jc w:val="center"/>
            </w:pPr>
            <w:r w:rsidRPr="00C957D6">
              <w:rPr>
                <w:b/>
                <w:bCs/>
              </w:rPr>
              <w:t>Outputs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</w:tcBorders>
            <w:vAlign w:val="center"/>
          </w:tcPr>
          <w:p w14:paraId="0C5FDE14" w14:textId="742B63F7" w:rsidR="009C3066" w:rsidRPr="000804BC" w:rsidRDefault="00C609DA" w:rsidP="00317465">
            <w:pPr>
              <w:pStyle w:val="Els-table-text"/>
              <w:jc w:val="center"/>
            </w:pPr>
            <w:r>
              <w:rPr>
                <w:b/>
                <w:bCs/>
              </w:rPr>
              <w:t>Quantity</w:t>
            </w:r>
          </w:p>
        </w:tc>
        <w:tc>
          <w:tcPr>
            <w:tcW w:w="680" w:type="dxa"/>
            <w:tcBorders>
              <w:top w:val="single" w:sz="8" w:space="0" w:color="000000"/>
            </w:tcBorders>
            <w:vAlign w:val="center"/>
          </w:tcPr>
          <w:p w14:paraId="54D75A8A" w14:textId="087434C0" w:rsidR="009C3066" w:rsidRDefault="009C3066" w:rsidP="00317465">
            <w:pPr>
              <w:pStyle w:val="Els-table-text"/>
              <w:jc w:val="center"/>
            </w:pPr>
            <w:r w:rsidRPr="00C957D6">
              <w:rPr>
                <w:b/>
                <w:bCs/>
              </w:rPr>
              <w:t>Units</w:t>
            </w:r>
          </w:p>
        </w:tc>
      </w:tr>
      <w:tr w:rsidR="00EC4BF8" w14:paraId="4137BC93" w14:textId="760C25DB" w:rsidTr="009C3066">
        <w:trPr>
          <w:jc w:val="center"/>
        </w:trPr>
        <w:tc>
          <w:tcPr>
            <w:tcW w:w="737" w:type="dxa"/>
            <w:tcBorders>
              <w:top w:val="single" w:sz="8" w:space="0" w:color="000000"/>
            </w:tcBorders>
            <w:vAlign w:val="center"/>
          </w:tcPr>
          <w:p w14:paraId="75387B0B" w14:textId="6C21C828" w:rsidR="00EC4BF8" w:rsidRPr="00E77F26" w:rsidRDefault="00EC4BF8" w:rsidP="00317465">
            <w:pPr>
              <w:pStyle w:val="Els-table-text"/>
              <w:jc w:val="center"/>
              <w:rPr>
                <w:vertAlign w:val="subscript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</w:tcBorders>
            <w:vAlign w:val="center"/>
          </w:tcPr>
          <w:p w14:paraId="12D55CFE" w14:textId="3570DDEA" w:rsidR="00EC4BF8" w:rsidRPr="002B60AB" w:rsidRDefault="00EC4BF8" w:rsidP="00317465">
            <w:pPr>
              <w:pStyle w:val="Els-table-text"/>
              <w:jc w:val="center"/>
              <w:rPr>
                <w:vertAlign w:val="superscript"/>
              </w:rPr>
            </w:pPr>
            <w:r w:rsidRPr="0047504F">
              <w:t>7.</w:t>
            </w:r>
            <w:r>
              <w:t>03</w:t>
            </w:r>
            <w:r w:rsidRPr="0047504F">
              <w:t>∙10</w:t>
            </w:r>
            <w:r w:rsidRPr="0047504F">
              <w:rPr>
                <w:vertAlign w:val="superscript"/>
              </w:rPr>
              <w:t>-2</w:t>
            </w:r>
          </w:p>
        </w:tc>
        <w:tc>
          <w:tcPr>
            <w:tcW w:w="907" w:type="dxa"/>
            <w:tcBorders>
              <w:top w:val="single" w:sz="8" w:space="0" w:color="000000"/>
            </w:tcBorders>
            <w:vAlign w:val="center"/>
          </w:tcPr>
          <w:p w14:paraId="1E5D49D4" w14:textId="74D00F9B" w:rsidR="00EC4BF8" w:rsidRPr="0047504F" w:rsidRDefault="00EC4BF8" w:rsidP="00317465">
            <w:pPr>
              <w:pStyle w:val="Els-table-text"/>
              <w:jc w:val="center"/>
            </w:pPr>
            <w:r w:rsidRPr="0047504F">
              <w:t>7.15∙10</w:t>
            </w:r>
            <w:r w:rsidRPr="0047504F">
              <w:rPr>
                <w:vertAlign w:val="superscript"/>
              </w:rPr>
              <w:t>-2</w:t>
            </w:r>
          </w:p>
        </w:tc>
        <w:tc>
          <w:tcPr>
            <w:tcW w:w="680" w:type="dxa"/>
            <w:tcBorders>
              <w:top w:val="single" w:sz="8" w:space="0" w:color="000000"/>
            </w:tcBorders>
            <w:vAlign w:val="center"/>
          </w:tcPr>
          <w:p w14:paraId="7BE5FD6A" w14:textId="68EE0047" w:rsidR="00EC4BF8" w:rsidRDefault="00EC4BF8" w:rsidP="00317465">
            <w:pPr>
              <w:pStyle w:val="Els-table-text"/>
              <w:jc w:val="center"/>
            </w:pPr>
            <w:r>
              <w:t>kg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vAlign w:val="center"/>
          </w:tcPr>
          <w:p w14:paraId="68727847" w14:textId="269A8AEF" w:rsidR="00EC4BF8" w:rsidRDefault="00EC4BF8" w:rsidP="00317465">
            <w:pPr>
              <w:pStyle w:val="Els-table-text"/>
              <w:ind w:right="-46"/>
              <w:jc w:val="center"/>
            </w:pPr>
            <w:r>
              <w:t>FU</w:t>
            </w:r>
          </w:p>
        </w:tc>
        <w:tc>
          <w:tcPr>
            <w:tcW w:w="907" w:type="dxa"/>
            <w:tcBorders>
              <w:top w:val="single" w:sz="8" w:space="0" w:color="000000"/>
            </w:tcBorders>
            <w:vAlign w:val="center"/>
          </w:tcPr>
          <w:p w14:paraId="0A7D3C86" w14:textId="1DA5A428" w:rsidR="00EC4BF8" w:rsidRDefault="00EC4BF8" w:rsidP="00317465">
            <w:pPr>
              <w:pStyle w:val="Els-table-text"/>
              <w:jc w:val="center"/>
            </w:pPr>
            <w:r w:rsidRPr="000804BC">
              <w:t>1.00∙10</w:t>
            </w:r>
            <w:r w:rsidRPr="000804BC">
              <w:rPr>
                <w:vertAlign w:val="superscript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</w:tcBorders>
            <w:vAlign w:val="center"/>
          </w:tcPr>
          <w:p w14:paraId="01879668" w14:textId="78D3A9C2" w:rsidR="00EC4BF8" w:rsidRPr="000804BC" w:rsidRDefault="00EC4BF8" w:rsidP="00317465">
            <w:pPr>
              <w:pStyle w:val="Els-table-text"/>
              <w:jc w:val="center"/>
            </w:pPr>
            <w:r w:rsidRPr="000804BC">
              <w:t>1.00∙10</w:t>
            </w:r>
            <w:r w:rsidRPr="000804BC">
              <w:rPr>
                <w:vertAlign w:val="superscript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</w:tcBorders>
            <w:vAlign w:val="center"/>
          </w:tcPr>
          <w:p w14:paraId="4B154349" w14:textId="3B6D6F5F" w:rsidR="00EC4BF8" w:rsidRDefault="00EC4BF8" w:rsidP="00317465">
            <w:pPr>
              <w:pStyle w:val="Els-table-text"/>
              <w:jc w:val="center"/>
            </w:pPr>
            <w:r>
              <w:t>MJ</w:t>
            </w:r>
          </w:p>
        </w:tc>
      </w:tr>
      <w:tr w:rsidR="00EC4BF8" w14:paraId="494140EA" w14:textId="081BE69D" w:rsidTr="009C3066">
        <w:trPr>
          <w:jc w:val="center"/>
        </w:trPr>
        <w:tc>
          <w:tcPr>
            <w:tcW w:w="737" w:type="dxa"/>
            <w:vAlign w:val="center"/>
          </w:tcPr>
          <w:p w14:paraId="124A30FE" w14:textId="11D0966B" w:rsidR="00EC4BF8" w:rsidRPr="00E77F26" w:rsidRDefault="00EC4BF8" w:rsidP="00317465">
            <w:pPr>
              <w:pStyle w:val="Els-table-text"/>
              <w:jc w:val="center"/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907" w:type="dxa"/>
            <w:vAlign w:val="center"/>
          </w:tcPr>
          <w:p w14:paraId="43462EBB" w14:textId="1C5A7AC4" w:rsidR="00EC4BF8" w:rsidRDefault="00EC4BF8" w:rsidP="00317465">
            <w:pPr>
              <w:pStyle w:val="Els-table-text"/>
              <w:jc w:val="center"/>
            </w:pPr>
            <w:r w:rsidRPr="0047504F">
              <w:t>1.</w:t>
            </w:r>
            <w:r>
              <w:t>12</w:t>
            </w:r>
            <w:r w:rsidRPr="0047504F">
              <w:t>∙10</w:t>
            </w:r>
            <w:r w:rsidRPr="0047504F">
              <w:rPr>
                <w:vertAlign w:val="superscript"/>
              </w:rPr>
              <w:t>-2</w:t>
            </w:r>
          </w:p>
        </w:tc>
        <w:tc>
          <w:tcPr>
            <w:tcW w:w="907" w:type="dxa"/>
            <w:vAlign w:val="center"/>
          </w:tcPr>
          <w:p w14:paraId="767B8715" w14:textId="57E793DB" w:rsidR="00EC4BF8" w:rsidRPr="0047504F" w:rsidRDefault="00EC4BF8" w:rsidP="00317465">
            <w:pPr>
              <w:pStyle w:val="Els-table-text"/>
              <w:jc w:val="center"/>
            </w:pPr>
            <w:r w:rsidRPr="0047504F">
              <w:t>1.29∙10</w:t>
            </w:r>
            <w:r w:rsidRPr="0047504F">
              <w:rPr>
                <w:vertAlign w:val="superscript"/>
              </w:rPr>
              <w:t>-2</w:t>
            </w:r>
          </w:p>
        </w:tc>
        <w:tc>
          <w:tcPr>
            <w:tcW w:w="680" w:type="dxa"/>
            <w:vAlign w:val="center"/>
          </w:tcPr>
          <w:p w14:paraId="7BFA37F2" w14:textId="678D1884" w:rsidR="00EC4BF8" w:rsidRDefault="00EC4BF8" w:rsidP="00317465">
            <w:pPr>
              <w:pStyle w:val="Els-table-text"/>
              <w:jc w:val="center"/>
            </w:pPr>
            <w:r>
              <w:t>kg</w:t>
            </w:r>
          </w:p>
        </w:tc>
        <w:tc>
          <w:tcPr>
            <w:tcW w:w="964" w:type="dxa"/>
            <w:vAlign w:val="center"/>
          </w:tcPr>
          <w:p w14:paraId="17EE9E81" w14:textId="473082E9" w:rsidR="00EC4BF8" w:rsidRDefault="00EC4BF8" w:rsidP="00317465">
            <w:pPr>
              <w:pStyle w:val="Els-table-text"/>
              <w:ind w:right="-46"/>
              <w:jc w:val="center"/>
            </w:pPr>
            <w:r>
              <w:t>Electricity</w:t>
            </w:r>
          </w:p>
        </w:tc>
        <w:tc>
          <w:tcPr>
            <w:tcW w:w="907" w:type="dxa"/>
            <w:vAlign w:val="center"/>
          </w:tcPr>
          <w:p w14:paraId="384373CF" w14:textId="73F18FB4" w:rsidR="00EC4BF8" w:rsidRDefault="00EC4BF8" w:rsidP="00317465">
            <w:pPr>
              <w:pStyle w:val="Els-table-text"/>
              <w:jc w:val="center"/>
            </w:pPr>
            <w:r>
              <w:t>1.08</w:t>
            </w:r>
            <w:r w:rsidRPr="000804BC">
              <w:t>∙10</w:t>
            </w:r>
            <w:r w:rsidRPr="000804BC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  <w:tc>
          <w:tcPr>
            <w:tcW w:w="907" w:type="dxa"/>
            <w:vAlign w:val="center"/>
          </w:tcPr>
          <w:p w14:paraId="0EBEA7D7" w14:textId="0BC7ED20" w:rsidR="00EC4BF8" w:rsidRPr="000804BC" w:rsidRDefault="00EC4BF8" w:rsidP="00317465">
            <w:pPr>
              <w:pStyle w:val="Els-table-text"/>
              <w:jc w:val="center"/>
            </w:pPr>
            <w:r w:rsidRPr="000804BC">
              <w:t>7.50∙10</w:t>
            </w:r>
            <w:r w:rsidRPr="000804BC">
              <w:rPr>
                <w:vertAlign w:val="superscript"/>
              </w:rPr>
              <w:t>-4</w:t>
            </w:r>
          </w:p>
        </w:tc>
        <w:tc>
          <w:tcPr>
            <w:tcW w:w="680" w:type="dxa"/>
            <w:vAlign w:val="center"/>
          </w:tcPr>
          <w:p w14:paraId="316AC8E3" w14:textId="705662D4" w:rsidR="00EC4BF8" w:rsidRDefault="00EC4BF8" w:rsidP="00317465">
            <w:pPr>
              <w:pStyle w:val="Els-table-text"/>
              <w:jc w:val="center"/>
            </w:pPr>
            <w:r>
              <w:t>kWh</w:t>
            </w:r>
          </w:p>
        </w:tc>
      </w:tr>
      <w:tr w:rsidR="00EC4BF8" w14:paraId="6DB888E6" w14:textId="32600F2C" w:rsidTr="009C3066">
        <w:trPr>
          <w:jc w:val="center"/>
        </w:trPr>
        <w:tc>
          <w:tcPr>
            <w:tcW w:w="737" w:type="dxa"/>
            <w:vAlign w:val="center"/>
          </w:tcPr>
          <w:p w14:paraId="6764308A" w14:textId="21978FFE" w:rsidR="00EC4BF8" w:rsidRDefault="00EC4BF8" w:rsidP="00317465">
            <w:pPr>
              <w:pStyle w:val="Els-table-text"/>
              <w:jc w:val="center"/>
            </w:pPr>
            <w:r>
              <w:t>HPS</w:t>
            </w:r>
          </w:p>
        </w:tc>
        <w:tc>
          <w:tcPr>
            <w:tcW w:w="907" w:type="dxa"/>
            <w:vAlign w:val="center"/>
          </w:tcPr>
          <w:p w14:paraId="09A70EAE" w14:textId="159D1939" w:rsidR="00EC4BF8" w:rsidRDefault="00EC4BF8" w:rsidP="00317465">
            <w:pPr>
              <w:pStyle w:val="Els-table-text"/>
              <w:jc w:val="center"/>
            </w:pPr>
            <w:r>
              <w:t>3.90</w:t>
            </w:r>
            <w:r w:rsidRPr="0047504F">
              <w:t>∙10</w:t>
            </w:r>
            <w:r w:rsidRPr="0047504F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  <w:tc>
          <w:tcPr>
            <w:tcW w:w="907" w:type="dxa"/>
            <w:vAlign w:val="center"/>
          </w:tcPr>
          <w:p w14:paraId="68EAD5F1" w14:textId="7C3196FA" w:rsidR="00EC4BF8" w:rsidRPr="0047504F" w:rsidRDefault="00EC4BF8" w:rsidP="00317465">
            <w:pPr>
              <w:pStyle w:val="Els-table-text"/>
              <w:jc w:val="center"/>
            </w:pPr>
            <w:r>
              <w:t>8.63</w:t>
            </w:r>
            <w:r w:rsidRPr="0047504F">
              <w:t>∙10</w:t>
            </w:r>
            <w:r w:rsidRPr="0047504F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  <w:vAlign w:val="center"/>
          </w:tcPr>
          <w:p w14:paraId="141E6940" w14:textId="7CCC3C18" w:rsidR="00EC4BF8" w:rsidRDefault="00EC4BF8" w:rsidP="00317465">
            <w:pPr>
              <w:pStyle w:val="Els-table-text"/>
              <w:jc w:val="center"/>
            </w:pPr>
            <w:r>
              <w:t>MJ</w:t>
            </w:r>
          </w:p>
        </w:tc>
        <w:tc>
          <w:tcPr>
            <w:tcW w:w="964" w:type="dxa"/>
            <w:vAlign w:val="center"/>
          </w:tcPr>
          <w:p w14:paraId="342D4A05" w14:textId="2B1B0A53" w:rsidR="00EC4BF8" w:rsidRDefault="00EC4BF8" w:rsidP="00317465">
            <w:pPr>
              <w:pStyle w:val="Els-table-text"/>
              <w:ind w:right="-46"/>
              <w:jc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907" w:type="dxa"/>
            <w:vAlign w:val="center"/>
          </w:tcPr>
          <w:p w14:paraId="487D62EE" w14:textId="4EB4815B" w:rsidR="00EC4BF8" w:rsidRDefault="0048481E" w:rsidP="00317465">
            <w:pPr>
              <w:pStyle w:val="Els-table-text"/>
              <w:jc w:val="center"/>
            </w:pPr>
            <w:r>
              <w:t>5.55</w:t>
            </w:r>
            <w:r w:rsidR="00EC4BF8" w:rsidRPr="000804BC">
              <w:t>∙10</w:t>
            </w:r>
            <w:r w:rsidR="00EC4BF8" w:rsidRPr="000804BC">
              <w:rPr>
                <w:vertAlign w:val="superscript"/>
              </w:rPr>
              <w:t>-</w:t>
            </w:r>
            <w:r w:rsidR="00D85BC6">
              <w:rPr>
                <w:vertAlign w:val="superscript"/>
              </w:rPr>
              <w:t>4</w:t>
            </w:r>
          </w:p>
        </w:tc>
        <w:tc>
          <w:tcPr>
            <w:tcW w:w="907" w:type="dxa"/>
            <w:vAlign w:val="center"/>
          </w:tcPr>
          <w:p w14:paraId="0D491862" w14:textId="0D67CAB9" w:rsidR="00EC4BF8" w:rsidRPr="000804BC" w:rsidRDefault="00EC4BF8" w:rsidP="00317465">
            <w:pPr>
              <w:pStyle w:val="Els-table-text"/>
              <w:jc w:val="center"/>
            </w:pPr>
            <w:r>
              <w:t>1.16</w:t>
            </w:r>
            <w:r w:rsidRPr="000804BC">
              <w:t>∙10</w:t>
            </w:r>
            <w:r w:rsidRPr="000804BC">
              <w:rPr>
                <w:vertAlign w:val="superscript"/>
              </w:rPr>
              <w:t>-</w:t>
            </w:r>
            <w:r>
              <w:rPr>
                <w:vertAlign w:val="superscript"/>
              </w:rPr>
              <w:t>3</w:t>
            </w:r>
          </w:p>
        </w:tc>
        <w:tc>
          <w:tcPr>
            <w:tcW w:w="680" w:type="dxa"/>
            <w:vAlign w:val="center"/>
          </w:tcPr>
          <w:p w14:paraId="2A32EB7E" w14:textId="3D1A5E9E" w:rsidR="00EC4BF8" w:rsidRDefault="00EC4BF8" w:rsidP="00317465">
            <w:pPr>
              <w:pStyle w:val="Els-table-text"/>
              <w:jc w:val="center"/>
            </w:pPr>
            <w:r>
              <w:t>kg</w:t>
            </w:r>
          </w:p>
        </w:tc>
      </w:tr>
      <w:tr w:rsidR="00EC4BF8" w14:paraId="1A646D2C" w14:textId="0F616DEC" w:rsidTr="009C3066">
        <w:trPr>
          <w:jc w:val="center"/>
        </w:trPr>
        <w:tc>
          <w:tcPr>
            <w:tcW w:w="737" w:type="dxa"/>
            <w:vAlign w:val="center"/>
          </w:tcPr>
          <w:p w14:paraId="5B68D8CA" w14:textId="1FEF2B70" w:rsidR="00EC4BF8" w:rsidRDefault="00EC4BF8" w:rsidP="00317465">
            <w:pPr>
              <w:pStyle w:val="Els-table-text"/>
              <w:jc w:val="center"/>
            </w:pPr>
            <w:r>
              <w:t>FH</w:t>
            </w:r>
          </w:p>
        </w:tc>
        <w:tc>
          <w:tcPr>
            <w:tcW w:w="907" w:type="dxa"/>
            <w:vAlign w:val="center"/>
          </w:tcPr>
          <w:p w14:paraId="60519353" w14:textId="6651C9C6" w:rsidR="00EC4BF8" w:rsidRPr="00986151" w:rsidRDefault="00EC4BF8" w:rsidP="00317465">
            <w:pPr>
              <w:pStyle w:val="Els-table-text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907" w:type="dxa"/>
            <w:vAlign w:val="center"/>
          </w:tcPr>
          <w:p w14:paraId="348DBE1B" w14:textId="467D757E" w:rsidR="00EC4BF8" w:rsidRPr="0047504F" w:rsidRDefault="00EC4BF8" w:rsidP="00317465">
            <w:pPr>
              <w:pStyle w:val="Els-table-text"/>
              <w:jc w:val="center"/>
            </w:pPr>
            <w:r>
              <w:t>2.69</w:t>
            </w:r>
            <w:r w:rsidRPr="0047504F">
              <w:t>∙10</w:t>
            </w:r>
            <w:r w:rsidRPr="0047504F">
              <w:rPr>
                <w:vertAlign w:val="superscript"/>
              </w:rPr>
              <w:t>-</w:t>
            </w:r>
            <w:r>
              <w:rPr>
                <w:vertAlign w:val="superscript"/>
              </w:rPr>
              <w:t>3</w:t>
            </w:r>
          </w:p>
        </w:tc>
        <w:tc>
          <w:tcPr>
            <w:tcW w:w="680" w:type="dxa"/>
            <w:vAlign w:val="center"/>
          </w:tcPr>
          <w:p w14:paraId="3CC2DB50" w14:textId="3C761BCC" w:rsidR="00EC4BF8" w:rsidRPr="006D65E0" w:rsidRDefault="00EC4BF8" w:rsidP="00317465">
            <w:pPr>
              <w:pStyle w:val="Els-table-text"/>
              <w:jc w:val="center"/>
              <w:rPr>
                <w:vertAlign w:val="superscript"/>
              </w:rPr>
            </w:pPr>
            <w:r>
              <w:t>MJ</w:t>
            </w:r>
          </w:p>
        </w:tc>
        <w:tc>
          <w:tcPr>
            <w:tcW w:w="964" w:type="dxa"/>
            <w:vAlign w:val="center"/>
          </w:tcPr>
          <w:p w14:paraId="2A14E8AF" w14:textId="4767D849" w:rsidR="00EC4BF8" w:rsidRPr="006D65E0" w:rsidRDefault="00EC4BF8" w:rsidP="00317465">
            <w:pPr>
              <w:pStyle w:val="Els-table-text"/>
              <w:ind w:right="-46"/>
              <w:jc w:val="center"/>
            </w:pPr>
            <w:r>
              <w:t>CO</w:t>
            </w:r>
          </w:p>
        </w:tc>
        <w:tc>
          <w:tcPr>
            <w:tcW w:w="907" w:type="dxa"/>
            <w:vAlign w:val="center"/>
          </w:tcPr>
          <w:p w14:paraId="7F2F4190" w14:textId="6AE69BDD" w:rsidR="00EC4BF8" w:rsidRPr="006D65E0" w:rsidRDefault="00D85BC6" w:rsidP="00317465">
            <w:pPr>
              <w:pStyle w:val="Els-table-text"/>
              <w:jc w:val="center"/>
            </w:pPr>
            <w:r>
              <w:t>3.71</w:t>
            </w:r>
            <w:r w:rsidR="00EC4BF8" w:rsidRPr="000804BC">
              <w:t>∙10</w:t>
            </w:r>
            <w:r w:rsidR="00EC4BF8" w:rsidRPr="000804BC">
              <w:rPr>
                <w:vertAlign w:val="superscript"/>
              </w:rPr>
              <w:t>-4</w:t>
            </w:r>
          </w:p>
        </w:tc>
        <w:tc>
          <w:tcPr>
            <w:tcW w:w="907" w:type="dxa"/>
            <w:vAlign w:val="center"/>
          </w:tcPr>
          <w:p w14:paraId="52F31B4C" w14:textId="2DF96C56" w:rsidR="00EC4BF8" w:rsidRPr="000804BC" w:rsidRDefault="00EC4BF8" w:rsidP="00317465">
            <w:pPr>
              <w:pStyle w:val="Els-table-text"/>
              <w:jc w:val="center"/>
            </w:pPr>
            <w:r>
              <w:t>5.69</w:t>
            </w:r>
            <w:r w:rsidRPr="000804BC">
              <w:t>∙10</w:t>
            </w:r>
            <w:r w:rsidRPr="000804BC">
              <w:rPr>
                <w:vertAlign w:val="superscript"/>
              </w:rPr>
              <w:t>-4</w:t>
            </w:r>
          </w:p>
        </w:tc>
        <w:tc>
          <w:tcPr>
            <w:tcW w:w="680" w:type="dxa"/>
            <w:vAlign w:val="center"/>
          </w:tcPr>
          <w:p w14:paraId="27C2A38B" w14:textId="37ACBA20" w:rsidR="00EC4BF8" w:rsidRPr="006D65E0" w:rsidRDefault="00EC4BF8" w:rsidP="00317465">
            <w:pPr>
              <w:pStyle w:val="Els-table-text"/>
              <w:jc w:val="center"/>
            </w:pPr>
            <w:r>
              <w:t>kg</w:t>
            </w:r>
          </w:p>
        </w:tc>
      </w:tr>
      <w:tr w:rsidR="00EC4BF8" w14:paraId="5FE5553F" w14:textId="5EEEDC9B" w:rsidTr="009C3066">
        <w:trPr>
          <w:jc w:val="center"/>
        </w:trPr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9BCF40C" w14:textId="1E787804" w:rsidR="00EC4BF8" w:rsidRDefault="00EC4BF8" w:rsidP="00317465">
            <w:pPr>
              <w:pStyle w:val="Els-table-text"/>
              <w:jc w:val="center"/>
            </w:pPr>
            <w:r>
              <w:t>CW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5B0F14C7" w14:textId="6E364C3E" w:rsidR="00EC4BF8" w:rsidRPr="00C957D6" w:rsidRDefault="00EC4BF8" w:rsidP="00317465">
            <w:pPr>
              <w:pStyle w:val="Els-table-text"/>
              <w:jc w:val="center"/>
              <w:rPr>
                <w:b/>
                <w:bCs/>
              </w:rPr>
            </w:pPr>
            <w:r w:rsidRPr="0047504F">
              <w:t>2.</w:t>
            </w:r>
            <w:r>
              <w:t>19</w:t>
            </w:r>
            <w:r w:rsidRPr="0047504F">
              <w:t>∙10</w:t>
            </w:r>
            <w:r w:rsidRPr="0047504F">
              <w:rPr>
                <w:vertAlign w:val="superscript"/>
              </w:rPr>
              <w:t>-4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6C9D0C14" w14:textId="50E808B0" w:rsidR="00EC4BF8" w:rsidRPr="00C957D6" w:rsidRDefault="00EC4BF8" w:rsidP="00317465">
            <w:pPr>
              <w:pStyle w:val="Els-table-text"/>
              <w:jc w:val="center"/>
              <w:rPr>
                <w:b/>
                <w:bCs/>
              </w:rPr>
            </w:pPr>
            <w:r w:rsidRPr="0047504F">
              <w:t>2.88∙10</w:t>
            </w:r>
            <w:r w:rsidRPr="0047504F">
              <w:rPr>
                <w:vertAlign w:val="superscript"/>
              </w:rPr>
              <w:t>-4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1C168181" w14:textId="70A22A64" w:rsidR="00EC4BF8" w:rsidRPr="00C957D6" w:rsidRDefault="00EC4BF8" w:rsidP="00317465">
            <w:pPr>
              <w:pStyle w:val="Els-table-text"/>
              <w:jc w:val="center"/>
              <w:rPr>
                <w:b/>
                <w:bCs/>
              </w:rPr>
            </w:pPr>
            <w:r w:rsidRPr="006D65E0"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2672F4B4" w14:textId="75E142F4" w:rsidR="00EC4BF8" w:rsidRPr="00C957D6" w:rsidRDefault="00EC4BF8" w:rsidP="00317465">
            <w:pPr>
              <w:pStyle w:val="Els-table-text"/>
              <w:ind w:right="-46"/>
              <w:jc w:val="center"/>
              <w:rPr>
                <w:b/>
                <w:bCs/>
              </w:rPr>
            </w:pPr>
            <w:r>
              <w:t>WW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232251C5" w14:textId="105591F6" w:rsidR="00EC4BF8" w:rsidRPr="00C957D6" w:rsidRDefault="00D85BC6" w:rsidP="00317465">
            <w:pPr>
              <w:pStyle w:val="Els-table-text"/>
              <w:jc w:val="center"/>
              <w:rPr>
                <w:b/>
                <w:bCs/>
              </w:rPr>
            </w:pPr>
            <w:r>
              <w:t>6.29</w:t>
            </w:r>
            <w:r w:rsidR="00EC4BF8" w:rsidRPr="000804BC">
              <w:t>∙10</w:t>
            </w:r>
            <w:r w:rsidR="00EC4BF8" w:rsidRPr="000804BC">
              <w:rPr>
                <w:vertAlign w:val="superscript"/>
              </w:rPr>
              <w:t>-5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76A7A4C4" w14:textId="1B27B12B" w:rsidR="00EC4BF8" w:rsidRPr="000804BC" w:rsidRDefault="00EC4BF8" w:rsidP="00317465">
            <w:pPr>
              <w:pStyle w:val="Els-table-text"/>
              <w:jc w:val="center"/>
              <w:rPr>
                <w:b/>
                <w:bCs/>
              </w:rPr>
            </w:pPr>
            <w:r>
              <w:t>7.60</w:t>
            </w:r>
            <w:r w:rsidRPr="000804BC">
              <w:t>∙10</w:t>
            </w:r>
            <w:r w:rsidRPr="000804BC">
              <w:rPr>
                <w:vertAlign w:val="superscript"/>
              </w:rPr>
              <w:t>-5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C921F06" w14:textId="786D3896" w:rsidR="00EC4BF8" w:rsidRPr="00C957D6" w:rsidRDefault="00EC4BF8" w:rsidP="00317465">
            <w:pPr>
              <w:pStyle w:val="Els-table-text"/>
              <w:jc w:val="center"/>
              <w:rPr>
                <w:b/>
                <w:bCs/>
              </w:rPr>
            </w:pPr>
            <w:r w:rsidRPr="00EF6960">
              <w:t>m</w:t>
            </w:r>
            <w:r>
              <w:rPr>
                <w:vertAlign w:val="superscript"/>
              </w:rPr>
              <w:t>3</w:t>
            </w:r>
          </w:p>
        </w:tc>
      </w:tr>
    </w:tbl>
    <w:p w14:paraId="3EFB56BA" w14:textId="7D185B48" w:rsidR="00656C37" w:rsidRPr="00E572E2" w:rsidRDefault="71570232" w:rsidP="00950878">
      <w:pPr>
        <w:pStyle w:val="Els-body-text"/>
        <w:spacing w:before="120"/>
      </w:pPr>
      <w:r w:rsidRPr="0F219487">
        <w:rPr>
          <w:b/>
          <w:bCs/>
        </w:rPr>
        <w:t>Environmental impact assessment.</w:t>
      </w:r>
      <w:r w:rsidR="227A3086">
        <w:t xml:space="preserve"> The environmental assessment is conducted in S</w:t>
      </w:r>
      <w:r w:rsidR="3C46AC9A">
        <w:t>ima</w:t>
      </w:r>
      <w:r w:rsidR="227A3086">
        <w:t>P</w:t>
      </w:r>
      <w:r w:rsidR="7053CF93">
        <w:t>ro</w:t>
      </w:r>
      <w:r w:rsidR="227A3086">
        <w:t xml:space="preserve"> </w:t>
      </w:r>
      <w:r w:rsidR="3D2A800A">
        <w:t xml:space="preserve">9.3, using </w:t>
      </w:r>
      <w:r w:rsidR="000F7B1D">
        <w:t>Ecoinvent</w:t>
      </w:r>
      <w:r w:rsidR="3D2A800A">
        <w:t xml:space="preserve"> 3.</w:t>
      </w:r>
      <w:r w:rsidR="1AA2C84A">
        <w:t>9</w:t>
      </w:r>
      <w:r w:rsidR="3D2A800A">
        <w:t xml:space="preserve"> </w:t>
      </w:r>
      <w:r w:rsidR="37000611">
        <w:t>C</w:t>
      </w:r>
      <w:r w:rsidR="645EAEC2">
        <w:t>ut-</w:t>
      </w:r>
      <w:r w:rsidR="37000611">
        <w:t>O</w:t>
      </w:r>
      <w:r w:rsidR="645EAEC2">
        <w:t xml:space="preserve">ff </w:t>
      </w:r>
      <w:r w:rsidR="3D2A800A">
        <w:t>database for the background process inventories. The business-as-usual (BAU) fossil-based liquid fuel alternative is assumed to be “</w:t>
      </w:r>
      <w:r w:rsidR="45A623D1">
        <w:t xml:space="preserve">Petroleum {Europe without </w:t>
      </w:r>
      <w:r w:rsidR="000F7B1D">
        <w:t>Switzerland} |</w:t>
      </w:r>
      <w:r w:rsidR="45A623D1">
        <w:t xml:space="preserve"> market for petroleum | Cut-off, U</w:t>
      </w:r>
      <w:r w:rsidR="42AD58AE">
        <w:t>”, a liquid fuel with a LHV</w:t>
      </w:r>
      <w:r w:rsidR="40842B46">
        <w:t xml:space="preserve"> of 43.</w:t>
      </w:r>
      <w:r w:rsidR="5C811E02">
        <w:t>4</w:t>
      </w:r>
      <w:r w:rsidR="40842B46">
        <w:t xml:space="preserve"> MJ/kg.</w:t>
      </w:r>
      <w:r w:rsidR="61299DA7">
        <w:t xml:space="preserve"> </w:t>
      </w:r>
      <w:r w:rsidR="1CAC2692">
        <w:t>The environmental</w:t>
      </w:r>
      <w:r w:rsidR="51A898DD">
        <w:t xml:space="preserve"> </w:t>
      </w:r>
      <w:r w:rsidR="0C2E82A9">
        <w:t xml:space="preserve">KPIs are </w:t>
      </w:r>
      <w:r w:rsidR="51A898DD">
        <w:t>GWP100</w:t>
      </w:r>
      <w:r w:rsidR="13AC676E">
        <w:t xml:space="preserve"> </w:t>
      </w:r>
      <w:r w:rsidR="5E00637F">
        <w:t>alongside</w:t>
      </w:r>
      <w:r w:rsidR="13AC676E">
        <w:t xml:space="preserve"> </w:t>
      </w:r>
      <w:r w:rsidR="51A898DD">
        <w:t xml:space="preserve">the monetized </w:t>
      </w:r>
      <w:r w:rsidR="67672FB8">
        <w:t>endpoint impacts</w:t>
      </w:r>
      <w:r w:rsidR="0C2E82A9">
        <w:t xml:space="preserve"> to </w:t>
      </w:r>
      <w:r w:rsidR="67672FB8">
        <w:t xml:space="preserve">human health, ecosystem quality and </w:t>
      </w:r>
      <w:r w:rsidR="186CE3A6">
        <w:t xml:space="preserve">resource </w:t>
      </w:r>
      <w:r w:rsidR="4CA51284">
        <w:t>scarcity</w:t>
      </w:r>
      <w:r w:rsidR="3DF705E5">
        <w:t>, all computed with the ReCiPe2016 impact assessment methodology (Huijbregts </w:t>
      </w:r>
      <w:r w:rsidR="3DF705E5" w:rsidRPr="0F219487">
        <w:rPr>
          <w:i/>
          <w:iCs/>
        </w:rPr>
        <w:t xml:space="preserve">et al. </w:t>
      </w:r>
      <w:r w:rsidR="3DF705E5">
        <w:t xml:space="preserve">2017) and using </w:t>
      </w:r>
      <w:r w:rsidR="1B59442F">
        <w:t>the</w:t>
      </w:r>
      <w:r w:rsidR="186CE3A6">
        <w:t xml:space="preserve"> </w:t>
      </w:r>
      <w:r w:rsidR="79FB0C0A">
        <w:t>monetization factors</w:t>
      </w:r>
      <w:r w:rsidR="186CE3A6">
        <w:t xml:space="preserve"> from </w:t>
      </w:r>
      <w:r w:rsidR="06348ECD">
        <w:t>Dong</w:t>
      </w:r>
      <w:r w:rsidR="79FB0C0A">
        <w:t> </w:t>
      </w:r>
      <w:r w:rsidR="06348ECD" w:rsidRPr="0F219487">
        <w:rPr>
          <w:i/>
          <w:iCs/>
        </w:rPr>
        <w:t>et</w:t>
      </w:r>
      <w:r w:rsidR="79FB0C0A" w:rsidRPr="0F219487">
        <w:rPr>
          <w:i/>
          <w:iCs/>
        </w:rPr>
        <w:t> a</w:t>
      </w:r>
      <w:r w:rsidR="06348ECD" w:rsidRPr="0F219487">
        <w:rPr>
          <w:i/>
          <w:iCs/>
        </w:rPr>
        <w:t>l.</w:t>
      </w:r>
      <w:r w:rsidR="79FB0C0A">
        <w:t> </w:t>
      </w:r>
      <w:r w:rsidR="06348ECD">
        <w:t xml:space="preserve">(2019) </w:t>
      </w:r>
      <w:r w:rsidR="6ECB2B6F">
        <w:t xml:space="preserve">converted </w:t>
      </w:r>
      <w:r w:rsidR="4CA51284">
        <w:t>to</w:t>
      </w:r>
      <w:r w:rsidR="6ECB2B6F">
        <w:t xml:space="preserve"> $</w:t>
      </w:r>
      <w:r w:rsidR="6ECB2B6F" w:rsidRPr="0F219487">
        <w:rPr>
          <w:vertAlign w:val="subscript"/>
        </w:rPr>
        <w:t>20</w:t>
      </w:r>
      <w:r w:rsidR="5C811E02" w:rsidRPr="0F219487">
        <w:rPr>
          <w:vertAlign w:val="subscript"/>
        </w:rPr>
        <w:t>23</w:t>
      </w:r>
      <w:r w:rsidR="6ECB2B6F">
        <w:t>.</w:t>
      </w:r>
    </w:p>
    <w:p w14:paraId="32A1DE8C" w14:textId="5CA06D35" w:rsidR="006F5157" w:rsidRDefault="006F5157" w:rsidP="006F5157">
      <w:pPr>
        <w:pStyle w:val="Els-1storder-head"/>
      </w:pPr>
      <w:r>
        <w:t>Results and discussion</w:t>
      </w:r>
    </w:p>
    <w:p w14:paraId="118A7315" w14:textId="291C0E21" w:rsidR="00767687" w:rsidRDefault="001E2902" w:rsidP="001E2902">
      <w:pPr>
        <w:pStyle w:val="Els-2ndorder-head"/>
      </w:pPr>
      <w:r>
        <w:t>Midpoint environmental impacts – global warming potential</w:t>
      </w:r>
    </w:p>
    <w:p w14:paraId="35214CC0" w14:textId="41249D34" w:rsidR="00304916" w:rsidRDefault="6AF06BCE" w:rsidP="0F219487">
      <w:pPr>
        <w:pStyle w:val="Els-body-text"/>
        <w:spacing w:line="259" w:lineRule="auto"/>
      </w:pPr>
      <w:r>
        <w:t xml:space="preserve">The left plot of </w:t>
      </w:r>
      <w:r w:rsidR="777E5389">
        <w:t xml:space="preserve">Figure </w:t>
      </w:r>
      <w:r w:rsidR="55FB8A7F">
        <w:t>2</w:t>
      </w:r>
      <w:r w:rsidR="777E5389">
        <w:t xml:space="preserve"> compare</w:t>
      </w:r>
      <w:r w:rsidR="55FB8A7F">
        <w:t>s</w:t>
      </w:r>
      <w:r w:rsidR="777E5389">
        <w:t xml:space="preserve"> the GWP</w:t>
      </w:r>
      <w:r w:rsidR="4623755C" w:rsidRPr="00B06991">
        <w:rPr>
          <w:vertAlign w:val="subscript"/>
        </w:rPr>
        <w:t>WTW</w:t>
      </w:r>
      <w:r w:rsidR="777E5389">
        <w:t xml:space="preserve"> </w:t>
      </w:r>
      <w:r w:rsidR="5AB71C06">
        <w:t xml:space="preserve">of </w:t>
      </w:r>
      <w:r w:rsidR="55FB8A7F">
        <w:t xml:space="preserve">1sFT and </w:t>
      </w:r>
      <w:proofErr w:type="gramStart"/>
      <w:r w:rsidR="55FB8A7F">
        <w:t xml:space="preserve">MTJ </w:t>
      </w:r>
      <w:r w:rsidR="428065A7">
        <w:t xml:space="preserve"> for</w:t>
      </w:r>
      <w:proofErr w:type="gramEnd"/>
      <w:r w:rsidR="428065A7">
        <w:t xml:space="preserve"> the different carbon sources</w:t>
      </w:r>
      <w:r w:rsidR="0B9DF936">
        <w:t xml:space="preserve"> against BAU</w:t>
      </w:r>
      <w:r w:rsidR="249518F9">
        <w:t xml:space="preserve">, with the error bars representing the uncertainty of the </w:t>
      </w:r>
      <w:proofErr w:type="spellStart"/>
      <w:r w:rsidR="34FB7292">
        <w:t>e</w:t>
      </w:r>
      <w:r w:rsidR="2CE41301">
        <w:t>coinvent</w:t>
      </w:r>
      <w:proofErr w:type="spellEnd"/>
      <w:r w:rsidR="2CE41301">
        <w:t xml:space="preserve"> </w:t>
      </w:r>
      <w:r w:rsidR="249518F9">
        <w:t>background data</w:t>
      </w:r>
      <w:r w:rsidR="3A97C4E1">
        <w:t xml:space="preserve">. </w:t>
      </w:r>
      <w:r w:rsidR="3D27D3BF">
        <w:t xml:space="preserve">Both </w:t>
      </w:r>
      <w:r w:rsidR="2CE41301">
        <w:t xml:space="preserve">alternatives </w:t>
      </w:r>
      <w:r w:rsidR="3D27D3BF">
        <w:t xml:space="preserve">achieve a significant reduction </w:t>
      </w:r>
      <w:r w:rsidR="44DD7BE9">
        <w:t>in</w:t>
      </w:r>
      <w:r w:rsidR="3D27D3BF">
        <w:t xml:space="preserve"> </w:t>
      </w:r>
      <w:proofErr w:type="spellStart"/>
      <w:r w:rsidR="3D27D3BF">
        <w:t>GWP</w:t>
      </w:r>
      <w:r w:rsidR="2CE41301" w:rsidRPr="00B127CB">
        <w:rPr>
          <w:vertAlign w:val="subscript"/>
        </w:rPr>
        <w:t>WtW</w:t>
      </w:r>
      <w:proofErr w:type="spellEnd"/>
      <w:r w:rsidR="3D27D3BF">
        <w:t xml:space="preserve">, with 1sFT outperforming MTJ by </w:t>
      </w:r>
      <w:r w:rsidR="4F053D74">
        <w:t>27-33% depending on the CO</w:t>
      </w:r>
      <w:r w:rsidR="4F053D74">
        <w:rPr>
          <w:vertAlign w:val="subscript"/>
        </w:rPr>
        <w:t>2</w:t>
      </w:r>
      <w:r w:rsidR="009D354B">
        <w:rPr>
          <w:vertAlign w:val="subscript"/>
        </w:rPr>
        <w:softHyphen/>
      </w:r>
      <w:r w:rsidR="4F053D74">
        <w:t xml:space="preserve"> source.</w:t>
      </w:r>
      <w:r w:rsidR="0618205F">
        <w:t xml:space="preserve"> Overall, </w:t>
      </w:r>
      <w:r w:rsidR="4B20F2FA">
        <w:t>1sFT and MTJ</w:t>
      </w:r>
      <w:r w:rsidR="75313CDC">
        <w:t xml:space="preserve"> </w:t>
      </w:r>
      <w:r w:rsidR="1DA3C108">
        <w:t xml:space="preserve">reduce </w:t>
      </w:r>
      <w:proofErr w:type="spellStart"/>
      <w:r w:rsidR="0618205F">
        <w:t>GWP</w:t>
      </w:r>
      <w:r w:rsidR="0618205F" w:rsidRPr="007A41F3">
        <w:rPr>
          <w:vertAlign w:val="subscript"/>
        </w:rPr>
        <w:t>WtW</w:t>
      </w:r>
      <w:proofErr w:type="spellEnd"/>
      <w:r w:rsidR="4F053D74">
        <w:t xml:space="preserve"> </w:t>
      </w:r>
      <w:r w:rsidR="4ADCD907">
        <w:t>by</w:t>
      </w:r>
      <w:r w:rsidR="75313CDC">
        <w:t xml:space="preserve"> </w:t>
      </w:r>
      <w:r w:rsidR="00563276">
        <w:t>over</w:t>
      </w:r>
      <w:r w:rsidR="5B3E652E">
        <w:t xml:space="preserve"> </w:t>
      </w:r>
      <w:r w:rsidR="0618205F">
        <w:t xml:space="preserve">70% </w:t>
      </w:r>
      <w:r w:rsidR="13ABD044">
        <w:t xml:space="preserve">and 60% </w:t>
      </w:r>
      <w:r w:rsidR="5B3E652E">
        <w:t>compared to BAU</w:t>
      </w:r>
      <w:r w:rsidR="13ABD044">
        <w:t>, respectively.</w:t>
      </w:r>
      <w:r w:rsidR="4ADCD907">
        <w:t xml:space="preserve"> W</w:t>
      </w:r>
      <w:r w:rsidR="6E04445E">
        <w:t>ith</w:t>
      </w:r>
      <w:r w:rsidR="4ADCD907">
        <w:t xml:space="preserve"> DAC, the process </w:t>
      </w:r>
      <w:r w:rsidR="0E5DC1B8">
        <w:t>credits for using CO</w:t>
      </w:r>
      <w:r w:rsidR="0E5DC1B8">
        <w:rPr>
          <w:vertAlign w:val="subscript"/>
        </w:rPr>
        <w:t>2</w:t>
      </w:r>
      <w:r w:rsidR="0E5DC1B8">
        <w:t xml:space="preserve"> correspond to the amount of CO</w:t>
      </w:r>
      <w:r w:rsidR="0E5DC1B8">
        <w:rPr>
          <w:vertAlign w:val="subscript"/>
        </w:rPr>
        <w:t>2</w:t>
      </w:r>
      <w:r w:rsidR="0E5DC1B8">
        <w:t xml:space="preserve"> removed from the atmosphere minus the indirect </w:t>
      </w:r>
      <w:r w:rsidR="52FBC2F4">
        <w:t>emissions related to DAC energy requirements</w:t>
      </w:r>
      <w:r w:rsidR="3BCEE902">
        <w:t xml:space="preserve">; while </w:t>
      </w:r>
      <w:r w:rsidR="3E64C7AF">
        <w:t>w</w:t>
      </w:r>
      <w:r w:rsidR="3C1F38E6">
        <w:t>ith</w:t>
      </w:r>
      <w:r w:rsidR="46CFB850">
        <w:t xml:space="preserve"> </w:t>
      </w:r>
      <w:r w:rsidR="1E85ECC5">
        <w:t>PPCC</w:t>
      </w:r>
      <w:r w:rsidR="5C7C7669">
        <w:t>,</w:t>
      </w:r>
      <w:r w:rsidR="1E85ECC5">
        <w:t xml:space="preserve"> </w:t>
      </w:r>
      <w:r w:rsidR="46CFB850">
        <w:t>CO</w:t>
      </w:r>
      <w:r w:rsidR="46CFB850">
        <w:rPr>
          <w:vertAlign w:val="subscript"/>
        </w:rPr>
        <w:t>2</w:t>
      </w:r>
      <w:r w:rsidR="46CFB850">
        <w:t xml:space="preserve"> procurement is responsible for </w:t>
      </w:r>
      <w:r w:rsidR="7634B4A5">
        <w:t>25</w:t>
      </w:r>
      <w:r w:rsidR="1A63AC84">
        <w:t>-</w:t>
      </w:r>
      <w:r w:rsidR="7634B4A5">
        <w:t>32</w:t>
      </w:r>
      <w:r w:rsidR="46CFB850">
        <w:t xml:space="preserve">% of the </w:t>
      </w:r>
      <w:r w:rsidR="3AFF40F9">
        <w:t xml:space="preserve">total </w:t>
      </w:r>
      <w:proofErr w:type="spellStart"/>
      <w:r w:rsidR="46CFB850">
        <w:t>GWP</w:t>
      </w:r>
      <w:r w:rsidR="46CFB850" w:rsidRPr="00D92143">
        <w:rPr>
          <w:vertAlign w:val="subscript"/>
        </w:rPr>
        <w:t>Wt</w:t>
      </w:r>
      <w:r w:rsidR="6DD6FB7E">
        <w:rPr>
          <w:vertAlign w:val="subscript"/>
        </w:rPr>
        <w:t>W</w:t>
      </w:r>
      <w:proofErr w:type="spellEnd"/>
      <w:r w:rsidR="46CFB850">
        <w:t xml:space="preserve">, </w:t>
      </w:r>
      <w:r w:rsidR="2228020E">
        <w:t>but the use phase emissions are 95% lower due to the biogenic CO</w:t>
      </w:r>
      <w:r w:rsidR="2228020E" w:rsidRPr="00F80809">
        <w:rPr>
          <w:vertAlign w:val="subscript"/>
        </w:rPr>
        <w:t>2</w:t>
      </w:r>
      <w:r w:rsidR="2228020E">
        <w:t xml:space="preserve"> content.</w:t>
      </w:r>
      <w:r w:rsidR="68C808F2">
        <w:t xml:space="preserve"> </w:t>
      </w:r>
      <w:r w:rsidR="54BD4B66">
        <w:t>Overall, the best performance is achieved when DAC</w:t>
      </w:r>
      <w:r w:rsidR="54BD4B66" w:rsidRPr="00034FBC">
        <w:rPr>
          <w:vertAlign w:val="subscript"/>
        </w:rPr>
        <w:t>LGH</w:t>
      </w:r>
      <w:r w:rsidR="54BD4B66">
        <w:t xml:space="preserve"> is used followed by PPCC and DAC</w:t>
      </w:r>
      <w:r w:rsidR="54BD4B66" w:rsidRPr="002F1779">
        <w:rPr>
          <w:vertAlign w:val="subscript"/>
        </w:rPr>
        <w:t>LT</w:t>
      </w:r>
      <w:r w:rsidR="54BD4B66">
        <w:t xml:space="preserve">. </w:t>
      </w:r>
      <w:r w:rsidR="68C808F2">
        <w:t>H</w:t>
      </w:r>
      <w:r w:rsidR="68C808F2">
        <w:rPr>
          <w:vertAlign w:val="subscript"/>
        </w:rPr>
        <w:t>2</w:t>
      </w:r>
      <w:r w:rsidR="68C808F2">
        <w:t xml:space="preserve"> production contributes </w:t>
      </w:r>
      <w:r w:rsidR="55B0BB60">
        <w:t>9.</w:t>
      </w:r>
      <w:r w:rsidR="40982A11">
        <w:t>4</w:t>
      </w:r>
      <w:r w:rsidR="77987DA8">
        <w:t>∙10</w:t>
      </w:r>
      <w:r w:rsidR="77987DA8" w:rsidRPr="004465B4">
        <w:rPr>
          <w:vertAlign w:val="superscript"/>
        </w:rPr>
        <w:t>-</w:t>
      </w:r>
      <w:r w:rsidR="3E171A3C">
        <w:rPr>
          <w:vertAlign w:val="superscript"/>
        </w:rPr>
        <w:t>3</w:t>
      </w:r>
      <w:r w:rsidR="77987DA8" w:rsidRPr="006D32AD">
        <w:t xml:space="preserve"> </w:t>
      </w:r>
      <w:r w:rsidR="77987DA8">
        <w:t>kg</w:t>
      </w:r>
      <w:r w:rsidR="77987DA8" w:rsidRPr="00BB3305">
        <w:rPr>
          <w:vertAlign w:val="subscript"/>
        </w:rPr>
        <w:t>CO2</w:t>
      </w:r>
      <w:r w:rsidR="77987DA8">
        <w:rPr>
          <w:vertAlign w:val="subscript"/>
        </w:rPr>
        <w:t>-eq</w:t>
      </w:r>
      <w:r w:rsidR="1CC54AA7">
        <w:t>/</w:t>
      </w:r>
      <w:proofErr w:type="spellStart"/>
      <w:r w:rsidR="1CC54AA7">
        <w:t>MJ</w:t>
      </w:r>
      <w:r w:rsidR="5AE1820D">
        <w:rPr>
          <w:vertAlign w:val="subscript"/>
        </w:rPr>
        <w:t>fuel</w:t>
      </w:r>
      <w:proofErr w:type="spellEnd"/>
      <w:r w:rsidR="5AE1820D">
        <w:rPr>
          <w:vertAlign w:val="subscript"/>
        </w:rPr>
        <w:t xml:space="preserve">, </w:t>
      </w:r>
      <w:r w:rsidR="5AE1820D" w:rsidRPr="00E30EE4">
        <w:rPr>
          <w:vertAlign w:val="subscript"/>
        </w:rPr>
        <w:t>1sFT</w:t>
      </w:r>
      <w:r w:rsidR="3E171A3C">
        <w:t xml:space="preserve"> and 1.</w:t>
      </w:r>
      <w:r w:rsidR="00226372">
        <w:t>0∙10</w:t>
      </w:r>
      <w:r w:rsidR="00226372" w:rsidRPr="004465B4">
        <w:rPr>
          <w:vertAlign w:val="superscript"/>
        </w:rPr>
        <w:t>-</w:t>
      </w:r>
      <w:r w:rsidR="7D9E9866">
        <w:rPr>
          <w:vertAlign w:val="superscript"/>
        </w:rPr>
        <w:t>2</w:t>
      </w:r>
      <w:r w:rsidR="00226372" w:rsidRPr="006D32AD">
        <w:t xml:space="preserve"> </w:t>
      </w:r>
      <w:r w:rsidR="00226372">
        <w:t>kg</w:t>
      </w:r>
      <w:r w:rsidR="00226372" w:rsidRPr="00BB3305">
        <w:rPr>
          <w:vertAlign w:val="subscript"/>
        </w:rPr>
        <w:t>CO2</w:t>
      </w:r>
      <w:r w:rsidR="00226372">
        <w:rPr>
          <w:vertAlign w:val="subscript"/>
        </w:rPr>
        <w:t>-eq</w:t>
      </w:r>
      <w:r w:rsidR="00226372">
        <w:t>/</w:t>
      </w:r>
      <w:proofErr w:type="spellStart"/>
      <w:r w:rsidR="00226372">
        <w:t>MJ</w:t>
      </w:r>
      <w:r w:rsidR="00226372">
        <w:rPr>
          <w:vertAlign w:val="subscript"/>
        </w:rPr>
        <w:t>fuel</w:t>
      </w:r>
      <w:proofErr w:type="spellEnd"/>
      <w:r w:rsidR="00226372">
        <w:rPr>
          <w:vertAlign w:val="subscript"/>
        </w:rPr>
        <w:t xml:space="preserve">, </w:t>
      </w:r>
      <w:proofErr w:type="spellStart"/>
      <w:r w:rsidR="00226372">
        <w:rPr>
          <w:vertAlign w:val="subscript"/>
        </w:rPr>
        <w:t>MtJ</w:t>
      </w:r>
      <w:proofErr w:type="spellEnd"/>
      <w:r w:rsidR="6626860E">
        <w:t xml:space="preserve"> </w:t>
      </w:r>
      <w:r w:rsidR="23B9F57A">
        <w:t>of</w:t>
      </w:r>
      <w:r w:rsidR="6626860E">
        <w:t xml:space="preserve"> </w:t>
      </w:r>
      <w:proofErr w:type="spellStart"/>
      <w:r w:rsidR="6626860E">
        <w:t>GWP</w:t>
      </w:r>
      <w:r w:rsidR="6626860E" w:rsidRPr="004A12F7">
        <w:rPr>
          <w:vertAlign w:val="subscript"/>
        </w:rPr>
        <w:t>WtW</w:t>
      </w:r>
      <w:proofErr w:type="spellEnd"/>
      <w:r w:rsidR="7C507A4C">
        <w:t xml:space="preserve">, while indirect emissions related to hot utilities are </w:t>
      </w:r>
      <w:r w:rsidR="373BFA6E">
        <w:t>~55% lower in 1sFT compared to MTJ.</w:t>
      </w:r>
      <w:r w:rsidR="620831B9">
        <w:t xml:space="preserve"> Fina</w:t>
      </w:r>
      <w:r w:rsidR="5D85D010">
        <w:t>l</w:t>
      </w:r>
      <w:r w:rsidR="620831B9">
        <w:t xml:space="preserve">ly, </w:t>
      </w:r>
      <w:r w:rsidR="17A8027E">
        <w:t xml:space="preserve">the </w:t>
      </w:r>
      <w:r w:rsidR="620831B9">
        <w:t xml:space="preserve">direct emissions from both processes </w:t>
      </w:r>
      <w:r w:rsidR="28799DF9">
        <w:t xml:space="preserve">are negligible </w:t>
      </w:r>
      <w:r w:rsidR="3767FD2D">
        <w:t>with PPCC</w:t>
      </w:r>
      <w:r w:rsidR="28799DF9">
        <w:t xml:space="preserve"> and account only for </w:t>
      </w:r>
      <w:r w:rsidR="106EEFA5">
        <w:t>~</w:t>
      </w:r>
      <w:r w:rsidR="1368CE0B">
        <w:t>2</w:t>
      </w:r>
      <w:r w:rsidR="28799DF9">
        <w:t xml:space="preserve">% </w:t>
      </w:r>
      <w:r w:rsidR="106EEFA5">
        <w:t xml:space="preserve">of </w:t>
      </w:r>
      <w:proofErr w:type="spellStart"/>
      <w:r w:rsidR="106EEFA5">
        <w:t>GWP</w:t>
      </w:r>
      <w:r w:rsidR="106EEFA5" w:rsidRPr="00D742DB">
        <w:rPr>
          <w:vertAlign w:val="subscript"/>
        </w:rPr>
        <w:t>WtW</w:t>
      </w:r>
      <w:proofErr w:type="spellEnd"/>
      <w:r w:rsidR="106EEFA5">
        <w:t xml:space="preserve"> </w:t>
      </w:r>
      <w:r w:rsidR="28799DF9">
        <w:t>w</w:t>
      </w:r>
      <w:r w:rsidR="214900A1">
        <w:t>ith</w:t>
      </w:r>
      <w:r w:rsidR="28799DF9">
        <w:t xml:space="preserve"> DAC.</w:t>
      </w:r>
    </w:p>
    <w:p w14:paraId="188A1820" w14:textId="77777777" w:rsidR="00EE3ECA" w:rsidRDefault="00EE3ECA" w:rsidP="00EE3ECA">
      <w:pPr>
        <w:pStyle w:val="Els-2ndorder-head"/>
      </w:pPr>
      <w:r>
        <w:t>Endpoint analysis and total cost</w:t>
      </w:r>
    </w:p>
    <w:p w14:paraId="04CC3D8C" w14:textId="482355B6" w:rsidR="00EE3ECA" w:rsidRDefault="59031D4C">
      <w:pPr>
        <w:pStyle w:val="Els-body-text"/>
        <w:spacing w:after="120" w:line="259" w:lineRule="auto"/>
      </w:pPr>
      <w:r>
        <w:t xml:space="preserve">The right plot of </w:t>
      </w:r>
      <w:r w:rsidR="32623B3E">
        <w:t xml:space="preserve">Figure 2 compares the total cost </w:t>
      </w:r>
      <w:r w:rsidR="1020E751">
        <w:t xml:space="preserve">(TC) </w:t>
      </w:r>
      <w:r w:rsidR="32623B3E">
        <w:t xml:space="preserve">of 1sFT and MTJ </w:t>
      </w:r>
      <w:r w:rsidR="34A2095E">
        <w:t>against</w:t>
      </w:r>
      <w:r w:rsidR="32623B3E">
        <w:t xml:space="preserve"> BAU. From </w:t>
      </w:r>
      <w:r w:rsidR="5C6A6EFB">
        <w:t>an</w:t>
      </w:r>
      <w:r w:rsidR="32623B3E">
        <w:t xml:space="preserve"> economic point of view all the options </w:t>
      </w:r>
      <w:r w:rsidR="79B0AAB3">
        <w:t>come</w:t>
      </w:r>
      <w:r w:rsidR="32623B3E">
        <w:t xml:space="preserve"> significantly more expensive tha</w:t>
      </w:r>
      <w:r w:rsidR="6FDF5A46">
        <w:t>n using fossil</w:t>
      </w:r>
      <w:r w:rsidR="4DBB568C">
        <w:t xml:space="preserve"> </w:t>
      </w:r>
      <w:r w:rsidR="58D40F44">
        <w:t>fuel</w:t>
      </w:r>
      <w:r w:rsidR="32623B3E">
        <w:t>. H</w:t>
      </w:r>
      <w:r w:rsidR="32623B3E" w:rsidRPr="0F219487">
        <w:rPr>
          <w:vertAlign w:val="subscript"/>
        </w:rPr>
        <w:t>2</w:t>
      </w:r>
      <w:r w:rsidR="32623B3E">
        <w:t xml:space="preserve"> </w:t>
      </w:r>
      <w:r w:rsidR="4754C028">
        <w:t xml:space="preserve">procurement </w:t>
      </w:r>
      <w:r w:rsidR="32623B3E">
        <w:t xml:space="preserve">is always the </w:t>
      </w:r>
      <w:r w:rsidR="16D58D4B">
        <w:t>domin</w:t>
      </w:r>
      <w:r w:rsidR="406F3008">
        <w:t>a</w:t>
      </w:r>
      <w:r w:rsidR="16D58D4B">
        <w:t xml:space="preserve">nt </w:t>
      </w:r>
      <w:r w:rsidR="32623B3E">
        <w:t xml:space="preserve">cost, representing 82% and 77% </w:t>
      </w:r>
      <w:r w:rsidR="32623B3E">
        <w:lastRenderedPageBreak/>
        <w:t>of the LCP in 1sFT and MTJ</w:t>
      </w:r>
      <w:r w:rsidR="70292464">
        <w:t xml:space="preserve">, respectively, </w:t>
      </w:r>
      <w:r w:rsidR="32623B3E">
        <w:t>when the cheapest CO</w:t>
      </w:r>
      <w:r w:rsidR="32623B3E" w:rsidRPr="0F219487">
        <w:rPr>
          <w:vertAlign w:val="subscript"/>
        </w:rPr>
        <w:t>2</w:t>
      </w:r>
      <w:r w:rsidR="32623B3E">
        <w:t xml:space="preserve"> alternative (PPCC) is used. W</w:t>
      </w:r>
      <w:r w:rsidR="2FC3FEC2">
        <w:t>ith</w:t>
      </w:r>
      <w:r w:rsidR="32623B3E">
        <w:t xml:space="preserve"> DAC</w:t>
      </w:r>
      <w:r w:rsidR="23E26A24">
        <w:t xml:space="preserve">, </w:t>
      </w:r>
      <w:r w:rsidR="32623B3E">
        <w:t>the cost of CO</w:t>
      </w:r>
      <w:r w:rsidR="32623B3E" w:rsidRPr="0F219487">
        <w:rPr>
          <w:vertAlign w:val="subscript"/>
        </w:rPr>
        <w:t>2</w:t>
      </w:r>
      <w:r w:rsidR="32623B3E">
        <w:t xml:space="preserve"> </w:t>
      </w:r>
      <w:r w:rsidR="036B9EFE">
        <w:t>makes up</w:t>
      </w:r>
      <w:r w:rsidR="32623B3E">
        <w:t xml:space="preserve"> 23</w:t>
      </w:r>
      <w:r w:rsidR="2C5493D6">
        <w:t>-</w:t>
      </w:r>
      <w:r w:rsidR="32623B3E">
        <w:t xml:space="preserve">36% of the LCP depending on the heat source. It is worth noting that </w:t>
      </w:r>
      <w:r w:rsidR="3DC1FB1F">
        <w:t xml:space="preserve">the </w:t>
      </w:r>
      <w:proofErr w:type="spellStart"/>
      <w:r w:rsidR="3DC1FB1F">
        <w:t>CapEx</w:t>
      </w:r>
      <w:proofErr w:type="spellEnd"/>
      <w:r w:rsidR="3DC1FB1F">
        <w:t xml:space="preserve"> of </w:t>
      </w:r>
      <w:r w:rsidR="32623B3E">
        <w:t xml:space="preserve">1sFT </w:t>
      </w:r>
      <w:r w:rsidR="60CE1479">
        <w:t>i</w:t>
      </w:r>
      <w:r w:rsidR="32623B3E">
        <w:t>s 40% lower compared to MTJ, but since the LCP is mainly determined by the operating costs the LCP</w:t>
      </w:r>
      <w:r w:rsidR="32623B3E" w:rsidRPr="0F219487">
        <w:rPr>
          <w:vertAlign w:val="subscript"/>
        </w:rPr>
        <w:t>1sFT</w:t>
      </w:r>
      <w:r w:rsidR="32623B3E">
        <w:t xml:space="preserve"> is only 14-20% lower than LCP</w:t>
      </w:r>
      <w:r w:rsidR="32623B3E" w:rsidRPr="0F219487">
        <w:rPr>
          <w:vertAlign w:val="subscript"/>
        </w:rPr>
        <w:t>MTJ</w:t>
      </w:r>
      <w:r w:rsidR="32623B3E">
        <w:t xml:space="preserve"> depending on the H</w:t>
      </w:r>
      <w:r w:rsidR="32623B3E" w:rsidRPr="0F219487">
        <w:rPr>
          <w:vertAlign w:val="subscript"/>
        </w:rPr>
        <w:t>2</w:t>
      </w:r>
      <w:r w:rsidR="32623B3E">
        <w:t xml:space="preserve"> and CO</w:t>
      </w:r>
      <w:r w:rsidR="32623B3E" w:rsidRPr="0F219487">
        <w:rPr>
          <w:vertAlign w:val="subscript"/>
        </w:rPr>
        <w:t>2</w:t>
      </w:r>
      <w:r w:rsidR="32623B3E">
        <w:t xml:space="preserve"> prices. </w:t>
      </w:r>
    </w:p>
    <w:p w14:paraId="57BE3F08" w14:textId="2A7A001F" w:rsidR="004070CE" w:rsidRDefault="00575D97" w:rsidP="004070CE">
      <w:pPr>
        <w:pStyle w:val="Els-body-text"/>
        <w:spacing w:after="120"/>
      </w:pPr>
      <w:r>
        <w:rPr>
          <w:noProof/>
        </w:rPr>
        <w:drawing>
          <wp:inline distT="0" distB="0" distL="0" distR="0" wp14:anchorId="25635D3C" wp14:editId="45EEA0B9">
            <wp:extent cx="2196000" cy="1441465"/>
            <wp:effectExtent l="0" t="0" r="0" b="6350"/>
            <wp:docPr id="1619968179" name="Picture 1619968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68179" name="Picture 161996817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11239"/>
                    <a:stretch/>
                  </pic:blipFill>
                  <pic:spPr bwMode="auto">
                    <a:xfrm>
                      <a:off x="0" y="0"/>
                      <a:ext cx="2196000" cy="144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043A">
        <w:rPr>
          <w:noProof/>
        </w:rPr>
        <w:t xml:space="preserve"> </w:t>
      </w:r>
      <w:r w:rsidR="00DA36E8">
        <w:rPr>
          <w:noProof/>
        </w:rPr>
        <w:drawing>
          <wp:inline distT="0" distB="0" distL="0" distR="0" wp14:anchorId="0584AFCE" wp14:editId="4AAED227">
            <wp:extent cx="2196000" cy="1441966"/>
            <wp:effectExtent l="0" t="0" r="0" b="6350"/>
            <wp:docPr id="1698033264" name="Picture 169803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33264" name="Picture 169803326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" t="11399"/>
                    <a:stretch/>
                  </pic:blipFill>
                  <pic:spPr bwMode="auto">
                    <a:xfrm>
                      <a:off x="0" y="0"/>
                      <a:ext cx="2196000" cy="144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4FAB0" w14:textId="70C82390" w:rsidR="004070CE" w:rsidRDefault="3FC69C3F" w:rsidP="0F219487">
      <w:pPr>
        <w:pStyle w:val="Els-caption"/>
        <w:spacing w:line="259" w:lineRule="auto"/>
      </w:pPr>
      <w:r>
        <w:t xml:space="preserve">Figure 2: </w:t>
      </w:r>
      <w:r w:rsidR="5D740695">
        <w:t>E</w:t>
      </w:r>
      <w:r>
        <w:t xml:space="preserve">nviro-economic </w:t>
      </w:r>
      <w:r w:rsidR="7CB1BB7E">
        <w:t>results</w:t>
      </w:r>
      <w:r>
        <w:t xml:space="preserve"> for the 1sFT, MTJ and BAU routes, using green H</w:t>
      </w:r>
      <w:r w:rsidRPr="0F219487">
        <w:rPr>
          <w:vertAlign w:val="subscript"/>
        </w:rPr>
        <w:t>2</w:t>
      </w:r>
      <w:r>
        <w:t xml:space="preserve"> and CO</w:t>
      </w:r>
      <w:r w:rsidRPr="0F219487">
        <w:rPr>
          <w:vertAlign w:val="subscript"/>
        </w:rPr>
        <w:t>2</w:t>
      </w:r>
      <w:r>
        <w:t xml:space="preserve"> from carbon capture in a pulp and paper mill (PPCC), low temperature direct air capture (DAC-LT) and DAC using low grade heat (DAC-LGH). </w:t>
      </w:r>
      <w:r w:rsidR="7EEFB0D9">
        <w:t>L</w:t>
      </w:r>
      <w:r w:rsidR="35BA59C2">
        <w:t>eft</w:t>
      </w:r>
      <w:r w:rsidR="13D14818">
        <w:t>:</w:t>
      </w:r>
      <w:r>
        <w:t xml:space="preserve"> Well-to-Wake GWP</w:t>
      </w:r>
      <w:r w:rsidR="5E690E4B">
        <w:t>, square symbols indicate net GWP100</w:t>
      </w:r>
      <w:r>
        <w:t xml:space="preserve">; </w:t>
      </w:r>
      <w:r w:rsidR="58FFB959">
        <w:t>Right:</w:t>
      </w:r>
      <w:r>
        <w:t xml:space="preserve"> total cost (TC) including environmental externalities.</w:t>
      </w:r>
    </w:p>
    <w:p w14:paraId="6DED6C28" w14:textId="4BC8C8B2" w:rsidR="00C818AD" w:rsidRDefault="19B3AC5A">
      <w:pPr>
        <w:pStyle w:val="Els-body-text"/>
        <w:spacing w:after="120" w:line="259" w:lineRule="auto"/>
      </w:pPr>
      <w:r>
        <w:t>The m</w:t>
      </w:r>
      <w:r w:rsidR="03997414">
        <w:t xml:space="preserve">onetized externalities cost </w:t>
      </w:r>
      <w:r>
        <w:t xml:space="preserve">is always lower than </w:t>
      </w:r>
      <w:r w:rsidR="62F7D9F2">
        <w:t>BAU,</w:t>
      </w:r>
      <w:r>
        <w:t xml:space="preserve"> but burden shifting is occurring between </w:t>
      </w:r>
      <w:r w:rsidR="0FF3B159">
        <w:t>GWP</w:t>
      </w:r>
      <w:r w:rsidR="6370C45E">
        <w:t xml:space="preserve"> </w:t>
      </w:r>
      <w:r w:rsidR="4527ADFA">
        <w:t>(</w:t>
      </w:r>
      <w:r w:rsidR="3617C5B7">
        <w:t>where SAF is performing better than BAU as previously discussed</w:t>
      </w:r>
      <w:r w:rsidR="69718152">
        <w:t>)</w:t>
      </w:r>
      <w:r w:rsidR="7D9AE2A4">
        <w:t xml:space="preserve"> and </w:t>
      </w:r>
      <w:r w:rsidR="6FF78C0B">
        <w:t>o</w:t>
      </w:r>
      <w:r w:rsidR="6BAABF59">
        <w:t xml:space="preserve">ther midpoint environmental impacts including </w:t>
      </w:r>
      <w:r w:rsidR="35C9D012">
        <w:t>particulate matter formation</w:t>
      </w:r>
      <w:r w:rsidR="3617C5B7">
        <w:t>,</w:t>
      </w:r>
      <w:r w:rsidR="35C9D012">
        <w:t xml:space="preserve"> human toxicity</w:t>
      </w:r>
      <w:r w:rsidR="3617C5B7">
        <w:t>, land use, and water consumption</w:t>
      </w:r>
      <w:r w:rsidR="66DD5BBE">
        <w:t xml:space="preserve"> (where SAF is performing worse)</w:t>
      </w:r>
      <w:r w:rsidR="3617C5B7">
        <w:t xml:space="preserve">. </w:t>
      </w:r>
      <w:r w:rsidR="41AE1FA7">
        <w:t xml:space="preserve">This </w:t>
      </w:r>
      <w:r w:rsidR="7B770114">
        <w:t>results</w:t>
      </w:r>
      <w:r w:rsidR="7EA22D3B">
        <w:t xml:space="preserve"> </w:t>
      </w:r>
      <w:r w:rsidR="7F04AACA">
        <w:t xml:space="preserve">in </w:t>
      </w:r>
      <w:r w:rsidR="7EA22D3B">
        <w:t>overall damage to human health</w:t>
      </w:r>
      <w:r w:rsidR="7B770114">
        <w:t xml:space="preserve"> spanning between </w:t>
      </w:r>
      <w:r w:rsidR="56D5769D">
        <w:t>1.10∙10</w:t>
      </w:r>
      <w:r w:rsidR="56D5769D" w:rsidRPr="0F219487">
        <w:rPr>
          <w:vertAlign w:val="superscript"/>
        </w:rPr>
        <w:t>-2</w:t>
      </w:r>
      <w:r w:rsidR="56D5769D">
        <w:t xml:space="preserve"> </w:t>
      </w:r>
      <w:r w:rsidR="0F4CF04F">
        <w:t>$/MJ</w:t>
      </w:r>
      <w:r w:rsidR="57816A0A">
        <w:t xml:space="preserve"> and 1.18∙10</w:t>
      </w:r>
      <w:r w:rsidR="57816A0A" w:rsidRPr="0F219487">
        <w:rPr>
          <w:vertAlign w:val="superscript"/>
        </w:rPr>
        <w:t>-2</w:t>
      </w:r>
      <w:r w:rsidR="57816A0A">
        <w:t xml:space="preserve"> $/MJ, </w:t>
      </w:r>
      <w:r w:rsidR="3DD1FED2">
        <w:t>compared to 1.16∙10</w:t>
      </w:r>
      <w:r w:rsidR="3DD1FED2" w:rsidRPr="0F219487">
        <w:rPr>
          <w:vertAlign w:val="superscript"/>
        </w:rPr>
        <w:t>-2</w:t>
      </w:r>
      <w:r w:rsidR="3DD1FED2">
        <w:t xml:space="preserve"> </w:t>
      </w:r>
      <w:r w:rsidR="27B1A8B7">
        <w:t>for</w:t>
      </w:r>
      <w:r w:rsidR="3DD1FED2">
        <w:t xml:space="preserve"> BAU. </w:t>
      </w:r>
      <w:r w:rsidR="4A4E2B7A">
        <w:t xml:space="preserve">Burden shifting also affects damage to ecosystem </w:t>
      </w:r>
      <w:r w:rsidR="62F7D9F2">
        <w:t>quality,</w:t>
      </w:r>
      <w:r w:rsidR="4A4E2B7A">
        <w:t xml:space="preserve"> but </w:t>
      </w:r>
      <w:r w:rsidR="0BF0EEC8">
        <w:t>all the SAF option</w:t>
      </w:r>
      <w:r w:rsidR="1DBB6117">
        <w:t>s</w:t>
      </w:r>
      <w:r w:rsidR="0BF0EEC8">
        <w:t xml:space="preserve"> have a</w:t>
      </w:r>
      <w:r w:rsidR="567AE909">
        <w:t xml:space="preserve"> lower overall impact compared to BAU. </w:t>
      </w:r>
      <w:r w:rsidR="241A16B9">
        <w:t>Looking at the damage to resource availability, DAC</w:t>
      </w:r>
      <w:r w:rsidR="049E269D" w:rsidRPr="0F219487">
        <w:rPr>
          <w:vertAlign w:val="subscript"/>
        </w:rPr>
        <w:t>LT</w:t>
      </w:r>
      <w:r w:rsidR="049E269D">
        <w:t xml:space="preserve"> </w:t>
      </w:r>
      <w:r w:rsidR="511955FF">
        <w:t xml:space="preserve">is the least sustainable option with a reduction of only </w:t>
      </w:r>
      <w:r w:rsidR="4E578057">
        <w:t xml:space="preserve">30-35% compared to BAU. </w:t>
      </w:r>
      <w:r w:rsidR="578F7151">
        <w:t xml:space="preserve">Despite the lower </w:t>
      </w:r>
      <w:r w:rsidR="3AE94A8B">
        <w:t>externalities costs</w:t>
      </w:r>
      <w:r w:rsidR="14758DCB">
        <w:t xml:space="preserve"> all the SAF options have a </w:t>
      </w:r>
      <w:r w:rsidR="16877DB5">
        <w:t xml:space="preserve">higher </w:t>
      </w:r>
      <w:r w:rsidR="14758DCB">
        <w:t xml:space="preserve">TC than BAU, with </w:t>
      </w:r>
      <w:r w:rsidR="596A815A">
        <w:t xml:space="preserve">the best alternative </w:t>
      </w:r>
      <w:r w:rsidR="5B716F95">
        <w:t>(</w:t>
      </w:r>
      <w:r w:rsidR="1E76A396">
        <w:t>1sFT</w:t>
      </w:r>
      <w:r w:rsidR="7594FFFE" w:rsidRPr="0F219487">
        <w:rPr>
          <w:vertAlign w:val="subscript"/>
        </w:rPr>
        <w:t>PPCC</w:t>
      </w:r>
      <w:r w:rsidR="5B716F95">
        <w:t xml:space="preserve">) </w:t>
      </w:r>
      <w:r w:rsidR="5B0015F8">
        <w:t>having a 48% higher TC, and the worst alternative (MTJ</w:t>
      </w:r>
      <w:r w:rsidR="5B0015F8" w:rsidRPr="0F219487">
        <w:rPr>
          <w:vertAlign w:val="subscript"/>
        </w:rPr>
        <w:t>DAC-LT</w:t>
      </w:r>
      <w:r w:rsidR="5B0015F8">
        <w:t xml:space="preserve">) </w:t>
      </w:r>
      <w:r w:rsidR="23F85885">
        <w:t>a</w:t>
      </w:r>
      <w:r w:rsidR="5B0015F8">
        <w:t xml:space="preserve"> </w:t>
      </w:r>
      <w:r w:rsidR="207B2E4F">
        <w:t xml:space="preserve">~2.3 times higher </w:t>
      </w:r>
      <w:r w:rsidR="24CEE838">
        <w:t xml:space="preserve">TC </w:t>
      </w:r>
      <w:r w:rsidR="207B2E4F">
        <w:t>than BAU.</w:t>
      </w:r>
      <w:r w:rsidR="7594FFFE">
        <w:t xml:space="preserve"> </w:t>
      </w:r>
      <w:r w:rsidR="56D5769D">
        <w:t xml:space="preserve"> </w:t>
      </w:r>
      <w:r w:rsidR="7EA22D3B">
        <w:t xml:space="preserve"> </w:t>
      </w:r>
    </w:p>
    <w:p w14:paraId="278CB4E7" w14:textId="19F6676E" w:rsidR="009B5ADF" w:rsidRDefault="09BA50ED" w:rsidP="00750952">
      <w:pPr>
        <w:pStyle w:val="Els-body-text"/>
        <w:spacing w:after="120"/>
      </w:pPr>
      <w:r>
        <w:t xml:space="preserve">In the </w:t>
      </w:r>
      <w:r w:rsidR="78FC7B82">
        <w:t>optimistic</w:t>
      </w:r>
      <w:r>
        <w:t xml:space="preserve"> scenario</w:t>
      </w:r>
      <w:r w:rsidR="1A294B8C">
        <w:t xml:space="preserve">, </w:t>
      </w:r>
      <w:r w:rsidR="0DB4A467">
        <w:t xml:space="preserve">the LCP of 1sFT </w:t>
      </w:r>
      <w:r w:rsidR="75E0BDE1">
        <w:t>decrease</w:t>
      </w:r>
      <w:r w:rsidR="011E3C61">
        <w:t>s</w:t>
      </w:r>
      <w:r w:rsidR="75E0BDE1">
        <w:t xml:space="preserve"> to</w:t>
      </w:r>
      <w:r w:rsidR="0225911A">
        <w:t xml:space="preserve"> </w:t>
      </w:r>
      <w:r w:rsidR="2C169D08">
        <w:t>25.8</w:t>
      </w:r>
      <w:r w:rsidR="0957751F">
        <w:t xml:space="preserve"> </w:t>
      </w:r>
      <w:r w:rsidR="0DB4A467">
        <w:t>$/</w:t>
      </w:r>
      <w:r w:rsidR="57A10A85">
        <w:t>G</w:t>
      </w:r>
      <w:r w:rsidR="0DB4A467">
        <w:t>J</w:t>
      </w:r>
      <w:r w:rsidR="2C169D08">
        <w:t xml:space="preserve"> if </w:t>
      </w:r>
      <w:proofErr w:type="gramStart"/>
      <w:r w:rsidR="2C169D08">
        <w:t>CO</w:t>
      </w:r>
      <w:r w:rsidR="2C169D08" w:rsidRPr="0F219487">
        <w:rPr>
          <w:vertAlign w:val="subscript"/>
        </w:rPr>
        <w:t>2</w:t>
      </w:r>
      <w:r w:rsidR="69051E87" w:rsidRPr="0F219487">
        <w:rPr>
          <w:vertAlign w:val="subscript"/>
        </w:rPr>
        <w:t>,PPCC</w:t>
      </w:r>
      <w:proofErr w:type="gramEnd"/>
      <w:r w:rsidR="69051E87">
        <w:t xml:space="preserve"> is used</w:t>
      </w:r>
      <w:r w:rsidR="0DB4A467">
        <w:t xml:space="preserve">, only slightly higher than </w:t>
      </w:r>
      <w:r w:rsidR="7EAAE10D">
        <w:t>the</w:t>
      </w:r>
      <w:r w:rsidR="0DB4A467">
        <w:t xml:space="preserve"> cost of </w:t>
      </w:r>
      <w:r w:rsidR="0DAE842D">
        <w:t>fossil fuels</w:t>
      </w:r>
      <w:r w:rsidR="0DB4A467">
        <w:t xml:space="preserve"> with a CO</w:t>
      </w:r>
      <w:r w:rsidR="0DB4A467" w:rsidRPr="0F219487">
        <w:rPr>
          <w:vertAlign w:val="subscript"/>
        </w:rPr>
        <w:t>2</w:t>
      </w:r>
      <w:r w:rsidR="0DB4A467">
        <w:t xml:space="preserve"> tax of 150</w:t>
      </w:r>
      <w:r w:rsidR="0225911A">
        <w:t> </w:t>
      </w:r>
      <w:r w:rsidR="0DB4A467">
        <w:t>$/t</w:t>
      </w:r>
      <w:r w:rsidR="0EECCDBE">
        <w:t xml:space="preserve"> (23 $/</w:t>
      </w:r>
      <w:r w:rsidR="57A10A85">
        <w:t>G</w:t>
      </w:r>
      <w:r w:rsidR="0EECCDBE">
        <w:t>J)</w:t>
      </w:r>
      <w:r w:rsidR="0957751F">
        <w:t xml:space="preserve">, while </w:t>
      </w:r>
      <w:r w:rsidR="69051E87">
        <w:t xml:space="preserve">all the other options </w:t>
      </w:r>
      <w:r w:rsidR="10CF00E8">
        <w:t xml:space="preserve">remain </w:t>
      </w:r>
      <w:r w:rsidR="0003F5C6">
        <w:t>42-78% more expensive than BAU</w:t>
      </w:r>
      <w:r w:rsidR="0225911A">
        <w:t>.</w:t>
      </w:r>
      <w:r w:rsidR="0957751F">
        <w:t xml:space="preserve"> </w:t>
      </w:r>
      <w:r w:rsidR="42558FF1">
        <w:t>I</w:t>
      </w:r>
      <w:r w:rsidR="7FF463C7">
        <w:t>n terms of total cost including externalities, TC</w:t>
      </w:r>
      <w:r w:rsidR="7FF463C7" w:rsidRPr="0F219487">
        <w:rPr>
          <w:vertAlign w:val="subscript"/>
        </w:rPr>
        <w:t>BAU</w:t>
      </w:r>
      <w:r w:rsidR="7FF463C7">
        <w:t xml:space="preserve"> is 24-27% higher than TC</w:t>
      </w:r>
      <w:r w:rsidR="7FF463C7" w:rsidRPr="0F219487">
        <w:rPr>
          <w:vertAlign w:val="subscript"/>
        </w:rPr>
        <w:t>1sFT</w:t>
      </w:r>
      <w:r w:rsidR="7FF463C7">
        <w:t xml:space="preserve"> and 2-5% higher than TC</w:t>
      </w:r>
      <w:r w:rsidR="7FF463C7" w:rsidRPr="0F219487">
        <w:rPr>
          <w:vertAlign w:val="subscript"/>
        </w:rPr>
        <w:t>MTJ</w:t>
      </w:r>
      <w:r w:rsidR="7FF463C7">
        <w:t>.</w:t>
      </w:r>
    </w:p>
    <w:p w14:paraId="39BB8194" w14:textId="4BFDB65E" w:rsidR="00BC1E91" w:rsidRPr="00F978AC" w:rsidRDefault="7FF463C7" w:rsidP="008C30CF">
      <w:pPr>
        <w:pStyle w:val="Els-body-text"/>
        <w:spacing w:after="120"/>
      </w:pPr>
      <w:r>
        <w:t xml:space="preserve">In terms of fuel blend composition, MTJ </w:t>
      </w:r>
      <w:r w:rsidR="6C472B44">
        <w:t>produces</w:t>
      </w:r>
      <w:r>
        <w:t xml:space="preserve"> a higher percentage of SAF and light hydrocarbons, while 1sFT </w:t>
      </w:r>
      <w:r w:rsidR="31D5FAE4">
        <w:t>produces</w:t>
      </w:r>
      <w:r>
        <w:t xml:space="preserve"> a higher percentage of </w:t>
      </w:r>
      <w:r w:rsidR="6920597D">
        <w:t>gasoline</w:t>
      </w:r>
      <w:r>
        <w:t xml:space="preserve">. </w:t>
      </w:r>
      <w:r w:rsidR="6920597D">
        <w:t xml:space="preserve">A detailed analysis of the effect of fuel composition is beyond the scope of the work, but alternatives to flaring such as </w:t>
      </w:r>
      <w:r w:rsidR="2A648847">
        <w:t xml:space="preserve">a reforming reactor </w:t>
      </w:r>
      <w:r>
        <w:t>to convert the light hydrocarbons back into syngas to maximize the liquid fuel output</w:t>
      </w:r>
      <w:r w:rsidR="11D2D145">
        <w:t xml:space="preserve"> could lead to more significant benefits in MTJ</w:t>
      </w:r>
      <w:r>
        <w:t xml:space="preserve">, while the fuel blend </w:t>
      </w:r>
      <w:r w:rsidR="65E094E0">
        <w:t xml:space="preserve">from 1sFT </w:t>
      </w:r>
      <w:r>
        <w:t xml:space="preserve">might require larger intervention at the refinery. </w:t>
      </w:r>
    </w:p>
    <w:p w14:paraId="01D251CE" w14:textId="353F3774" w:rsidR="00767687" w:rsidRDefault="00767687" w:rsidP="00767687">
      <w:pPr>
        <w:pStyle w:val="Els-1storder-head"/>
      </w:pPr>
      <w:r>
        <w:t>Conclusions</w:t>
      </w:r>
    </w:p>
    <w:p w14:paraId="553F23A6" w14:textId="356087D7" w:rsidR="00F42BE6" w:rsidRDefault="008E22D1" w:rsidP="6A1D6184">
      <w:pPr>
        <w:pStyle w:val="Els-body-text"/>
        <w:spacing w:line="259" w:lineRule="auto"/>
      </w:pPr>
      <w:r>
        <w:t xml:space="preserve">This </w:t>
      </w:r>
      <w:r w:rsidR="2101434C">
        <w:t>paper</w:t>
      </w:r>
      <w:r>
        <w:t xml:space="preserve"> presented a</w:t>
      </w:r>
      <w:r w:rsidR="0094373A">
        <w:t xml:space="preserve">n enviro-economic assessment of </w:t>
      </w:r>
      <w:r w:rsidR="00BA0C9D">
        <w:t xml:space="preserve">two processes </w:t>
      </w:r>
      <w:r w:rsidR="397BDDBC">
        <w:t>for</w:t>
      </w:r>
      <w:r w:rsidR="00BA0C9D">
        <w:t xml:space="preserve"> </w:t>
      </w:r>
      <w:r w:rsidR="3A0BB158">
        <w:t>produc</w:t>
      </w:r>
      <w:r w:rsidR="4A991AAE">
        <w:t>ing</w:t>
      </w:r>
      <w:r w:rsidR="00BA0C9D">
        <w:t xml:space="preserve"> liquid hydrocarbons in the jet fuel range from CO</w:t>
      </w:r>
      <w:r w:rsidR="00BA0C9D" w:rsidRPr="00BA0C9D">
        <w:rPr>
          <w:vertAlign w:val="subscript"/>
        </w:rPr>
        <w:t>2</w:t>
      </w:r>
      <w:r w:rsidR="00BA0C9D">
        <w:t xml:space="preserve"> and H</w:t>
      </w:r>
      <w:r w:rsidR="00BA0C9D" w:rsidRPr="00BA0C9D">
        <w:rPr>
          <w:vertAlign w:val="subscript"/>
        </w:rPr>
        <w:t>2</w:t>
      </w:r>
      <w:r w:rsidR="4C17D358">
        <w:t xml:space="preserve">, </w:t>
      </w:r>
      <w:r w:rsidR="2C59B6F7">
        <w:t>an</w:t>
      </w:r>
      <w:r w:rsidR="0094373A">
        <w:t xml:space="preserve"> FT-</w:t>
      </w:r>
      <w:r w:rsidR="00057A80">
        <w:t xml:space="preserve">based </w:t>
      </w:r>
      <w:r w:rsidR="0094373A">
        <w:t>process</w:t>
      </w:r>
      <w:r w:rsidR="00BA0C9D">
        <w:t xml:space="preserve"> and a methanol-mediated process. Green H</w:t>
      </w:r>
      <w:r w:rsidR="00BA0C9D" w:rsidRPr="00BA0C9D">
        <w:rPr>
          <w:vertAlign w:val="subscript"/>
        </w:rPr>
        <w:t>2</w:t>
      </w:r>
      <w:r w:rsidR="00BA0C9D">
        <w:t xml:space="preserve"> from water electrolysis </w:t>
      </w:r>
      <w:r w:rsidR="43246254">
        <w:t>w</w:t>
      </w:r>
      <w:r w:rsidR="00BA0C9D">
        <w:t xml:space="preserve">as considered </w:t>
      </w:r>
      <w:r w:rsidR="009D0844">
        <w:t xml:space="preserve">along with </w:t>
      </w:r>
      <w:r w:rsidR="009D0844">
        <w:lastRenderedPageBreak/>
        <w:t xml:space="preserve">two carbon sources: low temperature </w:t>
      </w:r>
      <w:r w:rsidR="00AB3A78">
        <w:t>DAC</w:t>
      </w:r>
      <w:r w:rsidR="009D0844">
        <w:t>, with heat provided</w:t>
      </w:r>
      <w:r w:rsidR="008D3094">
        <w:t xml:space="preserve"> </w:t>
      </w:r>
      <w:r w:rsidR="096E9082">
        <w:t>by</w:t>
      </w:r>
      <w:r w:rsidR="009D0844">
        <w:t xml:space="preserve"> a natural gas boiler or a low-grade burden</w:t>
      </w:r>
      <w:r w:rsidR="008D3094">
        <w:t>-</w:t>
      </w:r>
      <w:r w:rsidR="009D0844">
        <w:t>free heat source</w:t>
      </w:r>
      <w:r w:rsidR="009B53A2">
        <w:t>, and biogenic CO</w:t>
      </w:r>
      <w:r w:rsidR="009B53A2" w:rsidRPr="009B53A2">
        <w:rPr>
          <w:vertAlign w:val="subscript"/>
        </w:rPr>
        <w:t>2</w:t>
      </w:r>
      <w:r w:rsidR="009B53A2">
        <w:t xml:space="preserve"> captured from a pulp and paper mill. </w:t>
      </w:r>
      <w:r w:rsidR="5C50EFAB">
        <w:t xml:space="preserve">A one-step </w:t>
      </w:r>
      <w:r w:rsidR="00246EB0">
        <w:t xml:space="preserve">FT </w:t>
      </w:r>
      <w:r w:rsidR="5C50EFAB">
        <w:t xml:space="preserve">process using a novel catalyst was compared </w:t>
      </w:r>
      <w:proofErr w:type="spellStart"/>
      <w:r w:rsidR="5C50EFAB">
        <w:t>to</w:t>
      </w:r>
      <w:r w:rsidR="44D1DD96">
        <w:t>the</w:t>
      </w:r>
      <w:proofErr w:type="spellEnd"/>
      <w:r w:rsidR="44D1DD96">
        <w:t xml:space="preserve"> MTJ</w:t>
      </w:r>
      <w:r w:rsidR="00246EB0">
        <w:t xml:space="preserve"> process</w:t>
      </w:r>
      <w:r w:rsidR="00DA78E7">
        <w:t xml:space="preserve">, assuming that the </w:t>
      </w:r>
      <w:r w:rsidR="3319017F">
        <w:t>product blend</w:t>
      </w:r>
      <w:r w:rsidR="00DA78E7">
        <w:t xml:space="preserve"> is </w:t>
      </w:r>
      <w:r w:rsidR="00624A3B">
        <w:t xml:space="preserve">sent to </w:t>
      </w:r>
      <w:r w:rsidR="00DA78E7">
        <w:t xml:space="preserve">an existing </w:t>
      </w:r>
      <w:r w:rsidR="008D3094">
        <w:t>refinery</w:t>
      </w:r>
      <w:r w:rsidR="00FC0ACF">
        <w:t xml:space="preserve">. </w:t>
      </w:r>
      <w:r w:rsidR="00A6244F">
        <w:t>O</w:t>
      </w:r>
      <w:r w:rsidR="01C21728">
        <w:t xml:space="preserve">ne key finding is </w:t>
      </w:r>
      <w:r w:rsidR="00A6244F">
        <w:t xml:space="preserve">that the </w:t>
      </w:r>
      <w:r w:rsidR="00246EB0">
        <w:t>FT</w:t>
      </w:r>
      <w:r w:rsidR="00A6244F">
        <w:t xml:space="preserve"> process is superior both in economic and environmental terms to the </w:t>
      </w:r>
      <w:r w:rsidR="00246EB0">
        <w:t xml:space="preserve">MTJ </w:t>
      </w:r>
      <w:r w:rsidR="00A6244F">
        <w:t xml:space="preserve">process, due to a lower capital cost, </w:t>
      </w:r>
      <w:r w:rsidR="00246EB0">
        <w:t xml:space="preserve">lower </w:t>
      </w:r>
      <w:r w:rsidR="002C4750">
        <w:t>heating requirements</w:t>
      </w:r>
      <w:r w:rsidR="3FD924E8">
        <w:t>,</w:t>
      </w:r>
      <w:r w:rsidR="002C4750">
        <w:t xml:space="preserve"> and higher energy efficiency.</w:t>
      </w:r>
      <w:r w:rsidR="006B1158">
        <w:t xml:space="preserve"> </w:t>
      </w:r>
      <w:r w:rsidR="7565D1E3">
        <w:t>Importantly, a</w:t>
      </w:r>
      <w:r w:rsidR="00C10D6E">
        <w:t>ll the alternatives considered can</w:t>
      </w:r>
      <w:r w:rsidR="00BE46B8">
        <w:t xml:space="preserve"> </w:t>
      </w:r>
      <w:r w:rsidR="00DD7F43">
        <w:t>qualif</w:t>
      </w:r>
      <w:r w:rsidR="00C10D6E">
        <w:t>y</w:t>
      </w:r>
      <w:r w:rsidR="00DD7F43">
        <w:t xml:space="preserve"> as SAF in the UK since they </w:t>
      </w:r>
      <w:r w:rsidR="004C1030">
        <w:t xml:space="preserve">achieve </w:t>
      </w:r>
      <w:r w:rsidR="00C10D6E">
        <w:t>60-80</w:t>
      </w:r>
      <w:r w:rsidR="004C1030">
        <w:t>% GWP reduction on a life</w:t>
      </w:r>
      <w:r w:rsidR="3AF4C645">
        <w:t>-</w:t>
      </w:r>
      <w:r w:rsidR="004C1030">
        <w:t>cycle basis</w:t>
      </w:r>
      <w:r w:rsidR="00C10D6E">
        <w:t xml:space="preserve">, with </w:t>
      </w:r>
      <w:r w:rsidR="18B4E4C6">
        <w:t>the</w:t>
      </w:r>
      <w:r w:rsidR="00A81703">
        <w:t xml:space="preserve"> </w:t>
      </w:r>
      <w:r w:rsidR="6322D02F">
        <w:t>largest</w:t>
      </w:r>
      <w:r w:rsidR="00C10D6E">
        <w:t xml:space="preserve"> reduction</w:t>
      </w:r>
      <w:r w:rsidR="00A81703">
        <w:t xml:space="preserve"> obtained when DAC</w:t>
      </w:r>
      <w:r w:rsidR="00F66A63">
        <w:t xml:space="preserve"> with low-grade heat is </w:t>
      </w:r>
      <w:r w:rsidR="48AB9EA1">
        <w:t xml:space="preserve">combined </w:t>
      </w:r>
      <w:r w:rsidR="32B3A85B">
        <w:t>with</w:t>
      </w:r>
      <w:r w:rsidR="00F66A63">
        <w:t xml:space="preserve"> the FT process. </w:t>
      </w:r>
      <w:r w:rsidR="00E8464B">
        <w:t xml:space="preserve">Our </w:t>
      </w:r>
      <w:r w:rsidR="00B26947">
        <w:t xml:space="preserve">environmental </w:t>
      </w:r>
      <w:r w:rsidR="00E8464B">
        <w:t xml:space="preserve">assessment also </w:t>
      </w:r>
      <w:r w:rsidR="1FB01FBA">
        <w:t>quantified</w:t>
      </w:r>
      <w:r w:rsidR="00E8464B">
        <w:t xml:space="preserve"> endpoint </w:t>
      </w:r>
      <w:r w:rsidR="00B26947">
        <w:t>impact</w:t>
      </w:r>
      <w:r w:rsidR="00E8464B">
        <w:t>s</w:t>
      </w:r>
      <w:r w:rsidR="00575DF7">
        <w:t xml:space="preserve">, </w:t>
      </w:r>
      <w:r w:rsidR="44C75EA3">
        <w:t xml:space="preserve">confirming </w:t>
      </w:r>
      <w:r w:rsidR="3062CBE2">
        <w:t>a</w:t>
      </w:r>
      <w:r w:rsidR="00575DF7">
        <w:t xml:space="preserve"> </w:t>
      </w:r>
      <w:r w:rsidR="001A425A">
        <w:t>better overall environmental performance of the synthetic fuels</w:t>
      </w:r>
      <w:r w:rsidR="66E0D8BF">
        <w:t xml:space="preserve"> </w:t>
      </w:r>
      <w:r w:rsidR="00B26947">
        <w:t xml:space="preserve">compared to </w:t>
      </w:r>
      <w:r w:rsidR="3CDA6309">
        <w:t>fossil fuels</w:t>
      </w:r>
      <w:r w:rsidR="00B26947">
        <w:t xml:space="preserve">, </w:t>
      </w:r>
      <w:r w:rsidR="00A73492">
        <w:t xml:space="preserve">with </w:t>
      </w:r>
      <w:r w:rsidR="001744E1">
        <w:t>60</w:t>
      </w:r>
      <w:r w:rsidR="00A73492">
        <w:t xml:space="preserve">% reduction for the </w:t>
      </w:r>
      <w:r w:rsidR="00F82D31">
        <w:t xml:space="preserve">FT </w:t>
      </w:r>
      <w:r w:rsidR="00A73492">
        <w:t>process</w:t>
      </w:r>
      <w:r w:rsidR="00F82D31">
        <w:t xml:space="preserve"> in </w:t>
      </w:r>
      <w:r w:rsidR="22FDD217">
        <w:t>an</w:t>
      </w:r>
      <w:r w:rsidR="00F82D31">
        <w:t xml:space="preserve"> </w:t>
      </w:r>
      <w:r w:rsidR="22FDD217">
        <w:t xml:space="preserve">optimistic </w:t>
      </w:r>
      <w:r w:rsidR="00F82D31">
        <w:t>scenario</w:t>
      </w:r>
      <w:r w:rsidR="00A73492">
        <w:t xml:space="preserve">. </w:t>
      </w:r>
      <w:r w:rsidR="13367424">
        <w:t>Nevertheless, t</w:t>
      </w:r>
      <w:r w:rsidR="00F51F4A">
        <w:t>he proposed</w:t>
      </w:r>
      <w:r w:rsidR="00D91EF1">
        <w:t xml:space="preserve"> low-carbon </w:t>
      </w:r>
      <w:r w:rsidR="3BA73DDA">
        <w:t xml:space="preserve">synthetic </w:t>
      </w:r>
      <w:r w:rsidR="00EE65F3">
        <w:t xml:space="preserve">fuels are significantly more expensive </w:t>
      </w:r>
      <w:r w:rsidR="00A76384">
        <w:t xml:space="preserve">than </w:t>
      </w:r>
      <w:r w:rsidR="00D91EF1">
        <w:t xml:space="preserve">fossil </w:t>
      </w:r>
      <w:r w:rsidR="24609F26">
        <w:t>fuels</w:t>
      </w:r>
      <w:r w:rsidR="00D17DF7">
        <w:t>,</w:t>
      </w:r>
      <w:r w:rsidR="00D91EF1">
        <w:t xml:space="preserve"> and </w:t>
      </w:r>
      <w:r w:rsidR="000A5C5E">
        <w:t>even if the prices of H</w:t>
      </w:r>
      <w:r w:rsidR="000A5C5E">
        <w:rPr>
          <w:vertAlign w:val="subscript"/>
        </w:rPr>
        <w:t>2</w:t>
      </w:r>
      <w:r w:rsidR="000A5C5E">
        <w:t xml:space="preserve"> and CO</w:t>
      </w:r>
      <w:r w:rsidR="000A5C5E">
        <w:rPr>
          <w:vertAlign w:val="subscript"/>
        </w:rPr>
        <w:t>2</w:t>
      </w:r>
      <w:r w:rsidR="000A5C5E">
        <w:t xml:space="preserve"> </w:t>
      </w:r>
      <w:r w:rsidR="2D3826C8">
        <w:t>were</w:t>
      </w:r>
      <w:r w:rsidR="000A5C5E">
        <w:t xml:space="preserve"> to decrease</w:t>
      </w:r>
      <w:r w:rsidR="002D4DE7">
        <w:t>, policy interventions such as carbon taxation</w:t>
      </w:r>
      <w:r w:rsidR="001A425A">
        <w:t xml:space="preserve"> </w:t>
      </w:r>
      <w:r w:rsidR="5BEC7018">
        <w:t>would</w:t>
      </w:r>
      <w:r w:rsidR="002D4DE7">
        <w:t xml:space="preserve"> likely </w:t>
      </w:r>
      <w:r w:rsidR="704E7A75">
        <w:t>remain</w:t>
      </w:r>
      <w:r w:rsidR="002D4DE7">
        <w:t xml:space="preserve"> necessary</w:t>
      </w:r>
      <w:r w:rsidR="0A6565C3">
        <w:t xml:space="preserve"> to make SAF competitive</w:t>
      </w:r>
      <w:r w:rsidR="007E7588">
        <w:t xml:space="preserve">. </w:t>
      </w:r>
      <w:r w:rsidR="005E518E">
        <w:t xml:space="preserve">Future work will </w:t>
      </w:r>
      <w:r w:rsidR="51DB5955">
        <w:t>focus on</w:t>
      </w:r>
      <w:r w:rsidR="005E518E">
        <w:t xml:space="preserve"> </w:t>
      </w:r>
      <w:r w:rsidR="007E7588">
        <w:t>add</w:t>
      </w:r>
      <w:r w:rsidR="40ACFFC9">
        <w:t>ing</w:t>
      </w:r>
      <w:r w:rsidR="007E7588">
        <w:t xml:space="preserve"> more</w:t>
      </w:r>
      <w:r w:rsidR="005E518E">
        <w:t xml:space="preserve"> </w:t>
      </w:r>
      <w:r w:rsidR="007E7588">
        <w:t xml:space="preserve">options </w:t>
      </w:r>
      <w:r w:rsidR="005E518E">
        <w:t>for H</w:t>
      </w:r>
      <w:r w:rsidR="005E518E">
        <w:rPr>
          <w:vertAlign w:val="subscript"/>
        </w:rPr>
        <w:t>2</w:t>
      </w:r>
      <w:r w:rsidR="005E518E">
        <w:t xml:space="preserve"> and CO</w:t>
      </w:r>
      <w:r w:rsidR="005E518E">
        <w:rPr>
          <w:vertAlign w:val="subscript"/>
        </w:rPr>
        <w:t>2</w:t>
      </w:r>
      <w:r w:rsidR="005E518E">
        <w:t>, including blue hydrogen</w:t>
      </w:r>
      <w:r w:rsidR="00324B2E">
        <w:t xml:space="preserve">, </w:t>
      </w:r>
      <w:r w:rsidR="00F773EA">
        <w:t xml:space="preserve">alternative DAC processes, </w:t>
      </w:r>
      <w:r w:rsidR="00002D1D">
        <w:t xml:space="preserve">biomass gasification </w:t>
      </w:r>
      <w:r w:rsidR="007E7588">
        <w:t xml:space="preserve">and </w:t>
      </w:r>
      <w:r w:rsidR="00002D1D">
        <w:t xml:space="preserve">other </w:t>
      </w:r>
      <w:r w:rsidR="00ED7491">
        <w:t>biogenic carbon</w:t>
      </w:r>
      <w:r w:rsidR="00002D1D">
        <w:t xml:space="preserve"> sources</w:t>
      </w:r>
      <w:r w:rsidR="0061388B">
        <w:t>.</w:t>
      </w:r>
      <w:r w:rsidR="007C76C3">
        <w:t xml:space="preserve"> </w:t>
      </w:r>
      <w:r w:rsidR="00947888">
        <w:t xml:space="preserve">Moreover, reforming of the </w:t>
      </w:r>
      <w:r w:rsidR="007C76C3">
        <w:t>light hydrocarbons and unreacted syngas will be evaluated</w:t>
      </w:r>
      <w:r w:rsidR="00947888">
        <w:t xml:space="preserve"> </w:t>
      </w:r>
      <w:proofErr w:type="gramStart"/>
      <w:r w:rsidR="00947888">
        <w:t>in order to</w:t>
      </w:r>
      <w:proofErr w:type="gramEnd"/>
      <w:r w:rsidR="00947888">
        <w:t xml:space="preserve"> minimize the </w:t>
      </w:r>
      <w:r w:rsidR="00947888" w:rsidRPr="00947888">
        <w:t>CO</w:t>
      </w:r>
      <w:r w:rsidR="00947888" w:rsidRPr="00947888">
        <w:rPr>
          <w:vertAlign w:val="subscript"/>
        </w:rPr>
        <w:t>2</w:t>
      </w:r>
      <w:r w:rsidR="00947888" w:rsidRPr="00947888">
        <w:t xml:space="preserve"> and</w:t>
      </w:r>
      <w:r w:rsidR="00947888">
        <w:rPr>
          <w:vertAlign w:val="subscript"/>
        </w:rPr>
        <w:t xml:space="preserve"> </w:t>
      </w:r>
      <w:r w:rsidR="007C76C3" w:rsidRPr="00947888">
        <w:t>H</w:t>
      </w:r>
      <w:r w:rsidR="007C76C3" w:rsidRPr="00947888">
        <w:rPr>
          <w:vertAlign w:val="subscript"/>
        </w:rPr>
        <w:t>2</w:t>
      </w:r>
      <w:r w:rsidR="007C76C3">
        <w:t xml:space="preserve"> requirements.</w:t>
      </w:r>
    </w:p>
    <w:p w14:paraId="31724955" w14:textId="6797353F" w:rsidR="00F42BE6" w:rsidRPr="00ED7491" w:rsidRDefault="00F42BE6" w:rsidP="007A7DCD">
      <w:pPr>
        <w:pStyle w:val="Els-body-text"/>
        <w:spacing w:before="120" w:line="259" w:lineRule="auto"/>
      </w:pPr>
      <w:r w:rsidRPr="00ED7491">
        <w:rPr>
          <w:b/>
          <w:bCs/>
        </w:rPr>
        <w:t>A</w:t>
      </w:r>
      <w:r w:rsidR="00355558" w:rsidRPr="00ED7491">
        <w:rPr>
          <w:b/>
          <w:bCs/>
        </w:rPr>
        <w:t>c</w:t>
      </w:r>
      <w:r w:rsidRPr="00ED7491">
        <w:rPr>
          <w:b/>
          <w:bCs/>
        </w:rPr>
        <w:t>knowledgements</w:t>
      </w:r>
      <w:r w:rsidR="00355558" w:rsidRPr="00ED7491">
        <w:rPr>
          <w:b/>
          <w:bCs/>
        </w:rPr>
        <w:t>:</w:t>
      </w:r>
      <w:r w:rsidR="005E4009" w:rsidRPr="00ED7491">
        <w:t xml:space="preserve"> </w:t>
      </w:r>
      <w:r w:rsidR="00B429C0">
        <w:rPr>
          <w:rStyle w:val="ui-provider"/>
        </w:rPr>
        <w:t xml:space="preserve">AB and BC are grateful to EPSRC for financial support under Grant EP/V011863/1. </w:t>
      </w:r>
      <w:r w:rsidR="7FBC0B91">
        <w:t>DD is supported by the Eric and Wendy Schmidt AI in Science Postdoctoral Fellowship, a Schmidt Futures program.</w:t>
      </w:r>
    </w:p>
    <w:p w14:paraId="5AFA3439" w14:textId="77777777" w:rsidR="00DD3D9E" w:rsidRDefault="00DD3D9E">
      <w:pPr>
        <w:pStyle w:val="Els-reference-head"/>
      </w:pPr>
      <w:r>
        <w:t>References</w:t>
      </w:r>
    </w:p>
    <w:p w14:paraId="197E4E47" w14:textId="57677FA0" w:rsidR="00DD4992" w:rsidRPr="00B61F74" w:rsidRDefault="00CC77F7" w:rsidP="00C06C45">
      <w:pPr>
        <w:pStyle w:val="Els-referenceno-number"/>
        <w:ind w:left="180" w:hanging="180"/>
      </w:pPr>
      <w:r w:rsidRPr="00B61F74">
        <w:t>K. Atsonios</w:t>
      </w:r>
      <w:r w:rsidR="00B61F74" w:rsidRPr="00B61F74">
        <w:t xml:space="preserve"> </w:t>
      </w:r>
      <w:r w:rsidR="00B61F74" w:rsidRPr="00B61F74">
        <w:rPr>
          <w:i/>
          <w:iCs/>
        </w:rPr>
        <w:t>et al.</w:t>
      </w:r>
      <w:r w:rsidR="00B61F74" w:rsidRPr="00B61F74">
        <w:t xml:space="preserve"> 2023. Process analysis and comparative assessment of advanced thermochemical pathways for e-kerosene production</w:t>
      </w:r>
      <w:r w:rsidR="00B61F74">
        <w:t xml:space="preserve">. </w:t>
      </w:r>
      <w:r w:rsidR="00E25FB1">
        <w:t>Energy, 278, 127868</w:t>
      </w:r>
    </w:p>
    <w:p w14:paraId="57D35BE2" w14:textId="02EA8E78" w:rsidR="002E4F31" w:rsidRDefault="003B3E4D" w:rsidP="00C06C45">
      <w:pPr>
        <w:pStyle w:val="Els-referenceno-number"/>
        <w:spacing w:line="259" w:lineRule="auto"/>
        <w:ind w:left="180" w:hanging="180"/>
      </w:pPr>
      <w:r w:rsidRPr="00101949">
        <w:t xml:space="preserve">V. Becattini </w:t>
      </w:r>
      <w:r w:rsidRPr="00101949">
        <w:rPr>
          <w:i/>
          <w:iCs/>
        </w:rPr>
        <w:t>et al.</w:t>
      </w:r>
      <w:r w:rsidRPr="00101949">
        <w:t xml:space="preserve"> 202</w:t>
      </w:r>
      <w:r w:rsidR="009243E8" w:rsidRPr="00101949">
        <w:t xml:space="preserve">1. </w:t>
      </w:r>
      <w:r w:rsidR="009243E8" w:rsidRPr="009243E8">
        <w:t xml:space="preserve">Role of </w:t>
      </w:r>
      <w:r w:rsidR="77CA84DA">
        <w:t>c</w:t>
      </w:r>
      <w:r w:rsidR="009243E8">
        <w:t>arbon</w:t>
      </w:r>
      <w:r w:rsidR="009243E8" w:rsidRPr="009243E8">
        <w:t xml:space="preserve"> </w:t>
      </w:r>
      <w:r w:rsidR="6F9CB18E">
        <w:t>c</w:t>
      </w:r>
      <w:r w:rsidR="009243E8">
        <w:t xml:space="preserve">apture, </w:t>
      </w:r>
      <w:r w:rsidR="06AC6F1A">
        <w:t>s</w:t>
      </w:r>
      <w:r w:rsidR="009243E8">
        <w:t>torage</w:t>
      </w:r>
      <w:r w:rsidR="009243E8" w:rsidRPr="009243E8">
        <w:t xml:space="preserve">, and </w:t>
      </w:r>
      <w:r w:rsidR="6824CAED">
        <w:t>u</w:t>
      </w:r>
      <w:r w:rsidR="009243E8">
        <w:t>tilization</w:t>
      </w:r>
      <w:r w:rsidR="009243E8" w:rsidRPr="009243E8">
        <w:t xml:space="preserve"> to </w:t>
      </w:r>
      <w:r w:rsidR="3AB19E94">
        <w:t>e</w:t>
      </w:r>
      <w:r w:rsidR="009243E8">
        <w:t>nable</w:t>
      </w:r>
      <w:r w:rsidR="009243E8" w:rsidRPr="009243E8">
        <w:t xml:space="preserve"> a </w:t>
      </w:r>
      <w:r w:rsidR="7AC220C6">
        <w:t>n</w:t>
      </w:r>
      <w:r w:rsidR="009243E8">
        <w:t>et-</w:t>
      </w:r>
      <w:r w:rsidR="034D90F9">
        <w:t>z</w:t>
      </w:r>
      <w:r w:rsidR="009243E8">
        <w:t>ero</w:t>
      </w:r>
      <w:r w:rsidR="0FF42885">
        <w:t xml:space="preserve"> </w:t>
      </w:r>
      <w:r w:rsidR="009243E8" w:rsidRPr="009243E8">
        <w:t>CO</w:t>
      </w:r>
      <w:r w:rsidR="009243E8" w:rsidRPr="007A7DCD">
        <w:rPr>
          <w:vertAlign w:val="subscript"/>
        </w:rPr>
        <w:t>2</w:t>
      </w:r>
      <w:r w:rsidR="009243E8" w:rsidRPr="009243E8">
        <w:t>-</w:t>
      </w:r>
      <w:r w:rsidR="67642986">
        <w:t>e</w:t>
      </w:r>
      <w:r w:rsidR="009243E8">
        <w:t xml:space="preserve">missions </w:t>
      </w:r>
      <w:r w:rsidR="6F1A7FD7">
        <w:t>a</w:t>
      </w:r>
      <w:r w:rsidR="009243E8">
        <w:t xml:space="preserve">viation </w:t>
      </w:r>
      <w:r w:rsidR="1BA1C14F">
        <w:t>s</w:t>
      </w:r>
      <w:r w:rsidR="009243E8">
        <w:t xml:space="preserve">ector. </w:t>
      </w:r>
      <w:r w:rsidR="009243E8" w:rsidRPr="009243E8">
        <w:t>Ind Eng Chem Res, 60, 6848−6862</w:t>
      </w:r>
    </w:p>
    <w:p w14:paraId="6E7EE24C" w14:textId="77777777" w:rsidR="00AB5E16" w:rsidRDefault="00EA422D" w:rsidP="00C06C45">
      <w:pPr>
        <w:pStyle w:val="Els-referenceno-number"/>
        <w:ind w:left="180" w:hanging="180"/>
      </w:pPr>
      <w:r w:rsidRPr="00D01EBD">
        <w:t xml:space="preserve">A. Bernardi </w:t>
      </w:r>
      <w:r w:rsidRPr="00D01EBD">
        <w:rPr>
          <w:i/>
          <w:iCs/>
        </w:rPr>
        <w:t xml:space="preserve">et al. </w:t>
      </w:r>
      <w:r w:rsidRPr="00D01EBD">
        <w:t>2022. Enviro-economic assessment of sustainable aviation fuel production from direct CO</w:t>
      </w:r>
      <w:r w:rsidRPr="007A7DCD">
        <w:rPr>
          <w:vertAlign w:val="subscript"/>
        </w:rPr>
        <w:t>2</w:t>
      </w:r>
      <w:r w:rsidRPr="00D01EBD">
        <w:t xml:space="preserve"> hydrogenation. Comput Aided Chem En</w:t>
      </w:r>
      <w:r w:rsidR="6FDBF903">
        <w:t>g</w:t>
      </w:r>
      <w:r>
        <w:t>,</w:t>
      </w:r>
      <w:r w:rsidRPr="00D01EBD">
        <w:t xml:space="preserve"> 52, 2345-2350</w:t>
      </w:r>
      <w:r>
        <w:t>G</w:t>
      </w:r>
      <w:r w:rsidR="009A1B2A">
        <w:t xml:space="preserve">. </w:t>
      </w:r>
    </w:p>
    <w:p w14:paraId="62FF3239" w14:textId="68BB24C7" w:rsidR="00EA422D" w:rsidRPr="009243E8" w:rsidRDefault="009A1B2A" w:rsidP="00C06C45">
      <w:pPr>
        <w:pStyle w:val="Els-referenceno-number"/>
        <w:ind w:left="180" w:hanging="180"/>
      </w:pPr>
      <w:r w:rsidRPr="009A1B2A">
        <w:t>Brändle</w:t>
      </w:r>
      <w:r>
        <w:t xml:space="preserve"> </w:t>
      </w:r>
      <w:r>
        <w:rPr>
          <w:i/>
          <w:iCs/>
        </w:rPr>
        <w:t>et al.</w:t>
      </w:r>
      <w:r>
        <w:t xml:space="preserve"> 2021. </w:t>
      </w:r>
      <w:r w:rsidRPr="009A1B2A">
        <w:t>Estimating long-term global supply costs for low-carbon hydrogen</w:t>
      </w:r>
      <w:r>
        <w:t>. Appl En</w:t>
      </w:r>
      <w:r w:rsidR="28C56546">
        <w:t>ergy</w:t>
      </w:r>
      <w:r w:rsidR="005412BF">
        <w:t>, 302, 117481</w:t>
      </w:r>
    </w:p>
    <w:p w14:paraId="41C60A5B" w14:textId="1AECBEE7" w:rsidR="00D12A6D" w:rsidRPr="00753205" w:rsidRDefault="00D12A6D" w:rsidP="00C06C45">
      <w:pPr>
        <w:pStyle w:val="Els-referenceno-number"/>
        <w:ind w:left="180" w:hanging="180"/>
      </w:pPr>
      <w:r w:rsidRPr="00753205">
        <w:t>Y. Dong</w:t>
      </w:r>
      <w:r w:rsidR="009A2119" w:rsidRPr="00753205">
        <w:t xml:space="preserve"> </w:t>
      </w:r>
      <w:r w:rsidR="009A2119" w:rsidRPr="00753205">
        <w:rPr>
          <w:i/>
        </w:rPr>
        <w:t>et al.</w:t>
      </w:r>
      <w:r w:rsidR="009A2119" w:rsidRPr="00753205">
        <w:t xml:space="preserve"> </w:t>
      </w:r>
      <w:r w:rsidRPr="00753205">
        <w:t>2019. Evaluating the monetary values of greenhouse gases emissions in life cycle impact assessment. J Clean Prod, 209, 538-549.</w:t>
      </w:r>
    </w:p>
    <w:p w14:paraId="56ECDE97" w14:textId="3DA78897" w:rsidR="00697156" w:rsidRPr="00753205" w:rsidRDefault="00697156" w:rsidP="00C06C45">
      <w:pPr>
        <w:pStyle w:val="Els-referenceno-number"/>
        <w:ind w:left="180" w:hanging="180"/>
      </w:pPr>
      <w:r w:rsidRPr="00753205">
        <w:t>M.A. Huijbregts</w:t>
      </w:r>
      <w:r w:rsidR="009A2119" w:rsidRPr="00753205">
        <w:t xml:space="preserve"> </w:t>
      </w:r>
      <w:r w:rsidR="009A2119" w:rsidRPr="00753205">
        <w:rPr>
          <w:i/>
        </w:rPr>
        <w:t>et al.</w:t>
      </w:r>
      <w:r w:rsidRPr="00753205">
        <w:t xml:space="preserve"> 2017. ReCiPe2016: a harmonised life cycle impact assessment method at midpoint and endpoint level. </w:t>
      </w:r>
      <w:r w:rsidR="00A62103">
        <w:t>Int J Life Cycle Ass</w:t>
      </w:r>
      <w:r w:rsidR="67FEEF07">
        <w:t>ess</w:t>
      </w:r>
      <w:r w:rsidRPr="00753205">
        <w:t>, 22(2), 138-147.</w:t>
      </w:r>
    </w:p>
    <w:p w14:paraId="16FFA720" w14:textId="77777777" w:rsidR="00AB5E16" w:rsidRDefault="009147B7" w:rsidP="00C06C45">
      <w:pPr>
        <w:pStyle w:val="Els-referenceno-number"/>
        <w:ind w:left="180" w:hanging="180"/>
      </w:pPr>
      <w:r w:rsidRPr="009243E8">
        <w:t>IEA 2020, CCUS in Clean Energy Transitions, IEA, Paris https://www.iea.org/reports/ccus-in-clean-energy-transitions</w:t>
      </w:r>
      <w:r w:rsidR="0092697A" w:rsidRPr="0092697A">
        <w:t xml:space="preserve">K. </w:t>
      </w:r>
    </w:p>
    <w:p w14:paraId="0DA781AE" w14:textId="73A89A39" w:rsidR="0092697A" w:rsidRPr="0092697A" w:rsidRDefault="0092697A" w:rsidP="00C06C45">
      <w:pPr>
        <w:pStyle w:val="Els-referenceno-number"/>
        <w:ind w:left="180" w:hanging="180"/>
        <w:rPr>
          <w:b/>
          <w:bCs/>
        </w:rPr>
      </w:pPr>
      <w:r w:rsidRPr="0092697A">
        <w:t xml:space="preserve">Onarheim </w:t>
      </w:r>
      <w:r w:rsidRPr="0092697A">
        <w:rPr>
          <w:i/>
          <w:iCs/>
        </w:rPr>
        <w:t>et al.</w:t>
      </w:r>
      <w:r w:rsidRPr="0092697A">
        <w:t xml:space="preserve"> 2017. Performance and costs of CCS in the pulp and paper industry part 1: </w:t>
      </w:r>
      <w:r w:rsidR="00AB5E16">
        <w:t>p</w:t>
      </w:r>
      <w:r w:rsidRPr="0092697A">
        <w:t>erformance of amine-based postcombustion CO</w:t>
      </w:r>
      <w:r w:rsidRPr="007A7DCD">
        <w:rPr>
          <w:vertAlign w:val="subscript"/>
        </w:rPr>
        <w:t>2</w:t>
      </w:r>
      <w:r w:rsidRPr="0092697A">
        <w:t xml:space="preserve"> capture</w:t>
      </w:r>
      <w:r>
        <w:t>. Int J Green</w:t>
      </w:r>
      <w:r w:rsidR="00C603BA">
        <w:t>h Gas Con</w:t>
      </w:r>
      <w:r w:rsidR="7AC20257">
        <w:t>trol</w:t>
      </w:r>
      <w:r w:rsidR="00C603BA">
        <w:t xml:space="preserve">, </w:t>
      </w:r>
      <w:r w:rsidR="00B71E67">
        <w:t>59, 58-73.</w:t>
      </w:r>
    </w:p>
    <w:p w14:paraId="3FCA674A" w14:textId="29C95406" w:rsidR="004B1E60" w:rsidRPr="00D06FAD" w:rsidRDefault="004B1E60" w:rsidP="00C06C45">
      <w:pPr>
        <w:pStyle w:val="Els-referenceno-number"/>
        <w:ind w:left="180" w:hanging="180"/>
        <w:rPr>
          <w:color w:val="FF0000"/>
        </w:rPr>
      </w:pPr>
      <w:r w:rsidRPr="00101949">
        <w:t xml:space="preserve">F. Sabatino </w:t>
      </w:r>
      <w:r w:rsidRPr="00101949">
        <w:rPr>
          <w:i/>
          <w:iCs/>
        </w:rPr>
        <w:t xml:space="preserve">et al. </w:t>
      </w:r>
      <w:r w:rsidRPr="00101949">
        <w:t>202</w:t>
      </w:r>
      <w:r w:rsidR="00D06FAD" w:rsidRPr="00101949">
        <w:t xml:space="preserve">1. </w:t>
      </w:r>
      <w:r w:rsidR="00D06FAD" w:rsidRPr="00D06FAD">
        <w:t>A comparative energy and costs assessment and optimization for direct air capture technologies</w:t>
      </w:r>
      <w:r w:rsidR="00D06FAD">
        <w:t xml:space="preserve">. Joule, </w:t>
      </w:r>
      <w:r w:rsidR="00D06FAD" w:rsidRPr="00D06FAD">
        <w:t>5, 2047–2076</w:t>
      </w:r>
      <w:r w:rsidR="00D06FAD">
        <w:t>.</w:t>
      </w:r>
    </w:p>
    <w:p w14:paraId="1453EEB1" w14:textId="48EDB02C" w:rsidR="00D01EBD" w:rsidRPr="00753205" w:rsidRDefault="006F2175" w:rsidP="00C06C45">
      <w:pPr>
        <w:pStyle w:val="Els-referenceno-number"/>
        <w:ind w:left="180" w:hanging="180"/>
        <w:jc w:val="both"/>
      </w:pPr>
      <w:r w:rsidRPr="00101949">
        <w:t xml:space="preserve">P. Schmidt </w:t>
      </w:r>
      <w:r w:rsidRPr="00101949">
        <w:rPr>
          <w:i/>
          <w:iCs/>
        </w:rPr>
        <w:t xml:space="preserve">et al. </w:t>
      </w:r>
      <w:r w:rsidR="00753205" w:rsidRPr="00101949">
        <w:t xml:space="preserve">2018. </w:t>
      </w:r>
      <w:r w:rsidR="00753205" w:rsidRPr="00753205">
        <w:t xml:space="preserve">Power-to-Liquids as Renewable Fuel Option for Aviation: A Review. </w:t>
      </w:r>
      <w:r w:rsidRPr="00753205">
        <w:t>Chem Ing Tech, 90, 1–2, 127–140</w:t>
      </w:r>
    </w:p>
    <w:p w14:paraId="38A64EE6" w14:textId="1210299F" w:rsidR="00857834" w:rsidRDefault="00857834" w:rsidP="00C06C45">
      <w:pPr>
        <w:pStyle w:val="Els-referenceno-number"/>
        <w:ind w:left="180" w:hanging="180"/>
      </w:pPr>
      <w:r w:rsidRPr="00D01EBD">
        <w:t>B. Yao</w:t>
      </w:r>
      <w:r w:rsidR="003F443D" w:rsidRPr="00D01EBD">
        <w:t xml:space="preserve"> </w:t>
      </w:r>
      <w:r w:rsidR="003F443D" w:rsidRPr="00D01EBD">
        <w:rPr>
          <w:i/>
        </w:rPr>
        <w:t>et al.</w:t>
      </w:r>
      <w:r w:rsidR="00532CF1" w:rsidRPr="00D01EBD">
        <w:t xml:space="preserve"> </w:t>
      </w:r>
      <w:r w:rsidRPr="00D01EBD">
        <w:t>2020</w:t>
      </w:r>
      <w:r w:rsidR="002A348B" w:rsidRPr="00D01EBD">
        <w:t>.</w:t>
      </w:r>
      <w:r w:rsidRPr="00D01EBD">
        <w:t xml:space="preserve"> </w:t>
      </w:r>
      <w:r w:rsidR="000130D8" w:rsidRPr="00D01EBD">
        <w:t xml:space="preserve"> </w:t>
      </w:r>
      <w:r w:rsidR="00842FBD" w:rsidRPr="00D01EBD">
        <w:t>Transforming carbon dioxide into jet fuel using an organic combustion-synthesized Fe-Mn-K catalyst</w:t>
      </w:r>
      <w:r w:rsidRPr="00D01EBD">
        <w:t>. Nat Comms, 11(1).</w:t>
      </w:r>
    </w:p>
    <w:p w14:paraId="464A5CC1" w14:textId="383EDC8C" w:rsidR="00D8628E" w:rsidRPr="00E76C28" w:rsidRDefault="00E76C28" w:rsidP="007A7DCD">
      <w:pPr>
        <w:pStyle w:val="Els-referenceno-number"/>
        <w:spacing w:line="259" w:lineRule="auto"/>
        <w:rPr>
          <w:color w:val="FF0000"/>
        </w:rPr>
      </w:pPr>
      <w:r w:rsidRPr="00E76C28">
        <w:t>K.M. Vanden Bussche an</w:t>
      </w:r>
      <w:r>
        <w:t xml:space="preserve">d </w:t>
      </w:r>
      <w:r w:rsidR="00A24704">
        <w:t xml:space="preserve">G.F. </w:t>
      </w:r>
      <w:r>
        <w:t>Froment</w:t>
      </w:r>
      <w:r w:rsidR="00A24704">
        <w:t xml:space="preserve"> 1996. A </w:t>
      </w:r>
      <w:r w:rsidR="1D110F30">
        <w:t>s</w:t>
      </w:r>
      <w:r w:rsidR="00A24704">
        <w:t>teady-</w:t>
      </w:r>
      <w:r w:rsidR="0B248B3B">
        <w:t>s</w:t>
      </w:r>
      <w:r w:rsidR="00A24704">
        <w:t>tate</w:t>
      </w:r>
      <w:r w:rsidR="00A24704" w:rsidRPr="00A24704">
        <w:t xml:space="preserve"> </w:t>
      </w:r>
      <w:r w:rsidR="0482482B">
        <w:t>k</w:t>
      </w:r>
      <w:r w:rsidR="00A24704">
        <w:t xml:space="preserve">inetic </w:t>
      </w:r>
      <w:r w:rsidR="7C525604">
        <w:t>m</w:t>
      </w:r>
      <w:r w:rsidR="00A24704">
        <w:t>odel</w:t>
      </w:r>
      <w:r w:rsidR="00A24704" w:rsidRPr="00A24704">
        <w:t xml:space="preserve"> for </w:t>
      </w:r>
      <w:r w:rsidR="37117091">
        <w:t>m</w:t>
      </w:r>
      <w:r w:rsidR="00A24704">
        <w:t xml:space="preserve">ethanol </w:t>
      </w:r>
      <w:r w:rsidR="3C54FC95">
        <w:t>s</w:t>
      </w:r>
      <w:r w:rsidR="00A24704">
        <w:t>ynthesis</w:t>
      </w:r>
      <w:r w:rsidR="00A24704" w:rsidRPr="00A24704">
        <w:t xml:space="preserve"> and the </w:t>
      </w:r>
      <w:r w:rsidR="15FB0329">
        <w:t>w</w:t>
      </w:r>
      <w:r w:rsidR="00A24704">
        <w:t>ater</w:t>
      </w:r>
      <w:r w:rsidR="00A24704" w:rsidRPr="00A24704">
        <w:t xml:space="preserve"> </w:t>
      </w:r>
      <w:r w:rsidR="0DCB1103">
        <w:t>g</w:t>
      </w:r>
      <w:r w:rsidR="00A24704">
        <w:t xml:space="preserve">as </w:t>
      </w:r>
      <w:r w:rsidR="16A1E939">
        <w:t>s</w:t>
      </w:r>
      <w:r w:rsidR="00A24704">
        <w:t xml:space="preserve">hift </w:t>
      </w:r>
      <w:r w:rsidR="0E28ADE9">
        <w:t>r</w:t>
      </w:r>
      <w:r w:rsidR="00A24704">
        <w:t>eaction</w:t>
      </w:r>
      <w:r w:rsidR="00A24704" w:rsidRPr="00A24704">
        <w:t xml:space="preserve"> on a </w:t>
      </w:r>
      <w:r w:rsidR="4C96D501">
        <w:t>c</w:t>
      </w:r>
      <w:r w:rsidR="00A24704">
        <w:t>ommercial</w:t>
      </w:r>
      <w:r w:rsidR="00A24704" w:rsidRPr="00A24704">
        <w:t xml:space="preserve"> Cu/ZnO/</w:t>
      </w:r>
      <w:r w:rsidR="00A24704">
        <w:t>Al</w:t>
      </w:r>
      <w:r w:rsidR="00A24704" w:rsidRPr="007A7DCD">
        <w:rPr>
          <w:vertAlign w:val="subscript"/>
        </w:rPr>
        <w:t>2</w:t>
      </w:r>
      <w:r w:rsidR="00A24704">
        <w:t>O</w:t>
      </w:r>
      <w:r w:rsidR="00A24704" w:rsidRPr="007A7DCD">
        <w:rPr>
          <w:vertAlign w:val="subscript"/>
        </w:rPr>
        <w:t>3</w:t>
      </w:r>
      <w:r w:rsidR="5C600269">
        <w:t xml:space="preserve"> </w:t>
      </w:r>
      <w:r w:rsidR="64E3EC26">
        <w:t>c</w:t>
      </w:r>
      <w:r w:rsidR="00A24704">
        <w:t>atalyst. J Catal</w:t>
      </w:r>
      <w:r w:rsidR="00DB31D8">
        <w:t xml:space="preserve">, 161 (1), 1-10. </w:t>
      </w:r>
    </w:p>
    <w:p w14:paraId="432957CE" w14:textId="1CEE667A" w:rsidR="00857834" w:rsidRPr="00D01EBD" w:rsidRDefault="00857834" w:rsidP="00C06C45">
      <w:pPr>
        <w:pStyle w:val="Els-referenceno-number"/>
        <w:ind w:left="180" w:hanging="180"/>
      </w:pPr>
      <w:r w:rsidRPr="00101949">
        <w:t>G. Zang</w:t>
      </w:r>
      <w:r w:rsidR="003F443D" w:rsidRPr="00101949">
        <w:t xml:space="preserve"> </w:t>
      </w:r>
      <w:r w:rsidR="003F443D" w:rsidRPr="00101949">
        <w:rPr>
          <w:i/>
        </w:rPr>
        <w:t>et al.</w:t>
      </w:r>
      <w:r w:rsidR="00DF15F5" w:rsidRPr="00101949">
        <w:t xml:space="preserve"> </w:t>
      </w:r>
      <w:r w:rsidRPr="00101949">
        <w:t xml:space="preserve">2021. </w:t>
      </w:r>
      <w:r w:rsidRPr="00D01EBD">
        <w:t>Performance and cost analysis of liquid fuel production from H</w:t>
      </w:r>
      <w:r w:rsidRPr="00D01EBD">
        <w:rPr>
          <w:vertAlign w:val="subscript"/>
        </w:rPr>
        <w:t>2</w:t>
      </w:r>
      <w:r w:rsidRPr="00D01EBD">
        <w:t xml:space="preserve"> and CO</w:t>
      </w:r>
      <w:r w:rsidRPr="00D01EBD">
        <w:rPr>
          <w:vertAlign w:val="subscript"/>
        </w:rPr>
        <w:t>2</w:t>
      </w:r>
      <w:r w:rsidRPr="00D01EBD">
        <w:t xml:space="preserve"> based on the Fischer-Tropsch process. J CO</w:t>
      </w:r>
      <w:r w:rsidRPr="00D01EBD">
        <w:rPr>
          <w:vertAlign w:val="subscript"/>
        </w:rPr>
        <w:t>2</w:t>
      </w:r>
      <w:r w:rsidRPr="00D01EBD">
        <w:t xml:space="preserve"> Util, 46.</w:t>
      </w:r>
    </w:p>
    <w:sectPr w:rsidR="00857834" w:rsidRPr="00D01EBD" w:rsidSect="008B0184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7F5A" w14:textId="77777777" w:rsidR="00865181" w:rsidRDefault="00865181">
      <w:r>
        <w:separator/>
      </w:r>
    </w:p>
  </w:endnote>
  <w:endnote w:type="continuationSeparator" w:id="0">
    <w:p w14:paraId="19D2113C" w14:textId="77777777" w:rsidR="00865181" w:rsidRDefault="00865181">
      <w:r>
        <w:continuationSeparator/>
      </w:r>
    </w:p>
  </w:endnote>
  <w:endnote w:type="continuationNotice" w:id="1">
    <w:p w14:paraId="35115CBC" w14:textId="77777777" w:rsidR="00865181" w:rsidRDefault="00865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2B15" w14:textId="77777777" w:rsidR="00865181" w:rsidRDefault="00865181">
      <w:r>
        <w:separator/>
      </w:r>
    </w:p>
  </w:footnote>
  <w:footnote w:type="continuationSeparator" w:id="0">
    <w:p w14:paraId="56531E76" w14:textId="77777777" w:rsidR="00865181" w:rsidRDefault="00865181">
      <w:r>
        <w:continuationSeparator/>
      </w:r>
    </w:p>
  </w:footnote>
  <w:footnote w:type="continuationNotice" w:id="1">
    <w:p w14:paraId="03147039" w14:textId="77777777" w:rsidR="00865181" w:rsidRDefault="00865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7F6E" w14:textId="50BC60D9" w:rsidR="00DD3D9E" w:rsidRDefault="00D10E22">
    <w:pPr>
      <w:pStyle w:val="Header"/>
      <w:tabs>
        <w:tab w:val="clear" w:pos="7200"/>
        <w:tab w:val="right" w:pos="7088"/>
      </w:tabs>
    </w:pPr>
    <w:r>
      <w:rPr>
        <w:rStyle w:val="PageNumber"/>
      </w:rPr>
      <w:fldChar w:fldCharType="begin"/>
    </w:r>
    <w:r w:rsidR="00DD3D9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3D9E">
      <w:rPr>
        <w:rStyle w:val="PageNumber"/>
      </w:rPr>
      <w:t>2</w:t>
    </w:r>
    <w:r>
      <w:rPr>
        <w:rStyle w:val="PageNumber"/>
      </w:rPr>
      <w:fldChar w:fldCharType="end"/>
    </w:r>
    <w:r w:rsidR="00DD3D9E">
      <w:rPr>
        <w:rStyle w:val="PageNumber"/>
      </w:rPr>
      <w:tab/>
    </w:r>
    <w:r w:rsidR="00DD3D9E">
      <w:rPr>
        <w:rStyle w:val="PageNumber"/>
        <w:i/>
      </w:rPr>
      <w:tab/>
    </w:r>
    <w:r>
      <w:rPr>
        <w:i/>
      </w:rPr>
      <w:fldChar w:fldCharType="begin"/>
    </w:r>
    <w:r w:rsidR="00DD3D9E">
      <w:rPr>
        <w:i/>
      </w:rPr>
      <w:instrText xml:space="preserve"> MACROBUTTON NoMacro A. </w:instrText>
    </w:r>
    <w:r w:rsidR="00F115E1">
      <w:rPr>
        <w:i/>
      </w:rPr>
      <w:instrText>Bernardi</w:instrText>
    </w:r>
    <w:r w:rsidR="00DD3D9E">
      <w:rPr>
        <w:i/>
      </w:rPr>
      <w:instrText xml:space="preserve"> et al.</w:instrText>
    </w:r>
    <w:r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2004" w14:textId="65DC403E" w:rsidR="00DD3D9E" w:rsidRDefault="003A50F1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i/>
      </w:rPr>
      <w:t xml:space="preserve">Enviro-economic assessment of sustainable </w:t>
    </w:r>
    <w:r w:rsidR="006A789C">
      <w:rPr>
        <w:i/>
      </w:rPr>
      <w:t xml:space="preserve">aviation fuel production </w:t>
    </w:r>
    <w:r w:rsidR="006A789C">
      <w:rPr>
        <w:i/>
      </w:rPr>
      <w:tab/>
    </w:r>
    <w:r w:rsidR="00D10E22">
      <w:rPr>
        <w:rStyle w:val="PageNumber"/>
      </w:rPr>
      <w:fldChar w:fldCharType="begin"/>
    </w:r>
    <w:r w:rsidR="00DD3D9E">
      <w:rPr>
        <w:rStyle w:val="PageNumber"/>
      </w:rPr>
      <w:instrText xml:space="preserve"> PAGE </w:instrText>
    </w:r>
    <w:r w:rsidR="00D10E22">
      <w:rPr>
        <w:rStyle w:val="PageNumber"/>
      </w:rPr>
      <w:fldChar w:fldCharType="separate"/>
    </w:r>
    <w:r w:rsidR="00DD3D9E">
      <w:rPr>
        <w:rStyle w:val="PageNumber"/>
      </w:rPr>
      <w:t>3</w:t>
    </w:r>
    <w:r w:rsidR="00D10E22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13B7" w14:textId="77777777" w:rsidR="009555F5" w:rsidRPr="00AD3293" w:rsidRDefault="009555F5" w:rsidP="009555F5">
    <w:pPr>
      <w:pStyle w:val="ElsevierBodyTextCentredNospace"/>
      <w:jc w:val="left"/>
      <w:rPr>
        <w:noProof/>
        <w:sz w:val="18"/>
        <w:szCs w:val="18"/>
      </w:rPr>
    </w:pPr>
    <w:r w:rsidRPr="00AD3293">
      <w:rPr>
        <w:color w:val="auto"/>
        <w:sz w:val="18"/>
        <w:szCs w:val="18"/>
      </w:rPr>
      <w:t xml:space="preserve">Flavio Manenti, Gintaras V. </w:t>
    </w:r>
    <w:proofErr w:type="spellStart"/>
    <w:r w:rsidRPr="00AD3293">
      <w:rPr>
        <w:color w:val="auto"/>
        <w:sz w:val="18"/>
        <w:szCs w:val="18"/>
      </w:rPr>
      <w:t>Reklaitis</w:t>
    </w:r>
    <w:proofErr w:type="spellEnd"/>
    <w:r w:rsidRPr="00AD3293">
      <w:rPr>
        <w:color w:val="auto"/>
        <w:sz w:val="18"/>
        <w:szCs w:val="18"/>
      </w:rPr>
      <w:t xml:space="preserve"> (Eds.),</w:t>
    </w:r>
    <w:r w:rsidRPr="00AD3293">
      <w:rPr>
        <w:color w:val="auto"/>
      </w:rPr>
      <w:t xml:space="preserve"> </w:t>
    </w:r>
    <w:r w:rsidRPr="00AD3293">
      <w:rPr>
        <w:noProof/>
        <w:sz w:val="18"/>
        <w:szCs w:val="18"/>
      </w:rPr>
      <w:t xml:space="preserve">Proceedings of the </w:t>
    </w:r>
    <w:r w:rsidRPr="00AD3293">
      <w:rPr>
        <w:rStyle w:val="underline1"/>
        <w:sz w:val="18"/>
        <w:szCs w:val="18"/>
      </w:rPr>
      <w:t>34</w:t>
    </w:r>
    <w:r w:rsidRPr="00AD3293">
      <w:rPr>
        <w:rStyle w:val="underline1"/>
        <w:sz w:val="18"/>
        <w:szCs w:val="18"/>
        <w:vertAlign w:val="superscript"/>
      </w:rPr>
      <w:t>th</w:t>
    </w:r>
    <w:r w:rsidRPr="00AD3293">
      <w:rPr>
        <w:rStyle w:val="underline1"/>
        <w:sz w:val="18"/>
        <w:szCs w:val="18"/>
      </w:rPr>
      <w:t xml:space="preserve"> European Symposium on Computer Aided Process Engineering / 15</w:t>
    </w:r>
    <w:r w:rsidRPr="00AD3293">
      <w:rPr>
        <w:rStyle w:val="underline1"/>
        <w:sz w:val="18"/>
        <w:szCs w:val="18"/>
        <w:vertAlign w:val="superscript"/>
      </w:rPr>
      <w:t>th</w:t>
    </w:r>
    <w:r w:rsidRPr="00AD3293">
      <w:rPr>
        <w:rStyle w:val="underline1"/>
        <w:sz w:val="18"/>
        <w:szCs w:val="18"/>
      </w:rPr>
      <w:t xml:space="preserve"> International Symposium on Process Systems Engineering</w:t>
    </w:r>
    <w:r w:rsidRPr="00AD3293">
      <w:rPr>
        <w:noProof/>
        <w:sz w:val="18"/>
        <w:szCs w:val="18"/>
      </w:rPr>
      <w:t xml:space="preserve"> (ESCAPE34/PSE24), June 2-6, 2024,</w:t>
    </w:r>
    <w:r w:rsidRPr="00AD3293">
      <w:rPr>
        <w:sz w:val="18"/>
        <w:szCs w:val="18"/>
      </w:rPr>
      <w:t xml:space="preserve"> Florence</w:t>
    </w:r>
    <w:r w:rsidRPr="00AD3293">
      <w:rPr>
        <w:noProof/>
        <w:sz w:val="18"/>
        <w:szCs w:val="18"/>
      </w:rPr>
      <w:t>, Italy</w:t>
    </w:r>
  </w:p>
  <w:p w14:paraId="2AF91A35" w14:textId="1CCC0097" w:rsidR="00DD3D9E" w:rsidRPr="001E6A29" w:rsidRDefault="009555F5" w:rsidP="009555F5">
    <w:pPr>
      <w:pStyle w:val="NoSpacing"/>
      <w:rPr>
        <w:rFonts w:ascii="Times New Roman" w:hAnsi="Times New Roman" w:cs="Times New Roman"/>
        <w:sz w:val="18"/>
        <w:szCs w:val="18"/>
      </w:rPr>
    </w:pPr>
    <w:r w:rsidRPr="00AD3293">
      <w:rPr>
        <w:rFonts w:ascii="Times New Roman" w:hAnsi="Times New Roman" w:cs="Times New Roman"/>
        <w:sz w:val="18"/>
        <w:szCs w:val="18"/>
      </w:rPr>
      <w:t>© 2024 Elsevier B.V. All rights reserved.</w:t>
    </w:r>
    <w:r w:rsidR="00DD3D9E" w:rsidRPr="001E6A29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21F1F"/>
    <w:multiLevelType w:val="hybridMultilevel"/>
    <w:tmpl w:val="40243A2E"/>
    <w:lvl w:ilvl="0" w:tplc="5EA20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1641124">
    <w:abstractNumId w:val="11"/>
  </w:num>
  <w:num w:numId="2" w16cid:durableId="1594315590">
    <w:abstractNumId w:val="11"/>
  </w:num>
  <w:num w:numId="3" w16cid:durableId="502208798">
    <w:abstractNumId w:val="11"/>
  </w:num>
  <w:num w:numId="4" w16cid:durableId="300383099">
    <w:abstractNumId w:val="11"/>
  </w:num>
  <w:num w:numId="5" w16cid:durableId="578486748">
    <w:abstractNumId w:val="0"/>
  </w:num>
  <w:num w:numId="6" w16cid:durableId="1966499455">
    <w:abstractNumId w:val="6"/>
  </w:num>
  <w:num w:numId="7" w16cid:durableId="1267495002">
    <w:abstractNumId w:val="12"/>
  </w:num>
  <w:num w:numId="8" w16cid:durableId="870073974">
    <w:abstractNumId w:val="1"/>
  </w:num>
  <w:num w:numId="9" w16cid:durableId="1701081434">
    <w:abstractNumId w:val="10"/>
  </w:num>
  <w:num w:numId="10" w16cid:durableId="2132477225">
    <w:abstractNumId w:val="14"/>
  </w:num>
  <w:num w:numId="11" w16cid:durableId="1480922300">
    <w:abstractNumId w:val="13"/>
  </w:num>
  <w:num w:numId="12" w16cid:durableId="1917322504">
    <w:abstractNumId w:val="5"/>
  </w:num>
  <w:num w:numId="13" w16cid:durableId="891886207">
    <w:abstractNumId w:val="9"/>
  </w:num>
  <w:num w:numId="14" w16cid:durableId="5451064">
    <w:abstractNumId w:val="2"/>
  </w:num>
  <w:num w:numId="15" w16cid:durableId="2131044797">
    <w:abstractNumId w:val="7"/>
  </w:num>
  <w:num w:numId="16" w16cid:durableId="616252171">
    <w:abstractNumId w:val="3"/>
  </w:num>
  <w:num w:numId="17" w16cid:durableId="665472054">
    <w:abstractNumId w:val="4"/>
  </w:num>
  <w:num w:numId="18" w16cid:durableId="139935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2AD4"/>
    <w:rsid w:val="00002D1D"/>
    <w:rsid w:val="00003F21"/>
    <w:rsid w:val="00005F13"/>
    <w:rsid w:val="000100B3"/>
    <w:rsid w:val="00011DA2"/>
    <w:rsid w:val="000125F6"/>
    <w:rsid w:val="000130D8"/>
    <w:rsid w:val="000132B5"/>
    <w:rsid w:val="000150FA"/>
    <w:rsid w:val="00021571"/>
    <w:rsid w:val="0002215B"/>
    <w:rsid w:val="0002440F"/>
    <w:rsid w:val="00024B3F"/>
    <w:rsid w:val="00024F1E"/>
    <w:rsid w:val="0002653C"/>
    <w:rsid w:val="00030021"/>
    <w:rsid w:val="000305F4"/>
    <w:rsid w:val="00030A89"/>
    <w:rsid w:val="000331B5"/>
    <w:rsid w:val="00034FBC"/>
    <w:rsid w:val="00035080"/>
    <w:rsid w:val="000354AC"/>
    <w:rsid w:val="000355F4"/>
    <w:rsid w:val="000364E2"/>
    <w:rsid w:val="000365A0"/>
    <w:rsid w:val="0003F5C6"/>
    <w:rsid w:val="000407C3"/>
    <w:rsid w:val="00040ACD"/>
    <w:rsid w:val="0004157B"/>
    <w:rsid w:val="00042C5A"/>
    <w:rsid w:val="000442BA"/>
    <w:rsid w:val="00044F9C"/>
    <w:rsid w:val="00045EEF"/>
    <w:rsid w:val="00046025"/>
    <w:rsid w:val="00046D8C"/>
    <w:rsid w:val="0004778F"/>
    <w:rsid w:val="00051590"/>
    <w:rsid w:val="00052F23"/>
    <w:rsid w:val="00053BE4"/>
    <w:rsid w:val="000549C3"/>
    <w:rsid w:val="00055C70"/>
    <w:rsid w:val="00056DEA"/>
    <w:rsid w:val="0005755A"/>
    <w:rsid w:val="00057A80"/>
    <w:rsid w:val="00060DEC"/>
    <w:rsid w:val="0006146F"/>
    <w:rsid w:val="00063CB3"/>
    <w:rsid w:val="0006591A"/>
    <w:rsid w:val="00070149"/>
    <w:rsid w:val="000715E4"/>
    <w:rsid w:val="00071679"/>
    <w:rsid w:val="00073A50"/>
    <w:rsid w:val="0007416C"/>
    <w:rsid w:val="00074C6F"/>
    <w:rsid w:val="0007664A"/>
    <w:rsid w:val="000770B8"/>
    <w:rsid w:val="000804BC"/>
    <w:rsid w:val="00081464"/>
    <w:rsid w:val="00081DBA"/>
    <w:rsid w:val="00083BA9"/>
    <w:rsid w:val="000854AB"/>
    <w:rsid w:val="00086A21"/>
    <w:rsid w:val="000916C0"/>
    <w:rsid w:val="00092617"/>
    <w:rsid w:val="00092939"/>
    <w:rsid w:val="0009315E"/>
    <w:rsid w:val="0009417B"/>
    <w:rsid w:val="00095BF1"/>
    <w:rsid w:val="00096DFC"/>
    <w:rsid w:val="00097404"/>
    <w:rsid w:val="000974A3"/>
    <w:rsid w:val="000A01C9"/>
    <w:rsid w:val="000A1CC6"/>
    <w:rsid w:val="000A3C8D"/>
    <w:rsid w:val="000A3FDA"/>
    <w:rsid w:val="000A5C5E"/>
    <w:rsid w:val="000A6E3A"/>
    <w:rsid w:val="000A7B0C"/>
    <w:rsid w:val="000B01FB"/>
    <w:rsid w:val="000B0AC9"/>
    <w:rsid w:val="000B0BDA"/>
    <w:rsid w:val="000B3BDF"/>
    <w:rsid w:val="000B48B3"/>
    <w:rsid w:val="000B743F"/>
    <w:rsid w:val="000B7800"/>
    <w:rsid w:val="000B787C"/>
    <w:rsid w:val="000C0BA3"/>
    <w:rsid w:val="000C2354"/>
    <w:rsid w:val="000C250A"/>
    <w:rsid w:val="000C302A"/>
    <w:rsid w:val="000C3756"/>
    <w:rsid w:val="000C3B53"/>
    <w:rsid w:val="000C61C7"/>
    <w:rsid w:val="000C69C4"/>
    <w:rsid w:val="000C6A90"/>
    <w:rsid w:val="000D26E9"/>
    <w:rsid w:val="000D3D9B"/>
    <w:rsid w:val="000D3E96"/>
    <w:rsid w:val="000D3F0E"/>
    <w:rsid w:val="000D3F7C"/>
    <w:rsid w:val="000D48BD"/>
    <w:rsid w:val="000D5532"/>
    <w:rsid w:val="000D654B"/>
    <w:rsid w:val="000D74CE"/>
    <w:rsid w:val="000E0063"/>
    <w:rsid w:val="000E1A97"/>
    <w:rsid w:val="000E3186"/>
    <w:rsid w:val="000E4714"/>
    <w:rsid w:val="000E4A9F"/>
    <w:rsid w:val="000E55B6"/>
    <w:rsid w:val="000F09DF"/>
    <w:rsid w:val="000F13CC"/>
    <w:rsid w:val="000F36A5"/>
    <w:rsid w:val="000F53CF"/>
    <w:rsid w:val="000F568B"/>
    <w:rsid w:val="000F7B1D"/>
    <w:rsid w:val="000F7F46"/>
    <w:rsid w:val="001002CD"/>
    <w:rsid w:val="00101949"/>
    <w:rsid w:val="001036B1"/>
    <w:rsid w:val="001043A2"/>
    <w:rsid w:val="00104443"/>
    <w:rsid w:val="00105C2F"/>
    <w:rsid w:val="001068EE"/>
    <w:rsid w:val="00110C94"/>
    <w:rsid w:val="0011104F"/>
    <w:rsid w:val="001117B5"/>
    <w:rsid w:val="001132F1"/>
    <w:rsid w:val="00113A00"/>
    <w:rsid w:val="00114061"/>
    <w:rsid w:val="001152CB"/>
    <w:rsid w:val="00116793"/>
    <w:rsid w:val="00116BF1"/>
    <w:rsid w:val="00117EF3"/>
    <w:rsid w:val="00121C90"/>
    <w:rsid w:val="00122650"/>
    <w:rsid w:val="0012339C"/>
    <w:rsid w:val="00123471"/>
    <w:rsid w:val="00126C18"/>
    <w:rsid w:val="00130640"/>
    <w:rsid w:val="00132A3B"/>
    <w:rsid w:val="00133516"/>
    <w:rsid w:val="00133638"/>
    <w:rsid w:val="00134849"/>
    <w:rsid w:val="00135F55"/>
    <w:rsid w:val="00136485"/>
    <w:rsid w:val="00136A07"/>
    <w:rsid w:val="0013711C"/>
    <w:rsid w:val="00140C2E"/>
    <w:rsid w:val="00144557"/>
    <w:rsid w:val="00146B8E"/>
    <w:rsid w:val="001496ED"/>
    <w:rsid w:val="001521B1"/>
    <w:rsid w:val="001525BC"/>
    <w:rsid w:val="00153A0F"/>
    <w:rsid w:val="00153A99"/>
    <w:rsid w:val="00154495"/>
    <w:rsid w:val="00154D91"/>
    <w:rsid w:val="00157689"/>
    <w:rsid w:val="00161DE5"/>
    <w:rsid w:val="001631D2"/>
    <w:rsid w:val="0016330C"/>
    <w:rsid w:val="0016426F"/>
    <w:rsid w:val="00165E01"/>
    <w:rsid w:val="00166CC6"/>
    <w:rsid w:val="00167230"/>
    <w:rsid w:val="00170130"/>
    <w:rsid w:val="0017021C"/>
    <w:rsid w:val="00170FAF"/>
    <w:rsid w:val="0017420A"/>
    <w:rsid w:val="001744E1"/>
    <w:rsid w:val="001751F8"/>
    <w:rsid w:val="001762AB"/>
    <w:rsid w:val="00176D19"/>
    <w:rsid w:val="00176DC0"/>
    <w:rsid w:val="0017791F"/>
    <w:rsid w:val="00180562"/>
    <w:rsid w:val="00181741"/>
    <w:rsid w:val="00181E97"/>
    <w:rsid w:val="00182004"/>
    <w:rsid w:val="001823F8"/>
    <w:rsid w:val="00182BF5"/>
    <w:rsid w:val="00184774"/>
    <w:rsid w:val="001879F6"/>
    <w:rsid w:val="0019064B"/>
    <w:rsid w:val="001907DC"/>
    <w:rsid w:val="00190E6A"/>
    <w:rsid w:val="00193DE3"/>
    <w:rsid w:val="00195612"/>
    <w:rsid w:val="001A06FA"/>
    <w:rsid w:val="001A0B55"/>
    <w:rsid w:val="001A0B83"/>
    <w:rsid w:val="001A1E93"/>
    <w:rsid w:val="001A1E9C"/>
    <w:rsid w:val="001A34F8"/>
    <w:rsid w:val="001A3E76"/>
    <w:rsid w:val="001A425A"/>
    <w:rsid w:val="001A4A72"/>
    <w:rsid w:val="001A6137"/>
    <w:rsid w:val="001A6B79"/>
    <w:rsid w:val="001A79B2"/>
    <w:rsid w:val="001B0938"/>
    <w:rsid w:val="001B243A"/>
    <w:rsid w:val="001B3300"/>
    <w:rsid w:val="001B4887"/>
    <w:rsid w:val="001B67B2"/>
    <w:rsid w:val="001B7905"/>
    <w:rsid w:val="001C0114"/>
    <w:rsid w:val="001C29F4"/>
    <w:rsid w:val="001C3408"/>
    <w:rsid w:val="001C3C8B"/>
    <w:rsid w:val="001C3CFD"/>
    <w:rsid w:val="001C3E21"/>
    <w:rsid w:val="001C3E41"/>
    <w:rsid w:val="001C757E"/>
    <w:rsid w:val="001C7749"/>
    <w:rsid w:val="001C7C00"/>
    <w:rsid w:val="001D2012"/>
    <w:rsid w:val="001D2A5C"/>
    <w:rsid w:val="001D2F87"/>
    <w:rsid w:val="001D3213"/>
    <w:rsid w:val="001D345D"/>
    <w:rsid w:val="001D69E3"/>
    <w:rsid w:val="001D71A7"/>
    <w:rsid w:val="001E0982"/>
    <w:rsid w:val="001E2902"/>
    <w:rsid w:val="001E373C"/>
    <w:rsid w:val="001E65C1"/>
    <w:rsid w:val="001E6A29"/>
    <w:rsid w:val="001E760B"/>
    <w:rsid w:val="001F0899"/>
    <w:rsid w:val="001F1DC0"/>
    <w:rsid w:val="001F23E3"/>
    <w:rsid w:val="001F28FE"/>
    <w:rsid w:val="001F33F3"/>
    <w:rsid w:val="001F405F"/>
    <w:rsid w:val="001F6CBF"/>
    <w:rsid w:val="0020320D"/>
    <w:rsid w:val="00203D2A"/>
    <w:rsid w:val="00203D35"/>
    <w:rsid w:val="00204368"/>
    <w:rsid w:val="0020448E"/>
    <w:rsid w:val="00204EC1"/>
    <w:rsid w:val="00205407"/>
    <w:rsid w:val="00205DF5"/>
    <w:rsid w:val="00206A13"/>
    <w:rsid w:val="00206A44"/>
    <w:rsid w:val="0020722C"/>
    <w:rsid w:val="0020739B"/>
    <w:rsid w:val="00214E78"/>
    <w:rsid w:val="002153EC"/>
    <w:rsid w:val="00215EE5"/>
    <w:rsid w:val="00216301"/>
    <w:rsid w:val="002164E6"/>
    <w:rsid w:val="0021668D"/>
    <w:rsid w:val="002173FB"/>
    <w:rsid w:val="002205CD"/>
    <w:rsid w:val="00224E27"/>
    <w:rsid w:val="002251B5"/>
    <w:rsid w:val="00226211"/>
    <w:rsid w:val="00226372"/>
    <w:rsid w:val="00227992"/>
    <w:rsid w:val="00230E5C"/>
    <w:rsid w:val="0023139A"/>
    <w:rsid w:val="00232627"/>
    <w:rsid w:val="00235F63"/>
    <w:rsid w:val="00240184"/>
    <w:rsid w:val="002423C7"/>
    <w:rsid w:val="002431F3"/>
    <w:rsid w:val="002438D1"/>
    <w:rsid w:val="002447FA"/>
    <w:rsid w:val="00246EB0"/>
    <w:rsid w:val="00247842"/>
    <w:rsid w:val="0025007B"/>
    <w:rsid w:val="0025211E"/>
    <w:rsid w:val="00253425"/>
    <w:rsid w:val="0025778F"/>
    <w:rsid w:val="00261A4B"/>
    <w:rsid w:val="00262CCE"/>
    <w:rsid w:val="002636B5"/>
    <w:rsid w:val="0026427B"/>
    <w:rsid w:val="00264926"/>
    <w:rsid w:val="002649E6"/>
    <w:rsid w:val="002658FC"/>
    <w:rsid w:val="002668F6"/>
    <w:rsid w:val="00267BC3"/>
    <w:rsid w:val="00267E6D"/>
    <w:rsid w:val="002707D9"/>
    <w:rsid w:val="002719DD"/>
    <w:rsid w:val="0027365A"/>
    <w:rsid w:val="0027734F"/>
    <w:rsid w:val="002801D4"/>
    <w:rsid w:val="00280511"/>
    <w:rsid w:val="002815F4"/>
    <w:rsid w:val="00285CBA"/>
    <w:rsid w:val="002904D8"/>
    <w:rsid w:val="00290A7A"/>
    <w:rsid w:val="00292B1E"/>
    <w:rsid w:val="002A01A6"/>
    <w:rsid w:val="002A22F4"/>
    <w:rsid w:val="002A32C2"/>
    <w:rsid w:val="002A348B"/>
    <w:rsid w:val="002A45B2"/>
    <w:rsid w:val="002A5237"/>
    <w:rsid w:val="002A76DB"/>
    <w:rsid w:val="002A78CC"/>
    <w:rsid w:val="002B0158"/>
    <w:rsid w:val="002B03E7"/>
    <w:rsid w:val="002B0C08"/>
    <w:rsid w:val="002B383F"/>
    <w:rsid w:val="002B3EAB"/>
    <w:rsid w:val="002B4A9F"/>
    <w:rsid w:val="002B5F55"/>
    <w:rsid w:val="002B60AB"/>
    <w:rsid w:val="002B630B"/>
    <w:rsid w:val="002B646D"/>
    <w:rsid w:val="002B6B1A"/>
    <w:rsid w:val="002B71CC"/>
    <w:rsid w:val="002C10BC"/>
    <w:rsid w:val="002C349B"/>
    <w:rsid w:val="002C3570"/>
    <w:rsid w:val="002C3978"/>
    <w:rsid w:val="002C4750"/>
    <w:rsid w:val="002C68C5"/>
    <w:rsid w:val="002D0819"/>
    <w:rsid w:val="002D21B9"/>
    <w:rsid w:val="002D28ED"/>
    <w:rsid w:val="002D2A42"/>
    <w:rsid w:val="002D333A"/>
    <w:rsid w:val="002D404B"/>
    <w:rsid w:val="002D4D4C"/>
    <w:rsid w:val="002D4DE7"/>
    <w:rsid w:val="002DEB84"/>
    <w:rsid w:val="002E09D0"/>
    <w:rsid w:val="002E2044"/>
    <w:rsid w:val="002E21DB"/>
    <w:rsid w:val="002E255A"/>
    <w:rsid w:val="002E2CA7"/>
    <w:rsid w:val="002E4C02"/>
    <w:rsid w:val="002E4F31"/>
    <w:rsid w:val="002E55B4"/>
    <w:rsid w:val="002E56B0"/>
    <w:rsid w:val="002E621A"/>
    <w:rsid w:val="002E6D62"/>
    <w:rsid w:val="002F0C7F"/>
    <w:rsid w:val="002F1779"/>
    <w:rsid w:val="002F17C7"/>
    <w:rsid w:val="002F20F7"/>
    <w:rsid w:val="002F4B0B"/>
    <w:rsid w:val="002F5E00"/>
    <w:rsid w:val="002F5E67"/>
    <w:rsid w:val="002F67A6"/>
    <w:rsid w:val="002F6A19"/>
    <w:rsid w:val="002F6C7E"/>
    <w:rsid w:val="002F7461"/>
    <w:rsid w:val="002F785D"/>
    <w:rsid w:val="002F79C5"/>
    <w:rsid w:val="0030000A"/>
    <w:rsid w:val="0030052B"/>
    <w:rsid w:val="00300F00"/>
    <w:rsid w:val="00301037"/>
    <w:rsid w:val="00301FA8"/>
    <w:rsid w:val="00302196"/>
    <w:rsid w:val="00302C24"/>
    <w:rsid w:val="00303332"/>
    <w:rsid w:val="00304916"/>
    <w:rsid w:val="003108C0"/>
    <w:rsid w:val="00310986"/>
    <w:rsid w:val="00311BF3"/>
    <w:rsid w:val="00311CE0"/>
    <w:rsid w:val="00312891"/>
    <w:rsid w:val="0031291E"/>
    <w:rsid w:val="00312D27"/>
    <w:rsid w:val="00315A44"/>
    <w:rsid w:val="00316019"/>
    <w:rsid w:val="003163C4"/>
    <w:rsid w:val="00316513"/>
    <w:rsid w:val="00316571"/>
    <w:rsid w:val="00317465"/>
    <w:rsid w:val="00321495"/>
    <w:rsid w:val="00324B2E"/>
    <w:rsid w:val="00324D9D"/>
    <w:rsid w:val="00325436"/>
    <w:rsid w:val="003277CC"/>
    <w:rsid w:val="003304BA"/>
    <w:rsid w:val="003313D3"/>
    <w:rsid w:val="003324E4"/>
    <w:rsid w:val="00333761"/>
    <w:rsid w:val="00334818"/>
    <w:rsid w:val="00335F7A"/>
    <w:rsid w:val="0033610F"/>
    <w:rsid w:val="00336231"/>
    <w:rsid w:val="00336D26"/>
    <w:rsid w:val="003370CE"/>
    <w:rsid w:val="003412D3"/>
    <w:rsid w:val="00341CE9"/>
    <w:rsid w:val="00344FEE"/>
    <w:rsid w:val="00345181"/>
    <w:rsid w:val="003456A4"/>
    <w:rsid w:val="00345CBF"/>
    <w:rsid w:val="0034670B"/>
    <w:rsid w:val="00350E09"/>
    <w:rsid w:val="0035178D"/>
    <w:rsid w:val="00351B58"/>
    <w:rsid w:val="0035213F"/>
    <w:rsid w:val="00355558"/>
    <w:rsid w:val="00356765"/>
    <w:rsid w:val="00361026"/>
    <w:rsid w:val="00361664"/>
    <w:rsid w:val="00361E13"/>
    <w:rsid w:val="0036202F"/>
    <w:rsid w:val="00363ACB"/>
    <w:rsid w:val="00364FFB"/>
    <w:rsid w:val="0036550B"/>
    <w:rsid w:val="00365E13"/>
    <w:rsid w:val="00367E68"/>
    <w:rsid w:val="003705AF"/>
    <w:rsid w:val="003725D9"/>
    <w:rsid w:val="0037285E"/>
    <w:rsid w:val="00373E24"/>
    <w:rsid w:val="003748A8"/>
    <w:rsid w:val="00377AAC"/>
    <w:rsid w:val="003800F6"/>
    <w:rsid w:val="00380C93"/>
    <w:rsid w:val="003835F2"/>
    <w:rsid w:val="00384662"/>
    <w:rsid w:val="0038481C"/>
    <w:rsid w:val="00391440"/>
    <w:rsid w:val="00391A32"/>
    <w:rsid w:val="00391C26"/>
    <w:rsid w:val="00395025"/>
    <w:rsid w:val="0039613B"/>
    <w:rsid w:val="0039738A"/>
    <w:rsid w:val="00397F45"/>
    <w:rsid w:val="003A026C"/>
    <w:rsid w:val="003A25B0"/>
    <w:rsid w:val="003A3FF6"/>
    <w:rsid w:val="003A49F1"/>
    <w:rsid w:val="003A50F1"/>
    <w:rsid w:val="003A52CF"/>
    <w:rsid w:val="003A773A"/>
    <w:rsid w:val="003B212D"/>
    <w:rsid w:val="003B3E4D"/>
    <w:rsid w:val="003B5497"/>
    <w:rsid w:val="003B54F9"/>
    <w:rsid w:val="003B6498"/>
    <w:rsid w:val="003B698A"/>
    <w:rsid w:val="003B6F0B"/>
    <w:rsid w:val="003B7054"/>
    <w:rsid w:val="003C00F3"/>
    <w:rsid w:val="003C05E9"/>
    <w:rsid w:val="003C1AF7"/>
    <w:rsid w:val="003C39E3"/>
    <w:rsid w:val="003C4372"/>
    <w:rsid w:val="003C5B18"/>
    <w:rsid w:val="003C6568"/>
    <w:rsid w:val="003C7E53"/>
    <w:rsid w:val="003D095E"/>
    <w:rsid w:val="003D1293"/>
    <w:rsid w:val="003D16E5"/>
    <w:rsid w:val="003D185A"/>
    <w:rsid w:val="003D1B57"/>
    <w:rsid w:val="003D4FFE"/>
    <w:rsid w:val="003D64C5"/>
    <w:rsid w:val="003D7410"/>
    <w:rsid w:val="003D7E4C"/>
    <w:rsid w:val="003E0B87"/>
    <w:rsid w:val="003E14B2"/>
    <w:rsid w:val="003E397A"/>
    <w:rsid w:val="003E41C2"/>
    <w:rsid w:val="003E4957"/>
    <w:rsid w:val="003E5A6B"/>
    <w:rsid w:val="003F05C2"/>
    <w:rsid w:val="003F182D"/>
    <w:rsid w:val="003F443D"/>
    <w:rsid w:val="003F4491"/>
    <w:rsid w:val="003F455A"/>
    <w:rsid w:val="003F5A75"/>
    <w:rsid w:val="003F61B1"/>
    <w:rsid w:val="003F7774"/>
    <w:rsid w:val="003F7CB7"/>
    <w:rsid w:val="004008E7"/>
    <w:rsid w:val="00404C26"/>
    <w:rsid w:val="004055F8"/>
    <w:rsid w:val="004070CE"/>
    <w:rsid w:val="004072A7"/>
    <w:rsid w:val="004077FA"/>
    <w:rsid w:val="0041079D"/>
    <w:rsid w:val="004108E3"/>
    <w:rsid w:val="004119FB"/>
    <w:rsid w:val="00411AF9"/>
    <w:rsid w:val="00412198"/>
    <w:rsid w:val="004123A5"/>
    <w:rsid w:val="00412C4C"/>
    <w:rsid w:val="00414564"/>
    <w:rsid w:val="00415935"/>
    <w:rsid w:val="0041598F"/>
    <w:rsid w:val="00417667"/>
    <w:rsid w:val="00424428"/>
    <w:rsid w:val="004245DE"/>
    <w:rsid w:val="00424D92"/>
    <w:rsid w:val="00425AC0"/>
    <w:rsid w:val="00425C9A"/>
    <w:rsid w:val="00426AE0"/>
    <w:rsid w:val="00427B29"/>
    <w:rsid w:val="004301ED"/>
    <w:rsid w:val="00432C02"/>
    <w:rsid w:val="00433087"/>
    <w:rsid w:val="00436ED4"/>
    <w:rsid w:val="00436F61"/>
    <w:rsid w:val="00437416"/>
    <w:rsid w:val="004375F4"/>
    <w:rsid w:val="00437B7E"/>
    <w:rsid w:val="00437BC7"/>
    <w:rsid w:val="0044011C"/>
    <w:rsid w:val="0044025C"/>
    <w:rsid w:val="00442B5A"/>
    <w:rsid w:val="00444831"/>
    <w:rsid w:val="0044540E"/>
    <w:rsid w:val="004454F9"/>
    <w:rsid w:val="0044649C"/>
    <w:rsid w:val="004465B4"/>
    <w:rsid w:val="00450FFB"/>
    <w:rsid w:val="0045102B"/>
    <w:rsid w:val="004529BE"/>
    <w:rsid w:val="004533A6"/>
    <w:rsid w:val="00454399"/>
    <w:rsid w:val="004549AE"/>
    <w:rsid w:val="00462ED3"/>
    <w:rsid w:val="00463100"/>
    <w:rsid w:val="00463D00"/>
    <w:rsid w:val="004642C0"/>
    <w:rsid w:val="00470226"/>
    <w:rsid w:val="00470A72"/>
    <w:rsid w:val="004718E3"/>
    <w:rsid w:val="00471A2E"/>
    <w:rsid w:val="0047255B"/>
    <w:rsid w:val="00472FB4"/>
    <w:rsid w:val="004735CE"/>
    <w:rsid w:val="00473CF6"/>
    <w:rsid w:val="0047504F"/>
    <w:rsid w:val="004759F4"/>
    <w:rsid w:val="00477873"/>
    <w:rsid w:val="00477FB1"/>
    <w:rsid w:val="00480CFE"/>
    <w:rsid w:val="00481563"/>
    <w:rsid w:val="004832E9"/>
    <w:rsid w:val="004839E1"/>
    <w:rsid w:val="00483F74"/>
    <w:rsid w:val="0048481E"/>
    <w:rsid w:val="00485FD0"/>
    <w:rsid w:val="00486230"/>
    <w:rsid w:val="0048676A"/>
    <w:rsid w:val="00490970"/>
    <w:rsid w:val="00490D0D"/>
    <w:rsid w:val="00493B70"/>
    <w:rsid w:val="00494BB3"/>
    <w:rsid w:val="004A0C27"/>
    <w:rsid w:val="004A12F7"/>
    <w:rsid w:val="004A24B4"/>
    <w:rsid w:val="004A2EDD"/>
    <w:rsid w:val="004A4BA9"/>
    <w:rsid w:val="004A5425"/>
    <w:rsid w:val="004B07FF"/>
    <w:rsid w:val="004B0E88"/>
    <w:rsid w:val="004B113A"/>
    <w:rsid w:val="004B1E60"/>
    <w:rsid w:val="004B32AF"/>
    <w:rsid w:val="004B3B2C"/>
    <w:rsid w:val="004B4DB0"/>
    <w:rsid w:val="004B523C"/>
    <w:rsid w:val="004B59CF"/>
    <w:rsid w:val="004B6582"/>
    <w:rsid w:val="004B660A"/>
    <w:rsid w:val="004B6825"/>
    <w:rsid w:val="004B6B9A"/>
    <w:rsid w:val="004B71B4"/>
    <w:rsid w:val="004B73E9"/>
    <w:rsid w:val="004C1030"/>
    <w:rsid w:val="004C21AF"/>
    <w:rsid w:val="004C283F"/>
    <w:rsid w:val="004C2B26"/>
    <w:rsid w:val="004C2ED2"/>
    <w:rsid w:val="004C3B18"/>
    <w:rsid w:val="004C3B39"/>
    <w:rsid w:val="004C5B9F"/>
    <w:rsid w:val="004C5BCE"/>
    <w:rsid w:val="004C6BE5"/>
    <w:rsid w:val="004C6C84"/>
    <w:rsid w:val="004D1F33"/>
    <w:rsid w:val="004D2C77"/>
    <w:rsid w:val="004D2E18"/>
    <w:rsid w:val="004D434D"/>
    <w:rsid w:val="004D5582"/>
    <w:rsid w:val="004D634E"/>
    <w:rsid w:val="004D733C"/>
    <w:rsid w:val="004D7745"/>
    <w:rsid w:val="004E0EB9"/>
    <w:rsid w:val="004E2786"/>
    <w:rsid w:val="004E3449"/>
    <w:rsid w:val="004E4622"/>
    <w:rsid w:val="004E59FF"/>
    <w:rsid w:val="004E7733"/>
    <w:rsid w:val="004E78F5"/>
    <w:rsid w:val="004E7F50"/>
    <w:rsid w:val="004F107A"/>
    <w:rsid w:val="004F36D4"/>
    <w:rsid w:val="004F730A"/>
    <w:rsid w:val="005000A1"/>
    <w:rsid w:val="005000B9"/>
    <w:rsid w:val="00501834"/>
    <w:rsid w:val="005018DB"/>
    <w:rsid w:val="00501C48"/>
    <w:rsid w:val="00502193"/>
    <w:rsid w:val="00502CC4"/>
    <w:rsid w:val="00503836"/>
    <w:rsid w:val="00507789"/>
    <w:rsid w:val="0051042C"/>
    <w:rsid w:val="005114E6"/>
    <w:rsid w:val="00511927"/>
    <w:rsid w:val="00511E1C"/>
    <w:rsid w:val="00512782"/>
    <w:rsid w:val="00513932"/>
    <w:rsid w:val="00513DCA"/>
    <w:rsid w:val="00513E3A"/>
    <w:rsid w:val="0051509B"/>
    <w:rsid w:val="0051538F"/>
    <w:rsid w:val="0051655A"/>
    <w:rsid w:val="00516781"/>
    <w:rsid w:val="00517A8D"/>
    <w:rsid w:val="00517AFC"/>
    <w:rsid w:val="00520147"/>
    <w:rsid w:val="00521A69"/>
    <w:rsid w:val="00521E67"/>
    <w:rsid w:val="005223D6"/>
    <w:rsid w:val="00522C1D"/>
    <w:rsid w:val="00523C16"/>
    <w:rsid w:val="00524838"/>
    <w:rsid w:val="0052490E"/>
    <w:rsid w:val="00524E61"/>
    <w:rsid w:val="005274C5"/>
    <w:rsid w:val="005275A9"/>
    <w:rsid w:val="00532604"/>
    <w:rsid w:val="00532CF1"/>
    <w:rsid w:val="0053318F"/>
    <w:rsid w:val="00533669"/>
    <w:rsid w:val="00533D92"/>
    <w:rsid w:val="0053400A"/>
    <w:rsid w:val="00537C7B"/>
    <w:rsid w:val="0054077E"/>
    <w:rsid w:val="005412BF"/>
    <w:rsid w:val="0054136E"/>
    <w:rsid w:val="00542089"/>
    <w:rsid w:val="00543830"/>
    <w:rsid w:val="00545146"/>
    <w:rsid w:val="00545BC5"/>
    <w:rsid w:val="005462CD"/>
    <w:rsid w:val="00551955"/>
    <w:rsid w:val="00552EEB"/>
    <w:rsid w:val="005544B4"/>
    <w:rsid w:val="0055601B"/>
    <w:rsid w:val="00556C24"/>
    <w:rsid w:val="005578AD"/>
    <w:rsid w:val="00560DFB"/>
    <w:rsid w:val="00561C4E"/>
    <w:rsid w:val="00563276"/>
    <w:rsid w:val="005635B6"/>
    <w:rsid w:val="00564829"/>
    <w:rsid w:val="00564C57"/>
    <w:rsid w:val="005654A2"/>
    <w:rsid w:val="00565871"/>
    <w:rsid w:val="00566F92"/>
    <w:rsid w:val="00567117"/>
    <w:rsid w:val="00567223"/>
    <w:rsid w:val="00570564"/>
    <w:rsid w:val="0057081F"/>
    <w:rsid w:val="00570E8F"/>
    <w:rsid w:val="00571E78"/>
    <w:rsid w:val="00571F41"/>
    <w:rsid w:val="00573DF2"/>
    <w:rsid w:val="005749EA"/>
    <w:rsid w:val="00575B9D"/>
    <w:rsid w:val="00575D97"/>
    <w:rsid w:val="00575DF7"/>
    <w:rsid w:val="00576473"/>
    <w:rsid w:val="0058302C"/>
    <w:rsid w:val="005837C5"/>
    <w:rsid w:val="00584231"/>
    <w:rsid w:val="00585ABE"/>
    <w:rsid w:val="00587620"/>
    <w:rsid w:val="00591D6F"/>
    <w:rsid w:val="00592F16"/>
    <w:rsid w:val="00593C35"/>
    <w:rsid w:val="00595381"/>
    <w:rsid w:val="005954D4"/>
    <w:rsid w:val="00595B03"/>
    <w:rsid w:val="00595EC7"/>
    <w:rsid w:val="005960B4"/>
    <w:rsid w:val="00596437"/>
    <w:rsid w:val="00597DFF"/>
    <w:rsid w:val="005A0E5D"/>
    <w:rsid w:val="005A3299"/>
    <w:rsid w:val="005A426B"/>
    <w:rsid w:val="005A4566"/>
    <w:rsid w:val="005A70BB"/>
    <w:rsid w:val="005A7D3A"/>
    <w:rsid w:val="005B03B1"/>
    <w:rsid w:val="005B0461"/>
    <w:rsid w:val="005B1163"/>
    <w:rsid w:val="005B287D"/>
    <w:rsid w:val="005B326C"/>
    <w:rsid w:val="005B3B5B"/>
    <w:rsid w:val="005B4182"/>
    <w:rsid w:val="005B4658"/>
    <w:rsid w:val="005C0A06"/>
    <w:rsid w:val="005C0D42"/>
    <w:rsid w:val="005C2B46"/>
    <w:rsid w:val="005C45B4"/>
    <w:rsid w:val="005C628C"/>
    <w:rsid w:val="005C6A90"/>
    <w:rsid w:val="005C7DC3"/>
    <w:rsid w:val="005D2CB9"/>
    <w:rsid w:val="005D321F"/>
    <w:rsid w:val="005D3C3F"/>
    <w:rsid w:val="005D3DBE"/>
    <w:rsid w:val="005D475F"/>
    <w:rsid w:val="005D4884"/>
    <w:rsid w:val="005D5007"/>
    <w:rsid w:val="005D5E88"/>
    <w:rsid w:val="005D638B"/>
    <w:rsid w:val="005D684C"/>
    <w:rsid w:val="005E123D"/>
    <w:rsid w:val="005E4009"/>
    <w:rsid w:val="005E4BC4"/>
    <w:rsid w:val="005E5066"/>
    <w:rsid w:val="005E518E"/>
    <w:rsid w:val="005E5814"/>
    <w:rsid w:val="005E5DAB"/>
    <w:rsid w:val="005F07B0"/>
    <w:rsid w:val="005F2AF4"/>
    <w:rsid w:val="005F2E2C"/>
    <w:rsid w:val="005F4056"/>
    <w:rsid w:val="005F72DA"/>
    <w:rsid w:val="005F72EA"/>
    <w:rsid w:val="005F731B"/>
    <w:rsid w:val="005F777C"/>
    <w:rsid w:val="005F7AA3"/>
    <w:rsid w:val="00601C72"/>
    <w:rsid w:val="0060539F"/>
    <w:rsid w:val="006057CB"/>
    <w:rsid w:val="00606266"/>
    <w:rsid w:val="00607050"/>
    <w:rsid w:val="0061087A"/>
    <w:rsid w:val="00611A15"/>
    <w:rsid w:val="00611C80"/>
    <w:rsid w:val="0061388B"/>
    <w:rsid w:val="00614F84"/>
    <w:rsid w:val="00615191"/>
    <w:rsid w:val="0061590B"/>
    <w:rsid w:val="00616DA9"/>
    <w:rsid w:val="00617509"/>
    <w:rsid w:val="00622B54"/>
    <w:rsid w:val="00623A0D"/>
    <w:rsid w:val="00624A3B"/>
    <w:rsid w:val="00631CFE"/>
    <w:rsid w:val="0063200B"/>
    <w:rsid w:val="00632E97"/>
    <w:rsid w:val="00633410"/>
    <w:rsid w:val="00634D6F"/>
    <w:rsid w:val="00635522"/>
    <w:rsid w:val="00635949"/>
    <w:rsid w:val="0063718D"/>
    <w:rsid w:val="00637C1D"/>
    <w:rsid w:val="00637FE9"/>
    <w:rsid w:val="00640D40"/>
    <w:rsid w:val="006417CE"/>
    <w:rsid w:val="0064285C"/>
    <w:rsid w:val="006428D7"/>
    <w:rsid w:val="00642A1A"/>
    <w:rsid w:val="00643593"/>
    <w:rsid w:val="00643F61"/>
    <w:rsid w:val="0064580F"/>
    <w:rsid w:val="00645B11"/>
    <w:rsid w:val="00653982"/>
    <w:rsid w:val="00653C67"/>
    <w:rsid w:val="00655021"/>
    <w:rsid w:val="00655BD0"/>
    <w:rsid w:val="00656267"/>
    <w:rsid w:val="006567ED"/>
    <w:rsid w:val="00656960"/>
    <w:rsid w:val="00656C37"/>
    <w:rsid w:val="0066195C"/>
    <w:rsid w:val="006637DE"/>
    <w:rsid w:val="00664B4F"/>
    <w:rsid w:val="0066502B"/>
    <w:rsid w:val="006669B8"/>
    <w:rsid w:val="00666D01"/>
    <w:rsid w:val="00671489"/>
    <w:rsid w:val="00672456"/>
    <w:rsid w:val="0067362D"/>
    <w:rsid w:val="00673692"/>
    <w:rsid w:val="00673DA8"/>
    <w:rsid w:val="006759F8"/>
    <w:rsid w:val="0068004B"/>
    <w:rsid w:val="00680A4A"/>
    <w:rsid w:val="00681BEB"/>
    <w:rsid w:val="00682414"/>
    <w:rsid w:val="00682B54"/>
    <w:rsid w:val="0068342C"/>
    <w:rsid w:val="00683C18"/>
    <w:rsid w:val="00684389"/>
    <w:rsid w:val="00684E7E"/>
    <w:rsid w:val="006851E4"/>
    <w:rsid w:val="006851F9"/>
    <w:rsid w:val="0068586C"/>
    <w:rsid w:val="00685894"/>
    <w:rsid w:val="006907E1"/>
    <w:rsid w:val="00690B16"/>
    <w:rsid w:val="006921F0"/>
    <w:rsid w:val="00692916"/>
    <w:rsid w:val="00692FBF"/>
    <w:rsid w:val="00693709"/>
    <w:rsid w:val="0069426E"/>
    <w:rsid w:val="006946C7"/>
    <w:rsid w:val="00694A7C"/>
    <w:rsid w:val="00694EE1"/>
    <w:rsid w:val="00697156"/>
    <w:rsid w:val="006978BD"/>
    <w:rsid w:val="006A0E38"/>
    <w:rsid w:val="006A2497"/>
    <w:rsid w:val="006A49DD"/>
    <w:rsid w:val="006A4BCD"/>
    <w:rsid w:val="006A52E8"/>
    <w:rsid w:val="006A5DD4"/>
    <w:rsid w:val="006A69BF"/>
    <w:rsid w:val="006A6C84"/>
    <w:rsid w:val="006A789C"/>
    <w:rsid w:val="006A7E57"/>
    <w:rsid w:val="006B03DE"/>
    <w:rsid w:val="006B0CE8"/>
    <w:rsid w:val="006B0CFA"/>
    <w:rsid w:val="006B103D"/>
    <w:rsid w:val="006B1158"/>
    <w:rsid w:val="006B24B1"/>
    <w:rsid w:val="006B2CFA"/>
    <w:rsid w:val="006B302D"/>
    <w:rsid w:val="006B3AEC"/>
    <w:rsid w:val="006B3B91"/>
    <w:rsid w:val="006B4FAB"/>
    <w:rsid w:val="006B6756"/>
    <w:rsid w:val="006B6F85"/>
    <w:rsid w:val="006B720D"/>
    <w:rsid w:val="006C00D4"/>
    <w:rsid w:val="006C02BC"/>
    <w:rsid w:val="006C0D8C"/>
    <w:rsid w:val="006C1DF5"/>
    <w:rsid w:val="006C3847"/>
    <w:rsid w:val="006C4EDD"/>
    <w:rsid w:val="006C761F"/>
    <w:rsid w:val="006D152D"/>
    <w:rsid w:val="006D1B0E"/>
    <w:rsid w:val="006D32AD"/>
    <w:rsid w:val="006D36F6"/>
    <w:rsid w:val="006D4871"/>
    <w:rsid w:val="006D65E0"/>
    <w:rsid w:val="006E02CA"/>
    <w:rsid w:val="006E04B5"/>
    <w:rsid w:val="006E0F51"/>
    <w:rsid w:val="006E16C9"/>
    <w:rsid w:val="006E20AD"/>
    <w:rsid w:val="006E3731"/>
    <w:rsid w:val="006E3B75"/>
    <w:rsid w:val="006E4643"/>
    <w:rsid w:val="006E4AB9"/>
    <w:rsid w:val="006E5262"/>
    <w:rsid w:val="006E688D"/>
    <w:rsid w:val="006F198E"/>
    <w:rsid w:val="006F2175"/>
    <w:rsid w:val="006F3890"/>
    <w:rsid w:val="006F45F5"/>
    <w:rsid w:val="006F5157"/>
    <w:rsid w:val="006F78A3"/>
    <w:rsid w:val="007022C8"/>
    <w:rsid w:val="007031E9"/>
    <w:rsid w:val="007058EF"/>
    <w:rsid w:val="0071188A"/>
    <w:rsid w:val="0071204E"/>
    <w:rsid w:val="0071382C"/>
    <w:rsid w:val="00714F08"/>
    <w:rsid w:val="007158CD"/>
    <w:rsid w:val="007173B3"/>
    <w:rsid w:val="007174BC"/>
    <w:rsid w:val="007201E7"/>
    <w:rsid w:val="00720528"/>
    <w:rsid w:val="007217A2"/>
    <w:rsid w:val="007249A4"/>
    <w:rsid w:val="00725057"/>
    <w:rsid w:val="00726CF7"/>
    <w:rsid w:val="00727BCE"/>
    <w:rsid w:val="007300CC"/>
    <w:rsid w:val="00731B03"/>
    <w:rsid w:val="0073299E"/>
    <w:rsid w:val="00734CE3"/>
    <w:rsid w:val="00735DA4"/>
    <w:rsid w:val="0073767B"/>
    <w:rsid w:val="007407F8"/>
    <w:rsid w:val="00740A32"/>
    <w:rsid w:val="00740DAE"/>
    <w:rsid w:val="0074120D"/>
    <w:rsid w:val="00742FE2"/>
    <w:rsid w:val="0074330F"/>
    <w:rsid w:val="00743BB1"/>
    <w:rsid w:val="00743CB6"/>
    <w:rsid w:val="007447A7"/>
    <w:rsid w:val="00744AF5"/>
    <w:rsid w:val="00745036"/>
    <w:rsid w:val="007464E2"/>
    <w:rsid w:val="00746D3C"/>
    <w:rsid w:val="00747C71"/>
    <w:rsid w:val="007502FB"/>
    <w:rsid w:val="00750952"/>
    <w:rsid w:val="00750CA4"/>
    <w:rsid w:val="00753205"/>
    <w:rsid w:val="0075335A"/>
    <w:rsid w:val="007541DE"/>
    <w:rsid w:val="007543F4"/>
    <w:rsid w:val="00754B30"/>
    <w:rsid w:val="00755635"/>
    <w:rsid w:val="007558EE"/>
    <w:rsid w:val="00755995"/>
    <w:rsid w:val="007559EB"/>
    <w:rsid w:val="00755C11"/>
    <w:rsid w:val="007561C5"/>
    <w:rsid w:val="00756682"/>
    <w:rsid w:val="007567DD"/>
    <w:rsid w:val="007609ED"/>
    <w:rsid w:val="007614DF"/>
    <w:rsid w:val="0076186F"/>
    <w:rsid w:val="00762454"/>
    <w:rsid w:val="00762509"/>
    <w:rsid w:val="00762D2E"/>
    <w:rsid w:val="007642D5"/>
    <w:rsid w:val="007651FF"/>
    <w:rsid w:val="00765E01"/>
    <w:rsid w:val="00767687"/>
    <w:rsid w:val="00770969"/>
    <w:rsid w:val="0077118F"/>
    <w:rsid w:val="00772943"/>
    <w:rsid w:val="00772C4A"/>
    <w:rsid w:val="00773D87"/>
    <w:rsid w:val="00773DE0"/>
    <w:rsid w:val="007740FB"/>
    <w:rsid w:val="00774498"/>
    <w:rsid w:val="007744DC"/>
    <w:rsid w:val="00774B20"/>
    <w:rsid w:val="00775FAA"/>
    <w:rsid w:val="00776858"/>
    <w:rsid w:val="00780CEF"/>
    <w:rsid w:val="00782C50"/>
    <w:rsid w:val="00783D00"/>
    <w:rsid w:val="00783EDD"/>
    <w:rsid w:val="00785AA3"/>
    <w:rsid w:val="00786D01"/>
    <w:rsid w:val="00787AF2"/>
    <w:rsid w:val="007900D2"/>
    <w:rsid w:val="0079132C"/>
    <w:rsid w:val="007925F2"/>
    <w:rsid w:val="007964E1"/>
    <w:rsid w:val="007972A1"/>
    <w:rsid w:val="0079764A"/>
    <w:rsid w:val="007A0C77"/>
    <w:rsid w:val="007A0F9C"/>
    <w:rsid w:val="007A0FD6"/>
    <w:rsid w:val="007A3B81"/>
    <w:rsid w:val="007A41F3"/>
    <w:rsid w:val="007A482F"/>
    <w:rsid w:val="007A4950"/>
    <w:rsid w:val="007A664C"/>
    <w:rsid w:val="007A6D7A"/>
    <w:rsid w:val="007A7ACF"/>
    <w:rsid w:val="007A7BEA"/>
    <w:rsid w:val="007A7DCD"/>
    <w:rsid w:val="007B0272"/>
    <w:rsid w:val="007B138D"/>
    <w:rsid w:val="007B237D"/>
    <w:rsid w:val="007B3300"/>
    <w:rsid w:val="007B3879"/>
    <w:rsid w:val="007B3CFE"/>
    <w:rsid w:val="007B3E76"/>
    <w:rsid w:val="007B421A"/>
    <w:rsid w:val="007B4EBC"/>
    <w:rsid w:val="007B664B"/>
    <w:rsid w:val="007B6DFC"/>
    <w:rsid w:val="007B7692"/>
    <w:rsid w:val="007C00FA"/>
    <w:rsid w:val="007C20E0"/>
    <w:rsid w:val="007C2820"/>
    <w:rsid w:val="007C364D"/>
    <w:rsid w:val="007C523A"/>
    <w:rsid w:val="007C70E5"/>
    <w:rsid w:val="007C76C3"/>
    <w:rsid w:val="007C7B5E"/>
    <w:rsid w:val="007C7BF4"/>
    <w:rsid w:val="007D04E8"/>
    <w:rsid w:val="007D1A23"/>
    <w:rsid w:val="007D1D56"/>
    <w:rsid w:val="007D210A"/>
    <w:rsid w:val="007D36DF"/>
    <w:rsid w:val="007D5A43"/>
    <w:rsid w:val="007D5D81"/>
    <w:rsid w:val="007D6B1D"/>
    <w:rsid w:val="007E08AF"/>
    <w:rsid w:val="007E6026"/>
    <w:rsid w:val="007E652F"/>
    <w:rsid w:val="007E7588"/>
    <w:rsid w:val="007F21A7"/>
    <w:rsid w:val="007F21ED"/>
    <w:rsid w:val="007F4651"/>
    <w:rsid w:val="007F4F24"/>
    <w:rsid w:val="007F51D0"/>
    <w:rsid w:val="007F5C4D"/>
    <w:rsid w:val="00800EB1"/>
    <w:rsid w:val="00802AB7"/>
    <w:rsid w:val="00803710"/>
    <w:rsid w:val="008037D0"/>
    <w:rsid w:val="00804147"/>
    <w:rsid w:val="008041BE"/>
    <w:rsid w:val="008044F4"/>
    <w:rsid w:val="008045AA"/>
    <w:rsid w:val="00805198"/>
    <w:rsid w:val="00810778"/>
    <w:rsid w:val="00811301"/>
    <w:rsid w:val="00811B07"/>
    <w:rsid w:val="00812204"/>
    <w:rsid w:val="00812E33"/>
    <w:rsid w:val="008132E8"/>
    <w:rsid w:val="00813FC0"/>
    <w:rsid w:val="008140BC"/>
    <w:rsid w:val="00815CC9"/>
    <w:rsid w:val="00816AAE"/>
    <w:rsid w:val="00816E9C"/>
    <w:rsid w:val="00817054"/>
    <w:rsid w:val="008174D7"/>
    <w:rsid w:val="008211CA"/>
    <w:rsid w:val="00822045"/>
    <w:rsid w:val="0082217B"/>
    <w:rsid w:val="00823407"/>
    <w:rsid w:val="0082365D"/>
    <w:rsid w:val="00824ED3"/>
    <w:rsid w:val="0082549D"/>
    <w:rsid w:val="00825D33"/>
    <w:rsid w:val="008308FA"/>
    <w:rsid w:val="00832452"/>
    <w:rsid w:val="00833483"/>
    <w:rsid w:val="00833A89"/>
    <w:rsid w:val="008340EA"/>
    <w:rsid w:val="008341A9"/>
    <w:rsid w:val="00835CE8"/>
    <w:rsid w:val="00836812"/>
    <w:rsid w:val="00836BFA"/>
    <w:rsid w:val="00836E64"/>
    <w:rsid w:val="008379BD"/>
    <w:rsid w:val="00837F04"/>
    <w:rsid w:val="008404A5"/>
    <w:rsid w:val="00842FBD"/>
    <w:rsid w:val="00844C04"/>
    <w:rsid w:val="00845A77"/>
    <w:rsid w:val="00845B96"/>
    <w:rsid w:val="00846627"/>
    <w:rsid w:val="008468DA"/>
    <w:rsid w:val="0084727A"/>
    <w:rsid w:val="008514E2"/>
    <w:rsid w:val="008516E5"/>
    <w:rsid w:val="0085315F"/>
    <w:rsid w:val="0085390C"/>
    <w:rsid w:val="00853F95"/>
    <w:rsid w:val="008540C9"/>
    <w:rsid w:val="008559BD"/>
    <w:rsid w:val="00857834"/>
    <w:rsid w:val="00857D93"/>
    <w:rsid w:val="0086020B"/>
    <w:rsid w:val="008642B1"/>
    <w:rsid w:val="008647D4"/>
    <w:rsid w:val="00865181"/>
    <w:rsid w:val="00866B94"/>
    <w:rsid w:val="0087163F"/>
    <w:rsid w:val="00871729"/>
    <w:rsid w:val="00876B75"/>
    <w:rsid w:val="00876BD4"/>
    <w:rsid w:val="00877A0A"/>
    <w:rsid w:val="008809E5"/>
    <w:rsid w:val="00881190"/>
    <w:rsid w:val="00881249"/>
    <w:rsid w:val="00881973"/>
    <w:rsid w:val="00881C76"/>
    <w:rsid w:val="00885F7B"/>
    <w:rsid w:val="00892901"/>
    <w:rsid w:val="00893A8E"/>
    <w:rsid w:val="00893E3E"/>
    <w:rsid w:val="00896A33"/>
    <w:rsid w:val="00896C62"/>
    <w:rsid w:val="00896E94"/>
    <w:rsid w:val="0089739B"/>
    <w:rsid w:val="008974A1"/>
    <w:rsid w:val="00897967"/>
    <w:rsid w:val="008A0A19"/>
    <w:rsid w:val="008A0D21"/>
    <w:rsid w:val="008A0FF1"/>
    <w:rsid w:val="008A2A5D"/>
    <w:rsid w:val="008A33AC"/>
    <w:rsid w:val="008A3F59"/>
    <w:rsid w:val="008A6AD7"/>
    <w:rsid w:val="008A7935"/>
    <w:rsid w:val="008A9B90"/>
    <w:rsid w:val="008B0184"/>
    <w:rsid w:val="008B09D8"/>
    <w:rsid w:val="008B0FE5"/>
    <w:rsid w:val="008B1208"/>
    <w:rsid w:val="008B159C"/>
    <w:rsid w:val="008B269B"/>
    <w:rsid w:val="008B54B3"/>
    <w:rsid w:val="008B54CC"/>
    <w:rsid w:val="008B7729"/>
    <w:rsid w:val="008C03F3"/>
    <w:rsid w:val="008C0614"/>
    <w:rsid w:val="008C0CD1"/>
    <w:rsid w:val="008C0D83"/>
    <w:rsid w:val="008C1091"/>
    <w:rsid w:val="008C2007"/>
    <w:rsid w:val="008C30CF"/>
    <w:rsid w:val="008C3CD6"/>
    <w:rsid w:val="008C5D02"/>
    <w:rsid w:val="008D00F5"/>
    <w:rsid w:val="008D074C"/>
    <w:rsid w:val="008D0B1A"/>
    <w:rsid w:val="008D1664"/>
    <w:rsid w:val="008D17AC"/>
    <w:rsid w:val="008D24C4"/>
    <w:rsid w:val="008D2599"/>
    <w:rsid w:val="008D2967"/>
    <w:rsid w:val="008D3094"/>
    <w:rsid w:val="008D4D89"/>
    <w:rsid w:val="008D5DA6"/>
    <w:rsid w:val="008D7376"/>
    <w:rsid w:val="008E0884"/>
    <w:rsid w:val="008E0948"/>
    <w:rsid w:val="008E0B32"/>
    <w:rsid w:val="008E0EC1"/>
    <w:rsid w:val="008E22D1"/>
    <w:rsid w:val="008E5296"/>
    <w:rsid w:val="008E7DC0"/>
    <w:rsid w:val="008F0104"/>
    <w:rsid w:val="008F0803"/>
    <w:rsid w:val="008F14D6"/>
    <w:rsid w:val="008F197D"/>
    <w:rsid w:val="008F2D81"/>
    <w:rsid w:val="008F301E"/>
    <w:rsid w:val="008F3BCC"/>
    <w:rsid w:val="008F3FF1"/>
    <w:rsid w:val="008F5272"/>
    <w:rsid w:val="008F6A4A"/>
    <w:rsid w:val="008F716B"/>
    <w:rsid w:val="009001E6"/>
    <w:rsid w:val="009019EB"/>
    <w:rsid w:val="00901F67"/>
    <w:rsid w:val="00902FFA"/>
    <w:rsid w:val="00903159"/>
    <w:rsid w:val="00903421"/>
    <w:rsid w:val="00904386"/>
    <w:rsid w:val="0090568D"/>
    <w:rsid w:val="009056B2"/>
    <w:rsid w:val="00907415"/>
    <w:rsid w:val="00907704"/>
    <w:rsid w:val="00907BEA"/>
    <w:rsid w:val="009125C9"/>
    <w:rsid w:val="009125E0"/>
    <w:rsid w:val="00912E17"/>
    <w:rsid w:val="009147B7"/>
    <w:rsid w:val="00915098"/>
    <w:rsid w:val="00915197"/>
    <w:rsid w:val="0091569E"/>
    <w:rsid w:val="00916218"/>
    <w:rsid w:val="0091637E"/>
    <w:rsid w:val="00916AA2"/>
    <w:rsid w:val="00917661"/>
    <w:rsid w:val="009204E5"/>
    <w:rsid w:val="00920543"/>
    <w:rsid w:val="00921907"/>
    <w:rsid w:val="00921D18"/>
    <w:rsid w:val="0092218F"/>
    <w:rsid w:val="00923914"/>
    <w:rsid w:val="009243E8"/>
    <w:rsid w:val="009255EC"/>
    <w:rsid w:val="00925DB8"/>
    <w:rsid w:val="0092697A"/>
    <w:rsid w:val="00930C9A"/>
    <w:rsid w:val="00931627"/>
    <w:rsid w:val="00931D99"/>
    <w:rsid w:val="00932090"/>
    <w:rsid w:val="00932C51"/>
    <w:rsid w:val="00933A13"/>
    <w:rsid w:val="00933B53"/>
    <w:rsid w:val="00933CCD"/>
    <w:rsid w:val="0093527D"/>
    <w:rsid w:val="0093611C"/>
    <w:rsid w:val="00942E15"/>
    <w:rsid w:val="009433F9"/>
    <w:rsid w:val="0094373A"/>
    <w:rsid w:val="00943CEF"/>
    <w:rsid w:val="00943ED5"/>
    <w:rsid w:val="009463A9"/>
    <w:rsid w:val="00946608"/>
    <w:rsid w:val="00947888"/>
    <w:rsid w:val="00950619"/>
    <w:rsid w:val="009506FF"/>
    <w:rsid w:val="00950878"/>
    <w:rsid w:val="00951D9D"/>
    <w:rsid w:val="00951F72"/>
    <w:rsid w:val="00954E66"/>
    <w:rsid w:val="009555F5"/>
    <w:rsid w:val="0095775C"/>
    <w:rsid w:val="00962E53"/>
    <w:rsid w:val="0096319E"/>
    <w:rsid w:val="0096516B"/>
    <w:rsid w:val="00967B3A"/>
    <w:rsid w:val="009705E6"/>
    <w:rsid w:val="00970A03"/>
    <w:rsid w:val="00970A1E"/>
    <w:rsid w:val="00970C83"/>
    <w:rsid w:val="00970CE9"/>
    <w:rsid w:val="00970E5D"/>
    <w:rsid w:val="00972828"/>
    <w:rsid w:val="009733F1"/>
    <w:rsid w:val="00975A9F"/>
    <w:rsid w:val="009762A8"/>
    <w:rsid w:val="00976E59"/>
    <w:rsid w:val="0097701C"/>
    <w:rsid w:val="00977221"/>
    <w:rsid w:val="00980A65"/>
    <w:rsid w:val="00981421"/>
    <w:rsid w:val="00981851"/>
    <w:rsid w:val="0098238E"/>
    <w:rsid w:val="00982A08"/>
    <w:rsid w:val="009831FE"/>
    <w:rsid w:val="009832C2"/>
    <w:rsid w:val="00983902"/>
    <w:rsid w:val="00983F88"/>
    <w:rsid w:val="0098432E"/>
    <w:rsid w:val="0098544B"/>
    <w:rsid w:val="00986151"/>
    <w:rsid w:val="0098720B"/>
    <w:rsid w:val="0099033E"/>
    <w:rsid w:val="0099054A"/>
    <w:rsid w:val="00990688"/>
    <w:rsid w:val="0099213D"/>
    <w:rsid w:val="00993D44"/>
    <w:rsid w:val="0099464B"/>
    <w:rsid w:val="009954AA"/>
    <w:rsid w:val="00995F40"/>
    <w:rsid w:val="00996425"/>
    <w:rsid w:val="00996755"/>
    <w:rsid w:val="009967B5"/>
    <w:rsid w:val="00997412"/>
    <w:rsid w:val="009A1B2A"/>
    <w:rsid w:val="009A20ED"/>
    <w:rsid w:val="009A2119"/>
    <w:rsid w:val="009A2261"/>
    <w:rsid w:val="009A2920"/>
    <w:rsid w:val="009A3184"/>
    <w:rsid w:val="009A3533"/>
    <w:rsid w:val="009A3D26"/>
    <w:rsid w:val="009A3FF2"/>
    <w:rsid w:val="009A4EE9"/>
    <w:rsid w:val="009A5E3B"/>
    <w:rsid w:val="009A64CA"/>
    <w:rsid w:val="009A6B86"/>
    <w:rsid w:val="009A7734"/>
    <w:rsid w:val="009A795A"/>
    <w:rsid w:val="009B091E"/>
    <w:rsid w:val="009B1C03"/>
    <w:rsid w:val="009B53A2"/>
    <w:rsid w:val="009B553D"/>
    <w:rsid w:val="009B5ADF"/>
    <w:rsid w:val="009B68F7"/>
    <w:rsid w:val="009C24A1"/>
    <w:rsid w:val="009C3066"/>
    <w:rsid w:val="009C3199"/>
    <w:rsid w:val="009C596A"/>
    <w:rsid w:val="009C6510"/>
    <w:rsid w:val="009C6E7F"/>
    <w:rsid w:val="009C78A9"/>
    <w:rsid w:val="009D0844"/>
    <w:rsid w:val="009D0F03"/>
    <w:rsid w:val="009D224D"/>
    <w:rsid w:val="009D23AF"/>
    <w:rsid w:val="009D354B"/>
    <w:rsid w:val="009D3590"/>
    <w:rsid w:val="009D61A5"/>
    <w:rsid w:val="009D6F68"/>
    <w:rsid w:val="009D6FA4"/>
    <w:rsid w:val="009E1814"/>
    <w:rsid w:val="009E2862"/>
    <w:rsid w:val="009E430A"/>
    <w:rsid w:val="009E4429"/>
    <w:rsid w:val="009E52D1"/>
    <w:rsid w:val="009E632F"/>
    <w:rsid w:val="009E70F9"/>
    <w:rsid w:val="009F6898"/>
    <w:rsid w:val="009F6A83"/>
    <w:rsid w:val="009F7D65"/>
    <w:rsid w:val="00A00660"/>
    <w:rsid w:val="00A0120A"/>
    <w:rsid w:val="00A02190"/>
    <w:rsid w:val="00A03956"/>
    <w:rsid w:val="00A0541C"/>
    <w:rsid w:val="00A0680D"/>
    <w:rsid w:val="00A073A0"/>
    <w:rsid w:val="00A10A70"/>
    <w:rsid w:val="00A11587"/>
    <w:rsid w:val="00A1330F"/>
    <w:rsid w:val="00A133A0"/>
    <w:rsid w:val="00A13DE5"/>
    <w:rsid w:val="00A13F3A"/>
    <w:rsid w:val="00A14A3F"/>
    <w:rsid w:val="00A16123"/>
    <w:rsid w:val="00A16D67"/>
    <w:rsid w:val="00A17365"/>
    <w:rsid w:val="00A17CDD"/>
    <w:rsid w:val="00A17D33"/>
    <w:rsid w:val="00A20868"/>
    <w:rsid w:val="00A20BE4"/>
    <w:rsid w:val="00A212AD"/>
    <w:rsid w:val="00A21B61"/>
    <w:rsid w:val="00A2211A"/>
    <w:rsid w:val="00A237C5"/>
    <w:rsid w:val="00A24704"/>
    <w:rsid w:val="00A25B04"/>
    <w:rsid w:val="00A25E70"/>
    <w:rsid w:val="00A2641C"/>
    <w:rsid w:val="00A27DE1"/>
    <w:rsid w:val="00A3020F"/>
    <w:rsid w:val="00A3144A"/>
    <w:rsid w:val="00A3292D"/>
    <w:rsid w:val="00A32A3B"/>
    <w:rsid w:val="00A332DA"/>
    <w:rsid w:val="00A33567"/>
    <w:rsid w:val="00A33765"/>
    <w:rsid w:val="00A33A77"/>
    <w:rsid w:val="00A4490F"/>
    <w:rsid w:val="00A44B3B"/>
    <w:rsid w:val="00A45DDA"/>
    <w:rsid w:val="00A46155"/>
    <w:rsid w:val="00A465AB"/>
    <w:rsid w:val="00A46AF4"/>
    <w:rsid w:val="00A53E01"/>
    <w:rsid w:val="00A56CCB"/>
    <w:rsid w:val="00A574D2"/>
    <w:rsid w:val="00A578D3"/>
    <w:rsid w:val="00A60D66"/>
    <w:rsid w:val="00A61824"/>
    <w:rsid w:val="00A62103"/>
    <w:rsid w:val="00A6226A"/>
    <w:rsid w:val="00A6244F"/>
    <w:rsid w:val="00A64A4A"/>
    <w:rsid w:val="00A64F97"/>
    <w:rsid w:val="00A65230"/>
    <w:rsid w:val="00A658BE"/>
    <w:rsid w:val="00A66CA2"/>
    <w:rsid w:val="00A672C0"/>
    <w:rsid w:val="00A708D5"/>
    <w:rsid w:val="00A73492"/>
    <w:rsid w:val="00A74185"/>
    <w:rsid w:val="00A75546"/>
    <w:rsid w:val="00A76384"/>
    <w:rsid w:val="00A767CF"/>
    <w:rsid w:val="00A7694F"/>
    <w:rsid w:val="00A77908"/>
    <w:rsid w:val="00A815AB"/>
    <w:rsid w:val="00A81664"/>
    <w:rsid w:val="00A81703"/>
    <w:rsid w:val="00A81A7E"/>
    <w:rsid w:val="00A826E1"/>
    <w:rsid w:val="00A85999"/>
    <w:rsid w:val="00A85EEF"/>
    <w:rsid w:val="00A8613A"/>
    <w:rsid w:val="00A8613F"/>
    <w:rsid w:val="00A86E72"/>
    <w:rsid w:val="00A87E29"/>
    <w:rsid w:val="00A90A7D"/>
    <w:rsid w:val="00A913DB"/>
    <w:rsid w:val="00A92C3B"/>
    <w:rsid w:val="00A93AF7"/>
    <w:rsid w:val="00A9417D"/>
    <w:rsid w:val="00A94ED6"/>
    <w:rsid w:val="00A970FD"/>
    <w:rsid w:val="00AA099E"/>
    <w:rsid w:val="00AA0AF8"/>
    <w:rsid w:val="00AA0E3E"/>
    <w:rsid w:val="00AA40D5"/>
    <w:rsid w:val="00AA4181"/>
    <w:rsid w:val="00AA54C1"/>
    <w:rsid w:val="00AA6D70"/>
    <w:rsid w:val="00AB2E4B"/>
    <w:rsid w:val="00AB33B2"/>
    <w:rsid w:val="00AB3A78"/>
    <w:rsid w:val="00AB54CA"/>
    <w:rsid w:val="00AB56A9"/>
    <w:rsid w:val="00AB5B3D"/>
    <w:rsid w:val="00AB5E16"/>
    <w:rsid w:val="00AB628D"/>
    <w:rsid w:val="00AB6C3D"/>
    <w:rsid w:val="00AC03E4"/>
    <w:rsid w:val="00AC064D"/>
    <w:rsid w:val="00AC11DC"/>
    <w:rsid w:val="00AC1522"/>
    <w:rsid w:val="00AC1B99"/>
    <w:rsid w:val="00AC21C9"/>
    <w:rsid w:val="00AC25D2"/>
    <w:rsid w:val="00AC28F6"/>
    <w:rsid w:val="00AC4001"/>
    <w:rsid w:val="00AC5A3E"/>
    <w:rsid w:val="00AC5B45"/>
    <w:rsid w:val="00AC666A"/>
    <w:rsid w:val="00AC66B7"/>
    <w:rsid w:val="00AC6A42"/>
    <w:rsid w:val="00AD0BCF"/>
    <w:rsid w:val="00AD18AC"/>
    <w:rsid w:val="00AD3293"/>
    <w:rsid w:val="00AD3AF0"/>
    <w:rsid w:val="00AD4CED"/>
    <w:rsid w:val="00AD4F9B"/>
    <w:rsid w:val="00AD5872"/>
    <w:rsid w:val="00AE043A"/>
    <w:rsid w:val="00AE0E3B"/>
    <w:rsid w:val="00AE140A"/>
    <w:rsid w:val="00AE1BC8"/>
    <w:rsid w:val="00AE1E8A"/>
    <w:rsid w:val="00AE3ABF"/>
    <w:rsid w:val="00AE3DFA"/>
    <w:rsid w:val="00AE4310"/>
    <w:rsid w:val="00AE4DEE"/>
    <w:rsid w:val="00AE4F93"/>
    <w:rsid w:val="00AE5FDA"/>
    <w:rsid w:val="00AE5FFA"/>
    <w:rsid w:val="00AE6ACB"/>
    <w:rsid w:val="00AE7AFA"/>
    <w:rsid w:val="00AF1CF3"/>
    <w:rsid w:val="00AF43EC"/>
    <w:rsid w:val="00AF6A42"/>
    <w:rsid w:val="00AF7636"/>
    <w:rsid w:val="00AF7AEF"/>
    <w:rsid w:val="00AF7D1B"/>
    <w:rsid w:val="00B00618"/>
    <w:rsid w:val="00B0064A"/>
    <w:rsid w:val="00B01790"/>
    <w:rsid w:val="00B022A2"/>
    <w:rsid w:val="00B029C7"/>
    <w:rsid w:val="00B03B47"/>
    <w:rsid w:val="00B03CA7"/>
    <w:rsid w:val="00B04ADD"/>
    <w:rsid w:val="00B06680"/>
    <w:rsid w:val="00B06991"/>
    <w:rsid w:val="00B0755B"/>
    <w:rsid w:val="00B127CB"/>
    <w:rsid w:val="00B12F25"/>
    <w:rsid w:val="00B13F0C"/>
    <w:rsid w:val="00B13FA0"/>
    <w:rsid w:val="00B13FE1"/>
    <w:rsid w:val="00B140DF"/>
    <w:rsid w:val="00B15680"/>
    <w:rsid w:val="00B166B3"/>
    <w:rsid w:val="00B22D37"/>
    <w:rsid w:val="00B2337E"/>
    <w:rsid w:val="00B234FF"/>
    <w:rsid w:val="00B24802"/>
    <w:rsid w:val="00B26744"/>
    <w:rsid w:val="00B26947"/>
    <w:rsid w:val="00B26B4D"/>
    <w:rsid w:val="00B26D52"/>
    <w:rsid w:val="00B27917"/>
    <w:rsid w:val="00B30C5B"/>
    <w:rsid w:val="00B318D3"/>
    <w:rsid w:val="00B323D5"/>
    <w:rsid w:val="00B324EA"/>
    <w:rsid w:val="00B32723"/>
    <w:rsid w:val="00B327FF"/>
    <w:rsid w:val="00B334B6"/>
    <w:rsid w:val="00B3362D"/>
    <w:rsid w:val="00B344D0"/>
    <w:rsid w:val="00B34E9E"/>
    <w:rsid w:val="00B3502D"/>
    <w:rsid w:val="00B3586F"/>
    <w:rsid w:val="00B361A1"/>
    <w:rsid w:val="00B37BCD"/>
    <w:rsid w:val="00B429C0"/>
    <w:rsid w:val="00B446A6"/>
    <w:rsid w:val="00B44937"/>
    <w:rsid w:val="00B457DD"/>
    <w:rsid w:val="00B45A53"/>
    <w:rsid w:val="00B45EB3"/>
    <w:rsid w:val="00B46A90"/>
    <w:rsid w:val="00B46BC3"/>
    <w:rsid w:val="00B502E8"/>
    <w:rsid w:val="00B5171C"/>
    <w:rsid w:val="00B52962"/>
    <w:rsid w:val="00B52E95"/>
    <w:rsid w:val="00B537B2"/>
    <w:rsid w:val="00B53FE2"/>
    <w:rsid w:val="00B550B5"/>
    <w:rsid w:val="00B60E27"/>
    <w:rsid w:val="00B6171B"/>
    <w:rsid w:val="00B61D28"/>
    <w:rsid w:val="00B61F74"/>
    <w:rsid w:val="00B63237"/>
    <w:rsid w:val="00B6432C"/>
    <w:rsid w:val="00B66803"/>
    <w:rsid w:val="00B70DAB"/>
    <w:rsid w:val="00B70E90"/>
    <w:rsid w:val="00B71AA7"/>
    <w:rsid w:val="00B71C80"/>
    <w:rsid w:val="00B71E67"/>
    <w:rsid w:val="00B75413"/>
    <w:rsid w:val="00B75F1D"/>
    <w:rsid w:val="00B76A4E"/>
    <w:rsid w:val="00B76B23"/>
    <w:rsid w:val="00B80424"/>
    <w:rsid w:val="00B83FEE"/>
    <w:rsid w:val="00B84B61"/>
    <w:rsid w:val="00B856FF"/>
    <w:rsid w:val="00B86097"/>
    <w:rsid w:val="00B8740C"/>
    <w:rsid w:val="00B87D33"/>
    <w:rsid w:val="00B9084E"/>
    <w:rsid w:val="00B91143"/>
    <w:rsid w:val="00B917F2"/>
    <w:rsid w:val="00B9217B"/>
    <w:rsid w:val="00B92D0E"/>
    <w:rsid w:val="00B93068"/>
    <w:rsid w:val="00B945AA"/>
    <w:rsid w:val="00B965A7"/>
    <w:rsid w:val="00B96F9D"/>
    <w:rsid w:val="00B9732F"/>
    <w:rsid w:val="00BA083D"/>
    <w:rsid w:val="00BA0B14"/>
    <w:rsid w:val="00BA0C9D"/>
    <w:rsid w:val="00BA0F5F"/>
    <w:rsid w:val="00BA15AC"/>
    <w:rsid w:val="00BA1BB2"/>
    <w:rsid w:val="00BA1D95"/>
    <w:rsid w:val="00BA200B"/>
    <w:rsid w:val="00BA2A63"/>
    <w:rsid w:val="00BA3535"/>
    <w:rsid w:val="00BA359E"/>
    <w:rsid w:val="00BA3987"/>
    <w:rsid w:val="00BA3E68"/>
    <w:rsid w:val="00BA47B5"/>
    <w:rsid w:val="00BA54E5"/>
    <w:rsid w:val="00BA60E7"/>
    <w:rsid w:val="00BA6339"/>
    <w:rsid w:val="00BA72C6"/>
    <w:rsid w:val="00BB06B6"/>
    <w:rsid w:val="00BB081A"/>
    <w:rsid w:val="00BB172F"/>
    <w:rsid w:val="00BB3305"/>
    <w:rsid w:val="00BB3532"/>
    <w:rsid w:val="00BB4080"/>
    <w:rsid w:val="00BB5EDE"/>
    <w:rsid w:val="00BB77D8"/>
    <w:rsid w:val="00BC0216"/>
    <w:rsid w:val="00BC02E0"/>
    <w:rsid w:val="00BC1528"/>
    <w:rsid w:val="00BC1E91"/>
    <w:rsid w:val="00BC5027"/>
    <w:rsid w:val="00BC52AC"/>
    <w:rsid w:val="00BC562E"/>
    <w:rsid w:val="00BC5B58"/>
    <w:rsid w:val="00BC5D83"/>
    <w:rsid w:val="00BC7846"/>
    <w:rsid w:val="00BD08CD"/>
    <w:rsid w:val="00BD0A5C"/>
    <w:rsid w:val="00BD0B50"/>
    <w:rsid w:val="00BD2944"/>
    <w:rsid w:val="00BD5777"/>
    <w:rsid w:val="00BD57C7"/>
    <w:rsid w:val="00BD5F6F"/>
    <w:rsid w:val="00BD75E0"/>
    <w:rsid w:val="00BE46B8"/>
    <w:rsid w:val="00BE4DEE"/>
    <w:rsid w:val="00BE71EA"/>
    <w:rsid w:val="00BF1FA0"/>
    <w:rsid w:val="00BF21F3"/>
    <w:rsid w:val="00BF5AD4"/>
    <w:rsid w:val="00BF6AE8"/>
    <w:rsid w:val="00BF7C32"/>
    <w:rsid w:val="00BF7DF0"/>
    <w:rsid w:val="00C007DF"/>
    <w:rsid w:val="00C01734"/>
    <w:rsid w:val="00C0532E"/>
    <w:rsid w:val="00C06C45"/>
    <w:rsid w:val="00C078FB"/>
    <w:rsid w:val="00C07CF0"/>
    <w:rsid w:val="00C106D1"/>
    <w:rsid w:val="00C106FA"/>
    <w:rsid w:val="00C10A12"/>
    <w:rsid w:val="00C10D6E"/>
    <w:rsid w:val="00C10D7B"/>
    <w:rsid w:val="00C13035"/>
    <w:rsid w:val="00C14340"/>
    <w:rsid w:val="00C162B0"/>
    <w:rsid w:val="00C240DF"/>
    <w:rsid w:val="00C24B62"/>
    <w:rsid w:val="00C24B6E"/>
    <w:rsid w:val="00C24E59"/>
    <w:rsid w:val="00C27966"/>
    <w:rsid w:val="00C30045"/>
    <w:rsid w:val="00C30AB2"/>
    <w:rsid w:val="00C30F26"/>
    <w:rsid w:val="00C3113C"/>
    <w:rsid w:val="00C34931"/>
    <w:rsid w:val="00C35E63"/>
    <w:rsid w:val="00C426FC"/>
    <w:rsid w:val="00C457C3"/>
    <w:rsid w:val="00C464C9"/>
    <w:rsid w:val="00C4766A"/>
    <w:rsid w:val="00C47FF7"/>
    <w:rsid w:val="00C528A3"/>
    <w:rsid w:val="00C53A33"/>
    <w:rsid w:val="00C56CEA"/>
    <w:rsid w:val="00C603BA"/>
    <w:rsid w:val="00C609DA"/>
    <w:rsid w:val="00C60D85"/>
    <w:rsid w:val="00C61F3F"/>
    <w:rsid w:val="00C6257C"/>
    <w:rsid w:val="00C6439B"/>
    <w:rsid w:val="00C645AB"/>
    <w:rsid w:val="00C64643"/>
    <w:rsid w:val="00C70010"/>
    <w:rsid w:val="00C7010B"/>
    <w:rsid w:val="00C71308"/>
    <w:rsid w:val="00C71840"/>
    <w:rsid w:val="00C72866"/>
    <w:rsid w:val="00C732C5"/>
    <w:rsid w:val="00C73C76"/>
    <w:rsid w:val="00C77381"/>
    <w:rsid w:val="00C80E00"/>
    <w:rsid w:val="00C818AD"/>
    <w:rsid w:val="00C81D59"/>
    <w:rsid w:val="00C81DFD"/>
    <w:rsid w:val="00C834BC"/>
    <w:rsid w:val="00C84385"/>
    <w:rsid w:val="00C850F3"/>
    <w:rsid w:val="00C8567F"/>
    <w:rsid w:val="00C856FB"/>
    <w:rsid w:val="00C85EC4"/>
    <w:rsid w:val="00C86CE3"/>
    <w:rsid w:val="00C878B5"/>
    <w:rsid w:val="00C879D1"/>
    <w:rsid w:val="00C87BA8"/>
    <w:rsid w:val="00C9085F"/>
    <w:rsid w:val="00C91C56"/>
    <w:rsid w:val="00C9218F"/>
    <w:rsid w:val="00C94AC4"/>
    <w:rsid w:val="00C957D6"/>
    <w:rsid w:val="00C965E4"/>
    <w:rsid w:val="00C972E7"/>
    <w:rsid w:val="00C9738C"/>
    <w:rsid w:val="00C97DB1"/>
    <w:rsid w:val="00CA0B1D"/>
    <w:rsid w:val="00CA254A"/>
    <w:rsid w:val="00CA52DD"/>
    <w:rsid w:val="00CA6344"/>
    <w:rsid w:val="00CA6568"/>
    <w:rsid w:val="00CB10A6"/>
    <w:rsid w:val="00CB1C85"/>
    <w:rsid w:val="00CB1FDA"/>
    <w:rsid w:val="00CB3004"/>
    <w:rsid w:val="00CB4A66"/>
    <w:rsid w:val="00CB640E"/>
    <w:rsid w:val="00CC0669"/>
    <w:rsid w:val="00CC4017"/>
    <w:rsid w:val="00CC42B3"/>
    <w:rsid w:val="00CC4427"/>
    <w:rsid w:val="00CC47E1"/>
    <w:rsid w:val="00CC6F32"/>
    <w:rsid w:val="00CC77F7"/>
    <w:rsid w:val="00CD3413"/>
    <w:rsid w:val="00CD3B77"/>
    <w:rsid w:val="00CD3FB3"/>
    <w:rsid w:val="00CD482B"/>
    <w:rsid w:val="00CD7209"/>
    <w:rsid w:val="00CE0094"/>
    <w:rsid w:val="00CE0860"/>
    <w:rsid w:val="00CE20A3"/>
    <w:rsid w:val="00CE22EF"/>
    <w:rsid w:val="00CE64A3"/>
    <w:rsid w:val="00CE7AF3"/>
    <w:rsid w:val="00CF05EF"/>
    <w:rsid w:val="00CF26B4"/>
    <w:rsid w:val="00CF3833"/>
    <w:rsid w:val="00CF4AE4"/>
    <w:rsid w:val="00CF7404"/>
    <w:rsid w:val="00CF78AD"/>
    <w:rsid w:val="00D019D6"/>
    <w:rsid w:val="00D01EBD"/>
    <w:rsid w:val="00D025A6"/>
    <w:rsid w:val="00D02C75"/>
    <w:rsid w:val="00D05061"/>
    <w:rsid w:val="00D05AC5"/>
    <w:rsid w:val="00D06B1B"/>
    <w:rsid w:val="00D06FAD"/>
    <w:rsid w:val="00D10E22"/>
    <w:rsid w:val="00D120A1"/>
    <w:rsid w:val="00D129BA"/>
    <w:rsid w:val="00D12A6D"/>
    <w:rsid w:val="00D13617"/>
    <w:rsid w:val="00D13AAB"/>
    <w:rsid w:val="00D13D2C"/>
    <w:rsid w:val="00D142BC"/>
    <w:rsid w:val="00D15327"/>
    <w:rsid w:val="00D15494"/>
    <w:rsid w:val="00D17DF7"/>
    <w:rsid w:val="00D20365"/>
    <w:rsid w:val="00D20F65"/>
    <w:rsid w:val="00D21E53"/>
    <w:rsid w:val="00D22917"/>
    <w:rsid w:val="00D22D33"/>
    <w:rsid w:val="00D2438E"/>
    <w:rsid w:val="00D2472A"/>
    <w:rsid w:val="00D26207"/>
    <w:rsid w:val="00D267B3"/>
    <w:rsid w:val="00D27321"/>
    <w:rsid w:val="00D30D03"/>
    <w:rsid w:val="00D30DCC"/>
    <w:rsid w:val="00D3719A"/>
    <w:rsid w:val="00D40C14"/>
    <w:rsid w:val="00D43422"/>
    <w:rsid w:val="00D43BFF"/>
    <w:rsid w:val="00D444A9"/>
    <w:rsid w:val="00D5133C"/>
    <w:rsid w:val="00D53051"/>
    <w:rsid w:val="00D53DEA"/>
    <w:rsid w:val="00D55340"/>
    <w:rsid w:val="00D55F75"/>
    <w:rsid w:val="00D63D79"/>
    <w:rsid w:val="00D65B6D"/>
    <w:rsid w:val="00D667D5"/>
    <w:rsid w:val="00D66C46"/>
    <w:rsid w:val="00D7077D"/>
    <w:rsid w:val="00D72F51"/>
    <w:rsid w:val="00D742DB"/>
    <w:rsid w:val="00D76654"/>
    <w:rsid w:val="00D80E81"/>
    <w:rsid w:val="00D834A1"/>
    <w:rsid w:val="00D83F9A"/>
    <w:rsid w:val="00D84203"/>
    <w:rsid w:val="00D85BC6"/>
    <w:rsid w:val="00D85D68"/>
    <w:rsid w:val="00D8628E"/>
    <w:rsid w:val="00D87A98"/>
    <w:rsid w:val="00D90046"/>
    <w:rsid w:val="00D91EF1"/>
    <w:rsid w:val="00D92143"/>
    <w:rsid w:val="00D946A7"/>
    <w:rsid w:val="00D96531"/>
    <w:rsid w:val="00D96C1B"/>
    <w:rsid w:val="00D96C57"/>
    <w:rsid w:val="00D977F4"/>
    <w:rsid w:val="00DA0607"/>
    <w:rsid w:val="00DA09D6"/>
    <w:rsid w:val="00DA1F2B"/>
    <w:rsid w:val="00DA36E8"/>
    <w:rsid w:val="00DA497C"/>
    <w:rsid w:val="00DA78E7"/>
    <w:rsid w:val="00DB2CC3"/>
    <w:rsid w:val="00DB31D8"/>
    <w:rsid w:val="00DB34B6"/>
    <w:rsid w:val="00DB4513"/>
    <w:rsid w:val="00DB487E"/>
    <w:rsid w:val="00DB51E3"/>
    <w:rsid w:val="00DB7FA8"/>
    <w:rsid w:val="00DC0359"/>
    <w:rsid w:val="00DC08E3"/>
    <w:rsid w:val="00DC0B1B"/>
    <w:rsid w:val="00DC11DB"/>
    <w:rsid w:val="00DC2075"/>
    <w:rsid w:val="00DC4BDE"/>
    <w:rsid w:val="00DC5278"/>
    <w:rsid w:val="00DC5718"/>
    <w:rsid w:val="00DC6470"/>
    <w:rsid w:val="00DC778F"/>
    <w:rsid w:val="00DD187E"/>
    <w:rsid w:val="00DD29B1"/>
    <w:rsid w:val="00DD3D9E"/>
    <w:rsid w:val="00DD4992"/>
    <w:rsid w:val="00DD4C5D"/>
    <w:rsid w:val="00DD5DBB"/>
    <w:rsid w:val="00DD5EB7"/>
    <w:rsid w:val="00DD606D"/>
    <w:rsid w:val="00DD7908"/>
    <w:rsid w:val="00DD7F43"/>
    <w:rsid w:val="00DE02C9"/>
    <w:rsid w:val="00DE1098"/>
    <w:rsid w:val="00DE250F"/>
    <w:rsid w:val="00DE25A3"/>
    <w:rsid w:val="00DE2A99"/>
    <w:rsid w:val="00DE55F8"/>
    <w:rsid w:val="00DF06AE"/>
    <w:rsid w:val="00DF0978"/>
    <w:rsid w:val="00DF0CAC"/>
    <w:rsid w:val="00DF15F5"/>
    <w:rsid w:val="00DF3EB1"/>
    <w:rsid w:val="00DF4B81"/>
    <w:rsid w:val="00DF586E"/>
    <w:rsid w:val="00DF5CED"/>
    <w:rsid w:val="00DF790A"/>
    <w:rsid w:val="00DF7BBA"/>
    <w:rsid w:val="00E0034E"/>
    <w:rsid w:val="00E011FC"/>
    <w:rsid w:val="00E01AFF"/>
    <w:rsid w:val="00E029F9"/>
    <w:rsid w:val="00E02A61"/>
    <w:rsid w:val="00E02B64"/>
    <w:rsid w:val="00E06036"/>
    <w:rsid w:val="00E0710B"/>
    <w:rsid w:val="00E07973"/>
    <w:rsid w:val="00E07A42"/>
    <w:rsid w:val="00E1041D"/>
    <w:rsid w:val="00E107DB"/>
    <w:rsid w:val="00E118EE"/>
    <w:rsid w:val="00E11ED9"/>
    <w:rsid w:val="00E128BA"/>
    <w:rsid w:val="00E130D2"/>
    <w:rsid w:val="00E147E9"/>
    <w:rsid w:val="00E14AAD"/>
    <w:rsid w:val="00E20868"/>
    <w:rsid w:val="00E2145A"/>
    <w:rsid w:val="00E2271E"/>
    <w:rsid w:val="00E230A2"/>
    <w:rsid w:val="00E233BD"/>
    <w:rsid w:val="00E256C5"/>
    <w:rsid w:val="00E25FB1"/>
    <w:rsid w:val="00E262E4"/>
    <w:rsid w:val="00E26F69"/>
    <w:rsid w:val="00E2741E"/>
    <w:rsid w:val="00E300FF"/>
    <w:rsid w:val="00E30EE4"/>
    <w:rsid w:val="00E344E7"/>
    <w:rsid w:val="00E3490A"/>
    <w:rsid w:val="00E356BA"/>
    <w:rsid w:val="00E35B82"/>
    <w:rsid w:val="00E36C24"/>
    <w:rsid w:val="00E378EE"/>
    <w:rsid w:val="00E37ECC"/>
    <w:rsid w:val="00E401E4"/>
    <w:rsid w:val="00E40E88"/>
    <w:rsid w:val="00E43257"/>
    <w:rsid w:val="00E4331F"/>
    <w:rsid w:val="00E43E7B"/>
    <w:rsid w:val="00E43EB3"/>
    <w:rsid w:val="00E477F5"/>
    <w:rsid w:val="00E512DB"/>
    <w:rsid w:val="00E51A52"/>
    <w:rsid w:val="00E524C0"/>
    <w:rsid w:val="00E52E8E"/>
    <w:rsid w:val="00E53975"/>
    <w:rsid w:val="00E54D6C"/>
    <w:rsid w:val="00E552E4"/>
    <w:rsid w:val="00E56A53"/>
    <w:rsid w:val="00E572E2"/>
    <w:rsid w:val="00E60231"/>
    <w:rsid w:val="00E64AB2"/>
    <w:rsid w:val="00E64E00"/>
    <w:rsid w:val="00E65A78"/>
    <w:rsid w:val="00E70D96"/>
    <w:rsid w:val="00E71AFC"/>
    <w:rsid w:val="00E75C6C"/>
    <w:rsid w:val="00E764AB"/>
    <w:rsid w:val="00E76C28"/>
    <w:rsid w:val="00E76E5D"/>
    <w:rsid w:val="00E77F26"/>
    <w:rsid w:val="00E81D31"/>
    <w:rsid w:val="00E828D5"/>
    <w:rsid w:val="00E82E5C"/>
    <w:rsid w:val="00E845F4"/>
    <w:rsid w:val="00E8464B"/>
    <w:rsid w:val="00E85FAE"/>
    <w:rsid w:val="00E86CBF"/>
    <w:rsid w:val="00E901F8"/>
    <w:rsid w:val="00E90439"/>
    <w:rsid w:val="00E9309C"/>
    <w:rsid w:val="00E934FF"/>
    <w:rsid w:val="00E936C7"/>
    <w:rsid w:val="00E93EA9"/>
    <w:rsid w:val="00E95E96"/>
    <w:rsid w:val="00E96A72"/>
    <w:rsid w:val="00E97D82"/>
    <w:rsid w:val="00EA075B"/>
    <w:rsid w:val="00EA19EF"/>
    <w:rsid w:val="00EA2717"/>
    <w:rsid w:val="00EA2DB6"/>
    <w:rsid w:val="00EA3BA8"/>
    <w:rsid w:val="00EA422D"/>
    <w:rsid w:val="00EA54F8"/>
    <w:rsid w:val="00EA6DC5"/>
    <w:rsid w:val="00EA7D4E"/>
    <w:rsid w:val="00EB3A1F"/>
    <w:rsid w:val="00EB5BA2"/>
    <w:rsid w:val="00EB6792"/>
    <w:rsid w:val="00EB774B"/>
    <w:rsid w:val="00EC098D"/>
    <w:rsid w:val="00EC1F3A"/>
    <w:rsid w:val="00EC3097"/>
    <w:rsid w:val="00EC36D6"/>
    <w:rsid w:val="00EC4341"/>
    <w:rsid w:val="00EC4BF8"/>
    <w:rsid w:val="00EC5A5F"/>
    <w:rsid w:val="00EC6AC1"/>
    <w:rsid w:val="00EC7921"/>
    <w:rsid w:val="00ED011E"/>
    <w:rsid w:val="00ED1E43"/>
    <w:rsid w:val="00ED3948"/>
    <w:rsid w:val="00ED3A6A"/>
    <w:rsid w:val="00ED4753"/>
    <w:rsid w:val="00ED5E6A"/>
    <w:rsid w:val="00ED69DE"/>
    <w:rsid w:val="00ED6DB7"/>
    <w:rsid w:val="00ED73C2"/>
    <w:rsid w:val="00ED7491"/>
    <w:rsid w:val="00EE14EA"/>
    <w:rsid w:val="00EE21D8"/>
    <w:rsid w:val="00EE283D"/>
    <w:rsid w:val="00EE3ECA"/>
    <w:rsid w:val="00EE474D"/>
    <w:rsid w:val="00EE4CEE"/>
    <w:rsid w:val="00EE5519"/>
    <w:rsid w:val="00EE6245"/>
    <w:rsid w:val="00EE65F3"/>
    <w:rsid w:val="00EE691D"/>
    <w:rsid w:val="00EF14AE"/>
    <w:rsid w:val="00EF2B16"/>
    <w:rsid w:val="00EF3AB6"/>
    <w:rsid w:val="00EF4E19"/>
    <w:rsid w:val="00EF6960"/>
    <w:rsid w:val="00EF7C52"/>
    <w:rsid w:val="00F00400"/>
    <w:rsid w:val="00F01868"/>
    <w:rsid w:val="00F021C3"/>
    <w:rsid w:val="00F02758"/>
    <w:rsid w:val="00F043BF"/>
    <w:rsid w:val="00F050A2"/>
    <w:rsid w:val="00F05F8C"/>
    <w:rsid w:val="00F06168"/>
    <w:rsid w:val="00F06B33"/>
    <w:rsid w:val="00F07F38"/>
    <w:rsid w:val="00F11563"/>
    <w:rsid w:val="00F115E1"/>
    <w:rsid w:val="00F11A6E"/>
    <w:rsid w:val="00F11C47"/>
    <w:rsid w:val="00F12016"/>
    <w:rsid w:val="00F1343C"/>
    <w:rsid w:val="00F135D7"/>
    <w:rsid w:val="00F13C00"/>
    <w:rsid w:val="00F15A02"/>
    <w:rsid w:val="00F169DD"/>
    <w:rsid w:val="00F17799"/>
    <w:rsid w:val="00F210C4"/>
    <w:rsid w:val="00F27BD7"/>
    <w:rsid w:val="00F31B92"/>
    <w:rsid w:val="00F32F21"/>
    <w:rsid w:val="00F334D6"/>
    <w:rsid w:val="00F33B1E"/>
    <w:rsid w:val="00F33FDB"/>
    <w:rsid w:val="00F34DBE"/>
    <w:rsid w:val="00F351BF"/>
    <w:rsid w:val="00F358EA"/>
    <w:rsid w:val="00F36601"/>
    <w:rsid w:val="00F36F9E"/>
    <w:rsid w:val="00F372BE"/>
    <w:rsid w:val="00F37701"/>
    <w:rsid w:val="00F37C5E"/>
    <w:rsid w:val="00F40389"/>
    <w:rsid w:val="00F40B29"/>
    <w:rsid w:val="00F42887"/>
    <w:rsid w:val="00F42BE6"/>
    <w:rsid w:val="00F4365A"/>
    <w:rsid w:val="00F44DF0"/>
    <w:rsid w:val="00F45AB5"/>
    <w:rsid w:val="00F45AF7"/>
    <w:rsid w:val="00F45CD6"/>
    <w:rsid w:val="00F46079"/>
    <w:rsid w:val="00F51F4A"/>
    <w:rsid w:val="00F524F9"/>
    <w:rsid w:val="00F53B2D"/>
    <w:rsid w:val="00F54A3C"/>
    <w:rsid w:val="00F5671A"/>
    <w:rsid w:val="00F568AC"/>
    <w:rsid w:val="00F60DC2"/>
    <w:rsid w:val="00F618BD"/>
    <w:rsid w:val="00F61C6F"/>
    <w:rsid w:val="00F62B39"/>
    <w:rsid w:val="00F62DF3"/>
    <w:rsid w:val="00F64EAB"/>
    <w:rsid w:val="00F66A63"/>
    <w:rsid w:val="00F675A6"/>
    <w:rsid w:val="00F67B69"/>
    <w:rsid w:val="00F7000B"/>
    <w:rsid w:val="00F70F40"/>
    <w:rsid w:val="00F71F33"/>
    <w:rsid w:val="00F721BA"/>
    <w:rsid w:val="00F7234E"/>
    <w:rsid w:val="00F74092"/>
    <w:rsid w:val="00F74C0C"/>
    <w:rsid w:val="00F74D18"/>
    <w:rsid w:val="00F74D4F"/>
    <w:rsid w:val="00F76D1F"/>
    <w:rsid w:val="00F773EA"/>
    <w:rsid w:val="00F80082"/>
    <w:rsid w:val="00F80809"/>
    <w:rsid w:val="00F8091D"/>
    <w:rsid w:val="00F812D3"/>
    <w:rsid w:val="00F819BB"/>
    <w:rsid w:val="00F81A15"/>
    <w:rsid w:val="00F82064"/>
    <w:rsid w:val="00F82D31"/>
    <w:rsid w:val="00F83A5E"/>
    <w:rsid w:val="00F84CFE"/>
    <w:rsid w:val="00F84E3B"/>
    <w:rsid w:val="00F86306"/>
    <w:rsid w:val="00F87226"/>
    <w:rsid w:val="00F872A0"/>
    <w:rsid w:val="00F875FB"/>
    <w:rsid w:val="00F90ECF"/>
    <w:rsid w:val="00F90F6F"/>
    <w:rsid w:val="00F91E03"/>
    <w:rsid w:val="00F928E6"/>
    <w:rsid w:val="00F94B61"/>
    <w:rsid w:val="00F94D67"/>
    <w:rsid w:val="00F95447"/>
    <w:rsid w:val="00F9609A"/>
    <w:rsid w:val="00F978AC"/>
    <w:rsid w:val="00FA03B6"/>
    <w:rsid w:val="00FA0C24"/>
    <w:rsid w:val="00FA1783"/>
    <w:rsid w:val="00FA210A"/>
    <w:rsid w:val="00FA325F"/>
    <w:rsid w:val="00FA6026"/>
    <w:rsid w:val="00FA7B41"/>
    <w:rsid w:val="00FA7DB8"/>
    <w:rsid w:val="00FB2D3D"/>
    <w:rsid w:val="00FB359E"/>
    <w:rsid w:val="00FB35CF"/>
    <w:rsid w:val="00FB4B4C"/>
    <w:rsid w:val="00FB4DE3"/>
    <w:rsid w:val="00FB5775"/>
    <w:rsid w:val="00FB7C7E"/>
    <w:rsid w:val="00FB7DB1"/>
    <w:rsid w:val="00FC044B"/>
    <w:rsid w:val="00FC04DE"/>
    <w:rsid w:val="00FC08B3"/>
    <w:rsid w:val="00FC0ACF"/>
    <w:rsid w:val="00FC1501"/>
    <w:rsid w:val="00FC23C5"/>
    <w:rsid w:val="00FC23EA"/>
    <w:rsid w:val="00FC3915"/>
    <w:rsid w:val="00FC4D8D"/>
    <w:rsid w:val="00FC52D6"/>
    <w:rsid w:val="00FC59D1"/>
    <w:rsid w:val="00FC5B3B"/>
    <w:rsid w:val="00FC79DC"/>
    <w:rsid w:val="00FC7A0C"/>
    <w:rsid w:val="00FD1D36"/>
    <w:rsid w:val="00FD1FB7"/>
    <w:rsid w:val="00FD3C63"/>
    <w:rsid w:val="00FD3D86"/>
    <w:rsid w:val="00FDC4BA"/>
    <w:rsid w:val="00FE1054"/>
    <w:rsid w:val="00FE20D9"/>
    <w:rsid w:val="00FE2AD3"/>
    <w:rsid w:val="00FE31FD"/>
    <w:rsid w:val="00FE36D3"/>
    <w:rsid w:val="00FE4717"/>
    <w:rsid w:val="00FE4760"/>
    <w:rsid w:val="00FE693D"/>
    <w:rsid w:val="00FE6963"/>
    <w:rsid w:val="00FE6FDA"/>
    <w:rsid w:val="00FE7515"/>
    <w:rsid w:val="00FE7709"/>
    <w:rsid w:val="00FF0596"/>
    <w:rsid w:val="00FF1577"/>
    <w:rsid w:val="00FF1A0E"/>
    <w:rsid w:val="00FF1A23"/>
    <w:rsid w:val="00FF25E2"/>
    <w:rsid w:val="00FF2E40"/>
    <w:rsid w:val="00FF58F3"/>
    <w:rsid w:val="00FF671C"/>
    <w:rsid w:val="011E3C61"/>
    <w:rsid w:val="01234291"/>
    <w:rsid w:val="012D8AA1"/>
    <w:rsid w:val="012E2474"/>
    <w:rsid w:val="01729AF6"/>
    <w:rsid w:val="017872F9"/>
    <w:rsid w:val="017A140C"/>
    <w:rsid w:val="01919D79"/>
    <w:rsid w:val="01C21728"/>
    <w:rsid w:val="01DCA466"/>
    <w:rsid w:val="01FD2459"/>
    <w:rsid w:val="020DA260"/>
    <w:rsid w:val="0225911A"/>
    <w:rsid w:val="025EC802"/>
    <w:rsid w:val="0271CDD8"/>
    <w:rsid w:val="0285B960"/>
    <w:rsid w:val="02992847"/>
    <w:rsid w:val="02A35ADF"/>
    <w:rsid w:val="02A8641B"/>
    <w:rsid w:val="02BC4051"/>
    <w:rsid w:val="02C74C25"/>
    <w:rsid w:val="02E79F8B"/>
    <w:rsid w:val="02ED0C93"/>
    <w:rsid w:val="0309EB82"/>
    <w:rsid w:val="0337E04C"/>
    <w:rsid w:val="034D90F9"/>
    <w:rsid w:val="036B9EFE"/>
    <w:rsid w:val="03997414"/>
    <w:rsid w:val="039E73E4"/>
    <w:rsid w:val="03E7514B"/>
    <w:rsid w:val="04315586"/>
    <w:rsid w:val="0482482B"/>
    <w:rsid w:val="0488DCF4"/>
    <w:rsid w:val="04917C74"/>
    <w:rsid w:val="049E269D"/>
    <w:rsid w:val="04B39F23"/>
    <w:rsid w:val="04C0C9AB"/>
    <w:rsid w:val="04ECBDBC"/>
    <w:rsid w:val="0539AF54"/>
    <w:rsid w:val="056AFA85"/>
    <w:rsid w:val="0590F4D5"/>
    <w:rsid w:val="0593DA9E"/>
    <w:rsid w:val="05C05AF3"/>
    <w:rsid w:val="05EC140B"/>
    <w:rsid w:val="06155406"/>
    <w:rsid w:val="0618205F"/>
    <w:rsid w:val="06348ECD"/>
    <w:rsid w:val="063C6334"/>
    <w:rsid w:val="0640C7B4"/>
    <w:rsid w:val="06435525"/>
    <w:rsid w:val="065966AD"/>
    <w:rsid w:val="069FC90F"/>
    <w:rsid w:val="06A324CE"/>
    <w:rsid w:val="06AC6F1A"/>
    <w:rsid w:val="06C117A6"/>
    <w:rsid w:val="06FF9D9A"/>
    <w:rsid w:val="0783CAF2"/>
    <w:rsid w:val="078B75C1"/>
    <w:rsid w:val="07957354"/>
    <w:rsid w:val="07A7E720"/>
    <w:rsid w:val="07B0C874"/>
    <w:rsid w:val="07B7C7E9"/>
    <w:rsid w:val="081E5C96"/>
    <w:rsid w:val="08263A67"/>
    <w:rsid w:val="08420B65"/>
    <w:rsid w:val="08428898"/>
    <w:rsid w:val="086296D7"/>
    <w:rsid w:val="086B197A"/>
    <w:rsid w:val="0870C286"/>
    <w:rsid w:val="08857153"/>
    <w:rsid w:val="08D88FB1"/>
    <w:rsid w:val="08DFF470"/>
    <w:rsid w:val="090E2FFF"/>
    <w:rsid w:val="0917C916"/>
    <w:rsid w:val="09206591"/>
    <w:rsid w:val="09561924"/>
    <w:rsid w:val="0957751F"/>
    <w:rsid w:val="0961CD8A"/>
    <w:rsid w:val="096E9082"/>
    <w:rsid w:val="0991A0E2"/>
    <w:rsid w:val="099C2D39"/>
    <w:rsid w:val="09B42246"/>
    <w:rsid w:val="09BA50ED"/>
    <w:rsid w:val="09BEBDE6"/>
    <w:rsid w:val="09C6ACA2"/>
    <w:rsid w:val="09CAF758"/>
    <w:rsid w:val="09F3F4AC"/>
    <w:rsid w:val="0A441A6C"/>
    <w:rsid w:val="0A463D7B"/>
    <w:rsid w:val="0A4B75E3"/>
    <w:rsid w:val="0A6565C3"/>
    <w:rsid w:val="0A674BC1"/>
    <w:rsid w:val="0A6BBCFB"/>
    <w:rsid w:val="0A7826CE"/>
    <w:rsid w:val="0A7BC4D1"/>
    <w:rsid w:val="0A8775D9"/>
    <w:rsid w:val="0A8CB8E4"/>
    <w:rsid w:val="0ADC7004"/>
    <w:rsid w:val="0AFD9DEB"/>
    <w:rsid w:val="0B01FF0C"/>
    <w:rsid w:val="0B0EE675"/>
    <w:rsid w:val="0B248B3B"/>
    <w:rsid w:val="0B839225"/>
    <w:rsid w:val="0B87A4E3"/>
    <w:rsid w:val="0B8E58CF"/>
    <w:rsid w:val="0B956287"/>
    <w:rsid w:val="0B980DA1"/>
    <w:rsid w:val="0B9DF936"/>
    <w:rsid w:val="0BACACF3"/>
    <w:rsid w:val="0BAF96FC"/>
    <w:rsid w:val="0BC64782"/>
    <w:rsid w:val="0BC6740A"/>
    <w:rsid w:val="0BCD8082"/>
    <w:rsid w:val="0BD69B2E"/>
    <w:rsid w:val="0BF0EEC8"/>
    <w:rsid w:val="0C133772"/>
    <w:rsid w:val="0C225D7D"/>
    <w:rsid w:val="0C254E21"/>
    <w:rsid w:val="0C26B783"/>
    <w:rsid w:val="0C2E82A9"/>
    <w:rsid w:val="0C6B48AB"/>
    <w:rsid w:val="0C82FDDE"/>
    <w:rsid w:val="0CA430C3"/>
    <w:rsid w:val="0CA618CA"/>
    <w:rsid w:val="0CF906CE"/>
    <w:rsid w:val="0D16B71F"/>
    <w:rsid w:val="0D1D329F"/>
    <w:rsid w:val="0D302255"/>
    <w:rsid w:val="0D46499A"/>
    <w:rsid w:val="0D6AC66A"/>
    <w:rsid w:val="0D79962F"/>
    <w:rsid w:val="0D96550F"/>
    <w:rsid w:val="0D9FCE81"/>
    <w:rsid w:val="0DAE842D"/>
    <w:rsid w:val="0DB4A467"/>
    <w:rsid w:val="0DB90EAF"/>
    <w:rsid w:val="0DCB1103"/>
    <w:rsid w:val="0E0D888B"/>
    <w:rsid w:val="0E28ADE9"/>
    <w:rsid w:val="0E5289AC"/>
    <w:rsid w:val="0E5DC1B8"/>
    <w:rsid w:val="0E716E19"/>
    <w:rsid w:val="0E726DE7"/>
    <w:rsid w:val="0E7FC787"/>
    <w:rsid w:val="0EECCDBE"/>
    <w:rsid w:val="0EEFD24D"/>
    <w:rsid w:val="0F219487"/>
    <w:rsid w:val="0F3BEF8A"/>
    <w:rsid w:val="0F4CF04F"/>
    <w:rsid w:val="0F4F35F4"/>
    <w:rsid w:val="0FB3BAFD"/>
    <w:rsid w:val="0FD3D3A5"/>
    <w:rsid w:val="0FEC8B6D"/>
    <w:rsid w:val="0FF3B159"/>
    <w:rsid w:val="0FF42885"/>
    <w:rsid w:val="100487BE"/>
    <w:rsid w:val="1012612D"/>
    <w:rsid w:val="1014B011"/>
    <w:rsid w:val="1016D17C"/>
    <w:rsid w:val="1020E751"/>
    <w:rsid w:val="103D5A73"/>
    <w:rsid w:val="1043E8CA"/>
    <w:rsid w:val="104DDCF1"/>
    <w:rsid w:val="105F165E"/>
    <w:rsid w:val="106EEFA5"/>
    <w:rsid w:val="10C5BB56"/>
    <w:rsid w:val="10CF00E8"/>
    <w:rsid w:val="10D4C17D"/>
    <w:rsid w:val="10E28136"/>
    <w:rsid w:val="10EB0655"/>
    <w:rsid w:val="1103EF6E"/>
    <w:rsid w:val="1128E6D0"/>
    <w:rsid w:val="1139B730"/>
    <w:rsid w:val="11430668"/>
    <w:rsid w:val="1149E01D"/>
    <w:rsid w:val="11573009"/>
    <w:rsid w:val="1193C184"/>
    <w:rsid w:val="119FDC2D"/>
    <w:rsid w:val="11D2D145"/>
    <w:rsid w:val="11DF13A6"/>
    <w:rsid w:val="11EA72D4"/>
    <w:rsid w:val="121074A9"/>
    <w:rsid w:val="121BEE77"/>
    <w:rsid w:val="126737B1"/>
    <w:rsid w:val="127FB9BF"/>
    <w:rsid w:val="12BE0FD5"/>
    <w:rsid w:val="12E1C161"/>
    <w:rsid w:val="12ED992F"/>
    <w:rsid w:val="130FBCFC"/>
    <w:rsid w:val="1310C0AD"/>
    <w:rsid w:val="13367424"/>
    <w:rsid w:val="1368CE0B"/>
    <w:rsid w:val="138ADB70"/>
    <w:rsid w:val="13ABD044"/>
    <w:rsid w:val="13AC676E"/>
    <w:rsid w:val="13AE22F0"/>
    <w:rsid w:val="13C8D176"/>
    <w:rsid w:val="13D14818"/>
    <w:rsid w:val="13F751A6"/>
    <w:rsid w:val="13FABC69"/>
    <w:rsid w:val="13FEC253"/>
    <w:rsid w:val="14129B30"/>
    <w:rsid w:val="144637EF"/>
    <w:rsid w:val="146151DB"/>
    <w:rsid w:val="14758DCB"/>
    <w:rsid w:val="148E0FC3"/>
    <w:rsid w:val="14D2E3A1"/>
    <w:rsid w:val="15538F39"/>
    <w:rsid w:val="15576590"/>
    <w:rsid w:val="1564A1D7"/>
    <w:rsid w:val="156712A3"/>
    <w:rsid w:val="1599DCAD"/>
    <w:rsid w:val="159A43B4"/>
    <w:rsid w:val="159AFA18"/>
    <w:rsid w:val="15A6F9C0"/>
    <w:rsid w:val="15D2588C"/>
    <w:rsid w:val="15D4DEDE"/>
    <w:rsid w:val="15FB0329"/>
    <w:rsid w:val="1642BEA5"/>
    <w:rsid w:val="166A6EAF"/>
    <w:rsid w:val="16877DB5"/>
    <w:rsid w:val="16A1E939"/>
    <w:rsid w:val="16A7E568"/>
    <w:rsid w:val="16B03003"/>
    <w:rsid w:val="16D58D4B"/>
    <w:rsid w:val="16E4D595"/>
    <w:rsid w:val="16F034C3"/>
    <w:rsid w:val="170FFEAD"/>
    <w:rsid w:val="17199A95"/>
    <w:rsid w:val="174A3BF2"/>
    <w:rsid w:val="1753D120"/>
    <w:rsid w:val="17630B76"/>
    <w:rsid w:val="179E85F8"/>
    <w:rsid w:val="17A8027E"/>
    <w:rsid w:val="17D38064"/>
    <w:rsid w:val="1829BB92"/>
    <w:rsid w:val="18688332"/>
    <w:rsid w:val="186CE3A6"/>
    <w:rsid w:val="18B4E4C6"/>
    <w:rsid w:val="18CAB766"/>
    <w:rsid w:val="18D29ADA"/>
    <w:rsid w:val="18D55911"/>
    <w:rsid w:val="18F324EF"/>
    <w:rsid w:val="190424D4"/>
    <w:rsid w:val="1904CEEE"/>
    <w:rsid w:val="191B464F"/>
    <w:rsid w:val="194D8BB5"/>
    <w:rsid w:val="19622667"/>
    <w:rsid w:val="196290B2"/>
    <w:rsid w:val="199CBC3C"/>
    <w:rsid w:val="19B3AC5A"/>
    <w:rsid w:val="19D0B2D0"/>
    <w:rsid w:val="1A27005C"/>
    <w:rsid w:val="1A294B8C"/>
    <w:rsid w:val="1A435977"/>
    <w:rsid w:val="1A50E323"/>
    <w:rsid w:val="1A63AC84"/>
    <w:rsid w:val="1A8351B4"/>
    <w:rsid w:val="1A83B64A"/>
    <w:rsid w:val="1A9F9E9C"/>
    <w:rsid w:val="1AA2C84A"/>
    <w:rsid w:val="1AAE7CF4"/>
    <w:rsid w:val="1ACC7E14"/>
    <w:rsid w:val="1ACCA3F0"/>
    <w:rsid w:val="1AD6220A"/>
    <w:rsid w:val="1AFD5147"/>
    <w:rsid w:val="1B44BBBD"/>
    <w:rsid w:val="1B59442F"/>
    <w:rsid w:val="1B6903BF"/>
    <w:rsid w:val="1B925DFB"/>
    <w:rsid w:val="1B9684B1"/>
    <w:rsid w:val="1B9DCADE"/>
    <w:rsid w:val="1BA1C14F"/>
    <w:rsid w:val="1BA9A860"/>
    <w:rsid w:val="1C0A3B9C"/>
    <w:rsid w:val="1C3FD68C"/>
    <w:rsid w:val="1C9921A8"/>
    <w:rsid w:val="1CAC2692"/>
    <w:rsid w:val="1CBD46B3"/>
    <w:rsid w:val="1CC54AA7"/>
    <w:rsid w:val="1CCEFF2F"/>
    <w:rsid w:val="1D110F30"/>
    <w:rsid w:val="1D1C5BCF"/>
    <w:rsid w:val="1D347E46"/>
    <w:rsid w:val="1D3C701C"/>
    <w:rsid w:val="1D61957B"/>
    <w:rsid w:val="1D7297DF"/>
    <w:rsid w:val="1D8846AB"/>
    <w:rsid w:val="1DA333CC"/>
    <w:rsid w:val="1DA3C108"/>
    <w:rsid w:val="1DAA1BE3"/>
    <w:rsid w:val="1DBB6117"/>
    <w:rsid w:val="1DCCCFC3"/>
    <w:rsid w:val="1E06E3F8"/>
    <w:rsid w:val="1E0993D7"/>
    <w:rsid w:val="1E14DE8D"/>
    <w:rsid w:val="1E46A93B"/>
    <w:rsid w:val="1E46AAF2"/>
    <w:rsid w:val="1E76A396"/>
    <w:rsid w:val="1E7C2A92"/>
    <w:rsid w:val="1E85ECC5"/>
    <w:rsid w:val="1E996FB4"/>
    <w:rsid w:val="1EA423F3"/>
    <w:rsid w:val="1EB465EB"/>
    <w:rsid w:val="1EB5C595"/>
    <w:rsid w:val="1EBB031B"/>
    <w:rsid w:val="1F2AF87B"/>
    <w:rsid w:val="1F45413D"/>
    <w:rsid w:val="1F4BF4F3"/>
    <w:rsid w:val="1F57A983"/>
    <w:rsid w:val="1FAA1640"/>
    <w:rsid w:val="1FB01FBA"/>
    <w:rsid w:val="1FB1F0F8"/>
    <w:rsid w:val="1FB6FBCD"/>
    <w:rsid w:val="1FCD6E68"/>
    <w:rsid w:val="1FF261D4"/>
    <w:rsid w:val="201537C7"/>
    <w:rsid w:val="20364A13"/>
    <w:rsid w:val="2049EAC8"/>
    <w:rsid w:val="20534DAA"/>
    <w:rsid w:val="20648760"/>
    <w:rsid w:val="207B2E4F"/>
    <w:rsid w:val="20871B18"/>
    <w:rsid w:val="209D5620"/>
    <w:rsid w:val="20EA4CAE"/>
    <w:rsid w:val="2101434C"/>
    <w:rsid w:val="214900A1"/>
    <w:rsid w:val="214C86CB"/>
    <w:rsid w:val="2187484F"/>
    <w:rsid w:val="218AF0BF"/>
    <w:rsid w:val="21B3E79A"/>
    <w:rsid w:val="2216F7B9"/>
    <w:rsid w:val="2228020E"/>
    <w:rsid w:val="226D316A"/>
    <w:rsid w:val="227A3086"/>
    <w:rsid w:val="228395B5"/>
    <w:rsid w:val="22B41DA5"/>
    <w:rsid w:val="22FDD217"/>
    <w:rsid w:val="23075955"/>
    <w:rsid w:val="2399A9D4"/>
    <w:rsid w:val="23B9F57A"/>
    <w:rsid w:val="23C5CA51"/>
    <w:rsid w:val="23E26A24"/>
    <w:rsid w:val="23E44B2F"/>
    <w:rsid w:val="23ECF617"/>
    <w:rsid w:val="23F85885"/>
    <w:rsid w:val="240010F6"/>
    <w:rsid w:val="240D9C55"/>
    <w:rsid w:val="241A16B9"/>
    <w:rsid w:val="24388B9D"/>
    <w:rsid w:val="243AEBAF"/>
    <w:rsid w:val="245A37FD"/>
    <w:rsid w:val="24609F26"/>
    <w:rsid w:val="246187BE"/>
    <w:rsid w:val="247FA0A8"/>
    <w:rsid w:val="24815938"/>
    <w:rsid w:val="2491B6BB"/>
    <w:rsid w:val="249518F9"/>
    <w:rsid w:val="24C9F188"/>
    <w:rsid w:val="24CEE838"/>
    <w:rsid w:val="24E38170"/>
    <w:rsid w:val="24FC56A0"/>
    <w:rsid w:val="25136577"/>
    <w:rsid w:val="2515C2CE"/>
    <w:rsid w:val="25501661"/>
    <w:rsid w:val="25597E27"/>
    <w:rsid w:val="25B622D9"/>
    <w:rsid w:val="25CEE42E"/>
    <w:rsid w:val="261D2999"/>
    <w:rsid w:val="261D9231"/>
    <w:rsid w:val="266E8894"/>
    <w:rsid w:val="26A58606"/>
    <w:rsid w:val="26B33FBF"/>
    <w:rsid w:val="26B8A8E5"/>
    <w:rsid w:val="271618C1"/>
    <w:rsid w:val="271A9E84"/>
    <w:rsid w:val="2761CAB3"/>
    <w:rsid w:val="2768A94C"/>
    <w:rsid w:val="27B1A8B7"/>
    <w:rsid w:val="27C2E194"/>
    <w:rsid w:val="27DBD44F"/>
    <w:rsid w:val="27FB4651"/>
    <w:rsid w:val="280CB2D8"/>
    <w:rsid w:val="2854A8F7"/>
    <w:rsid w:val="2863EF52"/>
    <w:rsid w:val="28799DF9"/>
    <w:rsid w:val="28B24B1B"/>
    <w:rsid w:val="28C56546"/>
    <w:rsid w:val="28CED9C2"/>
    <w:rsid w:val="28D3C7CE"/>
    <w:rsid w:val="28F754A1"/>
    <w:rsid w:val="293BEB3A"/>
    <w:rsid w:val="293FCD4A"/>
    <w:rsid w:val="294905B4"/>
    <w:rsid w:val="2982E68D"/>
    <w:rsid w:val="29955100"/>
    <w:rsid w:val="29BF9AA0"/>
    <w:rsid w:val="29D31E05"/>
    <w:rsid w:val="29EB3E6F"/>
    <w:rsid w:val="2A0CCFC3"/>
    <w:rsid w:val="2A208EC1"/>
    <w:rsid w:val="2A256FFF"/>
    <w:rsid w:val="2A6065A8"/>
    <w:rsid w:val="2A648847"/>
    <w:rsid w:val="2A7D11B7"/>
    <w:rsid w:val="2AAACC17"/>
    <w:rsid w:val="2AC1C22D"/>
    <w:rsid w:val="2AC3B2E4"/>
    <w:rsid w:val="2AD67871"/>
    <w:rsid w:val="2ADC82FD"/>
    <w:rsid w:val="2B212D43"/>
    <w:rsid w:val="2BD3F9FE"/>
    <w:rsid w:val="2BFF3F93"/>
    <w:rsid w:val="2C169D08"/>
    <w:rsid w:val="2C1D9F67"/>
    <w:rsid w:val="2C2DD4BE"/>
    <w:rsid w:val="2C5493D6"/>
    <w:rsid w:val="2C59A7D7"/>
    <w:rsid w:val="2C59B6F7"/>
    <w:rsid w:val="2C9C6963"/>
    <w:rsid w:val="2CA73E86"/>
    <w:rsid w:val="2CE41301"/>
    <w:rsid w:val="2CF0D5EF"/>
    <w:rsid w:val="2D254E62"/>
    <w:rsid w:val="2D376075"/>
    <w:rsid w:val="2D3826C8"/>
    <w:rsid w:val="2D3C3E18"/>
    <w:rsid w:val="2D6A3D14"/>
    <w:rsid w:val="2D78408A"/>
    <w:rsid w:val="2D7D385E"/>
    <w:rsid w:val="2DC70FC8"/>
    <w:rsid w:val="2DCE331F"/>
    <w:rsid w:val="2DCF7B38"/>
    <w:rsid w:val="2E1477A3"/>
    <w:rsid w:val="2E363721"/>
    <w:rsid w:val="2E60D024"/>
    <w:rsid w:val="2E794245"/>
    <w:rsid w:val="2E876E5E"/>
    <w:rsid w:val="2E8F3847"/>
    <w:rsid w:val="2EF7D100"/>
    <w:rsid w:val="2F18C89A"/>
    <w:rsid w:val="2F2EAF4C"/>
    <w:rsid w:val="2F44461C"/>
    <w:rsid w:val="2F53D421"/>
    <w:rsid w:val="2F603675"/>
    <w:rsid w:val="2F76215E"/>
    <w:rsid w:val="2FB4C54B"/>
    <w:rsid w:val="2FBCA6A1"/>
    <w:rsid w:val="2FC3FEC2"/>
    <w:rsid w:val="2FC77D53"/>
    <w:rsid w:val="2FD05B51"/>
    <w:rsid w:val="2FE193F7"/>
    <w:rsid w:val="2FE97CF1"/>
    <w:rsid w:val="2FF0BB3D"/>
    <w:rsid w:val="301512A6"/>
    <w:rsid w:val="3041F3DE"/>
    <w:rsid w:val="305F75F9"/>
    <w:rsid w:val="3062CBE2"/>
    <w:rsid w:val="3068FD94"/>
    <w:rsid w:val="30933D4D"/>
    <w:rsid w:val="30C180CA"/>
    <w:rsid w:val="30C4CE9C"/>
    <w:rsid w:val="30D53A8F"/>
    <w:rsid w:val="313E56D5"/>
    <w:rsid w:val="31440194"/>
    <w:rsid w:val="316A95EA"/>
    <w:rsid w:val="316D4E91"/>
    <w:rsid w:val="31D5FAE4"/>
    <w:rsid w:val="31EC33CC"/>
    <w:rsid w:val="3203BF4D"/>
    <w:rsid w:val="323DE8B7"/>
    <w:rsid w:val="32623B3E"/>
    <w:rsid w:val="32678654"/>
    <w:rsid w:val="32B3A85B"/>
    <w:rsid w:val="32C8F971"/>
    <w:rsid w:val="32EAE71B"/>
    <w:rsid w:val="32F880B8"/>
    <w:rsid w:val="3319017F"/>
    <w:rsid w:val="333A1BF2"/>
    <w:rsid w:val="3354F922"/>
    <w:rsid w:val="33601773"/>
    <w:rsid w:val="336D4703"/>
    <w:rsid w:val="33DC8B3B"/>
    <w:rsid w:val="33FF365B"/>
    <w:rsid w:val="34260E02"/>
    <w:rsid w:val="3434471C"/>
    <w:rsid w:val="344E0E6F"/>
    <w:rsid w:val="3452C609"/>
    <w:rsid w:val="3463AD2A"/>
    <w:rsid w:val="3482A45A"/>
    <w:rsid w:val="3494EB34"/>
    <w:rsid w:val="34A06B2A"/>
    <w:rsid w:val="34A2095E"/>
    <w:rsid w:val="34AA310F"/>
    <w:rsid w:val="34C1955F"/>
    <w:rsid w:val="34C244DD"/>
    <w:rsid w:val="34DD9119"/>
    <w:rsid w:val="34E883C9"/>
    <w:rsid w:val="34FB7292"/>
    <w:rsid w:val="35102476"/>
    <w:rsid w:val="3515B9B8"/>
    <w:rsid w:val="35404B2D"/>
    <w:rsid w:val="3550FF89"/>
    <w:rsid w:val="3565000E"/>
    <w:rsid w:val="3565D60D"/>
    <w:rsid w:val="356D91E9"/>
    <w:rsid w:val="35791E6F"/>
    <w:rsid w:val="35BA59C2"/>
    <w:rsid w:val="35C9D012"/>
    <w:rsid w:val="35F7EE84"/>
    <w:rsid w:val="3617C5B7"/>
    <w:rsid w:val="36348821"/>
    <w:rsid w:val="367CCA00"/>
    <w:rsid w:val="36E7E62B"/>
    <w:rsid w:val="36F6E07E"/>
    <w:rsid w:val="37000611"/>
    <w:rsid w:val="37080589"/>
    <w:rsid w:val="370F146E"/>
    <w:rsid w:val="37117091"/>
    <w:rsid w:val="373BFA6E"/>
    <w:rsid w:val="3767FD2D"/>
    <w:rsid w:val="3771AFDB"/>
    <w:rsid w:val="37B65DD0"/>
    <w:rsid w:val="37BEEBE9"/>
    <w:rsid w:val="37D692B6"/>
    <w:rsid w:val="37E89067"/>
    <w:rsid w:val="38502177"/>
    <w:rsid w:val="38571167"/>
    <w:rsid w:val="3869DD6D"/>
    <w:rsid w:val="387F330C"/>
    <w:rsid w:val="38A8761A"/>
    <w:rsid w:val="38A93115"/>
    <w:rsid w:val="38BA414E"/>
    <w:rsid w:val="38CC48D3"/>
    <w:rsid w:val="38E6C12D"/>
    <w:rsid w:val="3910E5B3"/>
    <w:rsid w:val="39260B2A"/>
    <w:rsid w:val="39460036"/>
    <w:rsid w:val="396BCFE3"/>
    <w:rsid w:val="397BDDBC"/>
    <w:rsid w:val="398930EC"/>
    <w:rsid w:val="399CFF43"/>
    <w:rsid w:val="39A0B256"/>
    <w:rsid w:val="39E962A8"/>
    <w:rsid w:val="3A0BB158"/>
    <w:rsid w:val="3A1DD103"/>
    <w:rsid w:val="3A348D92"/>
    <w:rsid w:val="3A6A90CB"/>
    <w:rsid w:val="3A7496EB"/>
    <w:rsid w:val="3A938C04"/>
    <w:rsid w:val="3A97C4E1"/>
    <w:rsid w:val="3AAEDB34"/>
    <w:rsid w:val="3AB19E94"/>
    <w:rsid w:val="3AE94A8B"/>
    <w:rsid w:val="3AF4C645"/>
    <w:rsid w:val="3AFF40F9"/>
    <w:rsid w:val="3B0761CC"/>
    <w:rsid w:val="3B14BA29"/>
    <w:rsid w:val="3B235AB2"/>
    <w:rsid w:val="3B483A4F"/>
    <w:rsid w:val="3B7316DE"/>
    <w:rsid w:val="3BA73DDA"/>
    <w:rsid w:val="3BC923E0"/>
    <w:rsid w:val="3BCEE902"/>
    <w:rsid w:val="3BD6EB64"/>
    <w:rsid w:val="3C1F38E6"/>
    <w:rsid w:val="3C44E20A"/>
    <w:rsid w:val="3C46AC9A"/>
    <w:rsid w:val="3C54FC95"/>
    <w:rsid w:val="3C9448BD"/>
    <w:rsid w:val="3CB3A3B6"/>
    <w:rsid w:val="3CBF2B13"/>
    <w:rsid w:val="3CC1514D"/>
    <w:rsid w:val="3CDA6309"/>
    <w:rsid w:val="3D25BD70"/>
    <w:rsid w:val="3D27D3BF"/>
    <w:rsid w:val="3D2A800A"/>
    <w:rsid w:val="3D3BF078"/>
    <w:rsid w:val="3D71C055"/>
    <w:rsid w:val="3D7BA133"/>
    <w:rsid w:val="3DA7054F"/>
    <w:rsid w:val="3DC1FB1F"/>
    <w:rsid w:val="3DD0B2CE"/>
    <w:rsid w:val="3DD1FED2"/>
    <w:rsid w:val="3DF705E5"/>
    <w:rsid w:val="3E00868B"/>
    <w:rsid w:val="3E171A3C"/>
    <w:rsid w:val="3E64C7AF"/>
    <w:rsid w:val="3EB4715F"/>
    <w:rsid w:val="3EFA1DDD"/>
    <w:rsid w:val="3F04A72C"/>
    <w:rsid w:val="3F271B5F"/>
    <w:rsid w:val="3F2B7107"/>
    <w:rsid w:val="3F43C1B9"/>
    <w:rsid w:val="3F4A20F5"/>
    <w:rsid w:val="3F7C0DDC"/>
    <w:rsid w:val="3FA2A9EB"/>
    <w:rsid w:val="3FB2AD81"/>
    <w:rsid w:val="3FC69C3F"/>
    <w:rsid w:val="3FD924E8"/>
    <w:rsid w:val="40047D63"/>
    <w:rsid w:val="400FDAE4"/>
    <w:rsid w:val="401FBCC6"/>
    <w:rsid w:val="40258323"/>
    <w:rsid w:val="4045A16D"/>
    <w:rsid w:val="406F3008"/>
    <w:rsid w:val="40842B46"/>
    <w:rsid w:val="408DA904"/>
    <w:rsid w:val="4095B9AF"/>
    <w:rsid w:val="40982A11"/>
    <w:rsid w:val="40A670EB"/>
    <w:rsid w:val="40ACFFC9"/>
    <w:rsid w:val="40BD8863"/>
    <w:rsid w:val="4128C40B"/>
    <w:rsid w:val="4149EABD"/>
    <w:rsid w:val="4183FBAD"/>
    <w:rsid w:val="419646E9"/>
    <w:rsid w:val="41AE1FA7"/>
    <w:rsid w:val="41B773DF"/>
    <w:rsid w:val="41BCB7A1"/>
    <w:rsid w:val="41D57F21"/>
    <w:rsid w:val="41DB4C30"/>
    <w:rsid w:val="41E2E680"/>
    <w:rsid w:val="42297965"/>
    <w:rsid w:val="423A9971"/>
    <w:rsid w:val="42558FF1"/>
    <w:rsid w:val="428065A7"/>
    <w:rsid w:val="4291D2E9"/>
    <w:rsid w:val="42AD58AE"/>
    <w:rsid w:val="42CA3EE9"/>
    <w:rsid w:val="42D3AA21"/>
    <w:rsid w:val="42F6745A"/>
    <w:rsid w:val="431D0B53"/>
    <w:rsid w:val="43246254"/>
    <w:rsid w:val="432F8B54"/>
    <w:rsid w:val="4375623A"/>
    <w:rsid w:val="437840D0"/>
    <w:rsid w:val="438BD883"/>
    <w:rsid w:val="43C4B349"/>
    <w:rsid w:val="43D14DA6"/>
    <w:rsid w:val="43EC6B01"/>
    <w:rsid w:val="4414E9FB"/>
    <w:rsid w:val="441732DC"/>
    <w:rsid w:val="4446DF54"/>
    <w:rsid w:val="449978C2"/>
    <w:rsid w:val="44BB9C6F"/>
    <w:rsid w:val="44C047FC"/>
    <w:rsid w:val="44C5BC6A"/>
    <w:rsid w:val="44C75EA3"/>
    <w:rsid w:val="44CA3CF8"/>
    <w:rsid w:val="44D1DD96"/>
    <w:rsid w:val="44DD7BE9"/>
    <w:rsid w:val="450D1FE3"/>
    <w:rsid w:val="450F1525"/>
    <w:rsid w:val="451C093E"/>
    <w:rsid w:val="451C3D52"/>
    <w:rsid w:val="4527ADFA"/>
    <w:rsid w:val="456083AA"/>
    <w:rsid w:val="45776763"/>
    <w:rsid w:val="45A623D1"/>
    <w:rsid w:val="45C7E14A"/>
    <w:rsid w:val="45CD4CE9"/>
    <w:rsid w:val="45D174A1"/>
    <w:rsid w:val="45E2A440"/>
    <w:rsid w:val="45E457AC"/>
    <w:rsid w:val="45ECA9A0"/>
    <w:rsid w:val="4623755C"/>
    <w:rsid w:val="46380B94"/>
    <w:rsid w:val="4646F97D"/>
    <w:rsid w:val="4655F491"/>
    <w:rsid w:val="46624F70"/>
    <w:rsid w:val="46BE48C2"/>
    <w:rsid w:val="46CFB850"/>
    <w:rsid w:val="472EC56D"/>
    <w:rsid w:val="474C1CB5"/>
    <w:rsid w:val="474ED39E"/>
    <w:rsid w:val="4754C028"/>
    <w:rsid w:val="4794FF54"/>
    <w:rsid w:val="47C54AC2"/>
    <w:rsid w:val="4898246C"/>
    <w:rsid w:val="489D1742"/>
    <w:rsid w:val="48AB9EA1"/>
    <w:rsid w:val="48B56522"/>
    <w:rsid w:val="48BFDC24"/>
    <w:rsid w:val="4913104A"/>
    <w:rsid w:val="492CB604"/>
    <w:rsid w:val="4956BD63"/>
    <w:rsid w:val="4972FE46"/>
    <w:rsid w:val="498485BE"/>
    <w:rsid w:val="49A758D2"/>
    <w:rsid w:val="49B14368"/>
    <w:rsid w:val="49CE1AE0"/>
    <w:rsid w:val="49DCEAAB"/>
    <w:rsid w:val="49DF1C98"/>
    <w:rsid w:val="49ED6A47"/>
    <w:rsid w:val="4A076208"/>
    <w:rsid w:val="4A0EA8AD"/>
    <w:rsid w:val="4A3A47B8"/>
    <w:rsid w:val="4A4E2B7A"/>
    <w:rsid w:val="4A67735A"/>
    <w:rsid w:val="4A991AAE"/>
    <w:rsid w:val="4AC22CAD"/>
    <w:rsid w:val="4ADCD907"/>
    <w:rsid w:val="4B20F2FA"/>
    <w:rsid w:val="4B2ADDF3"/>
    <w:rsid w:val="4B2E67BD"/>
    <w:rsid w:val="4B47BFD1"/>
    <w:rsid w:val="4B5D0674"/>
    <w:rsid w:val="4B7D882A"/>
    <w:rsid w:val="4BB9D570"/>
    <w:rsid w:val="4C141912"/>
    <w:rsid w:val="4C17D358"/>
    <w:rsid w:val="4C21CE4C"/>
    <w:rsid w:val="4C5D2DB5"/>
    <w:rsid w:val="4C736F8B"/>
    <w:rsid w:val="4C80AB98"/>
    <w:rsid w:val="4C96D501"/>
    <w:rsid w:val="4CA4CC12"/>
    <w:rsid w:val="4CA51284"/>
    <w:rsid w:val="4CC6AE54"/>
    <w:rsid w:val="4CD02DEF"/>
    <w:rsid w:val="4CE6A991"/>
    <w:rsid w:val="4D01F8D8"/>
    <w:rsid w:val="4D291E63"/>
    <w:rsid w:val="4D3637E7"/>
    <w:rsid w:val="4D3EB40D"/>
    <w:rsid w:val="4D5B0F6D"/>
    <w:rsid w:val="4D7A24EA"/>
    <w:rsid w:val="4DACC770"/>
    <w:rsid w:val="4DAFE973"/>
    <w:rsid w:val="4DB442E8"/>
    <w:rsid w:val="4DB85E3E"/>
    <w:rsid w:val="4DBB568C"/>
    <w:rsid w:val="4DC222D1"/>
    <w:rsid w:val="4E578057"/>
    <w:rsid w:val="4E8D4F95"/>
    <w:rsid w:val="4EAF2026"/>
    <w:rsid w:val="4EB1D815"/>
    <w:rsid w:val="4EDA3AB8"/>
    <w:rsid w:val="4EFE7294"/>
    <w:rsid w:val="4F013F88"/>
    <w:rsid w:val="4F053D74"/>
    <w:rsid w:val="4F0FE9F3"/>
    <w:rsid w:val="4F209258"/>
    <w:rsid w:val="4F252372"/>
    <w:rsid w:val="4F30FEDA"/>
    <w:rsid w:val="4F4FE4C9"/>
    <w:rsid w:val="4F572D94"/>
    <w:rsid w:val="4F9F55CC"/>
    <w:rsid w:val="4FB7AD05"/>
    <w:rsid w:val="50225956"/>
    <w:rsid w:val="503B3DA5"/>
    <w:rsid w:val="505C9DDD"/>
    <w:rsid w:val="50787D39"/>
    <w:rsid w:val="50C0EEEC"/>
    <w:rsid w:val="50F5B5E4"/>
    <w:rsid w:val="510D0360"/>
    <w:rsid w:val="511955FF"/>
    <w:rsid w:val="5148CBA8"/>
    <w:rsid w:val="5152639F"/>
    <w:rsid w:val="5152AFC6"/>
    <w:rsid w:val="51735E97"/>
    <w:rsid w:val="51749306"/>
    <w:rsid w:val="517A949B"/>
    <w:rsid w:val="51889E07"/>
    <w:rsid w:val="519BD394"/>
    <w:rsid w:val="51A898DD"/>
    <w:rsid w:val="51DB5955"/>
    <w:rsid w:val="51F31A4D"/>
    <w:rsid w:val="522463FA"/>
    <w:rsid w:val="523F14C3"/>
    <w:rsid w:val="526B292A"/>
    <w:rsid w:val="526B691C"/>
    <w:rsid w:val="527B9D73"/>
    <w:rsid w:val="52A34C55"/>
    <w:rsid w:val="52C15022"/>
    <w:rsid w:val="52F23C8E"/>
    <w:rsid w:val="52FBC2F4"/>
    <w:rsid w:val="53135B73"/>
    <w:rsid w:val="5319935A"/>
    <w:rsid w:val="533C33B5"/>
    <w:rsid w:val="534CAD62"/>
    <w:rsid w:val="5373B588"/>
    <w:rsid w:val="5373D719"/>
    <w:rsid w:val="53B77C51"/>
    <w:rsid w:val="53C338FD"/>
    <w:rsid w:val="53D72393"/>
    <w:rsid w:val="53D86C40"/>
    <w:rsid w:val="54073CAC"/>
    <w:rsid w:val="54377296"/>
    <w:rsid w:val="5442E38F"/>
    <w:rsid w:val="547CD5C6"/>
    <w:rsid w:val="54BD4B66"/>
    <w:rsid w:val="54D1C039"/>
    <w:rsid w:val="55114C51"/>
    <w:rsid w:val="553E49D3"/>
    <w:rsid w:val="55486A3B"/>
    <w:rsid w:val="55551450"/>
    <w:rsid w:val="556A440A"/>
    <w:rsid w:val="557DFA38"/>
    <w:rsid w:val="55879319"/>
    <w:rsid w:val="559DD741"/>
    <w:rsid w:val="55A94DD8"/>
    <w:rsid w:val="55B0BB60"/>
    <w:rsid w:val="55BBA1D5"/>
    <w:rsid w:val="55BF7983"/>
    <w:rsid w:val="55DE8350"/>
    <w:rsid w:val="55E0725A"/>
    <w:rsid w:val="55E694D3"/>
    <w:rsid w:val="55F6FF35"/>
    <w:rsid w:val="55FB8A7F"/>
    <w:rsid w:val="56037592"/>
    <w:rsid w:val="562A8969"/>
    <w:rsid w:val="5642871B"/>
    <w:rsid w:val="567AE909"/>
    <w:rsid w:val="56D5769D"/>
    <w:rsid w:val="5761D0F4"/>
    <w:rsid w:val="57803073"/>
    <w:rsid w:val="57816A0A"/>
    <w:rsid w:val="578F7151"/>
    <w:rsid w:val="57910594"/>
    <w:rsid w:val="57A10A85"/>
    <w:rsid w:val="57A99593"/>
    <w:rsid w:val="57C419BE"/>
    <w:rsid w:val="580960FB"/>
    <w:rsid w:val="5810AC94"/>
    <w:rsid w:val="58114E81"/>
    <w:rsid w:val="5843049B"/>
    <w:rsid w:val="58689F04"/>
    <w:rsid w:val="5877F385"/>
    <w:rsid w:val="589DB01D"/>
    <w:rsid w:val="58B4AA40"/>
    <w:rsid w:val="58D40F44"/>
    <w:rsid w:val="58D804F5"/>
    <w:rsid w:val="58F29C1A"/>
    <w:rsid w:val="58FFB959"/>
    <w:rsid w:val="59031D4C"/>
    <w:rsid w:val="59133445"/>
    <w:rsid w:val="59241A50"/>
    <w:rsid w:val="592736EB"/>
    <w:rsid w:val="5936F54D"/>
    <w:rsid w:val="59425846"/>
    <w:rsid w:val="594DC1CE"/>
    <w:rsid w:val="596A815A"/>
    <w:rsid w:val="59729F61"/>
    <w:rsid w:val="5973A7E6"/>
    <w:rsid w:val="5988E2CC"/>
    <w:rsid w:val="59D5304F"/>
    <w:rsid w:val="59FA6BC4"/>
    <w:rsid w:val="5A021703"/>
    <w:rsid w:val="5A09E4AA"/>
    <w:rsid w:val="5A84B30D"/>
    <w:rsid w:val="5A87B978"/>
    <w:rsid w:val="5AB71C06"/>
    <w:rsid w:val="5AC6E231"/>
    <w:rsid w:val="5AD157DD"/>
    <w:rsid w:val="5ADA3DA9"/>
    <w:rsid w:val="5AE1820D"/>
    <w:rsid w:val="5AFECAFA"/>
    <w:rsid w:val="5B0015F8"/>
    <w:rsid w:val="5B04EB10"/>
    <w:rsid w:val="5B3E652E"/>
    <w:rsid w:val="5B716F95"/>
    <w:rsid w:val="5B93BFDD"/>
    <w:rsid w:val="5B9494D9"/>
    <w:rsid w:val="5BA03FC6"/>
    <w:rsid w:val="5BC2A154"/>
    <w:rsid w:val="5BEC7018"/>
    <w:rsid w:val="5C28DE1F"/>
    <w:rsid w:val="5C50EFAB"/>
    <w:rsid w:val="5C600269"/>
    <w:rsid w:val="5C6A6EFB"/>
    <w:rsid w:val="5C7089D1"/>
    <w:rsid w:val="5C7C7669"/>
    <w:rsid w:val="5C811E02"/>
    <w:rsid w:val="5CAAAD46"/>
    <w:rsid w:val="5CB6B706"/>
    <w:rsid w:val="5CBFA0AB"/>
    <w:rsid w:val="5D186856"/>
    <w:rsid w:val="5D3B8C5D"/>
    <w:rsid w:val="5D41451F"/>
    <w:rsid w:val="5D43BDC6"/>
    <w:rsid w:val="5D740695"/>
    <w:rsid w:val="5D7534ED"/>
    <w:rsid w:val="5D85D010"/>
    <w:rsid w:val="5DD7DA44"/>
    <w:rsid w:val="5DD95DA9"/>
    <w:rsid w:val="5DE99535"/>
    <w:rsid w:val="5DFFB675"/>
    <w:rsid w:val="5E00637F"/>
    <w:rsid w:val="5E27FE04"/>
    <w:rsid w:val="5E561FDE"/>
    <w:rsid w:val="5E5BE0FE"/>
    <w:rsid w:val="5E5EFF51"/>
    <w:rsid w:val="5E690E4B"/>
    <w:rsid w:val="5EC50066"/>
    <w:rsid w:val="5ECD7803"/>
    <w:rsid w:val="5EFCABD9"/>
    <w:rsid w:val="5F40D1EE"/>
    <w:rsid w:val="5F560C28"/>
    <w:rsid w:val="5F5B2A9B"/>
    <w:rsid w:val="5F9E35BF"/>
    <w:rsid w:val="5FD280D1"/>
    <w:rsid w:val="5FDCB619"/>
    <w:rsid w:val="5FF48A82"/>
    <w:rsid w:val="60033809"/>
    <w:rsid w:val="6048B2BB"/>
    <w:rsid w:val="60AAA8F8"/>
    <w:rsid w:val="60C2664D"/>
    <w:rsid w:val="60C8CCED"/>
    <w:rsid w:val="60CE1479"/>
    <w:rsid w:val="60F6FAFC"/>
    <w:rsid w:val="60F8165D"/>
    <w:rsid w:val="6115DC47"/>
    <w:rsid w:val="61264837"/>
    <w:rsid w:val="61299DA7"/>
    <w:rsid w:val="61968B12"/>
    <w:rsid w:val="61D90B35"/>
    <w:rsid w:val="61F8B4EF"/>
    <w:rsid w:val="6204D238"/>
    <w:rsid w:val="620831B9"/>
    <w:rsid w:val="624960E4"/>
    <w:rsid w:val="624C33E4"/>
    <w:rsid w:val="626E44EB"/>
    <w:rsid w:val="629818BE"/>
    <w:rsid w:val="62E057CF"/>
    <w:rsid w:val="62E0E604"/>
    <w:rsid w:val="62E1A027"/>
    <w:rsid w:val="62F7D9F2"/>
    <w:rsid w:val="63058457"/>
    <w:rsid w:val="6322D02F"/>
    <w:rsid w:val="6370C45E"/>
    <w:rsid w:val="63D07086"/>
    <w:rsid w:val="63DBCB51"/>
    <w:rsid w:val="63F295BB"/>
    <w:rsid w:val="63F3AE67"/>
    <w:rsid w:val="6422EFA1"/>
    <w:rsid w:val="64284BBE"/>
    <w:rsid w:val="64357AD2"/>
    <w:rsid w:val="6438A556"/>
    <w:rsid w:val="643E3391"/>
    <w:rsid w:val="644F62AC"/>
    <w:rsid w:val="645EAEC2"/>
    <w:rsid w:val="64760798"/>
    <w:rsid w:val="64D4A3FB"/>
    <w:rsid w:val="64D7F6A8"/>
    <w:rsid w:val="64E3B083"/>
    <w:rsid w:val="64E3EC26"/>
    <w:rsid w:val="64F34D2B"/>
    <w:rsid w:val="651E1506"/>
    <w:rsid w:val="6526A197"/>
    <w:rsid w:val="652E371C"/>
    <w:rsid w:val="653B48C6"/>
    <w:rsid w:val="653F29EE"/>
    <w:rsid w:val="6565EDFB"/>
    <w:rsid w:val="65719621"/>
    <w:rsid w:val="65CA6C1F"/>
    <w:rsid w:val="65D90CA8"/>
    <w:rsid w:val="65E094E0"/>
    <w:rsid w:val="65F825FC"/>
    <w:rsid w:val="6626860E"/>
    <w:rsid w:val="662CB1F5"/>
    <w:rsid w:val="66335AA6"/>
    <w:rsid w:val="6666DEB4"/>
    <w:rsid w:val="6670CD70"/>
    <w:rsid w:val="667F80E4"/>
    <w:rsid w:val="66A5C843"/>
    <w:rsid w:val="66B9E619"/>
    <w:rsid w:val="66DD5BBE"/>
    <w:rsid w:val="66E0D8BF"/>
    <w:rsid w:val="67212A37"/>
    <w:rsid w:val="67291751"/>
    <w:rsid w:val="673F1880"/>
    <w:rsid w:val="676305D1"/>
    <w:rsid w:val="67642986"/>
    <w:rsid w:val="67672FB8"/>
    <w:rsid w:val="6774DD09"/>
    <w:rsid w:val="6790777B"/>
    <w:rsid w:val="67BBB54F"/>
    <w:rsid w:val="67FEEF07"/>
    <w:rsid w:val="6812B021"/>
    <w:rsid w:val="6824CAED"/>
    <w:rsid w:val="684FFEE4"/>
    <w:rsid w:val="6856BD7A"/>
    <w:rsid w:val="6865A93F"/>
    <w:rsid w:val="6875FCED"/>
    <w:rsid w:val="687E4F65"/>
    <w:rsid w:val="688C707F"/>
    <w:rsid w:val="68B183FD"/>
    <w:rsid w:val="68C3C921"/>
    <w:rsid w:val="68C808F2"/>
    <w:rsid w:val="68DB674A"/>
    <w:rsid w:val="69013B03"/>
    <w:rsid w:val="69051E87"/>
    <w:rsid w:val="6920597D"/>
    <w:rsid w:val="693F53B3"/>
    <w:rsid w:val="69466744"/>
    <w:rsid w:val="694AA4A9"/>
    <w:rsid w:val="69718152"/>
    <w:rsid w:val="69E4ABAA"/>
    <w:rsid w:val="6A1D6184"/>
    <w:rsid w:val="6A618F78"/>
    <w:rsid w:val="6A82AD39"/>
    <w:rsid w:val="6A9DDD42"/>
    <w:rsid w:val="6AAF3BED"/>
    <w:rsid w:val="6AAFE4AB"/>
    <w:rsid w:val="6AD78670"/>
    <w:rsid w:val="6ADE015B"/>
    <w:rsid w:val="6AF06BCE"/>
    <w:rsid w:val="6B6B0D0A"/>
    <w:rsid w:val="6B8D568A"/>
    <w:rsid w:val="6B99925D"/>
    <w:rsid w:val="6BAABF59"/>
    <w:rsid w:val="6BABB47E"/>
    <w:rsid w:val="6C10C1BF"/>
    <w:rsid w:val="6C132BB3"/>
    <w:rsid w:val="6C3B8D71"/>
    <w:rsid w:val="6C472B44"/>
    <w:rsid w:val="6C4BD697"/>
    <w:rsid w:val="6C57C712"/>
    <w:rsid w:val="6C5D92BC"/>
    <w:rsid w:val="6C9C51E1"/>
    <w:rsid w:val="6CAFFE6A"/>
    <w:rsid w:val="6CB433EC"/>
    <w:rsid w:val="6CDBFC6A"/>
    <w:rsid w:val="6CFB0570"/>
    <w:rsid w:val="6D10C23A"/>
    <w:rsid w:val="6D2926EB"/>
    <w:rsid w:val="6D8CBDD7"/>
    <w:rsid w:val="6DAFD718"/>
    <w:rsid w:val="6DD6FB7E"/>
    <w:rsid w:val="6DF5D587"/>
    <w:rsid w:val="6E04445E"/>
    <w:rsid w:val="6E140723"/>
    <w:rsid w:val="6E85B5E8"/>
    <w:rsid w:val="6EA21CF7"/>
    <w:rsid w:val="6EA7B9A2"/>
    <w:rsid w:val="6ECB2B6F"/>
    <w:rsid w:val="6EE35540"/>
    <w:rsid w:val="6F0192EA"/>
    <w:rsid w:val="6F1A7FD7"/>
    <w:rsid w:val="6F6DA4B1"/>
    <w:rsid w:val="6F73E453"/>
    <w:rsid w:val="6F7FEEEE"/>
    <w:rsid w:val="6F9CB18E"/>
    <w:rsid w:val="6FAECCEF"/>
    <w:rsid w:val="6FBD1A75"/>
    <w:rsid w:val="6FDBF903"/>
    <w:rsid w:val="6FDF5A46"/>
    <w:rsid w:val="6FF78C0B"/>
    <w:rsid w:val="70195BD3"/>
    <w:rsid w:val="70292464"/>
    <w:rsid w:val="703DF638"/>
    <w:rsid w:val="704E7A75"/>
    <w:rsid w:val="7053CF93"/>
    <w:rsid w:val="705F521D"/>
    <w:rsid w:val="70B11D96"/>
    <w:rsid w:val="70BBE972"/>
    <w:rsid w:val="70D51C92"/>
    <w:rsid w:val="70F852BF"/>
    <w:rsid w:val="71101323"/>
    <w:rsid w:val="711BBF4F"/>
    <w:rsid w:val="714A7ED4"/>
    <w:rsid w:val="714DAC3C"/>
    <w:rsid w:val="71570232"/>
    <w:rsid w:val="71889B6E"/>
    <w:rsid w:val="71BDE6B0"/>
    <w:rsid w:val="71DCBEDF"/>
    <w:rsid w:val="7204B49A"/>
    <w:rsid w:val="721A5FC0"/>
    <w:rsid w:val="7221356B"/>
    <w:rsid w:val="723F879E"/>
    <w:rsid w:val="726BB092"/>
    <w:rsid w:val="729F88A3"/>
    <w:rsid w:val="72ABE384"/>
    <w:rsid w:val="72BFAC82"/>
    <w:rsid w:val="73418538"/>
    <w:rsid w:val="73906837"/>
    <w:rsid w:val="73A51518"/>
    <w:rsid w:val="73AB70F6"/>
    <w:rsid w:val="73B1E95B"/>
    <w:rsid w:val="73C69187"/>
    <w:rsid w:val="73D2FEE0"/>
    <w:rsid w:val="73EA83B1"/>
    <w:rsid w:val="7410F56E"/>
    <w:rsid w:val="741D73BB"/>
    <w:rsid w:val="747010ED"/>
    <w:rsid w:val="7482D3BB"/>
    <w:rsid w:val="74A4AB9E"/>
    <w:rsid w:val="752CE4A9"/>
    <w:rsid w:val="75313CDC"/>
    <w:rsid w:val="75364112"/>
    <w:rsid w:val="754524D2"/>
    <w:rsid w:val="7565D1E3"/>
    <w:rsid w:val="756743D5"/>
    <w:rsid w:val="756BD304"/>
    <w:rsid w:val="75913131"/>
    <w:rsid w:val="7594FFFE"/>
    <w:rsid w:val="759EB0F5"/>
    <w:rsid w:val="75E08FE9"/>
    <w:rsid w:val="75E0BDE1"/>
    <w:rsid w:val="7605278F"/>
    <w:rsid w:val="7612B86A"/>
    <w:rsid w:val="7634B4A5"/>
    <w:rsid w:val="76507760"/>
    <w:rsid w:val="766A08ED"/>
    <w:rsid w:val="768A55BD"/>
    <w:rsid w:val="768DFFC1"/>
    <w:rsid w:val="7694C535"/>
    <w:rsid w:val="76A2C9DF"/>
    <w:rsid w:val="76A48C9C"/>
    <w:rsid w:val="76AAB54E"/>
    <w:rsid w:val="76BD2568"/>
    <w:rsid w:val="771F6574"/>
    <w:rsid w:val="777E5389"/>
    <w:rsid w:val="778CC2D6"/>
    <w:rsid w:val="77987DA8"/>
    <w:rsid w:val="77AE88CB"/>
    <w:rsid w:val="77CA84DA"/>
    <w:rsid w:val="782E3399"/>
    <w:rsid w:val="7848FF3D"/>
    <w:rsid w:val="78659B69"/>
    <w:rsid w:val="78774325"/>
    <w:rsid w:val="7883CCE8"/>
    <w:rsid w:val="78AA342D"/>
    <w:rsid w:val="78AD6A0F"/>
    <w:rsid w:val="78B9D296"/>
    <w:rsid w:val="78BE39FB"/>
    <w:rsid w:val="78C29159"/>
    <w:rsid w:val="78C8E87C"/>
    <w:rsid w:val="78E2F902"/>
    <w:rsid w:val="78FC7B82"/>
    <w:rsid w:val="790D16C8"/>
    <w:rsid w:val="793130CF"/>
    <w:rsid w:val="79496A1D"/>
    <w:rsid w:val="7985F1F8"/>
    <w:rsid w:val="79B0AAB3"/>
    <w:rsid w:val="79FB0C0A"/>
    <w:rsid w:val="79FC7141"/>
    <w:rsid w:val="7A521882"/>
    <w:rsid w:val="7A670535"/>
    <w:rsid w:val="7A79107F"/>
    <w:rsid w:val="7A85F35B"/>
    <w:rsid w:val="7A972E55"/>
    <w:rsid w:val="7AC20257"/>
    <w:rsid w:val="7AC220C6"/>
    <w:rsid w:val="7AE1B9DA"/>
    <w:rsid w:val="7AE6298D"/>
    <w:rsid w:val="7AF693AF"/>
    <w:rsid w:val="7AF8C03B"/>
    <w:rsid w:val="7B65B246"/>
    <w:rsid w:val="7B746F98"/>
    <w:rsid w:val="7B770114"/>
    <w:rsid w:val="7B98E056"/>
    <w:rsid w:val="7BC68041"/>
    <w:rsid w:val="7BD0F80F"/>
    <w:rsid w:val="7C2F42C9"/>
    <w:rsid w:val="7C41E80E"/>
    <w:rsid w:val="7C4FD16D"/>
    <w:rsid w:val="7C507A4C"/>
    <w:rsid w:val="7C525604"/>
    <w:rsid w:val="7C5338C8"/>
    <w:rsid w:val="7C61C838"/>
    <w:rsid w:val="7C841572"/>
    <w:rsid w:val="7CB1BB7E"/>
    <w:rsid w:val="7CB87537"/>
    <w:rsid w:val="7CE59087"/>
    <w:rsid w:val="7D158A2B"/>
    <w:rsid w:val="7D2EB971"/>
    <w:rsid w:val="7D544ECA"/>
    <w:rsid w:val="7D9AE2A4"/>
    <w:rsid w:val="7D9E9866"/>
    <w:rsid w:val="7DC7FC8F"/>
    <w:rsid w:val="7DE776C5"/>
    <w:rsid w:val="7E19F01F"/>
    <w:rsid w:val="7E1D6181"/>
    <w:rsid w:val="7E227F51"/>
    <w:rsid w:val="7E3FDBC5"/>
    <w:rsid w:val="7E58BCF4"/>
    <w:rsid w:val="7E794913"/>
    <w:rsid w:val="7E95D7F0"/>
    <w:rsid w:val="7E9F1864"/>
    <w:rsid w:val="7EA22D3B"/>
    <w:rsid w:val="7EAAE10D"/>
    <w:rsid w:val="7EB8E2D1"/>
    <w:rsid w:val="7EC709C5"/>
    <w:rsid w:val="7EEFB0D9"/>
    <w:rsid w:val="7F04AACA"/>
    <w:rsid w:val="7F6E49D2"/>
    <w:rsid w:val="7F87722F"/>
    <w:rsid w:val="7FBC0B91"/>
    <w:rsid w:val="7FC9D864"/>
    <w:rsid w:val="7FE7208A"/>
    <w:rsid w:val="7FF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E5116"/>
  <w15:docId w15:val="{B3330A89-E3A4-4A6E-B500-626A0D93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E1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B5E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5E16"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092617"/>
    <w:pPr>
      <w:keepNext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paragraph" w:styleId="NoSpacing">
    <w:name w:val="No Spacing"/>
    <w:uiPriority w:val="1"/>
    <w:qFormat/>
    <w:rsid w:val="006843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58BE"/>
    <w:rPr>
      <w:color w:val="808080"/>
    </w:rPr>
  </w:style>
  <w:style w:type="table" w:styleId="TableGrid">
    <w:name w:val="Table Grid"/>
    <w:basedOn w:val="TableNormal"/>
    <w:rsid w:val="0069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22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3F0E"/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ElsevierBodyTextCentredNospace">
    <w:name w:val="Elsevier Body Text Centred No space"/>
    <w:basedOn w:val="Normal"/>
    <w:qFormat/>
    <w:rsid w:val="009555F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 w:themeColor="text1"/>
      <w:szCs w:val="24"/>
      <w:lang w:val="en-US"/>
    </w:rPr>
  </w:style>
  <w:style w:type="character" w:customStyle="1" w:styleId="underline1">
    <w:name w:val="underline1"/>
    <w:basedOn w:val="DefaultParagraphFont"/>
    <w:rsid w:val="009555F5"/>
    <w:rPr>
      <w:u w:val="single"/>
    </w:rPr>
  </w:style>
  <w:style w:type="character" w:customStyle="1" w:styleId="ui-provider">
    <w:name w:val="ui-provider"/>
    <w:basedOn w:val="DefaultParagraphFont"/>
    <w:rsid w:val="00BB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7B65-131F-4514-A8B2-53FE426E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</vt:lpstr>
    </vt:vector>
  </TitlesOfParts>
  <Company>Elsevier Science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cp:lastModifiedBy>Bernardi, Andrea</cp:lastModifiedBy>
  <cp:revision>2</cp:revision>
  <cp:lastPrinted>2023-12-12T11:26:00Z</cp:lastPrinted>
  <dcterms:created xsi:type="dcterms:W3CDTF">2023-12-12T14:35:00Z</dcterms:created>
  <dcterms:modified xsi:type="dcterms:W3CDTF">2023-12-12T14:35:00Z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2021-11-04T09:12:24Z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5587a44c-12f0-4d84-98cd-f79dcdb8b2fc</vt:lpwstr>
  </property>
  <property fmtid="{D5CDD505-2E9C-101B-9397-08002B2CF9AE}" pid="8" name="MSIP_Label_549ac42a-3eb4-4074-b885-aea26bd6241e_ContentBits">
    <vt:lpwstr>0</vt:lpwstr>
  </property>
  <property fmtid="{D5CDD505-2E9C-101B-9397-08002B2CF9AE}" pid="9" name="ZOTERO_PREF_1">
    <vt:lpwstr>&lt;data data-version="3" zotero-version="6.0.30"&gt;&lt;session id="36t11o5N"/&gt;&lt;style id="http://www.zotero.org/styles/elsevier-harvard" hasBibliography="1" bibliographyStyleHasBeenSet="0"/&gt;&lt;prefs&gt;&lt;pref name="fieldType" value="Field"/&gt;&lt;/prefs&gt;&lt;/data&gt;</vt:lpwstr>
  </property>
</Properties>
</file>