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BB62E" w14:textId="77777777" w:rsidR="005B4204" w:rsidRPr="00B4388F" w:rsidRDefault="005B4204" w:rsidP="005B4204">
      <w:pPr>
        <w:pStyle w:val="Els-Title"/>
        <w:rPr>
          <w:color w:val="000000" w:themeColor="text1"/>
        </w:rPr>
      </w:pPr>
      <w:r>
        <w:rPr>
          <w:color w:val="000000" w:themeColor="text1"/>
        </w:rPr>
        <w:t>Model-based Design of Experiments for the Identification of Kinetic Models of Amide Formation</w:t>
      </w:r>
    </w:p>
    <w:p w14:paraId="2128E060" w14:textId="77777777" w:rsidR="005B4204" w:rsidRDefault="005B4204" w:rsidP="005B4204">
      <w:pPr>
        <w:pStyle w:val="Els-Author"/>
      </w:pPr>
      <w:r>
        <w:t>Emmanuel Agunloye,</w:t>
      </w:r>
      <w:r>
        <w:rPr>
          <w:vertAlign w:val="superscript"/>
        </w:rPr>
        <w:t>a</w:t>
      </w:r>
      <w:r>
        <w:t xml:space="preserve"> Muhammad Yusuf,</w:t>
      </w:r>
      <w:r>
        <w:rPr>
          <w:vertAlign w:val="superscript"/>
        </w:rPr>
        <w:t>b</w:t>
      </w:r>
      <w:r>
        <w:t xml:space="preserve"> Thomas W. Chamberlain,</w:t>
      </w:r>
      <w:r>
        <w:rPr>
          <w:vertAlign w:val="superscript"/>
        </w:rPr>
        <w:t>b</w:t>
      </w:r>
      <w:r>
        <w:t xml:space="preserve"> Frans L. Muller,</w:t>
      </w:r>
      <w:r>
        <w:rPr>
          <w:vertAlign w:val="superscript"/>
        </w:rPr>
        <w:t>b</w:t>
      </w:r>
      <w:r>
        <w:t xml:space="preserve"> Richard A. Bourne,</w:t>
      </w:r>
      <w:r>
        <w:rPr>
          <w:vertAlign w:val="superscript"/>
        </w:rPr>
        <w:t>b</w:t>
      </w:r>
      <w:r>
        <w:t xml:space="preserve"> Federico Galvanin</w:t>
      </w:r>
      <w:r>
        <w:rPr>
          <w:vertAlign w:val="superscript"/>
        </w:rPr>
        <w:t>a*</w:t>
      </w:r>
    </w:p>
    <w:p w14:paraId="38347873" w14:textId="77777777" w:rsidR="005B4204" w:rsidRDefault="005B4204" w:rsidP="005B4204">
      <w:pPr>
        <w:pStyle w:val="Els-Affiliation"/>
      </w:pPr>
      <w:r>
        <w:rPr>
          <w:vertAlign w:val="superscript"/>
        </w:rPr>
        <w:t>a</w:t>
      </w:r>
      <w:r>
        <w:t>Department of Chemical Engineering, University College London, WC1E 7JE London, United Kingdom</w:t>
      </w:r>
    </w:p>
    <w:p w14:paraId="4FFDA8BF" w14:textId="77777777" w:rsidR="005B4204" w:rsidRDefault="005B4204" w:rsidP="005B4204">
      <w:pPr>
        <w:pStyle w:val="Els-Affiliation"/>
      </w:pPr>
      <w:r>
        <w:rPr>
          <w:vertAlign w:val="superscript"/>
        </w:rPr>
        <w:t>b</w:t>
      </w:r>
      <w:r w:rsidRPr="005E0E29">
        <w:t xml:space="preserve">Institute of Process Resarch and Development, </w:t>
      </w:r>
      <w:r w:rsidRPr="00357F63">
        <w:t>Sc</w:t>
      </w:r>
      <w:r>
        <w:t>hools of Chemistry and Chemical and Process Engineering, University of Leeds, LS2 9JT Leeds, United Kingdom</w:t>
      </w:r>
    </w:p>
    <w:p w14:paraId="513F807A" w14:textId="77777777" w:rsidR="005B4204" w:rsidRPr="00A94774" w:rsidRDefault="005B4204" w:rsidP="005B4204">
      <w:pPr>
        <w:pStyle w:val="Els-Affiliation"/>
        <w:spacing w:after="120"/>
      </w:pPr>
      <w:r>
        <w:t>f.galvanin@ucl.ac.uk</w:t>
      </w:r>
    </w:p>
    <w:p w14:paraId="0C30A10A" w14:textId="77777777" w:rsidR="005B4204" w:rsidRDefault="005B4204" w:rsidP="005B4204">
      <w:pPr>
        <w:pStyle w:val="Els-Abstract"/>
      </w:pPr>
      <w:r>
        <w:t>Abstract</w:t>
      </w:r>
    </w:p>
    <w:p w14:paraId="409EB282" w14:textId="77777777" w:rsidR="005B4204" w:rsidRDefault="005B4204" w:rsidP="005B4204">
      <w:pPr>
        <w:spacing w:after="120"/>
        <w:jc w:val="both"/>
      </w:pPr>
      <w:r w:rsidRPr="002157A3">
        <w:t>Model-based design of experiments (</w:t>
      </w:r>
      <w:proofErr w:type="spellStart"/>
      <w:r w:rsidRPr="002157A3">
        <w:t>MBDoE</w:t>
      </w:r>
      <w:proofErr w:type="spellEnd"/>
      <w:r w:rsidRPr="002157A3">
        <w:t xml:space="preserve">) techniques have been applied to various process systems in the scientific community to optimally determine a minimum number of informative experiments to </w:t>
      </w:r>
      <w:r w:rsidRPr="00F92198">
        <w:t xml:space="preserve">enable identification of a kinetic model structure with precisely determined parameters. The effectiveness of </w:t>
      </w:r>
      <w:proofErr w:type="spellStart"/>
      <w:r w:rsidRPr="00F92198">
        <w:t>MBDoE</w:t>
      </w:r>
      <w:proofErr w:type="spellEnd"/>
      <w:r w:rsidRPr="00F92198">
        <w:t xml:space="preserve"> techniques is however deeply affected by parametric uncertainty. To evaluate the effect of parametric uncertainty on model effectiveness, this work compares and evaluates two different </w:t>
      </w:r>
      <w:proofErr w:type="spellStart"/>
      <w:r w:rsidRPr="00F92198">
        <w:t>MBDoE</w:t>
      </w:r>
      <w:proofErr w:type="spellEnd"/>
      <w:r w:rsidRPr="00F92198">
        <w:t xml:space="preserve"> approaches: 1) LHS-</w:t>
      </w:r>
      <w:proofErr w:type="spellStart"/>
      <w:r w:rsidRPr="00F92198">
        <w:t>MBDoE</w:t>
      </w:r>
      <w:proofErr w:type="spellEnd"/>
      <w:r w:rsidRPr="00F92198">
        <w:t xml:space="preserve">, where the Latin-hypercube sampling (LHS) precedes </w:t>
      </w:r>
      <w:proofErr w:type="spellStart"/>
      <w:r w:rsidRPr="00F92198">
        <w:t>MBDoE</w:t>
      </w:r>
      <w:proofErr w:type="spellEnd"/>
      <w:r w:rsidRPr="00F92198">
        <w:t xml:space="preserve"> application; and 2) robust </w:t>
      </w:r>
      <w:proofErr w:type="spellStart"/>
      <w:r w:rsidRPr="00F92198">
        <w:t>MBDoE</w:t>
      </w:r>
      <w:proofErr w:type="spellEnd"/>
      <w:r w:rsidRPr="00F92198">
        <w:t xml:space="preserve">, where </w:t>
      </w:r>
      <w:proofErr w:type="spellStart"/>
      <w:r w:rsidRPr="00F92198">
        <w:t>MBDoE</w:t>
      </w:r>
      <w:proofErr w:type="spellEnd"/>
      <w:r w:rsidRPr="00F92198">
        <w:t xml:space="preserve"> techniques apply ab-initio via either the expected value or worst-case approach. Using experimental and in-silico data, </w:t>
      </w:r>
      <w:proofErr w:type="spellStart"/>
      <w:r w:rsidRPr="00F92198">
        <w:t>MBDoE</w:t>
      </w:r>
      <w:proofErr w:type="spellEnd"/>
      <w:r w:rsidRPr="00F92198">
        <w:t xml:space="preserve"> methodologies were tested on a pharmaceutically relevant reaction system involving homogeneous amide formation, which</w:t>
      </w:r>
      <w:r w:rsidRPr="002157A3">
        <w:t xml:space="preserve"> can be described using reversible chemical kinetics.</w:t>
      </w:r>
      <w:r>
        <w:t xml:space="preserve"> The performances of the two </w:t>
      </w:r>
      <w:proofErr w:type="spellStart"/>
      <w:r>
        <w:t>MBDoE</w:t>
      </w:r>
      <w:proofErr w:type="spellEnd"/>
      <w:r>
        <w:t xml:space="preserve"> approaches were assessed using </w:t>
      </w:r>
      <w:proofErr w:type="spellStart"/>
      <w:r>
        <w:t>i</w:t>
      </w:r>
      <w:proofErr w:type="spellEnd"/>
      <w:r>
        <w:t xml:space="preserve">) </w:t>
      </w:r>
      <w:r w:rsidRPr="00604FCA">
        <w:t xml:space="preserve">the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604FCA">
        <w:t xml:space="preserve"> lack-of-fit test;</w:t>
      </w:r>
      <w:r>
        <w:t xml:space="preserve"> ii) the </w:t>
      </w:r>
      <w:proofErr w:type="gramStart"/>
      <w:r>
        <w:t>Student’s</w:t>
      </w:r>
      <w:proofErr w:type="gramEnd"/>
      <w:r>
        <w:t xml:space="preserve"> t</w:t>
      </w:r>
      <w:r>
        <w:noBreakHyphen/>
        <w:t>test; and</w:t>
      </w:r>
      <w:r w:rsidRPr="00604FCA">
        <w:t xml:space="preserve"> </w:t>
      </w:r>
      <w:r>
        <w:t>iii</w:t>
      </w:r>
      <w:r w:rsidRPr="00604FCA">
        <w:t>) the determinant of Fisher information matrix (FIM)</w:t>
      </w:r>
      <w:r>
        <w:t xml:space="preserve"> as posterior scalar measure of information.</w:t>
      </w:r>
    </w:p>
    <w:p w14:paraId="2332EFB5" w14:textId="77777777" w:rsidR="005B4204" w:rsidRDefault="005B4204" w:rsidP="005B4204">
      <w:pPr>
        <w:pStyle w:val="Els-body-text"/>
        <w:spacing w:after="120"/>
        <w:rPr>
          <w:lang w:val="en-GB"/>
        </w:rPr>
      </w:pPr>
      <w:r>
        <w:rPr>
          <w:b/>
          <w:bCs/>
          <w:lang w:val="en-GB"/>
        </w:rPr>
        <w:t>Keywords</w:t>
      </w:r>
      <w:r>
        <w:rPr>
          <w:lang w:val="en-GB"/>
        </w:rPr>
        <w:t>: Amide formation, Latin-hypercube sampling, kinetic models, model-based design of experiment, robust model-based design of experiment.</w:t>
      </w:r>
    </w:p>
    <w:p w14:paraId="7422BB5B" w14:textId="77777777" w:rsidR="005B4204" w:rsidRDefault="005B4204" w:rsidP="005B4204">
      <w:pPr>
        <w:pStyle w:val="Els-1storder-head"/>
      </w:pPr>
      <w:r>
        <w:t>Introduction</w:t>
      </w:r>
    </w:p>
    <w:p w14:paraId="737A92A2" w14:textId="77777777" w:rsidR="005B4204" w:rsidRDefault="005B4204" w:rsidP="005B4204">
      <w:pPr>
        <w:pStyle w:val="Els-body-text"/>
      </w:pPr>
      <w:r>
        <w:t xml:space="preserve">Extensive experimentations occur across the pharmaceutical life cycle to </w:t>
      </w:r>
      <w:proofErr w:type="spellStart"/>
      <w:r>
        <w:t>characterise</w:t>
      </w:r>
      <w:proofErr w:type="spellEnd"/>
      <w:r>
        <w:t xml:space="preserve"> drug candidates and their processes to produce effective, </w:t>
      </w:r>
      <w:proofErr w:type="gramStart"/>
      <w:r>
        <w:t>safe</w:t>
      </w:r>
      <w:proofErr w:type="gramEnd"/>
      <w:r>
        <w:t xml:space="preserve"> and profitable drugs. Predominantly, the pharmaceutical industry employs statistical design of experiments (DoE) techniques, which include factorial and random designs (Destro and Barolo, 2022). DoE campaigns often require </w:t>
      </w:r>
      <w:proofErr w:type="gramStart"/>
      <w:r>
        <w:t>a large number of</w:t>
      </w:r>
      <w:proofErr w:type="gramEnd"/>
      <w:r>
        <w:t xml:space="preserve"> time-consuming experiments generated with limited information about the system, causing a waste of time and resources. Informative experiments can be designed using Model-based DoE (</w:t>
      </w:r>
      <w:proofErr w:type="spellStart"/>
      <w:r>
        <w:t>MBDoE</w:t>
      </w:r>
      <w:proofErr w:type="spellEnd"/>
      <w:r>
        <w:t xml:space="preserve">) techniques (Franceschini and </w:t>
      </w:r>
      <w:proofErr w:type="spellStart"/>
      <w:r>
        <w:t>Macchietto</w:t>
      </w:r>
      <w:proofErr w:type="spellEnd"/>
      <w:r>
        <w:t xml:space="preserve">, 2008), which are optimal experimental designs for gathering maximum information. </w:t>
      </w:r>
      <w:proofErr w:type="spellStart"/>
      <w:r>
        <w:t>MBDoE</w:t>
      </w:r>
      <w:proofErr w:type="spellEnd"/>
      <w:r>
        <w:t xml:space="preserve"> techniques have increasing applications in several fields, and across the entire product life cycle from development to manufacturing (Abt et al., 2018). </w:t>
      </w:r>
    </w:p>
    <w:p w14:paraId="4058455E" w14:textId="77777777" w:rsidR="005B4204" w:rsidRDefault="005B4204" w:rsidP="005B4204">
      <w:pPr>
        <w:pStyle w:val="Els-body-text"/>
      </w:pPr>
      <w:proofErr w:type="spellStart"/>
      <w:r>
        <w:t>MBDoE</w:t>
      </w:r>
      <w:proofErr w:type="spellEnd"/>
      <w:r>
        <w:t xml:space="preserve"> application requires four key elements: 1) physics-based modelling, to account for the underlying knowledge about the process system; 2) design space </w:t>
      </w:r>
      <w:proofErr w:type="spellStart"/>
      <w:r>
        <w:t>characterisation</w:t>
      </w:r>
      <w:proofErr w:type="spellEnd"/>
      <w:r>
        <w:t xml:space="preserve">, </w:t>
      </w:r>
      <w:r>
        <w:lastRenderedPageBreak/>
        <w:t xml:space="preserve">to specify the boundary values of process variables (such as input concentrations and process temperature), usually dictated by the equipment operating range; 3) definition of experimental design criteria, to state the objective to </w:t>
      </w:r>
      <w:proofErr w:type="spellStart"/>
      <w:r>
        <w:t>optimise</w:t>
      </w:r>
      <w:proofErr w:type="spellEnd"/>
      <w:r>
        <w:t xml:space="preserve"> from the experimental study; 4) testing criteria, to assess the performance of </w:t>
      </w:r>
      <w:proofErr w:type="spellStart"/>
      <w:r>
        <w:t>MBDoE</w:t>
      </w:r>
      <w:proofErr w:type="spellEnd"/>
      <w:r>
        <w:t xml:space="preserve"> (Franceschini and </w:t>
      </w:r>
      <w:proofErr w:type="spellStart"/>
      <w:r>
        <w:t>Macchietto</w:t>
      </w:r>
      <w:proofErr w:type="spellEnd"/>
      <w:r>
        <w:t xml:space="preserve">, 2008). To design optimal experiments for parameter precision, </w:t>
      </w:r>
      <w:proofErr w:type="spellStart"/>
      <w:r>
        <w:t>MBDoE</w:t>
      </w:r>
      <w:proofErr w:type="spellEnd"/>
      <w:r>
        <w:t xml:space="preserve"> procedures can be </w:t>
      </w:r>
      <w:proofErr w:type="spellStart"/>
      <w:r>
        <w:t>initialised</w:t>
      </w:r>
      <w:proofErr w:type="spellEnd"/>
      <w:r>
        <w:t xml:space="preserve"> following two methodologies: conventional </w:t>
      </w:r>
      <w:proofErr w:type="spellStart"/>
      <w:r>
        <w:t>MBDoE</w:t>
      </w:r>
      <w:proofErr w:type="spellEnd"/>
      <w:r>
        <w:t xml:space="preserve"> and robust </w:t>
      </w:r>
      <w:proofErr w:type="spellStart"/>
      <w:r>
        <w:t>MBDoE</w:t>
      </w:r>
      <w:proofErr w:type="spellEnd"/>
      <w:r>
        <w:t xml:space="preserve"> (</w:t>
      </w:r>
      <w:r w:rsidRPr="005E0E29">
        <w:rPr>
          <w:lang w:val="en-GB"/>
        </w:rPr>
        <w:t xml:space="preserve">Asprey and </w:t>
      </w:r>
      <w:proofErr w:type="spellStart"/>
      <w:r w:rsidRPr="005E0E29">
        <w:rPr>
          <w:lang w:val="en-GB"/>
        </w:rPr>
        <w:t>Macchietto</w:t>
      </w:r>
      <w:proofErr w:type="spellEnd"/>
      <w:r w:rsidRPr="005E0E29">
        <w:rPr>
          <w:lang w:val="en-GB"/>
        </w:rPr>
        <w:t>, 2002)</w:t>
      </w:r>
      <w:r>
        <w:t xml:space="preserve">. The conventional methodology requires prior parameter estimates with their covariance matrix as initial guess, usually estimated from preliminary data obtained from experiments designed using statistical DoE, to compute the posterior Fisher information matrix in the design space. On the other hand, the robust methodology, which does not require prior parameter estimates, solves the experimental design problem in the uncertain parameter space to compute the expected information, which can be done via two approaches: expected value and worst-case approach. In this work, we compare and evaluate conventional and robust </w:t>
      </w:r>
      <w:proofErr w:type="spellStart"/>
      <w:r>
        <w:t>MBDoE</w:t>
      </w:r>
      <w:proofErr w:type="spellEnd"/>
      <w:r>
        <w:t xml:space="preserve"> methodologies using an optimal experimental design software platform called “</w:t>
      </w:r>
      <w:proofErr w:type="spellStart"/>
      <w:r>
        <w:t>SimBot</w:t>
      </w:r>
      <w:proofErr w:type="spellEnd"/>
      <w:r>
        <w:t>” controlling remotely an automated smart flow reactor (“</w:t>
      </w:r>
      <w:proofErr w:type="spellStart"/>
      <w:r>
        <w:t>LabBot</w:t>
      </w:r>
      <w:proofErr w:type="spellEnd"/>
      <w:r>
        <w:t>”) for kinetic model identification in the synthesis of a pharmaceutically relevant homogeneous amide formation.</w:t>
      </w:r>
    </w:p>
    <w:p w14:paraId="1569EC03" w14:textId="77777777" w:rsidR="005B4204" w:rsidRDefault="005B4204" w:rsidP="005B4204">
      <w:pPr>
        <w:pStyle w:val="Els-1storder-head"/>
      </w:pPr>
      <w:r>
        <w:t>Model identification algorithm</w:t>
      </w:r>
    </w:p>
    <w:p w14:paraId="1B8FDFCC" w14:textId="77777777" w:rsidR="005B4204" w:rsidRDefault="005B4204" w:rsidP="005B4204">
      <w:pPr>
        <w:pStyle w:val="Els-body-text"/>
      </w:pPr>
      <w:r>
        <w:t xml:space="preserve">Fig. </w:t>
      </w:r>
      <w:r w:rsidRPr="00CB7BF9">
        <w:t xml:space="preserve">1 shows a segment of the </w:t>
      </w:r>
      <w:proofErr w:type="spellStart"/>
      <w:r w:rsidRPr="00CB7BF9">
        <w:t>SimBot</w:t>
      </w:r>
      <w:proofErr w:type="spellEnd"/>
      <w:r w:rsidRPr="00CB7BF9">
        <w:t xml:space="preserve"> algorithm highlighting five modules: 1) model structure</w:t>
      </w:r>
      <w:r>
        <w:t>;</w:t>
      </w:r>
      <w:r w:rsidRPr="00CB7BF9">
        <w:t xml:space="preserve"> 2) preliminary DoE</w:t>
      </w:r>
      <w:r>
        <w:t>;</w:t>
      </w:r>
      <w:r w:rsidRPr="00CB7BF9">
        <w:t xml:space="preserve"> 3) parameter estimation</w:t>
      </w:r>
      <w:r>
        <w:t>;</w:t>
      </w:r>
      <w:r w:rsidRPr="00CB7BF9">
        <w:t xml:space="preserve"> 4) </w:t>
      </w:r>
      <w:proofErr w:type="spellStart"/>
      <w:r w:rsidRPr="00CB7BF9">
        <w:t>MBDoE</w:t>
      </w:r>
      <w:proofErr w:type="spellEnd"/>
      <w:r w:rsidRPr="00CB7BF9">
        <w:t xml:space="preserve"> for parameter precision, and 5) model validation, where the precisely identified model can be tested.</w:t>
      </w:r>
    </w:p>
    <w:p w14:paraId="79894B21" w14:textId="77777777" w:rsidR="005B4204" w:rsidRDefault="005B4204" w:rsidP="005B4204">
      <w:pPr>
        <w:pStyle w:val="Els-body-text"/>
        <w:jc w:val="center"/>
      </w:pPr>
      <w:r>
        <w:rPr>
          <w:noProof/>
        </w:rPr>
        <w:drawing>
          <wp:inline distT="0" distB="0" distL="0" distR="0" wp14:anchorId="75F08802" wp14:editId="279EAF50">
            <wp:extent cx="3214800" cy="2232000"/>
            <wp:effectExtent l="0" t="0" r="0" b="0"/>
            <wp:docPr id="1588338231" name="Picture 1" descr="A black rectangle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38231" name="Picture 1" descr="A black rectangle with blue lin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4800" cy="2232000"/>
                    </a:xfrm>
                    <a:prstGeom prst="rect">
                      <a:avLst/>
                    </a:prstGeom>
                    <a:noFill/>
                  </pic:spPr>
                </pic:pic>
              </a:graphicData>
            </a:graphic>
          </wp:inline>
        </w:drawing>
      </w:r>
    </w:p>
    <w:p w14:paraId="23142FC5" w14:textId="77777777" w:rsidR="005B4204" w:rsidRPr="002D4423" w:rsidRDefault="005B4204" w:rsidP="005B4204">
      <w:pPr>
        <w:pStyle w:val="Els-body-text"/>
        <w:rPr>
          <w:sz w:val="18"/>
          <w:szCs w:val="18"/>
        </w:rPr>
      </w:pPr>
      <w:r w:rsidRPr="002D4423">
        <w:rPr>
          <w:sz w:val="18"/>
          <w:szCs w:val="18"/>
        </w:rPr>
        <w:t xml:space="preserve">Fig. 1: The </w:t>
      </w:r>
      <w:proofErr w:type="spellStart"/>
      <w:r w:rsidRPr="002D4423">
        <w:rPr>
          <w:sz w:val="18"/>
          <w:szCs w:val="18"/>
        </w:rPr>
        <w:t>SimBot</w:t>
      </w:r>
      <w:proofErr w:type="spellEnd"/>
      <w:r w:rsidRPr="002D4423">
        <w:rPr>
          <w:sz w:val="18"/>
          <w:szCs w:val="18"/>
        </w:rPr>
        <w:t xml:space="preserve"> framework for model identification using </w:t>
      </w:r>
      <w:proofErr w:type="spellStart"/>
      <w:r w:rsidRPr="002D4423">
        <w:rPr>
          <w:sz w:val="18"/>
          <w:szCs w:val="18"/>
        </w:rPr>
        <w:t>MBDoE</w:t>
      </w:r>
      <w:proofErr w:type="spellEnd"/>
      <w:r w:rsidRPr="002D4423">
        <w:rPr>
          <w:sz w:val="18"/>
          <w:szCs w:val="18"/>
        </w:rPr>
        <w:t xml:space="preserve"> for parameter precision.</w:t>
      </w:r>
    </w:p>
    <w:p w14:paraId="587958EE" w14:textId="77777777" w:rsidR="005B4204" w:rsidRDefault="005B4204" w:rsidP="005B4204">
      <w:pPr>
        <w:pStyle w:val="Els-body-text"/>
        <w:spacing w:before="80"/>
      </w:pPr>
      <w:r>
        <w:t>The model structure defined in Module 1 can be formulated generally as a set of differential and algebraic equations (DAEs):</w:t>
      </w:r>
    </w:p>
    <w:tbl>
      <w:tblPr>
        <w:tblW w:w="7087" w:type="dxa"/>
        <w:tblLook w:val="04A0" w:firstRow="1" w:lastRow="0" w:firstColumn="1" w:lastColumn="0" w:noHBand="0" w:noVBand="1"/>
      </w:tblPr>
      <w:tblGrid>
        <w:gridCol w:w="6111"/>
        <w:gridCol w:w="976"/>
      </w:tblGrid>
      <w:tr w:rsidR="005B4204" w:rsidRPr="00BA1A31" w14:paraId="3C4B32B1" w14:textId="77777777" w:rsidTr="00E83AF3">
        <w:tc>
          <w:tcPr>
            <w:tcW w:w="6111" w:type="dxa"/>
            <w:shd w:val="clear" w:color="auto" w:fill="auto"/>
            <w:vAlign w:val="center"/>
          </w:tcPr>
          <w:p w14:paraId="42557D6D" w14:textId="77777777" w:rsidR="005B4204" w:rsidRPr="00082A44" w:rsidRDefault="005B4204" w:rsidP="00E83AF3">
            <w:pPr>
              <w:pStyle w:val="Els-body-text"/>
              <w:spacing w:before="120" w:after="120" w:line="264" w:lineRule="auto"/>
              <w:rPr>
                <w:lang w:val="en-GB"/>
              </w:rPr>
            </w:pPr>
            <m:oMathPara>
              <m:oMathParaPr>
                <m:jc m:val="left"/>
              </m:oMathParaPr>
              <m:oMath>
                <m:r>
                  <m:rPr>
                    <m:sty m:val="bi"/>
                  </m:rPr>
                  <w:rPr>
                    <w:rFonts w:ascii="Cambria Math" w:hAnsi="Cambria Math"/>
                  </w:rPr>
                  <m:t>f</m:t>
                </m:r>
                <m:d>
                  <m:dPr>
                    <m:ctrlPr>
                      <w:rPr>
                        <w:rFonts w:ascii="Cambria Math" w:hAnsi="Cambria Math"/>
                        <w:b/>
                        <w:bCs/>
                        <w:i/>
                        <w:iCs/>
                      </w:rPr>
                    </m:ctrlPr>
                  </m:dPr>
                  <m:e>
                    <m:acc>
                      <m:accPr>
                        <m:chr m:val="̇"/>
                        <m:ctrlPr>
                          <w:rPr>
                            <w:rFonts w:ascii="Cambria Math" w:hAnsi="Cambria Math"/>
                            <w:b/>
                            <w:bCs/>
                            <w:i/>
                            <w:iCs/>
                          </w:rPr>
                        </m:ctrlPr>
                      </m:accPr>
                      <m:e>
                        <m:r>
                          <m:rPr>
                            <m:sty m:val="bi"/>
                          </m:rPr>
                          <w:rPr>
                            <w:rFonts w:ascii="Cambria Math" w:hAnsi="Cambria Math"/>
                          </w:rPr>
                          <m:t>x</m:t>
                        </m:r>
                      </m:e>
                    </m:acc>
                    <m:d>
                      <m:dPr>
                        <m:ctrlPr>
                          <w:rPr>
                            <w:rFonts w:ascii="Cambria Math" w:hAnsi="Cambria Math"/>
                            <w:i/>
                            <w:iCs/>
                          </w:rPr>
                        </m:ctrlPr>
                      </m:dPr>
                      <m:e>
                        <m:r>
                          <w:rPr>
                            <w:rFonts w:ascii="Cambria Math" w:hAnsi="Cambria Math"/>
                          </w:rPr>
                          <m:t>t</m:t>
                        </m:r>
                      </m:e>
                    </m:d>
                    <m:r>
                      <w:rPr>
                        <w:rFonts w:ascii="Cambria Math" w:hAnsi="Cambria Math"/>
                      </w:rPr>
                      <m:t>,</m:t>
                    </m:r>
                    <m:r>
                      <m:rPr>
                        <m:sty m:val="bi"/>
                      </m:rPr>
                      <w:rPr>
                        <w:rFonts w:ascii="Cambria Math" w:hAnsi="Cambria Math"/>
                      </w:rPr>
                      <m:t>x</m:t>
                    </m:r>
                    <m:d>
                      <m:dPr>
                        <m:ctrlPr>
                          <w:rPr>
                            <w:rFonts w:ascii="Cambria Math" w:hAnsi="Cambria Math"/>
                            <w:b/>
                            <w:bCs/>
                            <w:i/>
                            <w:iCs/>
                          </w:rPr>
                        </m:ctrlPr>
                      </m:dPr>
                      <m:e>
                        <m:r>
                          <w:rPr>
                            <w:rFonts w:ascii="Cambria Math" w:hAnsi="Cambria Math"/>
                          </w:rPr>
                          <m:t>t</m:t>
                        </m:r>
                      </m:e>
                    </m:d>
                    <m:r>
                      <m:rPr>
                        <m:sty m:val="bi"/>
                      </m:rPr>
                      <w:rPr>
                        <w:rFonts w:ascii="Cambria Math" w:hAnsi="Cambria Math"/>
                      </w:rPr>
                      <m:t>, u</m:t>
                    </m:r>
                    <m:d>
                      <m:dPr>
                        <m:ctrlPr>
                          <w:rPr>
                            <w:rFonts w:ascii="Cambria Math" w:hAnsi="Cambria Math"/>
                            <w:b/>
                            <w:bCs/>
                            <w:i/>
                            <w:iCs/>
                          </w:rPr>
                        </m:ctrlPr>
                      </m:dPr>
                      <m:e>
                        <m:r>
                          <w:rPr>
                            <w:rFonts w:ascii="Cambria Math" w:hAnsi="Cambria Math"/>
                          </w:rPr>
                          <m:t>t</m:t>
                        </m:r>
                      </m:e>
                    </m:d>
                    <m:r>
                      <w:rPr>
                        <w:rFonts w:ascii="Cambria Math" w:hAnsi="Cambria Math"/>
                      </w:rPr>
                      <m:t>, </m:t>
                    </m:r>
                    <m:r>
                      <m:rPr>
                        <m:sty m:val="bi"/>
                      </m:rPr>
                      <w:rPr>
                        <w:rFonts w:ascii="Cambria Math" w:hAnsi="Cambria Math"/>
                      </w:rPr>
                      <m:t>θ</m:t>
                    </m:r>
                    <m:r>
                      <w:rPr>
                        <w:rFonts w:ascii="Cambria Math" w:hAnsi="Cambria Math"/>
                      </w:rPr>
                      <m:t>,t</m:t>
                    </m:r>
                  </m:e>
                </m:d>
                <m:r>
                  <m:rPr>
                    <m:sty m:val="bi"/>
                  </m:rPr>
                  <w:rPr>
                    <w:rFonts w:ascii="Cambria Math" w:hAnsi="Cambria Math"/>
                  </w:rPr>
                  <m:t>=0</m:t>
                </m:r>
              </m:oMath>
            </m:oMathPara>
          </w:p>
        </w:tc>
        <w:tc>
          <w:tcPr>
            <w:tcW w:w="976" w:type="dxa"/>
            <w:shd w:val="clear" w:color="auto" w:fill="auto"/>
            <w:vAlign w:val="center"/>
          </w:tcPr>
          <w:p w14:paraId="64B985B4"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1</w:t>
            </w:r>
            <w:r w:rsidRPr="00BA1A31">
              <w:rPr>
                <w:lang w:val="en-GB"/>
              </w:rPr>
              <w:t>)</w:t>
            </w:r>
          </w:p>
        </w:tc>
      </w:tr>
      <w:tr w:rsidR="005B4204" w:rsidRPr="00BA1A31" w14:paraId="551C7FE3" w14:textId="77777777" w:rsidTr="00E83AF3">
        <w:tc>
          <w:tcPr>
            <w:tcW w:w="6111" w:type="dxa"/>
            <w:shd w:val="clear" w:color="auto" w:fill="auto"/>
            <w:vAlign w:val="center"/>
          </w:tcPr>
          <w:p w14:paraId="2BE48426" w14:textId="77777777" w:rsidR="005B4204" w:rsidRPr="00082A44" w:rsidRDefault="005B4204" w:rsidP="00E83AF3">
            <w:pPr>
              <w:pStyle w:val="Els-body-text"/>
              <w:spacing w:before="120" w:after="120" w:line="264" w:lineRule="auto"/>
              <w:rPr>
                <w:lang w:val="en-GB"/>
              </w:rPr>
            </w:pPr>
            <m:oMathPara>
              <m:oMathParaPr>
                <m:jc m:val="left"/>
              </m:oMathParaPr>
              <m:oMath>
                <m:r>
                  <m:rPr>
                    <m:sty m:val="bi"/>
                  </m:rPr>
                  <w:rPr>
                    <w:rFonts w:ascii="Cambria Math" w:hAnsi="Cambria Math"/>
                    <w:szCs w:val="24"/>
                  </w:rPr>
                  <m:t>y</m:t>
                </m:r>
                <m:d>
                  <m:dPr>
                    <m:ctrlPr>
                      <w:rPr>
                        <w:rFonts w:ascii="Cambria Math" w:hAnsi="Cambria Math"/>
                        <w:b/>
                        <w:bCs/>
                        <w:i/>
                        <w:iCs/>
                      </w:rPr>
                    </m:ctrlPr>
                  </m:dPr>
                  <m:e>
                    <m:r>
                      <w:rPr>
                        <w:rFonts w:ascii="Cambria Math" w:hAnsi="Cambria Math"/>
                      </w:rPr>
                      <m:t>t</m:t>
                    </m:r>
                  </m:e>
                </m:d>
                <m:r>
                  <m:rPr>
                    <m:sty m:val="bi"/>
                  </m:rPr>
                  <w:rPr>
                    <w:rFonts w:ascii="Cambria Math" w:hAnsi="Cambria Math"/>
                  </w:rPr>
                  <m:t>=g(x(</m:t>
                </m:r>
                <m:r>
                  <w:rPr>
                    <w:rFonts w:ascii="Cambria Math" w:hAnsi="Cambria Math"/>
                  </w:rPr>
                  <m:t>t</m:t>
                </m:r>
                <m:r>
                  <m:rPr>
                    <m:sty m:val="bi"/>
                  </m:rPr>
                  <w:rPr>
                    <w:rFonts w:ascii="Cambria Math" w:hAnsi="Cambria Math"/>
                  </w:rPr>
                  <m:t>))</m:t>
                </m:r>
              </m:oMath>
            </m:oMathPara>
          </w:p>
        </w:tc>
        <w:tc>
          <w:tcPr>
            <w:tcW w:w="976" w:type="dxa"/>
            <w:shd w:val="clear" w:color="auto" w:fill="auto"/>
            <w:vAlign w:val="center"/>
          </w:tcPr>
          <w:p w14:paraId="78AE6318"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2</w:t>
            </w:r>
            <w:r w:rsidRPr="00BA1A31">
              <w:rPr>
                <w:lang w:val="en-GB"/>
              </w:rPr>
              <w:t>)</w:t>
            </w:r>
          </w:p>
        </w:tc>
      </w:tr>
    </w:tbl>
    <w:p w14:paraId="4162FE28" w14:textId="77777777" w:rsidR="005B4204" w:rsidRDefault="005B4204" w:rsidP="005B4204">
      <w:pPr>
        <w:pStyle w:val="Els-body-text"/>
        <w:rPr>
          <w:rFonts w:eastAsiaTheme="minorEastAsia"/>
          <w:iCs/>
        </w:rPr>
      </w:pPr>
      <w:r>
        <w:rPr>
          <w:szCs w:val="24"/>
        </w:rPr>
        <w:t xml:space="preserve">where </w:t>
      </w:r>
      <m:oMath>
        <m:r>
          <w:rPr>
            <w:rFonts w:ascii="Cambria Math" w:eastAsiaTheme="minorEastAsia" w:hAnsi="Cambria Math"/>
            <w:szCs w:val="24"/>
          </w:rPr>
          <m:t>t</m:t>
        </m:r>
      </m:oMath>
      <w:r w:rsidRPr="00461414">
        <w:rPr>
          <w:rFonts w:eastAsiaTheme="minorEastAsia"/>
          <w:szCs w:val="24"/>
        </w:rPr>
        <w:t xml:space="preserve"> is the </w:t>
      </w:r>
      <w:r>
        <w:rPr>
          <w:rFonts w:eastAsiaTheme="minorEastAsia"/>
          <w:szCs w:val="24"/>
        </w:rPr>
        <w:t xml:space="preserve">elapsed time in a batch system or space time in a steady-state system. </w:t>
      </w:r>
      <m:oMath>
        <m:r>
          <m:rPr>
            <m:sty m:val="bi"/>
          </m:rPr>
          <w:rPr>
            <w:rFonts w:ascii="Cambria Math" w:hAnsi="Cambria Math"/>
          </w:rPr>
          <m:t>x ∈</m:t>
        </m:r>
        <m:sSup>
          <m:sSupPr>
            <m:ctrlPr>
              <w:rPr>
                <w:rFonts w:ascii="Cambria Math" w:hAnsi="Cambria Math"/>
                <w:b/>
                <w:bCs/>
                <w:i/>
                <w:iCs/>
              </w:rPr>
            </m:ctrlPr>
          </m:sSupPr>
          <m:e>
            <m:r>
              <m:rPr>
                <m:scr m:val="double-struck"/>
                <m:sty m:val="bi"/>
              </m:rPr>
              <w:rPr>
                <w:rFonts w:ascii="Cambria Math" w:hAnsi="Cambria Math"/>
              </w:rPr>
              <m:t>R</m:t>
            </m:r>
          </m:e>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sup>
        </m:sSup>
      </m:oMath>
      <w:r>
        <w:rPr>
          <w:rFonts w:eastAsiaTheme="minorEastAsia"/>
          <w:iCs/>
        </w:rPr>
        <w:t xml:space="preserve"> is the vector of state variables representing the process system and </w:t>
      </w:r>
      <m:oMath>
        <m:acc>
          <m:accPr>
            <m:chr m:val="̇"/>
            <m:ctrlPr>
              <w:rPr>
                <w:rFonts w:ascii="Cambria Math" w:hAnsi="Cambria Math"/>
                <w:b/>
                <w:bCs/>
                <w:i/>
                <w:iCs/>
              </w:rPr>
            </m:ctrlPr>
          </m:accPr>
          <m:e>
            <m:r>
              <m:rPr>
                <m:sty m:val="bi"/>
              </m:rPr>
              <w:rPr>
                <w:rFonts w:ascii="Cambria Math" w:hAnsi="Cambria Math"/>
              </w:rPr>
              <m:t>x</m:t>
            </m:r>
          </m:e>
        </m:acc>
      </m:oMath>
      <w:r w:rsidRPr="5D09F9B1">
        <w:rPr>
          <w:rFonts w:eastAsiaTheme="minorEastAsia"/>
        </w:rPr>
        <w:t xml:space="preserve"> the first</w:t>
      </w:r>
      <w:r>
        <w:rPr>
          <w:rFonts w:eastAsiaTheme="minorEastAsia"/>
        </w:rPr>
        <w:t xml:space="preserve"> </w:t>
      </w:r>
      <w:r w:rsidRPr="5D09F9B1">
        <w:rPr>
          <w:rFonts w:eastAsiaTheme="minorEastAsia"/>
        </w:rPr>
        <w:t>derivative of the state variables</w:t>
      </w:r>
      <w:r>
        <w:rPr>
          <w:rFonts w:eastAsiaTheme="minorEastAsia"/>
        </w:rPr>
        <w:t xml:space="preserve"> with respect to time. </w:t>
      </w:r>
      <m:oMath>
        <m:r>
          <m:rPr>
            <m:sty m:val="bi"/>
          </m:rPr>
          <w:rPr>
            <w:rFonts w:ascii="Cambria Math" w:hAnsi="Cambria Math"/>
          </w:rPr>
          <m:t>u∈</m:t>
        </m:r>
        <m:sSup>
          <m:sSupPr>
            <m:ctrlPr>
              <w:rPr>
                <w:rFonts w:ascii="Cambria Math" w:hAnsi="Cambria Math"/>
                <w:b/>
                <w:bCs/>
                <w:i/>
                <w:iCs/>
              </w:rPr>
            </m:ctrlPr>
          </m:sSupPr>
          <m:e>
            <m:r>
              <m:rPr>
                <m:scr m:val="double-struck"/>
                <m:sty m:val="bi"/>
              </m:rPr>
              <w:rPr>
                <w:rFonts w:ascii="Cambria Math" w:hAnsi="Cambria Math"/>
              </w:rPr>
              <m:t>R</m:t>
            </m:r>
          </m:e>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m:t>
                </m:r>
              </m:sub>
            </m:sSub>
          </m:sup>
        </m:sSup>
      </m:oMath>
      <w:r>
        <w:rPr>
          <w:rFonts w:eastAsiaTheme="minorEastAsia"/>
          <w:iCs/>
        </w:rPr>
        <w:t xml:space="preserve"> is the vector of control (manipulated) variables whereas </w:t>
      </w:r>
      <m:oMath>
        <m:r>
          <m:rPr>
            <m:sty m:val="bi"/>
          </m:rPr>
          <w:rPr>
            <w:rFonts w:ascii="Cambria Math" w:hAnsi="Cambria Math"/>
          </w:rPr>
          <m:t>θ∈</m:t>
        </m:r>
        <m:sSup>
          <m:sSupPr>
            <m:ctrlPr>
              <w:rPr>
                <w:rFonts w:ascii="Cambria Math" w:hAnsi="Cambria Math"/>
                <w:b/>
                <w:bCs/>
                <w:i/>
                <w:iCs/>
              </w:rPr>
            </m:ctrlPr>
          </m:sSupPr>
          <m:e>
            <m:r>
              <m:rPr>
                <m:scr m:val="double-struck"/>
                <m:sty m:val="bi"/>
              </m:rPr>
              <w:rPr>
                <w:rFonts w:ascii="Cambria Math" w:hAnsi="Cambria Math"/>
              </w:rPr>
              <m:t>R</m:t>
            </m:r>
          </m:e>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θ</m:t>
                </m:r>
              </m:sub>
            </m:sSub>
          </m:sup>
        </m:sSup>
      </m:oMath>
      <w:r>
        <w:rPr>
          <w:rFonts w:eastAsiaTheme="minorEastAsia"/>
          <w:iCs/>
        </w:rPr>
        <w:t xml:space="preserve"> is the vector of unknown model parameters to </w:t>
      </w:r>
      <w:r>
        <w:rPr>
          <w:rFonts w:eastAsiaTheme="minorEastAsia"/>
          <w:iCs/>
        </w:rPr>
        <w:lastRenderedPageBreak/>
        <w:t xml:space="preserve">be estimated within a continuous realisable set </w:t>
      </w:r>
      <m:oMath>
        <m:r>
          <m:rPr>
            <m:sty m:val="b"/>
          </m:rPr>
          <w:rPr>
            <w:rFonts w:ascii="Cambria Math" w:hAnsi="Cambria Math"/>
          </w:rPr>
          <m:t>Θ</m:t>
        </m:r>
      </m:oMath>
      <w:r>
        <w:rPr>
          <w:rFonts w:eastAsiaTheme="minorEastAsia"/>
          <w:bCs/>
        </w:rPr>
        <w:t>;</w:t>
      </w:r>
      <w:r>
        <w:rPr>
          <w:rFonts w:eastAsiaTheme="minorEastAsia"/>
          <w:iCs/>
        </w:rPr>
        <w:t xml:space="preserve"> </w:t>
      </w:r>
      <m:oMath>
        <m:r>
          <m:rPr>
            <m:sty m:val="bi"/>
          </m:rPr>
          <w:rPr>
            <w:rFonts w:ascii="Cambria Math" w:hAnsi="Cambria Math"/>
            <w:szCs w:val="24"/>
          </w:rPr>
          <m:t>y</m:t>
        </m:r>
        <m:r>
          <m:rPr>
            <m:sty m:val="bi"/>
          </m:rPr>
          <w:rPr>
            <w:rFonts w:ascii="Cambria Math" w:hAnsi="Cambria Math"/>
          </w:rPr>
          <m:t>∈</m:t>
        </m:r>
        <m:sSup>
          <m:sSupPr>
            <m:ctrlPr>
              <w:rPr>
                <w:rFonts w:ascii="Cambria Math" w:hAnsi="Cambria Math"/>
                <w:b/>
                <w:bCs/>
                <w:i/>
                <w:iCs/>
              </w:rPr>
            </m:ctrlPr>
          </m:sSupPr>
          <m:e>
            <m:r>
              <m:rPr>
                <m:scr m:val="double-struck"/>
                <m:sty m:val="bi"/>
              </m:rPr>
              <w:rPr>
                <w:rFonts w:ascii="Cambria Math" w:hAnsi="Cambria Math"/>
              </w:rPr>
              <m:t>R</m:t>
            </m:r>
          </m:e>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sup>
        </m:sSup>
      </m:oMath>
      <w:r>
        <w:rPr>
          <w:rFonts w:eastAsiaTheme="minorEastAsia"/>
          <w:iCs/>
        </w:rPr>
        <w:t xml:space="preserve"> is the vector of measured (output) variables.</w:t>
      </w:r>
    </w:p>
    <w:p w14:paraId="0DBD2471" w14:textId="77777777" w:rsidR="005B4204" w:rsidRDefault="005B4204" w:rsidP="005B4204">
      <w:pPr>
        <w:pStyle w:val="Els-body-text"/>
        <w:rPr>
          <w:rFonts w:eastAsiaTheme="minorEastAsia"/>
          <w:bCs/>
        </w:rPr>
      </w:pPr>
      <w:r>
        <w:rPr>
          <w:rFonts w:eastAsiaTheme="minorEastAsia"/>
          <w:iCs/>
        </w:rPr>
        <w:t xml:space="preserve">Module 2 in the </w:t>
      </w:r>
      <w:proofErr w:type="spellStart"/>
      <w:r>
        <w:rPr>
          <w:rFonts w:eastAsiaTheme="minorEastAsia"/>
          <w:iCs/>
        </w:rPr>
        <w:t>SimBot</w:t>
      </w:r>
      <w:proofErr w:type="spellEnd"/>
      <w:r>
        <w:rPr>
          <w:rFonts w:eastAsiaTheme="minorEastAsia"/>
          <w:iCs/>
        </w:rPr>
        <w:t xml:space="preserve"> can be used to design preliminary experiments following two different methodologies: Latin-hypercube sampling (LHS) and robust </w:t>
      </w:r>
      <w:proofErr w:type="spellStart"/>
      <w:r>
        <w:rPr>
          <w:rFonts w:eastAsiaTheme="minorEastAsia"/>
          <w:iCs/>
        </w:rPr>
        <w:t>MBDoE</w:t>
      </w:r>
      <w:proofErr w:type="spellEnd"/>
      <w:r>
        <w:rPr>
          <w:rFonts w:eastAsiaTheme="minorEastAsia"/>
          <w:iCs/>
        </w:rPr>
        <w:t xml:space="preserve">. </w:t>
      </w:r>
      <w:r>
        <w:rPr>
          <w:rFonts w:eastAsiaTheme="minorEastAsia"/>
        </w:rPr>
        <w:t xml:space="preserve">Design of experiments in the LHS technique follows 4 steps: </w:t>
      </w:r>
      <w:proofErr w:type="spellStart"/>
      <w:r>
        <w:rPr>
          <w:rFonts w:eastAsiaTheme="minorEastAsia"/>
        </w:rPr>
        <w:t>i</w:t>
      </w:r>
      <w:proofErr w:type="spellEnd"/>
      <w:r>
        <w:rPr>
          <w:rFonts w:eastAsiaTheme="minorEastAsia"/>
        </w:rPr>
        <w:t xml:space="preserve">) the </w:t>
      </w:r>
      <w:r>
        <w:rPr>
          <w:rFonts w:eastAsiaTheme="minorEastAsia"/>
          <w:bCs/>
        </w:rPr>
        <w:t xml:space="preserve">LHS partitions the design space </w:t>
      </w:r>
      <m:oMath>
        <m:r>
          <m:rPr>
            <m:sty m:val="b"/>
          </m:rPr>
          <w:rPr>
            <w:rFonts w:ascii="Cambria Math" w:eastAsiaTheme="minorEastAsia" w:hAnsi="Cambria Math"/>
          </w:rPr>
          <m:t>Φ</m:t>
        </m:r>
      </m:oMath>
      <w:r>
        <w:rPr>
          <w:rFonts w:eastAsiaTheme="minorEastAsia"/>
          <w:iCs/>
        </w:rPr>
        <w:t xml:space="preserve"> equally into </w:t>
      </w:r>
      <m:oMath>
        <m:sSup>
          <m:sSupPr>
            <m:ctrlPr>
              <w:rPr>
                <w:rFonts w:ascii="Cambria Math" w:eastAsiaTheme="minorEastAsia" w:hAnsi="Cambria Math"/>
                <w:i/>
                <w:iCs/>
              </w:rPr>
            </m:ctrlPr>
          </m:sSup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exp</m:t>
                </m:r>
              </m:sub>
            </m:sSub>
          </m:e>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φ</m:t>
                </m:r>
              </m:sub>
            </m:sSub>
          </m:sup>
        </m:sSup>
      </m:oMath>
      <w:r>
        <w:rPr>
          <w:rFonts w:eastAsiaTheme="minorEastAsia"/>
          <w:iCs/>
        </w:rPr>
        <w:t xml:space="preserve"> hypercubes  </w:t>
      </w:r>
      <m:oMath>
        <m:sSub>
          <m:sSubPr>
            <m:ctrlPr>
              <w:rPr>
                <w:rFonts w:ascii="Cambria Math" w:eastAsiaTheme="minorEastAsia" w:hAnsi="Cambria Math"/>
                <w:i/>
                <w:iCs/>
              </w:rPr>
            </m:ctrlPr>
          </m:sSubPr>
          <m:e>
            <m:r>
              <m:rPr>
                <m:sty m:val="b"/>
              </m:rPr>
              <w:rPr>
                <w:rFonts w:ascii="Cambria Math" w:eastAsiaTheme="minorEastAsia" w:hAnsi="Cambria Math"/>
              </w:rPr>
              <m:t>Φ</m:t>
            </m:r>
          </m:e>
          <m:sub>
            <m:r>
              <w:rPr>
                <w:rFonts w:ascii="Cambria Math" w:eastAsiaTheme="minorEastAsia" w:hAnsi="Cambria Math"/>
              </w:rPr>
              <m:t>i</m:t>
            </m:r>
          </m:sub>
        </m:sSub>
      </m:oMath>
      <w:r>
        <w:rPr>
          <w:rFonts w:eastAsiaTheme="minorEastAsia"/>
          <w:iCs/>
        </w:rPr>
        <w:t xml:space="preserve">, ii) selects randomly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exp</m:t>
            </m:r>
          </m:sub>
        </m:sSub>
      </m:oMath>
      <w:r>
        <w:rPr>
          <w:rFonts w:eastAsiaTheme="minorEastAsia"/>
        </w:rPr>
        <w:t xml:space="preserve"> hypercubes </w:t>
      </w:r>
      <w:r>
        <w:rPr>
          <w:rFonts w:eastAsiaTheme="minorEastAsia"/>
          <w:iCs/>
        </w:rPr>
        <w:t xml:space="preserve"> </w:t>
      </w:r>
      <m:oMath>
        <m:sSub>
          <m:sSubPr>
            <m:ctrlPr>
              <w:rPr>
                <w:rFonts w:ascii="Cambria Math" w:eastAsiaTheme="minorEastAsia" w:hAnsi="Cambria Math"/>
                <w:i/>
                <w:iCs/>
              </w:rPr>
            </m:ctrlPr>
          </m:sSubPr>
          <m:e>
            <m:r>
              <m:rPr>
                <m:sty m:val="b"/>
              </m:rPr>
              <w:rPr>
                <w:rFonts w:ascii="Cambria Math" w:eastAsiaTheme="minorEastAsia" w:hAnsi="Cambria Math"/>
              </w:rPr>
              <m:t>Φ</m:t>
            </m:r>
          </m:e>
          <m:sub>
            <m:r>
              <w:rPr>
                <w:rFonts w:ascii="Cambria Math" w:eastAsiaTheme="minorEastAsia" w:hAnsi="Cambria Math"/>
              </w:rPr>
              <m:t>i,s</m:t>
            </m:r>
          </m:sub>
        </m:sSub>
      </m:oMath>
      <w:r>
        <w:rPr>
          <w:rFonts w:eastAsiaTheme="minorEastAsia"/>
        </w:rPr>
        <w:t xml:space="preserve"> from this universal space </w:t>
      </w:r>
      <m:oMath>
        <m:r>
          <m:rPr>
            <m:sty m:val="b"/>
          </m:rPr>
          <w:rPr>
            <w:rFonts w:ascii="Cambria Math" w:eastAsiaTheme="minorEastAsia" w:hAnsi="Cambria Math"/>
          </w:rPr>
          <m:t>Φ</m:t>
        </m:r>
      </m:oMath>
      <w:r>
        <w:rPr>
          <w:rFonts w:eastAsiaTheme="minorEastAsia"/>
          <w:bCs/>
        </w:rPr>
        <w:t xml:space="preserve"> while ensuring </w:t>
      </w:r>
      <w:r>
        <w:rPr>
          <w:rFonts w:eastAsiaTheme="minorEastAsia"/>
        </w:rPr>
        <w:t>no two selected hypercubes (</w:t>
      </w:r>
      <m:oMath>
        <m:sSub>
          <m:sSubPr>
            <m:ctrlPr>
              <w:rPr>
                <w:rFonts w:ascii="Cambria Math" w:eastAsiaTheme="minorEastAsia" w:hAnsi="Cambria Math"/>
                <w:i/>
                <w:iCs/>
              </w:rPr>
            </m:ctrlPr>
          </m:sSubPr>
          <m:e>
            <m:r>
              <m:rPr>
                <m:sty m:val="b"/>
              </m:rPr>
              <w:rPr>
                <w:rFonts w:ascii="Cambria Math" w:eastAsiaTheme="minorEastAsia" w:hAnsi="Cambria Math"/>
              </w:rPr>
              <m:t>Φ</m:t>
            </m:r>
          </m:e>
          <m:sub>
            <m:r>
              <w:rPr>
                <w:rFonts w:ascii="Cambria Math" w:eastAsiaTheme="minorEastAsia" w:hAnsi="Cambria Math"/>
              </w:rPr>
              <m:t>i,s</m:t>
            </m:r>
          </m:sub>
        </m:sSub>
      </m:oMath>
      <w:r>
        <w:rPr>
          <w:rFonts w:eastAsiaTheme="minorEastAsia"/>
          <w:iCs/>
        </w:rPr>
        <w:t xml:space="preserve"> and </w:t>
      </w:r>
      <m:oMath>
        <m:sSub>
          <m:sSubPr>
            <m:ctrlPr>
              <w:rPr>
                <w:rFonts w:ascii="Cambria Math" w:eastAsiaTheme="minorEastAsia" w:hAnsi="Cambria Math"/>
                <w:i/>
                <w:iCs/>
              </w:rPr>
            </m:ctrlPr>
          </m:sSubPr>
          <m:e>
            <m:r>
              <m:rPr>
                <m:sty m:val="b"/>
              </m:rPr>
              <w:rPr>
                <w:rFonts w:ascii="Cambria Math" w:eastAsiaTheme="minorEastAsia" w:hAnsi="Cambria Math"/>
              </w:rPr>
              <m:t>Φ</m:t>
            </m:r>
          </m:e>
          <m:sub>
            <m:r>
              <w:rPr>
                <w:rFonts w:ascii="Cambria Math" w:eastAsiaTheme="minorEastAsia" w:hAnsi="Cambria Math"/>
              </w:rPr>
              <m:t>j,s</m:t>
            </m:r>
          </m:sub>
        </m:sSub>
      </m:oMath>
      <w:r>
        <w:rPr>
          <w:rFonts w:eastAsiaTheme="minorEastAsia"/>
        </w:rPr>
        <w:t xml:space="preserve">) are in the same partitioned space, iii) </w:t>
      </w:r>
      <w:r>
        <w:rPr>
          <w:rFonts w:eastAsiaTheme="minorEastAsia"/>
          <w:bCs/>
        </w:rPr>
        <w:t>then generates</w:t>
      </w:r>
      <w:r>
        <w:rPr>
          <w:rFonts w:eastAsiaTheme="minorEastAsia"/>
        </w:rPr>
        <w:t xml:space="preserve"> statistically </w:t>
      </w:r>
      <w:r>
        <w:rPr>
          <w:rFonts w:eastAsiaTheme="minorEastAsia"/>
          <w:bCs/>
        </w:rPr>
        <w:t xml:space="preserve">random numbers within </w:t>
      </w:r>
      <m:oMath>
        <m:r>
          <w:rPr>
            <w:rFonts w:ascii="Cambria Math" w:eastAsiaTheme="minorEastAsia" w:hAnsi="Cambria Math"/>
          </w:rPr>
          <m:t>[0,1]</m:t>
        </m:r>
      </m:oMath>
      <w:r>
        <w:rPr>
          <w:rFonts w:eastAsiaTheme="minorEastAsia"/>
          <w:bCs/>
        </w:rPr>
        <w:t xml:space="preserve">, one for each design space dimension, and iv) lastly multiplies each random number by the dimension range to situate a designed experiment in each selected hypercube </w:t>
      </w:r>
      <m:oMath>
        <m:sSub>
          <m:sSubPr>
            <m:ctrlPr>
              <w:rPr>
                <w:rFonts w:ascii="Cambria Math" w:eastAsiaTheme="minorEastAsia" w:hAnsi="Cambria Math"/>
                <w:i/>
                <w:iCs/>
              </w:rPr>
            </m:ctrlPr>
          </m:sSubPr>
          <m:e>
            <m:r>
              <m:rPr>
                <m:sty m:val="b"/>
              </m:rPr>
              <w:rPr>
                <w:rFonts w:ascii="Cambria Math" w:eastAsiaTheme="minorEastAsia" w:hAnsi="Cambria Math"/>
              </w:rPr>
              <m:t>Φ</m:t>
            </m:r>
          </m:e>
          <m:sub>
            <m:r>
              <w:rPr>
                <w:rFonts w:ascii="Cambria Math" w:eastAsiaTheme="minorEastAsia" w:hAnsi="Cambria Math"/>
              </w:rPr>
              <m:t>i,s</m:t>
            </m:r>
          </m:sub>
        </m:sSub>
      </m:oMath>
      <w:r>
        <w:rPr>
          <w:rFonts w:eastAsiaTheme="minorEastAsia"/>
          <w:bCs/>
        </w:rPr>
        <w:t xml:space="preserve">. With the partitioning, the LHS explores the entire design space (“space filling design”). Robust MBDoE, on the other hand, directly employs the model in the design space without prior parameter estimates </w:t>
      </w:r>
      <m:oMath>
        <m:sSub>
          <m:sSubPr>
            <m:ctrlPr>
              <w:rPr>
                <w:rFonts w:ascii="Cambria Math" w:hAnsi="Cambria Math"/>
                <w:b/>
                <w:i/>
              </w:rPr>
            </m:ctrlPr>
          </m:sSubPr>
          <m:e>
            <m:r>
              <m:rPr>
                <m:sty m:val="bi"/>
              </m:rPr>
              <w:rPr>
                <w:rFonts w:ascii="Cambria Math" w:hAnsi="Cambria Math"/>
              </w:rPr>
              <m:t>θ</m:t>
            </m:r>
          </m:e>
          <m:sub>
            <m:r>
              <w:rPr>
                <w:rFonts w:ascii="Cambria Math" w:hAnsi="Cambria Math"/>
              </w:rPr>
              <m:t>0</m:t>
            </m:r>
          </m:sub>
        </m:sSub>
      </m:oMath>
      <w:r>
        <w:rPr>
          <w:rFonts w:eastAsiaTheme="minorEastAsia"/>
          <w:bCs/>
        </w:rPr>
        <w:t xml:space="preserve">. Rather, this methodology employs an uncertain parameter space </w:t>
      </w:r>
      <m:oMath>
        <m:r>
          <m:rPr>
            <m:sty m:val="b"/>
          </m:rPr>
          <w:rPr>
            <w:rFonts w:ascii="Cambria Math" w:hAnsi="Cambria Math"/>
          </w:rPr>
          <m:t>Θ</m:t>
        </m:r>
      </m:oMath>
      <w:r>
        <w:rPr>
          <w:rFonts w:eastAsiaTheme="minorEastAsia"/>
          <w:bCs/>
        </w:rPr>
        <w:t xml:space="preserve"> to design preliminary experiments. It is an ab-initio optimization technique to maximise a scalar measure, in this work the determinant, of the Fisher information matrix in the design space. The Fisher information matrix (FIM) for a sampled point in the design space can be expressed as (Quaglio et al., 2018):</w:t>
      </w:r>
    </w:p>
    <w:tbl>
      <w:tblPr>
        <w:tblW w:w="7087" w:type="dxa"/>
        <w:tblLook w:val="04A0" w:firstRow="1" w:lastRow="0" w:firstColumn="1" w:lastColumn="0" w:noHBand="0" w:noVBand="1"/>
      </w:tblPr>
      <w:tblGrid>
        <w:gridCol w:w="6111"/>
        <w:gridCol w:w="976"/>
      </w:tblGrid>
      <w:tr w:rsidR="005B4204" w:rsidRPr="00BA1A31" w14:paraId="620B6BE1" w14:textId="77777777" w:rsidTr="00E83AF3">
        <w:tc>
          <w:tcPr>
            <w:tcW w:w="6111" w:type="dxa"/>
            <w:shd w:val="clear" w:color="auto" w:fill="auto"/>
            <w:vAlign w:val="center"/>
          </w:tcPr>
          <w:p w14:paraId="2C2BC9B6" w14:textId="77777777" w:rsidR="005B4204" w:rsidRPr="00082A44" w:rsidRDefault="005B4204" w:rsidP="00E83AF3">
            <w:pPr>
              <w:pStyle w:val="Els-body-text"/>
              <w:spacing w:before="120" w:after="120" w:line="264" w:lineRule="auto"/>
              <w:rPr>
                <w:lang w:val="en-GB"/>
              </w:rPr>
            </w:pPr>
            <m:oMathPara>
              <m:oMathParaPr>
                <m:jc m:val="left"/>
              </m:oMathParaPr>
              <m:oMath>
                <m:sSub>
                  <m:sSubPr>
                    <m:ctrlPr>
                      <w:rPr>
                        <w:rFonts w:ascii="Cambria Math" w:eastAsia="Calibri" w:hAnsi="Cambria Math"/>
                        <w:b/>
                        <w:szCs w:val="24"/>
                      </w:rPr>
                    </m:ctrlPr>
                  </m:sSubPr>
                  <m:e>
                    <m:r>
                      <m:rPr>
                        <m:sty m:val="bi"/>
                      </m:rPr>
                      <w:rPr>
                        <w:rFonts w:ascii="Cambria Math" w:eastAsia="Calibri" w:hAnsi="Cambria Math"/>
                        <w:szCs w:val="24"/>
                      </w:rPr>
                      <m:t>H</m:t>
                    </m:r>
                  </m:e>
                  <m:sub>
                    <m:r>
                      <m:rPr>
                        <m:sty m:val="bi"/>
                      </m:rPr>
                      <w:rPr>
                        <w:rFonts w:ascii="Cambria Math" w:hAnsi="Cambria Math"/>
                      </w:rPr>
                      <m:t>θ</m:t>
                    </m:r>
                  </m:sub>
                </m:sSub>
                <m:d>
                  <m:dPr>
                    <m:ctrlPr>
                      <w:rPr>
                        <w:rFonts w:ascii="Cambria Math" w:eastAsia="Calibri" w:hAnsi="Cambria Math"/>
                        <w:i/>
                        <w:szCs w:val="24"/>
                      </w:rPr>
                    </m:ctrlPr>
                  </m:dPr>
                  <m:e>
                    <m:r>
                      <m:rPr>
                        <m:sty m:val="bi"/>
                      </m:rPr>
                      <w:rPr>
                        <w:rFonts w:ascii="Cambria Math" w:hAnsi="Cambria Math"/>
                      </w:rPr>
                      <m:t>θ</m:t>
                    </m:r>
                    <m:r>
                      <m:rPr>
                        <m:sty m:val="bi"/>
                      </m:rPr>
                      <w:rPr>
                        <w:rFonts w:ascii="Cambria Math" w:eastAsia="Calibri" w:hAnsi="Cambria Math"/>
                        <w:szCs w:val="24"/>
                      </w:rPr>
                      <m:t xml:space="preserve">, </m:t>
                    </m:r>
                    <m:r>
                      <m:rPr>
                        <m:sty m:val="b"/>
                      </m:rPr>
                      <w:rPr>
                        <w:rFonts w:ascii="Cambria Math" w:eastAsiaTheme="minorEastAsia" w:hAnsi="Cambria Math"/>
                        <w:szCs w:val="24"/>
                      </w:rPr>
                      <m:t>φ</m:t>
                    </m:r>
                    <m:ctrlPr>
                      <w:rPr>
                        <w:rFonts w:ascii="Cambria Math" w:eastAsia="Calibri" w:hAnsi="Cambria Math"/>
                        <w:b/>
                        <w:szCs w:val="24"/>
                      </w:rPr>
                    </m:ctrlPr>
                  </m:e>
                </m:d>
                <m:r>
                  <m:rPr>
                    <m:sty m:val="bi"/>
                  </m:rPr>
                  <w:rPr>
                    <w:rFonts w:ascii="Cambria Math" w:eastAsia="Calibri" w:hAnsi="Cambria Math"/>
                    <w:szCs w:val="24"/>
                  </w:rPr>
                  <m:t>=</m:t>
                </m:r>
                <m:nary>
                  <m:naryPr>
                    <m:chr m:val="∑"/>
                    <m:limLoc m:val="undOvr"/>
                    <m:ctrlPr>
                      <w:rPr>
                        <w:rFonts w:ascii="Cambria Math" w:eastAsia="Calibri" w:hAnsi="Cambria Math"/>
                        <w:b/>
                        <w:i/>
                        <w:szCs w:val="24"/>
                      </w:rPr>
                    </m:ctrlPr>
                  </m:naryPr>
                  <m:sub>
                    <m:r>
                      <w:rPr>
                        <w:rFonts w:ascii="Cambria Math" w:eastAsia="Calibri" w:hAnsi="Cambria Math"/>
                        <w:szCs w:val="24"/>
                      </w:rPr>
                      <m:t>i</m:t>
                    </m:r>
                  </m:sub>
                  <m:sup>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y</m:t>
                        </m:r>
                      </m:sub>
                    </m:sSub>
                  </m:sup>
                  <m:e>
                    <m:f>
                      <m:fPr>
                        <m:ctrlPr>
                          <w:rPr>
                            <w:rFonts w:ascii="Cambria Math" w:eastAsia="Calibri" w:hAnsi="Cambria Math"/>
                            <w:b/>
                            <w:i/>
                            <w:szCs w:val="24"/>
                          </w:rPr>
                        </m:ctrlPr>
                      </m:fPr>
                      <m:num>
                        <m:r>
                          <w:rPr>
                            <w:rFonts w:ascii="Cambria Math" w:eastAsia="Calibri" w:hAnsi="Cambria Math"/>
                            <w:szCs w:val="24"/>
                          </w:rPr>
                          <m:t>1</m:t>
                        </m:r>
                      </m:num>
                      <m:den>
                        <m:sSubSup>
                          <m:sSubSupPr>
                            <m:ctrlPr>
                              <w:rPr>
                                <w:rFonts w:ascii="Cambria Math" w:eastAsia="Calibri" w:hAnsi="Cambria Math"/>
                                <w:bCs/>
                                <w:i/>
                                <w:szCs w:val="24"/>
                              </w:rPr>
                            </m:ctrlPr>
                          </m:sSubSupPr>
                          <m:e>
                            <m:r>
                              <w:rPr>
                                <w:rFonts w:ascii="Cambria Math" w:eastAsia="Calibri" w:hAnsi="Cambria Math"/>
                                <w:szCs w:val="24"/>
                              </w:rPr>
                              <m:t>σ</m:t>
                            </m:r>
                          </m:e>
                          <m:sub>
                            <m:r>
                              <w:rPr>
                                <w:rFonts w:ascii="Cambria Math" w:eastAsia="Calibri" w:hAnsi="Cambria Math"/>
                                <w:szCs w:val="24"/>
                              </w:rPr>
                              <m:t>i</m:t>
                            </m:r>
                          </m:sub>
                          <m:sup>
                            <m:r>
                              <w:rPr>
                                <w:rFonts w:ascii="Cambria Math" w:eastAsia="Calibri" w:hAnsi="Cambria Math"/>
                                <w:szCs w:val="24"/>
                              </w:rPr>
                              <m:t>2</m:t>
                            </m:r>
                          </m:sup>
                        </m:sSubSup>
                      </m:den>
                    </m:f>
                    <m:sSubSup>
                      <m:sSubSupPr>
                        <m:ctrlPr>
                          <w:rPr>
                            <w:rFonts w:ascii="Cambria Math" w:eastAsia="Calibri" w:hAnsi="Cambria Math"/>
                            <w:b/>
                            <w:i/>
                            <w:szCs w:val="24"/>
                          </w:rPr>
                        </m:ctrlPr>
                      </m:sSubSupPr>
                      <m:e>
                        <m:r>
                          <m:rPr>
                            <m:sty m:val="bi"/>
                          </m:rPr>
                          <w:rPr>
                            <w:rFonts w:ascii="Cambria Math" w:eastAsia="Calibri" w:hAnsi="Cambria Math"/>
                            <w:szCs w:val="24"/>
                          </w:rPr>
                          <m:t>Q</m:t>
                        </m:r>
                      </m:e>
                      <m:sub>
                        <m:r>
                          <w:rPr>
                            <w:rFonts w:ascii="Cambria Math" w:eastAsia="Calibri" w:hAnsi="Cambria Math"/>
                            <w:szCs w:val="24"/>
                          </w:rPr>
                          <m:t>i</m:t>
                        </m:r>
                      </m:sub>
                      <m:sup>
                        <m:r>
                          <w:rPr>
                            <w:rFonts w:ascii="Cambria Math" w:eastAsia="Calibri" w:hAnsi="Cambria Math"/>
                            <w:szCs w:val="24"/>
                          </w:rPr>
                          <m:t>T</m:t>
                        </m:r>
                      </m:sup>
                    </m:sSubSup>
                    <m:sSub>
                      <m:sSubPr>
                        <m:ctrlPr>
                          <w:rPr>
                            <w:rFonts w:ascii="Cambria Math" w:eastAsia="Calibri" w:hAnsi="Cambria Math"/>
                            <w:b/>
                            <w:i/>
                            <w:szCs w:val="24"/>
                          </w:rPr>
                        </m:ctrlPr>
                      </m:sSubPr>
                      <m:e>
                        <m:r>
                          <m:rPr>
                            <m:sty m:val="bi"/>
                          </m:rPr>
                          <w:rPr>
                            <w:rFonts w:ascii="Cambria Math" w:eastAsia="Calibri" w:hAnsi="Cambria Math"/>
                            <w:szCs w:val="24"/>
                          </w:rPr>
                          <m:t>Q</m:t>
                        </m:r>
                      </m:e>
                      <m:sub>
                        <m:r>
                          <w:rPr>
                            <w:rFonts w:ascii="Cambria Math" w:eastAsia="Calibri" w:hAnsi="Cambria Math"/>
                            <w:szCs w:val="24"/>
                          </w:rPr>
                          <m:t>i</m:t>
                        </m:r>
                      </m:sub>
                    </m:sSub>
                  </m:e>
                </m:nary>
              </m:oMath>
            </m:oMathPara>
          </w:p>
        </w:tc>
        <w:tc>
          <w:tcPr>
            <w:tcW w:w="976" w:type="dxa"/>
            <w:shd w:val="clear" w:color="auto" w:fill="auto"/>
            <w:vAlign w:val="center"/>
          </w:tcPr>
          <w:p w14:paraId="26E6099C"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3</w:t>
            </w:r>
            <w:r w:rsidRPr="00BA1A31">
              <w:rPr>
                <w:lang w:val="en-GB"/>
              </w:rPr>
              <w:t>)</w:t>
            </w:r>
          </w:p>
        </w:tc>
      </w:tr>
    </w:tbl>
    <w:p w14:paraId="6B367825" w14:textId="77777777" w:rsidR="005B4204" w:rsidRDefault="005B4204" w:rsidP="005B4204">
      <w:pPr>
        <w:pStyle w:val="Els-body-text"/>
        <w:rPr>
          <w:rFonts w:eastAsiaTheme="minorEastAsia"/>
          <w:bCs/>
          <w:szCs w:val="24"/>
        </w:rPr>
      </w:pPr>
      <w:r>
        <w:rPr>
          <w:rFonts w:eastAsiaTheme="minorEastAsia"/>
          <w:bCs/>
        </w:rPr>
        <w:t xml:space="preserve">where </w:t>
      </w:r>
      <m:oMath>
        <m:sSub>
          <m:sSubPr>
            <m:ctrlPr>
              <w:rPr>
                <w:rFonts w:ascii="Cambria Math" w:eastAsia="Calibri" w:hAnsi="Cambria Math"/>
                <w:b/>
                <w:i/>
                <w:szCs w:val="24"/>
              </w:rPr>
            </m:ctrlPr>
          </m:sSubPr>
          <m:e>
            <m:r>
              <m:rPr>
                <m:sty m:val="bi"/>
              </m:rPr>
              <w:rPr>
                <w:rFonts w:ascii="Cambria Math" w:eastAsia="Calibri" w:hAnsi="Cambria Math"/>
                <w:szCs w:val="24"/>
              </w:rPr>
              <m:t>Q</m:t>
            </m:r>
          </m:e>
          <m:sub>
            <m:r>
              <w:rPr>
                <w:rFonts w:ascii="Cambria Math" w:eastAsia="Calibri" w:hAnsi="Cambria Math"/>
                <w:szCs w:val="24"/>
              </w:rPr>
              <m:t>i</m:t>
            </m:r>
          </m:sub>
        </m:sSub>
      </m:oMath>
      <w:r>
        <w:rPr>
          <w:rFonts w:eastAsiaTheme="minorEastAsia"/>
          <w:bCs/>
          <w:szCs w:val="24"/>
        </w:rPr>
        <w:t xml:space="preserve"> is the matrix of the sensitivity coefficients </w:t>
      </w:r>
      <m:oMath>
        <m:sSub>
          <m:sSubPr>
            <m:ctrlPr>
              <w:rPr>
                <w:rFonts w:ascii="Cambria Math" w:eastAsia="Calibri" w:hAnsi="Cambria Math"/>
                <w:b/>
                <w:i/>
                <w:szCs w:val="24"/>
              </w:rPr>
            </m:ctrlPr>
          </m:sSubPr>
          <m:e>
            <m:r>
              <w:rPr>
                <w:rFonts w:ascii="Cambria Math" w:eastAsia="Calibri" w:hAnsi="Cambria Math"/>
                <w:szCs w:val="24"/>
              </w:rPr>
              <m:t>q</m:t>
            </m:r>
          </m:e>
          <m:sub>
            <m:r>
              <w:rPr>
                <w:rFonts w:ascii="Cambria Math" w:eastAsia="Calibri" w:hAnsi="Cambria Math"/>
                <w:szCs w:val="24"/>
              </w:rPr>
              <m:t>ij</m:t>
            </m:r>
          </m:sub>
        </m:sSub>
      </m:oMath>
      <w:r>
        <w:rPr>
          <w:rFonts w:eastAsiaTheme="minorEastAsia"/>
          <w:bCs/>
          <w:szCs w:val="24"/>
        </w:rPr>
        <w:t xml:space="preserve"> defined as:</w:t>
      </w:r>
    </w:p>
    <w:tbl>
      <w:tblPr>
        <w:tblW w:w="7087" w:type="dxa"/>
        <w:tblLook w:val="04A0" w:firstRow="1" w:lastRow="0" w:firstColumn="1" w:lastColumn="0" w:noHBand="0" w:noVBand="1"/>
      </w:tblPr>
      <w:tblGrid>
        <w:gridCol w:w="6111"/>
        <w:gridCol w:w="976"/>
      </w:tblGrid>
      <w:tr w:rsidR="005B4204" w:rsidRPr="00BA1A31" w14:paraId="7D4B92D6" w14:textId="77777777" w:rsidTr="00E83AF3">
        <w:tc>
          <w:tcPr>
            <w:tcW w:w="6111" w:type="dxa"/>
            <w:shd w:val="clear" w:color="auto" w:fill="auto"/>
            <w:vAlign w:val="center"/>
          </w:tcPr>
          <w:p w14:paraId="23AC0261" w14:textId="77777777" w:rsidR="005B4204" w:rsidRPr="00082A44" w:rsidRDefault="005B4204" w:rsidP="00E83AF3">
            <w:pPr>
              <w:pStyle w:val="Els-body-text"/>
              <w:spacing w:before="120" w:after="120" w:line="264" w:lineRule="auto"/>
              <w:rPr>
                <w:lang w:val="en-GB"/>
              </w:rPr>
            </w:pPr>
            <m:oMath>
              <m:sSub>
                <m:sSubPr>
                  <m:ctrlPr>
                    <w:rPr>
                      <w:rFonts w:ascii="Cambria Math" w:eastAsia="Calibri" w:hAnsi="Cambria Math"/>
                      <w:b/>
                      <w:i/>
                      <w:szCs w:val="24"/>
                    </w:rPr>
                  </m:ctrlPr>
                </m:sSubPr>
                <m:e>
                  <m:r>
                    <w:rPr>
                      <w:rFonts w:ascii="Cambria Math" w:eastAsia="Calibri" w:hAnsi="Cambria Math"/>
                      <w:szCs w:val="24"/>
                    </w:rPr>
                    <m:t>q</m:t>
                  </m:r>
                </m:e>
                <m:sub>
                  <m:r>
                    <w:rPr>
                      <w:rFonts w:ascii="Cambria Math" w:eastAsia="Calibri" w:hAnsi="Cambria Math"/>
                      <w:szCs w:val="24"/>
                    </w:rPr>
                    <m:t>ij</m:t>
                  </m:r>
                </m:sub>
              </m:sSub>
              <m:r>
                <m:rPr>
                  <m:sty m:val="bi"/>
                </m:rPr>
                <w:rPr>
                  <w:rFonts w:ascii="Cambria Math" w:eastAsia="Calibri" w:hAnsi="Cambria Math"/>
                  <w:szCs w:val="24"/>
                </w:rPr>
                <m:t>=</m:t>
              </m:r>
              <m:f>
                <m:fPr>
                  <m:ctrlPr>
                    <w:rPr>
                      <w:rFonts w:ascii="Cambria Math" w:eastAsia="Calibri" w:hAnsi="Cambria Math"/>
                      <w:i/>
                      <w:szCs w:val="24"/>
                    </w:rPr>
                  </m:ctrlPr>
                </m:fPr>
                <m:num>
                  <m:r>
                    <w:rPr>
                      <w:rFonts w:ascii="Cambria Math" w:eastAsia="Calibri" w:hAnsi="Cambria Math"/>
                      <w:szCs w:val="24"/>
                    </w:rPr>
                    <m:t>∂</m:t>
                  </m:r>
                  <m:sSub>
                    <m:sSubPr>
                      <m:ctrlPr>
                        <w:rPr>
                          <w:rFonts w:ascii="Cambria Math" w:eastAsia="Calibri" w:hAnsi="Cambria Math"/>
                          <w:i/>
                          <w:szCs w:val="24"/>
                        </w:rPr>
                      </m:ctrlPr>
                    </m:sSubPr>
                    <m:e>
                      <m:acc>
                        <m:accPr>
                          <m:ctrlPr>
                            <w:rPr>
                              <w:rFonts w:ascii="Cambria Math" w:eastAsia="Calibri" w:hAnsi="Cambria Math"/>
                              <w:i/>
                              <w:szCs w:val="24"/>
                            </w:rPr>
                          </m:ctrlPr>
                        </m:accPr>
                        <m:e>
                          <m:r>
                            <w:rPr>
                              <w:rFonts w:ascii="Cambria Math" w:eastAsia="Calibri" w:hAnsi="Cambria Math"/>
                              <w:szCs w:val="24"/>
                            </w:rPr>
                            <m:t>y</m:t>
                          </m:r>
                        </m:e>
                      </m:acc>
                    </m:e>
                    <m:sub>
                      <m:r>
                        <w:rPr>
                          <w:rFonts w:ascii="Cambria Math" w:eastAsia="Calibri" w:hAnsi="Cambria Math"/>
                          <w:szCs w:val="24"/>
                        </w:rPr>
                        <m:t>i</m:t>
                      </m:r>
                    </m:sub>
                  </m:sSub>
                </m:num>
                <m:den>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θ</m:t>
                      </m:r>
                    </m:e>
                    <m:sub>
                      <m:r>
                        <w:rPr>
                          <w:rFonts w:ascii="Cambria Math" w:eastAsia="Calibri" w:hAnsi="Cambria Math"/>
                          <w:szCs w:val="24"/>
                        </w:rPr>
                        <m:t>j</m:t>
                      </m:r>
                    </m:sub>
                  </m:sSub>
                </m:den>
              </m:f>
            </m:oMath>
            <w:r>
              <w:rPr>
                <w:rFonts w:eastAsiaTheme="minorEastAsia"/>
                <w:szCs w:val="24"/>
              </w:rPr>
              <w:tab/>
            </w:r>
            <m:oMath>
              <m:r>
                <w:rPr>
                  <w:rFonts w:ascii="Cambria Math" w:eastAsiaTheme="minorEastAsia" w:hAnsi="Cambria Math"/>
                  <w:szCs w:val="24"/>
                </w:rPr>
                <m:t>i=1,…,</m:t>
              </m:r>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y</m:t>
                  </m:r>
                </m:sub>
              </m:sSub>
              <m:r>
                <w:rPr>
                  <w:rFonts w:ascii="Cambria Math" w:eastAsia="Calibri" w:hAnsi="Cambria Math"/>
                  <w:szCs w:val="24"/>
                </w:rPr>
                <m:t>;</m:t>
              </m:r>
              <m:r>
                <w:rPr>
                  <w:rFonts w:ascii="Cambria Math" w:eastAsiaTheme="minorEastAsia" w:hAnsi="Cambria Math"/>
                  <w:szCs w:val="24"/>
                </w:rPr>
                <m:t>i=1,…,</m:t>
              </m:r>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θ</m:t>
                  </m:r>
                </m:sub>
              </m:sSub>
            </m:oMath>
          </w:p>
        </w:tc>
        <w:tc>
          <w:tcPr>
            <w:tcW w:w="976" w:type="dxa"/>
            <w:shd w:val="clear" w:color="auto" w:fill="auto"/>
            <w:vAlign w:val="center"/>
          </w:tcPr>
          <w:p w14:paraId="18E3FC1D"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4</w:t>
            </w:r>
            <w:r w:rsidRPr="00BA1A31">
              <w:rPr>
                <w:lang w:val="en-GB"/>
              </w:rPr>
              <w:t>)</w:t>
            </w:r>
          </w:p>
        </w:tc>
      </w:tr>
    </w:tbl>
    <w:p w14:paraId="574D25AF" w14:textId="77777777" w:rsidR="005B4204" w:rsidRDefault="005B4204" w:rsidP="005B4204">
      <w:pPr>
        <w:pStyle w:val="Els-body-text"/>
        <w:rPr>
          <w:rFonts w:eastAsiaTheme="minorEastAsia"/>
          <w:bCs/>
        </w:rPr>
      </w:pPr>
      <w:r>
        <w:rPr>
          <w:rFonts w:eastAsiaTheme="minorEastAsia"/>
          <w:bCs/>
        </w:rPr>
        <w:t xml:space="preserve">and </w:t>
      </w:r>
      <m:oMath>
        <m:sSub>
          <m:sSubPr>
            <m:ctrlPr>
              <w:rPr>
                <w:rFonts w:ascii="Cambria Math" w:eastAsiaTheme="minorEastAsia" w:hAnsi="Cambria Math"/>
                <w:bCs/>
                <w:i/>
                <w:szCs w:val="24"/>
              </w:rPr>
            </m:ctrlPr>
          </m:sSubPr>
          <m:e>
            <m:r>
              <w:rPr>
                <w:rFonts w:ascii="Cambria Math" w:eastAsiaTheme="minorEastAsia" w:hAnsi="Cambria Math"/>
                <w:szCs w:val="24"/>
              </w:rPr>
              <m:t>σ</m:t>
            </m:r>
          </m:e>
          <m:sub>
            <m:r>
              <w:rPr>
                <w:rFonts w:ascii="Cambria Math" w:eastAsiaTheme="minorEastAsia" w:hAnsi="Cambria Math"/>
                <w:szCs w:val="24"/>
              </w:rPr>
              <m:t>i</m:t>
            </m:r>
          </m:sub>
        </m:sSub>
      </m:oMath>
      <w:r>
        <w:rPr>
          <w:rFonts w:eastAsiaTheme="minorEastAsia"/>
          <w:bCs/>
          <w:szCs w:val="24"/>
        </w:rPr>
        <w:t xml:space="preserve"> the standard deviation of the measurement error associated with the measurement of the </w:t>
      </w:r>
      <w:r w:rsidRPr="005E0E29">
        <w:rPr>
          <w:rFonts w:eastAsiaTheme="minorEastAsia"/>
          <w:bCs/>
          <w:i/>
          <w:iCs/>
          <w:szCs w:val="24"/>
        </w:rPr>
        <w:t>j</w:t>
      </w:r>
      <w:r>
        <w:rPr>
          <w:rFonts w:eastAsiaTheme="minorEastAsia"/>
          <w:bCs/>
          <w:szCs w:val="24"/>
        </w:rPr>
        <w:t>-</w:t>
      </w:r>
      <w:proofErr w:type="spellStart"/>
      <w:r>
        <w:rPr>
          <w:rFonts w:eastAsiaTheme="minorEastAsia"/>
          <w:bCs/>
          <w:szCs w:val="24"/>
        </w:rPr>
        <w:t>th</w:t>
      </w:r>
      <w:proofErr w:type="spellEnd"/>
      <w:r>
        <w:rPr>
          <w:rFonts w:eastAsiaTheme="minorEastAsia"/>
          <w:bCs/>
          <w:szCs w:val="24"/>
        </w:rPr>
        <w:t xml:space="preserve"> response variable (here assumed to be uncorrelated and independent from the sampled experiments); </w:t>
      </w:r>
      <w:r w:rsidRPr="005E0E29">
        <w:rPr>
          <w:rFonts w:eastAsiaTheme="minorEastAsia"/>
          <w:b/>
          <w:szCs w:val="24"/>
        </w:rPr>
        <w:t>φ</w:t>
      </w:r>
      <w:r>
        <w:rPr>
          <w:rFonts w:eastAsiaTheme="minorEastAsia"/>
          <w:bCs/>
          <w:szCs w:val="24"/>
        </w:rPr>
        <w:t xml:space="preserve"> is the experimental design vector containing the decision variables being manipulated in the experiments. </w:t>
      </w:r>
      <w:r>
        <w:rPr>
          <w:rFonts w:eastAsiaTheme="minorEastAsia"/>
          <w:bCs/>
        </w:rPr>
        <w:t xml:space="preserve">Two </w:t>
      </w:r>
      <w:proofErr w:type="gramStart"/>
      <w:r>
        <w:rPr>
          <w:rFonts w:eastAsiaTheme="minorEastAsia"/>
          <w:bCs/>
        </w:rPr>
        <w:t>alternative</w:t>
      </w:r>
      <w:proofErr w:type="gramEnd"/>
      <w:r>
        <w:rPr>
          <w:rFonts w:eastAsiaTheme="minorEastAsia"/>
          <w:bCs/>
        </w:rPr>
        <w:t xml:space="preserve"> robust </w:t>
      </w:r>
      <w:proofErr w:type="spellStart"/>
      <w:r>
        <w:rPr>
          <w:rFonts w:eastAsiaTheme="minorEastAsia"/>
          <w:bCs/>
        </w:rPr>
        <w:t>MBDoE</w:t>
      </w:r>
      <w:proofErr w:type="spellEnd"/>
      <w:r>
        <w:rPr>
          <w:rFonts w:eastAsiaTheme="minorEastAsia"/>
          <w:bCs/>
        </w:rPr>
        <w:t xml:space="preserve"> approaches have been implemented in the </w:t>
      </w:r>
      <w:proofErr w:type="spellStart"/>
      <w:r>
        <w:rPr>
          <w:rFonts w:eastAsiaTheme="minorEastAsia"/>
          <w:bCs/>
        </w:rPr>
        <w:t>SimBot</w:t>
      </w:r>
      <w:proofErr w:type="spellEnd"/>
      <w:r>
        <w:rPr>
          <w:rFonts w:eastAsiaTheme="minorEastAsia"/>
          <w:bCs/>
        </w:rPr>
        <w:t>:  1) expected value and 2) worst case, expressed respectively as:</w:t>
      </w:r>
    </w:p>
    <w:p w14:paraId="45AB93D9" w14:textId="77777777" w:rsidR="005B4204" w:rsidRDefault="005B4204" w:rsidP="005B4204">
      <w:pPr>
        <w:pStyle w:val="Els-body-text"/>
        <w:rPr>
          <w:rFonts w:eastAsiaTheme="minorEastAsia"/>
          <w:bCs/>
          <w:szCs w:val="24"/>
        </w:rPr>
      </w:pPr>
    </w:p>
    <w:tbl>
      <w:tblPr>
        <w:tblW w:w="7087" w:type="dxa"/>
        <w:tblLook w:val="04A0" w:firstRow="1" w:lastRow="0" w:firstColumn="1" w:lastColumn="0" w:noHBand="0" w:noVBand="1"/>
      </w:tblPr>
      <w:tblGrid>
        <w:gridCol w:w="6111"/>
        <w:gridCol w:w="976"/>
      </w:tblGrid>
      <w:tr w:rsidR="005B4204" w:rsidRPr="00BA1A31" w14:paraId="74C02B70" w14:textId="77777777" w:rsidTr="00E83AF3">
        <w:tc>
          <w:tcPr>
            <w:tcW w:w="6111" w:type="dxa"/>
            <w:shd w:val="clear" w:color="auto" w:fill="auto"/>
            <w:vAlign w:val="center"/>
          </w:tcPr>
          <w:p w14:paraId="6253CD89" w14:textId="77777777" w:rsidR="005B4204" w:rsidRPr="00082A44" w:rsidRDefault="005B4204" w:rsidP="00E83AF3">
            <w:pPr>
              <w:pStyle w:val="Els-body-text"/>
              <w:spacing w:before="120" w:after="120" w:line="264" w:lineRule="auto"/>
              <w:rPr>
                <w:lang w:val="en-GB"/>
              </w:rPr>
            </w:pPr>
            <m:oMath>
              <m:sSub>
                <m:sSubPr>
                  <m:ctrlPr>
                    <w:rPr>
                      <w:rFonts w:ascii="Cambria Math" w:eastAsiaTheme="minorEastAsia" w:hAnsi="Cambria Math"/>
                      <w:b/>
                      <w:szCs w:val="24"/>
                    </w:rPr>
                  </m:ctrlPr>
                </m:sSubPr>
                <m:e>
                  <m:r>
                    <m:rPr>
                      <m:sty m:val="b"/>
                    </m:rPr>
                    <w:rPr>
                      <w:rFonts w:ascii="Cambria Math" w:eastAsiaTheme="minorEastAsia" w:hAnsi="Cambria Math"/>
                      <w:szCs w:val="24"/>
                    </w:rPr>
                    <m:t>φ</m:t>
                  </m:r>
                </m:e>
                <m:sub>
                  <m:r>
                    <w:rPr>
                      <w:rFonts w:ascii="Cambria Math" w:eastAsiaTheme="minorEastAsia" w:hAnsi="Cambria Math"/>
                      <w:szCs w:val="24"/>
                    </w:rPr>
                    <m:t>EV</m:t>
                  </m:r>
                </m:sub>
              </m:sSub>
              <m:r>
                <m:rPr>
                  <m:sty m:val="bi"/>
                </m:rPr>
                <w:rPr>
                  <w:rFonts w:ascii="Cambria Math" w:eastAsiaTheme="minorEastAsia" w:hAnsi="Cambria Math"/>
                  <w:szCs w:val="24"/>
                </w:rPr>
                <m:t>=</m:t>
              </m:r>
              <m:func>
                <m:funcPr>
                  <m:ctrlPr>
                    <w:rPr>
                      <w:rFonts w:ascii="Cambria Math" w:eastAsiaTheme="minorEastAsia" w:hAnsi="Cambria Math"/>
                      <w:bCs/>
                      <w:i/>
                      <w:szCs w:val="24"/>
                    </w:rPr>
                  </m:ctrlPr>
                </m:funcPr>
                <m:fName>
                  <m:r>
                    <m:rPr>
                      <m:sty m:val="p"/>
                    </m:rPr>
                    <w:rPr>
                      <w:rFonts w:ascii="Cambria Math" w:eastAsiaTheme="minorEastAsia" w:hAnsi="Cambria Math"/>
                      <w:szCs w:val="24"/>
                    </w:rPr>
                    <m:t>arg</m:t>
                  </m:r>
                </m:fName>
                <m:e>
                  <m:func>
                    <m:funcPr>
                      <m:ctrlPr>
                        <w:rPr>
                          <w:rFonts w:ascii="Cambria Math" w:eastAsiaTheme="minorEastAsia" w:hAnsi="Cambria Math"/>
                          <w:bCs/>
                          <w:i/>
                          <w:szCs w:val="24"/>
                        </w:rPr>
                      </m:ctrlPr>
                    </m:funcPr>
                    <m:fName>
                      <m:limLow>
                        <m:limLowPr>
                          <m:ctrlPr>
                            <w:rPr>
                              <w:rFonts w:ascii="Cambria Math" w:eastAsiaTheme="minorEastAsia" w:hAnsi="Cambria Math"/>
                              <w:bCs/>
                              <w:i/>
                              <w:szCs w:val="24"/>
                            </w:rPr>
                          </m:ctrlPr>
                        </m:limLowPr>
                        <m:e>
                          <m:r>
                            <m:rPr>
                              <m:sty m:val="p"/>
                            </m:rPr>
                            <w:rPr>
                              <w:rFonts w:ascii="Cambria Math" w:hAnsi="Cambria Math"/>
                              <w:szCs w:val="24"/>
                            </w:rPr>
                            <m:t>max</m:t>
                          </m:r>
                        </m:e>
                        <m:lim>
                          <m:r>
                            <m:rPr>
                              <m:sty m:val="b"/>
                            </m:rPr>
                            <w:rPr>
                              <w:rFonts w:ascii="Cambria Math" w:eastAsiaTheme="minorEastAsia" w:hAnsi="Cambria Math"/>
                              <w:szCs w:val="24"/>
                            </w:rPr>
                            <m:t>φ∈</m:t>
                          </m:r>
                          <m:r>
                            <m:rPr>
                              <m:sty m:val="b"/>
                            </m:rPr>
                            <w:rPr>
                              <w:rFonts w:ascii="Cambria Math" w:eastAsiaTheme="minorEastAsia" w:hAnsi="Cambria Math"/>
                            </w:rPr>
                            <m:t>Φ</m:t>
                          </m:r>
                        </m:lim>
                      </m:limLow>
                    </m:fName>
                    <m:e>
                      <m:r>
                        <w:rPr>
                          <w:rFonts w:ascii="Cambria Math" w:eastAsiaTheme="minorEastAsia" w:hAnsi="Cambria Math"/>
                          <w:szCs w:val="24"/>
                        </w:rPr>
                        <m:t xml:space="preserve"> </m:t>
                      </m:r>
                      <m:limLow>
                        <m:limLowPr>
                          <m:ctrlPr>
                            <w:rPr>
                              <w:rFonts w:ascii="Cambria Math" w:eastAsiaTheme="minorEastAsia" w:hAnsi="Cambria Math"/>
                              <w:bCs/>
                              <w:i/>
                              <w:szCs w:val="24"/>
                            </w:rPr>
                          </m:ctrlPr>
                        </m:limLowPr>
                        <m:e>
                          <m:r>
                            <w:rPr>
                              <w:rFonts w:ascii="Cambria Math" w:hAnsi="Cambria Math"/>
                              <w:szCs w:val="24"/>
                            </w:rPr>
                            <m:t>E</m:t>
                          </m:r>
                        </m:e>
                        <m:lim>
                          <m:r>
                            <m:rPr>
                              <m:sty m:val="bi"/>
                            </m:rPr>
                            <w:rPr>
                              <w:rFonts w:ascii="Cambria Math" w:hAnsi="Cambria Math"/>
                            </w:rPr>
                            <m:t>θ</m:t>
                          </m:r>
                          <m:r>
                            <m:rPr>
                              <m:sty m:val="b"/>
                            </m:rPr>
                            <w:rPr>
                              <w:rFonts w:ascii="Cambria Math" w:eastAsiaTheme="minorEastAsia" w:hAnsi="Cambria Math"/>
                              <w:szCs w:val="24"/>
                            </w:rPr>
                            <m:t>∈</m:t>
                          </m:r>
                          <m:r>
                            <m:rPr>
                              <m:sty m:val="b"/>
                            </m:rPr>
                            <w:rPr>
                              <w:rFonts w:ascii="Cambria Math" w:hAnsi="Cambria Math"/>
                            </w:rPr>
                            <m:t>Θ</m:t>
                          </m:r>
                        </m:lim>
                      </m:limLow>
                      <m:r>
                        <w:rPr>
                          <w:rFonts w:ascii="Cambria Math" w:eastAsiaTheme="minorEastAsia" w:hAnsi="Cambria Math"/>
                          <w:szCs w:val="24"/>
                        </w:rPr>
                        <m:t xml:space="preserve"> </m:t>
                      </m:r>
                      <m:d>
                        <m:dPr>
                          <m:begChr m:val="{"/>
                          <m:endChr m:val="}"/>
                          <m:ctrlPr>
                            <w:rPr>
                              <w:rFonts w:ascii="Cambria Math" w:eastAsiaTheme="minorEastAsia" w:hAnsi="Cambria Math"/>
                              <w:bCs/>
                              <w:i/>
                              <w:szCs w:val="24"/>
                            </w:rPr>
                          </m:ctrlPr>
                        </m:dPr>
                        <m:e>
                          <m:d>
                            <m:dPr>
                              <m:begChr m:val="|"/>
                              <m:endChr m:val="|"/>
                              <m:ctrlPr>
                                <w:rPr>
                                  <w:rFonts w:ascii="Cambria Math" w:eastAsiaTheme="minorEastAsia" w:hAnsi="Cambria Math"/>
                                  <w:bCs/>
                                  <w:i/>
                                  <w:szCs w:val="24"/>
                                </w:rPr>
                              </m:ctrlPr>
                            </m:dPr>
                            <m:e>
                              <m:sSub>
                                <m:sSubPr>
                                  <m:ctrlPr>
                                    <w:rPr>
                                      <w:rFonts w:ascii="Cambria Math" w:eastAsia="Calibri" w:hAnsi="Cambria Math"/>
                                      <w:b/>
                                      <w:szCs w:val="24"/>
                                    </w:rPr>
                                  </m:ctrlPr>
                                </m:sSubPr>
                                <m:e>
                                  <m:r>
                                    <m:rPr>
                                      <m:sty m:val="bi"/>
                                    </m:rPr>
                                    <w:rPr>
                                      <w:rFonts w:ascii="Cambria Math" w:eastAsia="Calibri" w:hAnsi="Cambria Math"/>
                                      <w:szCs w:val="24"/>
                                    </w:rPr>
                                    <m:t>H</m:t>
                                  </m:r>
                                </m:e>
                                <m:sub>
                                  <m:r>
                                    <m:rPr>
                                      <m:sty m:val="bi"/>
                                    </m:rPr>
                                    <w:rPr>
                                      <w:rFonts w:ascii="Cambria Math" w:hAnsi="Cambria Math"/>
                                    </w:rPr>
                                    <m:t>θ</m:t>
                                  </m:r>
                                </m:sub>
                              </m:sSub>
                              <m:d>
                                <m:dPr>
                                  <m:ctrlPr>
                                    <w:rPr>
                                      <w:rFonts w:ascii="Cambria Math" w:eastAsia="Calibri" w:hAnsi="Cambria Math"/>
                                      <w:i/>
                                      <w:szCs w:val="24"/>
                                    </w:rPr>
                                  </m:ctrlPr>
                                </m:dPr>
                                <m:e>
                                  <m:r>
                                    <m:rPr>
                                      <m:sty m:val="bi"/>
                                    </m:rPr>
                                    <w:rPr>
                                      <w:rFonts w:ascii="Cambria Math" w:hAnsi="Cambria Math"/>
                                    </w:rPr>
                                    <m:t>θ</m:t>
                                  </m:r>
                                  <m:r>
                                    <m:rPr>
                                      <m:sty m:val="bi"/>
                                    </m:rPr>
                                    <w:rPr>
                                      <w:rFonts w:ascii="Cambria Math" w:eastAsia="Calibri" w:hAnsi="Cambria Math"/>
                                      <w:szCs w:val="24"/>
                                    </w:rPr>
                                    <m:t xml:space="preserve">, </m:t>
                                  </m:r>
                                  <m:r>
                                    <m:rPr>
                                      <m:sty m:val="b"/>
                                    </m:rPr>
                                    <w:rPr>
                                      <w:rFonts w:ascii="Cambria Math" w:eastAsiaTheme="minorEastAsia" w:hAnsi="Cambria Math"/>
                                      <w:szCs w:val="24"/>
                                    </w:rPr>
                                    <m:t>φ</m:t>
                                  </m:r>
                                  <m:ctrlPr>
                                    <w:rPr>
                                      <w:rFonts w:ascii="Cambria Math" w:eastAsia="Calibri" w:hAnsi="Cambria Math"/>
                                      <w:b/>
                                      <w:szCs w:val="24"/>
                                    </w:rPr>
                                  </m:ctrlPr>
                                </m:e>
                              </m:d>
                            </m:e>
                          </m:d>
                        </m:e>
                      </m:d>
                    </m:e>
                  </m:func>
                </m:e>
              </m:func>
            </m:oMath>
            <w:r>
              <w:rPr>
                <w:bCs/>
                <w:szCs w:val="24"/>
              </w:rPr>
              <w:t xml:space="preserve">;     </w:t>
            </w:r>
            <m:oMath>
              <m:sSub>
                <m:sSubPr>
                  <m:ctrlPr>
                    <w:rPr>
                      <w:rFonts w:ascii="Cambria Math" w:eastAsiaTheme="minorEastAsia" w:hAnsi="Cambria Math"/>
                      <w:b/>
                      <w:szCs w:val="24"/>
                    </w:rPr>
                  </m:ctrlPr>
                </m:sSubPr>
                <m:e>
                  <m:r>
                    <m:rPr>
                      <m:sty m:val="b"/>
                    </m:rPr>
                    <w:rPr>
                      <w:rFonts w:ascii="Cambria Math" w:eastAsiaTheme="minorEastAsia" w:hAnsi="Cambria Math"/>
                      <w:szCs w:val="24"/>
                    </w:rPr>
                    <m:t>φ</m:t>
                  </m:r>
                </m:e>
                <m:sub>
                  <m:r>
                    <w:rPr>
                      <w:rFonts w:ascii="Cambria Math" w:eastAsiaTheme="minorEastAsia" w:hAnsi="Cambria Math"/>
                      <w:szCs w:val="24"/>
                    </w:rPr>
                    <m:t>WC</m:t>
                  </m:r>
                </m:sub>
              </m:sSub>
              <m:r>
                <m:rPr>
                  <m:sty m:val="bi"/>
                </m:rPr>
                <w:rPr>
                  <w:rFonts w:ascii="Cambria Math" w:eastAsiaTheme="minorEastAsia" w:hAnsi="Cambria Math"/>
                  <w:szCs w:val="24"/>
                </w:rPr>
                <m:t>=</m:t>
              </m:r>
              <m:func>
                <m:funcPr>
                  <m:ctrlPr>
                    <w:rPr>
                      <w:rFonts w:ascii="Cambria Math" w:eastAsiaTheme="minorEastAsia" w:hAnsi="Cambria Math"/>
                      <w:bCs/>
                      <w:i/>
                      <w:szCs w:val="24"/>
                    </w:rPr>
                  </m:ctrlPr>
                </m:funcPr>
                <m:fName>
                  <m:r>
                    <m:rPr>
                      <m:sty m:val="p"/>
                    </m:rPr>
                    <w:rPr>
                      <w:rFonts w:ascii="Cambria Math" w:eastAsiaTheme="minorEastAsia" w:hAnsi="Cambria Math"/>
                      <w:szCs w:val="24"/>
                    </w:rPr>
                    <m:t>arg</m:t>
                  </m:r>
                </m:fName>
                <m:e>
                  <m:func>
                    <m:funcPr>
                      <m:ctrlPr>
                        <w:rPr>
                          <w:rFonts w:ascii="Cambria Math" w:eastAsiaTheme="minorEastAsia" w:hAnsi="Cambria Math"/>
                          <w:bCs/>
                          <w:i/>
                          <w:szCs w:val="24"/>
                        </w:rPr>
                      </m:ctrlPr>
                    </m:funcPr>
                    <m:fName>
                      <m:limLow>
                        <m:limLowPr>
                          <m:ctrlPr>
                            <w:rPr>
                              <w:rFonts w:ascii="Cambria Math" w:eastAsiaTheme="minorEastAsia" w:hAnsi="Cambria Math"/>
                              <w:bCs/>
                              <w:i/>
                              <w:szCs w:val="24"/>
                            </w:rPr>
                          </m:ctrlPr>
                        </m:limLowPr>
                        <m:e>
                          <m:r>
                            <m:rPr>
                              <m:sty m:val="p"/>
                            </m:rPr>
                            <w:rPr>
                              <w:rFonts w:ascii="Cambria Math" w:hAnsi="Cambria Math"/>
                              <w:szCs w:val="24"/>
                            </w:rPr>
                            <m:t>max</m:t>
                          </m:r>
                        </m:e>
                        <m:lim>
                          <m:r>
                            <m:rPr>
                              <m:sty m:val="b"/>
                            </m:rPr>
                            <w:rPr>
                              <w:rFonts w:ascii="Cambria Math" w:eastAsiaTheme="minorEastAsia" w:hAnsi="Cambria Math"/>
                              <w:szCs w:val="24"/>
                            </w:rPr>
                            <m:t>φ∈</m:t>
                          </m:r>
                          <m:r>
                            <m:rPr>
                              <m:sty m:val="b"/>
                            </m:rPr>
                            <w:rPr>
                              <w:rFonts w:ascii="Cambria Math" w:eastAsiaTheme="minorEastAsia" w:hAnsi="Cambria Math"/>
                            </w:rPr>
                            <m:t>Φ</m:t>
                          </m:r>
                        </m:lim>
                      </m:limLow>
                    </m:fName>
                    <m:e>
                      <m:r>
                        <w:rPr>
                          <w:rFonts w:ascii="Cambria Math" w:eastAsiaTheme="minorEastAsia" w:hAnsi="Cambria Math"/>
                          <w:szCs w:val="24"/>
                        </w:rPr>
                        <m:t xml:space="preserve"> </m:t>
                      </m:r>
                      <m:limLow>
                        <m:limLowPr>
                          <m:ctrlPr>
                            <w:rPr>
                              <w:rFonts w:ascii="Cambria Math" w:eastAsiaTheme="minorEastAsia" w:hAnsi="Cambria Math"/>
                              <w:bCs/>
                              <w:i/>
                              <w:szCs w:val="24"/>
                            </w:rPr>
                          </m:ctrlPr>
                        </m:limLowPr>
                        <m:e>
                          <m:r>
                            <w:rPr>
                              <w:rFonts w:ascii="Cambria Math" w:hAnsi="Cambria Math"/>
                              <w:szCs w:val="24"/>
                            </w:rPr>
                            <m:t>min</m:t>
                          </m:r>
                        </m:e>
                        <m:lim>
                          <m:r>
                            <m:rPr>
                              <m:sty m:val="bi"/>
                            </m:rPr>
                            <w:rPr>
                              <w:rFonts w:ascii="Cambria Math" w:hAnsi="Cambria Math"/>
                            </w:rPr>
                            <m:t>θ</m:t>
                          </m:r>
                          <m:r>
                            <m:rPr>
                              <m:sty m:val="b"/>
                            </m:rPr>
                            <w:rPr>
                              <w:rFonts w:ascii="Cambria Math" w:eastAsiaTheme="minorEastAsia" w:hAnsi="Cambria Math"/>
                              <w:szCs w:val="24"/>
                            </w:rPr>
                            <m:t>∈</m:t>
                          </m:r>
                          <m:r>
                            <m:rPr>
                              <m:sty m:val="b"/>
                            </m:rPr>
                            <w:rPr>
                              <w:rFonts w:ascii="Cambria Math" w:hAnsi="Cambria Math"/>
                            </w:rPr>
                            <m:t>Θ</m:t>
                          </m:r>
                        </m:lim>
                      </m:limLow>
                      <m:r>
                        <w:rPr>
                          <w:rFonts w:ascii="Cambria Math" w:eastAsiaTheme="minorEastAsia" w:hAnsi="Cambria Math"/>
                          <w:szCs w:val="24"/>
                        </w:rPr>
                        <m:t xml:space="preserve"> </m:t>
                      </m:r>
                      <m:d>
                        <m:dPr>
                          <m:begChr m:val="{"/>
                          <m:endChr m:val="}"/>
                          <m:ctrlPr>
                            <w:rPr>
                              <w:rFonts w:ascii="Cambria Math" w:eastAsiaTheme="minorEastAsia" w:hAnsi="Cambria Math"/>
                              <w:bCs/>
                              <w:i/>
                              <w:szCs w:val="24"/>
                            </w:rPr>
                          </m:ctrlPr>
                        </m:dPr>
                        <m:e>
                          <m:d>
                            <m:dPr>
                              <m:begChr m:val="|"/>
                              <m:endChr m:val="|"/>
                              <m:ctrlPr>
                                <w:rPr>
                                  <w:rFonts w:ascii="Cambria Math" w:eastAsiaTheme="minorEastAsia" w:hAnsi="Cambria Math"/>
                                  <w:bCs/>
                                  <w:i/>
                                  <w:szCs w:val="24"/>
                                </w:rPr>
                              </m:ctrlPr>
                            </m:dPr>
                            <m:e>
                              <m:sSub>
                                <m:sSubPr>
                                  <m:ctrlPr>
                                    <w:rPr>
                                      <w:rFonts w:ascii="Cambria Math" w:eastAsia="Calibri" w:hAnsi="Cambria Math"/>
                                      <w:b/>
                                      <w:szCs w:val="24"/>
                                    </w:rPr>
                                  </m:ctrlPr>
                                </m:sSubPr>
                                <m:e>
                                  <m:r>
                                    <m:rPr>
                                      <m:sty m:val="bi"/>
                                    </m:rPr>
                                    <w:rPr>
                                      <w:rFonts w:ascii="Cambria Math" w:eastAsia="Calibri" w:hAnsi="Cambria Math"/>
                                      <w:szCs w:val="24"/>
                                    </w:rPr>
                                    <m:t>H</m:t>
                                  </m:r>
                                </m:e>
                                <m:sub>
                                  <m:r>
                                    <m:rPr>
                                      <m:sty m:val="bi"/>
                                    </m:rPr>
                                    <w:rPr>
                                      <w:rFonts w:ascii="Cambria Math" w:hAnsi="Cambria Math"/>
                                    </w:rPr>
                                    <m:t>θ</m:t>
                                  </m:r>
                                </m:sub>
                              </m:sSub>
                              <m:d>
                                <m:dPr>
                                  <m:ctrlPr>
                                    <w:rPr>
                                      <w:rFonts w:ascii="Cambria Math" w:eastAsia="Calibri" w:hAnsi="Cambria Math"/>
                                      <w:i/>
                                      <w:szCs w:val="24"/>
                                    </w:rPr>
                                  </m:ctrlPr>
                                </m:dPr>
                                <m:e>
                                  <m:r>
                                    <m:rPr>
                                      <m:sty m:val="bi"/>
                                    </m:rPr>
                                    <w:rPr>
                                      <w:rFonts w:ascii="Cambria Math" w:hAnsi="Cambria Math"/>
                                    </w:rPr>
                                    <m:t>θ</m:t>
                                  </m:r>
                                  <m:r>
                                    <m:rPr>
                                      <m:sty m:val="bi"/>
                                    </m:rPr>
                                    <w:rPr>
                                      <w:rFonts w:ascii="Cambria Math" w:eastAsia="Calibri" w:hAnsi="Cambria Math"/>
                                      <w:szCs w:val="24"/>
                                    </w:rPr>
                                    <m:t xml:space="preserve">, </m:t>
                                  </m:r>
                                  <m:r>
                                    <m:rPr>
                                      <m:sty m:val="b"/>
                                    </m:rPr>
                                    <w:rPr>
                                      <w:rFonts w:ascii="Cambria Math" w:eastAsiaTheme="minorEastAsia" w:hAnsi="Cambria Math"/>
                                      <w:szCs w:val="24"/>
                                    </w:rPr>
                                    <m:t>φ</m:t>
                                  </m:r>
                                  <m:ctrlPr>
                                    <w:rPr>
                                      <w:rFonts w:ascii="Cambria Math" w:eastAsia="Calibri" w:hAnsi="Cambria Math"/>
                                      <w:b/>
                                      <w:szCs w:val="24"/>
                                    </w:rPr>
                                  </m:ctrlPr>
                                </m:e>
                              </m:d>
                            </m:e>
                          </m:d>
                        </m:e>
                      </m:d>
                    </m:e>
                  </m:func>
                </m:e>
              </m:func>
            </m:oMath>
          </w:p>
        </w:tc>
        <w:tc>
          <w:tcPr>
            <w:tcW w:w="976" w:type="dxa"/>
            <w:shd w:val="clear" w:color="auto" w:fill="auto"/>
            <w:vAlign w:val="center"/>
          </w:tcPr>
          <w:p w14:paraId="4400FB94"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5,6</w:t>
            </w:r>
            <w:r w:rsidRPr="00BA1A31">
              <w:rPr>
                <w:lang w:val="en-GB"/>
              </w:rPr>
              <w:t>)</w:t>
            </w:r>
          </w:p>
        </w:tc>
      </w:tr>
    </w:tbl>
    <w:p w14:paraId="0B4F5D41" w14:textId="77777777" w:rsidR="005B4204" w:rsidRDefault="005B4204" w:rsidP="005B4204">
      <w:pPr>
        <w:pStyle w:val="Els-body-text"/>
        <w:rPr>
          <w:rFonts w:eastAsiaTheme="minorEastAsia"/>
          <w:bCs/>
        </w:rPr>
      </w:pPr>
      <w:r>
        <w:t xml:space="preserve">In Module 3, the </w:t>
      </w:r>
      <w:proofErr w:type="spellStart"/>
      <w:r>
        <w:t>SimBot</w:t>
      </w:r>
      <w:proofErr w:type="spellEnd"/>
      <w:r>
        <w:t xml:space="preserve"> calculates the prior parameter estimates from preliminary </w:t>
      </w:r>
      <w:proofErr w:type="spellStart"/>
      <w:r>
        <w:t>DoEs</w:t>
      </w:r>
      <w:proofErr w:type="spellEnd"/>
      <w:r>
        <w:t xml:space="preserve"> by minimizing </w:t>
      </w:r>
      <w:r>
        <w:rPr>
          <w:rFonts w:eastAsiaTheme="minorEastAsia"/>
          <w:bCs/>
        </w:rPr>
        <w:t>the negative log-likelihood function (Bard, 1974):</w:t>
      </w:r>
    </w:p>
    <w:tbl>
      <w:tblPr>
        <w:tblW w:w="7087" w:type="dxa"/>
        <w:tblLook w:val="04A0" w:firstRow="1" w:lastRow="0" w:firstColumn="1" w:lastColumn="0" w:noHBand="0" w:noVBand="1"/>
      </w:tblPr>
      <w:tblGrid>
        <w:gridCol w:w="6111"/>
        <w:gridCol w:w="976"/>
      </w:tblGrid>
      <w:tr w:rsidR="005B4204" w:rsidRPr="00BA1A31" w14:paraId="02C25028" w14:textId="77777777" w:rsidTr="00E83AF3">
        <w:tc>
          <w:tcPr>
            <w:tcW w:w="6111" w:type="dxa"/>
            <w:shd w:val="clear" w:color="auto" w:fill="auto"/>
            <w:vAlign w:val="center"/>
          </w:tcPr>
          <w:p w14:paraId="7EB939F0" w14:textId="77777777" w:rsidR="005B4204" w:rsidRPr="00082A44" w:rsidRDefault="005B4204" w:rsidP="00E83AF3">
            <w:pPr>
              <w:pStyle w:val="Els-body-text"/>
              <w:spacing w:before="120" w:after="120" w:line="264" w:lineRule="auto"/>
              <w:rPr>
                <w:lang w:val="en-GB"/>
              </w:rPr>
            </w:pPr>
            <m:oMathPara>
              <m:oMathParaPr>
                <m:jc m:val="left"/>
              </m:oMathParaPr>
              <m:oMath>
                <m:acc>
                  <m:accPr>
                    <m:ctrlPr>
                      <w:rPr>
                        <w:rFonts w:ascii="Cambria Math" w:hAnsi="Cambria Math"/>
                        <w:b/>
                        <w:i/>
                      </w:rPr>
                    </m:ctrlPr>
                  </m:accPr>
                  <m:e>
                    <m:r>
                      <m:rPr>
                        <m:sty m:val="bi"/>
                      </m:rPr>
                      <w:rPr>
                        <w:rFonts w:ascii="Cambria Math" w:hAnsi="Cambria Math"/>
                      </w:rPr>
                      <m:t>θ</m:t>
                    </m:r>
                  </m:e>
                </m:acc>
                <m:r>
                  <m:rPr>
                    <m:sty m:val="bi"/>
                  </m:rPr>
                  <w:rPr>
                    <w:rFonts w:ascii="Cambria Math" w:hAnsi="Cambria Math"/>
                  </w:rPr>
                  <m:t>=</m:t>
                </m:r>
                <m:func>
                  <m:funcPr>
                    <m:ctrlPr>
                      <w:rPr>
                        <w:rFonts w:ascii="Cambria Math" w:hAnsi="Cambria Math"/>
                        <w:bCs/>
                        <w:i/>
                      </w:rPr>
                    </m:ctrlPr>
                  </m:funcPr>
                  <m:fName>
                    <m:r>
                      <m:rPr>
                        <m:sty m:val="p"/>
                      </m:rPr>
                      <w:rPr>
                        <w:rFonts w:ascii="Cambria Math" w:hAnsi="Cambria Math"/>
                      </w:rPr>
                      <m:t xml:space="preserve">arg  </m:t>
                    </m:r>
                  </m:fName>
                  <m:e>
                    <m:func>
                      <m:funcPr>
                        <m:ctrlPr>
                          <w:rPr>
                            <w:rFonts w:ascii="Cambria Math" w:eastAsiaTheme="minorEastAsia" w:hAnsi="Cambria Math"/>
                            <w:bCs/>
                            <w:i/>
                            <w:szCs w:val="24"/>
                          </w:rPr>
                        </m:ctrlPr>
                      </m:funcPr>
                      <m:fName>
                        <m:limLow>
                          <m:limLowPr>
                            <m:ctrlPr>
                              <w:rPr>
                                <w:rFonts w:ascii="Cambria Math" w:eastAsiaTheme="minorEastAsia" w:hAnsi="Cambria Math"/>
                                <w:bCs/>
                                <w:i/>
                                <w:szCs w:val="24"/>
                              </w:rPr>
                            </m:ctrlPr>
                          </m:limLowPr>
                          <m:e>
                            <m:r>
                              <m:rPr>
                                <m:sty m:val="p"/>
                              </m:rPr>
                              <w:rPr>
                                <w:rFonts w:ascii="Cambria Math" w:hAnsi="Cambria Math"/>
                                <w:szCs w:val="24"/>
                              </w:rPr>
                              <m:t>min</m:t>
                            </m:r>
                          </m:e>
                          <m:lim>
                            <m:r>
                              <m:rPr>
                                <m:sty m:val="bi"/>
                              </m:rPr>
                              <w:rPr>
                                <w:rFonts w:ascii="Cambria Math" w:hAnsi="Cambria Math"/>
                              </w:rPr>
                              <m:t>θ</m:t>
                            </m:r>
                            <m:r>
                              <m:rPr>
                                <m:sty m:val="b"/>
                              </m:rPr>
                              <w:rPr>
                                <w:rFonts w:ascii="Cambria Math" w:eastAsiaTheme="minorEastAsia" w:hAnsi="Cambria Math"/>
                                <w:szCs w:val="24"/>
                              </w:rPr>
                              <m:t>∈</m:t>
                            </m:r>
                            <m:r>
                              <m:rPr>
                                <m:sty m:val="b"/>
                              </m:rPr>
                              <w:rPr>
                                <w:rFonts w:ascii="Cambria Math" w:hAnsi="Cambria Math"/>
                              </w:rPr>
                              <m:t>Θ</m:t>
                            </m:r>
                          </m:lim>
                        </m:limLow>
                      </m:fName>
                      <m:e>
                        <m:r>
                          <w:rPr>
                            <w:rFonts w:ascii="Cambria Math" w:eastAsiaTheme="minorEastAsia" w:hAnsi="Cambria Math"/>
                            <w:szCs w:val="24"/>
                          </w:rPr>
                          <m:t xml:space="preserve">   </m:t>
                        </m:r>
                        <m:f>
                          <m:fPr>
                            <m:ctrlPr>
                              <w:rPr>
                                <w:rFonts w:ascii="Cambria Math" w:eastAsiaTheme="minorEastAsia" w:hAnsi="Cambria Math"/>
                                <w:bCs/>
                                <w:i/>
                                <w:szCs w:val="24"/>
                              </w:rPr>
                            </m:ctrlPr>
                          </m:fPr>
                          <m:num>
                            <m:r>
                              <w:rPr>
                                <w:rFonts w:ascii="Cambria Math" w:eastAsiaTheme="minorEastAsia" w:hAnsi="Cambria Math"/>
                                <w:szCs w:val="24"/>
                              </w:rPr>
                              <m:t>1</m:t>
                            </m:r>
                          </m:num>
                          <m:den>
                            <m:r>
                              <w:rPr>
                                <w:rFonts w:ascii="Cambria Math" w:eastAsiaTheme="minorEastAsia" w:hAnsi="Cambria Math"/>
                                <w:szCs w:val="24"/>
                              </w:rPr>
                              <m:t>2</m:t>
                            </m:r>
                          </m:den>
                        </m:f>
                        <m:r>
                          <w:rPr>
                            <w:rFonts w:ascii="Cambria Math" w:eastAsiaTheme="minorEastAsia" w:hAnsi="Cambria Math"/>
                            <w:szCs w:val="24"/>
                          </w:rPr>
                          <m:t xml:space="preserve">  </m:t>
                        </m:r>
                        <m:nary>
                          <m:naryPr>
                            <m:chr m:val="∑"/>
                            <m:limLoc m:val="subSup"/>
                            <m:ctrlPr>
                              <w:rPr>
                                <w:rFonts w:ascii="Cambria Math" w:eastAsiaTheme="minorEastAsia" w:hAnsi="Cambria Math"/>
                                <w:bCs/>
                                <w:i/>
                                <w:szCs w:val="24"/>
                              </w:rPr>
                            </m:ctrlPr>
                          </m:naryPr>
                          <m:sub>
                            <m:r>
                              <w:rPr>
                                <w:rFonts w:ascii="Cambria Math" w:eastAsiaTheme="minorEastAsia" w:hAnsi="Cambria Math"/>
                                <w:szCs w:val="24"/>
                              </w:rPr>
                              <m:t>i=1</m:t>
                            </m:r>
                          </m:sub>
                          <m:sup>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exp</m:t>
                                </m:r>
                              </m:sub>
                            </m:sSub>
                          </m:sup>
                          <m:e>
                            <m:d>
                              <m:dPr>
                                <m:begChr m:val="{"/>
                                <m:endChr m:val="}"/>
                                <m:ctrlPr>
                                  <w:rPr>
                                    <w:rFonts w:ascii="Cambria Math" w:hAnsi="Cambria Math"/>
                                    <w:i/>
                                    <w:iCs/>
                                    <w:szCs w:val="24"/>
                                  </w:rPr>
                                </m:ctrlPr>
                              </m:dPr>
                              <m:e>
                                <m:func>
                                  <m:funcPr>
                                    <m:ctrlPr>
                                      <w:rPr>
                                        <w:rFonts w:ascii="Cambria Math" w:hAnsi="Cambria Math"/>
                                        <w:i/>
                                        <w:iCs/>
                                        <w:szCs w:val="24"/>
                                      </w:rPr>
                                    </m:ctrlPr>
                                  </m:funcPr>
                                  <m:fName>
                                    <m:r>
                                      <m:rPr>
                                        <m:sty m:val="p"/>
                                      </m:rPr>
                                      <w:rPr>
                                        <w:rFonts w:ascii="Cambria Math" w:hAnsi="Cambria Math"/>
                                        <w:szCs w:val="24"/>
                                      </w:rPr>
                                      <m:t>log</m:t>
                                    </m:r>
                                  </m:fName>
                                  <m:e>
                                    <m:sSup>
                                      <m:sSupPr>
                                        <m:ctrlPr>
                                          <w:rPr>
                                            <w:rFonts w:ascii="Cambria Math" w:hAnsi="Cambria Math"/>
                                            <w:i/>
                                            <w:iCs/>
                                            <w:szCs w:val="24"/>
                                          </w:rPr>
                                        </m:ctrlPr>
                                      </m:sSupPr>
                                      <m:e>
                                        <m:d>
                                          <m:dPr>
                                            <m:ctrlPr>
                                              <w:rPr>
                                                <w:rFonts w:ascii="Cambria Math" w:hAnsi="Cambria Math"/>
                                                <w:i/>
                                                <w:iCs/>
                                                <w:szCs w:val="24"/>
                                              </w:rPr>
                                            </m:ctrlPr>
                                          </m:dPr>
                                          <m:e>
                                            <m:r>
                                              <w:rPr>
                                                <w:rFonts w:ascii="Cambria Math" w:hAnsi="Cambria Math"/>
                                                <w:szCs w:val="24"/>
                                              </w:rPr>
                                              <m:t>2π</m:t>
                                            </m:r>
                                          </m:e>
                                        </m:d>
                                      </m:e>
                                      <m:sup>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y</m:t>
                                            </m:r>
                                          </m:sub>
                                        </m:sSub>
                                      </m:sup>
                                    </m:sSup>
                                  </m:e>
                                </m:func>
                                <m:r>
                                  <m:rPr>
                                    <m:sty m:val="bi"/>
                                  </m:rPr>
                                  <w:rPr>
                                    <w:rFonts w:ascii="Cambria Math" w:hAnsi="Cambria Math"/>
                                    <w:szCs w:val="24"/>
                                  </w:rPr>
                                  <m:t>+</m:t>
                                </m:r>
                                <m:func>
                                  <m:funcPr>
                                    <m:ctrlPr>
                                      <w:rPr>
                                        <w:rFonts w:ascii="Cambria Math" w:hAnsi="Cambria Math"/>
                                        <w:i/>
                                        <w:iCs/>
                                        <w:szCs w:val="24"/>
                                      </w:rPr>
                                    </m:ctrlPr>
                                  </m:funcPr>
                                  <m:fName>
                                    <m:r>
                                      <m:rPr>
                                        <m:sty m:val="p"/>
                                      </m:rPr>
                                      <w:rPr>
                                        <w:rFonts w:ascii="Cambria Math" w:hAnsi="Cambria Math"/>
                                        <w:szCs w:val="24"/>
                                      </w:rPr>
                                      <m:t>log</m:t>
                                    </m:r>
                                  </m:fName>
                                  <m:e>
                                    <m:func>
                                      <m:funcPr>
                                        <m:ctrlPr>
                                          <w:rPr>
                                            <w:rFonts w:ascii="Cambria Math" w:hAnsi="Cambria Math"/>
                                            <w:i/>
                                            <w:iCs/>
                                            <w:szCs w:val="24"/>
                                          </w:rPr>
                                        </m:ctrlPr>
                                      </m:funcPr>
                                      <m:fName>
                                        <m:r>
                                          <m:rPr>
                                            <m:sty m:val="p"/>
                                          </m:rPr>
                                          <w:rPr>
                                            <w:rFonts w:ascii="Cambria Math" w:hAnsi="Cambria Math"/>
                                            <w:szCs w:val="24"/>
                                          </w:rPr>
                                          <m:t>det</m:t>
                                        </m:r>
                                      </m:fName>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y</m:t>
                                            </m:r>
                                          </m:sub>
                                        </m:sSub>
                                      </m:e>
                                    </m:func>
                                  </m:e>
                                </m:func>
                                <m:r>
                                  <m:rPr>
                                    <m:sty m:val="bi"/>
                                  </m:rPr>
                                  <w:rPr>
                                    <w:rFonts w:ascii="Cambria Math" w:hAnsi="Cambria Math"/>
                                    <w:szCs w:val="24"/>
                                  </w:rPr>
                                  <m:t>+</m:t>
                                </m:r>
                                <m:sSup>
                                  <m:sSupPr>
                                    <m:ctrlPr>
                                      <w:rPr>
                                        <w:rFonts w:ascii="Cambria Math" w:hAnsi="Cambria Math"/>
                                        <w:i/>
                                        <w:iCs/>
                                        <w:szCs w:val="24"/>
                                      </w:rPr>
                                    </m:ctrlPr>
                                  </m:sSupPr>
                                  <m:e>
                                    <m:d>
                                      <m:dPr>
                                        <m:begChr m:val="["/>
                                        <m:endChr m:val="]"/>
                                        <m:ctrlPr>
                                          <w:rPr>
                                            <w:rFonts w:ascii="Cambria Math" w:hAnsi="Cambria Math"/>
                                            <w:i/>
                                            <w:iCs/>
                                            <w:szCs w:val="24"/>
                                          </w:rPr>
                                        </m:ctrlPr>
                                      </m:dPr>
                                      <m:e>
                                        <m:sSub>
                                          <m:sSubPr>
                                            <m:ctrlPr>
                                              <w:rPr>
                                                <w:rFonts w:ascii="Cambria Math" w:eastAsiaTheme="minorEastAsia" w:hAnsi="Cambria Math"/>
                                                <w:bCs/>
                                                <w:i/>
                                              </w:rPr>
                                            </m:ctrlPr>
                                          </m:sSubPr>
                                          <m:e>
                                            <m:r>
                                              <m:rPr>
                                                <m:sty m:val="bi"/>
                                              </m:rP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bCs/>
                                                <w:i/>
                                              </w:rPr>
                                            </m:ctrlPr>
                                          </m:sSubPr>
                                          <m:e>
                                            <m:acc>
                                              <m:accPr>
                                                <m:ctrlPr>
                                                  <w:rPr>
                                                    <w:rFonts w:ascii="Cambria Math" w:eastAsiaTheme="minorEastAsia" w:hAnsi="Cambria Math"/>
                                                    <w:bCs/>
                                                    <w:i/>
                                                  </w:rPr>
                                                </m:ctrlPr>
                                              </m:accPr>
                                              <m:e>
                                                <m:r>
                                                  <m:rPr>
                                                    <m:sty m:val="bi"/>
                                                  </m:rPr>
                                                  <w:rPr>
                                                    <w:rFonts w:ascii="Cambria Math" w:eastAsiaTheme="minorEastAsia" w:hAnsi="Cambria Math"/>
                                                  </w:rPr>
                                                  <m:t>y</m:t>
                                                </m:r>
                                              </m:e>
                                            </m:acc>
                                          </m:e>
                                          <m:sub>
                                            <m:r>
                                              <w:rPr>
                                                <w:rFonts w:ascii="Cambria Math" w:eastAsiaTheme="minorEastAsia" w:hAnsi="Cambria Math"/>
                                              </w:rPr>
                                              <m:t>i</m:t>
                                            </m:r>
                                          </m:sub>
                                        </m:sSub>
                                        <m:r>
                                          <w:rPr>
                                            <w:rFonts w:ascii="Cambria Math" w:eastAsiaTheme="minorEastAsia" w:hAnsi="Cambria Math"/>
                                          </w:rPr>
                                          <m:t>(</m:t>
                                        </m:r>
                                        <m:r>
                                          <m:rPr>
                                            <m:sty m:val="bi"/>
                                          </m:rPr>
                                          <w:rPr>
                                            <w:rFonts w:ascii="Cambria Math" w:hAnsi="Cambria Math"/>
                                          </w:rPr>
                                          <m:t>θ</m:t>
                                        </m:r>
                                        <m:r>
                                          <w:rPr>
                                            <w:rFonts w:ascii="Cambria Math" w:eastAsiaTheme="minorEastAsia" w:hAnsi="Cambria Math"/>
                                          </w:rPr>
                                          <m:t>)</m:t>
                                        </m:r>
                                      </m:e>
                                    </m:d>
                                  </m:e>
                                  <m:sup>
                                    <m:r>
                                      <w:rPr>
                                        <w:rFonts w:ascii="Cambria Math" w:hAnsi="Cambria Math"/>
                                        <w:szCs w:val="24"/>
                                      </w:rPr>
                                      <m:t>T</m:t>
                                    </m:r>
                                  </m:sup>
                                </m:sSup>
                                <m:sSup>
                                  <m:sSupPr>
                                    <m:ctrlPr>
                                      <w:rPr>
                                        <w:rFonts w:ascii="Cambria Math" w:hAnsi="Cambria Math"/>
                                        <w:i/>
                                        <w:iCs/>
                                        <w:szCs w:val="24"/>
                                      </w:rPr>
                                    </m:ctrlPr>
                                  </m:sSupPr>
                                  <m:e>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y</m:t>
                                        </m:r>
                                      </m:sub>
                                    </m:sSub>
                                  </m:e>
                                  <m:sup>
                                    <m:r>
                                      <w:rPr>
                                        <w:rFonts w:ascii="Cambria Math" w:hAnsi="Cambria Math"/>
                                        <w:szCs w:val="24"/>
                                      </w:rPr>
                                      <m:t>-1</m:t>
                                    </m:r>
                                  </m:sup>
                                </m:sSup>
                                <m:d>
                                  <m:dPr>
                                    <m:begChr m:val="["/>
                                    <m:endChr m:val="]"/>
                                    <m:ctrlPr>
                                      <w:rPr>
                                        <w:rFonts w:ascii="Cambria Math" w:hAnsi="Cambria Math"/>
                                        <w:i/>
                                        <w:iCs/>
                                        <w:szCs w:val="24"/>
                                      </w:rPr>
                                    </m:ctrlPr>
                                  </m:dPr>
                                  <m:e>
                                    <m:sSub>
                                      <m:sSubPr>
                                        <m:ctrlPr>
                                          <w:rPr>
                                            <w:rFonts w:ascii="Cambria Math" w:eastAsiaTheme="minorEastAsia" w:hAnsi="Cambria Math"/>
                                            <w:bCs/>
                                            <w:i/>
                                          </w:rPr>
                                        </m:ctrlPr>
                                      </m:sSubPr>
                                      <m:e>
                                        <m:r>
                                          <m:rPr>
                                            <m:sty m:val="bi"/>
                                          </m:rP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bCs/>
                                            <w:i/>
                                          </w:rPr>
                                        </m:ctrlPr>
                                      </m:sSubPr>
                                      <m:e>
                                        <m:acc>
                                          <m:accPr>
                                            <m:ctrlPr>
                                              <w:rPr>
                                                <w:rFonts w:ascii="Cambria Math" w:eastAsiaTheme="minorEastAsia" w:hAnsi="Cambria Math"/>
                                                <w:bCs/>
                                                <w:i/>
                                              </w:rPr>
                                            </m:ctrlPr>
                                          </m:accPr>
                                          <m:e>
                                            <m:r>
                                              <m:rPr>
                                                <m:sty m:val="bi"/>
                                              </m:rPr>
                                              <w:rPr>
                                                <w:rFonts w:ascii="Cambria Math" w:eastAsiaTheme="minorEastAsia" w:hAnsi="Cambria Math"/>
                                              </w:rPr>
                                              <m:t>y</m:t>
                                            </m:r>
                                          </m:e>
                                        </m:acc>
                                      </m:e>
                                      <m:sub>
                                        <m:r>
                                          <w:rPr>
                                            <w:rFonts w:ascii="Cambria Math" w:eastAsiaTheme="minorEastAsia" w:hAnsi="Cambria Math"/>
                                          </w:rPr>
                                          <m:t>i</m:t>
                                        </m:r>
                                      </m:sub>
                                    </m:sSub>
                                    <m:r>
                                      <w:rPr>
                                        <w:rFonts w:ascii="Cambria Math" w:eastAsiaTheme="minorEastAsia" w:hAnsi="Cambria Math"/>
                                      </w:rPr>
                                      <m:t>(</m:t>
                                    </m:r>
                                    <m:r>
                                      <m:rPr>
                                        <m:sty m:val="bi"/>
                                      </m:rPr>
                                      <w:rPr>
                                        <w:rFonts w:ascii="Cambria Math" w:hAnsi="Cambria Math"/>
                                      </w:rPr>
                                      <m:t>θ</m:t>
                                    </m:r>
                                    <m:r>
                                      <w:rPr>
                                        <w:rFonts w:ascii="Cambria Math" w:eastAsiaTheme="minorEastAsia" w:hAnsi="Cambria Math"/>
                                      </w:rPr>
                                      <m:t>)</m:t>
                                    </m:r>
                                  </m:e>
                                </m:d>
                              </m:e>
                            </m:d>
                          </m:e>
                        </m:nary>
                      </m:e>
                    </m:func>
                  </m:e>
                </m:func>
              </m:oMath>
            </m:oMathPara>
          </w:p>
        </w:tc>
        <w:tc>
          <w:tcPr>
            <w:tcW w:w="976" w:type="dxa"/>
            <w:shd w:val="clear" w:color="auto" w:fill="auto"/>
            <w:vAlign w:val="center"/>
          </w:tcPr>
          <w:p w14:paraId="22F0964A"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7</w:t>
            </w:r>
            <w:r w:rsidRPr="00BA1A31">
              <w:rPr>
                <w:lang w:val="en-GB"/>
              </w:rPr>
              <w:t>)</w:t>
            </w:r>
          </w:p>
        </w:tc>
      </w:tr>
    </w:tbl>
    <w:p w14:paraId="7389B5A4" w14:textId="77777777" w:rsidR="005B4204" w:rsidRPr="000F7320" w:rsidRDefault="005B4204" w:rsidP="005B4204">
      <w:pPr>
        <w:pStyle w:val="Els-body-text"/>
        <w:rPr>
          <w:rFonts w:eastAsiaTheme="minorEastAsia"/>
          <w:bCs/>
          <w:szCs w:val="24"/>
        </w:rPr>
      </w:pP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y</m:t>
            </m:r>
          </m:sub>
        </m:sSub>
      </m:oMath>
      <w:r>
        <w:rPr>
          <w:rFonts w:eastAsiaTheme="minorEastAsia"/>
          <w:b/>
          <w:szCs w:val="24"/>
        </w:rPr>
        <w:t xml:space="preserve"> </w:t>
      </w:r>
      <w:r>
        <w:rPr>
          <w:rFonts w:eastAsiaTheme="minorEastAsia"/>
        </w:rPr>
        <w:t xml:space="preserve">is the measurement covariance matrix. Parameter estimation performance is assessed by the module by using a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eastAsiaTheme="minorEastAsia"/>
        </w:rPr>
        <w:t xml:space="preserve"> lack-of-fit test and the parameter </w:t>
      </w:r>
      <w:r>
        <w:rPr>
          <w:rFonts w:eastAsiaTheme="minorEastAsia"/>
          <w:i/>
          <w:iCs/>
        </w:rPr>
        <w:t>t</w:t>
      </w:r>
      <w:r>
        <w:rPr>
          <w:rFonts w:eastAsiaTheme="minorEastAsia"/>
          <w:bCs/>
          <w:szCs w:val="24"/>
        </w:rPr>
        <w:t>-test given respectively as:</w:t>
      </w:r>
    </w:p>
    <w:tbl>
      <w:tblPr>
        <w:tblW w:w="7087" w:type="dxa"/>
        <w:tblLook w:val="04A0" w:firstRow="1" w:lastRow="0" w:firstColumn="1" w:lastColumn="0" w:noHBand="0" w:noVBand="1"/>
      </w:tblPr>
      <w:tblGrid>
        <w:gridCol w:w="6111"/>
        <w:gridCol w:w="976"/>
      </w:tblGrid>
      <w:tr w:rsidR="005B4204" w:rsidRPr="00BA1A31" w14:paraId="1A585C7B" w14:textId="77777777" w:rsidTr="00E83AF3">
        <w:tc>
          <w:tcPr>
            <w:tcW w:w="6111" w:type="dxa"/>
            <w:shd w:val="clear" w:color="auto" w:fill="auto"/>
            <w:vAlign w:val="center"/>
          </w:tcPr>
          <w:p w14:paraId="050A4DBE" w14:textId="77777777" w:rsidR="005B4204" w:rsidRPr="00082A44" w:rsidRDefault="005B4204" w:rsidP="00E83AF3">
            <w:pPr>
              <w:pStyle w:val="Els-body-text"/>
              <w:spacing w:before="120" w:after="120" w:line="264" w:lineRule="auto"/>
              <w:rPr>
                <w:lang w:val="en-GB"/>
              </w:rPr>
            </w:pPr>
            <m:oMathPara>
              <m:oMathParaPr>
                <m:jc m:val="left"/>
              </m:oMathParaP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exp</m:t>
                        </m:r>
                      </m:sub>
                    </m:sSub>
                  </m:sup>
                  <m:e>
                    <m:nary>
                      <m:naryPr>
                        <m:chr m:val="∑"/>
                        <m:limLoc m:val="undOvr"/>
                        <m:ctrlPr>
                          <w:rPr>
                            <w:rFonts w:ascii="Cambria Math" w:hAnsi="Cambria Math"/>
                            <w:i/>
                            <w:szCs w:val="24"/>
                          </w:rPr>
                        </m:ctrlPr>
                      </m:naryPr>
                      <m:sub>
                        <m:r>
                          <w:rPr>
                            <w:rFonts w:ascii="Cambria Math" w:hAnsi="Cambria Math"/>
                            <w:szCs w:val="24"/>
                          </w:rPr>
                          <m:t>i=1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y</m:t>
                            </m:r>
                          </m:sub>
                        </m:sSub>
                      </m:sup>
                      <m:e>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ij</m:t>
                                        </m:r>
                                      </m:sub>
                                    </m:sSub>
                                  </m:e>
                                </m:d>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ii</m:t>
                                </m:r>
                              </m:sub>
                              <m:sup>
                                <m:r>
                                  <w:rPr>
                                    <w:rFonts w:ascii="Cambria Math" w:hAnsi="Cambria Math"/>
                                    <w:szCs w:val="24"/>
                                  </w:rPr>
                                  <m:t>2</m:t>
                                </m:r>
                              </m:sup>
                            </m:sSubSup>
                          </m:den>
                        </m:f>
                      </m:e>
                    </m:nary>
                  </m:e>
                </m:nary>
              </m:oMath>
            </m:oMathPara>
          </w:p>
        </w:tc>
        <w:tc>
          <w:tcPr>
            <w:tcW w:w="976" w:type="dxa"/>
            <w:shd w:val="clear" w:color="auto" w:fill="auto"/>
            <w:vAlign w:val="center"/>
          </w:tcPr>
          <w:p w14:paraId="7755317C"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8</w:t>
            </w:r>
            <w:r w:rsidRPr="00BA1A31">
              <w:rPr>
                <w:lang w:val="en-GB"/>
              </w:rPr>
              <w:t>)</w:t>
            </w:r>
          </w:p>
        </w:tc>
      </w:tr>
      <w:bookmarkStart w:id="0" w:name="_Hlk131781863"/>
      <w:tr w:rsidR="005B4204" w:rsidRPr="00BA1A31" w14:paraId="4001DB05" w14:textId="77777777" w:rsidTr="00E83AF3">
        <w:tc>
          <w:tcPr>
            <w:tcW w:w="6111" w:type="dxa"/>
            <w:shd w:val="clear" w:color="auto" w:fill="auto"/>
            <w:vAlign w:val="center"/>
          </w:tcPr>
          <w:p w14:paraId="4AE0AD08" w14:textId="77777777" w:rsidR="005B4204" w:rsidRPr="00082A44" w:rsidRDefault="005B4204" w:rsidP="00E83AF3">
            <w:pPr>
              <w:pStyle w:val="Els-body-text"/>
              <w:spacing w:before="120" w:after="120" w:line="264" w:lineRule="auto"/>
              <w:rPr>
                <w:lang w:val="en-GB"/>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m:t>
                    </m:r>
                  </m:sub>
                </m:sSub>
                <w:bookmarkEnd w:id="0"/>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θ</m:t>
                        </m:r>
                      </m:e>
                      <m:sub>
                        <m:r>
                          <w:rPr>
                            <w:rFonts w:ascii="Cambria Math" w:eastAsiaTheme="minorEastAsia" w:hAnsi="Cambria Math"/>
                            <w:szCs w:val="24"/>
                          </w:rPr>
                          <m:t>i</m:t>
                        </m:r>
                      </m:sub>
                    </m:sSub>
                  </m:num>
                  <m:den>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1-</m:t>
                        </m:r>
                        <m:f>
                          <m:fPr>
                            <m:ctrlPr>
                              <w:rPr>
                                <w:rFonts w:ascii="Cambria Math" w:eastAsiaTheme="minorEastAsia" w:hAnsi="Cambria Math"/>
                                <w:i/>
                                <w:szCs w:val="24"/>
                              </w:rPr>
                            </m:ctrlPr>
                          </m:fPr>
                          <m:num>
                            <m:r>
                              <w:rPr>
                                <w:rFonts w:ascii="Cambria Math" w:eastAsiaTheme="minorEastAsia" w:hAnsi="Cambria Math"/>
                                <w:szCs w:val="24"/>
                              </w:rPr>
                              <m:t>α</m:t>
                            </m:r>
                          </m:num>
                          <m:den>
                            <m:r>
                              <w:rPr>
                                <w:rFonts w:ascii="Cambria Math" w:eastAsiaTheme="minorEastAsia" w:hAnsi="Cambria Math"/>
                                <w:szCs w:val="24"/>
                              </w:rPr>
                              <m:t>2</m:t>
                            </m:r>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exp</m:t>
                            </m:r>
                          </m:sub>
                        </m:sSub>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θ</m:t>
                            </m:r>
                          </m:sub>
                        </m:sSub>
                      </m:e>
                    </m:d>
                    <m:sSub>
                      <m:sSubPr>
                        <m:ctrlPr>
                          <w:rPr>
                            <w:rFonts w:ascii="Cambria Math" w:eastAsiaTheme="minorEastAsia" w:hAnsi="Cambria Math"/>
                            <w:i/>
                            <w:szCs w:val="24"/>
                          </w:rPr>
                        </m:ctrlPr>
                      </m:sSubPr>
                      <m:e>
                        <m:rad>
                          <m:radPr>
                            <m:degHide m:val="1"/>
                            <m:ctrlPr>
                              <w:rPr>
                                <w:rFonts w:ascii="Cambria Math" w:eastAsiaTheme="minorEastAsia" w:hAnsi="Cambria Math"/>
                                <w:i/>
                                <w:szCs w:val="24"/>
                              </w:rPr>
                            </m:ctrlPr>
                          </m:radPr>
                          <m:deg/>
                          <m:e>
                            <m:r>
                              <w:rPr>
                                <w:rFonts w:ascii="Cambria Math" w:eastAsiaTheme="minorEastAsia" w:hAnsi="Cambria Math"/>
                                <w:szCs w:val="24"/>
                              </w:rPr>
                              <m:t>V</m:t>
                            </m:r>
                          </m:e>
                        </m:rad>
                      </m:e>
                      <m:sub>
                        <m:r>
                          <w:rPr>
                            <w:rFonts w:ascii="Cambria Math" w:eastAsiaTheme="minorEastAsia" w:hAnsi="Cambria Math"/>
                            <w:szCs w:val="24"/>
                          </w:rPr>
                          <m:t>ii</m:t>
                        </m:r>
                      </m:sub>
                    </m:sSub>
                  </m:den>
                </m:f>
                <m:r>
                  <w:rPr>
                    <w:rFonts w:ascii="Cambria Math" w:eastAsiaTheme="minorEastAsia" w:hAnsi="Cambria Math"/>
                    <w:szCs w:val="24"/>
                  </w:rPr>
                  <m:t>; ∀i=1,…,</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θ</m:t>
                    </m:r>
                  </m:sub>
                </m:sSub>
              </m:oMath>
            </m:oMathPara>
          </w:p>
        </w:tc>
        <w:tc>
          <w:tcPr>
            <w:tcW w:w="976" w:type="dxa"/>
            <w:shd w:val="clear" w:color="auto" w:fill="auto"/>
            <w:vAlign w:val="center"/>
          </w:tcPr>
          <w:p w14:paraId="285AD749"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9</w:t>
            </w:r>
            <w:r w:rsidRPr="00BA1A31">
              <w:rPr>
                <w:lang w:val="en-GB"/>
              </w:rPr>
              <w:t>)</w:t>
            </w:r>
          </w:p>
        </w:tc>
      </w:tr>
    </w:tbl>
    <w:p w14:paraId="223C1DF1" w14:textId="77777777" w:rsidR="005B4204" w:rsidRDefault="005B4204" w:rsidP="005B4204">
      <w:pPr>
        <w:pStyle w:val="Els-body-text"/>
        <w:rPr>
          <w:rFonts w:eastAsiaTheme="minorEastAsia"/>
          <w:bCs/>
        </w:rPr>
      </w:pP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ii</m:t>
            </m:r>
          </m:sub>
        </m:sSub>
      </m:oMath>
      <w:r w:rsidRPr="00D53A3A">
        <w:rPr>
          <w:rFonts w:eastAsiaTheme="minorEastAsia"/>
          <w:szCs w:val="24"/>
        </w:rPr>
        <w:t xml:space="preserve"> is the </w:t>
      </w: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th</m:t>
            </m:r>
          </m:sup>
        </m:sSup>
      </m:oMath>
      <w:r w:rsidRPr="00D53A3A">
        <w:rPr>
          <w:rFonts w:eastAsiaTheme="minorEastAsia"/>
          <w:szCs w:val="24"/>
        </w:rPr>
        <w:t xml:space="preserve"> </w:t>
      </w:r>
      <w:r>
        <w:rPr>
          <w:rFonts w:eastAsiaTheme="minorEastAsia"/>
          <w:szCs w:val="24"/>
        </w:rPr>
        <w:t xml:space="preserve">diagonal </w:t>
      </w:r>
      <w:r w:rsidRPr="00D53A3A">
        <w:rPr>
          <w:rFonts w:eastAsiaTheme="minorEastAsia"/>
          <w:szCs w:val="24"/>
        </w:rPr>
        <w:t xml:space="preserve">entry of the </w:t>
      </w:r>
      <w:r>
        <w:rPr>
          <w:rFonts w:eastAsiaTheme="minorEastAsia"/>
          <w:szCs w:val="24"/>
        </w:rPr>
        <w:t xml:space="preserve">inverse of the Fisher information matrix </w:t>
      </w:r>
      <m:oMath>
        <m:r>
          <m:rPr>
            <m:sty m:val="b"/>
          </m:rPr>
          <w:rPr>
            <w:rFonts w:ascii="Cambria Math" w:eastAsia="Calibri" w:hAnsi="Cambria Math"/>
            <w:szCs w:val="24"/>
          </w:rPr>
          <m:t>H</m:t>
        </m:r>
        <m:d>
          <m:dPr>
            <m:ctrlPr>
              <w:rPr>
                <w:rFonts w:ascii="Cambria Math" w:eastAsia="Calibri" w:hAnsi="Cambria Math"/>
                <w:i/>
                <w:szCs w:val="24"/>
              </w:rPr>
            </m:ctrlPr>
          </m:dPr>
          <m:e>
            <m:acc>
              <m:accPr>
                <m:ctrlPr>
                  <w:rPr>
                    <w:rFonts w:ascii="Cambria Math" w:eastAsia="Calibri" w:hAnsi="Cambria Math"/>
                    <w:b/>
                    <w:szCs w:val="24"/>
                  </w:rPr>
                </m:ctrlPr>
              </m:accPr>
              <m:e>
                <m:r>
                  <m:rPr>
                    <m:sty m:val="b"/>
                  </m:rPr>
                  <w:rPr>
                    <w:rFonts w:ascii="Cambria Math" w:eastAsia="Calibri" w:hAnsi="Cambria Math"/>
                    <w:szCs w:val="24"/>
                  </w:rPr>
                  <m:t>θ</m:t>
                </m:r>
              </m:e>
            </m:acc>
            <m:r>
              <m:rPr>
                <m:sty m:val="bi"/>
              </m:rPr>
              <w:rPr>
                <w:rFonts w:ascii="Cambria Math" w:eastAsia="Calibri" w:hAnsi="Cambria Math"/>
                <w:szCs w:val="24"/>
              </w:rPr>
              <m:t xml:space="preserve">, </m:t>
            </m:r>
            <m:r>
              <m:rPr>
                <m:sty m:val="b"/>
              </m:rPr>
              <w:rPr>
                <w:rFonts w:ascii="Cambria Math" w:eastAsiaTheme="minorEastAsia" w:hAnsi="Cambria Math"/>
                <w:szCs w:val="24"/>
              </w:rPr>
              <m:t>φ</m:t>
            </m:r>
            <m:ctrlPr>
              <w:rPr>
                <w:rFonts w:ascii="Cambria Math" w:eastAsia="Calibri" w:hAnsi="Cambria Math"/>
                <w:b/>
                <w:szCs w:val="24"/>
              </w:rPr>
            </m:ctrlPr>
          </m:e>
        </m:d>
      </m:oMath>
      <w:r>
        <w:rPr>
          <w:rFonts w:eastAsiaTheme="minorEastAsia"/>
          <w:b/>
          <w:szCs w:val="24"/>
        </w:rPr>
        <w:t>.</w:t>
      </w:r>
      <w:r w:rsidRPr="0019612D">
        <w:rPr>
          <w:rFonts w:eastAsiaTheme="minorEastAsia"/>
          <w:bCs/>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m:t>
            </m:r>
          </m:sub>
        </m:sSub>
      </m:oMath>
      <w:r>
        <w:rPr>
          <w:rFonts w:eastAsiaTheme="minorEastAsia"/>
          <w:szCs w:val="24"/>
        </w:rPr>
        <w:t xml:space="preserve"> must be greater than </w:t>
      </w: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ref</m:t>
            </m:r>
          </m:sub>
        </m:sSub>
      </m:oMath>
      <w:r>
        <w:rPr>
          <w:rFonts w:eastAsiaTheme="minorEastAsia"/>
          <w:szCs w:val="24"/>
        </w:rPr>
        <w:t xml:space="preserve"> and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eastAsiaTheme="minorEastAsia"/>
        </w:rPr>
        <w:t xml:space="preserve"> less than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ref</m:t>
            </m:r>
          </m:sub>
          <m:sup>
            <m:r>
              <w:rPr>
                <w:rFonts w:ascii="Cambria Math" w:hAnsi="Cambria Math"/>
                <w:szCs w:val="24"/>
              </w:rPr>
              <m:t>2</m:t>
            </m:r>
          </m:sup>
        </m:sSubSup>
      </m:oMath>
      <w:r>
        <w:rPr>
          <w:rFonts w:eastAsiaTheme="minorEastAsia"/>
          <w:szCs w:val="24"/>
        </w:rPr>
        <w:t xml:space="preserve">, the reference values being obtained at </w:t>
      </w:r>
      <m:oMath>
        <m:d>
          <m:dPr>
            <m:ctrlPr>
              <w:rPr>
                <w:rFonts w:ascii="Cambria Math" w:eastAsiaTheme="minorEastAsia" w:hAnsi="Cambria Math"/>
                <w:i/>
                <w:szCs w:val="24"/>
              </w:rPr>
            </m:ctrlPr>
          </m:dPr>
          <m:e>
            <m:r>
              <w:rPr>
                <w:rFonts w:ascii="Cambria Math" w:eastAsiaTheme="minorEastAsia" w:hAnsi="Cambria Math"/>
                <w:szCs w:val="24"/>
              </w:rPr>
              <m:t>1-α</m:t>
            </m:r>
          </m:e>
        </m:d>
      </m:oMath>
      <w:r>
        <w:rPr>
          <w:rFonts w:eastAsiaTheme="minorEastAsia"/>
          <w:szCs w:val="24"/>
        </w:rPr>
        <w:t xml:space="preserve"> confidence level (</w:t>
      </w:r>
      <m:oMath>
        <m:r>
          <w:rPr>
            <w:rFonts w:ascii="Cambria Math" w:eastAsiaTheme="minorEastAsia" w:hAnsi="Cambria Math"/>
            <w:szCs w:val="24"/>
          </w:rPr>
          <m:t>α=0.05</m:t>
        </m:r>
      </m:oMath>
      <w:r>
        <w:rPr>
          <w:rFonts w:eastAsiaTheme="minorEastAsia"/>
          <w:szCs w:val="24"/>
        </w:rPr>
        <w:t xml:space="preserve"> in this work) and </w:t>
      </w:r>
      <m:oMath>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exp</m:t>
                </m:r>
              </m:sub>
            </m:sSub>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y</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θ</m:t>
                </m:r>
              </m:sub>
            </m:sSub>
          </m:e>
        </m:d>
      </m:oMath>
      <w:r>
        <w:rPr>
          <w:rFonts w:eastAsiaTheme="minorEastAsia"/>
          <w:szCs w:val="24"/>
        </w:rPr>
        <w:t xml:space="preserve"> degrees of freedom.</w:t>
      </w:r>
    </w:p>
    <w:p w14:paraId="77557932" w14:textId="77777777" w:rsidR="005B4204" w:rsidRDefault="005B4204" w:rsidP="005B4204">
      <w:pPr>
        <w:pStyle w:val="Els-body-text"/>
        <w:rPr>
          <w:szCs w:val="24"/>
        </w:rPr>
      </w:pPr>
      <w:r>
        <w:rPr>
          <w:rFonts w:eastAsiaTheme="minorEastAsia"/>
          <w:iCs/>
        </w:rPr>
        <w:t xml:space="preserve">Module 4 for </w:t>
      </w:r>
      <w:proofErr w:type="spellStart"/>
      <w:r>
        <w:rPr>
          <w:rFonts w:eastAsiaTheme="minorEastAsia"/>
          <w:iCs/>
        </w:rPr>
        <w:t>MBDoE</w:t>
      </w:r>
      <w:proofErr w:type="spellEnd"/>
      <w:r>
        <w:rPr>
          <w:rFonts w:eastAsiaTheme="minorEastAsia"/>
          <w:iCs/>
        </w:rPr>
        <w:t xml:space="preserve"> is the optimal design for parameter precision algorithm that determines the impact of the </w:t>
      </w:r>
      <w:proofErr w:type="spellStart"/>
      <w:r>
        <w:rPr>
          <w:rFonts w:eastAsiaTheme="minorEastAsia"/>
          <w:iCs/>
        </w:rPr>
        <w:t>SimBot</w:t>
      </w:r>
      <w:proofErr w:type="spellEnd"/>
      <w:r>
        <w:rPr>
          <w:rFonts w:eastAsiaTheme="minorEastAsia"/>
          <w:iCs/>
        </w:rPr>
        <w:t xml:space="preserve"> software in any application. The algorithm employs the physics-based model with prior parameter estimates to search the design space </w:t>
      </w:r>
      <m:oMath>
        <m:r>
          <m:rPr>
            <m:sty m:val="b"/>
          </m:rPr>
          <w:rPr>
            <w:rFonts w:ascii="Cambria Math" w:eastAsiaTheme="minorEastAsia" w:hAnsi="Cambria Math"/>
          </w:rPr>
          <m:t>Φ</m:t>
        </m:r>
      </m:oMath>
      <w:r>
        <w:rPr>
          <w:rFonts w:eastAsiaTheme="minorEastAsia"/>
          <w:bCs/>
        </w:rPr>
        <w:t xml:space="preserve"> for optimal design of experiment </w:t>
      </w:r>
      <m:oMath>
        <m:r>
          <m:rPr>
            <m:sty m:val="b"/>
          </m:rPr>
          <w:rPr>
            <w:rFonts w:ascii="Cambria Math" w:hAnsi="Cambria Math"/>
          </w:rPr>
          <m:t>φ</m:t>
        </m:r>
        <m:r>
          <m:rPr>
            <m:sty m:val="bi"/>
          </m:rPr>
          <w:rPr>
            <w:rFonts w:ascii="Cambria Math" w:hAnsi="Cambria Math"/>
          </w:rPr>
          <m:t>∈</m:t>
        </m:r>
        <m:sSup>
          <m:sSupPr>
            <m:ctrlPr>
              <w:rPr>
                <w:rFonts w:ascii="Cambria Math" w:hAnsi="Cambria Math"/>
                <w:b/>
                <w:bCs/>
                <w:i/>
                <w:iCs/>
              </w:rPr>
            </m:ctrlPr>
          </m:sSupPr>
          <m:e>
            <m:r>
              <m:rPr>
                <m:scr m:val="double-struck"/>
                <m:sty m:val="bi"/>
              </m:rPr>
              <w:rPr>
                <w:rFonts w:ascii="Cambria Math" w:hAnsi="Cambria Math"/>
              </w:rPr>
              <m:t>R</m:t>
            </m:r>
          </m:e>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φ</m:t>
                </m:r>
              </m:sub>
            </m:sSub>
          </m:sup>
        </m:sSup>
      </m:oMath>
      <w:r>
        <w:rPr>
          <w:rFonts w:eastAsiaTheme="minorEastAsia"/>
          <w:iCs/>
        </w:rPr>
        <w:t xml:space="preserve"> that would minimise the uncertainty region of model parameters (in other words, maximise parameter precision and model robustness) using a scalar measure of the</w:t>
      </w:r>
      <w:r w:rsidRPr="00465912">
        <w:rPr>
          <w:szCs w:val="24"/>
        </w:rPr>
        <w:t xml:space="preserve"> </w:t>
      </w:r>
      <w:r>
        <w:rPr>
          <w:szCs w:val="24"/>
        </w:rPr>
        <w:t xml:space="preserve">Fisher information matrix. With </w:t>
      </w:r>
      <m:oMath>
        <m:sSub>
          <m:sSubPr>
            <m:ctrlPr>
              <w:rPr>
                <w:rFonts w:ascii="Cambria Math" w:eastAsia="Calibri" w:hAnsi="Cambria Math"/>
                <w:b/>
                <w:szCs w:val="24"/>
              </w:rPr>
            </m:ctrlPr>
          </m:sSubPr>
          <m:e>
            <m:r>
              <m:rPr>
                <m:sty m:val="b"/>
              </m:rPr>
              <w:rPr>
                <w:rFonts w:ascii="Cambria Math" w:eastAsia="Calibri" w:hAnsi="Cambria Math"/>
                <w:szCs w:val="24"/>
              </w:rPr>
              <m:t>H</m:t>
            </m:r>
          </m:e>
          <m:sub>
            <m:r>
              <w:rPr>
                <w:rFonts w:ascii="Cambria Math" w:eastAsia="Calibri" w:hAnsi="Cambria Math"/>
                <w:szCs w:val="24"/>
              </w:rPr>
              <m:t>0</m:t>
            </m:r>
          </m:sub>
        </m:sSub>
      </m:oMath>
      <w:r>
        <w:rPr>
          <w:bCs/>
          <w:szCs w:val="24"/>
        </w:rPr>
        <w:t xml:space="preserve"> denoting information from previous </w:t>
      </w:r>
      <m:oMath>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exp</m:t>
            </m:r>
          </m:sub>
        </m:sSub>
      </m:oMath>
      <w:r>
        <w:rPr>
          <w:szCs w:val="24"/>
        </w:rPr>
        <w:t xml:space="preserve"> </w:t>
      </w:r>
      <w:r>
        <w:rPr>
          <w:bCs/>
          <w:szCs w:val="24"/>
        </w:rPr>
        <w:t xml:space="preserve">experiments, </w:t>
      </w:r>
      <w:r>
        <w:rPr>
          <w:szCs w:val="24"/>
        </w:rPr>
        <w:t xml:space="preserve">the </w:t>
      </w:r>
      <w:r w:rsidRPr="00465912">
        <w:rPr>
          <w:szCs w:val="24"/>
        </w:rPr>
        <w:t xml:space="preserve">expected marginal posterior </w:t>
      </w:r>
      <w:r>
        <w:rPr>
          <w:szCs w:val="24"/>
        </w:rPr>
        <w:t xml:space="preserve">Fisher information matrix </w:t>
      </w:r>
      <w:r w:rsidRPr="00465912">
        <w:rPr>
          <w:szCs w:val="24"/>
        </w:rPr>
        <w:t xml:space="preserve">covariance </w:t>
      </w:r>
      <m:oMath>
        <m:sSub>
          <m:sSubPr>
            <m:ctrlPr>
              <w:rPr>
                <w:rFonts w:ascii="Cambria Math" w:eastAsia="Calibri" w:hAnsi="Cambria Math"/>
                <w:b/>
                <w:szCs w:val="24"/>
              </w:rPr>
            </m:ctrlPr>
          </m:sSubPr>
          <m:e>
            <m:r>
              <m:rPr>
                <m:sty m:val="b"/>
              </m:rPr>
              <w:rPr>
                <w:rFonts w:ascii="Cambria Math" w:eastAsia="Calibri" w:hAnsi="Cambria Math"/>
                <w:szCs w:val="24"/>
              </w:rPr>
              <m:t>H</m:t>
            </m:r>
          </m:e>
          <m:sub>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exp</m:t>
                </m:r>
              </m:sub>
            </m:sSub>
            <m:r>
              <w:rPr>
                <w:rFonts w:ascii="Cambria Math" w:eastAsia="Calibri" w:hAnsi="Cambria Math"/>
                <w:szCs w:val="24"/>
              </w:rPr>
              <m:t>+1</m:t>
            </m:r>
          </m:sub>
        </m:sSub>
        <m:d>
          <m:dPr>
            <m:ctrlPr>
              <w:rPr>
                <w:rFonts w:ascii="Cambria Math" w:eastAsia="Calibri" w:hAnsi="Cambria Math"/>
                <w:i/>
                <w:szCs w:val="24"/>
              </w:rPr>
            </m:ctrlPr>
          </m:dPr>
          <m:e>
            <m:acc>
              <m:accPr>
                <m:ctrlPr>
                  <w:rPr>
                    <w:rFonts w:ascii="Cambria Math" w:eastAsia="Calibri" w:hAnsi="Cambria Math"/>
                    <w:b/>
                    <w:szCs w:val="24"/>
                  </w:rPr>
                </m:ctrlPr>
              </m:accPr>
              <m:e>
                <m:r>
                  <m:rPr>
                    <m:sty m:val="b"/>
                  </m:rPr>
                  <w:rPr>
                    <w:rFonts w:ascii="Cambria Math" w:eastAsia="Calibri" w:hAnsi="Cambria Math"/>
                    <w:szCs w:val="24"/>
                  </w:rPr>
                  <m:t>θ</m:t>
                </m:r>
              </m:e>
            </m:acc>
            <m:r>
              <m:rPr>
                <m:sty m:val="bi"/>
              </m:rPr>
              <w:rPr>
                <w:rFonts w:ascii="Cambria Math" w:eastAsia="Calibri" w:hAnsi="Cambria Math"/>
                <w:szCs w:val="24"/>
              </w:rPr>
              <m:t xml:space="preserve">, </m:t>
            </m:r>
            <m:r>
              <m:rPr>
                <m:sty m:val="b"/>
              </m:rPr>
              <w:rPr>
                <w:rFonts w:ascii="Cambria Math" w:eastAsiaTheme="minorEastAsia" w:hAnsi="Cambria Math"/>
                <w:szCs w:val="24"/>
              </w:rPr>
              <m:t>φ</m:t>
            </m:r>
            <m:ctrlPr>
              <w:rPr>
                <w:rFonts w:ascii="Cambria Math" w:eastAsia="Calibri" w:hAnsi="Cambria Math"/>
                <w:b/>
                <w:szCs w:val="24"/>
              </w:rPr>
            </m:ctrlPr>
          </m:e>
        </m:d>
      </m:oMath>
      <w:r w:rsidRPr="00D53A3A">
        <w:rPr>
          <w:rFonts w:eastAsiaTheme="minorEastAsia"/>
          <w:b/>
          <w:szCs w:val="24"/>
        </w:rPr>
        <w:t xml:space="preserve"> </w:t>
      </w:r>
      <w:r>
        <w:rPr>
          <w:rFonts w:eastAsiaTheme="minorEastAsia"/>
          <w:bCs/>
          <w:szCs w:val="24"/>
        </w:rPr>
        <w:t xml:space="preserve">at a new experimental design </w:t>
      </w:r>
      <w:r w:rsidRPr="00D53A3A">
        <w:rPr>
          <w:szCs w:val="24"/>
        </w:rPr>
        <w:t>can be obtained</w:t>
      </w:r>
      <w:r>
        <w:rPr>
          <w:szCs w:val="24"/>
        </w:rPr>
        <w:t xml:space="preserve"> as:</w:t>
      </w:r>
    </w:p>
    <w:tbl>
      <w:tblPr>
        <w:tblW w:w="7087" w:type="dxa"/>
        <w:tblLook w:val="04A0" w:firstRow="1" w:lastRow="0" w:firstColumn="1" w:lastColumn="0" w:noHBand="0" w:noVBand="1"/>
      </w:tblPr>
      <w:tblGrid>
        <w:gridCol w:w="6111"/>
        <w:gridCol w:w="976"/>
      </w:tblGrid>
      <w:tr w:rsidR="005B4204" w:rsidRPr="00BA1A31" w14:paraId="3CFA89D4" w14:textId="77777777" w:rsidTr="00E83AF3">
        <w:tc>
          <w:tcPr>
            <w:tcW w:w="6111" w:type="dxa"/>
            <w:shd w:val="clear" w:color="auto" w:fill="auto"/>
            <w:vAlign w:val="center"/>
          </w:tcPr>
          <w:p w14:paraId="25175A6B" w14:textId="77777777" w:rsidR="005B4204" w:rsidRPr="00082A44" w:rsidRDefault="005B4204" w:rsidP="00E83AF3">
            <w:pPr>
              <w:pStyle w:val="Els-body-text"/>
              <w:spacing w:before="120" w:after="120" w:line="264" w:lineRule="auto"/>
              <w:rPr>
                <w:lang w:val="en-GB"/>
              </w:rPr>
            </w:pPr>
            <m:oMathPara>
              <m:oMathParaPr>
                <m:jc m:val="left"/>
              </m:oMathParaPr>
              <m:oMath>
                <m:sSub>
                  <m:sSubPr>
                    <m:ctrlPr>
                      <w:rPr>
                        <w:rFonts w:ascii="Cambria Math" w:eastAsia="Calibri" w:hAnsi="Cambria Math"/>
                        <w:b/>
                        <w:szCs w:val="24"/>
                      </w:rPr>
                    </m:ctrlPr>
                  </m:sSubPr>
                  <m:e>
                    <m:r>
                      <m:rPr>
                        <m:sty m:val="b"/>
                      </m:rPr>
                      <w:rPr>
                        <w:rFonts w:ascii="Cambria Math" w:eastAsia="Calibri" w:hAnsi="Cambria Math"/>
                        <w:szCs w:val="24"/>
                      </w:rPr>
                      <m:t>H</m:t>
                    </m:r>
                  </m:e>
                  <m:sub>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exp</m:t>
                        </m:r>
                      </m:sub>
                    </m:sSub>
                    <m:r>
                      <w:rPr>
                        <w:rFonts w:ascii="Cambria Math" w:eastAsia="Calibri" w:hAnsi="Cambria Math"/>
                        <w:szCs w:val="24"/>
                      </w:rPr>
                      <m:t>+1</m:t>
                    </m:r>
                  </m:sub>
                </m:sSub>
                <m:d>
                  <m:dPr>
                    <m:ctrlPr>
                      <w:rPr>
                        <w:rFonts w:ascii="Cambria Math" w:eastAsia="Calibri" w:hAnsi="Cambria Math"/>
                        <w:i/>
                        <w:szCs w:val="24"/>
                      </w:rPr>
                    </m:ctrlPr>
                  </m:dPr>
                  <m:e>
                    <m:acc>
                      <m:accPr>
                        <m:ctrlPr>
                          <w:rPr>
                            <w:rFonts w:ascii="Cambria Math" w:eastAsia="Calibri" w:hAnsi="Cambria Math"/>
                            <w:b/>
                            <w:szCs w:val="24"/>
                          </w:rPr>
                        </m:ctrlPr>
                      </m:accPr>
                      <m:e>
                        <m:r>
                          <m:rPr>
                            <m:sty m:val="b"/>
                          </m:rPr>
                          <w:rPr>
                            <w:rFonts w:ascii="Cambria Math" w:eastAsia="Calibri" w:hAnsi="Cambria Math"/>
                            <w:szCs w:val="24"/>
                          </w:rPr>
                          <m:t>θ</m:t>
                        </m:r>
                      </m:e>
                    </m:acc>
                    <m:r>
                      <m:rPr>
                        <m:sty m:val="bi"/>
                      </m:rPr>
                      <w:rPr>
                        <w:rFonts w:ascii="Cambria Math" w:eastAsia="Calibri" w:hAnsi="Cambria Math"/>
                        <w:szCs w:val="24"/>
                      </w:rPr>
                      <m:t xml:space="preserve">, </m:t>
                    </m:r>
                    <m:r>
                      <m:rPr>
                        <m:sty m:val="b"/>
                      </m:rPr>
                      <w:rPr>
                        <w:rFonts w:ascii="Cambria Math" w:eastAsiaTheme="minorEastAsia" w:hAnsi="Cambria Math"/>
                        <w:szCs w:val="24"/>
                      </w:rPr>
                      <m:t>φ</m:t>
                    </m:r>
                    <m:ctrlPr>
                      <w:rPr>
                        <w:rFonts w:ascii="Cambria Math" w:eastAsia="Calibri" w:hAnsi="Cambria Math"/>
                        <w:b/>
                        <w:szCs w:val="24"/>
                      </w:rPr>
                    </m:ctrlPr>
                  </m:e>
                </m:d>
                <m:r>
                  <m:rPr>
                    <m:sty m:val="bi"/>
                  </m:rPr>
                  <w:rPr>
                    <w:rFonts w:ascii="Cambria Math" w:eastAsia="Calibri" w:hAnsi="Cambria Math"/>
                    <w:szCs w:val="24"/>
                  </w:rPr>
                  <m:t>=</m:t>
                </m:r>
                <m:sSub>
                  <m:sSubPr>
                    <m:ctrlPr>
                      <w:rPr>
                        <w:rFonts w:ascii="Cambria Math" w:eastAsia="Calibri" w:hAnsi="Cambria Math"/>
                        <w:b/>
                        <w:szCs w:val="24"/>
                      </w:rPr>
                    </m:ctrlPr>
                  </m:sSubPr>
                  <m:e>
                    <m:r>
                      <m:rPr>
                        <m:sty m:val="b"/>
                      </m:rPr>
                      <w:rPr>
                        <w:rFonts w:ascii="Cambria Math" w:eastAsia="Calibri" w:hAnsi="Cambria Math"/>
                        <w:szCs w:val="24"/>
                      </w:rPr>
                      <m:t>H</m:t>
                    </m:r>
                  </m:e>
                  <m:sub>
                    <m:r>
                      <w:rPr>
                        <w:rFonts w:ascii="Cambria Math" w:eastAsia="Calibri" w:hAnsi="Cambria Math"/>
                        <w:szCs w:val="24"/>
                      </w:rPr>
                      <m:t>0</m:t>
                    </m:r>
                  </m:sub>
                </m:sSub>
                <m:r>
                  <m:rPr>
                    <m:sty m:val="bi"/>
                  </m:rPr>
                  <w:rPr>
                    <w:rFonts w:ascii="Cambria Math" w:eastAsia="Calibri" w:hAnsi="Cambria Math"/>
                    <w:szCs w:val="24"/>
                  </w:rPr>
                  <m:t>+</m:t>
                </m:r>
                <m:nary>
                  <m:naryPr>
                    <m:chr m:val="∑"/>
                    <m:limLoc m:val="undOvr"/>
                    <m:ctrlPr>
                      <w:rPr>
                        <w:rFonts w:ascii="Cambria Math" w:eastAsia="Calibri" w:hAnsi="Cambria Math"/>
                        <w:b/>
                        <w:i/>
                        <w:szCs w:val="24"/>
                      </w:rPr>
                    </m:ctrlPr>
                  </m:naryPr>
                  <m:sub>
                    <m:r>
                      <w:rPr>
                        <w:rFonts w:ascii="Cambria Math" w:eastAsia="Calibri" w:hAnsi="Cambria Math"/>
                        <w:szCs w:val="24"/>
                      </w:rPr>
                      <m:t>i</m:t>
                    </m:r>
                  </m:sub>
                  <m:sup>
                    <m:sSub>
                      <m:sSubPr>
                        <m:ctrlPr>
                          <w:rPr>
                            <w:rFonts w:ascii="Cambria Math" w:eastAsia="Calibri" w:hAnsi="Cambria Math"/>
                            <w:i/>
                            <w:szCs w:val="24"/>
                          </w:rPr>
                        </m:ctrlPr>
                      </m:sSubPr>
                      <m:e>
                        <m:r>
                          <w:rPr>
                            <w:rFonts w:ascii="Cambria Math" w:eastAsia="Calibri" w:hAnsi="Cambria Math"/>
                            <w:szCs w:val="24"/>
                          </w:rPr>
                          <m:t>N</m:t>
                        </m:r>
                      </m:e>
                      <m:sub>
                        <m:r>
                          <w:rPr>
                            <w:rFonts w:ascii="Cambria Math" w:eastAsia="Calibri" w:hAnsi="Cambria Math"/>
                            <w:szCs w:val="24"/>
                          </w:rPr>
                          <m:t>y</m:t>
                        </m:r>
                      </m:sub>
                    </m:sSub>
                  </m:sup>
                  <m:e>
                    <m:f>
                      <m:fPr>
                        <m:ctrlPr>
                          <w:rPr>
                            <w:rFonts w:ascii="Cambria Math" w:eastAsia="Calibri" w:hAnsi="Cambria Math"/>
                            <w:b/>
                            <w:i/>
                            <w:szCs w:val="24"/>
                          </w:rPr>
                        </m:ctrlPr>
                      </m:fPr>
                      <m:num>
                        <m:r>
                          <w:rPr>
                            <w:rFonts w:ascii="Cambria Math" w:eastAsia="Calibri" w:hAnsi="Cambria Math"/>
                            <w:szCs w:val="24"/>
                          </w:rPr>
                          <m:t>1</m:t>
                        </m:r>
                      </m:num>
                      <m:den>
                        <m:sSubSup>
                          <m:sSubSupPr>
                            <m:ctrlPr>
                              <w:rPr>
                                <w:rFonts w:ascii="Cambria Math" w:eastAsia="Calibri" w:hAnsi="Cambria Math"/>
                                <w:bCs/>
                                <w:i/>
                                <w:szCs w:val="24"/>
                              </w:rPr>
                            </m:ctrlPr>
                          </m:sSubSupPr>
                          <m:e>
                            <m:r>
                              <w:rPr>
                                <w:rFonts w:ascii="Cambria Math" w:eastAsia="Calibri" w:hAnsi="Cambria Math"/>
                                <w:szCs w:val="24"/>
                              </w:rPr>
                              <m:t>σ</m:t>
                            </m:r>
                          </m:e>
                          <m:sub>
                            <m:r>
                              <w:rPr>
                                <w:rFonts w:ascii="Cambria Math" w:eastAsia="Calibri" w:hAnsi="Cambria Math"/>
                                <w:szCs w:val="24"/>
                              </w:rPr>
                              <m:t>i</m:t>
                            </m:r>
                          </m:sub>
                          <m:sup>
                            <m:r>
                              <w:rPr>
                                <w:rFonts w:ascii="Cambria Math" w:eastAsia="Calibri" w:hAnsi="Cambria Math"/>
                                <w:szCs w:val="24"/>
                              </w:rPr>
                              <m:t>2</m:t>
                            </m:r>
                          </m:sup>
                        </m:sSubSup>
                      </m:den>
                    </m:f>
                    <m:sSubSup>
                      <m:sSubSupPr>
                        <m:ctrlPr>
                          <w:rPr>
                            <w:rFonts w:ascii="Cambria Math" w:eastAsia="Calibri" w:hAnsi="Cambria Math"/>
                            <w:b/>
                            <w:i/>
                            <w:szCs w:val="24"/>
                          </w:rPr>
                        </m:ctrlPr>
                      </m:sSubSupPr>
                      <m:e>
                        <m:r>
                          <m:rPr>
                            <m:sty m:val="bi"/>
                          </m:rPr>
                          <w:rPr>
                            <w:rFonts w:ascii="Cambria Math" w:eastAsia="Calibri" w:hAnsi="Cambria Math"/>
                            <w:szCs w:val="24"/>
                          </w:rPr>
                          <m:t>Q</m:t>
                        </m:r>
                      </m:e>
                      <m:sub>
                        <m:r>
                          <w:rPr>
                            <w:rFonts w:ascii="Cambria Math" w:eastAsia="Calibri" w:hAnsi="Cambria Math"/>
                            <w:szCs w:val="24"/>
                          </w:rPr>
                          <m:t>i</m:t>
                        </m:r>
                      </m:sub>
                      <m:sup>
                        <m:r>
                          <w:rPr>
                            <w:rFonts w:ascii="Cambria Math" w:eastAsia="Calibri" w:hAnsi="Cambria Math"/>
                            <w:szCs w:val="24"/>
                          </w:rPr>
                          <m:t>T</m:t>
                        </m:r>
                      </m:sup>
                    </m:sSubSup>
                    <m:sSub>
                      <m:sSubPr>
                        <m:ctrlPr>
                          <w:rPr>
                            <w:rFonts w:ascii="Cambria Math" w:eastAsia="Calibri" w:hAnsi="Cambria Math"/>
                            <w:b/>
                            <w:i/>
                            <w:szCs w:val="24"/>
                          </w:rPr>
                        </m:ctrlPr>
                      </m:sSubPr>
                      <m:e>
                        <m:r>
                          <m:rPr>
                            <m:sty m:val="bi"/>
                          </m:rPr>
                          <w:rPr>
                            <w:rFonts w:ascii="Cambria Math" w:eastAsia="Calibri" w:hAnsi="Cambria Math"/>
                            <w:szCs w:val="24"/>
                          </w:rPr>
                          <m:t>Q</m:t>
                        </m:r>
                      </m:e>
                      <m:sub>
                        <m:r>
                          <w:rPr>
                            <w:rFonts w:ascii="Cambria Math" w:eastAsia="Calibri" w:hAnsi="Cambria Math"/>
                            <w:szCs w:val="24"/>
                          </w:rPr>
                          <m:t>i</m:t>
                        </m:r>
                      </m:sub>
                    </m:sSub>
                  </m:e>
                </m:nary>
              </m:oMath>
            </m:oMathPara>
          </w:p>
        </w:tc>
        <w:tc>
          <w:tcPr>
            <w:tcW w:w="976" w:type="dxa"/>
            <w:shd w:val="clear" w:color="auto" w:fill="auto"/>
            <w:vAlign w:val="center"/>
          </w:tcPr>
          <w:p w14:paraId="0BF47A0A" w14:textId="77777777" w:rsidR="005B4204" w:rsidRPr="00BA1A31" w:rsidRDefault="005B4204" w:rsidP="00E83AF3">
            <w:pPr>
              <w:pStyle w:val="Els-body-text"/>
              <w:spacing w:before="120" w:after="120" w:line="264" w:lineRule="auto"/>
              <w:jc w:val="right"/>
              <w:rPr>
                <w:lang w:val="en-GB"/>
              </w:rPr>
            </w:pPr>
            <w:r w:rsidRPr="00BA1A31">
              <w:rPr>
                <w:lang w:val="en-GB"/>
              </w:rPr>
              <w:t>(</w:t>
            </w:r>
            <w:r>
              <w:rPr>
                <w:lang w:val="en-GB"/>
              </w:rPr>
              <w:t>10</w:t>
            </w:r>
            <w:r w:rsidRPr="00BA1A31">
              <w:rPr>
                <w:lang w:val="en-GB"/>
              </w:rPr>
              <w:t>)</w:t>
            </w:r>
          </w:p>
        </w:tc>
      </w:tr>
    </w:tbl>
    <w:p w14:paraId="72866CB2" w14:textId="77777777" w:rsidR="005B4204" w:rsidRPr="005E0E29" w:rsidRDefault="005B4204" w:rsidP="005B4204">
      <w:pPr>
        <w:pStyle w:val="Els-1storder-head"/>
        <w:numPr>
          <w:ilvl w:val="0"/>
          <w:numId w:val="0"/>
        </w:numPr>
        <w:rPr>
          <w:b w:val="0"/>
          <w:bCs/>
          <w:sz w:val="20"/>
          <w:lang w:val="en-GB"/>
        </w:rPr>
      </w:pPr>
      <w:r>
        <w:rPr>
          <w:b w:val="0"/>
          <w:bCs/>
          <w:sz w:val="20"/>
        </w:rPr>
        <w:t xml:space="preserve">A metric of cumulative Fisher information (i.e., the determinant) evaluated as </w:t>
      </w:r>
      <m:oMath>
        <m:d>
          <m:dPr>
            <m:begChr m:val="|"/>
            <m:endChr m:val="|"/>
            <m:ctrlPr>
              <w:rPr>
                <w:rFonts w:ascii="Cambria Math" w:hAnsi="Cambria Math"/>
                <w:b w:val="0"/>
                <w:bCs/>
                <w:i/>
                <w:sz w:val="20"/>
              </w:rPr>
            </m:ctrlPr>
          </m:dPr>
          <m:e>
            <m:nary>
              <m:naryPr>
                <m:chr m:val="∑"/>
                <m:limLoc m:val="undOvr"/>
                <m:subHide m:val="1"/>
                <m:supHide m:val="1"/>
                <m:ctrlPr>
                  <w:rPr>
                    <w:rFonts w:ascii="Cambria Math" w:hAnsi="Cambria Math"/>
                    <w:b w:val="0"/>
                    <w:bCs/>
                    <w:i/>
                    <w:sz w:val="20"/>
                  </w:rPr>
                </m:ctrlPr>
              </m:naryPr>
              <m:sub/>
              <m:sup/>
              <m:e>
                <m:r>
                  <m:rPr>
                    <m:sty m:val="b"/>
                  </m:rPr>
                  <w:rPr>
                    <w:rFonts w:ascii="Cambria Math" w:eastAsia="Calibri" w:hAnsi="Cambria Math"/>
                    <w:szCs w:val="24"/>
                  </w:rPr>
                  <m:t>H</m:t>
                </m:r>
              </m:e>
            </m:nary>
          </m:e>
        </m:d>
      </m:oMath>
      <w:r>
        <w:rPr>
          <w:b w:val="0"/>
          <w:bCs/>
          <w:sz w:val="20"/>
        </w:rPr>
        <w:t xml:space="preserve"> can be used to assess the performance of alternative MBDoE approaches.  </w:t>
      </w:r>
    </w:p>
    <w:p w14:paraId="2A04CAF9" w14:textId="77777777" w:rsidR="005B4204" w:rsidRPr="00A94774" w:rsidRDefault="005B4204" w:rsidP="005B4204">
      <w:pPr>
        <w:pStyle w:val="Els-1storder-head"/>
        <w:spacing w:after="120"/>
        <w:rPr>
          <w:lang w:val="en-GB"/>
        </w:rPr>
      </w:pPr>
      <w:r>
        <w:rPr>
          <w:lang w:val="en-GB"/>
        </w:rPr>
        <w:t>Pharmaceutical case study</w:t>
      </w:r>
    </w:p>
    <w:p w14:paraId="14EB71ED" w14:textId="77777777" w:rsidR="005B4204" w:rsidRDefault="005B4204" w:rsidP="005B4204">
      <w:pPr>
        <w:pStyle w:val="Els-body-text"/>
      </w:pPr>
      <w:r>
        <w:rPr>
          <w:lang w:val="en-GB"/>
        </w:rPr>
        <w:t>To</w:t>
      </w:r>
      <w:r w:rsidRPr="00A94774">
        <w:rPr>
          <w:lang w:val="en-GB"/>
        </w:rPr>
        <w:t xml:space="preserve"> </w:t>
      </w:r>
      <w:r>
        <w:t xml:space="preserve">evaluate the relative performance of alternative </w:t>
      </w:r>
      <w:proofErr w:type="spellStart"/>
      <w:r>
        <w:t>MBDoE</w:t>
      </w:r>
      <w:proofErr w:type="spellEnd"/>
      <w:r>
        <w:t xml:space="preserve"> methodologies, we consider a case study related to homogeneous amide formation (</w:t>
      </w:r>
      <m:oMath>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CON</m:t>
        </m:r>
        <m:sSub>
          <m:sSubPr>
            <m:ctrlPr>
              <w:rPr>
                <w:rFonts w:ascii="Cambria Math" w:hAnsi="Cambria Math"/>
                <w:i/>
                <w:iCs/>
              </w:rPr>
            </m:ctrlPr>
          </m:sSubPr>
          <m:e>
            <m:r>
              <w:rPr>
                <w:rFonts w:ascii="Cambria Math" w:hAnsi="Cambria Math"/>
              </w:rPr>
              <m:t>H</m:t>
            </m:r>
          </m:e>
          <m:sub>
            <m:r>
              <w:rPr>
                <w:rFonts w:ascii="Cambria Math" w:hAnsi="Cambria Math"/>
              </w:rPr>
              <m:t>2</m:t>
            </m:r>
          </m:sub>
        </m:sSub>
      </m:oMath>
      <w:r>
        <w:t>) in a flow reactor system, where an amine (</w:t>
      </w:r>
      <m:oMath>
        <m:r>
          <w:rPr>
            <w:rFonts w:ascii="Cambria Math" w:hAnsi="Cambria Math"/>
          </w:rPr>
          <m:t>RN</m:t>
        </m:r>
        <m:sSub>
          <m:sSubPr>
            <m:ctrlPr>
              <w:rPr>
                <w:rFonts w:ascii="Cambria Math" w:hAnsi="Cambria Math"/>
                <w:i/>
                <w:iCs/>
              </w:rPr>
            </m:ctrlPr>
          </m:sSubPr>
          <m:e>
            <m:r>
              <w:rPr>
                <w:rFonts w:ascii="Cambria Math" w:hAnsi="Cambria Math"/>
              </w:rPr>
              <m:t>H</m:t>
            </m:r>
          </m:e>
          <m:sub>
            <m:r>
              <w:rPr>
                <w:rFonts w:ascii="Cambria Math" w:hAnsi="Cambria Math"/>
              </w:rPr>
              <m:t>2</m:t>
            </m:r>
          </m:sub>
        </m:sSub>
      </m:oMath>
      <w:r>
        <w:t>) reacts with an ester (</w:t>
      </w:r>
      <m:oMath>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COO</m:t>
        </m:r>
        <m:sSup>
          <m:sSupPr>
            <m:ctrlPr>
              <w:rPr>
                <w:rFonts w:ascii="Cambria Math" w:hAnsi="Cambria Math"/>
                <w:i/>
                <w:iCs/>
              </w:rPr>
            </m:ctrlPr>
          </m:sSupPr>
          <m:e>
            <m:r>
              <w:rPr>
                <w:rFonts w:ascii="Cambria Math" w:hAnsi="Cambria Math"/>
              </w:rPr>
              <m:t>R</m:t>
            </m:r>
          </m:e>
          <m:sup>
            <m:r>
              <w:rPr>
                <w:rFonts w:ascii="Cambria Math" w:hAnsi="Cambria Math"/>
              </w:rPr>
              <m:t>''</m:t>
            </m:r>
          </m:sup>
        </m:sSup>
      </m:oMath>
      <w:r>
        <w:t>) reversibly as:</w:t>
      </w:r>
    </w:p>
    <w:tbl>
      <w:tblPr>
        <w:tblW w:w="7087" w:type="dxa"/>
        <w:tblLook w:val="04A0" w:firstRow="1" w:lastRow="0" w:firstColumn="1" w:lastColumn="0" w:noHBand="0" w:noVBand="1"/>
      </w:tblPr>
      <w:tblGrid>
        <w:gridCol w:w="6111"/>
        <w:gridCol w:w="976"/>
      </w:tblGrid>
      <w:tr w:rsidR="005B4204" w:rsidRPr="00BA1A31" w14:paraId="6E1811B5" w14:textId="77777777" w:rsidTr="00E83AF3">
        <w:tc>
          <w:tcPr>
            <w:tcW w:w="6111" w:type="dxa"/>
            <w:shd w:val="clear" w:color="auto" w:fill="auto"/>
            <w:vAlign w:val="center"/>
          </w:tcPr>
          <w:p w14:paraId="277E3ECE" w14:textId="77777777" w:rsidR="005B4204" w:rsidRPr="00082A44" w:rsidRDefault="005B4204" w:rsidP="00E83AF3">
            <w:pPr>
              <w:pStyle w:val="Els-body-text"/>
              <w:spacing w:line="264" w:lineRule="auto"/>
              <w:rPr>
                <w:lang w:val="en-GB"/>
              </w:rPr>
            </w:pPr>
            <m:oMathPara>
              <m:oMathParaPr>
                <m:jc m:val="left"/>
              </m:oMathParaPr>
              <m:oMath>
                <m:r>
                  <w:rPr>
                    <w:rFonts w:ascii="Cambria Math" w:hAnsi="Cambria Math"/>
                  </w:rPr>
                  <m:t>RN</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COO</m:t>
                </m:r>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 xml:space="preserve">     </m:t>
                </m:r>
                <m:m>
                  <m:mPr>
                    <m:mcs>
                      <m:mc>
                        <m:mcPr>
                          <m:count m:val="1"/>
                          <m:mcJc m:val="center"/>
                        </m:mcPr>
                      </m:mc>
                    </m:mcs>
                    <m:ctrlPr>
                      <w:rPr>
                        <w:rFonts w:ascii="Cambria Math" w:hAnsi="Cambria Math"/>
                        <w:i/>
                      </w:rPr>
                    </m:ctrlPr>
                  </m:mPr>
                  <m:mr>
                    <m:e>
                      <m:groupChr>
                        <m:groupChrPr>
                          <m:chr m:val="→"/>
                          <m:vertJc m:val="bot"/>
                          <m:ctrlPr>
                            <w:rPr>
                              <w:rFonts w:ascii="Cambria Math" w:hAnsi="Cambria Math"/>
                              <w:i/>
                            </w:rPr>
                          </m:ctrlPr>
                        </m:groupChrPr>
                        <m:e>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 xml:space="preserve">            </m:t>
                          </m:r>
                        </m:e>
                      </m:groupChr>
                    </m:e>
                  </m:mr>
                  <m:mr>
                    <m:e>
                      <m:groupChr>
                        <m:groupChrPr>
                          <m:chr m:val="←"/>
                          <m:pos m:val="top"/>
                          <m:ctrlPr>
                            <w:rPr>
                              <w:rFonts w:ascii="Cambria Math" w:hAnsi="Cambria Math"/>
                              <w:i/>
                            </w:rPr>
                          </m:ctrlPr>
                        </m:groupChrPr>
                        <m:e>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 xml:space="preserve">           </m:t>
                          </m:r>
                        </m:e>
                      </m:groupChr>
                    </m:e>
                  </m:mr>
                </m:m>
                <m:r>
                  <w:rPr>
                    <w:rFonts w:ascii="Cambria Math" w:hAnsi="Cambria Math"/>
                  </w:rPr>
                  <m:t xml:space="preserve">        </m:t>
                </m:r>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CON</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OR</m:t>
                </m:r>
              </m:oMath>
            </m:oMathPara>
          </w:p>
        </w:tc>
        <w:tc>
          <w:tcPr>
            <w:tcW w:w="976" w:type="dxa"/>
            <w:shd w:val="clear" w:color="auto" w:fill="auto"/>
            <w:vAlign w:val="center"/>
          </w:tcPr>
          <w:p w14:paraId="313C3709" w14:textId="77777777" w:rsidR="005B4204" w:rsidRPr="00BA1A31" w:rsidRDefault="005B4204" w:rsidP="00E83AF3">
            <w:pPr>
              <w:pStyle w:val="Els-body-text"/>
              <w:spacing w:line="264" w:lineRule="auto"/>
              <w:jc w:val="right"/>
              <w:rPr>
                <w:lang w:val="en-GB"/>
              </w:rPr>
            </w:pPr>
            <w:r w:rsidRPr="00BA1A31">
              <w:rPr>
                <w:lang w:val="en-GB"/>
              </w:rPr>
              <w:t>(</w:t>
            </w:r>
            <w:r>
              <w:rPr>
                <w:lang w:val="en-GB"/>
              </w:rPr>
              <w:t>R1</w:t>
            </w:r>
            <w:r w:rsidRPr="00BA1A31">
              <w:rPr>
                <w:lang w:val="en-GB"/>
              </w:rPr>
              <w:t>)</w:t>
            </w:r>
          </w:p>
        </w:tc>
      </w:tr>
    </w:tbl>
    <w:p w14:paraId="2C6C4ADC" w14:textId="77777777" w:rsidR="005B4204" w:rsidRDefault="005B4204" w:rsidP="005B4204">
      <w:pPr>
        <w:pStyle w:val="Els-body-text"/>
        <w:rPr>
          <w:rFonts w:eastAsiaTheme="minorEastAsia"/>
        </w:rPr>
      </w:pPr>
      <w:r>
        <w:rPr>
          <w:iCs/>
        </w:rPr>
        <w:t xml:space="preserve">where </w:t>
      </w:r>
      <m:oMath>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OR</m:t>
        </m:r>
      </m:oMath>
      <w:r>
        <w:rPr>
          <w:rFonts w:eastAsiaTheme="minorEastAsia"/>
        </w:rPr>
        <w:t xml:space="preserve"> is an alcohol by-product.</w:t>
      </w:r>
    </w:p>
    <w:p w14:paraId="5180A85F" w14:textId="77777777" w:rsidR="005B4204" w:rsidRPr="002F4842" w:rsidRDefault="005B4204" w:rsidP="005B4204">
      <w:pPr>
        <w:pStyle w:val="Els-body-text"/>
      </w:pPr>
      <w:r>
        <w:t xml:space="preserve">This synthesis was conducted in a smart flow reactor situated at the University of Leeds and controlled remotely using the </w:t>
      </w:r>
      <w:proofErr w:type="spellStart"/>
      <w:r>
        <w:t>MBDoE</w:t>
      </w:r>
      <w:proofErr w:type="spellEnd"/>
      <w:r>
        <w:t xml:space="preserve">-driven software operated from University College London in a cloud-based experimental platform. </w:t>
      </w:r>
      <w:r>
        <w:rPr>
          <w:rFonts w:eastAsiaTheme="minorEastAsia"/>
        </w:rPr>
        <w:t xml:space="preserve">The process control </w:t>
      </w:r>
      <w:r w:rsidRPr="00016EA3">
        <w:rPr>
          <w:rFonts w:eastAsiaTheme="minorEastAsia"/>
        </w:rPr>
        <w:t xml:space="preserve">variables are amine and ester inlet concentrations </w:t>
      </w:r>
      <m:oMath>
        <m:r>
          <m:rPr>
            <m:sty m:val="bi"/>
          </m:rPr>
          <w:rPr>
            <w:rFonts w:ascii="Cambria Math" w:eastAsia="Calibri" w:hAnsi="Cambria Math"/>
          </w:rPr>
          <m:t>c</m:t>
        </m:r>
        <m:d>
          <m:dPr>
            <m:ctrlPr>
              <w:rPr>
                <w:rFonts w:ascii="Cambria Math" w:eastAsia="Calibri" w:hAnsi="Cambria Math"/>
                <w:b/>
              </w:rPr>
            </m:ctrlPr>
          </m:dPr>
          <m:e>
            <m:r>
              <w:rPr>
                <w:rFonts w:ascii="Cambria Math" w:eastAsia="Calibri" w:hAnsi="Cambria Math"/>
              </w:rPr>
              <m:t>0</m:t>
            </m:r>
          </m:e>
        </m:d>
        <m:r>
          <m:rPr>
            <m:sty m:val="b"/>
          </m:rPr>
          <w:rPr>
            <w:rFonts w:ascii="Cambria Math" w:eastAsia="Calibri" w:hAnsi="Cambria Math"/>
          </w:rPr>
          <m:t>=</m:t>
        </m:r>
        <m:sSub>
          <m:sSubPr>
            <m:ctrlPr>
              <w:rPr>
                <w:rFonts w:ascii="Cambria Math" w:eastAsia="Calibri" w:hAnsi="Cambria Math"/>
                <w:b/>
              </w:rPr>
            </m:ctrlPr>
          </m:sSubPr>
          <m:e>
            <m:r>
              <m:rPr>
                <m:sty m:val="bi"/>
              </m:rPr>
              <w:rPr>
                <w:rFonts w:ascii="Cambria Math" w:eastAsia="Calibri" w:hAnsi="Cambria Math"/>
              </w:rPr>
              <m:t>c</m:t>
            </m:r>
          </m:e>
          <m:sub>
            <m:r>
              <w:rPr>
                <w:rFonts w:ascii="Cambria Math" w:eastAsia="Calibri" w:hAnsi="Cambria Math"/>
              </w:rPr>
              <m:t>0</m:t>
            </m:r>
          </m:sub>
        </m:sSub>
      </m:oMath>
      <w:r w:rsidRPr="00016EA3">
        <w:rPr>
          <w:rFonts w:eastAsiaTheme="minorEastAsia"/>
          <w:bCs/>
        </w:rPr>
        <w:t xml:space="preserve">, residence time </w:t>
      </w:r>
      <m:oMath>
        <m:r>
          <w:rPr>
            <w:rFonts w:ascii="Cambria Math" w:hAnsi="Cambria Math"/>
            <w:noProof/>
          </w:rPr>
          <m:t>τ</m:t>
        </m:r>
      </m:oMath>
      <w:r w:rsidRPr="00016EA3">
        <w:rPr>
          <w:rFonts w:eastAsiaTheme="minorEastAsia"/>
        </w:rPr>
        <w:t xml:space="preserve"> and the reactor temperature </w:t>
      </w:r>
      <m:oMath>
        <m:r>
          <w:rPr>
            <w:rFonts w:ascii="Cambria Math" w:hAnsi="Cambria Math"/>
            <w:noProof/>
          </w:rPr>
          <m:t>T</m:t>
        </m:r>
      </m:oMath>
      <w:r w:rsidRPr="00016EA3">
        <w:rPr>
          <w:rFonts w:eastAsiaTheme="minorEastAsia"/>
        </w:rPr>
        <w:t xml:space="preserve"> while the reactor exit concentration of amide </w:t>
      </w:r>
      <m:oMath>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3</m:t>
            </m:r>
          </m:sub>
        </m:sSub>
        <m:d>
          <m:dPr>
            <m:ctrlPr>
              <w:rPr>
                <w:rFonts w:ascii="Cambria Math" w:eastAsia="Calibri" w:hAnsi="Cambria Math"/>
                <w:b/>
              </w:rPr>
            </m:ctrlPr>
          </m:dPr>
          <m:e>
            <m:r>
              <w:rPr>
                <w:rFonts w:ascii="Cambria Math" w:hAnsi="Cambria Math"/>
                <w:noProof/>
              </w:rPr>
              <m:t>τ</m:t>
            </m:r>
          </m:e>
        </m:d>
      </m:oMath>
      <w:r w:rsidRPr="00016EA3">
        <w:rPr>
          <w:rFonts w:eastAsiaTheme="minorEastAsia"/>
          <w:b/>
        </w:rPr>
        <w:t xml:space="preserve"> </w:t>
      </w:r>
      <w:r w:rsidRPr="00016EA3">
        <w:rPr>
          <w:rFonts w:eastAsiaTheme="minorEastAsia"/>
          <w:bCs/>
        </w:rPr>
        <w:t>is</w:t>
      </w:r>
      <w:r w:rsidRPr="00016EA3">
        <w:rPr>
          <w:rFonts w:eastAsiaTheme="minorEastAsia"/>
        </w:rPr>
        <w:t xml:space="preserve"> </w:t>
      </w:r>
      <w:r>
        <w:rPr>
          <w:rFonts w:eastAsiaTheme="minorEastAsia"/>
        </w:rPr>
        <w:t xml:space="preserve">the response </w:t>
      </w:r>
      <w:r w:rsidRPr="00016EA3">
        <w:rPr>
          <w:rFonts w:eastAsiaTheme="minorEastAsia"/>
        </w:rPr>
        <w:t xml:space="preserve">measured at steady state. </w:t>
      </w:r>
      <w:r w:rsidRPr="00016EA3">
        <w:t>The synthesis system</w:t>
      </w:r>
      <w:r>
        <w:t xml:space="preserve"> </w:t>
      </w:r>
      <w:r w:rsidRPr="00016EA3">
        <w:t>operates as a plug flow reactor</w:t>
      </w:r>
      <w:r>
        <w:t xml:space="preserve"> and </w:t>
      </w:r>
      <w:r w:rsidRPr="00016EA3">
        <w:t>can be</w:t>
      </w:r>
      <w:r>
        <w:t xml:space="preserve"> modelled as a set of differential and algebraic equation with the design vector: </w:t>
      </w:r>
      <m:oMath>
        <m:r>
          <m:rPr>
            <m:sty m:val="b"/>
          </m:rPr>
          <w:rPr>
            <w:rFonts w:ascii="Cambria Math" w:eastAsiaTheme="minorEastAsia" w:hAnsi="Cambria Math"/>
            <w:szCs w:val="24"/>
          </w:rPr>
          <m:t>φ</m:t>
        </m:r>
        <m:r>
          <w:rPr>
            <w:rFonts w:ascii="Cambria Math" w:eastAsiaTheme="minorEastAsia" w:hAnsi="Cambria Math"/>
            <w:szCs w:val="24"/>
          </w:rPr>
          <m:t>=</m:t>
        </m:r>
        <m:sSup>
          <m:sSupPr>
            <m:ctrlPr>
              <w:rPr>
                <w:rFonts w:ascii="Cambria Math" w:eastAsiaTheme="minorEastAsia" w:hAnsi="Cambria Math"/>
                <w:i/>
                <w:szCs w:val="24"/>
              </w:rPr>
            </m:ctrlPr>
          </m:sSupPr>
          <m:e>
            <m:d>
              <m:dPr>
                <m:begChr m:val="["/>
                <m:endChr m:val="]"/>
                <m:ctrlPr>
                  <w:rPr>
                    <w:rFonts w:ascii="Cambria Math" w:eastAsiaTheme="minorEastAsia" w:hAnsi="Cambria Math"/>
                    <w:i/>
                    <w:szCs w:val="24"/>
                  </w:rPr>
                </m:ctrlPr>
              </m:dPr>
              <m:e>
                <m:r>
                  <w:rPr>
                    <w:rFonts w:ascii="Cambria Math" w:eastAsiaTheme="minorEastAsia" w:hAnsi="Cambria Math"/>
                    <w:szCs w:val="24"/>
                  </w:rPr>
                  <m:t xml:space="preserve">T, τ, </m:t>
                </m:r>
                <m:sSubSup>
                  <m:sSubSupPr>
                    <m:ctrlPr>
                      <w:rPr>
                        <w:rFonts w:ascii="Cambria Math" w:eastAsiaTheme="minorEastAsia" w:hAnsi="Cambria Math"/>
                        <w:i/>
                        <w:szCs w:val="24"/>
                      </w:rPr>
                    </m:ctrlPr>
                  </m:sSubSupPr>
                  <m:e>
                    <m:r>
                      <m:rPr>
                        <m:sty m:val="b"/>
                      </m:rPr>
                      <w:rPr>
                        <w:rFonts w:ascii="Cambria Math" w:eastAsiaTheme="minorEastAsia" w:hAnsi="Cambria Math"/>
                        <w:szCs w:val="24"/>
                      </w:rPr>
                      <m:t>c</m:t>
                    </m:r>
                  </m:e>
                  <m:sub>
                    <m:r>
                      <w:rPr>
                        <w:rFonts w:ascii="Cambria Math" w:eastAsiaTheme="minorEastAsia" w:hAnsi="Cambria Math"/>
                        <w:szCs w:val="24"/>
                      </w:rPr>
                      <m:t>0</m:t>
                    </m:r>
                  </m:sub>
                  <m:sup>
                    <m:r>
                      <w:rPr>
                        <w:rFonts w:ascii="Cambria Math" w:eastAsiaTheme="minorEastAsia" w:hAnsi="Cambria Math"/>
                        <w:szCs w:val="24"/>
                      </w:rPr>
                      <m:t>T</m:t>
                    </m:r>
                  </m:sup>
                </m:sSubSup>
              </m:e>
            </m:d>
          </m:e>
          <m:sup>
            <m:r>
              <w:rPr>
                <w:rFonts w:ascii="Cambria Math" w:eastAsiaTheme="minorEastAsia" w:hAnsi="Cambria Math"/>
                <w:szCs w:val="24"/>
              </w:rPr>
              <m:t>T</m:t>
            </m:r>
          </m:sup>
        </m:sSup>
      </m:oMath>
      <w:r>
        <w:t xml:space="preserve"> and the four Arrhenius parameters describing the forward (f) and backward (b) reactions in R1 to estimate the set of model parameters </w:t>
      </w:r>
      <m:oMath>
        <m:r>
          <m:rPr>
            <m:sty m:val="bi"/>
          </m:rPr>
          <w:rPr>
            <w:rFonts w:ascii="Cambria Math" w:hAnsi="Cambria Math"/>
          </w:rPr>
          <m:t>θ</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f,0</m:t>
            </m:r>
          </m:sub>
        </m:sSub>
        <m: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b,0</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a,b</m:t>
            </m:r>
          </m:sub>
        </m:sSub>
        <m:r>
          <w:rPr>
            <w:rFonts w:ascii="Cambria Math" w:hAnsi="Cambria Math"/>
          </w:rPr>
          <m:t>]</m:t>
        </m:r>
      </m:oMath>
      <w:r>
        <w:rPr>
          <w:rFonts w:eastAsiaTheme="minorEastAsia"/>
        </w:rPr>
        <w:t>.</w:t>
      </w:r>
    </w:p>
    <w:p w14:paraId="4FC8252B" w14:textId="77777777" w:rsidR="005B4204" w:rsidRPr="00A94774" w:rsidRDefault="005B4204" w:rsidP="005B4204">
      <w:pPr>
        <w:pStyle w:val="Els-1storder-head"/>
        <w:spacing w:after="120"/>
        <w:rPr>
          <w:lang w:val="en-GB"/>
        </w:rPr>
      </w:pPr>
      <w:r>
        <w:rPr>
          <w:lang w:val="en-GB"/>
        </w:rPr>
        <w:t>Results</w:t>
      </w:r>
    </w:p>
    <w:p w14:paraId="4C46C899" w14:textId="77777777" w:rsidR="005B4204" w:rsidRDefault="005B4204" w:rsidP="005B4204">
      <w:pPr>
        <w:pStyle w:val="Els-body-text"/>
      </w:pPr>
      <w:r>
        <w:rPr>
          <w:lang w:val="en-GB"/>
        </w:rPr>
        <w:t xml:space="preserve">The </w:t>
      </w:r>
      <w:r>
        <w:t xml:space="preserve">information contents measured using the Fisher information matrix of the conducted experiments via the three approaches, namely LHS followed by </w:t>
      </w:r>
      <w:proofErr w:type="spellStart"/>
      <w:r>
        <w:t>MBDoE</w:t>
      </w:r>
      <w:proofErr w:type="spellEnd"/>
      <w:r>
        <w:t xml:space="preserve"> (LHS-</w:t>
      </w:r>
      <w:proofErr w:type="spellStart"/>
      <w:r>
        <w:t>MBDoE</w:t>
      </w:r>
      <w:proofErr w:type="spellEnd"/>
      <w:r>
        <w:t>), robust worst-case (</w:t>
      </w:r>
      <w:proofErr w:type="spellStart"/>
      <w:r>
        <w:t>rMBDoE</w:t>
      </w:r>
      <w:proofErr w:type="spellEnd"/>
      <w:r>
        <w:t>-WC), robust expected value (</w:t>
      </w:r>
      <w:proofErr w:type="spellStart"/>
      <w:r>
        <w:t>rMBDOE</w:t>
      </w:r>
      <w:proofErr w:type="spellEnd"/>
      <w:r>
        <w:t xml:space="preserve">-EV) </w:t>
      </w:r>
      <w:proofErr w:type="gramStart"/>
      <w:r>
        <w:t>are</w:t>
      </w:r>
      <w:proofErr w:type="gramEnd"/>
      <w:r>
        <w:t xml:space="preserve"> shown in Fig. 2. The LHS-</w:t>
      </w:r>
      <w:proofErr w:type="spellStart"/>
      <w:r>
        <w:t>MBDoE</w:t>
      </w:r>
      <w:proofErr w:type="spellEnd"/>
      <w:r>
        <w:t xml:space="preserve"> methodology designed the least number of experiments (5 </w:t>
      </w:r>
      <w:r>
        <w:lastRenderedPageBreak/>
        <w:t xml:space="preserve">experiments) that precisely determined kinetic parameters in the amide formation model, followed by the worst-case robust </w:t>
      </w:r>
      <w:proofErr w:type="spellStart"/>
      <w:r>
        <w:t>MBDoE</w:t>
      </w:r>
      <w:proofErr w:type="spellEnd"/>
      <w:r>
        <w:t>, which required the design of 7 experiments before reaching a statistically satisfactory parameter precision. The expected value approach, however, failed to reach the target parameter precision even after 10 experiments. Experimentations were conducted for the designed experiments in the LHS-</w:t>
      </w:r>
      <w:proofErr w:type="spellStart"/>
      <w:proofErr w:type="gramStart"/>
      <w:r>
        <w:t>MBDoE</w:t>
      </w:r>
      <w:proofErr w:type="spellEnd"/>
      <w:proofErr w:type="gramEnd"/>
      <w:r>
        <w:t xml:space="preserve"> and data used in the initial parameter estimation (first 4 experiments) and parameter recalibration with 5 experiments (one additional experiment added to the first 4), the additional experiment being designed using a D-optimal </w:t>
      </w:r>
      <w:proofErr w:type="spellStart"/>
      <w:r>
        <w:t>MBDoE</w:t>
      </w:r>
      <w:proofErr w:type="spellEnd"/>
      <w:r>
        <w:t xml:space="preserve"> for parameter precision. With the amide formation model correctly identified using the LHS-</w:t>
      </w:r>
      <w:proofErr w:type="spellStart"/>
      <w:r>
        <w:t>MBDoE</w:t>
      </w:r>
      <w:proofErr w:type="spellEnd"/>
      <w:r>
        <w:t xml:space="preserve"> methodology, the model was simulated using the designed conditions from the robust </w:t>
      </w:r>
      <w:proofErr w:type="spellStart"/>
      <w:r>
        <w:t>MBDoE</w:t>
      </w:r>
      <w:proofErr w:type="spellEnd"/>
      <w:r>
        <w:t xml:space="preserve"> approaches and the simulation results were corrupted with noise generated randomly following a Gaussian distribution (</w:t>
      </w:r>
      <m:oMath>
        <m:r>
          <w:rPr>
            <w:rFonts w:ascii="Cambria Math" w:eastAsiaTheme="minorEastAsia" w:hAnsi="Cambria Math"/>
            <w:szCs w:val="24"/>
          </w:rPr>
          <m:t>μ=0.0</m:t>
        </m:r>
      </m:oMath>
      <w:r>
        <w:t xml:space="preserve"> and </w:t>
      </w:r>
      <m:oMath>
        <m:r>
          <w:rPr>
            <w:rFonts w:ascii="Cambria Math" w:eastAsiaTheme="minorEastAsia" w:hAnsi="Cambria Math"/>
            <w:szCs w:val="24"/>
          </w:rPr>
          <m:t>σ=0.0003</m:t>
        </m:r>
      </m:oMath>
      <w:r>
        <w:rPr>
          <w:szCs w:val="24"/>
        </w:rPr>
        <w:t>)</w:t>
      </w:r>
      <w:r>
        <w:t xml:space="preserve"> to obtain in-silico data for the robust </w:t>
      </w:r>
      <w:proofErr w:type="spellStart"/>
      <w:r>
        <w:t>MBDoE</w:t>
      </w:r>
      <w:proofErr w:type="spellEnd"/>
      <w:r>
        <w:t xml:space="preserve"> approaches and save experimental resources in this study. Yielding reproducible results, the three approaches passed the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t xml:space="preserve"> lack-of-fit test in describing the data as shown in Table 1.</w:t>
      </w:r>
    </w:p>
    <w:p w14:paraId="528A7796" w14:textId="77777777" w:rsidR="005B4204" w:rsidRDefault="005B4204" w:rsidP="005B4204">
      <w:pPr>
        <w:pStyle w:val="Els-body-text"/>
      </w:pPr>
    </w:p>
    <w:p w14:paraId="251AA5D0" w14:textId="77777777" w:rsidR="005B4204" w:rsidRDefault="005B4204" w:rsidP="005B4204">
      <w:pPr>
        <w:pStyle w:val="Els-body-text"/>
        <w:sectPr w:rsidR="005B4204" w:rsidSect="00D21695">
          <w:headerReference w:type="even" r:id="rId6"/>
          <w:headerReference w:type="default" r:id="rId7"/>
          <w:headerReference w:type="first" r:id="rId8"/>
          <w:pgSz w:w="11906" w:h="16838" w:code="9"/>
          <w:pgMar w:top="2377" w:right="2410" w:bottom="2892" w:left="2410" w:header="1701" w:footer="2892" w:gutter="0"/>
          <w:cols w:space="720" w:equalWidth="0">
            <w:col w:w="7087"/>
          </w:cols>
          <w:titlePg/>
          <w:docGrid w:linePitch="272"/>
        </w:sectPr>
      </w:pPr>
    </w:p>
    <w:p w14:paraId="0A57DAC2" w14:textId="77777777" w:rsidR="005B4204" w:rsidRDefault="005B4204" w:rsidP="005B4204">
      <w:pPr>
        <w:pStyle w:val="Els-body-text"/>
        <w:rPr>
          <w:sz w:val="18"/>
          <w:szCs w:val="18"/>
          <w:lang w:val="en-GB"/>
        </w:rPr>
      </w:pPr>
      <w:r w:rsidRPr="00F92198">
        <w:rPr>
          <w:noProof/>
          <w:sz w:val="18"/>
          <w:szCs w:val="18"/>
          <w:lang w:val="en-GB"/>
        </w:rPr>
        <w:drawing>
          <wp:inline distT="0" distB="0" distL="0" distR="0" wp14:anchorId="0DB849D6" wp14:editId="71F54BF0">
            <wp:extent cx="2021205" cy="1547495"/>
            <wp:effectExtent l="0" t="0" r="0" b="0"/>
            <wp:docPr id="501274780" name="Picture 1" descr="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74780" name="Picture 1" descr="A graph of a number of numbers&#10;&#10;Description automatically generated"/>
                    <pic:cNvPicPr/>
                  </pic:nvPicPr>
                  <pic:blipFill>
                    <a:blip r:embed="rId9"/>
                    <a:stretch>
                      <a:fillRect/>
                    </a:stretch>
                  </pic:blipFill>
                  <pic:spPr>
                    <a:xfrm>
                      <a:off x="0" y="0"/>
                      <a:ext cx="2021205" cy="1547495"/>
                    </a:xfrm>
                    <a:prstGeom prst="rect">
                      <a:avLst/>
                    </a:prstGeom>
                  </pic:spPr>
                </pic:pic>
              </a:graphicData>
            </a:graphic>
          </wp:inline>
        </w:drawing>
      </w:r>
    </w:p>
    <w:p w14:paraId="676FEECF" w14:textId="77777777" w:rsidR="005B4204" w:rsidRPr="002D4423" w:rsidRDefault="005B4204" w:rsidP="005B4204">
      <w:pPr>
        <w:pStyle w:val="Els-body-text"/>
        <w:rPr>
          <w:sz w:val="18"/>
          <w:szCs w:val="18"/>
        </w:rPr>
      </w:pPr>
      <w:r w:rsidRPr="002D4423">
        <w:rPr>
          <w:sz w:val="18"/>
          <w:szCs w:val="18"/>
          <w:lang w:val="en-GB"/>
        </w:rPr>
        <w:t xml:space="preserve">Fig. 2: </w:t>
      </w:r>
      <w:r w:rsidRPr="002D4423">
        <w:rPr>
          <w:sz w:val="18"/>
          <w:szCs w:val="18"/>
        </w:rPr>
        <w:t xml:space="preserve">Cumulative Fisher information fraction with experimental runs for the </w:t>
      </w:r>
      <w:proofErr w:type="spellStart"/>
      <w:r w:rsidRPr="002D4423">
        <w:rPr>
          <w:sz w:val="18"/>
          <w:szCs w:val="18"/>
        </w:rPr>
        <w:t>MBDoE</w:t>
      </w:r>
      <w:proofErr w:type="spellEnd"/>
      <w:r w:rsidRPr="002D4423">
        <w:rPr>
          <w:sz w:val="18"/>
          <w:szCs w:val="18"/>
        </w:rPr>
        <w:t xml:space="preserve"> techniques: LHS-</w:t>
      </w:r>
      <w:proofErr w:type="spellStart"/>
      <w:r w:rsidRPr="002D4423">
        <w:rPr>
          <w:sz w:val="18"/>
          <w:szCs w:val="18"/>
        </w:rPr>
        <w:t>MBDoE</w:t>
      </w:r>
      <w:proofErr w:type="spellEnd"/>
      <w:r w:rsidRPr="002D4423">
        <w:rPr>
          <w:sz w:val="18"/>
          <w:szCs w:val="18"/>
        </w:rPr>
        <w:t xml:space="preserve"> satisfying performance test at Exp 5 with |FIM|= </w:t>
      </w:r>
      <m:oMath>
        <m:r>
          <w:rPr>
            <w:rFonts w:ascii="Cambria Math" w:hAnsi="Cambria Math"/>
            <w:sz w:val="18"/>
            <w:szCs w:val="18"/>
          </w:rPr>
          <m:t>2.6×</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oMath>
      <w:r w:rsidRPr="002D4423">
        <w:rPr>
          <w:sz w:val="18"/>
          <w:szCs w:val="18"/>
        </w:rPr>
        <w:t xml:space="preserve">; rMBDoE (wc) for robust MBDoE with worst-case satisfying performance test at Exp 6 with |FIM|= </w:t>
      </w:r>
      <m:oMath>
        <m:r>
          <w:rPr>
            <w:rFonts w:ascii="Cambria Math" w:hAnsi="Cambria Math"/>
            <w:sz w:val="18"/>
            <w:szCs w:val="18"/>
          </w:rPr>
          <m:t>3.2×</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7</m:t>
            </m:r>
          </m:sup>
        </m:sSup>
      </m:oMath>
      <w:r w:rsidRPr="002D4423">
        <w:rPr>
          <w:sz w:val="18"/>
          <w:szCs w:val="18"/>
        </w:rPr>
        <w:t xml:space="preserve">; and rMBDoE (ev) for robust MBDoE with expected value fluctuating in information around |FIM|= </w:t>
      </w:r>
      <m:oMath>
        <m:r>
          <w:rPr>
            <w:rFonts w:ascii="Cambria Math" w:hAnsi="Cambria Math"/>
            <w:sz w:val="18"/>
            <w:szCs w:val="18"/>
          </w:rPr>
          <m:t>4.4×</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6</m:t>
            </m:r>
          </m:sup>
        </m:sSup>
      </m:oMath>
      <w:r w:rsidRPr="002D4423">
        <w:rPr>
          <w:sz w:val="18"/>
          <w:szCs w:val="18"/>
        </w:rPr>
        <w:t xml:space="preserve">. </w:t>
      </w:r>
    </w:p>
    <w:p w14:paraId="4C296D17" w14:textId="77777777" w:rsidR="005B4204" w:rsidRDefault="005B4204" w:rsidP="005B4204">
      <w:pPr>
        <w:pStyle w:val="Els-body-text"/>
      </w:pPr>
    </w:p>
    <w:p w14:paraId="6C4AE8CA" w14:textId="77777777" w:rsidR="005B4204" w:rsidRPr="003F3051" w:rsidRDefault="005B4204" w:rsidP="005B4204">
      <w:pPr>
        <w:pStyle w:val="Els-body-text"/>
      </w:pPr>
    </w:p>
    <w:p w14:paraId="10D17AA2" w14:textId="77777777" w:rsidR="005B4204" w:rsidRPr="005E0E29" w:rsidRDefault="005B4204" w:rsidP="005B4204">
      <w:pPr>
        <w:pStyle w:val="CitaviBibliographyEntry"/>
        <w:jc w:val="both"/>
        <w:rPr>
          <w:rFonts w:eastAsiaTheme="minorEastAsia"/>
          <w:sz w:val="18"/>
          <w:szCs w:val="18"/>
        </w:rPr>
      </w:pPr>
      <w:r w:rsidRPr="005E0E29">
        <w:rPr>
          <w:sz w:val="18"/>
          <w:szCs w:val="18"/>
        </w:rPr>
        <w:t xml:space="preserve">Table 1: </w:t>
      </w:r>
      <m:oMath>
        <m:sSup>
          <m:sSupPr>
            <m:ctrlPr>
              <w:rPr>
                <w:rFonts w:ascii="Cambria Math" w:hAnsi="Cambria Math"/>
                <w:i/>
                <w:sz w:val="18"/>
                <w:szCs w:val="18"/>
              </w:rPr>
            </m:ctrlPr>
          </m:sSupPr>
          <m:e>
            <m:r>
              <w:rPr>
                <w:rFonts w:ascii="Cambria Math" w:hAnsi="Cambria Math"/>
                <w:sz w:val="18"/>
                <w:szCs w:val="18"/>
              </w:rPr>
              <m:t>χ</m:t>
            </m:r>
          </m:e>
          <m:sup>
            <m:r>
              <w:rPr>
                <w:rFonts w:ascii="Cambria Math" w:hAnsi="Cambria Math"/>
                <w:sz w:val="18"/>
                <w:szCs w:val="18"/>
              </w:rPr>
              <m:t>2</m:t>
            </m:r>
          </m:sup>
        </m:sSup>
      </m:oMath>
      <w:r w:rsidRPr="005E0E29">
        <w:rPr>
          <w:iCs/>
          <w:sz w:val="18"/>
          <w:szCs w:val="18"/>
        </w:rPr>
        <w:t xml:space="preserve"> and </w:t>
      </w:r>
      <w:r w:rsidRPr="005E0E29">
        <w:rPr>
          <w:rFonts w:eastAsiaTheme="minorEastAsia"/>
          <w:i/>
          <w:iCs/>
          <w:sz w:val="18"/>
          <w:szCs w:val="18"/>
        </w:rPr>
        <w:t>t-</w:t>
      </w:r>
      <w:r w:rsidRPr="005E0E29">
        <w:rPr>
          <w:rFonts w:eastAsiaTheme="minorEastAsia"/>
          <w:sz w:val="18"/>
          <w:szCs w:val="18"/>
        </w:rPr>
        <w:t>values statistics</w:t>
      </w:r>
    </w:p>
    <w:p w14:paraId="4F5A4608" w14:textId="77777777" w:rsidR="005B4204" w:rsidRDefault="005B4204" w:rsidP="005B4204">
      <w:pPr>
        <w:pStyle w:val="Els-body-text"/>
      </w:pPr>
    </w:p>
    <w:tbl>
      <w:tblPr>
        <w:tblStyle w:val="ListTable6Colorful"/>
        <w:tblW w:w="3268" w:type="dxa"/>
        <w:tblLook w:val="06A0" w:firstRow="1" w:lastRow="0" w:firstColumn="1" w:lastColumn="0" w:noHBand="1" w:noVBand="1"/>
      </w:tblPr>
      <w:tblGrid>
        <w:gridCol w:w="940"/>
        <w:gridCol w:w="791"/>
        <w:gridCol w:w="799"/>
        <w:gridCol w:w="738"/>
      </w:tblGrid>
      <w:tr w:rsidR="005B4204" w:rsidRPr="00886B68" w14:paraId="178C5AA2" w14:textId="77777777" w:rsidTr="00E8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D8F0D" w14:textId="77777777" w:rsidR="005B4204" w:rsidRPr="00886B68" w:rsidRDefault="005B4204" w:rsidP="00E83AF3">
            <w:pPr>
              <w:pStyle w:val="CitaviBibliographyEntry"/>
              <w:ind w:left="0" w:firstLine="0"/>
              <w:rPr>
                <w:sz w:val="14"/>
                <w:szCs w:val="14"/>
              </w:rPr>
            </w:pPr>
          </w:p>
        </w:tc>
        <w:tc>
          <w:tcPr>
            <w:tcW w:w="791" w:type="dxa"/>
          </w:tcPr>
          <w:p w14:paraId="35A5C003" w14:textId="77777777" w:rsidR="005B4204" w:rsidRPr="005E0E29" w:rsidRDefault="005B4204" w:rsidP="00E83AF3">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5E0E29">
              <w:rPr>
                <w:b w:val="0"/>
                <w:bCs w:val="0"/>
                <w:sz w:val="14"/>
                <w:szCs w:val="14"/>
              </w:rPr>
              <w:t>LHS-</w:t>
            </w:r>
            <w:proofErr w:type="spellStart"/>
            <w:r w:rsidRPr="005E0E29">
              <w:rPr>
                <w:b w:val="0"/>
                <w:bCs w:val="0"/>
                <w:sz w:val="14"/>
                <w:szCs w:val="14"/>
              </w:rPr>
              <w:t>MBDoE</w:t>
            </w:r>
            <w:proofErr w:type="spellEnd"/>
          </w:p>
        </w:tc>
        <w:tc>
          <w:tcPr>
            <w:tcW w:w="799" w:type="dxa"/>
          </w:tcPr>
          <w:p w14:paraId="32C40836" w14:textId="77777777" w:rsidR="005B4204" w:rsidRPr="005E0E29" w:rsidRDefault="005B4204" w:rsidP="00E83AF3">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proofErr w:type="spellStart"/>
            <w:r w:rsidRPr="005E0E29">
              <w:rPr>
                <w:b w:val="0"/>
                <w:bCs w:val="0"/>
                <w:sz w:val="14"/>
                <w:szCs w:val="14"/>
              </w:rPr>
              <w:t>rMBDoE</w:t>
            </w:r>
            <w:proofErr w:type="spellEnd"/>
            <w:r w:rsidRPr="005E0E29">
              <w:rPr>
                <w:b w:val="0"/>
                <w:bCs w:val="0"/>
                <w:sz w:val="14"/>
                <w:szCs w:val="14"/>
              </w:rPr>
              <w:t xml:space="preserve"> (</w:t>
            </w:r>
            <w:proofErr w:type="spellStart"/>
            <w:r w:rsidRPr="005E0E29">
              <w:rPr>
                <w:b w:val="0"/>
                <w:bCs w:val="0"/>
                <w:sz w:val="14"/>
                <w:szCs w:val="14"/>
              </w:rPr>
              <w:t>wc</w:t>
            </w:r>
            <w:proofErr w:type="spellEnd"/>
            <w:r w:rsidRPr="005E0E29">
              <w:rPr>
                <w:b w:val="0"/>
                <w:bCs w:val="0"/>
                <w:sz w:val="14"/>
                <w:szCs w:val="14"/>
              </w:rPr>
              <w:t>)</w:t>
            </w:r>
          </w:p>
        </w:tc>
        <w:tc>
          <w:tcPr>
            <w:tcW w:w="736" w:type="dxa"/>
          </w:tcPr>
          <w:p w14:paraId="257BC048" w14:textId="77777777" w:rsidR="005B4204" w:rsidRPr="005E0E29" w:rsidRDefault="005B4204" w:rsidP="00E83AF3">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proofErr w:type="spellStart"/>
            <w:r w:rsidRPr="005E0E29">
              <w:rPr>
                <w:b w:val="0"/>
                <w:bCs w:val="0"/>
                <w:sz w:val="14"/>
                <w:szCs w:val="14"/>
              </w:rPr>
              <w:t>rMBDoE</w:t>
            </w:r>
            <w:proofErr w:type="spellEnd"/>
            <w:r w:rsidRPr="005E0E29">
              <w:rPr>
                <w:b w:val="0"/>
                <w:bCs w:val="0"/>
                <w:sz w:val="14"/>
                <w:szCs w:val="14"/>
              </w:rPr>
              <w:t xml:space="preserve"> (</w:t>
            </w:r>
            <w:proofErr w:type="spellStart"/>
            <w:r w:rsidRPr="005E0E29">
              <w:rPr>
                <w:b w:val="0"/>
                <w:bCs w:val="0"/>
                <w:sz w:val="14"/>
                <w:szCs w:val="14"/>
              </w:rPr>
              <w:t>ev</w:t>
            </w:r>
            <w:proofErr w:type="spellEnd"/>
            <w:r w:rsidRPr="005E0E29">
              <w:rPr>
                <w:b w:val="0"/>
                <w:bCs w:val="0"/>
                <w:sz w:val="14"/>
                <w:szCs w:val="14"/>
              </w:rPr>
              <w:t>)</w:t>
            </w:r>
          </w:p>
        </w:tc>
      </w:tr>
      <w:tr w:rsidR="005B4204" w:rsidRPr="00886B68" w14:paraId="182128D8" w14:textId="77777777" w:rsidTr="00E83AF3">
        <w:tc>
          <w:tcPr>
            <w:cnfStyle w:val="001000000000" w:firstRow="0" w:lastRow="0" w:firstColumn="1" w:lastColumn="0" w:oddVBand="0" w:evenVBand="0" w:oddHBand="0" w:evenHBand="0" w:firstRowFirstColumn="0" w:firstRowLastColumn="0" w:lastRowFirstColumn="0" w:lastRowLastColumn="0"/>
            <w:tcW w:w="0" w:type="auto"/>
          </w:tcPr>
          <w:p w14:paraId="7E7DAF79" w14:textId="77777777" w:rsidR="005B4204" w:rsidRPr="00EF40FA" w:rsidRDefault="005B4204" w:rsidP="00E83AF3">
            <w:pPr>
              <w:pStyle w:val="CitaviBibliographyEntry"/>
              <w:ind w:left="0" w:firstLine="0"/>
              <w:jc w:val="right"/>
              <w:rPr>
                <w:b w:val="0"/>
                <w:bCs w:val="0"/>
                <w:sz w:val="14"/>
                <w:szCs w:val="14"/>
              </w:rPr>
            </w:pPr>
            <m:oMathPara>
              <m:oMathParaPr>
                <m:jc m:val="left"/>
              </m:oMathParaPr>
              <m:oMath>
                <m:sSup>
                  <m:sSupPr>
                    <m:ctrlPr>
                      <w:rPr>
                        <w:rFonts w:ascii="Cambria Math" w:hAnsi="Cambria Math"/>
                        <w:b w:val="0"/>
                        <w:bCs w:val="0"/>
                        <w:i/>
                        <w:sz w:val="14"/>
                        <w:szCs w:val="14"/>
                      </w:rPr>
                    </m:ctrlPr>
                  </m:sSupPr>
                  <m:e>
                    <m:r>
                      <w:rPr>
                        <w:rFonts w:ascii="Cambria Math" w:hAnsi="Cambria Math"/>
                        <w:sz w:val="14"/>
                        <w:szCs w:val="14"/>
                      </w:rPr>
                      <m:t>χ</m:t>
                    </m:r>
                  </m:e>
                  <m:sup>
                    <m:r>
                      <w:rPr>
                        <w:rFonts w:ascii="Cambria Math" w:hAnsi="Cambria Math"/>
                        <w:sz w:val="14"/>
                        <w:szCs w:val="14"/>
                      </w:rPr>
                      <m:t>2</m:t>
                    </m:r>
                  </m:sup>
                </m:sSup>
              </m:oMath>
            </m:oMathPara>
          </w:p>
          <w:p w14:paraId="36C19EC2" w14:textId="77777777" w:rsidR="005B4204" w:rsidRPr="00EF40FA" w:rsidRDefault="005B4204" w:rsidP="00E83AF3">
            <w:pPr>
              <w:pStyle w:val="CitaviBibliographyEntry"/>
              <w:ind w:left="0" w:firstLine="0"/>
              <w:jc w:val="right"/>
              <w:rPr>
                <w:sz w:val="14"/>
                <w:szCs w:val="14"/>
              </w:rPr>
            </w:pPr>
            <m:oMathPara>
              <m:oMathParaPr>
                <m:jc m:val="left"/>
              </m:oMathParaPr>
              <m:oMath>
                <m:r>
                  <m:rPr>
                    <m:sty m:val="bi"/>
                  </m:rPr>
                  <w:rPr>
                    <w:rFonts w:ascii="Cambria Math" w:hAnsi="Cambria Math"/>
                    <w:sz w:val="14"/>
                    <w:szCs w:val="14"/>
                  </w:rPr>
                  <m:t>(</m:t>
                </m:r>
                <m:sSubSup>
                  <m:sSubSupPr>
                    <m:ctrlPr>
                      <w:rPr>
                        <w:rFonts w:ascii="Cambria Math" w:hAnsi="Cambria Math"/>
                        <w:b w:val="0"/>
                        <w:bCs w:val="0"/>
                        <w:i/>
                        <w:sz w:val="14"/>
                        <w:szCs w:val="14"/>
                      </w:rPr>
                    </m:ctrlPr>
                  </m:sSubSupPr>
                  <m:e>
                    <m:r>
                      <m:rPr>
                        <m:sty m:val="bi"/>
                      </m:rPr>
                      <w:rPr>
                        <w:rFonts w:ascii="Cambria Math" w:hAnsi="Cambria Math"/>
                        <w:sz w:val="14"/>
                        <w:szCs w:val="14"/>
                      </w:rPr>
                      <m:t>χ</m:t>
                    </m:r>
                  </m:e>
                  <m:sub>
                    <m:r>
                      <m:rPr>
                        <m:sty m:val="bi"/>
                      </m:rPr>
                      <w:rPr>
                        <w:rFonts w:ascii="Cambria Math" w:hAnsi="Cambria Math"/>
                        <w:sz w:val="14"/>
                        <w:szCs w:val="14"/>
                      </w:rPr>
                      <m:t>ref</m:t>
                    </m:r>
                  </m:sub>
                  <m:sup>
                    <m:r>
                      <m:rPr>
                        <m:sty m:val="bi"/>
                      </m:rPr>
                      <w:rPr>
                        <w:rFonts w:ascii="Cambria Math" w:hAnsi="Cambria Math"/>
                        <w:sz w:val="14"/>
                        <w:szCs w:val="14"/>
                      </w:rPr>
                      <m:t>2</m:t>
                    </m:r>
                  </m:sup>
                </m:sSubSup>
                <m:r>
                  <m:rPr>
                    <m:sty m:val="bi"/>
                  </m:rPr>
                  <w:rPr>
                    <w:rFonts w:ascii="Cambria Math" w:hAnsi="Cambria Math"/>
                    <w:sz w:val="14"/>
                    <w:szCs w:val="14"/>
                  </w:rPr>
                  <m:t>=</m:t>
                </m:r>
                <m:r>
                  <w:rPr>
                    <w:rFonts w:ascii="Cambria Math" w:hAnsi="Cambria Math"/>
                    <w:sz w:val="14"/>
                    <w:szCs w:val="14"/>
                  </w:rPr>
                  <m:t>26.3</m:t>
                </m:r>
                <m:r>
                  <m:rPr>
                    <m:sty m:val="bi"/>
                  </m:rPr>
                  <w:rPr>
                    <w:rFonts w:ascii="Cambria Math" w:hAnsi="Cambria Math"/>
                    <w:sz w:val="14"/>
                    <w:szCs w:val="14"/>
                  </w:rPr>
                  <m:t>)</m:t>
                </m:r>
              </m:oMath>
            </m:oMathPara>
          </w:p>
        </w:tc>
        <w:tc>
          <w:tcPr>
            <w:tcW w:w="791" w:type="dxa"/>
          </w:tcPr>
          <w:p w14:paraId="3CF43E3C" w14:textId="77777777" w:rsidR="005B4204" w:rsidRPr="00AB4EA4"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m:oMathPara>
              <m:oMath>
                <m:r>
                  <w:rPr>
                    <w:rFonts w:ascii="Cambria Math" w:hAnsi="Cambria Math"/>
                    <w:sz w:val="14"/>
                    <w:szCs w:val="14"/>
                  </w:rPr>
                  <m:t>7.3∙</m:t>
                </m:r>
                <m:sSup>
                  <m:sSupPr>
                    <m:ctrlPr>
                      <w:rPr>
                        <w:rFonts w:ascii="Cambria Math" w:hAnsi="Cambria Math"/>
                        <w:i/>
                        <w:sz w:val="14"/>
                        <w:szCs w:val="14"/>
                        <w:lang w:eastAsia="en-US"/>
                        <w14:ligatures w14:val="none"/>
                      </w:rPr>
                    </m:ctrlPr>
                  </m:sSupPr>
                  <m:e>
                    <m:r>
                      <w:rPr>
                        <w:rFonts w:ascii="Cambria Math" w:hAnsi="Cambria Math"/>
                        <w:sz w:val="14"/>
                        <w:szCs w:val="14"/>
                      </w:rPr>
                      <m:t>10</m:t>
                    </m:r>
                  </m:e>
                  <m:sup>
                    <m:r>
                      <w:rPr>
                        <w:rFonts w:ascii="Cambria Math" w:hAnsi="Cambria Math"/>
                        <w:sz w:val="14"/>
                        <w:szCs w:val="14"/>
                      </w:rPr>
                      <m:t>-9</m:t>
                    </m:r>
                  </m:sup>
                </m:sSup>
              </m:oMath>
            </m:oMathPara>
          </w:p>
        </w:tc>
        <w:tc>
          <w:tcPr>
            <w:tcW w:w="799" w:type="dxa"/>
          </w:tcPr>
          <w:p w14:paraId="010461C3" w14:textId="77777777" w:rsidR="005B4204" w:rsidRPr="00886B68"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m:oMathPara>
              <m:oMath>
                <m:r>
                  <w:rPr>
                    <w:rFonts w:ascii="Cambria Math" w:hAnsi="Cambria Math"/>
                    <w:sz w:val="14"/>
                    <w:szCs w:val="14"/>
                  </w:rPr>
                  <m:t>22.8</m:t>
                </m:r>
              </m:oMath>
            </m:oMathPara>
          </w:p>
        </w:tc>
        <w:tc>
          <w:tcPr>
            <w:tcW w:w="736" w:type="dxa"/>
          </w:tcPr>
          <w:p w14:paraId="202720C7" w14:textId="77777777" w:rsidR="005B4204" w:rsidRPr="00886B68"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m:oMathPara>
              <m:oMath>
                <m:r>
                  <w:rPr>
                    <w:rFonts w:ascii="Cambria Math" w:hAnsi="Cambria Math"/>
                    <w:sz w:val="14"/>
                    <w:szCs w:val="14"/>
                  </w:rPr>
                  <m:t>16.5</m:t>
                </m:r>
              </m:oMath>
            </m:oMathPara>
          </w:p>
        </w:tc>
      </w:tr>
      <w:tr w:rsidR="005B4204" w:rsidRPr="00886B68" w14:paraId="0B67A33A" w14:textId="77777777" w:rsidTr="00E83AF3">
        <w:tc>
          <w:tcPr>
            <w:cnfStyle w:val="001000000000" w:firstRow="0" w:lastRow="0" w:firstColumn="1" w:lastColumn="0" w:oddVBand="0" w:evenVBand="0" w:oddHBand="0" w:evenHBand="0" w:firstRowFirstColumn="0" w:firstRowLastColumn="0" w:lastRowFirstColumn="0" w:lastRowLastColumn="0"/>
            <w:tcW w:w="0" w:type="auto"/>
          </w:tcPr>
          <w:p w14:paraId="4B28AE70" w14:textId="77777777" w:rsidR="005B4204" w:rsidRPr="005E0E29" w:rsidRDefault="005B4204" w:rsidP="00EF40FA">
            <w:pPr>
              <w:pStyle w:val="CitaviBibliographyEntry"/>
              <w:ind w:left="0" w:firstLine="0"/>
              <w:rPr>
                <w:b w:val="0"/>
                <w:bCs w:val="0"/>
                <w:sz w:val="14"/>
                <w:szCs w:val="14"/>
              </w:rPr>
            </w:pPr>
            <m:oMath>
              <m:r>
                <m:rPr>
                  <m:sty m:val="bi"/>
                </m:rPr>
                <w:rPr>
                  <w:rFonts w:ascii="Cambria Math" w:hAnsi="Cambria Math"/>
                  <w:kern w:val="2"/>
                  <w:sz w:val="14"/>
                  <w:szCs w:val="14"/>
                </w:rPr>
                <m:t>[</m:t>
              </m:r>
              <m:sSub>
                <m:sSubPr>
                  <m:ctrlPr>
                    <w:rPr>
                      <w:rFonts w:ascii="Cambria Math" w:eastAsiaTheme="minorEastAsia" w:hAnsi="Cambria Math"/>
                      <w:b w:val="0"/>
                      <w:bCs w:val="0"/>
                      <w:i/>
                      <w:kern w:val="2"/>
                      <w:sz w:val="14"/>
                      <w:szCs w:val="14"/>
                    </w:rPr>
                  </m:ctrlPr>
                </m:sSubPr>
                <m:e>
                  <m:r>
                    <w:rPr>
                      <w:rFonts w:ascii="Cambria Math" w:eastAsiaTheme="minorEastAsia" w:hAnsi="Cambria Math"/>
                      <w:kern w:val="2"/>
                      <w:sz w:val="14"/>
                      <w:szCs w:val="14"/>
                    </w:rPr>
                    <m:t>t</m:t>
                  </m:r>
                </m:e>
                <m:sub>
                  <m:r>
                    <w:rPr>
                      <w:rFonts w:ascii="Cambria Math" w:eastAsiaTheme="minorEastAsia" w:hAnsi="Cambria Math"/>
                      <w:kern w:val="2"/>
                      <w:sz w:val="14"/>
                      <w:szCs w:val="14"/>
                    </w:rPr>
                    <m:t>1</m:t>
                  </m:r>
                </m:sub>
              </m:sSub>
              <m:r>
                <w:rPr>
                  <w:rFonts w:ascii="Cambria Math" w:hAnsi="Cambria Math"/>
                  <w:kern w:val="2"/>
                  <w:sz w:val="14"/>
                  <w:szCs w:val="14"/>
                </w:rPr>
                <m:t xml:space="preserve">, </m:t>
              </m:r>
              <m:sSub>
                <m:sSubPr>
                  <m:ctrlPr>
                    <w:rPr>
                      <w:rFonts w:ascii="Cambria Math" w:eastAsiaTheme="minorEastAsia" w:hAnsi="Cambria Math"/>
                      <w:b w:val="0"/>
                      <w:bCs w:val="0"/>
                      <w:i/>
                      <w:kern w:val="2"/>
                      <w:sz w:val="14"/>
                      <w:szCs w:val="14"/>
                    </w:rPr>
                  </m:ctrlPr>
                </m:sSubPr>
                <m:e>
                  <m:r>
                    <w:rPr>
                      <w:rFonts w:ascii="Cambria Math" w:eastAsiaTheme="minorEastAsia" w:hAnsi="Cambria Math"/>
                      <w:kern w:val="2"/>
                      <w:sz w:val="14"/>
                      <w:szCs w:val="14"/>
                    </w:rPr>
                    <m:t>t</m:t>
                  </m:r>
                </m:e>
                <m:sub>
                  <m:r>
                    <w:rPr>
                      <w:rFonts w:ascii="Cambria Math" w:eastAsiaTheme="minorEastAsia" w:hAnsi="Cambria Math"/>
                      <w:kern w:val="2"/>
                      <w:sz w:val="14"/>
                      <w:szCs w:val="14"/>
                    </w:rPr>
                    <m:t>2</m:t>
                  </m:r>
                </m:sub>
              </m:sSub>
              <m:r>
                <w:rPr>
                  <w:rFonts w:ascii="Cambria Math" w:eastAsiaTheme="minorEastAsia" w:hAnsi="Cambria Math"/>
                  <w:kern w:val="2"/>
                  <w:sz w:val="14"/>
                  <w:szCs w:val="14"/>
                </w:rPr>
                <m:t>,</m:t>
              </m:r>
              <m:sSub>
                <m:sSubPr>
                  <m:ctrlPr>
                    <w:rPr>
                      <w:rFonts w:ascii="Cambria Math" w:eastAsiaTheme="minorEastAsia" w:hAnsi="Cambria Math"/>
                      <w:b w:val="0"/>
                      <w:bCs w:val="0"/>
                      <w:i/>
                      <w:kern w:val="2"/>
                      <w:sz w:val="14"/>
                      <w:szCs w:val="14"/>
                    </w:rPr>
                  </m:ctrlPr>
                </m:sSubPr>
                <m:e>
                  <m:r>
                    <w:rPr>
                      <w:rFonts w:ascii="Cambria Math" w:eastAsiaTheme="minorEastAsia" w:hAnsi="Cambria Math"/>
                      <w:kern w:val="2"/>
                      <w:sz w:val="14"/>
                      <w:szCs w:val="14"/>
                    </w:rPr>
                    <m:t>t</m:t>
                  </m:r>
                </m:e>
                <m:sub>
                  <m:r>
                    <w:rPr>
                      <w:rFonts w:ascii="Cambria Math" w:eastAsiaTheme="minorEastAsia" w:hAnsi="Cambria Math"/>
                      <w:kern w:val="2"/>
                      <w:sz w:val="14"/>
                      <w:szCs w:val="14"/>
                    </w:rPr>
                    <m:t>3</m:t>
                  </m:r>
                </m:sub>
              </m:sSub>
              <m:r>
                <w:rPr>
                  <w:rFonts w:ascii="Cambria Math" w:eastAsiaTheme="minorEastAsia" w:hAnsi="Cambria Math"/>
                  <w:kern w:val="2"/>
                  <w:sz w:val="14"/>
                  <w:szCs w:val="14"/>
                </w:rPr>
                <m:t>,</m:t>
              </m:r>
              <m:sSub>
                <m:sSubPr>
                  <m:ctrlPr>
                    <w:rPr>
                      <w:rFonts w:ascii="Cambria Math" w:eastAsiaTheme="minorEastAsia" w:hAnsi="Cambria Math"/>
                      <w:b w:val="0"/>
                      <w:bCs w:val="0"/>
                      <w:i/>
                      <w:kern w:val="2"/>
                      <w:sz w:val="14"/>
                      <w:szCs w:val="14"/>
                    </w:rPr>
                  </m:ctrlPr>
                </m:sSubPr>
                <m:e>
                  <m:r>
                    <w:rPr>
                      <w:rFonts w:ascii="Cambria Math" w:eastAsiaTheme="minorEastAsia" w:hAnsi="Cambria Math"/>
                      <w:kern w:val="2"/>
                      <w:sz w:val="14"/>
                      <w:szCs w:val="14"/>
                    </w:rPr>
                    <m:t>t</m:t>
                  </m:r>
                </m:e>
                <m:sub>
                  <m:r>
                    <w:rPr>
                      <w:rFonts w:ascii="Cambria Math" w:eastAsiaTheme="minorEastAsia" w:hAnsi="Cambria Math"/>
                      <w:kern w:val="2"/>
                      <w:sz w:val="14"/>
                      <w:szCs w:val="14"/>
                    </w:rPr>
                    <m:t>4</m:t>
                  </m:r>
                </m:sub>
              </m:sSub>
              <m:r>
                <m:rPr>
                  <m:sty m:val="bi"/>
                </m:rPr>
                <w:rPr>
                  <w:rFonts w:ascii="Cambria Math" w:hAnsi="Cambria Math"/>
                  <w:kern w:val="2"/>
                  <w:sz w:val="14"/>
                  <w:szCs w:val="14"/>
                </w:rPr>
                <m:t>]</m:t>
              </m:r>
            </m:oMath>
            <w:r>
              <w:rPr>
                <w:rFonts w:eastAsiaTheme="minorEastAsia"/>
                <w:b w:val="0"/>
                <w:bCs w:val="0"/>
                <w:sz w:val="14"/>
                <w:szCs w:val="14"/>
              </w:rPr>
              <w:t xml:space="preserve"> (</w:t>
            </w:r>
            <m:oMath>
              <m:sSub>
                <m:sSubPr>
                  <m:ctrlPr>
                    <w:rPr>
                      <w:rFonts w:ascii="Cambria Math" w:eastAsiaTheme="minorEastAsia" w:hAnsi="Cambria Math"/>
                      <w:i/>
                      <w:kern w:val="2"/>
                      <w:sz w:val="14"/>
                      <w:szCs w:val="14"/>
                    </w:rPr>
                  </m:ctrlPr>
                </m:sSubPr>
                <m:e>
                  <m:r>
                    <m:rPr>
                      <m:sty m:val="bi"/>
                    </m:rPr>
                    <w:rPr>
                      <w:rFonts w:ascii="Cambria Math" w:eastAsiaTheme="minorEastAsia" w:hAnsi="Cambria Math"/>
                      <w:kern w:val="2"/>
                      <w:sz w:val="14"/>
                      <w:szCs w:val="14"/>
                    </w:rPr>
                    <m:t>t</m:t>
                  </m:r>
                </m:e>
                <m:sub>
                  <m:r>
                    <m:rPr>
                      <m:sty m:val="bi"/>
                    </m:rPr>
                    <w:rPr>
                      <w:rFonts w:ascii="Cambria Math" w:eastAsiaTheme="minorEastAsia" w:hAnsi="Cambria Math"/>
                      <w:kern w:val="2"/>
                      <w:sz w:val="14"/>
                      <w:szCs w:val="14"/>
                    </w:rPr>
                    <m:t>ref</m:t>
                  </m:r>
                </m:sub>
              </m:sSub>
              <m:r>
                <m:rPr>
                  <m:sty m:val="bi"/>
                </m:rPr>
                <w:rPr>
                  <w:rFonts w:ascii="Cambria Math" w:eastAsiaTheme="minorEastAsia" w:hAnsi="Cambria Math"/>
                  <w:kern w:val="2"/>
                  <w:sz w:val="14"/>
                  <w:szCs w:val="14"/>
                </w:rPr>
                <m:t>=</m:t>
              </m:r>
              <m:r>
                <w:rPr>
                  <w:rFonts w:ascii="Cambria Math" w:eastAsiaTheme="minorEastAsia" w:hAnsi="Cambria Math"/>
                  <w:kern w:val="2"/>
                  <w:sz w:val="14"/>
                  <w:szCs w:val="14"/>
                </w:rPr>
                <m:t>1.78</m:t>
              </m:r>
            </m:oMath>
            <w:r>
              <w:rPr>
                <w:rFonts w:eastAsiaTheme="minorEastAsia"/>
                <w:b w:val="0"/>
                <w:bCs w:val="0"/>
                <w:sz w:val="14"/>
                <w:szCs w:val="14"/>
              </w:rPr>
              <w:t>)</w:t>
            </w:r>
          </w:p>
        </w:tc>
        <w:tc>
          <w:tcPr>
            <w:tcW w:w="791" w:type="dxa"/>
          </w:tcPr>
          <w:p w14:paraId="72B8D736" w14:textId="77777777" w:rsidR="005B4204" w:rsidRPr="00EB3326"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m:oMathPara>
              <m:oMath>
                <m:eqArr>
                  <m:eqArrPr>
                    <m:ctrlPr>
                      <w:rPr>
                        <w:rFonts w:ascii="Cambria Math" w:hAnsi="Cambria Math"/>
                        <w:i/>
                        <w:kern w:val="2"/>
                        <w:sz w:val="14"/>
                        <w:szCs w:val="14"/>
                      </w:rPr>
                    </m:ctrlPr>
                  </m:eqArrPr>
                  <m:e>
                    <m:r>
                      <w:rPr>
                        <w:rFonts w:ascii="Cambria Math" w:hAnsi="Cambria Math"/>
                        <w:kern w:val="2"/>
                        <w:sz w:val="14"/>
                        <w:szCs w:val="14"/>
                      </w:rPr>
                      <m:t xml:space="preserve">[38.99, </m:t>
                    </m:r>
                  </m:e>
                  <m:e>
                    <m:r>
                      <w:rPr>
                        <w:rFonts w:ascii="Cambria Math" w:hAnsi="Cambria Math"/>
                        <w:kern w:val="2"/>
                        <w:sz w:val="14"/>
                        <w:szCs w:val="14"/>
                      </w:rPr>
                      <m:t>5.23,</m:t>
                    </m:r>
                    <m:ctrlPr>
                      <w:rPr>
                        <w:rFonts w:ascii="Cambria Math" w:eastAsia="Cambria Math" w:hAnsi="Cambria Math" w:cs="Cambria Math"/>
                        <w:i/>
                        <w:sz w:val="14"/>
                        <w:szCs w:val="14"/>
                        <w:lang w:eastAsia="en-US"/>
                        <w14:ligatures w14:val="none"/>
                      </w:rPr>
                    </m:ctrlPr>
                  </m:e>
                  <m:e>
                    <m:r>
                      <w:rPr>
                        <w:rFonts w:ascii="Cambria Math" w:hAnsi="Cambria Math"/>
                        <w:kern w:val="2"/>
                        <w:sz w:val="14"/>
                        <w:szCs w:val="14"/>
                      </w:rPr>
                      <m:t xml:space="preserve"> 23.14,</m:t>
                    </m:r>
                    <m:ctrlPr>
                      <w:rPr>
                        <w:rFonts w:ascii="Cambria Math" w:eastAsia="Cambria Math" w:hAnsi="Cambria Math" w:cs="Cambria Math"/>
                        <w:i/>
                        <w:sz w:val="14"/>
                        <w:szCs w:val="14"/>
                        <w:lang w:eastAsia="en-US"/>
                        <w14:ligatures w14:val="none"/>
                      </w:rPr>
                    </m:ctrlPr>
                  </m:e>
                  <m:e>
                    <m:r>
                      <w:rPr>
                        <w:rFonts w:ascii="Cambria Math" w:hAnsi="Cambria Math"/>
                        <w:kern w:val="2"/>
                        <w:sz w:val="14"/>
                        <w:szCs w:val="14"/>
                      </w:rPr>
                      <m:t xml:space="preserve"> 3.42]</m:t>
                    </m:r>
                  </m:e>
                </m:eqArr>
              </m:oMath>
            </m:oMathPara>
          </w:p>
        </w:tc>
        <w:tc>
          <w:tcPr>
            <w:tcW w:w="799" w:type="dxa"/>
          </w:tcPr>
          <w:p w14:paraId="382536F1" w14:textId="77777777" w:rsidR="005B4204" w:rsidRPr="005E0E29"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
                <m:r>
                  <w:rPr>
                    <w:rFonts w:ascii="Cambria Math" w:hAnsi="Cambria Math"/>
                    <w:kern w:val="2"/>
                    <w:sz w:val="14"/>
                    <w:szCs w:val="14"/>
                  </w:rPr>
                  <m:t>[7.24,</m:t>
                </m:r>
              </m:oMath>
            </m:oMathPara>
          </w:p>
          <w:p w14:paraId="06B98D00" w14:textId="77777777" w:rsidR="005B4204" w:rsidRPr="005E0E29"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
                <m:r>
                  <w:rPr>
                    <w:rFonts w:ascii="Cambria Math" w:hAnsi="Cambria Math"/>
                    <w:kern w:val="2"/>
                    <w:sz w:val="14"/>
                    <w:szCs w:val="14"/>
                  </w:rPr>
                  <m:t>17.11,</m:t>
                </m:r>
              </m:oMath>
            </m:oMathPara>
          </w:p>
          <w:p w14:paraId="1762FD7D" w14:textId="77777777" w:rsidR="005B4204" w:rsidRPr="005E0E29"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
                <m:r>
                  <w:rPr>
                    <w:rFonts w:ascii="Cambria Math" w:hAnsi="Cambria Math"/>
                    <w:kern w:val="2"/>
                    <w:sz w:val="14"/>
                    <w:szCs w:val="14"/>
                  </w:rPr>
                  <m:t>3.07,</m:t>
                </m:r>
              </m:oMath>
            </m:oMathPara>
          </w:p>
          <w:p w14:paraId="4BA358A3" w14:textId="77777777" w:rsidR="005B4204" w:rsidRPr="00EB3326"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m:oMathPara>
              <m:oMath>
                <m:r>
                  <w:rPr>
                    <w:rFonts w:ascii="Cambria Math" w:hAnsi="Cambria Math"/>
                    <w:kern w:val="2"/>
                    <w:sz w:val="14"/>
                    <w:szCs w:val="14"/>
                  </w:rPr>
                  <m:t xml:space="preserve"> 2.07]</m:t>
                </m:r>
              </m:oMath>
            </m:oMathPara>
          </w:p>
        </w:tc>
        <w:tc>
          <w:tcPr>
            <w:tcW w:w="736" w:type="dxa"/>
          </w:tcPr>
          <w:p w14:paraId="548C2FD8" w14:textId="77777777" w:rsidR="005B4204" w:rsidRPr="00893B1C"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ParaPr>
                <m:jc m:val="left"/>
              </m:oMathParaPr>
              <m:oMath>
                <m:r>
                  <w:rPr>
                    <w:rFonts w:ascii="Cambria Math" w:hAnsi="Cambria Math"/>
                    <w:kern w:val="2"/>
                    <w:sz w:val="14"/>
                    <w:szCs w:val="14"/>
                  </w:rPr>
                  <m:t>[26.38,</m:t>
                </m:r>
              </m:oMath>
            </m:oMathPara>
          </w:p>
          <w:p w14:paraId="21144803" w14:textId="77777777" w:rsidR="005B4204" w:rsidRPr="00893B1C"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ParaPr>
                <m:jc m:val="left"/>
              </m:oMathParaPr>
              <m:oMath>
                <m:r>
                  <w:rPr>
                    <w:rFonts w:ascii="Cambria Math" w:hAnsi="Cambria Math"/>
                    <w:kern w:val="2"/>
                    <w:sz w:val="14"/>
                    <w:szCs w:val="14"/>
                  </w:rPr>
                  <m:t xml:space="preserve"> 23.79,</m:t>
                </m:r>
              </m:oMath>
            </m:oMathPara>
          </w:p>
          <w:p w14:paraId="221B6D10" w14:textId="77777777" w:rsidR="005B4204" w:rsidRPr="00893B1C"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color w:val="FF0000"/>
                <w:kern w:val="2"/>
                <w:sz w:val="14"/>
                <w:szCs w:val="14"/>
              </w:rPr>
            </w:pPr>
            <m:oMathPara>
              <m:oMathParaPr>
                <m:jc m:val="left"/>
              </m:oMathParaPr>
              <m:oMath>
                <m:r>
                  <w:rPr>
                    <w:rFonts w:ascii="Cambria Math" w:hAnsi="Cambria Math"/>
                    <w:color w:val="FF0000"/>
                    <w:kern w:val="2"/>
                    <w:sz w:val="14"/>
                    <w:szCs w:val="14"/>
                  </w:rPr>
                  <m:t xml:space="preserve"> 0.07,</m:t>
                </m:r>
              </m:oMath>
            </m:oMathPara>
          </w:p>
          <w:p w14:paraId="1133CDB7" w14:textId="77777777" w:rsidR="005B4204" w:rsidRPr="00893B1C"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m:oMathPara>
              <m:oMathParaPr>
                <m:jc m:val="left"/>
              </m:oMathParaPr>
              <m:oMath>
                <m:r>
                  <w:rPr>
                    <w:rFonts w:ascii="Cambria Math" w:hAnsi="Cambria Math"/>
                    <w:color w:val="FF0000"/>
                    <w:kern w:val="2"/>
                    <w:sz w:val="14"/>
                    <w:szCs w:val="14"/>
                  </w:rPr>
                  <m:t xml:space="preserve"> 2.36∙</m:t>
                </m:r>
                <m:sSup>
                  <m:sSupPr>
                    <m:ctrlPr>
                      <w:rPr>
                        <w:rFonts w:ascii="Cambria Math" w:hAnsi="Cambria Math"/>
                        <w:i/>
                        <w:color w:val="FF0000"/>
                        <w:kern w:val="2"/>
                        <w:sz w:val="14"/>
                        <w:szCs w:val="14"/>
                      </w:rPr>
                    </m:ctrlPr>
                  </m:sSupPr>
                  <m:e>
                    <m:r>
                      <w:rPr>
                        <w:rFonts w:ascii="Cambria Math" w:hAnsi="Cambria Math"/>
                        <w:color w:val="FF0000"/>
                        <w:kern w:val="2"/>
                        <w:sz w:val="14"/>
                        <w:szCs w:val="14"/>
                      </w:rPr>
                      <m:t>10</m:t>
                    </m:r>
                  </m:e>
                  <m:sup>
                    <m:r>
                      <w:rPr>
                        <w:rFonts w:ascii="Cambria Math" w:hAnsi="Cambria Math"/>
                        <w:color w:val="FF0000"/>
                        <w:kern w:val="2"/>
                        <w:sz w:val="14"/>
                        <w:szCs w:val="14"/>
                      </w:rPr>
                      <m:t>-9</m:t>
                    </m:r>
                  </m:sup>
                </m:sSup>
                <m:r>
                  <w:rPr>
                    <w:rFonts w:ascii="Cambria Math" w:hAnsi="Cambria Math"/>
                    <w:kern w:val="2"/>
                    <w:sz w:val="14"/>
                    <w:szCs w:val="14"/>
                  </w:rPr>
                  <m:t>]</m:t>
                </m:r>
              </m:oMath>
            </m:oMathPara>
          </w:p>
        </w:tc>
      </w:tr>
      <w:tr w:rsidR="005B4204" w:rsidRPr="00886B68" w14:paraId="6AD84A00" w14:textId="77777777" w:rsidTr="00E83AF3">
        <w:tc>
          <w:tcPr>
            <w:cnfStyle w:val="001000000000" w:firstRow="0" w:lastRow="0" w:firstColumn="1" w:lastColumn="0" w:oddVBand="0" w:evenVBand="0" w:oddHBand="0" w:evenHBand="0" w:firstRowFirstColumn="0" w:firstRowLastColumn="0" w:lastRowFirstColumn="0" w:lastRowLastColumn="0"/>
            <w:tcW w:w="0" w:type="auto"/>
          </w:tcPr>
          <w:p w14:paraId="21ED8EF6" w14:textId="77777777" w:rsidR="005B4204" w:rsidRPr="00EF40FA" w:rsidRDefault="005B4204" w:rsidP="00E83AF3">
            <w:pPr>
              <w:pStyle w:val="CitaviBibliographyEntry"/>
              <w:ind w:left="0" w:firstLine="0"/>
              <w:jc w:val="right"/>
              <w:rPr>
                <w:b w:val="0"/>
                <w:kern w:val="2"/>
                <w:sz w:val="14"/>
                <w:szCs w:val="14"/>
              </w:rPr>
            </w:pPr>
            <m:oMathPara>
              <m:oMathParaPr>
                <m:jc m:val="left"/>
              </m:oMathParaPr>
              <m:oMath>
                <m:sSub>
                  <m:sSubPr>
                    <m:ctrlPr>
                      <w:rPr>
                        <w:rFonts w:ascii="Cambria Math" w:eastAsia="Calibri" w:hAnsi="Cambria Math"/>
                        <w:i/>
                        <w:sz w:val="14"/>
                        <w:szCs w:val="14"/>
                      </w:rPr>
                    </m:ctrlPr>
                  </m:sSubPr>
                  <m:e>
                    <m:r>
                      <m:rPr>
                        <m:sty m:val="bi"/>
                      </m:rPr>
                      <w:rPr>
                        <w:rFonts w:ascii="Cambria Math" w:eastAsia="Calibri" w:hAnsi="Cambria Math"/>
                        <w:sz w:val="14"/>
                        <w:szCs w:val="14"/>
                      </w:rPr>
                      <m:t>N</m:t>
                    </m:r>
                  </m:e>
                  <m:sub>
                    <m:r>
                      <m:rPr>
                        <m:sty m:val="bi"/>
                      </m:rPr>
                      <w:rPr>
                        <w:rFonts w:ascii="Cambria Math" w:eastAsia="Calibri" w:hAnsi="Cambria Math"/>
                        <w:sz w:val="14"/>
                        <w:szCs w:val="14"/>
                      </w:rPr>
                      <m:t>exp</m:t>
                    </m:r>
                  </m:sub>
                </m:sSub>
              </m:oMath>
            </m:oMathPara>
          </w:p>
        </w:tc>
        <w:tc>
          <w:tcPr>
            <w:tcW w:w="791" w:type="dxa"/>
          </w:tcPr>
          <w:p w14:paraId="31923142" w14:textId="77777777" w:rsidR="005B4204"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
                <m:r>
                  <w:rPr>
                    <w:rFonts w:ascii="Cambria Math" w:hAnsi="Cambria Math"/>
                    <w:kern w:val="2"/>
                    <w:sz w:val="14"/>
                    <w:szCs w:val="14"/>
                  </w:rPr>
                  <m:t>5</m:t>
                </m:r>
              </m:oMath>
            </m:oMathPara>
          </w:p>
        </w:tc>
        <w:tc>
          <w:tcPr>
            <w:tcW w:w="799" w:type="dxa"/>
          </w:tcPr>
          <w:p w14:paraId="50788C2A" w14:textId="77777777" w:rsidR="005B4204"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
                <m:r>
                  <w:rPr>
                    <w:rFonts w:ascii="Cambria Math" w:hAnsi="Cambria Math"/>
                    <w:kern w:val="2"/>
                    <w:sz w:val="14"/>
                    <w:szCs w:val="14"/>
                  </w:rPr>
                  <m:t>6</m:t>
                </m:r>
              </m:oMath>
            </m:oMathPara>
          </w:p>
        </w:tc>
        <w:tc>
          <w:tcPr>
            <w:tcW w:w="736" w:type="dxa"/>
          </w:tcPr>
          <w:p w14:paraId="3BA60345" w14:textId="77777777" w:rsidR="005B4204" w:rsidRDefault="005B4204" w:rsidP="00E83AF3">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kern w:val="2"/>
                <w:sz w:val="14"/>
                <w:szCs w:val="14"/>
              </w:rPr>
            </w:pPr>
            <m:oMathPara>
              <m:oMath>
                <m:r>
                  <w:rPr>
                    <w:rFonts w:ascii="Cambria Math" w:hAnsi="Cambria Math"/>
                    <w:kern w:val="2"/>
                    <w:sz w:val="14"/>
                    <w:szCs w:val="14"/>
                  </w:rPr>
                  <m:t>10</m:t>
                </m:r>
              </m:oMath>
            </m:oMathPara>
          </w:p>
        </w:tc>
      </w:tr>
    </w:tbl>
    <w:p w14:paraId="069BDD56" w14:textId="77777777" w:rsidR="005B4204" w:rsidRDefault="005B4204" w:rsidP="005B4204">
      <w:pPr>
        <w:pStyle w:val="Els-body-text"/>
        <w:sectPr w:rsidR="005B4204" w:rsidSect="005E0E29">
          <w:type w:val="continuous"/>
          <w:pgSz w:w="11906" w:h="16838" w:code="9"/>
          <w:pgMar w:top="2377" w:right="2410" w:bottom="2892" w:left="2410" w:header="1701" w:footer="2892" w:gutter="0"/>
          <w:cols w:num="2" w:space="720"/>
          <w:titlePg/>
          <w:docGrid w:linePitch="272"/>
        </w:sectPr>
      </w:pPr>
    </w:p>
    <w:p w14:paraId="2486DF1F" w14:textId="77777777" w:rsidR="005B4204" w:rsidRDefault="005B4204" w:rsidP="005B4204">
      <w:pPr>
        <w:pStyle w:val="Els-body-text"/>
        <w:jc w:val="center"/>
      </w:pPr>
    </w:p>
    <w:p w14:paraId="652A688C" w14:textId="77777777" w:rsidR="005B4204" w:rsidRDefault="005B4204" w:rsidP="005B4204">
      <w:pPr>
        <w:pStyle w:val="Els-body-text"/>
        <w:spacing w:before="80"/>
        <w:rPr>
          <w:rFonts w:eastAsiaTheme="minorEastAsia"/>
        </w:rPr>
      </w:pPr>
      <w:r>
        <w:t>The 5 experiments from the LHS-</w:t>
      </w:r>
      <w:proofErr w:type="spellStart"/>
      <w:r>
        <w:t>MBDoE</w:t>
      </w:r>
      <w:proofErr w:type="spellEnd"/>
      <w:r>
        <w:t xml:space="preserve"> yielded the highest cumulative experimental information, the determinant of the cumulative Fisher information matrix in Fig. 2 being </w:t>
      </w:r>
      <m:oMath>
        <m:r>
          <w:rPr>
            <w:rFonts w:ascii="Cambria Math" w:hAnsi="Cambria Math"/>
          </w:rPr>
          <m:t>2.6×</m:t>
        </m:r>
        <m:sSup>
          <m:sSupPr>
            <m:ctrlPr>
              <w:rPr>
                <w:rFonts w:ascii="Cambria Math" w:hAnsi="Cambria Math"/>
                <w:i/>
              </w:rPr>
            </m:ctrlPr>
          </m:sSupPr>
          <m:e>
            <m:r>
              <w:rPr>
                <w:rFonts w:ascii="Cambria Math" w:hAnsi="Cambria Math"/>
              </w:rPr>
              <m:t>10</m:t>
            </m:r>
          </m:e>
          <m:sup>
            <m:r>
              <w:rPr>
                <w:rFonts w:ascii="Cambria Math" w:hAnsi="Cambria Math"/>
              </w:rPr>
              <m:t>8</m:t>
            </m:r>
          </m:sup>
        </m:sSup>
      </m:oMath>
      <w:r>
        <w:rPr>
          <w:rFonts w:eastAsiaTheme="minorEastAsia"/>
        </w:rPr>
        <w:t xml:space="preserve">, an average value of </w:t>
      </w:r>
      <m:oMath>
        <m:r>
          <w:rPr>
            <w:rFonts w:ascii="Cambria Math" w:eastAsiaTheme="minorEastAsia" w:hAnsi="Cambria Math"/>
          </w:rPr>
          <m:t>5.2</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 xml:space="preserve"> per experiment. The experimental information of the last experiment designed using the MBDoE for parameter precision was </w:t>
      </w:r>
      <m:oMath>
        <m:r>
          <w:rPr>
            <w:rFonts w:ascii="Cambria Math" w:eastAsiaTheme="minorEastAsia" w:hAnsi="Cambria Math"/>
          </w:rPr>
          <m:t>7.7</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 xml:space="preserve"> with all parameter </w:t>
      </w:r>
      <w:r>
        <w:rPr>
          <w:rFonts w:eastAsiaTheme="minorEastAsia"/>
          <w:i/>
          <w:iCs/>
        </w:rPr>
        <w:t>t-</w:t>
      </w:r>
      <w:r>
        <w:rPr>
          <w:rFonts w:eastAsiaTheme="minorEastAsia"/>
        </w:rPr>
        <w:t xml:space="preserve">values after 5 experiments being larger than the reference </w:t>
      </w:r>
      <m:oMath>
        <m:sSub>
          <m:sSubPr>
            <m:ctrlPr>
              <w:rPr>
                <w:rFonts w:ascii="Cambria Math" w:eastAsiaTheme="minorEastAsia" w:hAnsi="Cambria Math"/>
                <w:i/>
                <w:kern w:val="2"/>
              </w:rPr>
            </m:ctrlPr>
          </m:sSubPr>
          <m:e>
            <m:r>
              <w:rPr>
                <w:rFonts w:ascii="Cambria Math" w:eastAsiaTheme="minorEastAsia" w:hAnsi="Cambria Math"/>
                <w:kern w:val="2"/>
              </w:rPr>
              <m:t>t</m:t>
            </m:r>
          </m:e>
          <m:sub>
            <m:r>
              <w:rPr>
                <w:rFonts w:ascii="Cambria Math" w:eastAsiaTheme="minorEastAsia" w:hAnsi="Cambria Math"/>
                <w:kern w:val="2"/>
              </w:rPr>
              <m:t>ref</m:t>
            </m:r>
          </m:sub>
        </m:sSub>
      </m:oMath>
      <w:r>
        <w:rPr>
          <w:rFonts w:eastAsiaTheme="minorEastAsia"/>
        </w:rPr>
        <w:t xml:space="preserve">. On the other hand, the 6 experiments in the worst-case robust MBDoE could only attain a determinant of </w:t>
      </w:r>
      <m:oMath>
        <m:r>
          <w:rPr>
            <w:rFonts w:ascii="Cambria Math" w:eastAsiaTheme="minorEastAsia" w:hAnsi="Cambria Math"/>
          </w:rPr>
          <m:t>3.</m:t>
        </m:r>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 xml:space="preserve"> in the cumulative Fisher information matrix, an average value of </w:t>
      </w:r>
      <m:oMath>
        <m:r>
          <w:rPr>
            <w:rFonts w:ascii="Cambria Math" w:eastAsiaTheme="minorEastAsia" w:hAnsi="Cambria Math"/>
          </w:rPr>
          <m:t>5</m:t>
        </m:r>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6</m:t>
            </m:r>
          </m:sup>
        </m:sSup>
      </m:oMath>
      <w:r>
        <w:rPr>
          <w:rFonts w:eastAsiaTheme="minorEastAsia"/>
        </w:rPr>
        <w:t xml:space="preserve"> per experiment. Nevertheless, this still produced a precise estimation of model parameters, with </w:t>
      </w:r>
      <w:r>
        <w:rPr>
          <w:rFonts w:eastAsiaTheme="minorEastAsia"/>
          <w:i/>
          <w:iCs/>
        </w:rPr>
        <w:t>t-</w:t>
      </w:r>
      <w:r>
        <w:rPr>
          <w:rFonts w:eastAsiaTheme="minorEastAsia"/>
        </w:rPr>
        <w:t xml:space="preserve">values being larger than </w:t>
      </w:r>
      <m:oMath>
        <m:sSub>
          <m:sSubPr>
            <m:ctrlPr>
              <w:rPr>
                <w:rFonts w:ascii="Cambria Math" w:eastAsiaTheme="minorEastAsia" w:hAnsi="Cambria Math"/>
                <w:i/>
                <w:kern w:val="2"/>
              </w:rPr>
            </m:ctrlPr>
          </m:sSubPr>
          <m:e>
            <m:r>
              <w:rPr>
                <w:rFonts w:ascii="Cambria Math" w:eastAsiaTheme="minorEastAsia" w:hAnsi="Cambria Math"/>
                <w:kern w:val="2"/>
              </w:rPr>
              <m:t>t</m:t>
            </m:r>
          </m:e>
          <m:sub>
            <m:r>
              <w:rPr>
                <w:rFonts w:ascii="Cambria Math" w:eastAsiaTheme="minorEastAsia" w:hAnsi="Cambria Math"/>
                <w:kern w:val="2"/>
              </w:rPr>
              <m:t>ref</m:t>
            </m:r>
          </m:sub>
        </m:sSub>
      </m:oMath>
      <w:r>
        <w:rPr>
          <w:rFonts w:eastAsiaTheme="minorEastAsia"/>
          <w:kern w:val="2"/>
        </w:rPr>
        <w:t xml:space="preserve">. </w:t>
      </w:r>
      <w:r>
        <w:rPr>
          <w:rFonts w:eastAsiaTheme="minorEastAsia"/>
        </w:rPr>
        <w:t xml:space="preserve"> </w:t>
      </w:r>
    </w:p>
    <w:p w14:paraId="26F9BD38" w14:textId="77777777" w:rsidR="005B4204" w:rsidRDefault="005B4204" w:rsidP="005B4204">
      <w:pPr>
        <w:pStyle w:val="Els-body-text"/>
        <w:rPr>
          <w:rFonts w:eastAsiaTheme="minorEastAsia"/>
          <w:bCs/>
        </w:rPr>
      </w:pPr>
      <w:r>
        <w:rPr>
          <w:rFonts w:eastAsiaTheme="minorEastAsia"/>
        </w:rPr>
        <w:t xml:space="preserve">The maximum cumulative information attained at the end of 10 designed experiments using </w:t>
      </w:r>
      <w:proofErr w:type="spellStart"/>
      <w:r>
        <w:rPr>
          <w:rFonts w:eastAsiaTheme="minorEastAsia"/>
        </w:rPr>
        <w:t>rMBDoE</w:t>
      </w:r>
      <w:proofErr w:type="spellEnd"/>
      <w:r>
        <w:rPr>
          <w:rFonts w:eastAsiaTheme="minorEastAsia"/>
        </w:rPr>
        <w:t xml:space="preserve">-EV is much lower compared to the other cases, with a determinant value of </w:t>
      </w:r>
      <m:oMath>
        <m:r>
          <w:rPr>
            <w:rFonts w:ascii="Cambria Math" w:eastAsiaTheme="minorEastAsia" w:hAnsi="Cambria Math"/>
          </w:rPr>
          <m:t>4.4</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oMath>
      <w:r>
        <w:rPr>
          <w:rFonts w:eastAsiaTheme="minorEastAsia"/>
        </w:rPr>
        <w:t xml:space="preserve">. Most of the experiments designed using this approach yielded little information about the amide model and the worst experiment in LHS-MBDoE contains more information than the cumulative model information achieved in the 10 experiments sequentially designed using rMBDoE-EV. Data from the 4 preliminary experiments </w:t>
      </w:r>
      <w:r>
        <w:rPr>
          <w:rFonts w:eastAsiaTheme="minorEastAsia"/>
        </w:rPr>
        <w:lastRenderedPageBreak/>
        <w:t xml:space="preserve">designed by </w:t>
      </w:r>
      <w:proofErr w:type="spellStart"/>
      <w:r>
        <w:rPr>
          <w:rFonts w:eastAsiaTheme="minorEastAsia"/>
        </w:rPr>
        <w:t>rMBDoE</w:t>
      </w:r>
      <w:proofErr w:type="spellEnd"/>
      <w:r>
        <w:rPr>
          <w:rFonts w:eastAsiaTheme="minorEastAsia"/>
        </w:rPr>
        <w:t xml:space="preserve">-EV carried nearly zero information about the model, initially estimating poor values for the parameters. Due to the high parameter correlation in the amide formation reversible kinetics reported in Eq. (R1), subsequent </w:t>
      </w:r>
      <w:proofErr w:type="spellStart"/>
      <w:r>
        <w:rPr>
          <w:rFonts w:eastAsiaTheme="minorEastAsia"/>
        </w:rPr>
        <w:t>MBDoE</w:t>
      </w:r>
      <w:proofErr w:type="spellEnd"/>
      <w:r>
        <w:rPr>
          <w:rFonts w:eastAsiaTheme="minorEastAsia"/>
        </w:rPr>
        <w:t xml:space="preserve"> for parameter precision could not improve poor performing parameter set without destabilizing their well performing counterpart, the technique therefore remaining stuck in improving only the first 2 parameters at the expense of the last 2: after 10 experiments the parameter </w:t>
      </w:r>
      <w:r>
        <w:rPr>
          <w:rFonts w:eastAsiaTheme="minorEastAsia"/>
          <w:i/>
          <w:iCs/>
        </w:rPr>
        <w:t>t-</w:t>
      </w:r>
      <w:r>
        <w:rPr>
          <w:rFonts w:eastAsiaTheme="minorEastAsia"/>
        </w:rPr>
        <w:t>values {</w:t>
      </w:r>
      <m:oMath>
        <m:r>
          <w:rPr>
            <w:rFonts w:ascii="Cambria Math" w:eastAsiaTheme="minorEastAsia" w:hAnsi="Cambria Math"/>
          </w:rPr>
          <m:t>=</m:t>
        </m:r>
        <m:sSup>
          <m:sSupPr>
            <m:ctrlPr>
              <w:rPr>
                <w:rFonts w:ascii="Cambria Math" w:hAnsi="Cambria Math"/>
                <w:i/>
                <w:kern w:val="2"/>
              </w:rPr>
            </m:ctrlPr>
          </m:sSupPr>
          <m:e>
            <m:r>
              <w:rPr>
                <w:rFonts w:ascii="Cambria Math" w:hAnsi="Cambria Math"/>
                <w:kern w:val="2"/>
              </w:rPr>
              <m:t>[26.38, 23.79,</m:t>
            </m:r>
            <m:r>
              <w:rPr>
                <w:rFonts w:ascii="Cambria Math" w:hAnsi="Cambria Math"/>
                <w:color w:val="FF0000"/>
                <w:kern w:val="2"/>
              </w:rPr>
              <m:t xml:space="preserve"> 0.07, 2.36∙</m:t>
            </m:r>
            <m:sSup>
              <m:sSupPr>
                <m:ctrlPr>
                  <w:rPr>
                    <w:rFonts w:ascii="Cambria Math" w:hAnsi="Cambria Math"/>
                    <w:i/>
                    <w:color w:val="FF0000"/>
                    <w:kern w:val="2"/>
                  </w:rPr>
                </m:ctrlPr>
              </m:sSupPr>
              <m:e>
                <m:r>
                  <w:rPr>
                    <w:rFonts w:ascii="Cambria Math" w:hAnsi="Cambria Math"/>
                    <w:color w:val="FF0000"/>
                    <w:kern w:val="2"/>
                  </w:rPr>
                  <m:t>10</m:t>
                </m:r>
              </m:e>
              <m:sup>
                <m:r>
                  <w:rPr>
                    <w:rFonts w:ascii="Cambria Math" w:hAnsi="Cambria Math"/>
                    <w:color w:val="FF0000"/>
                    <w:kern w:val="2"/>
                  </w:rPr>
                  <m:t>-9</m:t>
                </m:r>
              </m:sup>
            </m:sSup>
            <m:r>
              <w:rPr>
                <w:rFonts w:ascii="Cambria Math" w:hAnsi="Cambria Math"/>
                <w:kern w:val="2"/>
              </w:rPr>
              <m:t>]</m:t>
            </m:r>
          </m:e>
          <m:sup>
            <m:r>
              <w:rPr>
                <w:rFonts w:ascii="Cambria Math" w:hAnsi="Cambria Math"/>
                <w:kern w:val="2"/>
              </w:rPr>
              <m:t>T</m:t>
            </m:r>
          </m:sup>
        </m:sSup>
      </m:oMath>
      <w:r w:rsidRPr="00854503">
        <w:rPr>
          <w:rFonts w:eastAsiaTheme="minorEastAsia"/>
          <w:kern w:val="2"/>
        </w:rPr>
        <w:t>}</w:t>
      </w:r>
      <w:r>
        <w:rPr>
          <w:rFonts w:eastAsiaTheme="minorEastAsia"/>
        </w:rPr>
        <w:t xml:space="preserve">. As reported in Asprey and </w:t>
      </w:r>
      <w:proofErr w:type="spellStart"/>
      <w:r>
        <w:rPr>
          <w:rFonts w:eastAsiaTheme="minorEastAsia"/>
        </w:rPr>
        <w:t>Macchietto</w:t>
      </w:r>
      <w:proofErr w:type="spellEnd"/>
      <w:r>
        <w:rPr>
          <w:rFonts w:eastAsiaTheme="minorEastAsia"/>
        </w:rPr>
        <w:t xml:space="preserve"> (2002), the performance of the expected value approach in designing preliminary experiments depends on a known parameter distribution </w:t>
      </w:r>
      <m:oMath>
        <m:r>
          <w:rPr>
            <w:rFonts w:ascii="Cambria Math" w:eastAsiaTheme="minorEastAsia" w:hAnsi="Cambria Math"/>
          </w:rPr>
          <m:t>p(</m:t>
        </m:r>
        <m:r>
          <m:rPr>
            <m:sty m:val="bi"/>
          </m:rPr>
          <w:rPr>
            <w:rFonts w:ascii="Cambria Math" w:eastAsiaTheme="minorEastAsia" w:hAnsi="Cambria Math"/>
          </w:rPr>
          <m:t>θ</m:t>
        </m:r>
        <m:r>
          <w:rPr>
            <w:rFonts w:ascii="Cambria Math" w:eastAsiaTheme="minorEastAsia" w:hAnsi="Cambria Math"/>
          </w:rPr>
          <m:t>)</m:t>
        </m:r>
      </m:oMath>
      <w:r>
        <w:rPr>
          <w:rFonts w:eastAsiaTheme="minorEastAsia"/>
        </w:rPr>
        <w:t xml:space="preserve"> in the parameter space </w:t>
      </w:r>
      <m:oMath>
        <m:r>
          <m:rPr>
            <m:sty m:val="b"/>
          </m:rPr>
          <w:rPr>
            <w:rFonts w:ascii="Cambria Math" w:hAnsi="Cambria Math"/>
          </w:rPr>
          <m:t>Θ</m:t>
        </m:r>
      </m:oMath>
      <w:r>
        <w:rPr>
          <w:rFonts w:eastAsiaTheme="minorEastAsia"/>
          <w:bCs/>
        </w:rPr>
        <w:t>.</w:t>
      </w:r>
    </w:p>
    <w:p w14:paraId="55DCD892" w14:textId="77777777" w:rsidR="005B4204" w:rsidRPr="00A94774" w:rsidRDefault="005B4204" w:rsidP="005B4204">
      <w:pPr>
        <w:pStyle w:val="Els-1storder-head"/>
        <w:spacing w:after="120"/>
        <w:rPr>
          <w:lang w:val="en-GB"/>
        </w:rPr>
      </w:pPr>
      <w:r>
        <w:rPr>
          <w:lang w:val="en-GB"/>
        </w:rPr>
        <w:t>Conclusions</w:t>
      </w:r>
    </w:p>
    <w:p w14:paraId="146D40F8" w14:textId="79782F84" w:rsidR="005B4204" w:rsidRDefault="005B4204" w:rsidP="005B4204">
      <w:pPr>
        <w:pStyle w:val="Els-body-text"/>
      </w:pPr>
      <w:r>
        <w:rPr>
          <w:lang w:val="en-GB"/>
        </w:rPr>
        <w:t xml:space="preserve">This </w:t>
      </w:r>
      <w:r>
        <w:t xml:space="preserve">paper evaluated and compared the performance of three </w:t>
      </w:r>
      <w:proofErr w:type="spellStart"/>
      <w:r>
        <w:t>MBDoE</w:t>
      </w:r>
      <w:proofErr w:type="spellEnd"/>
      <w:r>
        <w:t xml:space="preserve"> approaches in designing informative experiments in amide formation synthesis: 1) a Latin hypercube sampling for designing preliminary </w:t>
      </w:r>
      <w:proofErr w:type="spellStart"/>
      <w:r>
        <w:t>DoEs</w:t>
      </w:r>
      <w:proofErr w:type="spellEnd"/>
      <w:r>
        <w:t xml:space="preserve"> followed by </w:t>
      </w:r>
      <w:proofErr w:type="spellStart"/>
      <w:r>
        <w:t>MBDoE</w:t>
      </w:r>
      <w:proofErr w:type="spellEnd"/>
      <w:r>
        <w:t xml:space="preserve"> for parameter precision (LS-</w:t>
      </w:r>
      <w:proofErr w:type="spellStart"/>
      <w:r>
        <w:t>MBDoE</w:t>
      </w:r>
      <w:proofErr w:type="spellEnd"/>
      <w:r>
        <w:t xml:space="preserve">); 2) a robust </w:t>
      </w:r>
      <w:proofErr w:type="spellStart"/>
      <w:r>
        <w:t>MBDoE</w:t>
      </w:r>
      <w:proofErr w:type="spellEnd"/>
      <w:r>
        <w:t xml:space="preserve"> using a worst case approach (</w:t>
      </w:r>
      <w:proofErr w:type="spellStart"/>
      <w:r>
        <w:t>rMBDoE</w:t>
      </w:r>
      <w:proofErr w:type="spellEnd"/>
      <w:r>
        <w:t>-WC) employed ab-initio to design preliminary experiments and then subsequently to design further experiments for parameter precision; 3)</w:t>
      </w:r>
      <w:r w:rsidRPr="000E4DB1">
        <w:t xml:space="preserve"> </w:t>
      </w:r>
      <w:r>
        <w:t xml:space="preserve">a robust </w:t>
      </w:r>
      <w:proofErr w:type="spellStart"/>
      <w:r>
        <w:t>MBDoE</w:t>
      </w:r>
      <w:proofErr w:type="spellEnd"/>
      <w:r>
        <w:t xml:space="preserve"> using an expected value approach (</w:t>
      </w:r>
      <w:proofErr w:type="spellStart"/>
      <w:r>
        <w:t>rMBDoE</w:t>
      </w:r>
      <w:proofErr w:type="spellEnd"/>
      <w:r>
        <w:t xml:space="preserve">-EV). The experimental information acquired from these methodologies was quantified using the determinant of the Fisher information matrix and the model parameter precision using the </w:t>
      </w:r>
      <w:r>
        <w:rPr>
          <w:i/>
          <w:iCs/>
        </w:rPr>
        <w:t>t</w:t>
      </w:r>
      <w:r>
        <w:t>-test. The LHS-</w:t>
      </w:r>
      <w:proofErr w:type="spellStart"/>
      <w:r>
        <w:t>MBDoE</w:t>
      </w:r>
      <w:proofErr w:type="spellEnd"/>
      <w:r>
        <w:t xml:space="preserve"> methodology combining exploration from the LHS and exploitation from the </w:t>
      </w:r>
      <w:proofErr w:type="spellStart"/>
      <w:r>
        <w:t>MBDoE</w:t>
      </w:r>
      <w:proofErr w:type="spellEnd"/>
      <w:r>
        <w:t xml:space="preserve"> performed most satisfactorily, attaining the highest cumulative information in the fewest runs of experimentation. None of the robust approaches matched this performance. Particularly, the expected values preliminary experiments ill-conditioned the model to design sub-optimal experiments that generated very low information on model parameters. Careful definition of prior model parameter information is therefore required before applying the expected value approach.</w:t>
      </w:r>
    </w:p>
    <w:p w14:paraId="3E621B19" w14:textId="77777777" w:rsidR="005B4204" w:rsidRPr="0034230E" w:rsidRDefault="005B4204" w:rsidP="005B4204">
      <w:pPr>
        <w:pStyle w:val="Els-1storder-head"/>
        <w:numPr>
          <w:ilvl w:val="0"/>
          <w:numId w:val="0"/>
        </w:numPr>
        <w:spacing w:after="120"/>
        <w:rPr>
          <w:lang w:val="en-GB"/>
        </w:rPr>
      </w:pPr>
      <w:r>
        <w:rPr>
          <w:lang w:val="en-GB"/>
        </w:rPr>
        <w:t>Acknowledgements</w:t>
      </w:r>
    </w:p>
    <w:p w14:paraId="54B65FFA" w14:textId="77777777" w:rsidR="005B4204" w:rsidRPr="005E0E29" w:rsidRDefault="005B4204" w:rsidP="005B4204">
      <w:pPr>
        <w:pStyle w:val="Els-body-text"/>
        <w:spacing w:after="120"/>
        <w:rPr>
          <w:lang w:val="en-GB"/>
        </w:rPr>
      </w:pPr>
      <w:r>
        <w:t>This project has received funding from the EPSRC (EP/R032807/1 and EP/X024016/1). The support is gratefully acknowledged.</w:t>
      </w:r>
    </w:p>
    <w:p w14:paraId="738CE81D" w14:textId="77777777" w:rsidR="005B4204" w:rsidRDefault="005B4204" w:rsidP="005B4204">
      <w:pPr>
        <w:pStyle w:val="Els-reference-head"/>
      </w:pPr>
      <w:r>
        <w:t>References</w:t>
      </w:r>
    </w:p>
    <w:p w14:paraId="7FB188C2" w14:textId="77777777" w:rsidR="005B4204" w:rsidRPr="005E0E29" w:rsidRDefault="005B4204" w:rsidP="005B4204">
      <w:pPr>
        <w:pStyle w:val="Els-referenceno-number"/>
        <w:rPr>
          <w:szCs w:val="24"/>
          <w:lang w:eastAsia="en-GB"/>
        </w:rPr>
      </w:pPr>
      <w:r>
        <w:t>F. Des</w:t>
      </w:r>
      <w:r w:rsidRPr="00EB7A5A">
        <w:t xml:space="preserve">tro, </w:t>
      </w:r>
      <w:r>
        <w:t xml:space="preserve">M. </w:t>
      </w:r>
      <w:r w:rsidRPr="00EB7A5A">
        <w:t>Barolo,</w:t>
      </w:r>
      <w:r>
        <w:t xml:space="preserve"> </w:t>
      </w:r>
      <w:r w:rsidRPr="00EB7A5A">
        <w:t>2022.</w:t>
      </w:r>
      <w:r>
        <w:t xml:space="preserve"> </w:t>
      </w:r>
      <w:r w:rsidRPr="00401355">
        <w:rPr>
          <w:color w:val="0A80BB"/>
        </w:rPr>
        <w:t>International Journal of Pharmaceutics 620</w:t>
      </w:r>
    </w:p>
    <w:p w14:paraId="58D86DCA" w14:textId="77777777" w:rsidR="005B4204" w:rsidRDefault="005B4204" w:rsidP="005B4204">
      <w:pPr>
        <w:pStyle w:val="Els-referenceno-number"/>
        <w:rPr>
          <w:rStyle w:val="Hyperlink"/>
          <w:lang w:eastAsia="en-GB"/>
        </w:rPr>
      </w:pPr>
      <w:r w:rsidRPr="005E0E29">
        <w:rPr>
          <w:szCs w:val="24"/>
          <w:lang w:eastAsia="en-GB"/>
        </w:rPr>
        <w:t xml:space="preserve">G. Franceschini, S. Macchietto, 2008, </w:t>
      </w:r>
      <w:r w:rsidRPr="00AD69D6">
        <w:rPr>
          <w:szCs w:val="24"/>
          <w:lang w:eastAsia="en-GB"/>
        </w:rPr>
        <w:t xml:space="preserve">Model-based design of experiments for parameter precision: State of the art, Chemical Engineering Science, Volume 63, Issue 19, Pages 4846-4872, ISSN 0009-2509, </w:t>
      </w:r>
      <w:hyperlink r:id="rId10" w:history="1">
        <w:r w:rsidRPr="00AD69D6">
          <w:rPr>
            <w:rStyle w:val="Hyperlink"/>
            <w:lang w:eastAsia="en-GB"/>
          </w:rPr>
          <w:t>https://doi.org/10.1016/j.ces.2007.11.034</w:t>
        </w:r>
      </w:hyperlink>
    </w:p>
    <w:p w14:paraId="01F8CD35" w14:textId="4DFF4F74" w:rsidR="005B4204" w:rsidRDefault="005B4204" w:rsidP="005B4204">
      <w:pPr>
        <w:pStyle w:val="Els-referenceno-number"/>
        <w:rPr>
          <w:rStyle w:val="Hyperlink"/>
          <w:lang w:eastAsia="en-GB"/>
        </w:rPr>
      </w:pPr>
      <w:r>
        <w:rPr>
          <w:szCs w:val="24"/>
          <w:lang w:eastAsia="en-GB"/>
        </w:rPr>
        <w:t>M. Quaglio, E.S. Fraga, F. Galvanin, 2018. Ch</w:t>
      </w:r>
      <w:r w:rsidR="001677B6">
        <w:rPr>
          <w:szCs w:val="24"/>
          <w:lang w:eastAsia="en-GB"/>
        </w:rPr>
        <w:t>ERD</w:t>
      </w:r>
      <w:r>
        <w:rPr>
          <w:szCs w:val="24"/>
          <w:lang w:eastAsia="en-GB"/>
        </w:rPr>
        <w:t>, Vol. 136, Pages 129 – 143</w:t>
      </w:r>
      <w:r w:rsidR="001677B6">
        <w:rPr>
          <w:szCs w:val="24"/>
          <w:lang w:eastAsia="en-GB"/>
        </w:rPr>
        <w:t xml:space="preserve">, </w:t>
      </w:r>
      <w:r w:rsidR="001677B6" w:rsidRPr="001677B6">
        <w:rPr>
          <w:szCs w:val="24"/>
          <w:lang w:eastAsia="en-GB"/>
        </w:rPr>
        <w:t>doi.org/10.1016/j.cherd.2018.04.041</w:t>
      </w:r>
    </w:p>
    <w:p w14:paraId="40E5102B" w14:textId="77777777" w:rsidR="005B4204" w:rsidRDefault="005B4204" w:rsidP="005B4204">
      <w:pPr>
        <w:pStyle w:val="Els-referenceno-number"/>
      </w:pPr>
      <w:r>
        <w:rPr>
          <w:lang w:val="it-IT"/>
        </w:rPr>
        <w:t xml:space="preserve">S.P. </w:t>
      </w:r>
      <w:r w:rsidRPr="00AD69D6">
        <w:rPr>
          <w:lang w:val="it-IT"/>
        </w:rPr>
        <w:t xml:space="preserve">Asprey, </w:t>
      </w:r>
      <w:r>
        <w:rPr>
          <w:lang w:val="it-IT"/>
        </w:rPr>
        <w:t xml:space="preserve">S. </w:t>
      </w:r>
      <w:r w:rsidRPr="00AD69D6">
        <w:rPr>
          <w:lang w:val="it-IT"/>
        </w:rPr>
        <w:t xml:space="preserve">Macchietto, 2002. </w:t>
      </w:r>
      <w:r w:rsidRPr="002F4186">
        <w:t>Designing robust optimal dynamic experiments</w:t>
      </w:r>
      <w:r>
        <w:t>,</w:t>
      </w:r>
      <w:r w:rsidRPr="002F4186">
        <w:t xml:space="preserve"> Journal of Process Control 12 (2002) 545–5</w:t>
      </w:r>
      <w:r>
        <w:t>56</w:t>
      </w:r>
    </w:p>
    <w:p w14:paraId="2EAA1804" w14:textId="77777777" w:rsidR="005B4204" w:rsidRDefault="005B4204" w:rsidP="005B4204">
      <w:pPr>
        <w:pStyle w:val="Els-referenceno-number"/>
      </w:pPr>
      <w:r>
        <w:rPr>
          <w:lang w:val="en-US"/>
        </w:rPr>
        <w:t xml:space="preserve">V. Abt, T. Barz, M.N. </w:t>
      </w:r>
      <w:r w:rsidRPr="00CD71CA">
        <w:t>Cruz-Bournazou</w:t>
      </w:r>
      <w:r>
        <w:t xml:space="preserve">, C. </w:t>
      </w:r>
      <w:r w:rsidRPr="00CD71CA">
        <w:t>Herwig</w:t>
      </w:r>
      <w:r>
        <w:t xml:space="preserve">, P. </w:t>
      </w:r>
      <w:r w:rsidRPr="00CD71CA">
        <w:t>Kroll,</w:t>
      </w:r>
      <w:r>
        <w:t xml:space="preserve"> J.</w:t>
      </w:r>
      <w:r w:rsidRPr="00CD71CA">
        <w:t xml:space="preserve"> Möller,</w:t>
      </w:r>
      <w:r>
        <w:t xml:space="preserve"> R. </w:t>
      </w:r>
      <w:r w:rsidRPr="00CD71CA">
        <w:t>Pörtner,</w:t>
      </w:r>
      <w:r>
        <w:t xml:space="preserve"> R. </w:t>
      </w:r>
      <w:r w:rsidRPr="00CD71CA">
        <w:t>Schenkendorf,</w:t>
      </w:r>
      <w:r>
        <w:t xml:space="preserve"> R.,</w:t>
      </w:r>
      <w:r w:rsidRPr="00CD71CA">
        <w:t xml:space="preserve"> 2018</w:t>
      </w:r>
      <w:r>
        <w:t xml:space="preserve">, </w:t>
      </w:r>
      <w:r w:rsidRPr="00CD71CA">
        <w:t xml:space="preserve">Model-based tools for optimal experiments in bioprocess engineering, Current Opinion in Chemical Engineering, Volume 22, 2018, Pages 244-252, ISSN 2211-3398, </w:t>
      </w:r>
      <w:hyperlink r:id="rId11" w:history="1">
        <w:r w:rsidRPr="001E34EB">
          <w:rPr>
            <w:rStyle w:val="Hyperlink"/>
          </w:rPr>
          <w:t>https://doi.org/10.1016/j.coche.2018.11.007</w:t>
        </w:r>
      </w:hyperlink>
    </w:p>
    <w:p w14:paraId="4E682C7E" w14:textId="77777777" w:rsidR="005B4204" w:rsidRPr="00CB6A63" w:rsidRDefault="005B4204" w:rsidP="005B4204">
      <w:pPr>
        <w:pStyle w:val="Els-referenceno-number"/>
        <w:rPr>
          <w:lang w:val="en-US"/>
        </w:rPr>
      </w:pPr>
      <w:r>
        <w:t>Y. Bard, 1974, Nonlinear parameter estimation, Academic Press.</w:t>
      </w:r>
    </w:p>
    <w:p w14:paraId="0D7FABDA" w14:textId="77777777" w:rsidR="005B4204" w:rsidRDefault="005B4204" w:rsidP="005B4204"/>
    <w:p w14:paraId="4E922823" w14:textId="77777777" w:rsidR="00D414CE" w:rsidRDefault="00D414CE"/>
    <w:sectPr w:rsidR="00D414CE" w:rsidSect="008B0184">
      <w:type w:val="continuous"/>
      <w:pgSz w:w="11906" w:h="16838" w:code="9"/>
      <w:pgMar w:top="2377" w:right="2410" w:bottom="2892" w:left="2410" w:header="1701" w:footer="2892" w:gutter="0"/>
      <w:cols w:space="720" w:equalWidth="0">
        <w:col w:w="7087"/>
      </w:cols>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5822" w14:textId="77777777" w:rsidR="00000000" w:rsidRDefault="00000000">
    <w:pPr>
      <w:pStyle w:val="Header"/>
      <w:tabs>
        <w:tab w:val="clear" w:pos="7200"/>
        <w:tab w:val="right" w:pos="7088"/>
      </w:tabs>
    </w:pPr>
    <w:r>
      <w:rPr>
        <w:rStyle w:val="PageNumber"/>
      </w:rPr>
      <w:tab/>
    </w:r>
    <w:r>
      <w:rPr>
        <w:rStyle w:val="PageNumber"/>
        <w:i/>
      </w:rPr>
      <w:tab/>
      <w:t>E. Agunloye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DDF4" w14:textId="77777777" w:rsidR="00000000" w:rsidRDefault="00000000" w:rsidP="00E829DF">
    <w:pPr>
      <w:pStyle w:val="Header"/>
      <w:tabs>
        <w:tab w:val="clear" w:pos="7200"/>
        <w:tab w:val="right" w:pos="7088"/>
      </w:tabs>
      <w:rPr>
        <w:sz w:val="24"/>
      </w:rPr>
    </w:pPr>
    <w:r>
      <w:rPr>
        <w:i/>
      </w:rPr>
      <w:t>Model-based design of experiments for the identification of kinetic models of amide formation</w:t>
    </w: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7A1C" w14:textId="77777777" w:rsidR="00000000" w:rsidRPr="003B50B5" w:rsidRDefault="00000000"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rPr>
      <w:t>34</w:t>
    </w:r>
    <w:r w:rsidRPr="00F06842">
      <w:rPr>
        <w:rStyle w:val="underline1"/>
        <w:sz w:val="18"/>
        <w:szCs w:val="18"/>
        <w:vertAlign w:val="superscript"/>
      </w:rPr>
      <w:t>th</w:t>
    </w:r>
    <w:r w:rsidRPr="00F06842">
      <w:rPr>
        <w:rStyle w:val="underline1"/>
        <w:sz w:val="18"/>
        <w:szCs w:val="18"/>
      </w:rPr>
      <w:t xml:space="preserve"> European Symposium on Computer Aided Process Engineering / 15</w:t>
    </w:r>
    <w:r w:rsidRPr="00F06842">
      <w:rPr>
        <w:rStyle w:val="underline1"/>
        <w:sz w:val="18"/>
        <w:szCs w:val="18"/>
        <w:vertAlign w:val="superscript"/>
      </w:rPr>
      <w:t>th</w:t>
    </w:r>
    <w:r w:rsidRPr="00F06842">
      <w:rPr>
        <w:rStyle w:val="underline1"/>
        <w:sz w:val="18"/>
        <w:szCs w:val="18"/>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7BA44D4C" w14:textId="77777777" w:rsidR="00000000" w:rsidRDefault="00000000"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698892343">
    <w:abstractNumId w:val="0"/>
  </w:num>
  <w:num w:numId="3" w16cid:durableId="1660883641">
    <w:abstractNumId w:val="6"/>
  </w:num>
  <w:num w:numId="4" w16cid:durableId="1863349795">
    <w:abstractNumId w:val="12"/>
  </w:num>
  <w:num w:numId="5" w16cid:durableId="1750734252">
    <w:abstractNumId w:val="1"/>
  </w:num>
  <w:num w:numId="6" w16cid:durableId="203061615">
    <w:abstractNumId w:val="10"/>
  </w:num>
  <w:num w:numId="7" w16cid:durableId="1478497114">
    <w:abstractNumId w:val="14"/>
  </w:num>
  <w:num w:numId="8" w16cid:durableId="1896693444">
    <w:abstractNumId w:val="13"/>
  </w:num>
  <w:num w:numId="9" w16cid:durableId="774787662">
    <w:abstractNumId w:val="5"/>
  </w:num>
  <w:num w:numId="10" w16cid:durableId="1525900646">
    <w:abstractNumId w:val="8"/>
  </w:num>
  <w:num w:numId="11" w16cid:durableId="1455515963">
    <w:abstractNumId w:val="2"/>
  </w:num>
  <w:num w:numId="12" w16cid:durableId="446657998">
    <w:abstractNumId w:val="7"/>
  </w:num>
  <w:num w:numId="13" w16cid:durableId="322592235">
    <w:abstractNumId w:val="3"/>
  </w:num>
  <w:num w:numId="14" w16cid:durableId="596719075">
    <w:abstractNumId w:val="4"/>
  </w:num>
  <w:num w:numId="15"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204"/>
    <w:rsid w:val="001677B6"/>
    <w:rsid w:val="005B4204"/>
    <w:rsid w:val="008615F9"/>
    <w:rsid w:val="00C035A3"/>
    <w:rsid w:val="00C932EB"/>
    <w:rsid w:val="00D414CE"/>
    <w:rsid w:val="00EB12A4"/>
    <w:rsid w:val="00EF4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1C37"/>
  <w15:chartTrackingRefBased/>
  <w15:docId w15:val="{6A1488A0-F459-4554-9261-073B898C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204"/>
    <w:pPr>
      <w:spacing w:after="0" w:line="240" w:lineRule="auto"/>
    </w:pPr>
    <w:rPr>
      <w:rFonts w:ascii="Times New Roman" w:eastAsia="Times New Roman" w:hAnsi="Times New Roman" w:cs="Times New Roman"/>
      <w:kern w:val="0"/>
      <w:sz w:val="20"/>
      <w:szCs w:val="20"/>
    </w:rPr>
  </w:style>
  <w:style w:type="paragraph" w:styleId="Heading3">
    <w:name w:val="heading 3"/>
    <w:basedOn w:val="Normal"/>
    <w:next w:val="Normal"/>
    <w:link w:val="Heading3Char"/>
    <w:qFormat/>
    <w:rsid w:val="005B420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B4204"/>
    <w:rPr>
      <w:rFonts w:ascii="Arial" w:eastAsia="Times New Roman" w:hAnsi="Arial" w:cs="Arial"/>
      <w:b/>
      <w:bCs/>
      <w:kern w:val="0"/>
      <w:sz w:val="26"/>
      <w:szCs w:val="26"/>
    </w:rPr>
  </w:style>
  <w:style w:type="paragraph" w:styleId="Caption">
    <w:name w:val="caption"/>
    <w:basedOn w:val="Els-caption"/>
    <w:next w:val="Els-caption"/>
    <w:qFormat/>
    <w:rsid w:val="005B4204"/>
  </w:style>
  <w:style w:type="paragraph" w:customStyle="1" w:styleId="Els-caption">
    <w:name w:val="Els-caption"/>
    <w:rsid w:val="005B4204"/>
    <w:pPr>
      <w:keepLines/>
      <w:spacing w:before="100" w:after="120" w:line="240" w:lineRule="auto"/>
    </w:pPr>
    <w:rPr>
      <w:rFonts w:ascii="Times New Roman" w:eastAsia="Times New Roman" w:hAnsi="Times New Roman" w:cs="Times New Roman"/>
      <w:kern w:val="0"/>
      <w:sz w:val="18"/>
      <w:szCs w:val="20"/>
      <w:lang w:val="en-US"/>
    </w:rPr>
  </w:style>
  <w:style w:type="paragraph" w:customStyle="1" w:styleId="Els-1storder-head">
    <w:name w:val="Els-1storder-head"/>
    <w:basedOn w:val="Els-body-text"/>
    <w:next w:val="Els-body-text"/>
    <w:rsid w:val="005B4204"/>
    <w:pPr>
      <w:keepNext/>
      <w:numPr>
        <w:ilvl w:val="1"/>
        <w:numId w:val="14"/>
      </w:numPr>
      <w:suppressAutoHyphens/>
      <w:spacing w:before="240" w:after="60" w:line="240" w:lineRule="exact"/>
    </w:pPr>
    <w:rPr>
      <w:b/>
      <w:sz w:val="22"/>
    </w:rPr>
  </w:style>
  <w:style w:type="paragraph" w:customStyle="1" w:styleId="Els-body-text">
    <w:name w:val="Els-body-text"/>
    <w:rsid w:val="005B4204"/>
    <w:pPr>
      <w:spacing w:after="0" w:line="240" w:lineRule="auto"/>
      <w:jc w:val="both"/>
    </w:pPr>
    <w:rPr>
      <w:rFonts w:ascii="Times New Roman" w:eastAsia="Times New Roman" w:hAnsi="Times New Roman" w:cs="Times New Roman"/>
      <w:kern w:val="0"/>
      <w:sz w:val="20"/>
      <w:szCs w:val="20"/>
      <w:lang w:val="en-US"/>
    </w:rPr>
  </w:style>
  <w:style w:type="paragraph" w:customStyle="1" w:styleId="Els-2ndorder-head">
    <w:name w:val="Els-2ndorder-head"/>
    <w:basedOn w:val="Els-body-text"/>
    <w:next w:val="Els-body-text"/>
    <w:rsid w:val="005B4204"/>
    <w:pPr>
      <w:keepNext/>
      <w:numPr>
        <w:ilvl w:val="2"/>
        <w:numId w:val="14"/>
      </w:numPr>
      <w:tabs>
        <w:tab w:val="num" w:pos="360"/>
      </w:tabs>
      <w:suppressAutoHyphens/>
      <w:spacing w:before="80"/>
    </w:pPr>
    <w:rPr>
      <w:i/>
    </w:rPr>
  </w:style>
  <w:style w:type="paragraph" w:customStyle="1" w:styleId="Els-3rdorder-head">
    <w:name w:val="Els-3rdorder-head"/>
    <w:basedOn w:val="Els-body-text"/>
    <w:next w:val="Els-body-text"/>
    <w:rsid w:val="005B4204"/>
    <w:pPr>
      <w:keepNext/>
      <w:numPr>
        <w:ilvl w:val="3"/>
        <w:numId w:val="14"/>
      </w:numPr>
      <w:tabs>
        <w:tab w:val="num" w:pos="360"/>
      </w:tabs>
      <w:suppressAutoHyphens/>
      <w:spacing w:before="60"/>
    </w:pPr>
    <w:rPr>
      <w:i/>
    </w:rPr>
  </w:style>
  <w:style w:type="paragraph" w:customStyle="1" w:styleId="Els-Affiliation">
    <w:name w:val="Els-Affiliation"/>
    <w:rsid w:val="005B4204"/>
    <w:pPr>
      <w:suppressAutoHyphens/>
      <w:spacing w:after="0" w:line="240" w:lineRule="exact"/>
    </w:pPr>
    <w:rPr>
      <w:rFonts w:ascii="Times New Roman" w:eastAsia="Times New Roman" w:hAnsi="Times New Roman" w:cs="Times New Roman"/>
      <w:i/>
      <w:noProof/>
      <w:kern w:val="0"/>
      <w:sz w:val="20"/>
      <w:szCs w:val="20"/>
    </w:rPr>
  </w:style>
  <w:style w:type="paragraph" w:customStyle="1" w:styleId="Els-Author">
    <w:name w:val="Els-Author"/>
    <w:next w:val="Els-Affiliation"/>
    <w:rsid w:val="005B4204"/>
    <w:pPr>
      <w:keepNext/>
      <w:suppressAutoHyphens/>
      <w:spacing w:after="60" w:line="310" w:lineRule="exact"/>
    </w:pPr>
    <w:rPr>
      <w:rFonts w:ascii="Times New Roman" w:eastAsia="Times New Roman" w:hAnsi="Times New Roman" w:cs="Times New Roman"/>
      <w:noProof/>
      <w:kern w:val="0"/>
      <w:szCs w:val="20"/>
    </w:rPr>
  </w:style>
  <w:style w:type="paragraph" w:customStyle="1" w:styleId="Els-bulletlist">
    <w:name w:val="Els-bulletlist"/>
    <w:basedOn w:val="Els-body-text"/>
    <w:rsid w:val="005B4204"/>
    <w:pPr>
      <w:tabs>
        <w:tab w:val="left" w:pos="240"/>
        <w:tab w:val="num" w:pos="360"/>
      </w:tabs>
      <w:ind w:left="240" w:hanging="240"/>
      <w:jc w:val="left"/>
    </w:pPr>
  </w:style>
  <w:style w:type="paragraph" w:customStyle="1" w:styleId="Els-chem-equation">
    <w:name w:val="Els-chem-equation"/>
    <w:basedOn w:val="Els-body-text"/>
    <w:next w:val="Els-body-text"/>
    <w:rsid w:val="005B4204"/>
    <w:pPr>
      <w:tabs>
        <w:tab w:val="right" w:pos="7088"/>
      </w:tabs>
      <w:spacing w:before="120" w:after="120"/>
    </w:pPr>
    <w:rPr>
      <w:noProof/>
      <w:lang w:val="en-GB"/>
    </w:rPr>
  </w:style>
  <w:style w:type="paragraph" w:customStyle="1" w:styleId="Els-equation">
    <w:name w:val="Els-equation"/>
    <w:basedOn w:val="Els-body-text"/>
    <w:next w:val="Els-body-text"/>
    <w:rsid w:val="005B4204"/>
    <w:pPr>
      <w:tabs>
        <w:tab w:val="right" w:pos="7088"/>
      </w:tabs>
      <w:spacing w:before="120" w:after="120"/>
    </w:pPr>
    <w:rPr>
      <w:i/>
      <w:noProof/>
      <w:lang w:val="en-GB"/>
    </w:rPr>
  </w:style>
  <w:style w:type="paragraph" w:customStyle="1" w:styleId="Els-footnote">
    <w:name w:val="Els-footnote"/>
    <w:rsid w:val="005B4204"/>
    <w:pPr>
      <w:keepLines/>
      <w:widowControl w:val="0"/>
      <w:spacing w:after="0" w:line="240" w:lineRule="auto"/>
      <w:ind w:left="120" w:hanging="120"/>
    </w:pPr>
    <w:rPr>
      <w:rFonts w:ascii="Times New Roman" w:eastAsia="Times New Roman" w:hAnsi="Times New Roman" w:cs="Times New Roman"/>
      <w:kern w:val="0"/>
      <w:sz w:val="18"/>
      <w:szCs w:val="20"/>
      <w:lang w:val="en-US"/>
    </w:rPr>
  </w:style>
  <w:style w:type="paragraph" w:customStyle="1" w:styleId="Els-numlist">
    <w:name w:val="Els-numlist"/>
    <w:basedOn w:val="Els-body-text"/>
    <w:rsid w:val="005B4204"/>
    <w:pPr>
      <w:tabs>
        <w:tab w:val="left" w:pos="240"/>
        <w:tab w:val="num" w:pos="360"/>
      </w:tabs>
      <w:ind w:left="240" w:hanging="240"/>
      <w:jc w:val="left"/>
    </w:pPr>
  </w:style>
  <w:style w:type="paragraph" w:customStyle="1" w:styleId="Els-reference">
    <w:name w:val="Els-reference"/>
    <w:rsid w:val="005B4204"/>
    <w:pPr>
      <w:numPr>
        <w:numId w:val="12"/>
      </w:numPr>
      <w:spacing w:after="0" w:line="240" w:lineRule="auto"/>
      <w:ind w:left="482"/>
    </w:pPr>
    <w:rPr>
      <w:rFonts w:ascii="Times New Roman" w:eastAsia="Times New Roman" w:hAnsi="Times New Roman" w:cs="Times New Roman"/>
      <w:noProof/>
      <w:kern w:val="0"/>
      <w:sz w:val="18"/>
      <w:szCs w:val="20"/>
    </w:rPr>
  </w:style>
  <w:style w:type="paragraph" w:customStyle="1" w:styleId="Els-reference-head">
    <w:name w:val="Els-reference-head"/>
    <w:basedOn w:val="Els-body-text"/>
    <w:next w:val="Els-referenceno-number"/>
    <w:rsid w:val="005B4204"/>
    <w:pPr>
      <w:keepNext/>
      <w:spacing w:before="240" w:after="60"/>
    </w:pPr>
    <w:rPr>
      <w:b/>
      <w:sz w:val="22"/>
      <w:szCs w:val="22"/>
    </w:rPr>
  </w:style>
  <w:style w:type="paragraph" w:customStyle="1" w:styleId="Els-table-text">
    <w:name w:val="Els-table-text"/>
    <w:rsid w:val="005B4204"/>
    <w:pPr>
      <w:keepNext/>
      <w:spacing w:after="80" w:line="240" w:lineRule="exact"/>
    </w:pPr>
    <w:rPr>
      <w:rFonts w:ascii="Times New Roman" w:eastAsia="Times New Roman" w:hAnsi="Times New Roman" w:cs="Times New Roman"/>
      <w:kern w:val="0"/>
      <w:sz w:val="18"/>
      <w:szCs w:val="20"/>
      <w:lang w:val="en-US"/>
    </w:rPr>
  </w:style>
  <w:style w:type="paragraph" w:customStyle="1" w:styleId="Els-Title">
    <w:name w:val="Els-Title"/>
    <w:next w:val="Els-Author"/>
    <w:rsid w:val="005B4204"/>
    <w:pPr>
      <w:suppressAutoHyphens/>
      <w:spacing w:before="240" w:after="120" w:line="360" w:lineRule="exact"/>
    </w:pPr>
    <w:rPr>
      <w:rFonts w:ascii="Times New Roman" w:eastAsia="Times New Roman" w:hAnsi="Times New Roman" w:cs="Times New Roman"/>
      <w:b/>
      <w:kern w:val="0"/>
      <w:sz w:val="32"/>
      <w:szCs w:val="20"/>
      <w:lang w:val="en-US"/>
    </w:rPr>
  </w:style>
  <w:style w:type="character" w:styleId="EndnoteReference">
    <w:name w:val="endnote reference"/>
    <w:basedOn w:val="DefaultParagraphFont"/>
    <w:semiHidden/>
    <w:rsid w:val="005B4204"/>
    <w:rPr>
      <w:vertAlign w:val="superscript"/>
    </w:rPr>
  </w:style>
  <w:style w:type="paragraph" w:styleId="Header">
    <w:name w:val="header"/>
    <w:link w:val="HeaderChar"/>
    <w:rsid w:val="005B4204"/>
    <w:pPr>
      <w:tabs>
        <w:tab w:val="center" w:pos="3600"/>
        <w:tab w:val="right" w:pos="7200"/>
      </w:tabs>
      <w:spacing w:after="0" w:line="200" w:lineRule="atLeast"/>
    </w:pPr>
    <w:rPr>
      <w:rFonts w:ascii="Times New Roman" w:eastAsia="Times New Roman" w:hAnsi="Times New Roman" w:cs="Times New Roman"/>
      <w:noProof/>
      <w:kern w:val="0"/>
      <w:sz w:val="20"/>
      <w:szCs w:val="20"/>
    </w:rPr>
  </w:style>
  <w:style w:type="character" w:customStyle="1" w:styleId="HeaderChar">
    <w:name w:val="Header Char"/>
    <w:basedOn w:val="DefaultParagraphFont"/>
    <w:link w:val="Header"/>
    <w:rsid w:val="005B4204"/>
    <w:rPr>
      <w:rFonts w:ascii="Times New Roman" w:eastAsia="Times New Roman" w:hAnsi="Times New Roman" w:cs="Times New Roman"/>
      <w:noProof/>
      <w:kern w:val="0"/>
      <w:sz w:val="20"/>
      <w:szCs w:val="20"/>
    </w:rPr>
  </w:style>
  <w:style w:type="paragraph" w:styleId="Footer">
    <w:name w:val="footer"/>
    <w:basedOn w:val="Header"/>
    <w:link w:val="FooterChar"/>
    <w:rsid w:val="005B4204"/>
  </w:style>
  <w:style w:type="character" w:customStyle="1" w:styleId="FooterChar">
    <w:name w:val="Footer Char"/>
    <w:basedOn w:val="DefaultParagraphFont"/>
    <w:link w:val="Footer"/>
    <w:rsid w:val="005B4204"/>
    <w:rPr>
      <w:rFonts w:ascii="Times New Roman" w:eastAsia="Times New Roman" w:hAnsi="Times New Roman" w:cs="Times New Roman"/>
      <w:noProof/>
      <w:kern w:val="0"/>
      <w:sz w:val="20"/>
      <w:szCs w:val="20"/>
    </w:rPr>
  </w:style>
  <w:style w:type="character" w:styleId="FootnoteReference">
    <w:name w:val="footnote reference"/>
    <w:semiHidden/>
    <w:rsid w:val="005B4204"/>
    <w:rPr>
      <w:vertAlign w:val="superscript"/>
    </w:rPr>
  </w:style>
  <w:style w:type="paragraph" w:styleId="FootnoteText">
    <w:name w:val="footnote text"/>
    <w:basedOn w:val="Normal"/>
    <w:link w:val="FootnoteTextChar"/>
    <w:semiHidden/>
    <w:rsid w:val="005B4204"/>
    <w:rPr>
      <w:rFonts w:ascii="Univers" w:hAnsi="Univers"/>
    </w:rPr>
  </w:style>
  <w:style w:type="character" w:customStyle="1" w:styleId="FootnoteTextChar">
    <w:name w:val="Footnote Text Char"/>
    <w:basedOn w:val="DefaultParagraphFont"/>
    <w:link w:val="FootnoteText"/>
    <w:semiHidden/>
    <w:rsid w:val="005B4204"/>
    <w:rPr>
      <w:rFonts w:ascii="Univers" w:eastAsia="Times New Roman" w:hAnsi="Univers" w:cs="Times New Roman"/>
      <w:kern w:val="0"/>
      <w:sz w:val="20"/>
      <w:szCs w:val="20"/>
    </w:rPr>
  </w:style>
  <w:style w:type="character" w:styleId="Hyperlink">
    <w:name w:val="Hyperlink"/>
    <w:basedOn w:val="DefaultParagraphFont"/>
    <w:uiPriority w:val="99"/>
    <w:rsid w:val="005B4204"/>
    <w:rPr>
      <w:color w:val="0000FF"/>
      <w:u w:val="single"/>
    </w:rPr>
  </w:style>
  <w:style w:type="character" w:customStyle="1" w:styleId="MTEquationSection">
    <w:name w:val="MTEquationSection"/>
    <w:basedOn w:val="DefaultParagraphFont"/>
    <w:rsid w:val="005B4204"/>
    <w:rPr>
      <w:vanish/>
      <w:color w:val="FF0000"/>
    </w:rPr>
  </w:style>
  <w:style w:type="character" w:styleId="PageNumber">
    <w:name w:val="page number"/>
    <w:basedOn w:val="DefaultParagraphFont"/>
    <w:rsid w:val="005B4204"/>
    <w:rPr>
      <w:sz w:val="20"/>
      <w:szCs w:val="20"/>
    </w:rPr>
  </w:style>
  <w:style w:type="paragraph" w:customStyle="1" w:styleId="Els-Chapterno">
    <w:name w:val="Els-Chapter no"/>
    <w:rsid w:val="005B4204"/>
    <w:pPr>
      <w:numPr>
        <w:numId w:val="14"/>
      </w:numPr>
      <w:tabs>
        <w:tab w:val="num" w:pos="360"/>
      </w:tabs>
      <w:spacing w:before="907" w:after="0" w:line="260" w:lineRule="exact"/>
    </w:pPr>
    <w:rPr>
      <w:rFonts w:ascii="Times New Roman" w:eastAsia="Times New Roman" w:hAnsi="Times New Roman" w:cs="Times New Roman"/>
      <w:kern w:val="0"/>
      <w:sz w:val="24"/>
      <w:szCs w:val="24"/>
      <w:lang w:val="en-US"/>
    </w:rPr>
  </w:style>
  <w:style w:type="paragraph" w:customStyle="1" w:styleId="Els-referenceno-number">
    <w:name w:val="Els-reference no-number"/>
    <w:basedOn w:val="Els-reference"/>
    <w:rsid w:val="005B4204"/>
    <w:pPr>
      <w:numPr>
        <w:numId w:val="0"/>
      </w:numPr>
      <w:ind w:left="240" w:hanging="240"/>
    </w:pPr>
  </w:style>
  <w:style w:type="character" w:customStyle="1" w:styleId="Els-captionChar">
    <w:name w:val="Els-caption Char"/>
    <w:basedOn w:val="DefaultParagraphFont"/>
    <w:rsid w:val="005B4204"/>
    <w:rPr>
      <w:sz w:val="18"/>
      <w:lang w:val="en-US" w:eastAsia="en-US" w:bidi="ar-SA"/>
    </w:rPr>
  </w:style>
  <w:style w:type="character" w:styleId="CommentReference">
    <w:name w:val="annotation reference"/>
    <w:basedOn w:val="DefaultParagraphFont"/>
    <w:semiHidden/>
    <w:rsid w:val="005B4204"/>
    <w:rPr>
      <w:sz w:val="16"/>
      <w:szCs w:val="16"/>
    </w:rPr>
  </w:style>
  <w:style w:type="paragraph" w:styleId="CommentText">
    <w:name w:val="annotation text"/>
    <w:basedOn w:val="Normal"/>
    <w:link w:val="CommentTextChar"/>
    <w:semiHidden/>
    <w:rsid w:val="005B4204"/>
  </w:style>
  <w:style w:type="character" w:customStyle="1" w:styleId="CommentTextChar">
    <w:name w:val="Comment Text Char"/>
    <w:basedOn w:val="DefaultParagraphFont"/>
    <w:link w:val="CommentText"/>
    <w:semiHidden/>
    <w:rsid w:val="005B4204"/>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semiHidden/>
    <w:rsid w:val="005B4204"/>
    <w:rPr>
      <w:b/>
      <w:bCs/>
    </w:rPr>
  </w:style>
  <w:style w:type="character" w:customStyle="1" w:styleId="CommentSubjectChar">
    <w:name w:val="Comment Subject Char"/>
    <w:basedOn w:val="CommentTextChar"/>
    <w:link w:val="CommentSubject"/>
    <w:semiHidden/>
    <w:rsid w:val="005B4204"/>
    <w:rPr>
      <w:rFonts w:ascii="Times New Roman" w:eastAsia="Times New Roman" w:hAnsi="Times New Roman" w:cs="Times New Roman"/>
      <w:b/>
      <w:bCs/>
      <w:kern w:val="0"/>
      <w:sz w:val="20"/>
      <w:szCs w:val="20"/>
    </w:rPr>
  </w:style>
  <w:style w:type="paragraph" w:styleId="BalloonText">
    <w:name w:val="Balloon Text"/>
    <w:basedOn w:val="Normal"/>
    <w:link w:val="BalloonTextChar"/>
    <w:semiHidden/>
    <w:rsid w:val="005B4204"/>
    <w:rPr>
      <w:rFonts w:ascii="Tahoma" w:hAnsi="Tahoma" w:cs="Tahoma"/>
      <w:sz w:val="16"/>
      <w:szCs w:val="16"/>
    </w:rPr>
  </w:style>
  <w:style w:type="character" w:customStyle="1" w:styleId="BalloonTextChar">
    <w:name w:val="Balloon Text Char"/>
    <w:basedOn w:val="DefaultParagraphFont"/>
    <w:link w:val="BalloonText"/>
    <w:semiHidden/>
    <w:rsid w:val="005B4204"/>
    <w:rPr>
      <w:rFonts w:ascii="Tahoma" w:eastAsia="Times New Roman" w:hAnsi="Tahoma" w:cs="Tahoma"/>
      <w:kern w:val="0"/>
      <w:sz w:val="16"/>
      <w:szCs w:val="16"/>
    </w:rPr>
  </w:style>
  <w:style w:type="paragraph" w:customStyle="1" w:styleId="Els-Abstract">
    <w:name w:val="Els-Abstract"/>
    <w:basedOn w:val="Els-1storder-head"/>
    <w:next w:val="Els-body-text"/>
    <w:autoRedefine/>
    <w:rsid w:val="005B4204"/>
    <w:pPr>
      <w:numPr>
        <w:ilvl w:val="0"/>
        <w:numId w:val="0"/>
      </w:numPr>
    </w:pPr>
  </w:style>
  <w:style w:type="character" w:customStyle="1" w:styleId="underline1">
    <w:name w:val="underline1"/>
    <w:basedOn w:val="DefaultParagraphFont"/>
    <w:rsid w:val="005B4204"/>
    <w:rPr>
      <w:u w:val="single"/>
    </w:rPr>
  </w:style>
  <w:style w:type="paragraph" w:customStyle="1" w:styleId="ElsevierBodyTextCentredNospace">
    <w:name w:val="Elsevier Body Text Centred No space"/>
    <w:basedOn w:val="Normal"/>
    <w:qFormat/>
    <w:rsid w:val="005B4204"/>
    <w:pPr>
      <w:jc w:val="center"/>
    </w:pPr>
    <w:rPr>
      <w:bCs/>
      <w:iCs/>
      <w:color w:val="000000" w:themeColor="text1"/>
      <w:sz w:val="22"/>
      <w:szCs w:val="24"/>
      <w:lang w:val="en-US"/>
    </w:rPr>
  </w:style>
  <w:style w:type="character" w:customStyle="1" w:styleId="cf01">
    <w:name w:val="cf01"/>
    <w:basedOn w:val="DefaultParagraphFont"/>
    <w:rsid w:val="005B4204"/>
    <w:rPr>
      <w:rFonts w:ascii="Segoe UI" w:hAnsi="Segoe UI" w:cs="Segoe UI" w:hint="default"/>
      <w:sz w:val="18"/>
      <w:szCs w:val="18"/>
    </w:rPr>
  </w:style>
  <w:style w:type="paragraph" w:customStyle="1" w:styleId="RSCB01ARTAbstract">
    <w:name w:val="RSC B01 ART Abstract"/>
    <w:basedOn w:val="Normal"/>
    <w:link w:val="RSCB01ARTAbstractChar"/>
    <w:qFormat/>
    <w:rsid w:val="005B4204"/>
    <w:pPr>
      <w:spacing w:after="200" w:line="240" w:lineRule="exact"/>
      <w:jc w:val="both"/>
    </w:pPr>
    <w:rPr>
      <w:rFonts w:eastAsiaTheme="minorHAnsi" w:cstheme="minorBidi"/>
      <w:noProof/>
      <w:sz w:val="16"/>
      <w:szCs w:val="22"/>
      <w:lang w:eastAsia="en-GB"/>
    </w:rPr>
  </w:style>
  <w:style w:type="character" w:customStyle="1" w:styleId="RSCB01ARTAbstractChar">
    <w:name w:val="RSC B01 ART Abstract Char"/>
    <w:basedOn w:val="DefaultParagraphFont"/>
    <w:link w:val="RSCB01ARTAbstract"/>
    <w:rsid w:val="005B4204"/>
    <w:rPr>
      <w:rFonts w:ascii="Times New Roman" w:hAnsi="Times New Roman"/>
      <w:noProof/>
      <w:kern w:val="0"/>
      <w:sz w:val="16"/>
      <w:lang w:eastAsia="en-GB"/>
    </w:rPr>
  </w:style>
  <w:style w:type="table" w:styleId="TableGrid">
    <w:name w:val="Table Grid"/>
    <w:basedOn w:val="TableNormal"/>
    <w:uiPriority w:val="39"/>
    <w:rsid w:val="005B420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B4204"/>
    <w:rPr>
      <w:color w:val="666666"/>
    </w:rPr>
  </w:style>
  <w:style w:type="character" w:styleId="UnresolvedMention">
    <w:name w:val="Unresolved Mention"/>
    <w:basedOn w:val="DefaultParagraphFont"/>
    <w:uiPriority w:val="99"/>
    <w:semiHidden/>
    <w:unhideWhenUsed/>
    <w:rsid w:val="005B4204"/>
    <w:rPr>
      <w:color w:val="605E5C"/>
      <w:shd w:val="clear" w:color="auto" w:fill="E1DFDD"/>
    </w:rPr>
  </w:style>
  <w:style w:type="paragraph" w:styleId="Revision">
    <w:name w:val="Revision"/>
    <w:hidden/>
    <w:uiPriority w:val="99"/>
    <w:semiHidden/>
    <w:rsid w:val="005B4204"/>
    <w:pPr>
      <w:spacing w:after="0" w:line="240" w:lineRule="auto"/>
    </w:pPr>
    <w:rPr>
      <w:rFonts w:ascii="Times New Roman" w:eastAsia="Times New Roman" w:hAnsi="Times New Roman" w:cs="Times New Roman"/>
      <w:kern w:val="0"/>
      <w:sz w:val="20"/>
      <w:szCs w:val="20"/>
    </w:rPr>
  </w:style>
  <w:style w:type="paragraph" w:customStyle="1" w:styleId="CitaviBibliographyEntry">
    <w:name w:val="Citavi Bibliography Entry"/>
    <w:basedOn w:val="Normal"/>
    <w:link w:val="CitaviBibliographyEntryChar"/>
    <w:uiPriority w:val="99"/>
    <w:rsid w:val="005B4204"/>
    <w:pPr>
      <w:tabs>
        <w:tab w:val="left" w:pos="567"/>
      </w:tabs>
      <w:spacing w:line="259" w:lineRule="auto"/>
      <w:ind w:left="567" w:hanging="567"/>
    </w:pPr>
    <w:rPr>
      <w:lang w:val="en-US"/>
    </w:rPr>
  </w:style>
  <w:style w:type="character" w:customStyle="1" w:styleId="CitaviBibliographyEntryChar">
    <w:name w:val="Citavi Bibliography Entry Char"/>
    <w:basedOn w:val="DefaultParagraphFont"/>
    <w:link w:val="CitaviBibliographyEntry"/>
    <w:uiPriority w:val="99"/>
    <w:rsid w:val="005B4204"/>
    <w:rPr>
      <w:rFonts w:ascii="Times New Roman" w:eastAsia="Times New Roman" w:hAnsi="Times New Roman" w:cs="Times New Roman"/>
      <w:kern w:val="0"/>
      <w:sz w:val="20"/>
      <w:szCs w:val="20"/>
      <w:lang w:val="en-US"/>
    </w:rPr>
  </w:style>
  <w:style w:type="table" w:styleId="ListTable6Colorful">
    <w:name w:val="List Table 6 Colorful"/>
    <w:basedOn w:val="TableNormal"/>
    <w:uiPriority w:val="51"/>
    <w:rsid w:val="005B4204"/>
    <w:pPr>
      <w:spacing w:after="0" w:line="240" w:lineRule="auto"/>
    </w:pPr>
    <w:rPr>
      <w:rFonts w:ascii="Times New Roman" w:eastAsia="Times New Roman" w:hAnsi="Times New Roman" w:cs="Times New Roman"/>
      <w:color w:val="000000" w:themeColor="text1"/>
      <w:kern w:val="0"/>
      <w:sz w:val="20"/>
      <w:szCs w:val="20"/>
      <w:lang w:eastAsia="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yperlink" Target="https://doi.org/10.1016/j.coche.2018.11.007" TargetMode="External"/><Relationship Id="rId5" Type="http://schemas.openxmlformats.org/officeDocument/2006/relationships/image" Target="media/image1.png"/><Relationship Id="rId10" Type="http://schemas.openxmlformats.org/officeDocument/2006/relationships/hyperlink" Target="https://doi.org/10.1016/j.ces.2007.11.034"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2608</Words>
  <Characters>14871</Characters>
  <Application>Microsoft Office Word</Application>
  <DocSecurity>0</DocSecurity>
  <Lines>123</Lines>
  <Paragraphs>34</Paragraphs>
  <ScaleCrop>false</ScaleCrop>
  <Company/>
  <LinksUpToDate>false</LinksUpToDate>
  <CharactersWithSpaces>17445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Agunloye, Emmanuel</dc:creator>
  <cp:keywords/>
  <dc:description/>
  <cp:lastModifiedBy>Agunloye, Emmanuel</cp:lastModifiedBy>
  <cp:revision>2</cp:revision>
  <dcterms:created xsi:type="dcterms:W3CDTF">2024-01-09T13:18:00Z</dcterms:created>
  <dcterms:modified xsi:type="dcterms:W3CDTF">2024-01-09T13:18:00Z</dcterms:modified>
</cp:coreProperties>
</file>