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7976143" w:rsidR="00DD3D9E" w:rsidRPr="00B4388F" w:rsidRDefault="00C42F48" w:rsidP="00C42F48">
      <w:pPr>
        <w:pStyle w:val="Els-Title"/>
        <w:jc w:val="both"/>
        <w:rPr>
          <w:color w:val="000000" w:themeColor="text1"/>
        </w:rPr>
      </w:pPr>
      <w:r w:rsidRPr="00C42F48">
        <w:rPr>
          <w:color w:val="000000" w:themeColor="text1"/>
        </w:rPr>
        <w:t>Towards Self</w:t>
      </w:r>
      <w:r w:rsidR="00B230E0">
        <w:rPr>
          <w:color w:val="000000" w:themeColor="text1"/>
        </w:rPr>
        <w:t>-C</w:t>
      </w:r>
      <w:r w:rsidRPr="00C42F48">
        <w:rPr>
          <w:color w:val="000000" w:themeColor="text1"/>
        </w:rPr>
        <w:t xml:space="preserve">onsistent Graph Neural Networks for </w:t>
      </w:r>
      <w:r w:rsidR="00410072">
        <w:rPr>
          <w:color w:val="000000" w:themeColor="text1"/>
        </w:rPr>
        <w:t>Predicting</w:t>
      </w:r>
      <w:r w:rsidRPr="00C42F48">
        <w:rPr>
          <w:color w:val="000000" w:themeColor="text1"/>
        </w:rPr>
        <w:t xml:space="preserve"> the Ideal Gas Heat Capacity, Enthalpy, </w:t>
      </w:r>
      <w:r w:rsidR="00410072">
        <w:rPr>
          <w:color w:val="000000" w:themeColor="text1"/>
        </w:rPr>
        <w:t>a</w:t>
      </w:r>
      <w:r w:rsidRPr="00C42F48">
        <w:rPr>
          <w:color w:val="000000" w:themeColor="text1"/>
        </w:rPr>
        <w:t>nd Entropy</w:t>
      </w:r>
    </w:p>
    <w:p w14:paraId="144DE680" w14:textId="3A90D6E5" w:rsidR="00DD3D9E" w:rsidRPr="008704C1" w:rsidRDefault="00114248">
      <w:pPr>
        <w:pStyle w:val="Els-Author"/>
        <w:rPr>
          <w:lang w:val="en-US"/>
        </w:rPr>
      </w:pPr>
      <w:r w:rsidRPr="008704C1">
        <w:rPr>
          <w:lang w:val="en-US"/>
        </w:rPr>
        <w:t>Adem R. N. Aouichaoui</w:t>
      </w:r>
      <w:r w:rsidR="00521696" w:rsidRPr="008704C1">
        <w:rPr>
          <w:lang w:val="en-US"/>
        </w:rPr>
        <w:t>,</w:t>
      </w:r>
      <w:r w:rsidR="008458AB" w:rsidRPr="008704C1">
        <w:rPr>
          <w:vertAlign w:val="superscript"/>
          <w:lang w:val="en-US"/>
        </w:rPr>
        <w:t>a</w:t>
      </w:r>
      <w:r w:rsidR="00521696" w:rsidRPr="008704C1">
        <w:rPr>
          <w:lang w:val="en-US"/>
        </w:rPr>
        <w:t xml:space="preserve"> Simon Müller,</w:t>
      </w:r>
      <w:r w:rsidR="008458AB" w:rsidRPr="008704C1">
        <w:rPr>
          <w:vertAlign w:val="superscript"/>
          <w:lang w:val="en-US"/>
        </w:rPr>
        <w:t>b</w:t>
      </w:r>
      <w:r w:rsidR="00521696" w:rsidRPr="008704C1">
        <w:rPr>
          <w:lang w:val="en-US"/>
        </w:rPr>
        <w:t xml:space="preserve"> Jens Abildskov</w:t>
      </w:r>
      <w:r w:rsidR="008458AB" w:rsidRPr="008704C1">
        <w:rPr>
          <w:vertAlign w:val="superscript"/>
          <w:lang w:val="en-US"/>
        </w:rPr>
        <w:t>a*</w:t>
      </w:r>
    </w:p>
    <w:p w14:paraId="144DE681" w14:textId="45269066" w:rsidR="00DD3D9E" w:rsidRDefault="00B11818">
      <w:pPr>
        <w:pStyle w:val="Els-Affiliation"/>
      </w:pPr>
      <w:r w:rsidRPr="0062618E">
        <w:rPr>
          <w:vertAlign w:val="superscript"/>
        </w:rPr>
        <w:t>a</w:t>
      </w:r>
      <w:r>
        <w:t xml:space="preserve"> </w:t>
      </w:r>
      <w:r w:rsidRPr="00B11818">
        <w:t>Dept. of Chemical and Biochemical Engineering, Technical University of Denmark, Søltofts Plads 228A, 2800 Kgs. Lyngby, Denmark</w:t>
      </w:r>
    </w:p>
    <w:p w14:paraId="144DE682" w14:textId="5AB07F5C" w:rsidR="00DD3D9E" w:rsidRDefault="00D77917">
      <w:pPr>
        <w:pStyle w:val="Els-Affiliation"/>
      </w:pPr>
      <w:r w:rsidRPr="0062618E">
        <w:rPr>
          <w:vertAlign w:val="superscript"/>
        </w:rPr>
        <w:t>b</w:t>
      </w:r>
      <w:r w:rsidRPr="00D77917">
        <w:t xml:space="preserve"> Institute of Thermal Separation Processes, Hamburg University of Technology, Hamburg, Germany</w:t>
      </w:r>
    </w:p>
    <w:p w14:paraId="37415B5A" w14:textId="77777777" w:rsidR="00EC251A" w:rsidRDefault="00EC251A">
      <w:pPr>
        <w:pStyle w:val="Els-Affiliation"/>
      </w:pPr>
    </w:p>
    <w:p w14:paraId="144DE683" w14:textId="3833990E" w:rsidR="008D2649" w:rsidRPr="00A94774" w:rsidRDefault="00EE3584" w:rsidP="008D2649">
      <w:pPr>
        <w:pStyle w:val="Els-Affiliation"/>
        <w:spacing w:after="120"/>
      </w:pPr>
      <w:r>
        <w:t>ja</w:t>
      </w:r>
      <w:r w:rsidR="004A3620">
        <w:t>@kt.dtu.dk</w:t>
      </w:r>
    </w:p>
    <w:p w14:paraId="144DE684" w14:textId="77777777" w:rsidR="008D2649" w:rsidRDefault="008D2649" w:rsidP="008D2649">
      <w:pPr>
        <w:pStyle w:val="Els-Abstract"/>
      </w:pPr>
      <w:r>
        <w:t>Abstract</w:t>
      </w:r>
    </w:p>
    <w:p w14:paraId="144DE686" w14:textId="6BFCA4DF" w:rsidR="008D2649" w:rsidRDefault="006135C9" w:rsidP="006135C9">
      <w:pPr>
        <w:pStyle w:val="Els-body-text"/>
        <w:spacing w:after="120"/>
        <w:rPr>
          <w:lang w:val="en-GB"/>
        </w:rPr>
      </w:pPr>
      <w:r>
        <w:rPr>
          <w:lang w:val="en-GB"/>
        </w:rPr>
        <w:t xml:space="preserve">Ideal gas heat capacity correlations are </w:t>
      </w:r>
      <w:r w:rsidR="005069C6">
        <w:rPr>
          <w:lang w:val="en-GB"/>
        </w:rPr>
        <w:t xml:space="preserve">indispensable </w:t>
      </w:r>
      <w:r>
        <w:rPr>
          <w:lang w:val="en-GB"/>
        </w:rPr>
        <w:t>for modelling energy systems and evaluating process efficiency. While most correlations are empirical in nature, few are theoretically motivated, where the model parameters reflect physical quantities relating to the molecule. These however are rarely modelled through quantitative structure-property relationships</w:t>
      </w:r>
      <w:r w:rsidR="00BC2059">
        <w:rPr>
          <w:lang w:val="en-GB"/>
        </w:rPr>
        <w:t>, which hinders extending their applicability to new compounds</w:t>
      </w:r>
      <w:r>
        <w:rPr>
          <w:lang w:val="en-GB"/>
        </w:rPr>
        <w:t>.</w:t>
      </w:r>
      <w:r w:rsidR="00563843">
        <w:rPr>
          <w:lang w:val="en-GB"/>
        </w:rPr>
        <w:t xml:space="preserve"> </w:t>
      </w:r>
      <w:r w:rsidR="00F71459">
        <w:rPr>
          <w:lang w:val="en-GB"/>
        </w:rPr>
        <w:t>This</w:t>
      </w:r>
      <w:r w:rsidR="00563843">
        <w:rPr>
          <w:lang w:val="en-GB"/>
        </w:rPr>
        <w:t xml:space="preserve"> work </w:t>
      </w:r>
      <w:r w:rsidR="009239B2">
        <w:rPr>
          <w:lang w:val="en-GB"/>
        </w:rPr>
        <w:t xml:space="preserve">provides a realisation of a hybrid model that combines data-driven modelling in the </w:t>
      </w:r>
      <w:r w:rsidR="00F71459">
        <w:rPr>
          <w:lang w:val="en-GB"/>
        </w:rPr>
        <w:t>form</w:t>
      </w:r>
      <w:r w:rsidR="009239B2">
        <w:rPr>
          <w:lang w:val="en-GB"/>
        </w:rPr>
        <w:t xml:space="preserve"> of a graph neural network</w:t>
      </w:r>
      <w:r w:rsidR="00DA2856">
        <w:rPr>
          <w:lang w:val="en-GB"/>
        </w:rPr>
        <w:t xml:space="preserve"> that outputs a set of parameters used for the ideal gas heat capacity</w:t>
      </w:r>
      <w:r>
        <w:rPr>
          <w:lang w:val="en-GB"/>
        </w:rPr>
        <w:t xml:space="preserve"> correlation</w:t>
      </w:r>
      <w:r w:rsidR="00DA2856">
        <w:rPr>
          <w:lang w:val="en-GB"/>
        </w:rPr>
        <w:t>.</w:t>
      </w:r>
      <w:r w:rsidR="00F71459">
        <w:rPr>
          <w:lang w:val="en-GB"/>
        </w:rPr>
        <w:t xml:space="preserve"> The study covered over 2</w:t>
      </w:r>
      <w:r w:rsidR="00C12BA0">
        <w:rPr>
          <w:lang w:val="en-GB"/>
        </w:rPr>
        <w:t>2,000 data points across 1</w:t>
      </w:r>
      <w:r w:rsidR="00410072">
        <w:rPr>
          <w:lang w:val="en-GB"/>
        </w:rPr>
        <w:t>,</w:t>
      </w:r>
      <w:r w:rsidR="00C12BA0">
        <w:rPr>
          <w:lang w:val="en-GB"/>
        </w:rPr>
        <w:t>909 organic compounds</w:t>
      </w:r>
      <w:r w:rsidR="00BC2059">
        <w:rPr>
          <w:lang w:val="en-GB"/>
        </w:rPr>
        <w:t xml:space="preserve"> </w:t>
      </w:r>
      <w:r w:rsidR="00C12BA0">
        <w:rPr>
          <w:lang w:val="en-GB"/>
        </w:rPr>
        <w:t>resulting in</w:t>
      </w:r>
      <w:r w:rsidR="00C12BA0" w:rsidRPr="00C12BA0">
        <w:t xml:space="preserve"> </w:t>
      </w:r>
      <w:r w:rsidR="001A4BA6">
        <w:t>a</w:t>
      </w:r>
      <w:r w:rsidR="00410072">
        <w:t xml:space="preserve"> mean </w:t>
      </w:r>
      <w:r w:rsidR="00410072" w:rsidRPr="00D75E63">
        <w:t>absolute error</w:t>
      </w:r>
      <w:r w:rsidR="00C12BA0" w:rsidRPr="00D75E63">
        <w:rPr>
          <w:lang w:val="en-GB"/>
        </w:rPr>
        <w:t xml:space="preserve"> of </w:t>
      </w:r>
      <w:r w:rsidR="00D75E63" w:rsidRPr="00D75E63">
        <w:rPr>
          <w:lang w:val="en-GB"/>
        </w:rPr>
        <w:t>31.97</w:t>
      </w:r>
      <w:r w:rsidR="00C12BA0" w:rsidRPr="00D75E63">
        <w:rPr>
          <w:lang w:val="en-GB"/>
        </w:rPr>
        <w:t xml:space="preserve"> </w:t>
      </w:r>
      <w:r w:rsidR="00D75E63" w:rsidRPr="00D75E63">
        <w:rPr>
          <w:lang w:val="en-GB"/>
        </w:rPr>
        <w:t>J</w:t>
      </w:r>
      <w:r w:rsidR="00C12BA0" w:rsidRPr="00D75E63">
        <w:rPr>
          <w:lang w:val="en-GB"/>
        </w:rPr>
        <w:t>/mol-K</w:t>
      </w:r>
      <w:r w:rsidR="00BC2059" w:rsidRPr="00D75E63">
        <w:rPr>
          <w:lang w:val="en-GB"/>
        </w:rPr>
        <w:t>,</w:t>
      </w:r>
      <w:r w:rsidR="00C12BA0" w:rsidRPr="00D75E63">
        <w:rPr>
          <w:lang w:val="en-GB"/>
        </w:rPr>
        <w:t xml:space="preserve"> </w:t>
      </w:r>
      <w:r w:rsidR="002068BF" w:rsidRPr="00D75E63">
        <w:rPr>
          <w:lang w:val="en-GB"/>
        </w:rPr>
        <w:t>a mean</w:t>
      </w:r>
      <w:r w:rsidR="00410072" w:rsidRPr="00D75E63">
        <w:rPr>
          <w:lang w:val="en-GB"/>
        </w:rPr>
        <w:t xml:space="preserve"> relative error of </w:t>
      </w:r>
      <w:r w:rsidR="00C12BA0" w:rsidRPr="00D75E63">
        <w:rPr>
          <w:lang w:val="en-GB"/>
        </w:rPr>
        <w:t>11.63%</w:t>
      </w:r>
      <w:r w:rsidR="00BC2059" w:rsidRPr="00D75E63">
        <w:rPr>
          <w:lang w:val="en-GB"/>
        </w:rPr>
        <w:t xml:space="preserve"> and a</w:t>
      </w:r>
      <w:r w:rsidR="00410072" w:rsidRPr="00D75E63">
        <w:rPr>
          <w:lang w:val="en-GB"/>
        </w:rPr>
        <w:t xml:space="preserve"> correlation coefficient </w:t>
      </w:r>
      <w:r w:rsidR="00BC2059" w:rsidRPr="00D75E63">
        <w:rPr>
          <w:lang w:val="en-GB"/>
        </w:rPr>
        <w:t>of 0.97</w:t>
      </w:r>
      <w:r w:rsidR="00C12BA0" w:rsidRPr="00D75E63">
        <w:rPr>
          <w:lang w:val="en-GB"/>
        </w:rPr>
        <w:t>.</w:t>
      </w:r>
      <w:r w:rsidR="00BC2059">
        <w:rPr>
          <w:lang w:val="en-GB"/>
        </w:rPr>
        <w:t xml:space="preserve"> </w:t>
      </w:r>
    </w:p>
    <w:p w14:paraId="144DE687" w14:textId="0BF52F2B" w:rsidR="008D2649" w:rsidRDefault="008D2649" w:rsidP="008D2649">
      <w:pPr>
        <w:pStyle w:val="Els-body-text"/>
        <w:spacing w:after="120"/>
        <w:rPr>
          <w:lang w:val="en-GB"/>
        </w:rPr>
      </w:pPr>
      <w:r>
        <w:rPr>
          <w:b/>
          <w:bCs/>
          <w:lang w:val="en-GB"/>
        </w:rPr>
        <w:t>Keywords</w:t>
      </w:r>
      <w:r>
        <w:rPr>
          <w:lang w:val="en-GB"/>
        </w:rPr>
        <w:t xml:space="preserve">: </w:t>
      </w:r>
      <w:r w:rsidR="00CA74A4">
        <w:rPr>
          <w:lang w:val="en-GB"/>
        </w:rPr>
        <w:t xml:space="preserve">Graph neural networks, Hybrid modelling, </w:t>
      </w:r>
      <w:r w:rsidR="00613730">
        <w:rPr>
          <w:lang w:val="en-GB"/>
        </w:rPr>
        <w:t>Property prediction</w:t>
      </w:r>
      <w:r w:rsidR="00FB405E">
        <w:rPr>
          <w:lang w:val="en-GB"/>
        </w:rPr>
        <w:t xml:space="preserve">, </w:t>
      </w:r>
      <w:r w:rsidR="0042661A">
        <w:rPr>
          <w:lang w:val="en-GB"/>
        </w:rPr>
        <w:t>QSPR</w:t>
      </w:r>
    </w:p>
    <w:p w14:paraId="144DE689" w14:textId="5EA7EF1A" w:rsidR="008D2649" w:rsidRDefault="00302B08" w:rsidP="008D2649">
      <w:pPr>
        <w:pStyle w:val="Els-1storder-head"/>
      </w:pPr>
      <w:r>
        <w:t>Introduction</w:t>
      </w:r>
    </w:p>
    <w:p w14:paraId="489A3FFC" w14:textId="4A1E0E1D" w:rsidR="00283275" w:rsidRDefault="00504DDD" w:rsidP="00904B10">
      <w:pPr>
        <w:pStyle w:val="Els-body-text"/>
      </w:pPr>
      <w:r w:rsidRPr="00504DDD">
        <w:rPr>
          <w:i/>
          <w:iCs/>
        </w:rPr>
        <w:t>In-silico</w:t>
      </w:r>
      <w:r w:rsidR="00BC458C">
        <w:t xml:space="preserve"> evaluat</w:t>
      </w:r>
      <w:r>
        <w:t>ion of</w:t>
      </w:r>
      <w:r w:rsidR="00BC458C">
        <w:t xml:space="preserve"> the </w:t>
      </w:r>
      <w:r w:rsidR="00DE4188">
        <w:t>thermophysical</w:t>
      </w:r>
      <w:r w:rsidR="00BC458C">
        <w:t xml:space="preserve"> properties of molecules is an </w:t>
      </w:r>
      <w:r w:rsidR="0001203A">
        <w:t xml:space="preserve">important prerequisite to </w:t>
      </w:r>
      <w:r w:rsidR="004D187D">
        <w:t>performing</w:t>
      </w:r>
      <w:r w:rsidR="0001203A">
        <w:t xml:space="preserve"> </w:t>
      </w:r>
      <w:r w:rsidR="004D187D">
        <w:t>large-scale</w:t>
      </w:r>
      <w:r w:rsidR="0001203A">
        <w:t xml:space="preserve"> screening of</w:t>
      </w:r>
      <w:r w:rsidR="004D187D">
        <w:t xml:space="preserve"> the chemical design space to identify suitable candidates </w:t>
      </w:r>
      <w:r w:rsidR="00DE4188">
        <w:t xml:space="preserve">for various applications. </w:t>
      </w:r>
      <w:r w:rsidR="006E0C87">
        <w:t>Flammability properties such as</w:t>
      </w:r>
      <w:r w:rsidR="00DE2299">
        <w:t xml:space="preserve"> flash point and autoignition temperatures allow the identification of </w:t>
      </w:r>
      <w:r w:rsidR="00F66204">
        <w:t>a chemical's safe processing and storage conditions</w:t>
      </w:r>
      <w:r w:rsidR="00DE2299">
        <w:t>.</w:t>
      </w:r>
      <w:r w:rsidR="00931AA7">
        <w:t xml:space="preserve"> </w:t>
      </w:r>
      <w:r w:rsidR="003D2247">
        <w:t>Critical</w:t>
      </w:r>
      <w:r w:rsidR="00931AA7">
        <w:t xml:space="preserve"> point properties can be used in </w:t>
      </w:r>
      <w:r w:rsidR="00A77B25">
        <w:t xml:space="preserve">the </w:t>
      </w:r>
      <w:r w:rsidR="00931AA7">
        <w:t>cubic equation of states to</w:t>
      </w:r>
      <w:r w:rsidR="00A77B25">
        <w:t xml:space="preserve"> perform P-V-T calculation and identify the process condition of chemicals.</w:t>
      </w:r>
      <w:r w:rsidR="00A17903">
        <w:t xml:space="preserve"> </w:t>
      </w:r>
      <w:r w:rsidR="00BC2059">
        <w:t>Q</w:t>
      </w:r>
      <w:r w:rsidR="00A17903">
        <w:t>uan</w:t>
      </w:r>
      <w:r w:rsidR="00B2379B">
        <w:t>titative structure-property relations (QSPRs) are mathematical models that relate the structural information of a given compound to the target property of interest</w:t>
      </w:r>
      <w:r w:rsidR="008D36FE">
        <w:t>.</w:t>
      </w:r>
      <w:r w:rsidR="003D2247">
        <w:t xml:space="preserve"> However, some properties </w:t>
      </w:r>
      <w:r w:rsidR="005A50AB">
        <w:t>are not only</w:t>
      </w:r>
      <w:r w:rsidR="00D056D5">
        <w:t xml:space="preserve"> influenced by the </w:t>
      </w:r>
      <w:r w:rsidR="00D1638F">
        <w:t>structure</w:t>
      </w:r>
      <w:r w:rsidR="00D056D5">
        <w:t xml:space="preserve"> of </w:t>
      </w:r>
      <w:r w:rsidR="008D36FE">
        <w:t>a</w:t>
      </w:r>
      <w:r w:rsidR="00D056D5">
        <w:t xml:space="preserve"> </w:t>
      </w:r>
      <w:r w:rsidR="002B0368">
        <w:t>molecule</w:t>
      </w:r>
      <w:r w:rsidR="00D056D5">
        <w:t xml:space="preserve"> but also </w:t>
      </w:r>
      <w:r w:rsidR="008D36FE">
        <w:t>by</w:t>
      </w:r>
      <w:r w:rsidR="00D056D5">
        <w:t xml:space="preserve"> some intensiv</w:t>
      </w:r>
      <w:r w:rsidR="00D1638F">
        <w:t xml:space="preserve">e </w:t>
      </w:r>
      <w:r w:rsidR="002B0368">
        <w:t>variables</w:t>
      </w:r>
      <w:r w:rsidR="00C7497B">
        <w:t xml:space="preserve"> such as temperature, </w:t>
      </w:r>
      <w:r w:rsidR="001165F1">
        <w:t>pressure,</w:t>
      </w:r>
      <w:r w:rsidR="00C7497B">
        <w:t xml:space="preserve"> and composition.</w:t>
      </w:r>
      <w:r w:rsidR="00CB336C">
        <w:t xml:space="preserve"> </w:t>
      </w:r>
      <w:r w:rsidR="008D36FE">
        <w:t>S</w:t>
      </w:r>
      <w:r w:rsidR="006135C9">
        <w:t>uch properties include</w:t>
      </w:r>
      <w:r w:rsidR="00CB336C">
        <w:t xml:space="preserve"> density, </w:t>
      </w:r>
      <w:r w:rsidR="0003193E">
        <w:t>vapour</w:t>
      </w:r>
      <w:r w:rsidR="001165F1">
        <w:t xml:space="preserve"> pressure</w:t>
      </w:r>
      <w:r w:rsidR="0003193E">
        <w:t xml:space="preserve">, thermal </w:t>
      </w:r>
      <w:r w:rsidR="004915F4">
        <w:t>conductivit</w:t>
      </w:r>
      <w:r w:rsidR="00BC2059">
        <w:t>y</w:t>
      </w:r>
      <w:r w:rsidR="004915F4">
        <w:t>,</w:t>
      </w:r>
      <w:r w:rsidR="0003193E">
        <w:t xml:space="preserve"> and heat capacities</w:t>
      </w:r>
      <w:r w:rsidR="00BD0AA4">
        <w:t xml:space="preserve"> (ideal gas and liquid)</w:t>
      </w:r>
      <w:r w:rsidR="0003193E">
        <w:t>.</w:t>
      </w:r>
      <w:r w:rsidR="009F608A">
        <w:t xml:space="preserve"> </w:t>
      </w:r>
      <w:r w:rsidR="00477460">
        <w:t>The</w:t>
      </w:r>
      <w:r w:rsidR="00D35B5D">
        <w:t xml:space="preserve"> latter plays an important role in modelling</w:t>
      </w:r>
      <w:r w:rsidR="00CC259E">
        <w:t xml:space="preserve"> energy systems and enables performing energy balances, </w:t>
      </w:r>
      <w:r w:rsidR="00BC2059">
        <w:t>used</w:t>
      </w:r>
      <w:r w:rsidR="007B2540">
        <w:t xml:space="preserve"> in process simulatio</w:t>
      </w:r>
      <w:r w:rsidR="004915F4">
        <w:t>n</w:t>
      </w:r>
      <w:r w:rsidR="00CC259E">
        <w:t xml:space="preserve"> and technology evaluation</w:t>
      </w:r>
      <w:r w:rsidR="00BC2059">
        <w:t>.</w:t>
      </w:r>
    </w:p>
    <w:p w14:paraId="7A4B46CC" w14:textId="0F9D16B5" w:rsidR="00103793" w:rsidRDefault="004915F4" w:rsidP="00904B10">
      <w:pPr>
        <w:pStyle w:val="Els-1storder-head"/>
      </w:pPr>
      <w:r>
        <w:t xml:space="preserve"> </w:t>
      </w:r>
      <w:r w:rsidR="007532D4">
        <w:t>Heat Capacity Correlation</w:t>
      </w:r>
    </w:p>
    <w:p w14:paraId="688F545A" w14:textId="79279A8F" w:rsidR="0085135F" w:rsidRDefault="0091420B" w:rsidP="00677D18">
      <w:pPr>
        <w:pStyle w:val="Els-body-text"/>
      </w:pPr>
      <w:r>
        <w:t>The heat capacity of ideal gases</w:t>
      </w:r>
      <w:r w:rsidR="0066463F">
        <w:t xml:space="preserve"> (</w:t>
      </w:r>
      <m:oMath>
        <m:r>
          <w:rPr>
            <w:rFonts w:ascii="Cambria Math" w:hAnsi="Cambria Math"/>
          </w:rPr>
          <m:t>C</m:t>
        </m:r>
        <m:sSup>
          <m:sSupPr>
            <m:ctrlPr>
              <w:rPr>
                <w:rFonts w:ascii="Cambria Math" w:hAnsi="Cambria Math"/>
                <w:i/>
              </w:rPr>
            </m:ctrlPr>
          </m:sSupPr>
          <m:e>
            <m:r>
              <w:rPr>
                <w:rFonts w:ascii="Cambria Math" w:hAnsi="Cambria Math"/>
              </w:rPr>
              <m:t>p</m:t>
            </m:r>
          </m:e>
          <m:sup>
            <m:r>
              <w:rPr>
                <w:rFonts w:ascii="Cambria Math" w:hAnsi="Cambria Math"/>
              </w:rPr>
              <m:t>*</m:t>
            </m:r>
          </m:sup>
        </m:sSup>
      </m:oMath>
      <w:r w:rsidR="0066463F">
        <w:t>)</w:t>
      </w:r>
      <w:r>
        <w:t xml:space="preserve"> is defined as the</w:t>
      </w:r>
      <w:r w:rsidR="00892FA5">
        <w:t xml:space="preserve"> amount of</w:t>
      </w:r>
      <w:r>
        <w:t xml:space="preserve"> energy required </w:t>
      </w:r>
      <w:r w:rsidR="00892FA5">
        <w:t>to change</w:t>
      </w:r>
      <w:r w:rsidR="00323FBE">
        <w:t xml:space="preserve"> the temperature of one mo</w:t>
      </w:r>
      <w:r w:rsidR="00EF23E1">
        <w:t>l</w:t>
      </w:r>
      <w:r w:rsidR="00323FBE">
        <w:t>e of</w:t>
      </w:r>
      <w:r w:rsidR="00ED4920">
        <w:t xml:space="preserve"> v</w:t>
      </w:r>
      <w:r w:rsidR="00EF23E1">
        <w:t>apour</w:t>
      </w:r>
      <w:r w:rsidR="00323FBE">
        <w:t xml:space="preserve"> by one degree assuming no intermolecular interactions.</w:t>
      </w:r>
      <w:r>
        <w:t xml:space="preserve"> </w:t>
      </w:r>
      <w:r w:rsidR="009F77DA">
        <w:t xml:space="preserve">Most correlations developed </w:t>
      </w:r>
      <w:r w:rsidR="0066463F">
        <w:t>are</w:t>
      </w:r>
      <w:r w:rsidR="009F77DA">
        <w:t xml:space="preserve"> polynomial or exponential correlations as a </w:t>
      </w:r>
      <w:r w:rsidR="009F77DA">
        <w:lastRenderedPageBreak/>
        <w:t>function of the temperature</w:t>
      </w:r>
      <w:r w:rsidR="00923B3F">
        <w:t xml:space="preserve">, </w:t>
      </w:r>
      <w:r w:rsidR="00FA60D6">
        <w:t xml:space="preserve">with a  </w:t>
      </w:r>
      <w:r w:rsidR="00923B3F">
        <w:t xml:space="preserve">set of </w:t>
      </w:r>
      <w:r w:rsidR="00440BC3">
        <w:t>compound-specific</w:t>
      </w:r>
      <w:r w:rsidR="00923B3F">
        <w:t xml:space="preserve"> </w:t>
      </w:r>
      <w:r w:rsidR="00FA60D6">
        <w:t>constants determined through regression.</w:t>
      </w:r>
      <w:r w:rsidR="001C5ADD">
        <w:t xml:space="preserve"> </w:t>
      </w:r>
      <w:r w:rsidR="00691239">
        <w:t xml:space="preserve">In this work, we focus on the model developed by </w:t>
      </w:r>
      <w:r w:rsidR="00691239">
        <w:fldChar w:fldCharType="begin"/>
      </w:r>
      <w:r w:rsidR="00235033">
        <w:instrText xml:space="preserve"> ADDIN ZOTERO_ITEM CSL_CITATION {"citationID":"Muh6jeuk","properties":{"formattedCitation":"(Aly and Lee, 1981)","plainCitation":"(Aly and Lee, 1981)","dontUpdate":true,"noteIndex":0},"citationItems":[{"id":107,"uris":["http://zotero.org/users/12178610/items/BEP8XS4E"],"itemData":{"id":107,"type":"article-journal","abstract":"Aly, F.A. and Lee, L.L., 1981. Self-consistent equations for calculating the ideal gas heat capacity, enthalpy and entropy. Fluid Phase Equilibria, 6: 169—179. Self-consistent equations for calculating the ideal gas heat capacity, enthalpy, and entropy are derived based on statistical mechanical formulae and with simplifications to facilitate engineering calculation. Some sixty compounds have been investigated. Comparison with existing heat capacity correlations, notably those of Passut and Danner and Duran et al., shows that the present equations are more accurate for most cases. The formulae are consistent in that they obey the basic thermodynamic relations among Cp*, H*, and S*. Only five (for Cp*) or six (for H* and S*) constants are used which are common to all properties.","container-title":"Fluid Phase Equilibria","DOI":"10.1016/0378-3812(81)85002-9","ISSN":"0378-3812","issue":"3","journalAbbreviation":"Fluid Phase Equilibria","page":"169-179","source":"ScienceDirect","title":"Self-consistent equations for calculating the ideal gas heat capacity, enthalpy, and entropy","volume":"6","author":[{"family":"Aly","given":"Fouad A."},{"family":"Lee","given":"Lloyd L."}],"issued":{"date-parts":[["1981",1,1]]}}}],"schema":"https://github.com/citation-style-language/schema/raw/master/csl-citation.json"} </w:instrText>
      </w:r>
      <w:r w:rsidR="00691239">
        <w:fldChar w:fldCharType="separate"/>
      </w:r>
      <w:r w:rsidR="00691239" w:rsidRPr="00691239">
        <w:t xml:space="preserve">Aly and Lee </w:t>
      </w:r>
      <w:r w:rsidR="00CC1291">
        <w:t>(</w:t>
      </w:r>
      <w:r w:rsidR="00691239" w:rsidRPr="00691239">
        <w:t>1981)</w:t>
      </w:r>
      <w:r w:rsidR="00691239">
        <w:fldChar w:fldCharType="end"/>
      </w:r>
      <w:r w:rsidR="00F175F8">
        <w:t>, which is derived from statistical mechanical formulae</w:t>
      </w:r>
      <w:r w:rsidR="00DB1561">
        <w:t xml:space="preserve"> along with a series of assumptions and simplifications.</w:t>
      </w:r>
      <w:r w:rsidR="00D824F9">
        <w:t xml:space="preserve"> This implies that the </w:t>
      </w:r>
      <w:r w:rsidR="00BE4504">
        <w:t>parameters used to develop the correlation have physical meaning</w:t>
      </w:r>
      <w:r w:rsidR="00FB417A">
        <w:t>, bringing the model closer to a</w:t>
      </w:r>
      <w:r w:rsidR="00ED4920">
        <w:t xml:space="preserve"> true</w:t>
      </w:r>
      <w:r w:rsidR="00FB417A">
        <w:t xml:space="preserve"> </w:t>
      </w:r>
      <w:r w:rsidR="002E680E">
        <w:t>first-principle</w:t>
      </w:r>
      <w:r w:rsidR="00FB417A">
        <w:t xml:space="preserve"> model</w:t>
      </w:r>
      <w:r w:rsidR="00793D9F">
        <w:t>. Based on a series of assumptions</w:t>
      </w:r>
      <w:r w:rsidR="00BE3A88">
        <w:t xml:space="preserve"> (</w:t>
      </w:r>
      <w:r w:rsidR="00956F45">
        <w:t>“</w:t>
      </w:r>
      <w:r w:rsidR="00BE3A88">
        <w:t xml:space="preserve">Born-Oppenheimer approximation for nuclear and electronic wave functions, </w:t>
      </w:r>
      <w:r w:rsidR="00956F45">
        <w:t xml:space="preserve">the use of </w:t>
      </w:r>
      <w:r w:rsidR="00BE3A88">
        <w:t xml:space="preserve">harmonic </w:t>
      </w:r>
      <w:r w:rsidR="00956F45">
        <w:t>oscillator for vibrational motion and a decoupling of the vibrational and rotational motions with the grid rotator</w:t>
      </w:r>
      <w:r w:rsidR="0085135F">
        <w:t>”), the total molecular energy can be</w:t>
      </w:r>
      <w:r w:rsidR="008F6039">
        <w:t xml:space="preserve"> separated into</w:t>
      </w:r>
      <w:r w:rsidR="00014B36">
        <w:t xml:space="preserve"> translational</w:t>
      </w:r>
      <w:r w:rsidR="00B56F77">
        <w:t>, rotational, and vibrational</w:t>
      </w:r>
      <w:r w:rsidR="00014B36">
        <w:t xml:space="preserve"> energ</w:t>
      </w:r>
      <w:r w:rsidR="00B56F77">
        <w:t>ies.</w:t>
      </w:r>
      <w:r w:rsidR="006B042B">
        <w:t xml:space="preserve"> </w:t>
      </w:r>
      <w:r w:rsidR="00B0456F">
        <w:fldChar w:fldCharType="begin"/>
      </w:r>
      <w:r w:rsidR="00235033">
        <w:instrText xml:space="preserve"> ADDIN ZOTERO_ITEM CSL_CITATION {"citationID":"ibVCMZOS","properties":{"formattedCitation":"(Aly and Lee, 1981)","plainCitation":"(Aly and Lee, 1981)","dontUpdate":true,"noteIndex":0},"citationItems":[{"id":107,"uris":["http://zotero.org/users/12178610/items/BEP8XS4E"],"itemData":{"id":107,"type":"article-journal","abstract":"Aly, F.A. and Lee, L.L., 1981. Self-consistent equations for calculating the ideal gas heat capacity, enthalpy and entropy. Fluid Phase Equilibria, 6: 169—179. Self-consistent equations for calculating the ideal gas heat capacity, enthalpy, and entropy are derived based on statistical mechanical formulae and with simplifications to facilitate engineering calculation. Some sixty compounds have been investigated. Comparison with existing heat capacity correlations, notably those of Passut and Danner and Duran et al., shows that the present equations are more accurate for most cases. The formulae are consistent in that they obey the basic thermodynamic relations among Cp*, H*, and S*. Only five (for Cp*) or six (for H* and S*) constants are used which are common to all properties.","container-title":"Fluid Phase Equilibria","DOI":"10.1016/0378-3812(81)85002-9","ISSN":"0378-3812","issue":"3","journalAbbreviation":"Fluid Phase Equilibria","page":"169-179","source":"ScienceDirect","title":"Self-consistent equations for calculating the ideal gas heat capacity, enthalpy, and entropy","volume":"6","author":[{"family":"Aly","given":"Fouad A."},{"family":"Lee","given":"Lloyd L."}],"issued":{"date-parts":[["1981",1,1]]}}}],"schema":"https://github.com/citation-style-language/schema/raw/master/csl-citation.json"} </w:instrText>
      </w:r>
      <w:r w:rsidR="00B0456F">
        <w:fldChar w:fldCharType="separate"/>
      </w:r>
      <w:r w:rsidR="00B0456F" w:rsidRPr="00B0456F">
        <w:t>Aly and Lee</w:t>
      </w:r>
      <w:r w:rsidR="00B0456F">
        <w:fldChar w:fldCharType="end"/>
      </w:r>
      <w:r w:rsidR="00E235A9">
        <w:t xml:space="preserve"> reduced the contribution to the overall </w:t>
      </w:r>
      <m:oMath>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m:t>
            </m:r>
          </m:sup>
        </m:sSubSup>
      </m:oMath>
      <w:r w:rsidR="00D730A8">
        <w:t xml:space="preserve"> to </w:t>
      </w:r>
      <w:r w:rsidR="00A3460C">
        <w:t>contributions from the</w:t>
      </w:r>
      <w:r w:rsidR="00FD246E">
        <w:t xml:space="preserve"> most dominant</w:t>
      </w:r>
      <w:r w:rsidR="00473EE9">
        <w:t xml:space="preserve"> vibrational </w:t>
      </w:r>
      <w:r w:rsidR="00E940A4">
        <w:t>characteristic</w:t>
      </w:r>
      <w:r w:rsidR="00FD246E">
        <w:t xml:space="preserve"> </w:t>
      </w:r>
      <w:r w:rsidR="00B91125">
        <w:t>t</w:t>
      </w:r>
      <w:r w:rsidR="00FD246E">
        <w:t>emperature (</w:t>
      </w:r>
      <m:oMath>
        <m:sSub>
          <m:sSubPr>
            <m:ctrlPr>
              <w:rPr>
                <w:rFonts w:ascii="Cambria Math" w:hAnsi="Cambria Math"/>
                <w:i/>
              </w:rPr>
            </m:ctrlPr>
          </m:sSubPr>
          <m:e>
            <m:r>
              <w:rPr>
                <w:rFonts w:ascii="Cambria Math" w:hAnsi="Cambria Math"/>
              </w:rPr>
              <m:t>C</m:t>
            </m:r>
          </m:e>
          <m:sub>
            <m:r>
              <w:rPr>
                <w:rFonts w:ascii="Cambria Math" w:hAnsi="Cambria Math"/>
              </w:rPr>
              <m:t>p,v</m:t>
            </m:r>
          </m:sub>
        </m:sSub>
      </m:oMath>
      <w:r w:rsidR="00FD246E">
        <w:t xml:space="preserve">), </w:t>
      </w:r>
      <w:r w:rsidR="00B56F77">
        <w:t xml:space="preserve">an </w:t>
      </w:r>
      <w:r w:rsidR="0044639C">
        <w:t>electronic contri</w:t>
      </w:r>
      <w:r w:rsidR="00B91125">
        <w:t>b</w:t>
      </w:r>
      <w:r w:rsidR="0044639C">
        <w:t>ution (</w:t>
      </w:r>
      <m:oMath>
        <m:sSub>
          <m:sSubPr>
            <m:ctrlPr>
              <w:rPr>
                <w:rFonts w:ascii="Cambria Math" w:hAnsi="Cambria Math"/>
                <w:i/>
              </w:rPr>
            </m:ctrlPr>
          </m:sSubPr>
          <m:e>
            <m:r>
              <w:rPr>
                <w:rFonts w:ascii="Cambria Math" w:hAnsi="Cambria Math"/>
              </w:rPr>
              <m:t>C</m:t>
            </m:r>
          </m:e>
          <m:sub>
            <m:r>
              <w:rPr>
                <w:rFonts w:ascii="Cambria Math" w:hAnsi="Cambria Math"/>
              </w:rPr>
              <m:t>p,e</m:t>
            </m:r>
          </m:sub>
        </m:sSub>
      </m:oMath>
      <w:r w:rsidR="0044639C">
        <w:t>)</w:t>
      </w:r>
      <w:r w:rsidR="00E940A4">
        <w:t xml:space="preserve"> and a contribution from internal bond ro</w:t>
      </w:r>
      <w:r w:rsidR="00B91125">
        <w:t>t</w:t>
      </w:r>
      <w:r w:rsidR="00E9288F">
        <w:t>ation (</w:t>
      </w:r>
      <m:oMath>
        <m:sSub>
          <m:sSubPr>
            <m:ctrlPr>
              <w:rPr>
                <w:rFonts w:ascii="Cambria Math" w:hAnsi="Cambria Math"/>
                <w:i/>
              </w:rPr>
            </m:ctrlPr>
          </m:sSubPr>
          <m:e>
            <m:r>
              <w:rPr>
                <w:rFonts w:ascii="Cambria Math" w:hAnsi="Cambria Math"/>
              </w:rPr>
              <m:t>C</m:t>
            </m:r>
          </m:e>
          <m:sub>
            <m:r>
              <w:rPr>
                <w:rFonts w:ascii="Cambria Math" w:hAnsi="Cambria Math"/>
              </w:rPr>
              <m:t>p,r</m:t>
            </m:r>
          </m:sub>
        </m:sSub>
      </m:oMath>
      <w:r w:rsidR="00B91125">
        <w:t>)</w:t>
      </w:r>
      <w:r w:rsidR="00C14AD3">
        <w:t xml:space="preserve"> as seen in Eq.(1)</w:t>
      </w:r>
      <w:r w:rsidR="00E9288F">
        <w:t xml:space="preserve"> </w:t>
      </w:r>
    </w:p>
    <w:tbl>
      <w:tblPr>
        <w:tblW w:w="7087" w:type="dxa"/>
        <w:tblLook w:val="04A0" w:firstRow="1" w:lastRow="0" w:firstColumn="1" w:lastColumn="0" w:noHBand="0" w:noVBand="1"/>
      </w:tblPr>
      <w:tblGrid>
        <w:gridCol w:w="6637"/>
        <w:gridCol w:w="450"/>
      </w:tblGrid>
      <w:tr w:rsidR="008338E7" w:rsidRPr="00A94774" w14:paraId="2ADE1A37" w14:textId="77777777" w:rsidTr="004A7C3F">
        <w:tc>
          <w:tcPr>
            <w:tcW w:w="6663" w:type="dxa"/>
            <w:shd w:val="clear" w:color="auto" w:fill="auto"/>
            <w:vAlign w:val="center"/>
          </w:tcPr>
          <w:p w14:paraId="0CFBB2B3" w14:textId="5E239303" w:rsidR="008338E7" w:rsidRPr="00A94774" w:rsidRDefault="00000000" w:rsidP="004A7C3F">
            <w:pPr>
              <w:pStyle w:val="Els-body-text"/>
              <w:spacing w:before="120" w:after="120" w:line="264" w:lineRule="auto"/>
              <w:rPr>
                <w:lang w:val="en-GB"/>
              </w:rPr>
            </w:pPr>
            <m:oMathPara>
              <m:oMath>
                <m:sSubSup>
                  <m:sSubSupPr>
                    <m:ctrlPr>
                      <w:rPr>
                        <w:rFonts w:ascii="Cambria Math" w:hAnsi="Cambria Math"/>
                        <w:i/>
                        <w:lang w:val="en-GB"/>
                      </w:rPr>
                    </m:ctrlPr>
                  </m:sSubSupPr>
                  <m:e>
                    <m:r>
                      <w:rPr>
                        <w:rFonts w:ascii="Cambria Math"/>
                        <w:lang w:val="en-GB"/>
                      </w:rPr>
                      <m:t>C</m:t>
                    </m:r>
                  </m:e>
                  <m:sub>
                    <m:r>
                      <w:rPr>
                        <w:rFonts w:ascii="Cambria Math"/>
                        <w:lang w:val="en-GB"/>
                      </w:rPr>
                      <m:t>p</m:t>
                    </m:r>
                  </m:sub>
                  <m:sup>
                    <m:r>
                      <w:rPr>
                        <w:rFonts w:ascii="Cambria Math"/>
                        <w:lang w:val="en-GB"/>
                      </w:rPr>
                      <m:t>*</m:t>
                    </m:r>
                  </m:sup>
                </m:sSubSup>
                <m:r>
                  <w:rPr>
                    <w:rFonts w:asci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p,v</m:t>
                    </m:r>
                  </m:sub>
                </m:sSub>
                <m:r>
                  <w:rPr>
                    <w:rFonts w:asci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p,e</m:t>
                    </m:r>
                  </m:sub>
                </m:sSub>
                <m:r>
                  <w:rPr>
                    <w:rFonts w:asci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p,r</m:t>
                    </m:r>
                  </m:sub>
                </m:sSub>
                <m:r>
                  <w:rPr>
                    <w:rFonts w:ascii="Cambria Math"/>
                    <w:lang w:val="en-GB"/>
                  </w:rPr>
                  <m:t xml:space="preserve"> </m:t>
                </m:r>
              </m:oMath>
            </m:oMathPara>
          </w:p>
        </w:tc>
        <w:tc>
          <w:tcPr>
            <w:tcW w:w="424" w:type="dxa"/>
            <w:shd w:val="clear" w:color="auto" w:fill="auto"/>
            <w:vAlign w:val="center"/>
          </w:tcPr>
          <w:p w14:paraId="2F0340EA" w14:textId="0CA26E83" w:rsidR="008338E7" w:rsidRPr="00A94774" w:rsidRDefault="008338E7" w:rsidP="004A7C3F">
            <w:pPr>
              <w:pStyle w:val="Els-body-text"/>
              <w:spacing w:before="120" w:after="120" w:line="264" w:lineRule="auto"/>
              <w:jc w:val="right"/>
              <w:rPr>
                <w:lang w:val="en-GB"/>
              </w:rPr>
            </w:pPr>
            <w:r w:rsidRPr="00A94774">
              <w:rPr>
                <w:lang w:val="en-GB"/>
              </w:rPr>
              <w:t>(</w:t>
            </w:r>
            <w:r w:rsidR="00C14AD3">
              <w:rPr>
                <w:lang w:val="en-GB"/>
              </w:rPr>
              <w:t>1</w:t>
            </w:r>
            <w:r w:rsidRPr="00A94774">
              <w:rPr>
                <w:lang w:val="en-GB"/>
              </w:rPr>
              <w:t>)</w:t>
            </w:r>
          </w:p>
        </w:tc>
      </w:tr>
    </w:tbl>
    <w:p w14:paraId="287770E0" w14:textId="5C688893" w:rsidR="008338E7" w:rsidRDefault="00473EE9" w:rsidP="008D2649">
      <w:pPr>
        <w:pStyle w:val="Els-body-text"/>
      </w:pPr>
      <w:r>
        <w:t>The</w:t>
      </w:r>
      <w:r w:rsidR="008977A6">
        <w:t xml:space="preserve"> contribution</w:t>
      </w:r>
      <w:r w:rsidR="007F0B7F">
        <w:t xml:space="preserve"> to the heat capacity from </w:t>
      </w:r>
      <w:r w:rsidR="00526FA3">
        <w:t>vibrational</w:t>
      </w:r>
      <w:r w:rsidR="007F0B7F">
        <w:t xml:space="preserve"> energy is expressed in Eq.(</w:t>
      </w:r>
      <w:r w:rsidR="00C14AD3">
        <w:t>2</w:t>
      </w:r>
      <w:r w:rsidR="007F0B7F">
        <w:t>),</w:t>
      </w:r>
    </w:p>
    <w:tbl>
      <w:tblPr>
        <w:tblW w:w="7087" w:type="dxa"/>
        <w:tblLook w:val="04A0" w:firstRow="1" w:lastRow="0" w:firstColumn="1" w:lastColumn="0" w:noHBand="0" w:noVBand="1"/>
      </w:tblPr>
      <w:tblGrid>
        <w:gridCol w:w="6637"/>
        <w:gridCol w:w="450"/>
      </w:tblGrid>
      <w:tr w:rsidR="00CA2908" w:rsidRPr="00A94774" w14:paraId="7D393E72" w14:textId="77777777" w:rsidTr="004A7C3F">
        <w:tc>
          <w:tcPr>
            <w:tcW w:w="6663" w:type="dxa"/>
            <w:shd w:val="clear" w:color="auto" w:fill="auto"/>
            <w:vAlign w:val="center"/>
          </w:tcPr>
          <w:p w14:paraId="0A39205D" w14:textId="4840C6E4" w:rsidR="00CA2908" w:rsidRPr="00A94774" w:rsidRDefault="00000000" w:rsidP="004A7C3F">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lang w:val="en-GB"/>
                      </w:rPr>
                      <m:t>C</m:t>
                    </m:r>
                  </m:e>
                  <m:sub>
                    <m:r>
                      <w:rPr>
                        <w:rFonts w:ascii="Cambria Math"/>
                        <w:lang w:val="en-GB"/>
                      </w:rPr>
                      <m:t>p,v</m:t>
                    </m:r>
                  </m:sub>
                </m:sSub>
                <m:r>
                  <w:rPr>
                    <w:rFonts w:ascii="Cambria Math"/>
                    <w:lang w:val="en-GB"/>
                  </w:rPr>
                  <m:t>=B</m:t>
                </m:r>
                <m:sSup>
                  <m:sSupPr>
                    <m:ctrlPr>
                      <w:rPr>
                        <w:rFonts w:ascii="Cambria Math" w:hAnsi="Cambria Math"/>
                        <w:i/>
                        <w:lang w:val="en-GB"/>
                      </w:rPr>
                    </m:ctrlPr>
                  </m:sSupPr>
                  <m:e>
                    <m:d>
                      <m:dPr>
                        <m:begChr m:val="["/>
                        <m:endChr m:val="]"/>
                        <m:ctrlPr>
                          <w:rPr>
                            <w:rFonts w:ascii="Cambria Math" w:hAnsi="Cambria Math"/>
                            <w:i/>
                            <w:lang w:val="en-GB"/>
                          </w:rPr>
                        </m:ctrlPr>
                      </m:dPr>
                      <m:e>
                        <m:f>
                          <m:fPr>
                            <m:ctrlPr>
                              <w:rPr>
                                <w:rFonts w:ascii="Cambria Math" w:hAnsi="Cambria Math"/>
                                <w:i/>
                                <w:lang w:val="en-GB"/>
                              </w:rPr>
                            </m:ctrlPr>
                          </m:fPr>
                          <m:num>
                            <m:f>
                              <m:fPr>
                                <m:type m:val="skw"/>
                                <m:ctrlPr>
                                  <w:rPr>
                                    <w:rFonts w:ascii="Cambria Math" w:hAnsi="Cambria Math"/>
                                    <w:i/>
                                    <w:lang w:val="en-GB"/>
                                  </w:rPr>
                                </m:ctrlPr>
                              </m:fPr>
                              <m:num>
                                <m:r>
                                  <w:rPr>
                                    <w:rFonts w:ascii="Cambria Math"/>
                                    <w:lang w:val="en-GB"/>
                                  </w:rPr>
                                  <m:t>C</m:t>
                                </m:r>
                              </m:num>
                              <m:den>
                                <m:r>
                                  <w:rPr>
                                    <w:rFonts w:ascii="Cambria Math"/>
                                    <w:lang w:val="en-GB"/>
                                  </w:rPr>
                                  <m:t>T</m:t>
                                </m:r>
                              </m:den>
                            </m:f>
                          </m:num>
                          <m:den>
                            <m:func>
                              <m:funcPr>
                                <m:ctrlPr>
                                  <w:rPr>
                                    <w:rFonts w:ascii="Cambria Math" w:hAnsi="Cambria Math"/>
                                    <w:i/>
                                    <w:lang w:val="en-GB"/>
                                  </w:rPr>
                                </m:ctrlPr>
                              </m:funcPr>
                              <m:fName>
                                <m:r>
                                  <m:rPr>
                                    <m:sty m:val="p"/>
                                  </m:rPr>
                                  <w:rPr>
                                    <w:rFonts w:ascii="Cambria Math"/>
                                    <w:lang w:val="en-GB"/>
                                  </w:rPr>
                                  <m:t>sinh</m:t>
                                </m:r>
                              </m:fName>
                              <m:e>
                                <m:d>
                                  <m:dPr>
                                    <m:ctrlPr>
                                      <w:rPr>
                                        <w:rFonts w:ascii="Cambria Math" w:hAnsi="Cambria Math"/>
                                        <w:i/>
                                        <w:lang w:val="en-GB"/>
                                      </w:rPr>
                                    </m:ctrlPr>
                                  </m:dPr>
                                  <m:e>
                                    <m:f>
                                      <m:fPr>
                                        <m:type m:val="skw"/>
                                        <m:ctrlPr>
                                          <w:rPr>
                                            <w:rFonts w:ascii="Cambria Math" w:hAnsi="Cambria Math"/>
                                            <w:i/>
                                            <w:lang w:val="en-GB"/>
                                          </w:rPr>
                                        </m:ctrlPr>
                                      </m:fPr>
                                      <m:num>
                                        <m:r>
                                          <w:rPr>
                                            <w:rFonts w:ascii="Cambria Math"/>
                                            <w:lang w:val="en-GB"/>
                                          </w:rPr>
                                          <m:t>C</m:t>
                                        </m:r>
                                      </m:num>
                                      <m:den>
                                        <m:r>
                                          <w:rPr>
                                            <w:rFonts w:ascii="Cambria Math"/>
                                            <w:lang w:val="en-GB"/>
                                          </w:rPr>
                                          <m:t>T</m:t>
                                        </m:r>
                                      </m:den>
                                    </m:f>
                                  </m:e>
                                </m:d>
                              </m:e>
                            </m:func>
                          </m:den>
                        </m:f>
                      </m:e>
                    </m:d>
                  </m:e>
                  <m:sup>
                    <m:r>
                      <w:rPr>
                        <w:rFonts w:ascii="Cambria Math"/>
                        <w:lang w:val="en-GB"/>
                      </w:rPr>
                      <m:t>2</m:t>
                    </m:r>
                  </m:sup>
                </m:sSup>
              </m:oMath>
            </m:oMathPara>
          </w:p>
        </w:tc>
        <w:tc>
          <w:tcPr>
            <w:tcW w:w="424" w:type="dxa"/>
            <w:shd w:val="clear" w:color="auto" w:fill="auto"/>
            <w:vAlign w:val="center"/>
          </w:tcPr>
          <w:p w14:paraId="4C9B4F2D" w14:textId="1751133B" w:rsidR="00CA2908" w:rsidRPr="00A94774" w:rsidRDefault="00CA2908" w:rsidP="004A7C3F">
            <w:pPr>
              <w:pStyle w:val="Els-body-text"/>
              <w:spacing w:before="120" w:after="120" w:line="264" w:lineRule="auto"/>
              <w:jc w:val="right"/>
              <w:rPr>
                <w:lang w:val="en-GB"/>
              </w:rPr>
            </w:pPr>
            <w:r w:rsidRPr="00A94774">
              <w:rPr>
                <w:lang w:val="en-GB"/>
              </w:rPr>
              <w:t>(</w:t>
            </w:r>
            <w:r w:rsidR="00C14AD3">
              <w:rPr>
                <w:lang w:val="en-GB"/>
              </w:rPr>
              <w:t>2</w:t>
            </w:r>
            <w:r w:rsidRPr="00A94774">
              <w:rPr>
                <w:lang w:val="en-GB"/>
              </w:rPr>
              <w:t>)</w:t>
            </w:r>
          </w:p>
        </w:tc>
      </w:tr>
    </w:tbl>
    <w:p w14:paraId="53630240" w14:textId="314C53E2" w:rsidR="00186BBE" w:rsidRDefault="00E014A3" w:rsidP="00186BBE">
      <w:pPr>
        <w:pStyle w:val="Els-body-text"/>
      </w:pPr>
      <w:r>
        <w:t xml:space="preserve">Where </w:t>
      </w:r>
      <w:r w:rsidR="005A02DC">
        <w:t>B is a constant and C is</w:t>
      </w:r>
      <w:r w:rsidR="00186BBE">
        <w:t xml:space="preserve"> a characteristic temperature. The contribution to the heat capacity from electroni</w:t>
      </w:r>
      <w:r w:rsidR="00BF5DB4">
        <w:t>c</w:t>
      </w:r>
      <w:r w:rsidR="00186BBE">
        <w:t xml:space="preserve"> energy is expressed in Eq.(</w:t>
      </w:r>
      <w:r w:rsidR="00C14AD3">
        <w:t>3</w:t>
      </w:r>
      <w:r w:rsidR="00186BBE">
        <w:t>),</w:t>
      </w:r>
    </w:p>
    <w:tbl>
      <w:tblPr>
        <w:tblW w:w="7087" w:type="dxa"/>
        <w:tblLook w:val="04A0" w:firstRow="1" w:lastRow="0" w:firstColumn="1" w:lastColumn="0" w:noHBand="0" w:noVBand="1"/>
      </w:tblPr>
      <w:tblGrid>
        <w:gridCol w:w="6637"/>
        <w:gridCol w:w="450"/>
      </w:tblGrid>
      <w:tr w:rsidR="00CA2908" w:rsidRPr="00A94774" w14:paraId="3D6E5EEB" w14:textId="77777777" w:rsidTr="00BF5DB4">
        <w:tc>
          <w:tcPr>
            <w:tcW w:w="6637" w:type="dxa"/>
            <w:shd w:val="clear" w:color="auto" w:fill="auto"/>
            <w:vAlign w:val="center"/>
          </w:tcPr>
          <w:p w14:paraId="1555625A" w14:textId="43FCA452" w:rsidR="00CA2908" w:rsidRPr="00A94774" w:rsidRDefault="00000000" w:rsidP="004A7C3F">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lang w:val="en-GB"/>
                      </w:rPr>
                      <m:t>C</m:t>
                    </m:r>
                  </m:e>
                  <m:sub>
                    <m:r>
                      <w:rPr>
                        <w:rFonts w:ascii="Cambria Math"/>
                        <w:lang w:val="en-GB"/>
                      </w:rPr>
                      <m:t>p,e</m:t>
                    </m:r>
                  </m:sub>
                </m:sSub>
                <m:r>
                  <w:rPr>
                    <w:rFonts w:ascii="Cambria Math"/>
                    <w:lang w:val="en-GB"/>
                  </w:rPr>
                  <m:t>=D</m:t>
                </m:r>
                <m:sSup>
                  <m:sSupPr>
                    <m:ctrlPr>
                      <w:rPr>
                        <w:rFonts w:ascii="Cambria Math" w:hAnsi="Cambria Math"/>
                        <w:i/>
                        <w:lang w:val="en-GB"/>
                      </w:rPr>
                    </m:ctrlPr>
                  </m:sSupPr>
                  <m:e>
                    <m:d>
                      <m:dPr>
                        <m:begChr m:val="["/>
                        <m:endChr m:val="]"/>
                        <m:ctrlPr>
                          <w:rPr>
                            <w:rFonts w:ascii="Cambria Math" w:hAnsi="Cambria Math"/>
                            <w:i/>
                            <w:lang w:val="en-GB"/>
                          </w:rPr>
                        </m:ctrlPr>
                      </m:dPr>
                      <m:e>
                        <m:f>
                          <m:fPr>
                            <m:ctrlPr>
                              <w:rPr>
                                <w:rFonts w:ascii="Cambria Math" w:hAnsi="Cambria Math"/>
                                <w:i/>
                                <w:lang w:val="en-GB"/>
                              </w:rPr>
                            </m:ctrlPr>
                          </m:fPr>
                          <m:num>
                            <m:f>
                              <m:fPr>
                                <m:type m:val="skw"/>
                                <m:ctrlPr>
                                  <w:rPr>
                                    <w:rFonts w:ascii="Cambria Math" w:hAnsi="Cambria Math"/>
                                    <w:i/>
                                    <w:lang w:val="en-GB"/>
                                  </w:rPr>
                                </m:ctrlPr>
                              </m:fPr>
                              <m:num>
                                <m:r>
                                  <w:rPr>
                                    <w:rFonts w:ascii="Cambria Math"/>
                                    <w:lang w:val="en-GB"/>
                                  </w:rPr>
                                  <m:t>E</m:t>
                                </m:r>
                              </m:num>
                              <m:den>
                                <m:r>
                                  <w:rPr>
                                    <w:rFonts w:ascii="Cambria Math"/>
                                    <w:lang w:val="en-GB"/>
                                  </w:rPr>
                                  <m:t>T</m:t>
                                </m:r>
                              </m:den>
                            </m:f>
                          </m:num>
                          <m:den>
                            <m:func>
                              <m:funcPr>
                                <m:ctrlPr>
                                  <w:rPr>
                                    <w:rFonts w:ascii="Cambria Math" w:hAnsi="Cambria Math"/>
                                    <w:i/>
                                    <w:lang w:val="en-GB"/>
                                  </w:rPr>
                                </m:ctrlPr>
                              </m:funcPr>
                              <m:fName>
                                <m:r>
                                  <m:rPr>
                                    <m:sty m:val="p"/>
                                  </m:rPr>
                                  <w:rPr>
                                    <w:rFonts w:ascii="Cambria Math"/>
                                    <w:lang w:val="en-GB"/>
                                  </w:rPr>
                                  <m:t>cosh</m:t>
                                </m:r>
                              </m:fName>
                              <m:e>
                                <m:d>
                                  <m:dPr>
                                    <m:ctrlPr>
                                      <w:rPr>
                                        <w:rFonts w:ascii="Cambria Math" w:hAnsi="Cambria Math"/>
                                        <w:i/>
                                        <w:lang w:val="en-GB"/>
                                      </w:rPr>
                                    </m:ctrlPr>
                                  </m:dPr>
                                  <m:e>
                                    <m:f>
                                      <m:fPr>
                                        <m:type m:val="skw"/>
                                        <m:ctrlPr>
                                          <w:rPr>
                                            <w:rFonts w:ascii="Cambria Math" w:hAnsi="Cambria Math"/>
                                            <w:i/>
                                            <w:lang w:val="en-GB"/>
                                          </w:rPr>
                                        </m:ctrlPr>
                                      </m:fPr>
                                      <m:num>
                                        <m:r>
                                          <w:rPr>
                                            <w:rFonts w:ascii="Cambria Math"/>
                                            <w:lang w:val="en-GB"/>
                                          </w:rPr>
                                          <m:t>E</m:t>
                                        </m:r>
                                      </m:num>
                                      <m:den>
                                        <m:r>
                                          <w:rPr>
                                            <w:rFonts w:ascii="Cambria Math"/>
                                            <w:lang w:val="en-GB"/>
                                          </w:rPr>
                                          <m:t>T</m:t>
                                        </m:r>
                                      </m:den>
                                    </m:f>
                                  </m:e>
                                </m:d>
                              </m:e>
                            </m:func>
                          </m:den>
                        </m:f>
                      </m:e>
                    </m:d>
                  </m:e>
                  <m:sup>
                    <m:r>
                      <w:rPr>
                        <w:rFonts w:ascii="Cambria Math"/>
                        <w:lang w:val="en-GB"/>
                      </w:rPr>
                      <m:t>2</m:t>
                    </m:r>
                  </m:sup>
                </m:sSup>
                <m:r>
                  <w:rPr>
                    <w:rFonts w:ascii="Cambria Math"/>
                    <w:lang w:val="en-GB"/>
                  </w:rPr>
                  <m:t xml:space="preserve"> </m:t>
                </m:r>
              </m:oMath>
            </m:oMathPara>
          </w:p>
        </w:tc>
        <w:tc>
          <w:tcPr>
            <w:tcW w:w="450" w:type="dxa"/>
            <w:shd w:val="clear" w:color="auto" w:fill="auto"/>
            <w:vAlign w:val="center"/>
          </w:tcPr>
          <w:p w14:paraId="07AAC5AE" w14:textId="41CF03AD" w:rsidR="00CA2908" w:rsidRPr="00A94774" w:rsidRDefault="00CA2908" w:rsidP="004A7C3F">
            <w:pPr>
              <w:pStyle w:val="Els-body-text"/>
              <w:spacing w:before="120" w:after="120" w:line="264" w:lineRule="auto"/>
              <w:jc w:val="right"/>
              <w:rPr>
                <w:lang w:val="en-GB"/>
              </w:rPr>
            </w:pPr>
            <w:r w:rsidRPr="00A94774">
              <w:rPr>
                <w:lang w:val="en-GB"/>
              </w:rPr>
              <w:t>(</w:t>
            </w:r>
            <w:r w:rsidR="00C14AD3">
              <w:rPr>
                <w:lang w:val="en-GB"/>
              </w:rPr>
              <w:t>3</w:t>
            </w:r>
            <w:r w:rsidRPr="00A94774">
              <w:rPr>
                <w:lang w:val="en-GB"/>
              </w:rPr>
              <w:t>)</w:t>
            </w:r>
          </w:p>
        </w:tc>
      </w:tr>
    </w:tbl>
    <w:p w14:paraId="760F408B" w14:textId="01DC8025" w:rsidR="00CA2908" w:rsidRDefault="003C015E" w:rsidP="008D2649">
      <w:pPr>
        <w:pStyle w:val="Els-body-text"/>
      </w:pPr>
      <w:r>
        <w:t xml:space="preserve">Where D and </w:t>
      </w:r>
      <w:r w:rsidR="0090118E">
        <w:t>E</w:t>
      </w:r>
      <w:r>
        <w:t xml:space="preserve"> are</w:t>
      </w:r>
      <w:r w:rsidR="0090118E">
        <w:t xml:space="preserve"> similar to Eq.(</w:t>
      </w:r>
      <w:r w:rsidR="00C14AD3">
        <w:t>2</w:t>
      </w:r>
      <w:r w:rsidR="0090118E">
        <w:t>) are a constant and characteristic temperature respectively.</w:t>
      </w:r>
      <w:r>
        <w:t xml:space="preserve"> </w:t>
      </w:r>
      <w:r w:rsidR="009C5D2E">
        <w:t>The contribution from the internal rotational bond is</w:t>
      </w:r>
      <w:r w:rsidR="004F1566">
        <w:t xml:space="preserve"> assumed</w:t>
      </w:r>
      <w:r w:rsidR="00C75C41">
        <w:t xml:space="preserve"> </w:t>
      </w:r>
      <w:r w:rsidR="004F1566">
        <w:t>constant</w:t>
      </w:r>
      <w:r w:rsidR="00C75C41">
        <w:t xml:space="preserve"> for each compound as seen in Eq.(</w:t>
      </w:r>
      <w:r w:rsidR="00C14AD3">
        <w:t>4</w:t>
      </w:r>
      <w:r w:rsidR="00C75C41">
        <w:t>).</w:t>
      </w:r>
    </w:p>
    <w:tbl>
      <w:tblPr>
        <w:tblW w:w="7087" w:type="dxa"/>
        <w:tblLook w:val="04A0" w:firstRow="1" w:lastRow="0" w:firstColumn="1" w:lastColumn="0" w:noHBand="0" w:noVBand="1"/>
      </w:tblPr>
      <w:tblGrid>
        <w:gridCol w:w="6637"/>
        <w:gridCol w:w="450"/>
      </w:tblGrid>
      <w:tr w:rsidR="00CA2908" w:rsidRPr="00A94774" w14:paraId="2BF4CF95" w14:textId="77777777" w:rsidTr="004A7C3F">
        <w:tc>
          <w:tcPr>
            <w:tcW w:w="6663" w:type="dxa"/>
            <w:shd w:val="clear" w:color="auto" w:fill="auto"/>
            <w:vAlign w:val="center"/>
          </w:tcPr>
          <w:p w14:paraId="1ABDA363" w14:textId="386304A9" w:rsidR="00CA2908" w:rsidRPr="00A94774" w:rsidRDefault="00000000" w:rsidP="004A7C3F">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lang w:val="en-GB"/>
                      </w:rPr>
                      <m:t>C</m:t>
                    </m:r>
                  </m:e>
                  <m:sub>
                    <m:r>
                      <w:rPr>
                        <w:rFonts w:ascii="Cambria Math"/>
                        <w:lang w:val="en-GB"/>
                      </w:rPr>
                      <m:t>p,r</m:t>
                    </m:r>
                  </m:sub>
                </m:sSub>
                <m:r>
                  <w:rPr>
                    <w:rFonts w:ascii="Cambria Math"/>
                    <w:lang w:val="en-GB"/>
                  </w:rPr>
                  <m:t xml:space="preserve">=A </m:t>
                </m:r>
              </m:oMath>
            </m:oMathPara>
          </w:p>
        </w:tc>
        <w:tc>
          <w:tcPr>
            <w:tcW w:w="424" w:type="dxa"/>
            <w:shd w:val="clear" w:color="auto" w:fill="auto"/>
            <w:vAlign w:val="center"/>
          </w:tcPr>
          <w:p w14:paraId="7831DCE9" w14:textId="18A00FE2" w:rsidR="00CA2908" w:rsidRPr="00A94774" w:rsidRDefault="00CA2908" w:rsidP="004A7C3F">
            <w:pPr>
              <w:pStyle w:val="Els-body-text"/>
              <w:spacing w:before="120" w:after="120" w:line="264" w:lineRule="auto"/>
              <w:jc w:val="right"/>
              <w:rPr>
                <w:lang w:val="en-GB"/>
              </w:rPr>
            </w:pPr>
            <w:r w:rsidRPr="00A94774">
              <w:rPr>
                <w:lang w:val="en-GB"/>
              </w:rPr>
              <w:t>(</w:t>
            </w:r>
            <w:r w:rsidR="00C14AD3">
              <w:rPr>
                <w:lang w:val="en-GB"/>
              </w:rPr>
              <w:t>4</w:t>
            </w:r>
            <w:r w:rsidRPr="00A94774">
              <w:rPr>
                <w:lang w:val="en-GB"/>
              </w:rPr>
              <w:t>)</w:t>
            </w:r>
          </w:p>
        </w:tc>
      </w:tr>
    </w:tbl>
    <w:p w14:paraId="31761984" w14:textId="583ACED4" w:rsidR="00CA2908" w:rsidRDefault="00C75C41" w:rsidP="008D2649">
      <w:pPr>
        <w:pStyle w:val="Els-body-text"/>
      </w:pPr>
      <w:r>
        <w:t>Combining Eq.(</w:t>
      </w:r>
      <w:r w:rsidR="00C14AD3">
        <w:t>2</w:t>
      </w:r>
      <w:r>
        <w:t>)</w:t>
      </w:r>
      <w:r w:rsidR="006E649A">
        <w:t>-Eq.(</w:t>
      </w:r>
      <w:r w:rsidR="00C14AD3">
        <w:t>4</w:t>
      </w:r>
      <w:r w:rsidR="006E649A">
        <w:t xml:space="preserve">) yields </w:t>
      </w:r>
      <w:r w:rsidR="006C4E32">
        <w:t>the</w:t>
      </w:r>
      <w:r w:rsidR="006E649A">
        <w:t xml:space="preserve"> expression for </w:t>
      </w:r>
      <m:oMath>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m:t>
            </m:r>
          </m:sup>
        </m:sSubSup>
      </m:oMath>
      <w:r w:rsidR="006C4E32">
        <w:t xml:space="preserve"> seen in Eq.(</w:t>
      </w:r>
      <w:r w:rsidR="00635C9C">
        <w:t>5</w:t>
      </w:r>
      <w:r w:rsidR="006C4E32">
        <w:t>).</w:t>
      </w:r>
    </w:p>
    <w:tbl>
      <w:tblPr>
        <w:tblW w:w="7087" w:type="dxa"/>
        <w:tblLook w:val="04A0" w:firstRow="1" w:lastRow="0" w:firstColumn="1" w:lastColumn="0" w:noHBand="0" w:noVBand="1"/>
      </w:tblPr>
      <w:tblGrid>
        <w:gridCol w:w="6637"/>
        <w:gridCol w:w="450"/>
      </w:tblGrid>
      <w:tr w:rsidR="004F1566" w:rsidRPr="00A94774" w14:paraId="1C5C841D" w14:textId="77777777" w:rsidTr="004A7C3F">
        <w:tc>
          <w:tcPr>
            <w:tcW w:w="6663" w:type="dxa"/>
            <w:shd w:val="clear" w:color="auto" w:fill="auto"/>
            <w:vAlign w:val="center"/>
          </w:tcPr>
          <w:p w14:paraId="2E543AF3" w14:textId="77777777" w:rsidR="004F1566" w:rsidRPr="00A94774" w:rsidRDefault="004F1566" w:rsidP="004A7C3F">
            <w:pPr>
              <w:pStyle w:val="Els-body-text"/>
              <w:spacing w:before="120" w:after="120" w:line="264" w:lineRule="auto"/>
              <w:rPr>
                <w:lang w:val="en-GB"/>
              </w:rPr>
            </w:pPr>
            <m:oMathPara>
              <m:oMath>
                <m:r>
                  <w:rPr>
                    <w:rFonts w:ascii="Cambria Math"/>
                    <w:lang w:val="en-GB"/>
                  </w:rPr>
                  <m:t>C</m:t>
                </m:r>
                <m:sSup>
                  <m:sSupPr>
                    <m:ctrlPr>
                      <w:rPr>
                        <w:rFonts w:ascii="Cambria Math" w:hAnsi="Cambria Math"/>
                        <w:i/>
                        <w:lang w:val="en-GB"/>
                      </w:rPr>
                    </m:ctrlPr>
                  </m:sSupPr>
                  <m:e>
                    <m:r>
                      <w:rPr>
                        <w:rFonts w:ascii="Cambria Math"/>
                        <w:lang w:val="en-GB"/>
                      </w:rPr>
                      <m:t>p</m:t>
                    </m:r>
                  </m:e>
                  <m:sup>
                    <m:r>
                      <w:rPr>
                        <w:rFonts w:ascii="Cambria Math"/>
                        <w:lang w:val="en-GB"/>
                      </w:rPr>
                      <m:t>*</m:t>
                    </m:r>
                  </m:sup>
                </m:sSup>
                <m:r>
                  <w:rPr>
                    <w:rFonts w:ascii="Cambria Math"/>
                    <w:lang w:val="en-GB"/>
                  </w:rPr>
                  <m:t>=A+B</m:t>
                </m:r>
                <m:sSup>
                  <m:sSupPr>
                    <m:ctrlPr>
                      <w:rPr>
                        <w:rFonts w:ascii="Cambria Math" w:hAnsi="Cambria Math"/>
                        <w:i/>
                        <w:lang w:val="en-GB"/>
                      </w:rPr>
                    </m:ctrlPr>
                  </m:sSupPr>
                  <m:e>
                    <m:d>
                      <m:dPr>
                        <m:begChr m:val="["/>
                        <m:endChr m:val="]"/>
                        <m:ctrlPr>
                          <w:rPr>
                            <w:rFonts w:ascii="Cambria Math" w:hAnsi="Cambria Math"/>
                            <w:i/>
                            <w:lang w:val="en-GB"/>
                          </w:rPr>
                        </m:ctrlPr>
                      </m:dPr>
                      <m:e>
                        <m:f>
                          <m:fPr>
                            <m:ctrlPr>
                              <w:rPr>
                                <w:rFonts w:ascii="Cambria Math" w:hAnsi="Cambria Math"/>
                                <w:i/>
                                <w:lang w:val="en-GB"/>
                              </w:rPr>
                            </m:ctrlPr>
                          </m:fPr>
                          <m:num>
                            <m:f>
                              <m:fPr>
                                <m:type m:val="skw"/>
                                <m:ctrlPr>
                                  <w:rPr>
                                    <w:rFonts w:ascii="Cambria Math" w:hAnsi="Cambria Math"/>
                                    <w:i/>
                                    <w:lang w:val="en-GB"/>
                                  </w:rPr>
                                </m:ctrlPr>
                              </m:fPr>
                              <m:num>
                                <m:r>
                                  <w:rPr>
                                    <w:rFonts w:ascii="Cambria Math"/>
                                    <w:lang w:val="en-GB"/>
                                  </w:rPr>
                                  <m:t>C</m:t>
                                </m:r>
                              </m:num>
                              <m:den>
                                <m:r>
                                  <w:rPr>
                                    <w:rFonts w:ascii="Cambria Math"/>
                                    <w:lang w:val="en-GB"/>
                                  </w:rPr>
                                  <m:t>T</m:t>
                                </m:r>
                              </m:den>
                            </m:f>
                          </m:num>
                          <m:den>
                            <m:func>
                              <m:funcPr>
                                <m:ctrlPr>
                                  <w:rPr>
                                    <w:rFonts w:ascii="Cambria Math" w:hAnsi="Cambria Math"/>
                                    <w:i/>
                                    <w:lang w:val="en-GB"/>
                                  </w:rPr>
                                </m:ctrlPr>
                              </m:funcPr>
                              <m:fName>
                                <m:r>
                                  <m:rPr>
                                    <m:sty m:val="p"/>
                                  </m:rPr>
                                  <w:rPr>
                                    <w:rFonts w:ascii="Cambria Math"/>
                                    <w:lang w:val="en-GB"/>
                                  </w:rPr>
                                  <m:t>sinh</m:t>
                                </m:r>
                              </m:fName>
                              <m:e>
                                <m:d>
                                  <m:dPr>
                                    <m:ctrlPr>
                                      <w:rPr>
                                        <w:rFonts w:ascii="Cambria Math" w:hAnsi="Cambria Math"/>
                                        <w:i/>
                                        <w:lang w:val="en-GB"/>
                                      </w:rPr>
                                    </m:ctrlPr>
                                  </m:dPr>
                                  <m:e>
                                    <m:f>
                                      <m:fPr>
                                        <m:type m:val="skw"/>
                                        <m:ctrlPr>
                                          <w:rPr>
                                            <w:rFonts w:ascii="Cambria Math" w:hAnsi="Cambria Math"/>
                                            <w:i/>
                                            <w:lang w:val="en-GB"/>
                                          </w:rPr>
                                        </m:ctrlPr>
                                      </m:fPr>
                                      <m:num>
                                        <m:r>
                                          <w:rPr>
                                            <w:rFonts w:ascii="Cambria Math"/>
                                            <w:lang w:val="en-GB"/>
                                          </w:rPr>
                                          <m:t>C</m:t>
                                        </m:r>
                                      </m:num>
                                      <m:den>
                                        <m:r>
                                          <w:rPr>
                                            <w:rFonts w:ascii="Cambria Math"/>
                                            <w:lang w:val="en-GB"/>
                                          </w:rPr>
                                          <m:t>T</m:t>
                                        </m:r>
                                      </m:den>
                                    </m:f>
                                  </m:e>
                                </m:d>
                              </m:e>
                            </m:func>
                          </m:den>
                        </m:f>
                      </m:e>
                    </m:d>
                  </m:e>
                  <m:sup>
                    <m:r>
                      <w:rPr>
                        <w:rFonts w:ascii="Cambria Math"/>
                        <w:lang w:val="en-GB"/>
                      </w:rPr>
                      <m:t>2</m:t>
                    </m:r>
                  </m:sup>
                </m:sSup>
                <m:r>
                  <w:rPr>
                    <w:rFonts w:ascii="Cambria Math"/>
                    <w:lang w:val="en-GB"/>
                  </w:rPr>
                  <m:t>+D</m:t>
                </m:r>
                <m:sSup>
                  <m:sSupPr>
                    <m:ctrlPr>
                      <w:rPr>
                        <w:rFonts w:ascii="Cambria Math" w:hAnsi="Cambria Math"/>
                        <w:i/>
                        <w:lang w:val="en-GB"/>
                      </w:rPr>
                    </m:ctrlPr>
                  </m:sSupPr>
                  <m:e>
                    <m:d>
                      <m:dPr>
                        <m:begChr m:val="["/>
                        <m:endChr m:val="]"/>
                        <m:ctrlPr>
                          <w:rPr>
                            <w:rFonts w:ascii="Cambria Math" w:hAnsi="Cambria Math"/>
                            <w:i/>
                            <w:lang w:val="en-GB"/>
                          </w:rPr>
                        </m:ctrlPr>
                      </m:dPr>
                      <m:e>
                        <m:f>
                          <m:fPr>
                            <m:ctrlPr>
                              <w:rPr>
                                <w:rFonts w:ascii="Cambria Math" w:hAnsi="Cambria Math"/>
                                <w:i/>
                                <w:lang w:val="en-GB"/>
                              </w:rPr>
                            </m:ctrlPr>
                          </m:fPr>
                          <m:num>
                            <m:f>
                              <m:fPr>
                                <m:type m:val="skw"/>
                                <m:ctrlPr>
                                  <w:rPr>
                                    <w:rFonts w:ascii="Cambria Math" w:hAnsi="Cambria Math"/>
                                    <w:i/>
                                    <w:lang w:val="en-GB"/>
                                  </w:rPr>
                                </m:ctrlPr>
                              </m:fPr>
                              <m:num>
                                <m:r>
                                  <w:rPr>
                                    <w:rFonts w:ascii="Cambria Math"/>
                                    <w:lang w:val="en-GB"/>
                                  </w:rPr>
                                  <m:t>E</m:t>
                                </m:r>
                              </m:num>
                              <m:den>
                                <m:r>
                                  <w:rPr>
                                    <w:rFonts w:ascii="Cambria Math"/>
                                    <w:lang w:val="en-GB"/>
                                  </w:rPr>
                                  <m:t>T</m:t>
                                </m:r>
                              </m:den>
                            </m:f>
                          </m:num>
                          <m:den>
                            <m:func>
                              <m:funcPr>
                                <m:ctrlPr>
                                  <w:rPr>
                                    <w:rFonts w:ascii="Cambria Math" w:hAnsi="Cambria Math"/>
                                    <w:i/>
                                    <w:lang w:val="en-GB"/>
                                  </w:rPr>
                                </m:ctrlPr>
                              </m:funcPr>
                              <m:fName>
                                <m:r>
                                  <m:rPr>
                                    <m:sty m:val="p"/>
                                  </m:rPr>
                                  <w:rPr>
                                    <w:rFonts w:ascii="Cambria Math"/>
                                    <w:lang w:val="en-GB"/>
                                  </w:rPr>
                                  <m:t>cosh</m:t>
                                </m:r>
                              </m:fName>
                              <m:e>
                                <m:d>
                                  <m:dPr>
                                    <m:ctrlPr>
                                      <w:rPr>
                                        <w:rFonts w:ascii="Cambria Math" w:hAnsi="Cambria Math"/>
                                        <w:i/>
                                        <w:lang w:val="en-GB"/>
                                      </w:rPr>
                                    </m:ctrlPr>
                                  </m:dPr>
                                  <m:e>
                                    <m:f>
                                      <m:fPr>
                                        <m:type m:val="skw"/>
                                        <m:ctrlPr>
                                          <w:rPr>
                                            <w:rFonts w:ascii="Cambria Math" w:hAnsi="Cambria Math"/>
                                            <w:i/>
                                            <w:lang w:val="en-GB"/>
                                          </w:rPr>
                                        </m:ctrlPr>
                                      </m:fPr>
                                      <m:num>
                                        <m:r>
                                          <w:rPr>
                                            <w:rFonts w:ascii="Cambria Math"/>
                                            <w:lang w:val="en-GB"/>
                                          </w:rPr>
                                          <m:t>E</m:t>
                                        </m:r>
                                      </m:num>
                                      <m:den>
                                        <m:r>
                                          <w:rPr>
                                            <w:rFonts w:ascii="Cambria Math"/>
                                            <w:lang w:val="en-GB"/>
                                          </w:rPr>
                                          <m:t>T</m:t>
                                        </m:r>
                                      </m:den>
                                    </m:f>
                                  </m:e>
                                </m:d>
                              </m:e>
                            </m:func>
                          </m:den>
                        </m:f>
                      </m:e>
                    </m:d>
                  </m:e>
                  <m:sup>
                    <m:r>
                      <w:rPr>
                        <w:rFonts w:ascii="Cambria Math"/>
                        <w:lang w:val="en-GB"/>
                      </w:rPr>
                      <m:t>2</m:t>
                    </m:r>
                  </m:sup>
                </m:sSup>
              </m:oMath>
            </m:oMathPara>
          </w:p>
        </w:tc>
        <w:tc>
          <w:tcPr>
            <w:tcW w:w="424" w:type="dxa"/>
            <w:shd w:val="clear" w:color="auto" w:fill="auto"/>
            <w:vAlign w:val="center"/>
          </w:tcPr>
          <w:p w14:paraId="70663718" w14:textId="47FB8FC2" w:rsidR="004F1566" w:rsidRPr="00A94774" w:rsidRDefault="004F1566" w:rsidP="004A7C3F">
            <w:pPr>
              <w:pStyle w:val="Els-body-text"/>
              <w:spacing w:before="120" w:after="120" w:line="264" w:lineRule="auto"/>
              <w:jc w:val="right"/>
              <w:rPr>
                <w:lang w:val="en-GB"/>
              </w:rPr>
            </w:pPr>
            <w:r w:rsidRPr="00A94774">
              <w:rPr>
                <w:lang w:val="en-GB"/>
              </w:rPr>
              <w:t>(</w:t>
            </w:r>
            <w:r w:rsidR="00C14AD3">
              <w:rPr>
                <w:lang w:val="en-GB"/>
              </w:rPr>
              <w:t>5</w:t>
            </w:r>
            <w:r w:rsidRPr="00A94774">
              <w:rPr>
                <w:lang w:val="en-GB"/>
              </w:rPr>
              <w:t>)</w:t>
            </w:r>
          </w:p>
        </w:tc>
      </w:tr>
    </w:tbl>
    <w:p w14:paraId="3EE9F273" w14:textId="1D690295" w:rsidR="004F1566" w:rsidRDefault="00B5187A" w:rsidP="008D2649">
      <w:pPr>
        <w:pStyle w:val="Els-body-text"/>
      </w:pPr>
      <w:r>
        <w:t>An analytical solution can</w:t>
      </w:r>
      <w:r w:rsidR="00B56F77">
        <w:t xml:space="preserve"> readily</w:t>
      </w:r>
      <w:r>
        <w:t xml:space="preserve"> be obtained to calculate the enthalpy and entropy of ideal gases</w:t>
      </w:r>
      <w:r w:rsidR="00E5702F">
        <w:t xml:space="preserve"> </w:t>
      </w:r>
      <w:r w:rsidR="00E65CD7">
        <w:t>through</w:t>
      </w:r>
      <w:r w:rsidR="00E5702F">
        <w:t xml:space="preserve"> the </w:t>
      </w:r>
      <w:r w:rsidR="00E65CD7">
        <w:t>fundamental relations relating these quantities to the heat capacity seen in Eq.(</w:t>
      </w:r>
      <w:r w:rsidR="00635C9C">
        <w:t>6</w:t>
      </w:r>
      <w:r w:rsidR="00E65CD7">
        <w:t>).</w:t>
      </w:r>
      <w:r w:rsidR="00635C9C">
        <w:t xml:space="preserve"> </w:t>
      </w:r>
      <w:r w:rsidR="00B56F77">
        <w:t>Integration constants are not of any concern as enthalpy and entropy are expressed as differences (</w:t>
      </w:r>
      <m:oMath>
        <m:r>
          <m:rPr>
            <m:sty m:val="p"/>
          </m:rPr>
          <w:rPr>
            <w:rFonts w:ascii="Cambria Math" w:hAnsi="Cambria Math"/>
          </w:rPr>
          <m:t>Δ</m:t>
        </m:r>
      </m:oMath>
      <w:r w:rsidR="00B56F77">
        <w:t>) w.r.t. a reference state.</w:t>
      </w:r>
    </w:p>
    <w:tbl>
      <w:tblPr>
        <w:tblW w:w="7087" w:type="dxa"/>
        <w:tblLook w:val="04A0" w:firstRow="1" w:lastRow="0" w:firstColumn="1" w:lastColumn="0" w:noHBand="0" w:noVBand="1"/>
      </w:tblPr>
      <w:tblGrid>
        <w:gridCol w:w="6637"/>
        <w:gridCol w:w="450"/>
      </w:tblGrid>
      <w:tr w:rsidR="00E65CD7" w:rsidRPr="00A94774" w14:paraId="1B26FE5D" w14:textId="77777777" w:rsidTr="00635C9C">
        <w:tc>
          <w:tcPr>
            <w:tcW w:w="6637" w:type="dxa"/>
            <w:shd w:val="clear" w:color="auto" w:fill="auto"/>
            <w:vAlign w:val="center"/>
          </w:tcPr>
          <w:p w14:paraId="4F746373" w14:textId="78FF46AE" w:rsidR="00E65CD7" w:rsidRPr="00A94774" w:rsidRDefault="00000000" w:rsidP="001228C5">
            <w:pPr>
              <w:pStyle w:val="Els-body-text"/>
              <w:spacing w:before="120" w:after="120" w:line="264" w:lineRule="auto"/>
              <w:rPr>
                <w:lang w:val="en-GB"/>
              </w:rPr>
            </w:pPr>
            <m:oMathPara>
              <m:oMath>
                <m:sSup>
                  <m:sSupPr>
                    <m:ctrlPr>
                      <w:rPr>
                        <w:rFonts w:ascii="Cambria Math" w:hAnsi="Cambria Math"/>
                        <w:i/>
                        <w:lang w:val="en-GB"/>
                      </w:rPr>
                    </m:ctrlPr>
                  </m:sSupPr>
                  <m:e>
                    <m:r>
                      <w:rPr>
                        <w:rFonts w:ascii="Cambria Math"/>
                        <w:lang w:val="en-GB"/>
                      </w:rPr>
                      <m:t>H</m:t>
                    </m:r>
                  </m:e>
                  <m:sup>
                    <m:r>
                      <w:rPr>
                        <w:rFonts w:ascii="Cambria Math"/>
                        <w:lang w:val="en-GB"/>
                      </w:rPr>
                      <m:t>*</m:t>
                    </m:r>
                  </m:sup>
                </m:sSup>
                <m:r>
                  <w:rPr>
                    <w:rFonts w:ascii="Cambria Math"/>
                    <w:lang w:val="en-GB"/>
                  </w:rPr>
                  <m:t>=</m:t>
                </m:r>
                <m:nary>
                  <m:naryPr>
                    <m:limLoc m:val="undOvr"/>
                    <m:subHide m:val="1"/>
                    <m:supHide m:val="1"/>
                    <m:ctrlPr>
                      <w:rPr>
                        <w:rFonts w:ascii="Cambria Math" w:hAnsi="Cambria Math"/>
                        <w:i/>
                        <w:lang w:val="en-GB"/>
                      </w:rPr>
                    </m:ctrlPr>
                  </m:naryPr>
                  <m:sub/>
                  <m:sup/>
                  <m:e>
                    <m:r>
                      <w:rPr>
                        <w:rFonts w:ascii="Cambria Math"/>
                        <w:lang w:val="en-GB"/>
                      </w:rPr>
                      <m:t>C</m:t>
                    </m:r>
                    <m:sSup>
                      <m:sSupPr>
                        <m:ctrlPr>
                          <w:rPr>
                            <w:rFonts w:ascii="Cambria Math" w:hAnsi="Cambria Math"/>
                            <w:i/>
                            <w:lang w:val="en-GB"/>
                          </w:rPr>
                        </m:ctrlPr>
                      </m:sSupPr>
                      <m:e>
                        <m:r>
                          <w:rPr>
                            <w:rFonts w:ascii="Cambria Math"/>
                            <w:lang w:val="en-GB"/>
                          </w:rPr>
                          <m:t>p</m:t>
                        </m:r>
                      </m:e>
                      <m:sup>
                        <m:r>
                          <w:rPr>
                            <w:rFonts w:ascii="Cambria Math"/>
                            <w:lang w:val="en-GB"/>
                          </w:rPr>
                          <m:t>*</m:t>
                        </m:r>
                      </m:sup>
                    </m:sSup>
                  </m:e>
                </m:nary>
                <m:r>
                  <w:rPr>
                    <w:rFonts w:ascii="Cambria Math"/>
                    <w:lang w:val="en-GB"/>
                  </w:rPr>
                  <m:t xml:space="preserve">dT    &amp;  </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m:t>
                    </m:r>
                  </m:sup>
                </m:sSup>
                <m:r>
                  <w:rPr>
                    <w:rFonts w:ascii="Cambria Math" w:hAnsi="Cambria Math"/>
                    <w:lang w:val="en-GB"/>
                  </w:rPr>
                  <m:t>=</m:t>
                </m:r>
                <m:nary>
                  <m:naryPr>
                    <m:limLoc m:val="undOvr"/>
                    <m:subHide m:val="1"/>
                    <m:supHide m:val="1"/>
                    <m:ctrlPr>
                      <w:rPr>
                        <w:rFonts w:ascii="Cambria Math" w:hAnsi="Cambria Math"/>
                        <w:i/>
                        <w:lang w:val="en-GB"/>
                      </w:rPr>
                    </m:ctrlPr>
                  </m:naryPr>
                  <m:sub/>
                  <m:sup/>
                  <m:e>
                    <m:f>
                      <m:fPr>
                        <m:type m:val="skw"/>
                        <m:ctrlPr>
                          <w:rPr>
                            <w:rFonts w:ascii="Cambria Math" w:hAnsi="Cambria Math"/>
                            <w:i/>
                            <w:lang w:val="en-GB"/>
                          </w:rPr>
                        </m:ctrlPr>
                      </m:fPr>
                      <m:num>
                        <m:r>
                          <w:rPr>
                            <w:rFonts w:ascii="Cambria Math" w:hAnsi="Cambria Math"/>
                            <w:lang w:val="en-GB"/>
                          </w:rPr>
                          <m:t>C</m:t>
                        </m:r>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m:t>
                            </m:r>
                          </m:sup>
                        </m:sSup>
                      </m:num>
                      <m:den>
                        <m:r>
                          <w:rPr>
                            <w:rFonts w:ascii="Cambria Math" w:hAnsi="Cambria Math"/>
                            <w:lang w:val="en-GB"/>
                          </w:rPr>
                          <m:t>T</m:t>
                        </m:r>
                      </m:den>
                    </m:f>
                  </m:e>
                </m:nary>
                <m:r>
                  <w:rPr>
                    <w:rFonts w:ascii="Cambria Math"/>
                    <w:lang w:val="en-GB"/>
                  </w:rPr>
                  <m:t>dT</m:t>
                </m:r>
              </m:oMath>
            </m:oMathPara>
          </w:p>
        </w:tc>
        <w:tc>
          <w:tcPr>
            <w:tcW w:w="450" w:type="dxa"/>
            <w:shd w:val="clear" w:color="auto" w:fill="auto"/>
            <w:vAlign w:val="center"/>
          </w:tcPr>
          <w:p w14:paraId="3F181D40" w14:textId="643007FC" w:rsidR="00E65CD7" w:rsidRPr="00A94774" w:rsidRDefault="00E65CD7" w:rsidP="001228C5">
            <w:pPr>
              <w:pStyle w:val="Els-body-text"/>
              <w:spacing w:before="120" w:after="120" w:line="264" w:lineRule="auto"/>
              <w:jc w:val="right"/>
              <w:rPr>
                <w:lang w:val="en-GB"/>
              </w:rPr>
            </w:pPr>
            <w:r w:rsidRPr="00A94774">
              <w:rPr>
                <w:lang w:val="en-GB"/>
              </w:rPr>
              <w:t>(</w:t>
            </w:r>
            <w:r w:rsidR="00635C9C">
              <w:rPr>
                <w:lang w:val="en-GB"/>
              </w:rPr>
              <w:t>6</w:t>
            </w:r>
            <w:r w:rsidRPr="00A94774">
              <w:rPr>
                <w:lang w:val="en-GB"/>
              </w:rPr>
              <w:t>)</w:t>
            </w:r>
          </w:p>
        </w:tc>
      </w:tr>
    </w:tbl>
    <w:p w14:paraId="39396DB6" w14:textId="064A819F" w:rsidR="009F555F" w:rsidRDefault="003D062C" w:rsidP="008D2649">
      <w:pPr>
        <w:pStyle w:val="Els-body-text"/>
      </w:pPr>
      <w:r>
        <w:t xml:space="preserve">Despite the integral role the </w:t>
      </w:r>
      <w:r w:rsidR="001C5ADD">
        <w:t>property</w:t>
      </w:r>
      <w:r>
        <w:t xml:space="preserve"> plays, QSPR</w:t>
      </w:r>
      <w:r w:rsidR="00B2298C">
        <w:t>s</w:t>
      </w:r>
      <w:r>
        <w:t xml:space="preserve"> for predicting this quantity are</w:t>
      </w:r>
      <w:r w:rsidR="00372C6C">
        <w:t xml:space="preserve"> few</w:t>
      </w:r>
      <w:r w:rsidR="00F17164">
        <w:t>,</w:t>
      </w:r>
      <w:r w:rsidR="00BD0AA4">
        <w:t xml:space="preserve"> especially for the ideal gases.</w:t>
      </w:r>
      <w:r w:rsidR="00F17164">
        <w:t xml:space="preserve"> </w:t>
      </w:r>
      <w:r w:rsidR="003B1640">
        <w:t>Many</w:t>
      </w:r>
      <w:r w:rsidR="00F17164">
        <w:t xml:space="preserve"> still </w:t>
      </w:r>
      <w:r w:rsidR="00FA6D87">
        <w:t>rely</w:t>
      </w:r>
      <w:r w:rsidR="00F17164">
        <w:t xml:space="preserve"> on the </w:t>
      </w:r>
      <w:r w:rsidR="00FA6D87">
        <w:t xml:space="preserve">group-contribution (GC) method developed by </w:t>
      </w:r>
      <w:r w:rsidR="00B8749E">
        <w:fldChar w:fldCharType="begin"/>
      </w:r>
      <w:r w:rsidR="004B744D">
        <w:instrText xml:space="preserve"> ADDIN ZOTERO_ITEM CSL_CITATION {"citationID":"ItzqsjaY","properties":{"formattedCitation":"(Benson et al., 1969)","plainCitation":"(Benson et al., 1969)","dontUpdate":true,"noteIndex":0},"citationItems":[{"id":115,"uris":["http://zotero.org/users/12178610/items/VK8QC4FT"],"itemData":{"id":115,"type":"article-journal","container-title":"Chemical Reviews","DOI":"10.1021/cr60259a002","ISSN":"0009-2665","issue":"3","journalAbbreviation":"Chem. Rev.","note":"publisher: American Chemical Society","page":"279-324","source":"ACS Publications","title":"Additivity rules for the estimation of thermochemical properties","volume":"69","author":[{"family":"Benson","given":"Sidney W."},{"family":"Cruickshank","given":"F. R."},{"family":"Golden","given":"D. M."},{"family":"Haugen","given":"Gilbert R."},{"family":"O'Neal","given":"H. E."},{"family":"Rodgers","given":"A. S."},{"family":"Shaw","given":"Robert"},{"family":"Walsh","given":"R."}],"issued":{"date-parts":[["1969",6,1]]}}}],"schema":"https://github.com/citation-style-language/schema/raw/master/csl-citation.json"} </w:instrText>
      </w:r>
      <w:r w:rsidR="00B8749E">
        <w:fldChar w:fldCharType="separate"/>
      </w:r>
      <w:r w:rsidR="00B8749E" w:rsidRPr="00235033">
        <w:t xml:space="preserve">Benson et al. </w:t>
      </w:r>
      <w:r w:rsidR="00B8749E">
        <w:t>(</w:t>
      </w:r>
      <w:r w:rsidR="00B8749E" w:rsidRPr="00235033">
        <w:t>1969)</w:t>
      </w:r>
      <w:r w:rsidR="00B8749E">
        <w:fldChar w:fldCharType="end"/>
      </w:r>
      <w:r w:rsidR="00B8749E">
        <w:t xml:space="preserve"> and </w:t>
      </w:r>
      <w:r w:rsidR="00E10FAA">
        <w:fldChar w:fldCharType="begin"/>
      </w:r>
      <w:r w:rsidR="00235033">
        <w:instrText xml:space="preserve"> ADDIN ZOTERO_ITEM CSL_CITATION {"citationID":"4hLE3Jbp","properties":{"formattedCitation":"(Joback and Reid, 1987)","plainCitation":"(Joback and Reid, 1987)","dontUpdate":true,"noteIndex":0},"citationItems":[{"id":114,"uris":["http://zotero.org/users/12178610/items/RF4RPA4W"],"itemData":{"id":114,"type":"article-journal","container-title":"Chemical Engineering Communications","DOI":"10.1080/00986448708960487","ISSN":"0098-6445, 1563-5201","issue":"1-6","journalAbbreviation":"Chemical Engineering Communications","language":"en","page":"233-243","source":"DOI.org (Crossref)","title":"Estimation of pure component properties from group-contributions","volume":"57","author":[{"family":"Joback","given":"K.G."},{"family":"Reid","given":"R.C."}],"issued":{"date-parts":[["1987",7]]}}}],"schema":"https://github.com/citation-style-language/schema/raw/master/csl-citation.json"} </w:instrText>
      </w:r>
      <w:r w:rsidR="00E10FAA">
        <w:fldChar w:fldCharType="separate"/>
      </w:r>
      <w:r w:rsidR="00E10FAA" w:rsidRPr="00E10FAA">
        <w:t xml:space="preserve">Joback and Reid </w:t>
      </w:r>
      <w:r w:rsidR="0022434F">
        <w:t>(</w:t>
      </w:r>
      <w:r w:rsidR="00E10FAA" w:rsidRPr="00E10FAA">
        <w:t>1987)</w:t>
      </w:r>
      <w:r w:rsidR="00E10FAA">
        <w:fldChar w:fldCharType="end"/>
      </w:r>
      <w:r w:rsidR="00B8749E">
        <w:t xml:space="preserve">. </w:t>
      </w:r>
      <w:r w:rsidR="008E78AE">
        <w:t xml:space="preserve">Benson </w:t>
      </w:r>
      <w:r w:rsidR="00A45FD4">
        <w:t>define</w:t>
      </w:r>
      <w:r w:rsidR="008E78AE">
        <w:t>d</w:t>
      </w:r>
      <w:r w:rsidR="00A45FD4">
        <w:t xml:space="preserve"> 250 groups and 40 corrections for nearest neighbors</w:t>
      </w:r>
      <w:r w:rsidR="00115304">
        <w:t xml:space="preserve"> achieving 4-6 J/mol-K as</w:t>
      </w:r>
      <w:r w:rsidR="009602FC">
        <w:t xml:space="preserve"> </w:t>
      </w:r>
      <w:r w:rsidR="008E78AE">
        <w:t>an absolute</w:t>
      </w:r>
      <w:r w:rsidR="009602FC">
        <w:t xml:space="preserve"> error. Meanwhile, </w:t>
      </w:r>
      <w:r w:rsidR="00F53B34">
        <w:t>Joback and Ried</w:t>
      </w:r>
      <w:r w:rsidR="00E93E09">
        <w:t xml:space="preserve"> define</w:t>
      </w:r>
      <w:r w:rsidR="008E78AE">
        <w:t>d</w:t>
      </w:r>
      <w:r w:rsidR="00E93E09">
        <w:t xml:space="preserve"> 41 groups</w:t>
      </w:r>
      <w:r w:rsidR="00691330">
        <w:t xml:space="preserve"> capable of describing organic compounds</w:t>
      </w:r>
      <w:r w:rsidR="00525DA9">
        <w:t xml:space="preserve"> </w:t>
      </w:r>
      <w:r w:rsidR="00691330">
        <w:t>containing rings</w:t>
      </w:r>
      <w:r w:rsidR="00525DA9">
        <w:t xml:space="preserve">, sulfur, </w:t>
      </w:r>
      <w:r w:rsidR="00C269ED">
        <w:t>halogens,</w:t>
      </w:r>
      <w:r w:rsidR="00525DA9">
        <w:t xml:space="preserve"> and</w:t>
      </w:r>
      <w:r w:rsidR="00B7370A">
        <w:t xml:space="preserve"> nitrogen.</w:t>
      </w:r>
      <w:r w:rsidR="00F66D30">
        <w:t xml:space="preserve"> The ideal gas heat capacity </w:t>
      </w:r>
      <w:r w:rsidR="00F66D30">
        <w:lastRenderedPageBreak/>
        <w:t>was modelled as</w:t>
      </w:r>
      <w:r w:rsidR="00E57441">
        <w:t xml:space="preserve"> a cubic polynomial in temperature with </w:t>
      </w:r>
      <w:r w:rsidR="006134D4">
        <w:t>four coefficients (a,</w:t>
      </w:r>
      <w:r w:rsidR="00F14261">
        <w:t xml:space="preserve"> </w:t>
      </w:r>
      <w:r w:rsidR="006134D4">
        <w:t>b,</w:t>
      </w:r>
      <w:r w:rsidR="00F14261">
        <w:t xml:space="preserve"> </w:t>
      </w:r>
      <w:r w:rsidR="003B1640">
        <w:t>c,</w:t>
      </w:r>
      <w:r w:rsidR="006134D4">
        <w:t xml:space="preserve"> and d) which are </w:t>
      </w:r>
      <w:r w:rsidR="00785E31">
        <w:t>modelled</w:t>
      </w:r>
      <w:r w:rsidR="006134D4">
        <w:t xml:space="preserve"> a</w:t>
      </w:r>
      <w:r w:rsidR="00F14261">
        <w:t>s a linear function of the group contributions</w:t>
      </w:r>
      <w:r w:rsidR="0047745D">
        <w:t>.</w:t>
      </w:r>
      <w:r w:rsidR="00785E31">
        <w:t xml:space="preserve"> </w:t>
      </w:r>
      <w:r w:rsidR="00B20B37">
        <w:t>T</w:t>
      </w:r>
      <w:r w:rsidR="00744861">
        <w:t>he</w:t>
      </w:r>
      <w:r w:rsidR="001D4C1B">
        <w:t xml:space="preserve"> study covered</w:t>
      </w:r>
      <w:r w:rsidR="00B20B37">
        <w:t xml:space="preserve"> 288 compounds yielding</w:t>
      </w:r>
      <w:r w:rsidR="003B2179">
        <w:t xml:space="preserve"> a mean absolute percentage error of 1.59</w:t>
      </w:r>
      <w:r w:rsidR="00D730A8">
        <w:t>%</w:t>
      </w:r>
      <w:r w:rsidR="00A03438">
        <w:t xml:space="preserve"> and a mean absolute error of </w:t>
      </w:r>
      <w:r w:rsidR="00C76120">
        <w:t>5.9 J/mol-K.</w:t>
      </w:r>
      <w:r w:rsidR="003D77B1">
        <w:t xml:space="preserve"> </w:t>
      </w:r>
      <w:r w:rsidR="003B2458">
        <w:t xml:space="preserve">One advantage of developing QSPRs for this purpose is that </w:t>
      </w:r>
      <w:r w:rsidR="008E78AE">
        <w:t>solely the</w:t>
      </w:r>
      <w:r w:rsidR="003B2458">
        <w:t xml:space="preserve"> structural information </w:t>
      </w:r>
      <w:r w:rsidR="00B72559">
        <w:t>is</w:t>
      </w:r>
      <w:r w:rsidR="003B2458">
        <w:t xml:space="preserve"> needed alongside the desired temperature for evaluation.</w:t>
      </w:r>
      <w:r w:rsidR="00DF46E3">
        <w:t xml:space="preserve"> However, one drawback of the GC methods is their linear nature, </w:t>
      </w:r>
      <w:r w:rsidR="005232DF">
        <w:t>complex group identification procedure and</w:t>
      </w:r>
      <w:r w:rsidR="00DF46E3">
        <w:t xml:space="preserve"> </w:t>
      </w:r>
      <w:r w:rsidR="005232DF">
        <w:t>inability to account for missing contributions.</w:t>
      </w:r>
      <w:r w:rsidR="00BA6C23">
        <w:t xml:space="preserve"> </w:t>
      </w:r>
      <w:r w:rsidR="007A6C2B">
        <w:t>The recent</w:t>
      </w:r>
      <w:r w:rsidR="00BA6C23">
        <w:t xml:space="preserve"> surge in machine learning</w:t>
      </w:r>
      <w:r w:rsidR="001B3669">
        <w:t xml:space="preserve"> (ML)</w:t>
      </w:r>
      <w:r w:rsidR="001D4C1B">
        <w:t xml:space="preserve"> has</w:t>
      </w:r>
      <w:r w:rsidR="00BA6C23">
        <w:t xml:space="preserve"> renewed </w:t>
      </w:r>
      <w:r w:rsidR="001D4C1B">
        <w:t>interest in</w:t>
      </w:r>
      <w:r w:rsidR="00BA6C23">
        <w:t xml:space="preserve"> developing QSPR </w:t>
      </w:r>
      <w:r w:rsidR="001B3669">
        <w:t xml:space="preserve">capable of extracting </w:t>
      </w:r>
      <w:r w:rsidR="00775FA1">
        <w:t xml:space="preserve">relevant </w:t>
      </w:r>
      <w:r w:rsidR="001B3669">
        <w:t>structural</w:t>
      </w:r>
      <w:r w:rsidR="00775FA1">
        <w:t xml:space="preserve"> information and generating molecular descriptors from </w:t>
      </w:r>
      <w:r w:rsidR="008E78AE">
        <w:t xml:space="preserve">general </w:t>
      </w:r>
      <w:r w:rsidR="00501944">
        <w:t>molecular identifiers such as the SMILES (</w:t>
      </w:r>
      <w:r w:rsidR="00B2789A" w:rsidRPr="00B2789A">
        <w:t>simplified molecular input line entry system</w:t>
      </w:r>
      <w:r w:rsidR="00501944">
        <w:t>)</w:t>
      </w:r>
      <w:r w:rsidR="008E78AE">
        <w:t>.</w:t>
      </w:r>
    </w:p>
    <w:p w14:paraId="2239582A" w14:textId="2F5CD071" w:rsidR="009F555F" w:rsidRPr="00A94774" w:rsidRDefault="00B72559" w:rsidP="009F555F">
      <w:pPr>
        <w:pStyle w:val="Els-1storder-head"/>
        <w:spacing w:after="120"/>
        <w:rPr>
          <w:lang w:val="en-GB"/>
        </w:rPr>
      </w:pPr>
      <w:r>
        <w:rPr>
          <w:lang w:val="en-GB"/>
        </w:rPr>
        <w:t>Data-Driven</w:t>
      </w:r>
      <w:r w:rsidR="009F555F">
        <w:rPr>
          <w:lang w:val="en-GB"/>
        </w:rPr>
        <w:t xml:space="preserve"> </w:t>
      </w:r>
      <w:r w:rsidR="00EA6BC5">
        <w:rPr>
          <w:lang w:val="en-GB"/>
        </w:rPr>
        <w:t>Quantitative Structure-property Relation (</w:t>
      </w:r>
      <w:r w:rsidR="009F555F">
        <w:rPr>
          <w:lang w:val="en-GB"/>
        </w:rPr>
        <w:t>QSPR</w:t>
      </w:r>
      <w:r w:rsidR="00EA6BC5">
        <w:rPr>
          <w:lang w:val="en-GB"/>
        </w:rPr>
        <w:t>)</w:t>
      </w:r>
    </w:p>
    <w:p w14:paraId="786667A7" w14:textId="7A7637F3" w:rsidR="003C5874" w:rsidRDefault="009F555F" w:rsidP="008D2649">
      <w:pPr>
        <w:pStyle w:val="Els-body-text"/>
      </w:pPr>
      <w:r>
        <w:t>Graph neural networks</w:t>
      </w:r>
      <w:r w:rsidR="00EA6BC5">
        <w:t xml:space="preserve"> (GNNs)</w:t>
      </w:r>
      <w:r>
        <w:t xml:space="preserve"> have emerged as</w:t>
      </w:r>
      <w:r w:rsidR="008D3D53">
        <w:t xml:space="preserve"> viable </w:t>
      </w:r>
      <w:r w:rsidR="009C7FA4">
        <w:t>candidates</w:t>
      </w:r>
      <w:r w:rsidR="007D070D">
        <w:t xml:space="preserve"> </w:t>
      </w:r>
      <w:r w:rsidR="00B72559">
        <w:t xml:space="preserve">for </w:t>
      </w:r>
      <w:r w:rsidR="007D070D">
        <w:t xml:space="preserve">ML </w:t>
      </w:r>
      <w:r w:rsidR="00B72559">
        <w:t>models</w:t>
      </w:r>
      <w:r w:rsidR="008D3D53">
        <w:t xml:space="preserve"> to predict </w:t>
      </w:r>
      <w:r w:rsidR="007D070D">
        <w:t>a wide range of</w:t>
      </w:r>
      <w:r w:rsidR="008D3D53">
        <w:t xml:space="preserve"> </w:t>
      </w:r>
      <w:r w:rsidR="007D070D">
        <w:t>thermophysical</w:t>
      </w:r>
      <w:r w:rsidR="008D3D53">
        <w:t xml:space="preserve"> properties</w:t>
      </w:r>
      <w:r w:rsidR="00C269ED">
        <w:t xml:space="preserve"> with great accuracy</w:t>
      </w:r>
      <w:r w:rsidR="007D070D">
        <w:t xml:space="preserve"> </w:t>
      </w:r>
      <w:r w:rsidR="007D070D">
        <w:fldChar w:fldCharType="begin"/>
      </w:r>
      <w:r w:rsidR="00876029">
        <w:instrText xml:space="preserve"> ADDIN ZOTERO_ITEM CSL_CITATION {"citationID":"835AtJ5j","properties":{"formattedCitation":"(Aouichaoui et al., 2023b)","plainCitation":"(Aouichaoui et al., 2023b)","noteIndex":0},"citationItems":[{"id":20,"uris":["http://zotero.org/users/12178610/items/T2FSRG87"],"itemData":{"id":20,"type":"article-journal","abstract":"The ability to evaluate pure compound properties of various molecular species is an important prerequisite for process simulation in general and in particular for computer-aided molecular design (CAMD). Current techniques rely on group-contribution (GC) methods, which suffer from many drawbacks mainly the absence of contributions for specific groups. To overcome this challenge, in this work, we extended the range of interpretable graph neural network (GNN) models for describing a wide range of pure component properties. The new model library contains 30 different properties ranging from thermophysical, safety-related, and environmental properties. All of these have been modeled with a suitable level of accuracy for compound screening purposes compared to current GC models used within CAMD applications. Moreover, the developed models have been subjected to a series of sanity checks using logical and thermodynamic constraints. Results show the importance of evaluating the model across a range of properties to establish their thermodynamic consistency.","container-title":"Computers &amp; Chemical Engineering","DOI":"10.1016/j.compchemeng.2023.108291","ISSN":"0098-1354","journalAbbreviation":"Computers &amp; Chemical Engineering","license":"All rights reserved","page":"108291","source":"ScienceDirect","title":"Application of interpretable group-embedded graph neural networks for pure compound properties","volume":"176","author":[{"family":"Aouichaoui","given":"Adem R. N."},{"family":"Fan","given":"Fan"},{"family":"Abildskov","given":"Jens"},{"family":"Sin","given":"Gürkan"}],"issued":{"date-parts":[["2023",8,1]]}}}],"schema":"https://github.com/citation-style-language/schema/raw/master/csl-citation.json"} </w:instrText>
      </w:r>
      <w:r w:rsidR="007D070D">
        <w:fldChar w:fldCharType="separate"/>
      </w:r>
      <w:r w:rsidR="00876029" w:rsidRPr="00876029">
        <w:t>(Aouichaoui et al., 2023b)</w:t>
      </w:r>
      <w:r w:rsidR="007D070D">
        <w:fldChar w:fldCharType="end"/>
      </w:r>
      <w:r w:rsidR="00C14748">
        <w:t>.</w:t>
      </w:r>
      <w:r w:rsidR="00E97824">
        <w:t xml:space="preserve"> These models take as </w:t>
      </w:r>
      <w:r w:rsidR="00B72559">
        <w:t>input</w:t>
      </w:r>
      <w:r w:rsidR="00E97824">
        <w:t xml:space="preserve"> a graph representation</w:t>
      </w:r>
      <w:r w:rsidR="00626742">
        <w:t xml:space="preserve"> and by staking convolutional layers (also known as message passing layers), the information embedded</w:t>
      </w:r>
      <w:r w:rsidR="00D065C0">
        <w:t xml:space="preserve"> (also known as latent/hidden representation) </w:t>
      </w:r>
      <w:r w:rsidR="00626742">
        <w:t>in the nodes</w:t>
      </w:r>
      <w:r w:rsidR="00D065C0">
        <w:t xml:space="preserve"> (representing atoms)</w:t>
      </w:r>
      <w:r w:rsidR="00626742">
        <w:t xml:space="preserve"> and </w:t>
      </w:r>
      <w:r w:rsidR="003F5920">
        <w:t>edge</w:t>
      </w:r>
      <w:r w:rsidR="00626742">
        <w:t xml:space="preserve">s </w:t>
      </w:r>
      <w:r w:rsidR="00D065C0">
        <w:t>(representing</w:t>
      </w:r>
      <w:r w:rsidR="003F5920">
        <w:t xml:space="preserve"> bonds) </w:t>
      </w:r>
      <w:r w:rsidR="00626742">
        <w:t xml:space="preserve">is transferred </w:t>
      </w:r>
      <w:r w:rsidR="003F5920">
        <w:t xml:space="preserve">internally </w:t>
      </w:r>
      <w:r w:rsidR="00C14748">
        <w:t xml:space="preserve">(operations called message and update functions) </w:t>
      </w:r>
      <w:r w:rsidR="0053232C">
        <w:t>and aggregated (also known as readout) to produce a vector representation</w:t>
      </w:r>
      <w:r>
        <w:t xml:space="preserve"> of the molecule.</w:t>
      </w:r>
      <w:r w:rsidR="00C14748">
        <w:t xml:space="preserve"> </w:t>
      </w:r>
      <w:r w:rsidR="00EA6BC5">
        <w:t xml:space="preserve">This vector is used as an input to a multi-layer </w:t>
      </w:r>
      <w:r w:rsidR="009D2EDF">
        <w:t>perceptron</w:t>
      </w:r>
      <w:r w:rsidR="00EA6BC5">
        <w:t xml:space="preserve"> (MLP) to produce the target output. </w:t>
      </w:r>
      <w:r w:rsidR="00220CB3">
        <w:t xml:space="preserve">While GC methods can be </w:t>
      </w:r>
      <w:r w:rsidR="00722963">
        <w:t>seen as</w:t>
      </w:r>
      <w:r w:rsidR="00220CB3">
        <w:t xml:space="preserve"> white-box models, GNNs are completely black-box with very little interpretable aspect.</w:t>
      </w:r>
      <w:r w:rsidR="00ED3C5B">
        <w:t xml:space="preserve"> </w:t>
      </w:r>
      <w:r w:rsidR="009E66C0">
        <w:t>This</w:t>
      </w:r>
      <w:r w:rsidR="00ED3C5B">
        <w:t xml:space="preserve"> might hinder their wider applicability </w:t>
      </w:r>
      <w:r w:rsidR="00EA6BC5">
        <w:t>as</w:t>
      </w:r>
      <w:r w:rsidR="00ED3C5B">
        <w:t xml:space="preserve"> t</w:t>
      </w:r>
      <w:r w:rsidR="002C62DD">
        <w:t xml:space="preserve">he model trend when extrapolating is not known. </w:t>
      </w:r>
      <w:r w:rsidR="00942206">
        <w:t>It</w:t>
      </w:r>
      <w:r w:rsidR="002C62DD">
        <w:t xml:space="preserve"> has been shown that such models, </w:t>
      </w:r>
      <w:r w:rsidR="004A4081">
        <w:t>despite having good performance metrics</w:t>
      </w:r>
      <w:r w:rsidR="009D2EDF">
        <w:t>,</w:t>
      </w:r>
      <w:r w:rsidR="004A4081">
        <w:t xml:space="preserve"> might produce nonsensical results</w:t>
      </w:r>
      <w:r w:rsidR="009D2EDF">
        <w:t xml:space="preserve"> when extrapolating</w:t>
      </w:r>
      <w:r>
        <w:t xml:space="preserve"> </w:t>
      </w:r>
      <w:r w:rsidR="004A4081">
        <w:t xml:space="preserve">such </w:t>
      </w:r>
      <w:r w:rsidR="00942206">
        <w:t>as</w:t>
      </w:r>
      <w:r w:rsidR="004A4081">
        <w:t xml:space="preserve"> melting points </w:t>
      </w:r>
      <w:r w:rsidR="00942206">
        <w:t>being</w:t>
      </w:r>
      <w:r w:rsidR="004A4081">
        <w:t xml:space="preserve"> </w:t>
      </w:r>
      <w:r w:rsidR="009D2EDF">
        <w:t>above</w:t>
      </w:r>
      <w:r w:rsidR="004A4081">
        <w:t xml:space="preserve"> </w:t>
      </w:r>
      <w:r w:rsidR="009D2EDF">
        <w:t>boiling points</w:t>
      </w:r>
      <w:r w:rsidR="00942206">
        <w:t xml:space="preserve"> </w:t>
      </w:r>
      <w:r w:rsidR="00942206">
        <w:fldChar w:fldCharType="begin"/>
      </w:r>
      <w:r w:rsidR="00876029">
        <w:instrText xml:space="preserve"> ADDIN ZOTERO_ITEM CSL_CITATION {"citationID":"nOTyhq81","properties":{"formattedCitation":"(Aouichaoui et al., 2023b)","plainCitation":"(Aouichaoui et al., 2023b)","noteIndex":0},"citationItems":[{"id":20,"uris":["http://zotero.org/users/12178610/items/T2FSRG87"],"itemData":{"id":20,"type":"article-journal","abstract":"The ability to evaluate pure compound properties of various molecular species is an important prerequisite for process simulation in general and in particular for computer-aided molecular design (CAMD). Current techniques rely on group-contribution (GC) methods, which suffer from many drawbacks mainly the absence of contributions for specific groups. To overcome this challenge, in this work, we extended the range of interpretable graph neural network (GNN) models for describing a wide range of pure component properties. The new model library contains 30 different properties ranging from thermophysical, safety-related, and environmental properties. All of these have been modeled with a suitable level of accuracy for compound screening purposes compared to current GC models used within CAMD applications. Moreover, the developed models have been subjected to a series of sanity checks using logical and thermodynamic constraints. Results show the importance of evaluating the model across a range of properties to establish their thermodynamic consistency.","container-title":"Computers &amp; Chemical Engineering","DOI":"10.1016/j.compchemeng.2023.108291","ISSN":"0098-1354","journalAbbreviation":"Computers &amp; Chemical Engineering","license":"All rights reserved","page":"108291","source":"ScienceDirect","title":"Application of interpretable group-embedded graph neural networks for pure compound properties","volume":"176","author":[{"family":"Aouichaoui","given":"Adem R. N."},{"family":"Fan","given":"Fan"},{"family":"Abildskov","given":"Jens"},{"family":"Sin","given":"Gürkan"}],"issued":{"date-parts":[["2023",8,1]]}}}],"schema":"https://github.com/citation-style-language/schema/raw/master/csl-citation.json"} </w:instrText>
      </w:r>
      <w:r w:rsidR="00942206">
        <w:fldChar w:fldCharType="separate"/>
      </w:r>
      <w:r w:rsidR="00876029" w:rsidRPr="00876029">
        <w:t>(Aouichaoui et al., 2023b)</w:t>
      </w:r>
      <w:r w:rsidR="00942206">
        <w:fldChar w:fldCharType="end"/>
      </w:r>
      <w:r w:rsidR="00942206">
        <w:t>. This is</w:t>
      </w:r>
      <w:r w:rsidR="009D2EDF">
        <w:t xml:space="preserve"> largely</w:t>
      </w:r>
      <w:r w:rsidR="00942206">
        <w:t xml:space="preserve"> due to the models not being constrained by physical laws. </w:t>
      </w:r>
      <w:r w:rsidR="009A2B85">
        <w:t xml:space="preserve">Recent trends in </w:t>
      </w:r>
      <w:r w:rsidR="000769E8">
        <w:t>data-driven</w:t>
      </w:r>
      <w:r w:rsidR="009A2B85">
        <w:t xml:space="preserve"> modelling</w:t>
      </w:r>
      <w:r w:rsidR="000769E8">
        <w:t xml:space="preserve"> have emphasized the need to add </w:t>
      </w:r>
      <w:r w:rsidR="001B4DB6">
        <w:t>logic to</w:t>
      </w:r>
      <w:r w:rsidR="000769E8">
        <w:t xml:space="preserve"> </w:t>
      </w:r>
      <w:r w:rsidR="00D035FE">
        <w:t>govern the learnings</w:t>
      </w:r>
      <w:r w:rsidR="001B4DB6">
        <w:t xml:space="preserve"> of the</w:t>
      </w:r>
      <w:r w:rsidR="00C61E5D">
        <w:t xml:space="preserve"> model</w:t>
      </w:r>
      <w:r w:rsidR="00D035FE">
        <w:t xml:space="preserve"> </w:t>
      </w:r>
      <w:r w:rsidR="000769E8">
        <w:t xml:space="preserve">and </w:t>
      </w:r>
      <w:r w:rsidR="00D035FE">
        <w:t xml:space="preserve">to </w:t>
      </w:r>
      <w:r w:rsidR="007F21D3">
        <w:t>constrain</w:t>
      </w:r>
      <w:r w:rsidR="00D035FE">
        <w:t xml:space="preserve"> </w:t>
      </w:r>
      <w:r w:rsidR="00C61E5D">
        <w:t>it</w:t>
      </w:r>
      <w:r w:rsidR="00D035FE">
        <w:t xml:space="preserve"> to generate meaningful and consistent</w:t>
      </w:r>
      <w:r w:rsidR="001B4DB6">
        <w:t xml:space="preserve"> output</w:t>
      </w:r>
      <w:r w:rsidR="00C61E5D">
        <w:t xml:space="preserve">s. </w:t>
      </w:r>
      <w:r w:rsidR="00D62E22">
        <w:t xml:space="preserve">Semi-parametric hybrid modelling combines </w:t>
      </w:r>
      <w:r w:rsidR="009D2EDF">
        <w:t xml:space="preserve">data-driven and mechanistic </w:t>
      </w:r>
      <w:r w:rsidR="004A4671">
        <w:t xml:space="preserve">modelling </w:t>
      </w:r>
      <w:r w:rsidR="00811987">
        <w:t>and has proven to</w:t>
      </w:r>
      <w:r w:rsidR="00C96E6D">
        <w:t xml:space="preserve"> </w:t>
      </w:r>
      <w:r w:rsidR="009D2EDF">
        <w:t>generate</w:t>
      </w:r>
      <w:r w:rsidR="008D5191">
        <w:t xml:space="preserve"> accurate and </w:t>
      </w:r>
      <w:r w:rsidR="005857CE">
        <w:t xml:space="preserve">physically meaningful </w:t>
      </w:r>
      <w:r w:rsidR="009D2EDF">
        <w:t>outputs</w:t>
      </w:r>
      <w:r w:rsidR="005857CE">
        <w:t xml:space="preserve"> </w:t>
      </w:r>
      <w:r w:rsidR="005857CE">
        <w:fldChar w:fldCharType="begin"/>
      </w:r>
      <w:r w:rsidR="005857CE">
        <w:instrText xml:space="preserve"> ADDIN ZOTERO_ITEM CSL_CITATION {"citationID":"KPWAyH3n","properties":{"formattedCitation":"(Medina et al., 2022)","plainCitation":"(Medina et al., 2022)","noteIndex":0},"citationItems":[{"id":122,"uris":["http://zotero.org/users/12178610/items/8CADLGR7"],"itemData":{"id":122,"type":"article-journal","container-title":"Digital Discovery","DOI":"10.1039/D1DD00037C","issue":"3","language":"en","note":"publisher: Royal Society of Chemistry","page":"216-225","source":"pubs.rsc.org","title":"Graph neural networks for the prediction of infinite dilution activity coefficients","volume":"1","author":[{"family":"Medina","given":"Edgar Ivan Sanchez"},{"family":"Linke","given":"Steffen"},{"family":"Stoll","given":"Martin"},{"family":"Sundmacher","given":"Kai"}],"issued":{"date-parts":[["2022"]]}}}],"schema":"https://github.com/citation-style-language/schema/raw/master/csl-citation.json"} </w:instrText>
      </w:r>
      <w:r w:rsidR="005857CE">
        <w:fldChar w:fldCharType="separate"/>
      </w:r>
      <w:r w:rsidR="005857CE" w:rsidRPr="005857CE">
        <w:t>(Medina et al., 2022)</w:t>
      </w:r>
      <w:r w:rsidR="005857CE">
        <w:fldChar w:fldCharType="end"/>
      </w:r>
      <w:r w:rsidR="00C96E6D">
        <w:t>.</w:t>
      </w:r>
      <w:r w:rsidR="00721C45">
        <w:t xml:space="preserve"> In this work, </w:t>
      </w:r>
      <w:r w:rsidR="00D24C38">
        <w:t xml:space="preserve">we present </w:t>
      </w:r>
      <w:r w:rsidR="009E66C0">
        <w:t>one realization of</w:t>
      </w:r>
      <w:r w:rsidR="00335F11">
        <w:t xml:space="preserve"> hybrid </w:t>
      </w:r>
      <w:r w:rsidR="005857CE">
        <w:t>modelling</w:t>
      </w:r>
      <w:r w:rsidR="00335F11">
        <w:t xml:space="preserve"> using GNNs for func</w:t>
      </w:r>
      <w:r w:rsidR="0055560B">
        <w:t>tional property prediction, in this case</w:t>
      </w:r>
      <w:r w:rsidR="005857CE">
        <w:t>,</w:t>
      </w:r>
      <w:r w:rsidR="0055560B">
        <w:t xml:space="preserve"> the ideal gas heat capacity.</w:t>
      </w:r>
    </w:p>
    <w:p w14:paraId="144DE6A1" w14:textId="0BEFE287" w:rsidR="008D2649" w:rsidRPr="00A94774" w:rsidRDefault="007B5C99" w:rsidP="008D2649">
      <w:pPr>
        <w:pStyle w:val="Els-1storder-head"/>
        <w:spacing w:after="120"/>
        <w:rPr>
          <w:lang w:val="en-GB"/>
        </w:rPr>
      </w:pPr>
      <w:r>
        <w:rPr>
          <w:lang w:val="en-GB"/>
        </w:rPr>
        <w:t>Methods</w:t>
      </w:r>
    </w:p>
    <w:p w14:paraId="7CEFF3F8" w14:textId="371D206A" w:rsidR="0072439D" w:rsidRPr="00A94774" w:rsidRDefault="00045B26" w:rsidP="00094FED">
      <w:pPr>
        <w:pStyle w:val="Els-2ndorder-head"/>
      </w:pPr>
      <w:r>
        <w:t xml:space="preserve">Decoupled </w:t>
      </w:r>
      <w:r w:rsidR="006135C9">
        <w:t>S</w:t>
      </w:r>
      <w:r>
        <w:t>erial Hybrid Modelling Framework</w:t>
      </w:r>
    </w:p>
    <w:p w14:paraId="7138F783" w14:textId="00DF08FC" w:rsidR="00EF5F54" w:rsidRDefault="0045627C" w:rsidP="0072439D">
      <w:pPr>
        <w:pStyle w:val="Els-body-text"/>
        <w:rPr>
          <w:lang w:val="en-GB"/>
        </w:rPr>
      </w:pPr>
      <w:r>
        <w:rPr>
          <w:lang w:val="en-GB"/>
        </w:rPr>
        <w:t xml:space="preserve">The </w:t>
      </w:r>
      <w:r w:rsidR="00EF5F54">
        <w:rPr>
          <w:lang w:val="en-GB"/>
        </w:rPr>
        <w:t xml:space="preserve">hybrid modelling approach proposed herein </w:t>
      </w:r>
      <w:r w:rsidR="00812C55">
        <w:rPr>
          <w:lang w:val="en-GB"/>
        </w:rPr>
        <w:t>uses</w:t>
      </w:r>
      <w:r w:rsidR="00EF5F54">
        <w:rPr>
          <w:lang w:val="en-GB"/>
        </w:rPr>
        <w:t xml:space="preserve"> </w:t>
      </w:r>
      <w:r w:rsidR="00CA72DF">
        <w:rPr>
          <w:lang w:val="en-GB"/>
        </w:rPr>
        <w:t>five individual</w:t>
      </w:r>
      <w:r w:rsidR="00EF5F54">
        <w:rPr>
          <w:lang w:val="en-GB"/>
        </w:rPr>
        <w:t xml:space="preserve"> GNN</w:t>
      </w:r>
      <w:r w:rsidR="00722963">
        <w:rPr>
          <w:lang w:val="en-GB"/>
        </w:rPr>
        <w:t>s</w:t>
      </w:r>
      <w:r w:rsidR="00EF5F54">
        <w:rPr>
          <w:lang w:val="en-GB"/>
        </w:rPr>
        <w:t xml:space="preserve"> to predict the five parameters (A, B, C, D and E) </w:t>
      </w:r>
      <w:r w:rsidR="00EF0941">
        <w:rPr>
          <w:lang w:val="en-GB"/>
        </w:rPr>
        <w:t xml:space="preserve">needed for the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p</m:t>
            </m:r>
          </m:sub>
          <m:sup>
            <m:r>
              <w:rPr>
                <w:rFonts w:ascii="Cambria Math" w:hAnsi="Cambria Math"/>
                <w:lang w:val="en-GB"/>
              </w:rPr>
              <m:t>*</m:t>
            </m:r>
          </m:sup>
        </m:sSubSup>
      </m:oMath>
      <w:r w:rsidR="00EF5F54">
        <w:rPr>
          <w:lang w:val="en-GB"/>
        </w:rPr>
        <w:t xml:space="preserve"> correlation shown in Eq.(5)</w:t>
      </w:r>
      <w:r w:rsidR="00B734DF">
        <w:rPr>
          <w:lang w:val="en-GB"/>
        </w:rPr>
        <w:t>.</w:t>
      </w:r>
      <w:r w:rsidR="006C0EA5">
        <w:rPr>
          <w:lang w:val="en-GB"/>
        </w:rPr>
        <w:t xml:space="preserve"> Th</w:t>
      </w:r>
      <w:r w:rsidR="00EF0941">
        <w:rPr>
          <w:lang w:val="en-GB"/>
        </w:rPr>
        <w:t>e</w:t>
      </w:r>
      <w:r w:rsidR="006C0EA5">
        <w:rPr>
          <w:lang w:val="en-GB"/>
        </w:rPr>
        <w:t xml:space="preserve"> framework “decouples” the initial identification of the </w:t>
      </w:r>
      <w:r w:rsidR="00AF5557">
        <w:rPr>
          <w:lang w:val="en-GB"/>
        </w:rPr>
        <w:t>five parameters</w:t>
      </w:r>
      <w:r w:rsidR="00CA72DF">
        <w:rPr>
          <w:lang w:val="en-GB"/>
        </w:rPr>
        <w:t>, which are</w:t>
      </w:r>
      <w:r w:rsidR="00D01D19">
        <w:rPr>
          <w:lang w:val="en-GB"/>
        </w:rPr>
        <w:t xml:space="preserve"> predetermined</w:t>
      </w:r>
      <w:r w:rsidR="00CA72DF">
        <w:rPr>
          <w:lang w:val="en-GB"/>
        </w:rPr>
        <w:t xml:space="preserve"> initially</w:t>
      </w:r>
      <w:r w:rsidR="00D01D19">
        <w:rPr>
          <w:lang w:val="en-GB"/>
        </w:rPr>
        <w:t xml:space="preserve"> through least-square fitting using</w:t>
      </w:r>
      <w:r w:rsidR="00CA72DF">
        <w:rPr>
          <w:lang w:val="en-GB"/>
        </w:rPr>
        <w:t xml:space="preserve"> a range</w:t>
      </w:r>
      <w:r w:rsidR="00D01D19">
        <w:rPr>
          <w:lang w:val="en-GB"/>
        </w:rPr>
        <w:t xml:space="preserve">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p</m:t>
            </m:r>
          </m:sub>
          <m:sup>
            <m:r>
              <w:rPr>
                <w:rFonts w:ascii="Cambria Math" w:hAnsi="Cambria Math"/>
                <w:lang w:val="en-GB"/>
              </w:rPr>
              <m:t>*</m:t>
            </m:r>
          </m:sup>
        </m:sSubSup>
      </m:oMath>
      <w:r w:rsidR="00D01D19">
        <w:rPr>
          <w:lang w:val="en-GB"/>
        </w:rPr>
        <w:t xml:space="preserve"> values</w:t>
      </w:r>
      <w:r w:rsidR="00CA72DF">
        <w:rPr>
          <w:lang w:val="en-GB"/>
        </w:rPr>
        <w:t xml:space="preserve"> at different temperatures</w:t>
      </w:r>
      <w:r w:rsidR="00D01D19">
        <w:rPr>
          <w:lang w:val="en-GB"/>
        </w:rPr>
        <w:t>. A schematic of the framework can be seen in Figure</w:t>
      </w:r>
      <w:r w:rsidR="00EF0941">
        <w:rPr>
          <w:lang w:val="en-GB"/>
        </w:rPr>
        <w:t xml:space="preserve"> </w:t>
      </w:r>
      <w:r w:rsidR="00D01D19">
        <w:rPr>
          <w:lang w:val="en-GB"/>
        </w:rPr>
        <w:t>1.</w:t>
      </w:r>
    </w:p>
    <w:p w14:paraId="632367AC" w14:textId="14270994" w:rsidR="00EF0941" w:rsidRPr="00F5772C" w:rsidRDefault="00EF0941" w:rsidP="00EF0941">
      <w:pPr>
        <w:pStyle w:val="Els-2ndorder-head"/>
      </w:pPr>
      <w:r w:rsidRPr="00F5772C">
        <w:t xml:space="preserve">Graph </w:t>
      </w:r>
      <w:r w:rsidR="007A6C2B">
        <w:t>Neural</w:t>
      </w:r>
      <w:r w:rsidRPr="00F5772C">
        <w:t xml:space="preserve"> Network Model: Attentive Fingerprint (AFP)</w:t>
      </w:r>
    </w:p>
    <w:p w14:paraId="604D1BE2" w14:textId="7E257932" w:rsidR="00EF0941" w:rsidRDefault="00EF0941" w:rsidP="00EF0941">
      <w:pPr>
        <w:pStyle w:val="Els-body-text"/>
        <w:rPr>
          <w:lang w:val="en-GB"/>
        </w:rPr>
      </w:pPr>
      <w:r>
        <w:rPr>
          <w:lang w:val="en-GB"/>
        </w:rPr>
        <w:t xml:space="preserve">The attentive fingerprint (AFP) model by </w:t>
      </w:r>
      <w:r>
        <w:rPr>
          <w:lang w:val="en-GB"/>
        </w:rPr>
        <w:fldChar w:fldCharType="begin"/>
      </w:r>
      <w:r>
        <w:rPr>
          <w:lang w:val="en-GB"/>
        </w:rPr>
        <w:instrText xml:space="preserve"> ADDIN ZOTERO_ITEM CSL_CITATION {"citationID":"ixSNDrjx","properties":{"formattedCitation":"(Xiong et al., 2020)","plainCitation":"(Xiong et al., 2020)","dontUpdate":true,"noteIndex":0},"citationItems":[{"id":117,"uris":["http://zotero.org/users/12178610/items/JBXG566E"],"itemData":{"id":117,"type":"article-journal","abstract":"Hunting for chemicals with favorable pharmacological, toxicological, and pharmacokinetic properties remains a formidable challenge for drug discovery. Deep learning provides us with powerful tools to build predictive models that are appropriate for the rising amounts of data, but the gap between what these neural networks learn and what human beings can comprehend is growing. Moreover, this gap may induce distrust and restrict deep learning applications in practice. Here, we introduce a new graph neural network architecture called Attentive FP for molecular representation that uses a graph attention mechanism to learn from relevant drug discovery data sets. We demonstrate that Attentive FP achieves state-of-the-art predictive performances on a variety of data sets and that what it learns is interpretable. The feature visualization for Attentive FP suggests that it automatically learns nonlocal intramolecular interactions from specified tasks, which can help us gain chemical insights directly from data beyond human perception.","container-title":"Journal of Medicinal Chemistry","DOI":"10.1021/acs.jmedchem.9b00959","ISSN":"0022-2623","issue":"16","journalAbbreviation":"J. Med. Chem.","note":"publisher: American Chemical Society","page":"8749-8760","source":"ACS Publications","title":"Pushing the Boundaries of Molecular Representation for Drug Discovery with the Graph Attention Mechanism","volume":"63","author":[{"family":"Xiong","given":"Zhaoping"},{"family":"Wang","given":"Dingyan"},{"family":"Liu","given":"Xiaohong"},{"family":"Zhong","given":"Feisheng"},{"family":"Wan","given":"Xiaozhe"},{"family":"Li","given":"Xutong"},{"family":"Li","given":"Zhaojun"},{"family":"Luo","given":"Xiaomin"},{"family":"Chen","given":"Kaixian"},{"family":"Jiang","given":"Hualiang"},{"family":"Zheng","given":"Mingyue"}],"issued":{"date-parts":[["2020",8,27]]}}}],"schema":"https://github.com/citation-style-language/schema/raw/master/csl-citation.json"} </w:instrText>
      </w:r>
      <w:r>
        <w:rPr>
          <w:lang w:val="en-GB"/>
        </w:rPr>
        <w:fldChar w:fldCharType="separate"/>
      </w:r>
      <w:r w:rsidRPr="001333FA">
        <w:t xml:space="preserve">Xiong et al. </w:t>
      </w:r>
      <w:r>
        <w:t>(</w:t>
      </w:r>
      <w:r w:rsidRPr="001333FA">
        <w:t>2020)</w:t>
      </w:r>
      <w:r>
        <w:rPr>
          <w:lang w:val="en-GB"/>
        </w:rPr>
        <w:fldChar w:fldCharType="end"/>
      </w:r>
      <w:r>
        <w:rPr>
          <w:lang w:val="en-GB"/>
        </w:rPr>
        <w:t xml:space="preserve"> uses the attention mechanism to enable the model to learn weights when aggregating messages across the molecule. This enables the model to focus on important substructures relevant to the target property. The attention mechanism consists of three steps: alignment (combines the hidden representation of a node with that of its neighbours), weighting (assigns a weight coefficient summing up to one through a softmax activation) and context (produces an </w:t>
      </w:r>
      <w:r>
        <w:rPr>
          <w:lang w:val="en-GB"/>
        </w:rPr>
        <w:lastRenderedPageBreak/>
        <w:t xml:space="preserve">update to the node). This mechanism is applied on a node level and graph level as an alternative approach to readout. </w:t>
      </w:r>
      <w:r w:rsidR="00F5772C">
        <w:rPr>
          <w:lang w:val="en-GB"/>
        </w:rPr>
        <w:t>T</w:t>
      </w:r>
      <w:r>
        <w:rPr>
          <w:lang w:val="en-GB"/>
        </w:rPr>
        <w:t xml:space="preserve">he algorithm can be found in the work by </w:t>
      </w:r>
      <w:r>
        <w:rPr>
          <w:lang w:val="en-GB"/>
        </w:rPr>
        <w:fldChar w:fldCharType="begin"/>
      </w:r>
      <w:r>
        <w:rPr>
          <w:lang w:val="en-GB"/>
        </w:rPr>
        <w:instrText xml:space="preserve"> ADDIN ZOTERO_ITEM CSL_CITATION {"citationID":"n2r3XybV","properties":{"formattedCitation":"(Xiong et al., 2020)","plainCitation":"(Xiong et al., 2020)","dontUpdate":true,"noteIndex":0},"citationItems":[{"id":117,"uris":["http://zotero.org/users/12178610/items/JBXG566E"],"itemData":{"id":117,"type":"article-journal","abstract":"Hunting for chemicals with favorable pharmacological, toxicological, and pharmacokinetic properties remains a formidable challenge for drug discovery. Deep learning provides us with powerful tools to build predictive models that are appropriate for the rising amounts of data, but the gap between what these neural networks learn and what human beings can comprehend is growing. Moreover, this gap may induce distrust and restrict deep learning applications in practice. Here, we introduce a new graph neural network architecture called Attentive FP for molecular representation that uses a graph attention mechanism to learn from relevant drug discovery data sets. We demonstrate that Attentive FP achieves state-of-the-art predictive performances on a variety of data sets and that what it learns is interpretable. The feature visualization for Attentive FP suggests that it automatically learns nonlocal intramolecular interactions from specified tasks, which can help us gain chemical insights directly from data beyond human perception.","container-title":"Journal of Medicinal Chemistry","DOI":"10.1021/acs.jmedchem.9b00959","ISSN":"0022-2623","issue":"16","journalAbbreviation":"J. Med. Chem.","note":"publisher: American Chemical Society","page":"8749-8760","source":"ACS Publications","title":"Pushing the Boundaries of Molecular Representation for Drug Discovery with the Graph Attention Mechanism","volume":"63","author":[{"family":"Xiong","given":"Zhaoping"},{"family":"Wang","given":"Dingyan"},{"family":"Liu","given":"Xiaohong"},{"family":"Zhong","given":"Feisheng"},{"family":"Wan","given":"Xiaozhe"},{"family":"Li","given":"Xutong"},{"family":"Li","given":"Zhaojun"},{"family":"Luo","given":"Xiaomin"},{"family":"Chen","given":"Kaixian"},{"family":"Jiang","given":"Hualiang"},{"family":"Zheng","given":"Mingyue"}],"issued":{"date-parts":[["2020",8,27]]}}}],"schema":"https://github.com/citation-style-language/schema/raw/master/csl-citation.json"} </w:instrText>
      </w:r>
      <w:r>
        <w:rPr>
          <w:lang w:val="en-GB"/>
        </w:rPr>
        <w:fldChar w:fldCharType="separate"/>
      </w:r>
      <w:r w:rsidRPr="001333FA">
        <w:t xml:space="preserve">Xiong et al. </w:t>
      </w:r>
      <w:r>
        <w:t>(</w:t>
      </w:r>
      <w:r w:rsidRPr="001333FA">
        <w:t>2020)</w:t>
      </w:r>
      <w:r>
        <w:rPr>
          <w:lang w:val="en-GB"/>
        </w:rPr>
        <w:fldChar w:fldCharType="end"/>
      </w:r>
      <w:r>
        <w:rPr>
          <w:lang w:val="en-GB"/>
        </w:rPr>
        <w:t xml:space="preserve">. The molecular information chosen for featurizing the </w:t>
      </w:r>
      <w:r w:rsidR="00F5772C">
        <w:rPr>
          <w:lang w:val="en-GB"/>
        </w:rPr>
        <w:t xml:space="preserve">graph </w:t>
      </w:r>
      <w:r w:rsidR="007A6C2B">
        <w:rPr>
          <w:lang w:val="en-GB"/>
        </w:rPr>
        <w:t>is</w:t>
      </w:r>
      <w:r w:rsidR="00F5772C">
        <w:rPr>
          <w:lang w:val="en-GB"/>
        </w:rPr>
        <w:t xml:space="preserve"> </w:t>
      </w:r>
      <w:r>
        <w:rPr>
          <w:lang w:val="en-GB"/>
        </w:rPr>
        <w:t xml:space="preserve">commonly used in GNN modelling and is identical to those used by </w:t>
      </w:r>
      <w:r>
        <w:rPr>
          <w:lang w:val="en-GB"/>
        </w:rPr>
        <w:fldChar w:fldCharType="begin"/>
      </w:r>
      <w:r>
        <w:rPr>
          <w:lang w:val="en-GB"/>
        </w:rPr>
        <w:instrText xml:space="preserve"> ADDIN ZOTERO_ITEM CSL_CITATION {"citationID":"XEAVcMEV","properties":{"formattedCitation":"(Aouichaoui et al., 2023)","plainCitation":"(Aouichaoui et al., 2023)","dontUpdate":true,"noteIndex":0},"citationItems":[{"id":20,"uris":["http://zotero.org/users/12178610/items/T2FSRG87"],"itemData":{"id":20,"type":"article-journal","abstract":"The ability to evaluate pure compound properties of various molecular species is an important prerequisite for process simulation in general and in particular for computer-aided molecular design (CAMD). Current techniques rely on group-contribution (GC) methods, which suffer from many drawbacks mainly the absence of contributions for specific groups. To overcome this challenge, in this work, we extended the range of interpretable graph neural network (GNN) models for describing a wide range of pure component properties. The new model library contains 30 different properties ranging from thermophysical, safety-related, and environmental properties. All of these have been modeled with a suitable level of accuracy for compound screening purposes compared to current GC models used within CAMD applications. Moreover, the developed models have been subjected to a series of sanity checks using logical and thermodynamic constraints. Results show the importance of evaluating the model across a range of properties to establish their thermodynamic consistency.","container-title":"Computers &amp; Chemical Engineering","DOI":"10.1016/j.compchemeng.2023.108291","ISSN":"0098-1354","journalAbbreviation":"Computers &amp; Chemical Engineering","license":"All rights reserved","page":"108291","source":"ScienceDirect","title":"Application of interpretable group-embedded graph neural networks for pure compound properties","volume":"176","author":[{"family":"Aouichaoui","given":"Adem R. N."},{"family":"Fan","given":"Fan"},{"family":"Abildskov","given":"Jens"},{"family":"Sin","given":"Gürkan"}],"issued":{"date-parts":[["2023",8,1]]}}}],"schema":"https://github.com/citation-style-language/schema/raw/master/csl-citation.json"} </w:instrText>
      </w:r>
      <w:r>
        <w:rPr>
          <w:lang w:val="en-GB"/>
        </w:rPr>
        <w:fldChar w:fldCharType="separate"/>
      </w:r>
      <w:r w:rsidRPr="00BC6772">
        <w:t xml:space="preserve">Aouichaoui et al. </w:t>
      </w:r>
      <w:r>
        <w:t>(</w:t>
      </w:r>
      <w:r w:rsidRPr="00BC6772">
        <w:t>2023)</w:t>
      </w:r>
      <w:r>
        <w:rPr>
          <w:lang w:val="en-GB"/>
        </w:rPr>
        <w:fldChar w:fldCharType="end"/>
      </w:r>
      <w:r>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EC5714" w14:paraId="68FE21C7" w14:textId="77777777" w:rsidTr="0065642B">
        <w:tc>
          <w:tcPr>
            <w:tcW w:w="7076" w:type="dxa"/>
          </w:tcPr>
          <w:p w14:paraId="35CF33AC" w14:textId="3DB85E02" w:rsidR="00EC5714" w:rsidRDefault="00CD762A" w:rsidP="00CD762A">
            <w:pPr>
              <w:pStyle w:val="Els-body-text"/>
              <w:jc w:val="left"/>
              <w:rPr>
                <w:lang w:val="en-GB"/>
              </w:rPr>
            </w:pPr>
            <w:r w:rsidRPr="00CD762A">
              <w:rPr>
                <w:noProof/>
                <w:lang w:val="en-GB"/>
              </w:rPr>
              <w:drawing>
                <wp:inline distT="0" distB="0" distL="0" distR="0" wp14:anchorId="64FB4346" wp14:editId="173A04DD">
                  <wp:extent cx="4272077" cy="2225869"/>
                  <wp:effectExtent l="0" t="0" r="0" b="3175"/>
                  <wp:docPr id="2099182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82953" name=""/>
                          <pic:cNvPicPr/>
                        </pic:nvPicPr>
                        <pic:blipFill>
                          <a:blip r:embed="rId8"/>
                          <a:stretch>
                            <a:fillRect/>
                          </a:stretch>
                        </pic:blipFill>
                        <pic:spPr>
                          <a:xfrm>
                            <a:off x="0" y="0"/>
                            <a:ext cx="4289471" cy="2234932"/>
                          </a:xfrm>
                          <a:prstGeom prst="rect">
                            <a:avLst/>
                          </a:prstGeom>
                        </pic:spPr>
                      </pic:pic>
                    </a:graphicData>
                  </a:graphic>
                </wp:inline>
              </w:drawing>
            </w:r>
          </w:p>
        </w:tc>
      </w:tr>
      <w:tr w:rsidR="00EC5714" w14:paraId="7DFC1821" w14:textId="77777777" w:rsidTr="0065642B">
        <w:tc>
          <w:tcPr>
            <w:tcW w:w="7076" w:type="dxa"/>
          </w:tcPr>
          <w:p w14:paraId="7862B664" w14:textId="57DE27CF" w:rsidR="00EC5714" w:rsidRPr="00100D7D" w:rsidRDefault="0065642B" w:rsidP="0072439D">
            <w:pPr>
              <w:pStyle w:val="Els-body-text"/>
              <w:rPr>
                <w:sz w:val="18"/>
                <w:szCs w:val="18"/>
                <w:lang w:val="en-GB"/>
              </w:rPr>
            </w:pPr>
            <w:r w:rsidRPr="00100D7D">
              <w:rPr>
                <w:sz w:val="18"/>
                <w:szCs w:val="18"/>
                <w:lang w:val="en-GB"/>
              </w:rPr>
              <w:t>Figure 1:</w:t>
            </w:r>
            <w:r w:rsidR="00585DAB" w:rsidRPr="00100D7D">
              <w:rPr>
                <w:sz w:val="18"/>
                <w:szCs w:val="18"/>
              </w:rPr>
              <w:t xml:space="preserve"> </w:t>
            </w:r>
            <w:r w:rsidR="00585DAB" w:rsidRPr="00100D7D">
              <w:rPr>
                <w:sz w:val="18"/>
                <w:szCs w:val="18"/>
                <w:lang w:val="en-GB"/>
              </w:rPr>
              <w:t xml:space="preserve">Decoupled serial </w:t>
            </w:r>
            <w:r w:rsidR="00355489" w:rsidRPr="00100D7D">
              <w:rPr>
                <w:sz w:val="18"/>
                <w:szCs w:val="18"/>
                <w:lang w:val="en-GB"/>
              </w:rPr>
              <w:t>h</w:t>
            </w:r>
            <w:r w:rsidR="00585DAB" w:rsidRPr="00100D7D">
              <w:rPr>
                <w:sz w:val="18"/>
                <w:szCs w:val="18"/>
                <w:lang w:val="en-GB"/>
              </w:rPr>
              <w:t xml:space="preserve">ybrid </w:t>
            </w:r>
            <w:r w:rsidR="00355489" w:rsidRPr="00100D7D">
              <w:rPr>
                <w:sz w:val="18"/>
                <w:szCs w:val="18"/>
                <w:lang w:val="en-GB"/>
              </w:rPr>
              <w:t>m</w:t>
            </w:r>
            <w:r w:rsidR="00585DAB" w:rsidRPr="00100D7D">
              <w:rPr>
                <w:sz w:val="18"/>
                <w:szCs w:val="18"/>
                <w:lang w:val="en-GB"/>
              </w:rPr>
              <w:t xml:space="preserve">odelling </w:t>
            </w:r>
            <w:r w:rsidR="00355489" w:rsidRPr="00100D7D">
              <w:rPr>
                <w:sz w:val="18"/>
                <w:szCs w:val="18"/>
                <w:lang w:val="en-GB"/>
              </w:rPr>
              <w:t>f</w:t>
            </w:r>
            <w:r w:rsidR="00585DAB" w:rsidRPr="00100D7D">
              <w:rPr>
                <w:sz w:val="18"/>
                <w:szCs w:val="18"/>
                <w:lang w:val="en-GB"/>
              </w:rPr>
              <w:t>ramework for the ideal gas heat capacity</w:t>
            </w:r>
          </w:p>
        </w:tc>
      </w:tr>
    </w:tbl>
    <w:p w14:paraId="49E64D4B" w14:textId="35A114F2" w:rsidR="0045627C" w:rsidRPr="0045627C" w:rsidRDefault="00A62E02" w:rsidP="008D2649">
      <w:pPr>
        <w:pStyle w:val="Els-2ndorder-head"/>
      </w:pPr>
      <w:r>
        <w:t>Data</w:t>
      </w:r>
    </w:p>
    <w:p w14:paraId="149A85E7" w14:textId="421344D2" w:rsidR="003F217A" w:rsidRDefault="00F529F6" w:rsidP="003F217A">
      <w:pPr>
        <w:pStyle w:val="Els-body-text"/>
        <w:rPr>
          <w:lang w:val="en-GB"/>
        </w:rPr>
      </w:pPr>
      <w:r>
        <w:rPr>
          <w:lang w:val="en-GB"/>
        </w:rPr>
        <w:t>The data used in this work are</w:t>
      </w:r>
      <w:r w:rsidR="003F217A">
        <w:rPr>
          <w:lang w:val="en-GB"/>
        </w:rPr>
        <w:t xml:space="preserve"> obtained from </w:t>
      </w:r>
      <w:r w:rsidR="005857CE">
        <w:rPr>
          <w:lang w:val="en-GB"/>
        </w:rPr>
        <w:t xml:space="preserve">the </w:t>
      </w:r>
      <w:r w:rsidR="003F217A" w:rsidRPr="003F217A">
        <w:rPr>
          <w:lang w:val="en-GB"/>
        </w:rPr>
        <w:t>Design Institute for Physical</w:t>
      </w:r>
      <w:r w:rsidR="003F217A">
        <w:rPr>
          <w:lang w:val="en-GB"/>
        </w:rPr>
        <w:t xml:space="preserve"> </w:t>
      </w:r>
      <w:r w:rsidR="003F217A" w:rsidRPr="003F217A">
        <w:rPr>
          <w:lang w:val="en-GB"/>
        </w:rPr>
        <w:t>Properties under the American Institute of Chemical Engineers (AIChE</w:t>
      </w:r>
      <w:r w:rsidR="003F217A">
        <w:rPr>
          <w:lang w:val="en-GB"/>
        </w:rPr>
        <w:t>-</w:t>
      </w:r>
      <w:r w:rsidR="003F217A" w:rsidRPr="003F217A">
        <w:rPr>
          <w:lang w:val="en-GB"/>
        </w:rPr>
        <w:t>DIPPR)</w:t>
      </w:r>
      <w:r w:rsidR="00FC459C">
        <w:rPr>
          <w:lang w:val="en-GB"/>
        </w:rPr>
        <w:t xml:space="preserve"> </w:t>
      </w:r>
      <w:r w:rsidR="004B744D">
        <w:rPr>
          <w:lang w:val="en-GB"/>
        </w:rPr>
        <w:fldChar w:fldCharType="begin"/>
      </w:r>
      <w:r w:rsidR="004B744D">
        <w:rPr>
          <w:lang w:val="en-GB"/>
        </w:rPr>
        <w:instrText xml:space="preserve"> ADDIN ZOTERO_ITEM CSL_CITATION {"citationID":"PjYBDiVO","properties":{"formattedCitation":"(Rowley et al., 2019)","plainCitation":"(Rowley et al., 2019)","noteIndex":0},"citationItems":[{"id":119,"uris":["http://zotero.org/users/12178610/items/3X7E7CYB"],"itemData":{"id":119,"type":"software","title":"DIPPR data compilation of pure chemical properties","author":[{"family":"Rowley","given":"R.I."},{"family":"Oscarson","given":"W.V."},{"family":"Giles","given":"N.F."}],"issued":{"date-parts":[["2019"]]}}}],"schema":"https://github.com/citation-style-language/schema/raw/master/csl-citation.json"} </w:instrText>
      </w:r>
      <w:r w:rsidR="004B744D">
        <w:rPr>
          <w:lang w:val="en-GB"/>
        </w:rPr>
        <w:fldChar w:fldCharType="separate"/>
      </w:r>
      <w:r w:rsidR="004B744D" w:rsidRPr="004B744D">
        <w:t>(Rowley et al., 2019)</w:t>
      </w:r>
      <w:r w:rsidR="004B744D">
        <w:rPr>
          <w:lang w:val="en-GB"/>
        </w:rPr>
        <w:fldChar w:fldCharType="end"/>
      </w:r>
      <w:r w:rsidR="00DD26B4">
        <w:rPr>
          <w:lang w:val="en-GB"/>
        </w:rPr>
        <w:t>. A total of 1</w:t>
      </w:r>
      <w:r w:rsidR="002068BF">
        <w:rPr>
          <w:lang w:val="en-GB"/>
        </w:rPr>
        <w:t>,</w:t>
      </w:r>
      <w:r w:rsidR="00DD26B4">
        <w:rPr>
          <w:lang w:val="en-GB"/>
        </w:rPr>
        <w:t xml:space="preserve">909 </w:t>
      </w:r>
      <w:r w:rsidR="007220F9">
        <w:rPr>
          <w:lang w:val="en-GB"/>
        </w:rPr>
        <w:t>organic compounds</w:t>
      </w:r>
      <w:r w:rsidR="00132797">
        <w:rPr>
          <w:lang w:val="en-GB"/>
        </w:rPr>
        <w:t xml:space="preserve"> containing halogens, </w:t>
      </w:r>
      <w:r w:rsidR="00F0645F">
        <w:rPr>
          <w:lang w:val="en-GB"/>
        </w:rPr>
        <w:t>nitrogen,</w:t>
      </w:r>
      <w:r w:rsidR="00132797">
        <w:rPr>
          <w:lang w:val="en-GB"/>
        </w:rPr>
        <w:t xml:space="preserve"> and sulphur</w:t>
      </w:r>
      <w:r w:rsidR="00DD26B4">
        <w:rPr>
          <w:lang w:val="en-GB"/>
        </w:rPr>
        <w:t xml:space="preserve"> with at least five measurements</w:t>
      </w:r>
      <w:r w:rsidR="00B359DD">
        <w:rPr>
          <w:lang w:val="en-GB"/>
        </w:rPr>
        <w:t xml:space="preserve"> (a total of 22,962</w:t>
      </w:r>
      <w:r w:rsidR="00132797">
        <w:rPr>
          <w:lang w:val="en-GB"/>
        </w:rPr>
        <w:t xml:space="preserve"> data points</w:t>
      </w:r>
      <w:r w:rsidR="00B359DD">
        <w:rPr>
          <w:lang w:val="en-GB"/>
        </w:rPr>
        <w:t>)</w:t>
      </w:r>
      <w:r w:rsidR="007220F9">
        <w:rPr>
          <w:lang w:val="en-GB"/>
        </w:rPr>
        <w:t xml:space="preserve"> </w:t>
      </w:r>
      <w:r w:rsidR="004C04E7">
        <w:rPr>
          <w:lang w:val="en-GB"/>
        </w:rPr>
        <w:t>and temperature range</w:t>
      </w:r>
      <w:r w:rsidR="00132797">
        <w:rPr>
          <w:lang w:val="en-GB"/>
        </w:rPr>
        <w:t>s from</w:t>
      </w:r>
      <w:r w:rsidR="004C04E7">
        <w:rPr>
          <w:lang w:val="en-GB"/>
        </w:rPr>
        <w:t xml:space="preserve"> </w:t>
      </w:r>
      <w:r w:rsidR="00426714">
        <w:rPr>
          <w:lang w:val="en-GB"/>
        </w:rPr>
        <w:t>25K to 6000K were chosen</w:t>
      </w:r>
      <w:r w:rsidR="00341B3C">
        <w:rPr>
          <w:lang w:val="en-GB"/>
        </w:rPr>
        <w:t>. The data covered experimental (88 compounds)</w:t>
      </w:r>
      <w:r w:rsidR="002F0F20">
        <w:rPr>
          <w:lang w:val="en-GB"/>
        </w:rPr>
        <w:t xml:space="preserve"> and predicted</w:t>
      </w:r>
      <w:r w:rsidR="00F0645F">
        <w:rPr>
          <w:lang w:val="en-GB"/>
        </w:rPr>
        <w:t xml:space="preserve"> values</w:t>
      </w:r>
      <w:r w:rsidR="002F0F20">
        <w:rPr>
          <w:lang w:val="en-GB"/>
        </w:rPr>
        <w:t>, with the main prediction method being density functio</w:t>
      </w:r>
      <w:r w:rsidR="006F5730">
        <w:rPr>
          <w:lang w:val="en-GB"/>
        </w:rPr>
        <w:t xml:space="preserve">n theory (DFT) calculations </w:t>
      </w:r>
      <w:r w:rsidR="001403C2">
        <w:rPr>
          <w:lang w:val="en-GB"/>
        </w:rPr>
        <w:t>using</w:t>
      </w:r>
      <w:r w:rsidR="006F5730">
        <w:rPr>
          <w:lang w:val="en-GB"/>
        </w:rPr>
        <w:t xml:space="preserve"> B3LYP/6-311+G(3df,2p)</w:t>
      </w:r>
      <w:r w:rsidR="001403C2">
        <w:rPr>
          <w:lang w:val="en-GB"/>
        </w:rPr>
        <w:t xml:space="preserve"> frequency evaluation.</w:t>
      </w:r>
    </w:p>
    <w:p w14:paraId="1F9EA7C2" w14:textId="39AD255C" w:rsidR="00A62E02" w:rsidRPr="0045627C" w:rsidRDefault="008D5390" w:rsidP="00A62E02">
      <w:pPr>
        <w:pStyle w:val="Els-2ndorder-head"/>
      </w:pPr>
      <w:r>
        <w:t>Model development</w:t>
      </w:r>
    </w:p>
    <w:p w14:paraId="175CD68E" w14:textId="1A9A8839" w:rsidR="00225111" w:rsidRDefault="00225111" w:rsidP="00A62E02">
      <w:pPr>
        <w:pStyle w:val="Els-body-text"/>
        <w:rPr>
          <w:lang w:val="en-GB"/>
        </w:rPr>
      </w:pPr>
      <w:r>
        <w:rPr>
          <w:lang w:val="en-GB"/>
        </w:rPr>
        <w:t xml:space="preserve">Initially, the correlation parameters in Eq.(5) were determined </w:t>
      </w:r>
      <w:r w:rsidR="004A0BEF">
        <w:rPr>
          <w:lang w:val="en-GB"/>
        </w:rPr>
        <w:t>through</w:t>
      </w:r>
      <w:r>
        <w:rPr>
          <w:lang w:val="en-GB"/>
        </w:rPr>
        <w:t xml:space="preserve"> least squared error fitting using differential evolution</w:t>
      </w:r>
      <w:r w:rsidR="00B758CB">
        <w:rPr>
          <w:lang w:val="en-GB"/>
        </w:rPr>
        <w:t xml:space="preserve"> </w:t>
      </w:r>
      <w:r w:rsidR="00B758CB">
        <w:rPr>
          <w:lang w:val="en-GB"/>
        </w:rPr>
        <w:fldChar w:fldCharType="begin"/>
      </w:r>
      <w:r w:rsidR="00B758CB">
        <w:rPr>
          <w:lang w:val="en-GB"/>
        </w:rPr>
        <w:instrText xml:space="preserve"> ADDIN ZOTERO_ITEM CSL_CITATION {"citationID":"vtCvWATo","properties":{"formattedCitation":"(Storn and Price, 1997)","plainCitation":"(Storn and Price, 1997)","noteIndex":0},"citationItems":[{"id":120,"uris":["http://zotero.org/users/12178610/items/W5ZUBTU8"],"itemData":{"id":120,"type":"article-journal","abstract":"A new heuristic approach for minimizing possiblynonlinear and non-differentiable continuous spacefunctions is presented. By means of an extensivetestbed it is demonstrated that the new methodconverges faster and with more certainty than manyother acclaimed global optimization methods. The newmethod requires few control variables, is robust, easyto use, and lends itself very well to parallelcomputation.","container-title":"Journal of Global Optimization","DOI":"10.1023/A:1008202821328","ISSN":"1573-2916","issue":"4","journalAbbreviation":"Journal of Global Optimization","language":"en","page":"341-359","source":"Springer Link","title":"Differential Evolution – A Simple and Efficient Heuristic for global Optimization over Continuous Spaces","volume":"11","author":[{"family":"Storn","given":"Rainer"},{"family":"Price","given":"Kenneth"}],"issued":{"date-parts":[["1997",12,1]]}}}],"schema":"https://github.com/citation-style-language/schema/raw/master/csl-citation.json"} </w:instrText>
      </w:r>
      <w:r w:rsidR="00B758CB">
        <w:rPr>
          <w:lang w:val="en-GB"/>
        </w:rPr>
        <w:fldChar w:fldCharType="separate"/>
      </w:r>
      <w:r w:rsidR="00B758CB" w:rsidRPr="00B758CB">
        <w:t>(Storn and Price, 1997)</w:t>
      </w:r>
      <w:r w:rsidR="00B758CB">
        <w:rPr>
          <w:lang w:val="en-GB"/>
        </w:rPr>
        <w:fldChar w:fldCharType="end"/>
      </w:r>
      <w:r w:rsidR="004A0BEF">
        <w:rPr>
          <w:lang w:val="en-GB"/>
        </w:rPr>
        <w:t>. A constraint was set that all parameters had to be positive since they</w:t>
      </w:r>
      <w:r w:rsidR="0092146E">
        <w:rPr>
          <w:lang w:val="en-GB"/>
        </w:rPr>
        <w:t xml:space="preserve"> represent characteristic temperatures.</w:t>
      </w:r>
      <w:r w:rsidR="00C20395">
        <w:rPr>
          <w:lang w:val="en-GB"/>
        </w:rPr>
        <w:t xml:space="preserve"> Then</w:t>
      </w:r>
      <w:r w:rsidR="00F0645F">
        <w:rPr>
          <w:lang w:val="en-GB"/>
        </w:rPr>
        <w:t>,</w:t>
      </w:r>
      <w:r w:rsidR="00C20395">
        <w:rPr>
          <w:lang w:val="en-GB"/>
        </w:rPr>
        <w:t xml:space="preserve"> </w:t>
      </w:r>
      <w:r w:rsidR="00F0645F">
        <w:rPr>
          <w:lang w:val="en-GB"/>
        </w:rPr>
        <w:t>five</w:t>
      </w:r>
      <w:r w:rsidR="00C20395">
        <w:rPr>
          <w:lang w:val="en-GB"/>
        </w:rPr>
        <w:t xml:space="preserve"> GNN</w:t>
      </w:r>
      <w:r w:rsidR="00DB6B8B">
        <w:rPr>
          <w:lang w:val="en-GB"/>
        </w:rPr>
        <w:t>s</w:t>
      </w:r>
      <w:r w:rsidR="00C20395">
        <w:rPr>
          <w:lang w:val="en-GB"/>
        </w:rPr>
        <w:t xml:space="preserve"> were trained independently using the same 90%-5%-5% </w:t>
      </w:r>
      <w:r w:rsidR="00843791">
        <w:rPr>
          <w:lang w:val="en-GB"/>
        </w:rPr>
        <w:t>randomly split</w:t>
      </w:r>
      <w:r w:rsidR="002F56C6">
        <w:rPr>
          <w:lang w:val="en-GB"/>
        </w:rPr>
        <w:t xml:space="preserve"> compounds</w:t>
      </w:r>
      <w:r w:rsidR="00843791">
        <w:rPr>
          <w:lang w:val="en-GB"/>
        </w:rPr>
        <w:t xml:space="preserve"> for training, validation and testing respectively.</w:t>
      </w:r>
      <w:r w:rsidR="006552F6">
        <w:rPr>
          <w:lang w:val="en-GB"/>
        </w:rPr>
        <w:t xml:space="preserve"> The models were trained for a maxi</w:t>
      </w:r>
      <w:r w:rsidR="00055B35">
        <w:rPr>
          <w:lang w:val="en-GB"/>
        </w:rPr>
        <w:t xml:space="preserve">mum of 500 epochs and </w:t>
      </w:r>
      <w:r w:rsidR="00B72559">
        <w:rPr>
          <w:lang w:val="en-GB"/>
        </w:rPr>
        <w:t>used</w:t>
      </w:r>
      <w:r w:rsidR="00055B35">
        <w:rPr>
          <w:lang w:val="en-GB"/>
        </w:rPr>
        <w:t xml:space="preserve"> early stopping </w:t>
      </w:r>
      <w:r w:rsidR="00CF16CF">
        <w:rPr>
          <w:lang w:val="en-GB"/>
        </w:rPr>
        <w:t>to safeguard against overfitting. The model was trained using the ADAM optimizer</w:t>
      </w:r>
      <w:r w:rsidR="005B3B89">
        <w:rPr>
          <w:lang w:val="en-GB"/>
        </w:rPr>
        <w:t xml:space="preserve"> with a scheduled learning rate similar </w:t>
      </w:r>
      <w:r w:rsidR="00EF4B50">
        <w:rPr>
          <w:lang w:val="en-GB"/>
        </w:rPr>
        <w:t xml:space="preserve">to the study by </w:t>
      </w:r>
      <w:r w:rsidR="00EF4B50">
        <w:rPr>
          <w:lang w:val="en-GB"/>
        </w:rPr>
        <w:fldChar w:fldCharType="begin"/>
      </w:r>
      <w:r w:rsidR="00876029">
        <w:rPr>
          <w:lang w:val="en-GB"/>
        </w:rPr>
        <w:instrText xml:space="preserve"> ADDIN ZOTERO_ITEM CSL_CITATION {"citationID":"UTYKLKFe","properties":{"formattedCitation":"(Aouichaoui et al., 2023)","plainCitation":"(Aouichaoui et al., 2023)","dontUpdate":true,"noteIndex":0},"citationItems":[{"id":20,"uris":["http://zotero.org/users/12178610/items/T2FSRG87"],"itemData":{"id":20,"type":"article-journal","abstract":"The ability to evaluate pure compound properties of various molecular species is an important prerequisite for process simulation in general and in particular for computer-aided molecular design (CAMD). Current techniques rely on group-contribution (GC) methods, which suffer from many drawbacks mainly the absence of contributions for specific groups. To overcome this challenge, in this work, we extended the range of interpretable graph neural network (GNN) models for describing a wide range of pure component properties. The new model library contains 30 different properties ranging from thermophysical, safety-related, and environmental properties. All of these have been modeled with a suitable level of accuracy for compound screening purposes compared to current GC models used within CAMD applications. Moreover, the developed models have been subjected to a series of sanity checks using logical and thermodynamic constraints. Results show the importance of evaluating the model across a range of properties to establish their thermodynamic consistency.","container-title":"Computers &amp; Chemical Engineering","DOI":"10.1016/j.compchemeng.2023.108291","ISSN":"0098-1354","journalAbbreviation":"Computers &amp; Chemical Engineering","license":"All rights reserved","page":"108291","source":"ScienceDirect","title":"Application of interpretable group-embedded graph neural networks for pure compound properties","volume":"176","author":[{"family":"Aouichaoui","given":"Adem R. N."},{"family":"Fan","given":"Fan"},{"family":"Abildskov","given":"Jens"},{"family":"Sin","given":"Gürkan"}],"issued":{"date-parts":[["2023",8,1]]}}}],"schema":"https://github.com/citation-style-language/schema/raw/master/csl-citation.json"} </w:instrText>
      </w:r>
      <w:r w:rsidR="00EF4B50">
        <w:rPr>
          <w:lang w:val="en-GB"/>
        </w:rPr>
        <w:fldChar w:fldCharType="separate"/>
      </w:r>
      <w:r w:rsidR="00EF4B50" w:rsidRPr="00EF4B50">
        <w:t xml:space="preserve">Aouichaoui et al., </w:t>
      </w:r>
      <w:r w:rsidR="00F0645F">
        <w:t>(</w:t>
      </w:r>
      <w:r w:rsidR="00EF4B50" w:rsidRPr="00EF4B50">
        <w:t>202</w:t>
      </w:r>
      <w:r w:rsidR="00F0645F">
        <w:t>3)</w:t>
      </w:r>
      <w:r w:rsidR="00EF4B50">
        <w:rPr>
          <w:lang w:val="en-GB"/>
        </w:rPr>
        <w:fldChar w:fldCharType="end"/>
      </w:r>
      <w:r w:rsidR="00EF4B50">
        <w:rPr>
          <w:lang w:val="en-GB"/>
        </w:rPr>
        <w:t>.</w:t>
      </w:r>
      <w:r w:rsidR="00D11FBB">
        <w:rPr>
          <w:lang w:val="en-GB"/>
        </w:rPr>
        <w:t xml:space="preserve"> The hyperparameters consisted of </w:t>
      </w:r>
      <w:r w:rsidR="005D67FA">
        <w:rPr>
          <w:lang w:val="en-GB"/>
        </w:rPr>
        <w:t xml:space="preserve">the </w:t>
      </w:r>
      <w:r w:rsidR="00D11FBB">
        <w:rPr>
          <w:lang w:val="en-GB"/>
        </w:rPr>
        <w:t>number of node-leve</w:t>
      </w:r>
      <w:r w:rsidR="00302745">
        <w:rPr>
          <w:lang w:val="en-GB"/>
        </w:rPr>
        <w:t>l</w:t>
      </w:r>
      <w:r w:rsidR="00D11FBB">
        <w:rPr>
          <w:lang w:val="en-GB"/>
        </w:rPr>
        <w:t xml:space="preserve"> </w:t>
      </w:r>
      <w:r w:rsidR="00302745">
        <w:rPr>
          <w:lang w:val="en-GB"/>
        </w:rPr>
        <w:t>and graph</w:t>
      </w:r>
      <w:r w:rsidR="00F0645F">
        <w:rPr>
          <w:lang w:val="en-GB"/>
        </w:rPr>
        <w:t>-level</w:t>
      </w:r>
      <w:r w:rsidR="00302745">
        <w:rPr>
          <w:lang w:val="en-GB"/>
        </w:rPr>
        <w:t xml:space="preserve"> </w:t>
      </w:r>
      <w:r w:rsidR="005D67FA">
        <w:rPr>
          <w:lang w:val="en-GB"/>
        </w:rPr>
        <w:t>message-passing</w:t>
      </w:r>
      <w:r w:rsidR="00302745">
        <w:rPr>
          <w:lang w:val="en-GB"/>
        </w:rPr>
        <w:t xml:space="preserve"> layers</w:t>
      </w:r>
      <w:r w:rsidR="00BF02E2">
        <w:rPr>
          <w:lang w:val="en-GB"/>
        </w:rPr>
        <w:t xml:space="preserve"> </w:t>
      </w:r>
      <w:r w:rsidR="00302745">
        <w:rPr>
          <w:lang w:val="en-GB"/>
        </w:rPr>
        <w:t xml:space="preserve">as well as the length of the final representation produced. The number </w:t>
      </w:r>
      <w:r w:rsidR="00F33587">
        <w:rPr>
          <w:lang w:val="en-GB"/>
        </w:rPr>
        <w:t xml:space="preserve">of MLP layers </w:t>
      </w:r>
      <w:r w:rsidR="005D67FA">
        <w:rPr>
          <w:lang w:val="en-GB"/>
        </w:rPr>
        <w:t>was</w:t>
      </w:r>
      <w:r w:rsidR="00F33587">
        <w:rPr>
          <w:lang w:val="en-GB"/>
        </w:rPr>
        <w:t xml:space="preserve"> fixed to 2 with the hidden layer being half of the length of the molecular feature produced.</w:t>
      </w:r>
      <w:r w:rsidR="005D67FA">
        <w:rPr>
          <w:lang w:val="en-GB"/>
        </w:rPr>
        <w:t xml:space="preserve"> The </w:t>
      </w:r>
      <w:r w:rsidR="00B72559">
        <w:rPr>
          <w:lang w:val="en-GB"/>
        </w:rPr>
        <w:t>hyperparameters</w:t>
      </w:r>
      <w:r w:rsidR="005D67FA">
        <w:rPr>
          <w:lang w:val="en-GB"/>
        </w:rPr>
        <w:t xml:space="preserve"> were</w:t>
      </w:r>
      <w:r w:rsidR="005E6994">
        <w:rPr>
          <w:lang w:val="en-GB"/>
        </w:rPr>
        <w:t xml:space="preserve"> determined using a </w:t>
      </w:r>
      <w:r w:rsidR="00B72559">
        <w:rPr>
          <w:lang w:val="en-GB"/>
        </w:rPr>
        <w:t>grid search</w:t>
      </w:r>
      <w:r w:rsidR="005E6994">
        <w:rPr>
          <w:lang w:val="en-GB"/>
        </w:rPr>
        <w:t xml:space="preserve"> where the number of layers ranged from one to four, while the length of the molecular feature vector </w:t>
      </w:r>
      <w:r w:rsidR="00875B0D">
        <w:rPr>
          <w:lang w:val="en-GB"/>
        </w:rPr>
        <w:t>could take the values 1024, 512, 256 or 128.</w:t>
      </w:r>
    </w:p>
    <w:p w14:paraId="144DE6A5" w14:textId="1D1DE418" w:rsidR="008D2649" w:rsidRPr="00A94774" w:rsidRDefault="007B5C99" w:rsidP="008D2649">
      <w:pPr>
        <w:pStyle w:val="Els-1storder-head"/>
        <w:spacing w:after="120"/>
        <w:rPr>
          <w:lang w:val="en-GB"/>
        </w:rPr>
      </w:pPr>
      <w:r>
        <w:rPr>
          <w:lang w:val="en-GB"/>
        </w:rPr>
        <w:t>Results</w:t>
      </w:r>
      <w:r w:rsidR="005860F2">
        <w:rPr>
          <w:lang w:val="en-GB"/>
        </w:rPr>
        <w:t xml:space="preserve"> &amp; Discussion</w:t>
      </w:r>
    </w:p>
    <w:p w14:paraId="2AA76287" w14:textId="75D7135D" w:rsidR="00DF629A" w:rsidRDefault="00D26CCB" w:rsidP="0061195E">
      <w:pPr>
        <w:pStyle w:val="Els-body-text"/>
        <w:spacing w:after="120"/>
        <w:rPr>
          <w:lang w:val="en-GB"/>
        </w:rPr>
      </w:pPr>
      <w:r>
        <w:rPr>
          <w:lang w:val="en-GB"/>
        </w:rPr>
        <w:t xml:space="preserve">The preliminary </w:t>
      </w:r>
      <w:r w:rsidR="00D10A5E">
        <w:rPr>
          <w:lang w:val="en-GB"/>
        </w:rPr>
        <w:t>fit</w:t>
      </w:r>
      <w:r>
        <w:rPr>
          <w:lang w:val="en-GB"/>
        </w:rPr>
        <w:t xml:space="preserve"> of the parameters for Eq.(5)</w:t>
      </w:r>
      <w:r w:rsidR="00BF02E2">
        <w:rPr>
          <w:lang w:val="en-GB"/>
        </w:rPr>
        <w:t xml:space="preserve"> was successful</w:t>
      </w:r>
      <w:r>
        <w:rPr>
          <w:lang w:val="en-GB"/>
        </w:rPr>
        <w:t xml:space="preserve"> yield</w:t>
      </w:r>
      <w:r w:rsidR="00BF02E2">
        <w:rPr>
          <w:lang w:val="en-GB"/>
        </w:rPr>
        <w:t>ing</w:t>
      </w:r>
      <w:r w:rsidR="00D10A5E">
        <w:rPr>
          <w:lang w:val="en-GB"/>
        </w:rPr>
        <w:t xml:space="preserve"> </w:t>
      </w:r>
      <w:r w:rsidR="005B698D">
        <w:rPr>
          <w:lang w:val="en-GB"/>
        </w:rPr>
        <w:t>an overall coefficient of determination (R</w:t>
      </w:r>
      <w:r w:rsidR="005B698D" w:rsidRPr="005B698D">
        <w:rPr>
          <w:vertAlign w:val="superscript"/>
          <w:lang w:val="en-GB"/>
        </w:rPr>
        <w:t>2</w:t>
      </w:r>
      <w:r w:rsidR="005B698D">
        <w:rPr>
          <w:lang w:val="en-GB"/>
        </w:rPr>
        <w:t>) of 0.99, while the MAE and MRE were 0.93 J/mol-K and 0.43 % respectively. The lowest</w:t>
      </w:r>
      <w:r w:rsidR="00D10A5E">
        <w:rPr>
          <w:lang w:val="en-GB"/>
        </w:rPr>
        <w:t xml:space="preserve"> </w:t>
      </w:r>
      <w:r w:rsidR="00533252">
        <w:rPr>
          <w:lang w:val="en-GB"/>
        </w:rPr>
        <w:t>R</w:t>
      </w:r>
      <w:r w:rsidR="00533252" w:rsidRPr="00533252">
        <w:rPr>
          <w:vertAlign w:val="superscript"/>
          <w:lang w:val="en-GB"/>
        </w:rPr>
        <w:t>2</w:t>
      </w:r>
      <w:r w:rsidR="00533252">
        <w:rPr>
          <w:lang w:val="en-GB"/>
        </w:rPr>
        <w:t xml:space="preserve"> </w:t>
      </w:r>
      <w:r w:rsidR="005B698D">
        <w:rPr>
          <w:lang w:val="en-GB"/>
        </w:rPr>
        <w:t>was</w:t>
      </w:r>
      <w:r w:rsidR="00533252">
        <w:rPr>
          <w:lang w:val="en-GB"/>
        </w:rPr>
        <w:t xml:space="preserve"> 0.93</w:t>
      </w:r>
      <w:r w:rsidR="005B698D">
        <w:rPr>
          <w:lang w:val="en-GB"/>
        </w:rPr>
        <w:t xml:space="preserve">, while the </w:t>
      </w:r>
      <w:r w:rsidR="00DB46D4">
        <w:rPr>
          <w:lang w:val="en-GB"/>
        </w:rPr>
        <w:t xml:space="preserve">maximum MAE </w:t>
      </w:r>
      <w:r w:rsidR="001970D2">
        <w:rPr>
          <w:lang w:val="en-GB"/>
        </w:rPr>
        <w:t xml:space="preserve">and </w:t>
      </w:r>
      <w:r w:rsidR="002068BF">
        <w:rPr>
          <w:lang w:val="en-GB"/>
        </w:rPr>
        <w:t>M</w:t>
      </w:r>
      <w:r w:rsidR="008521EA">
        <w:rPr>
          <w:lang w:val="en-GB"/>
        </w:rPr>
        <w:t>R</w:t>
      </w:r>
      <w:r w:rsidR="005B698D">
        <w:rPr>
          <w:lang w:val="en-GB"/>
        </w:rPr>
        <w:t>E were</w:t>
      </w:r>
      <w:r w:rsidR="008A1F4E">
        <w:rPr>
          <w:lang w:val="en-GB"/>
        </w:rPr>
        <w:t xml:space="preserve"> </w:t>
      </w:r>
      <w:r w:rsidR="005B698D">
        <w:rPr>
          <w:lang w:val="en-GB"/>
        </w:rPr>
        <w:t>10.</w:t>
      </w:r>
      <w:r w:rsidR="005B698D" w:rsidRPr="005B698D">
        <w:rPr>
          <w:lang w:val="en-GB"/>
        </w:rPr>
        <w:t>20</w:t>
      </w:r>
      <w:r w:rsidR="00276CA6" w:rsidRPr="005B698D">
        <w:rPr>
          <w:lang w:val="en-GB"/>
        </w:rPr>
        <w:t xml:space="preserve"> </w:t>
      </w:r>
      <w:r w:rsidR="005B698D" w:rsidRPr="005B698D">
        <w:rPr>
          <w:lang w:val="en-GB"/>
        </w:rPr>
        <w:t>J</w:t>
      </w:r>
      <w:r w:rsidR="001970D2" w:rsidRPr="005B698D">
        <w:rPr>
          <w:lang w:val="en-GB"/>
        </w:rPr>
        <w:t>/mol-K</w:t>
      </w:r>
      <w:r w:rsidR="001970D2">
        <w:rPr>
          <w:lang w:val="en-GB"/>
        </w:rPr>
        <w:t xml:space="preserve"> and </w:t>
      </w:r>
      <w:r w:rsidR="008A1F4E">
        <w:rPr>
          <w:lang w:val="en-GB"/>
        </w:rPr>
        <w:t>4.5 %</w:t>
      </w:r>
      <w:r w:rsidR="00BF02E2">
        <w:rPr>
          <w:lang w:val="en-GB"/>
        </w:rPr>
        <w:t xml:space="preserve"> respectively</w:t>
      </w:r>
      <w:r w:rsidR="008A1F4E">
        <w:rPr>
          <w:lang w:val="en-GB"/>
        </w:rPr>
        <w:t>.</w:t>
      </w:r>
      <w:r w:rsidR="00EC74D0">
        <w:rPr>
          <w:lang w:val="en-GB"/>
        </w:rPr>
        <w:t xml:space="preserve"> </w:t>
      </w:r>
      <w:r w:rsidR="00290F74">
        <w:rPr>
          <w:lang w:val="en-GB"/>
        </w:rPr>
        <w:t xml:space="preserve">Table 1 shows the </w:t>
      </w:r>
      <w:r w:rsidR="007014E0">
        <w:rPr>
          <w:lang w:val="en-GB"/>
        </w:rPr>
        <w:t xml:space="preserve">same metrics for predicting </w:t>
      </w:r>
      <w:r w:rsidR="007014E0">
        <w:rPr>
          <w:lang w:val="en-GB"/>
        </w:rPr>
        <w:lastRenderedPageBreak/>
        <w:t xml:space="preserve">the </w:t>
      </w:r>
      <w:r w:rsidR="0061054F">
        <w:rPr>
          <w:lang w:val="en-GB"/>
        </w:rPr>
        <w:t xml:space="preserve">five </w:t>
      </w:r>
      <w:r w:rsidR="007014E0">
        <w:rPr>
          <w:lang w:val="en-GB"/>
        </w:rPr>
        <w:t xml:space="preserve">parameters through </w:t>
      </w:r>
      <w:r w:rsidR="0061054F">
        <w:rPr>
          <w:lang w:val="en-GB"/>
        </w:rPr>
        <w:t xml:space="preserve">the </w:t>
      </w:r>
      <w:r w:rsidR="007014E0">
        <w:rPr>
          <w:lang w:val="en-GB"/>
        </w:rPr>
        <w:t>GNN</w:t>
      </w:r>
      <w:r w:rsidR="0061054F">
        <w:rPr>
          <w:lang w:val="en-GB"/>
        </w:rPr>
        <w:t>s</w:t>
      </w:r>
      <w:r w:rsidR="007014E0">
        <w:rPr>
          <w:lang w:val="en-GB"/>
        </w:rPr>
        <w:t xml:space="preserve">. </w:t>
      </w:r>
      <w:r w:rsidR="00853EDE">
        <w:rPr>
          <w:lang w:val="en-GB"/>
        </w:rPr>
        <w:t>The model with the lowest</w:t>
      </w:r>
      <w:r w:rsidR="0061054F">
        <w:rPr>
          <w:lang w:val="en-GB"/>
        </w:rPr>
        <w:t xml:space="preserve"> validation</w:t>
      </w:r>
      <w:r w:rsidR="00853EDE">
        <w:rPr>
          <w:lang w:val="en-GB"/>
        </w:rPr>
        <w:t xml:space="preserve"> </w:t>
      </w:r>
      <w:r w:rsidR="0061054F">
        <w:rPr>
          <w:lang w:val="en-GB"/>
        </w:rPr>
        <w:t>MAE</w:t>
      </w:r>
      <w:r w:rsidR="00853EDE">
        <w:rPr>
          <w:lang w:val="en-GB"/>
        </w:rPr>
        <w:t xml:space="preserve"> </w:t>
      </w:r>
      <w:r w:rsidR="001C6B5B">
        <w:rPr>
          <w:lang w:val="en-GB"/>
        </w:rPr>
        <w:t xml:space="preserve">is chosen from the </w:t>
      </w:r>
      <w:r w:rsidR="007A6C2B">
        <w:rPr>
          <w:lang w:val="en-GB"/>
        </w:rPr>
        <w:t>grid search</w:t>
      </w:r>
      <w:r w:rsidR="001C6B5B">
        <w:rPr>
          <w:lang w:val="en-GB"/>
        </w:rPr>
        <w:t xml:space="preserve">. </w:t>
      </w:r>
    </w:p>
    <w:p w14:paraId="588A4651" w14:textId="5C416178" w:rsidR="00761426" w:rsidRDefault="00761426" w:rsidP="00375CC3">
      <w:pPr>
        <w:pStyle w:val="Caption"/>
        <w:keepNext/>
        <w:jc w:val="both"/>
      </w:pPr>
      <w:r>
        <w:t xml:space="preserve">Table </w:t>
      </w:r>
      <w:r>
        <w:fldChar w:fldCharType="begin"/>
      </w:r>
      <w:r>
        <w:instrText xml:space="preserve"> SEQ Table \* ARABIC </w:instrText>
      </w:r>
      <w:r>
        <w:fldChar w:fldCharType="separate"/>
      </w:r>
      <w:r>
        <w:rPr>
          <w:noProof/>
        </w:rPr>
        <w:t>1</w:t>
      </w:r>
      <w:r>
        <w:fldChar w:fldCharType="end"/>
      </w:r>
      <w:r>
        <w:t xml:space="preserve">: </w:t>
      </w:r>
      <w:r w:rsidR="006C210A">
        <w:t xml:space="preserve">Performance metrics of the GNN on the parameters </w:t>
      </w:r>
      <m:oMath>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m:t>
            </m:r>
          </m:sup>
        </m:sSubSup>
      </m:oMath>
      <w:r w:rsidR="006C210A">
        <w:t xml:space="preserve"> correlation</w:t>
      </w:r>
      <w:r w:rsidR="004574A4">
        <w:t xml:space="preserve">: first </w:t>
      </w:r>
      <w:r w:rsidR="00C02051">
        <w:t>value</w:t>
      </w:r>
      <w:r w:rsidR="00B72559">
        <w:t xml:space="preserve"> </w:t>
      </w:r>
      <w:r w:rsidR="00375CC3">
        <w:t xml:space="preserve">corresponds </w:t>
      </w:r>
      <w:r w:rsidR="00B72559">
        <w:t>to</w:t>
      </w:r>
      <w:r w:rsidR="00375CC3">
        <w:t xml:space="preserve"> that </w:t>
      </w:r>
      <w:r w:rsidR="004574A4">
        <w:t xml:space="preserve">for training, </w:t>
      </w:r>
      <w:r w:rsidR="00375CC3">
        <w:t xml:space="preserve">the </w:t>
      </w:r>
      <w:r w:rsidR="004574A4">
        <w:t>second for validation and</w:t>
      </w:r>
      <w:r w:rsidR="00375CC3">
        <w:t xml:space="preserve"> the</w:t>
      </w:r>
      <w:r w:rsidR="004574A4">
        <w:t xml:space="preserve"> third for testing.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1448"/>
        <w:gridCol w:w="1239"/>
        <w:gridCol w:w="1207"/>
        <w:gridCol w:w="1207"/>
        <w:gridCol w:w="1207"/>
      </w:tblGrid>
      <w:tr w:rsidR="00FC0848" w14:paraId="1193F7CA" w14:textId="145199FB" w:rsidTr="00FC0848">
        <w:trPr>
          <w:jc w:val="center"/>
        </w:trPr>
        <w:tc>
          <w:tcPr>
            <w:tcW w:w="778" w:type="dxa"/>
            <w:tcBorders>
              <w:top w:val="single" w:sz="4" w:space="0" w:color="auto"/>
              <w:left w:val="nil"/>
              <w:bottom w:val="single" w:sz="4" w:space="0" w:color="auto"/>
              <w:right w:val="single" w:sz="4" w:space="0" w:color="auto"/>
            </w:tcBorders>
          </w:tcPr>
          <w:p w14:paraId="4BB87FCB" w14:textId="69ED42A1" w:rsidR="00FC0848" w:rsidRDefault="000B2310">
            <w:pPr>
              <w:pStyle w:val="Els-body-text"/>
              <w:jc w:val="center"/>
            </w:pPr>
            <w:r>
              <w:t>Metric</w:t>
            </w:r>
          </w:p>
        </w:tc>
        <w:tc>
          <w:tcPr>
            <w:tcW w:w="1448" w:type="dxa"/>
            <w:tcBorders>
              <w:top w:val="single" w:sz="4" w:space="0" w:color="auto"/>
              <w:left w:val="single" w:sz="4" w:space="0" w:color="auto"/>
              <w:bottom w:val="single" w:sz="4" w:space="0" w:color="auto"/>
              <w:right w:val="nil"/>
            </w:tcBorders>
          </w:tcPr>
          <w:p w14:paraId="53EB4F4E" w14:textId="0FEF7600" w:rsidR="00FC0848" w:rsidRDefault="00FC0848">
            <w:pPr>
              <w:pStyle w:val="Els-body-text"/>
              <w:jc w:val="center"/>
            </w:pPr>
            <w:r>
              <w:t>A</w:t>
            </w:r>
          </w:p>
        </w:tc>
        <w:tc>
          <w:tcPr>
            <w:tcW w:w="1239" w:type="dxa"/>
            <w:tcBorders>
              <w:top w:val="single" w:sz="4" w:space="0" w:color="auto"/>
              <w:left w:val="nil"/>
              <w:bottom w:val="single" w:sz="4" w:space="0" w:color="auto"/>
              <w:right w:val="nil"/>
            </w:tcBorders>
          </w:tcPr>
          <w:p w14:paraId="27B2CDF5" w14:textId="708E954B" w:rsidR="00FC0848" w:rsidRDefault="00FC0848">
            <w:pPr>
              <w:pStyle w:val="Els-body-text"/>
              <w:jc w:val="center"/>
            </w:pPr>
            <w:r>
              <w:t>B</w:t>
            </w:r>
          </w:p>
        </w:tc>
        <w:tc>
          <w:tcPr>
            <w:tcW w:w="1207" w:type="dxa"/>
            <w:tcBorders>
              <w:top w:val="single" w:sz="4" w:space="0" w:color="auto"/>
              <w:left w:val="nil"/>
              <w:bottom w:val="single" w:sz="4" w:space="0" w:color="auto"/>
              <w:right w:val="nil"/>
            </w:tcBorders>
          </w:tcPr>
          <w:p w14:paraId="06CE2C0C" w14:textId="29026066" w:rsidR="00FC0848" w:rsidRDefault="00FC0848">
            <w:pPr>
              <w:pStyle w:val="Els-body-text"/>
              <w:jc w:val="center"/>
            </w:pPr>
            <w:r>
              <w:t>C</w:t>
            </w:r>
          </w:p>
        </w:tc>
        <w:tc>
          <w:tcPr>
            <w:tcW w:w="1207" w:type="dxa"/>
            <w:tcBorders>
              <w:top w:val="single" w:sz="4" w:space="0" w:color="auto"/>
              <w:left w:val="nil"/>
              <w:bottom w:val="single" w:sz="4" w:space="0" w:color="auto"/>
              <w:right w:val="nil"/>
            </w:tcBorders>
          </w:tcPr>
          <w:p w14:paraId="3DC23840" w14:textId="5B38F029" w:rsidR="00FC0848" w:rsidRDefault="00FC0848">
            <w:pPr>
              <w:pStyle w:val="Els-body-text"/>
              <w:jc w:val="center"/>
            </w:pPr>
            <w:r>
              <w:t>D</w:t>
            </w:r>
          </w:p>
        </w:tc>
        <w:tc>
          <w:tcPr>
            <w:tcW w:w="1207" w:type="dxa"/>
            <w:tcBorders>
              <w:top w:val="single" w:sz="4" w:space="0" w:color="auto"/>
              <w:left w:val="nil"/>
              <w:bottom w:val="single" w:sz="4" w:space="0" w:color="auto"/>
              <w:right w:val="nil"/>
            </w:tcBorders>
          </w:tcPr>
          <w:p w14:paraId="198CF5C6" w14:textId="32623D32" w:rsidR="00FC0848" w:rsidRDefault="00FC0848">
            <w:pPr>
              <w:pStyle w:val="Els-body-text"/>
              <w:jc w:val="center"/>
            </w:pPr>
            <w:r>
              <w:t>E</w:t>
            </w:r>
          </w:p>
        </w:tc>
      </w:tr>
      <w:tr w:rsidR="00FC0848" w14:paraId="33BB801D" w14:textId="64BC1B7E" w:rsidTr="00FC0848">
        <w:trPr>
          <w:jc w:val="center"/>
        </w:trPr>
        <w:tc>
          <w:tcPr>
            <w:tcW w:w="778" w:type="dxa"/>
            <w:tcBorders>
              <w:top w:val="single" w:sz="4" w:space="0" w:color="auto"/>
              <w:left w:val="nil"/>
            </w:tcBorders>
          </w:tcPr>
          <w:p w14:paraId="7495B44E" w14:textId="7CB44ECB" w:rsidR="00FC0848" w:rsidRDefault="004574A4">
            <w:pPr>
              <w:pStyle w:val="Els-body-text"/>
              <w:jc w:val="center"/>
            </w:pPr>
            <w:r>
              <w:t>R</w:t>
            </w:r>
            <w:r w:rsidRPr="008E4345">
              <w:rPr>
                <w:vertAlign w:val="superscript"/>
              </w:rPr>
              <w:t>2</w:t>
            </w:r>
          </w:p>
        </w:tc>
        <w:tc>
          <w:tcPr>
            <w:tcW w:w="1448" w:type="dxa"/>
            <w:tcBorders>
              <w:top w:val="single" w:sz="4" w:space="0" w:color="auto"/>
              <w:left w:val="nil"/>
              <w:right w:val="nil"/>
            </w:tcBorders>
          </w:tcPr>
          <w:p w14:paraId="02D3DA1F" w14:textId="77777777" w:rsidR="00FC0848" w:rsidRDefault="000B32BB">
            <w:pPr>
              <w:pStyle w:val="Els-body-text"/>
              <w:jc w:val="center"/>
            </w:pPr>
            <w:r>
              <w:t>0.926</w:t>
            </w:r>
          </w:p>
          <w:p w14:paraId="322826D1" w14:textId="77777777" w:rsidR="000B32BB" w:rsidRDefault="000B32BB">
            <w:pPr>
              <w:pStyle w:val="Els-body-text"/>
              <w:jc w:val="center"/>
            </w:pPr>
            <w:r>
              <w:t>0.904</w:t>
            </w:r>
          </w:p>
          <w:p w14:paraId="2E330FD2" w14:textId="1DC0D193" w:rsidR="000B32BB" w:rsidRDefault="000B32BB">
            <w:pPr>
              <w:pStyle w:val="Els-body-text"/>
              <w:jc w:val="center"/>
            </w:pPr>
            <w:r>
              <w:t>0.938</w:t>
            </w:r>
          </w:p>
        </w:tc>
        <w:tc>
          <w:tcPr>
            <w:tcW w:w="1239" w:type="dxa"/>
            <w:tcBorders>
              <w:top w:val="single" w:sz="4" w:space="0" w:color="auto"/>
              <w:left w:val="nil"/>
              <w:right w:val="nil"/>
            </w:tcBorders>
          </w:tcPr>
          <w:p w14:paraId="42B14FD9" w14:textId="77777777" w:rsidR="00FC0848" w:rsidRDefault="004814A5">
            <w:pPr>
              <w:pStyle w:val="Els-body-text"/>
              <w:jc w:val="center"/>
            </w:pPr>
            <w:r>
              <w:t>0.955</w:t>
            </w:r>
          </w:p>
          <w:p w14:paraId="795AD3C5" w14:textId="77777777" w:rsidR="004814A5" w:rsidRDefault="004814A5">
            <w:pPr>
              <w:pStyle w:val="Els-body-text"/>
              <w:jc w:val="center"/>
            </w:pPr>
            <w:r>
              <w:t>0.906</w:t>
            </w:r>
          </w:p>
          <w:p w14:paraId="77F2ABF3" w14:textId="30CC93F2" w:rsidR="004814A5" w:rsidRDefault="004814A5">
            <w:pPr>
              <w:pStyle w:val="Els-body-text"/>
              <w:jc w:val="center"/>
            </w:pPr>
            <w:r>
              <w:t>0.958</w:t>
            </w:r>
          </w:p>
        </w:tc>
        <w:tc>
          <w:tcPr>
            <w:tcW w:w="1207" w:type="dxa"/>
            <w:tcBorders>
              <w:top w:val="single" w:sz="4" w:space="0" w:color="auto"/>
              <w:left w:val="nil"/>
              <w:right w:val="nil"/>
            </w:tcBorders>
          </w:tcPr>
          <w:p w14:paraId="00D045A9" w14:textId="77777777" w:rsidR="00FC0848" w:rsidRDefault="00FB7181">
            <w:pPr>
              <w:pStyle w:val="Els-body-text"/>
              <w:jc w:val="center"/>
            </w:pPr>
            <w:r>
              <w:t>0.52</w:t>
            </w:r>
            <w:r w:rsidR="00B96627">
              <w:t>3</w:t>
            </w:r>
          </w:p>
          <w:p w14:paraId="5C1B4427" w14:textId="77777777" w:rsidR="00B96627" w:rsidRDefault="00B96627">
            <w:pPr>
              <w:pStyle w:val="Els-body-text"/>
              <w:jc w:val="center"/>
            </w:pPr>
            <w:r>
              <w:t>0.390</w:t>
            </w:r>
          </w:p>
          <w:p w14:paraId="534F0A02" w14:textId="7F6F3044" w:rsidR="00B96627" w:rsidRDefault="00B96627">
            <w:pPr>
              <w:pStyle w:val="Els-body-text"/>
              <w:jc w:val="center"/>
            </w:pPr>
            <w:r>
              <w:t>0.125</w:t>
            </w:r>
          </w:p>
        </w:tc>
        <w:tc>
          <w:tcPr>
            <w:tcW w:w="1207" w:type="dxa"/>
            <w:tcBorders>
              <w:top w:val="single" w:sz="4" w:space="0" w:color="auto"/>
              <w:left w:val="nil"/>
              <w:right w:val="nil"/>
            </w:tcBorders>
          </w:tcPr>
          <w:p w14:paraId="3E4998FE" w14:textId="77777777" w:rsidR="005F5072" w:rsidRDefault="005F5072">
            <w:pPr>
              <w:pStyle w:val="Els-body-text"/>
              <w:jc w:val="center"/>
            </w:pPr>
            <w:r>
              <w:t>0.889</w:t>
            </w:r>
          </w:p>
          <w:p w14:paraId="28A4B5E2" w14:textId="77777777" w:rsidR="005F5072" w:rsidRDefault="005F5072">
            <w:pPr>
              <w:pStyle w:val="Els-body-text"/>
              <w:jc w:val="center"/>
            </w:pPr>
            <w:r>
              <w:t>0.420</w:t>
            </w:r>
          </w:p>
          <w:p w14:paraId="7AECC59A" w14:textId="7580CA16" w:rsidR="005F5072" w:rsidRDefault="005F5072">
            <w:pPr>
              <w:pStyle w:val="Els-body-text"/>
              <w:jc w:val="center"/>
            </w:pPr>
            <w:r>
              <w:t>0.918</w:t>
            </w:r>
          </w:p>
        </w:tc>
        <w:tc>
          <w:tcPr>
            <w:tcW w:w="1207" w:type="dxa"/>
            <w:tcBorders>
              <w:top w:val="single" w:sz="4" w:space="0" w:color="auto"/>
              <w:left w:val="nil"/>
              <w:right w:val="nil"/>
            </w:tcBorders>
          </w:tcPr>
          <w:p w14:paraId="2C0D11BE" w14:textId="77777777" w:rsidR="00FC0848" w:rsidRDefault="00682954">
            <w:pPr>
              <w:pStyle w:val="Els-body-text"/>
              <w:jc w:val="center"/>
            </w:pPr>
            <w:r>
              <w:t>0.106</w:t>
            </w:r>
          </w:p>
          <w:p w14:paraId="6C8DA139" w14:textId="77777777" w:rsidR="00682954" w:rsidRDefault="00682954">
            <w:pPr>
              <w:pStyle w:val="Els-body-text"/>
              <w:jc w:val="center"/>
            </w:pPr>
            <w:r>
              <w:t>0.087</w:t>
            </w:r>
          </w:p>
          <w:p w14:paraId="1F77AD02" w14:textId="3F3DBB04" w:rsidR="00682954" w:rsidRDefault="00682954">
            <w:pPr>
              <w:pStyle w:val="Els-body-text"/>
              <w:jc w:val="center"/>
            </w:pPr>
            <w:r>
              <w:t>0.028</w:t>
            </w:r>
          </w:p>
        </w:tc>
      </w:tr>
      <w:tr w:rsidR="00FC0848" w14:paraId="0C2D7E63" w14:textId="77777777" w:rsidTr="00FC0848">
        <w:trPr>
          <w:jc w:val="center"/>
        </w:trPr>
        <w:tc>
          <w:tcPr>
            <w:tcW w:w="778" w:type="dxa"/>
            <w:tcBorders>
              <w:left w:val="nil"/>
              <w:bottom w:val="nil"/>
            </w:tcBorders>
          </w:tcPr>
          <w:p w14:paraId="667D13B9" w14:textId="23630449" w:rsidR="00FC0848" w:rsidRPr="005B698D" w:rsidRDefault="004574A4">
            <w:pPr>
              <w:pStyle w:val="Els-body-text"/>
              <w:jc w:val="center"/>
            </w:pPr>
            <w:r w:rsidRPr="005B698D">
              <w:t>MAE</w:t>
            </w:r>
          </w:p>
        </w:tc>
        <w:tc>
          <w:tcPr>
            <w:tcW w:w="1448" w:type="dxa"/>
            <w:tcBorders>
              <w:bottom w:val="nil"/>
            </w:tcBorders>
          </w:tcPr>
          <w:p w14:paraId="36B1F089" w14:textId="77777777" w:rsidR="00FC0848" w:rsidRPr="005B698D" w:rsidRDefault="000B32BB">
            <w:pPr>
              <w:pStyle w:val="Els-body-text"/>
              <w:jc w:val="center"/>
            </w:pPr>
            <w:r w:rsidRPr="005B698D">
              <w:t>4.02</w:t>
            </w:r>
          </w:p>
          <w:p w14:paraId="52A4AD0D" w14:textId="77777777" w:rsidR="000B32BB" w:rsidRPr="005B698D" w:rsidRDefault="000B32BB">
            <w:pPr>
              <w:pStyle w:val="Els-body-text"/>
              <w:jc w:val="center"/>
            </w:pPr>
            <w:r w:rsidRPr="005B698D">
              <w:t>3.90</w:t>
            </w:r>
          </w:p>
          <w:p w14:paraId="676A8D73" w14:textId="56C8FAA8" w:rsidR="000B32BB" w:rsidRPr="005B698D" w:rsidRDefault="000B32BB">
            <w:pPr>
              <w:pStyle w:val="Els-body-text"/>
              <w:jc w:val="center"/>
            </w:pPr>
            <w:r w:rsidRPr="005B698D">
              <w:t>5.44</w:t>
            </w:r>
          </w:p>
        </w:tc>
        <w:tc>
          <w:tcPr>
            <w:tcW w:w="1239" w:type="dxa"/>
            <w:tcBorders>
              <w:bottom w:val="nil"/>
            </w:tcBorders>
          </w:tcPr>
          <w:p w14:paraId="61BA716F" w14:textId="77777777" w:rsidR="00FC0848" w:rsidRPr="005B698D" w:rsidRDefault="00256FF3">
            <w:pPr>
              <w:pStyle w:val="Els-body-text"/>
              <w:jc w:val="center"/>
            </w:pPr>
            <w:r w:rsidRPr="005B698D">
              <w:t>8.90</w:t>
            </w:r>
          </w:p>
          <w:p w14:paraId="6D45537F" w14:textId="77777777" w:rsidR="00256FF3" w:rsidRPr="005B698D" w:rsidRDefault="00256FF3">
            <w:pPr>
              <w:pStyle w:val="Els-body-text"/>
              <w:jc w:val="center"/>
            </w:pPr>
            <w:r w:rsidRPr="005B698D">
              <w:t>9.91</w:t>
            </w:r>
          </w:p>
          <w:p w14:paraId="7DC16E88" w14:textId="7A6D0F5A" w:rsidR="00256FF3" w:rsidRPr="005B698D" w:rsidRDefault="00256FF3">
            <w:pPr>
              <w:pStyle w:val="Els-body-text"/>
              <w:jc w:val="center"/>
            </w:pPr>
            <w:r w:rsidRPr="005B698D">
              <w:t>11.75</w:t>
            </w:r>
          </w:p>
        </w:tc>
        <w:tc>
          <w:tcPr>
            <w:tcW w:w="1207" w:type="dxa"/>
            <w:tcBorders>
              <w:bottom w:val="nil"/>
            </w:tcBorders>
          </w:tcPr>
          <w:p w14:paraId="17344D61" w14:textId="77777777" w:rsidR="00FC0848" w:rsidRPr="005B698D" w:rsidRDefault="00B96627">
            <w:pPr>
              <w:pStyle w:val="Els-body-text"/>
              <w:jc w:val="center"/>
            </w:pPr>
            <w:r w:rsidRPr="005B698D">
              <w:t>219.30</w:t>
            </w:r>
          </w:p>
          <w:p w14:paraId="261074A2" w14:textId="77777777" w:rsidR="00B96627" w:rsidRPr="005B698D" w:rsidRDefault="00B96627">
            <w:pPr>
              <w:pStyle w:val="Els-body-text"/>
              <w:jc w:val="center"/>
            </w:pPr>
            <w:r w:rsidRPr="005B698D">
              <w:t>305.38</w:t>
            </w:r>
          </w:p>
          <w:p w14:paraId="00BA5DFB" w14:textId="51280946" w:rsidR="00B96627" w:rsidRPr="005B698D" w:rsidRDefault="00B96627">
            <w:pPr>
              <w:pStyle w:val="Els-body-text"/>
              <w:jc w:val="center"/>
            </w:pPr>
            <w:r w:rsidRPr="005B698D">
              <w:t>336.342</w:t>
            </w:r>
          </w:p>
        </w:tc>
        <w:tc>
          <w:tcPr>
            <w:tcW w:w="1207" w:type="dxa"/>
            <w:tcBorders>
              <w:bottom w:val="nil"/>
            </w:tcBorders>
          </w:tcPr>
          <w:p w14:paraId="7399C9CD" w14:textId="77777777" w:rsidR="005F5072" w:rsidRPr="005B698D" w:rsidRDefault="005F5072" w:rsidP="005F5072">
            <w:pPr>
              <w:pStyle w:val="Els-body-text"/>
              <w:jc w:val="center"/>
            </w:pPr>
            <w:r w:rsidRPr="005B698D">
              <w:t>10.16</w:t>
            </w:r>
          </w:p>
          <w:p w14:paraId="6DDFC3D1" w14:textId="77777777" w:rsidR="005F5072" w:rsidRPr="005B698D" w:rsidRDefault="005F5072" w:rsidP="005F5072">
            <w:pPr>
              <w:pStyle w:val="Els-body-text"/>
              <w:jc w:val="center"/>
            </w:pPr>
            <w:r w:rsidRPr="005B698D">
              <w:t>13.69</w:t>
            </w:r>
          </w:p>
          <w:p w14:paraId="08B4225B" w14:textId="3C681CFE" w:rsidR="00FC0848" w:rsidRPr="005B698D" w:rsidRDefault="005F5072" w:rsidP="005F5072">
            <w:pPr>
              <w:pStyle w:val="Els-body-text"/>
              <w:jc w:val="center"/>
            </w:pPr>
            <w:r w:rsidRPr="005B698D">
              <w:t>11.97</w:t>
            </w:r>
          </w:p>
        </w:tc>
        <w:tc>
          <w:tcPr>
            <w:tcW w:w="1207" w:type="dxa"/>
            <w:tcBorders>
              <w:bottom w:val="nil"/>
              <w:right w:val="nil"/>
            </w:tcBorders>
          </w:tcPr>
          <w:p w14:paraId="7D6FE779" w14:textId="77777777" w:rsidR="00FC0848" w:rsidRPr="005B698D" w:rsidRDefault="00682954">
            <w:pPr>
              <w:pStyle w:val="Els-body-text"/>
              <w:jc w:val="center"/>
            </w:pPr>
            <w:r w:rsidRPr="005B698D">
              <w:t>317.82</w:t>
            </w:r>
          </w:p>
          <w:p w14:paraId="4F8A915A" w14:textId="77777777" w:rsidR="00682954" w:rsidRPr="005B698D" w:rsidRDefault="00682954">
            <w:pPr>
              <w:pStyle w:val="Els-body-text"/>
              <w:jc w:val="center"/>
            </w:pPr>
            <w:r w:rsidRPr="005B698D">
              <w:t>250.24</w:t>
            </w:r>
          </w:p>
          <w:p w14:paraId="0196AB12" w14:textId="699315F6" w:rsidR="00682954" w:rsidRPr="005B698D" w:rsidRDefault="00682954">
            <w:pPr>
              <w:pStyle w:val="Els-body-text"/>
              <w:jc w:val="center"/>
            </w:pPr>
            <w:r w:rsidRPr="005B698D">
              <w:t>344.08</w:t>
            </w:r>
          </w:p>
        </w:tc>
      </w:tr>
      <w:tr w:rsidR="00FC0848" w14:paraId="0FAF8066" w14:textId="5D0865BC" w:rsidTr="00FC0848">
        <w:trPr>
          <w:jc w:val="center"/>
        </w:trPr>
        <w:tc>
          <w:tcPr>
            <w:tcW w:w="778" w:type="dxa"/>
            <w:tcBorders>
              <w:top w:val="nil"/>
              <w:left w:val="nil"/>
              <w:bottom w:val="single" w:sz="4" w:space="0" w:color="auto"/>
            </w:tcBorders>
          </w:tcPr>
          <w:p w14:paraId="3B2EB5AC" w14:textId="149FC54F" w:rsidR="00FC0848" w:rsidRDefault="002068BF">
            <w:pPr>
              <w:pStyle w:val="Els-body-text"/>
              <w:jc w:val="center"/>
            </w:pPr>
            <w:r>
              <w:t>M</w:t>
            </w:r>
            <w:r w:rsidR="004574A4">
              <w:t>RE</w:t>
            </w:r>
          </w:p>
        </w:tc>
        <w:tc>
          <w:tcPr>
            <w:tcW w:w="1448" w:type="dxa"/>
            <w:tcBorders>
              <w:top w:val="nil"/>
              <w:left w:val="nil"/>
              <w:bottom w:val="single" w:sz="4" w:space="0" w:color="auto"/>
              <w:right w:val="nil"/>
            </w:tcBorders>
          </w:tcPr>
          <w:p w14:paraId="3D736B99" w14:textId="77777777" w:rsidR="00FC0848" w:rsidRDefault="00DB3E07">
            <w:pPr>
              <w:pStyle w:val="Els-body-text"/>
              <w:jc w:val="center"/>
            </w:pPr>
            <w:r>
              <w:t>24%</w:t>
            </w:r>
          </w:p>
          <w:p w14:paraId="1F90D199" w14:textId="77777777" w:rsidR="00970FA4" w:rsidRDefault="00970FA4">
            <w:pPr>
              <w:pStyle w:val="Els-body-text"/>
              <w:jc w:val="center"/>
            </w:pPr>
            <w:r>
              <w:t>27%</w:t>
            </w:r>
          </w:p>
          <w:p w14:paraId="09FC58DC" w14:textId="35FCA883" w:rsidR="00970FA4" w:rsidRDefault="00BA460F">
            <w:pPr>
              <w:pStyle w:val="Els-body-text"/>
              <w:jc w:val="center"/>
            </w:pPr>
            <w:r>
              <w:t>28%</w:t>
            </w:r>
          </w:p>
        </w:tc>
        <w:tc>
          <w:tcPr>
            <w:tcW w:w="1239" w:type="dxa"/>
            <w:tcBorders>
              <w:top w:val="nil"/>
              <w:left w:val="nil"/>
              <w:bottom w:val="single" w:sz="4" w:space="0" w:color="auto"/>
              <w:right w:val="nil"/>
            </w:tcBorders>
          </w:tcPr>
          <w:p w14:paraId="738E5359" w14:textId="77777777" w:rsidR="00FC0848" w:rsidRDefault="00256FF3">
            <w:pPr>
              <w:pStyle w:val="Els-body-text"/>
              <w:jc w:val="center"/>
            </w:pPr>
            <w:r>
              <w:t>12%</w:t>
            </w:r>
          </w:p>
          <w:p w14:paraId="4D096AB1" w14:textId="77777777" w:rsidR="00256FF3" w:rsidRDefault="00256FF3">
            <w:pPr>
              <w:pStyle w:val="Els-body-text"/>
              <w:jc w:val="center"/>
            </w:pPr>
            <w:r>
              <w:t>14%</w:t>
            </w:r>
          </w:p>
          <w:p w14:paraId="30E9AD70" w14:textId="526F6EC5" w:rsidR="00256FF3" w:rsidRDefault="00256FF3">
            <w:pPr>
              <w:pStyle w:val="Els-body-text"/>
              <w:jc w:val="center"/>
            </w:pPr>
            <w:r>
              <w:t>12%</w:t>
            </w:r>
          </w:p>
        </w:tc>
        <w:tc>
          <w:tcPr>
            <w:tcW w:w="1207" w:type="dxa"/>
            <w:tcBorders>
              <w:top w:val="nil"/>
              <w:left w:val="nil"/>
              <w:bottom w:val="single" w:sz="4" w:space="0" w:color="auto"/>
              <w:right w:val="nil"/>
            </w:tcBorders>
          </w:tcPr>
          <w:p w14:paraId="413CC12D" w14:textId="15D1E56E" w:rsidR="00FC0848" w:rsidRDefault="00B96627">
            <w:pPr>
              <w:pStyle w:val="Els-body-text"/>
              <w:jc w:val="center"/>
            </w:pPr>
            <w:r>
              <w:t>18%</w:t>
            </w:r>
          </w:p>
          <w:p w14:paraId="46B9DE31" w14:textId="415FDDEF" w:rsidR="00B96627" w:rsidRDefault="00B96627">
            <w:pPr>
              <w:pStyle w:val="Els-body-text"/>
              <w:jc w:val="center"/>
            </w:pPr>
            <w:r>
              <w:t>26%</w:t>
            </w:r>
          </w:p>
          <w:p w14:paraId="0C36EA66" w14:textId="18CE675B" w:rsidR="00B96627" w:rsidRDefault="00B96627">
            <w:pPr>
              <w:pStyle w:val="Els-body-text"/>
              <w:jc w:val="center"/>
            </w:pPr>
            <w:r>
              <w:t>26%</w:t>
            </w:r>
          </w:p>
        </w:tc>
        <w:tc>
          <w:tcPr>
            <w:tcW w:w="1207" w:type="dxa"/>
            <w:tcBorders>
              <w:top w:val="nil"/>
              <w:left w:val="nil"/>
              <w:bottom w:val="single" w:sz="4" w:space="0" w:color="auto"/>
              <w:right w:val="nil"/>
            </w:tcBorders>
          </w:tcPr>
          <w:p w14:paraId="006CE273" w14:textId="724FE505" w:rsidR="00FC0848" w:rsidRDefault="005F5072">
            <w:pPr>
              <w:pStyle w:val="Els-body-text"/>
              <w:jc w:val="center"/>
            </w:pPr>
            <w:r>
              <w:t>22</w:t>
            </w:r>
            <w:r w:rsidR="000A08E1">
              <w:t>%</w:t>
            </w:r>
          </w:p>
          <w:p w14:paraId="737E3F21" w14:textId="795FFBE8" w:rsidR="000A08E1" w:rsidRDefault="000A08E1">
            <w:pPr>
              <w:pStyle w:val="Els-body-text"/>
              <w:jc w:val="center"/>
            </w:pPr>
            <w:r>
              <w:t>23%</w:t>
            </w:r>
          </w:p>
          <w:p w14:paraId="5D3CF3A8" w14:textId="480816D0" w:rsidR="000A08E1" w:rsidRDefault="000A08E1">
            <w:pPr>
              <w:pStyle w:val="Els-body-text"/>
              <w:jc w:val="center"/>
            </w:pPr>
            <w:r>
              <w:t>18%</w:t>
            </w:r>
          </w:p>
        </w:tc>
        <w:tc>
          <w:tcPr>
            <w:tcW w:w="1207" w:type="dxa"/>
            <w:tcBorders>
              <w:top w:val="nil"/>
              <w:left w:val="nil"/>
              <w:bottom w:val="single" w:sz="4" w:space="0" w:color="auto"/>
              <w:right w:val="nil"/>
            </w:tcBorders>
          </w:tcPr>
          <w:p w14:paraId="7D478BB0" w14:textId="0675E20E" w:rsidR="00FC0848" w:rsidRDefault="00F97CB2">
            <w:pPr>
              <w:pStyle w:val="Els-body-text"/>
              <w:jc w:val="center"/>
            </w:pPr>
            <w:r>
              <w:t>35%</w:t>
            </w:r>
          </w:p>
          <w:p w14:paraId="433D1469" w14:textId="760A5BEF" w:rsidR="00F97CB2" w:rsidRDefault="00F97CB2">
            <w:pPr>
              <w:pStyle w:val="Els-body-text"/>
              <w:jc w:val="center"/>
            </w:pPr>
            <w:r>
              <w:t>37%</w:t>
            </w:r>
          </w:p>
          <w:p w14:paraId="2633CA3F" w14:textId="0F2E15E3" w:rsidR="00F97CB2" w:rsidRDefault="00F97CB2">
            <w:pPr>
              <w:pStyle w:val="Els-body-text"/>
              <w:jc w:val="center"/>
            </w:pPr>
            <w:r>
              <w:t>36%</w:t>
            </w:r>
          </w:p>
        </w:tc>
      </w:tr>
    </w:tbl>
    <w:p w14:paraId="28CE4306" w14:textId="6C46DD17" w:rsidR="00440FF5" w:rsidRDefault="00F97CB2" w:rsidP="005070F0">
      <w:pPr>
        <w:pStyle w:val="Els-body-text"/>
        <w:spacing w:before="120" w:after="120" w:line="264" w:lineRule="auto"/>
        <w:rPr>
          <w:lang w:val="en-GB"/>
        </w:rPr>
      </w:pPr>
      <w:r>
        <w:rPr>
          <w:lang w:val="en-GB"/>
        </w:rPr>
        <w:t xml:space="preserve">Table 1 clearly shows that the GNN only succeeded in modelling the A, B and D </w:t>
      </w:r>
      <w:r w:rsidR="00B72559">
        <w:rPr>
          <w:lang w:val="en-GB"/>
        </w:rPr>
        <w:t>parameters</w:t>
      </w:r>
      <w:r>
        <w:rPr>
          <w:lang w:val="en-GB"/>
        </w:rPr>
        <w:t xml:space="preserve"> </w:t>
      </w:r>
      <w:r w:rsidR="00874BC9">
        <w:rPr>
          <w:lang w:val="en-GB"/>
        </w:rPr>
        <w:t>satisfactorily (the</w:t>
      </w:r>
      <w:r w:rsidR="00BA0918">
        <w:rPr>
          <w:lang w:val="en-GB"/>
        </w:rPr>
        <w:t xml:space="preserve"> low</w:t>
      </w:r>
      <w:r w:rsidR="00874BC9">
        <w:rPr>
          <w:lang w:val="en-GB"/>
        </w:rPr>
        <w:t xml:space="preserve"> </w:t>
      </w:r>
      <w:r w:rsidR="00BA0918">
        <w:rPr>
          <w:lang w:val="en-GB"/>
        </w:rPr>
        <w:t xml:space="preserve">validation </w:t>
      </w:r>
      <w:r w:rsidR="00874BC9">
        <w:rPr>
          <w:lang w:val="en-GB"/>
        </w:rPr>
        <w:t>R</w:t>
      </w:r>
      <w:r w:rsidR="00874BC9" w:rsidRPr="00874BC9">
        <w:rPr>
          <w:vertAlign w:val="superscript"/>
          <w:lang w:val="en-GB"/>
        </w:rPr>
        <w:t>2</w:t>
      </w:r>
      <w:r w:rsidR="00874BC9">
        <w:rPr>
          <w:lang w:val="en-GB"/>
        </w:rPr>
        <w:t xml:space="preserve"> was due to an outlier)</w:t>
      </w:r>
      <w:r w:rsidR="006F12BD">
        <w:rPr>
          <w:lang w:val="en-GB"/>
        </w:rPr>
        <w:t>. For the remaining parameters (C and E)</w:t>
      </w:r>
      <w:r w:rsidR="00BF02E2">
        <w:rPr>
          <w:lang w:val="en-GB"/>
        </w:rPr>
        <w:t>,</w:t>
      </w:r>
      <w:r w:rsidR="006F12BD">
        <w:rPr>
          <w:lang w:val="en-GB"/>
        </w:rPr>
        <w:t xml:space="preserve"> the model fails to reproduce the results</w:t>
      </w:r>
      <w:r w:rsidR="001C5465">
        <w:rPr>
          <w:lang w:val="en-GB"/>
        </w:rPr>
        <w:t>.</w:t>
      </w:r>
      <w:r w:rsidR="00B70A01">
        <w:rPr>
          <w:lang w:val="en-GB"/>
        </w:rPr>
        <w:t xml:space="preserve"> This could indicate that there is no </w:t>
      </w:r>
      <w:r w:rsidR="00BF02E2">
        <w:rPr>
          <w:lang w:val="en-GB"/>
        </w:rPr>
        <w:t xml:space="preserve">apparent </w:t>
      </w:r>
      <w:r w:rsidR="00B70A01">
        <w:rPr>
          <w:lang w:val="en-GB"/>
        </w:rPr>
        <w:t xml:space="preserve">relation between the structure and the determined </w:t>
      </w:r>
      <w:r w:rsidR="00BF02E2">
        <w:rPr>
          <w:lang w:val="en-GB"/>
        </w:rPr>
        <w:t xml:space="preserve">C and E </w:t>
      </w:r>
      <w:r w:rsidR="00B70A01">
        <w:rPr>
          <w:lang w:val="en-GB"/>
        </w:rPr>
        <w:t>parameters</w:t>
      </w:r>
      <w:r w:rsidR="00BF02E2">
        <w:rPr>
          <w:lang w:val="en-GB"/>
        </w:rPr>
        <w:t>, despite</w:t>
      </w:r>
      <w:r w:rsidR="00D076A3">
        <w:rPr>
          <w:lang w:val="en-GB"/>
        </w:rPr>
        <w:t xml:space="preserve"> Eq.(5)</w:t>
      </w:r>
      <w:r w:rsidR="00BF02E2">
        <w:rPr>
          <w:lang w:val="en-GB"/>
        </w:rPr>
        <w:t xml:space="preserve"> being theoretically motivated</w:t>
      </w:r>
      <w:r w:rsidR="00D076A3">
        <w:rPr>
          <w:lang w:val="en-GB"/>
        </w:rPr>
        <w:t>. Therefore, w</w:t>
      </w:r>
      <w:r w:rsidR="00D076A3" w:rsidRPr="00D076A3">
        <w:rPr>
          <w:lang w:val="en-GB"/>
        </w:rPr>
        <w:t xml:space="preserve">e hypothesize that there </w:t>
      </w:r>
      <w:r w:rsidR="007A6C2B">
        <w:rPr>
          <w:lang w:val="en-GB"/>
        </w:rPr>
        <w:t>are</w:t>
      </w:r>
      <w:r w:rsidR="00D076A3" w:rsidRPr="00D076A3">
        <w:rPr>
          <w:lang w:val="en-GB"/>
        </w:rPr>
        <w:t xml:space="preserve"> potentially </w:t>
      </w:r>
      <w:r w:rsidR="00733564">
        <w:rPr>
          <w:lang w:val="en-GB"/>
        </w:rPr>
        <w:t>multiple</w:t>
      </w:r>
      <w:r w:rsidR="00D076A3" w:rsidRPr="00D076A3">
        <w:rPr>
          <w:lang w:val="en-GB"/>
        </w:rPr>
        <w:t xml:space="preserve"> set of parameters that provides </w:t>
      </w:r>
      <w:r w:rsidR="005F5C54">
        <w:rPr>
          <w:lang w:val="en-GB"/>
        </w:rPr>
        <w:t>similar</w:t>
      </w:r>
      <w:r w:rsidR="00D076A3" w:rsidRPr="00D076A3">
        <w:rPr>
          <w:lang w:val="en-GB"/>
        </w:rPr>
        <w:t xml:space="preserve"> results due to collinearity and as such </w:t>
      </w:r>
      <w:r w:rsidR="00BF02E2">
        <w:rPr>
          <w:lang w:val="en-GB"/>
        </w:rPr>
        <w:t xml:space="preserve">some </w:t>
      </w:r>
      <w:r w:rsidR="005F5C54">
        <w:rPr>
          <w:lang w:val="en-GB"/>
        </w:rPr>
        <w:t xml:space="preserve">of </w:t>
      </w:r>
      <w:r w:rsidR="00D076A3" w:rsidRPr="00D076A3">
        <w:rPr>
          <w:lang w:val="en-GB"/>
        </w:rPr>
        <w:t>the determined</w:t>
      </w:r>
      <w:r w:rsidR="00BF02E2">
        <w:rPr>
          <w:lang w:val="en-GB"/>
        </w:rPr>
        <w:t xml:space="preserve"> values</w:t>
      </w:r>
      <w:r w:rsidR="00D076A3" w:rsidRPr="00D076A3">
        <w:rPr>
          <w:lang w:val="en-GB"/>
        </w:rPr>
        <w:t xml:space="preserve"> do not necessarily reflect the</w:t>
      </w:r>
      <w:r w:rsidR="005F5C54">
        <w:rPr>
          <w:lang w:val="en-GB"/>
        </w:rPr>
        <w:t xml:space="preserve"> desired</w:t>
      </w:r>
      <w:r w:rsidR="00D076A3" w:rsidRPr="00D076A3">
        <w:rPr>
          <w:lang w:val="en-GB"/>
        </w:rPr>
        <w:t xml:space="preserve"> physical quantities.</w:t>
      </w:r>
      <w:r w:rsidR="00C8489E">
        <w:rPr>
          <w:lang w:val="en-GB"/>
        </w:rPr>
        <w:t xml:space="preserve"> </w:t>
      </w:r>
      <w:r w:rsidR="00BA0918">
        <w:rPr>
          <w:lang w:val="en-GB"/>
        </w:rPr>
        <w:t>However,</w:t>
      </w:r>
      <w:r w:rsidR="00873D83">
        <w:rPr>
          <w:lang w:val="en-GB"/>
        </w:rPr>
        <w:t xml:space="preserve"> the endpoint of interest </w:t>
      </w:r>
      <w:r w:rsidR="00BF02E2">
        <w:rPr>
          <w:lang w:val="en-GB"/>
        </w:rPr>
        <w:t>is</w:t>
      </w:r>
      <w:r w:rsidR="00873D83">
        <w:rPr>
          <w:lang w:val="en-GB"/>
        </w:rPr>
        <w:t xml:space="preserve">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p</m:t>
            </m:r>
          </m:sub>
          <m:sup>
            <m:r>
              <w:rPr>
                <w:rFonts w:ascii="Cambria Math" w:hAnsi="Cambria Math"/>
                <w:lang w:val="en-GB"/>
              </w:rPr>
              <m:t>*</m:t>
            </m:r>
          </m:sup>
        </m:sSubSup>
      </m:oMath>
      <w:r w:rsidR="00873D83">
        <w:rPr>
          <w:lang w:val="en-GB"/>
        </w:rPr>
        <w:t xml:space="preserve"> as such, these were evaluated using the predicted parameters. </w:t>
      </w:r>
      <w:r w:rsidR="00810D5C">
        <w:rPr>
          <w:lang w:val="en-GB"/>
        </w:rPr>
        <w:t xml:space="preserve">Figure 2 shows a parity plot for the predictions from regressing the parameters (using differential evolution) and </w:t>
      </w:r>
      <w:r w:rsidR="00D730A8">
        <w:rPr>
          <w:lang w:val="en-GB"/>
        </w:rPr>
        <w:t>those</w:t>
      </w:r>
      <w:r w:rsidR="00810D5C">
        <w:rPr>
          <w:lang w:val="en-GB"/>
        </w:rPr>
        <w:t xml:space="preserve"> obtained from predicting the parameters (using GNN).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440FF5" w14:paraId="52D60B62" w14:textId="77777777" w:rsidTr="00715A4F">
        <w:tc>
          <w:tcPr>
            <w:tcW w:w="7076" w:type="dxa"/>
          </w:tcPr>
          <w:p w14:paraId="211C397C" w14:textId="4BEF971B" w:rsidR="00440FF5" w:rsidRDefault="00EC1C3B" w:rsidP="00D21974">
            <w:pPr>
              <w:pStyle w:val="Els-body-text"/>
              <w:jc w:val="center"/>
              <w:rPr>
                <w:lang w:val="en-GB"/>
              </w:rPr>
            </w:pPr>
            <w:r>
              <w:rPr>
                <w:noProof/>
              </w:rPr>
              <w:drawing>
                <wp:inline distT="0" distB="0" distL="0" distR="0" wp14:anchorId="32B3CC34" wp14:editId="123A2123">
                  <wp:extent cx="2866767" cy="2043943"/>
                  <wp:effectExtent l="0" t="0" r="0" b="0"/>
                  <wp:docPr id="360490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1488" r="8783" b="1806"/>
                          <a:stretch/>
                        </pic:blipFill>
                        <pic:spPr bwMode="auto">
                          <a:xfrm>
                            <a:off x="0" y="0"/>
                            <a:ext cx="2883291" cy="20557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0FF5" w14:paraId="51E10EDB" w14:textId="77777777" w:rsidTr="00715A4F">
        <w:tc>
          <w:tcPr>
            <w:tcW w:w="7076" w:type="dxa"/>
          </w:tcPr>
          <w:p w14:paraId="787F976C" w14:textId="368A0562" w:rsidR="00440FF5" w:rsidRPr="00100D7D" w:rsidRDefault="00440FF5" w:rsidP="00715A4F">
            <w:pPr>
              <w:pStyle w:val="Els-body-text"/>
              <w:spacing w:after="120"/>
              <w:rPr>
                <w:sz w:val="18"/>
                <w:szCs w:val="18"/>
                <w:lang w:val="en-GB"/>
              </w:rPr>
            </w:pPr>
            <w:r w:rsidRPr="00100D7D">
              <w:rPr>
                <w:sz w:val="18"/>
                <w:szCs w:val="18"/>
                <w:lang w:val="en-GB"/>
              </w:rPr>
              <w:t>Figure 2:</w:t>
            </w:r>
            <w:r w:rsidRPr="00100D7D">
              <w:rPr>
                <w:sz w:val="18"/>
                <w:szCs w:val="18"/>
              </w:rPr>
              <w:t xml:space="preserve"> Parity plot for calculated Cp</w:t>
            </w:r>
            <w:r w:rsidR="00EC1C3B">
              <w:rPr>
                <w:sz w:val="18"/>
                <w:szCs w:val="18"/>
              </w:rPr>
              <w:t>*</w:t>
            </w:r>
            <w:r w:rsidRPr="00100D7D">
              <w:rPr>
                <w:sz w:val="18"/>
                <w:szCs w:val="18"/>
              </w:rPr>
              <w:t xml:space="preserve"> through parameter fitting and the parameter prediction</w:t>
            </w:r>
          </w:p>
        </w:tc>
      </w:tr>
    </w:tbl>
    <w:p w14:paraId="10135B73" w14:textId="569D5659" w:rsidR="00810D5C" w:rsidRDefault="005F4191" w:rsidP="00D730A8">
      <w:pPr>
        <w:pStyle w:val="Els-body-text"/>
        <w:spacing w:before="120" w:after="120" w:line="264" w:lineRule="auto"/>
        <w:rPr>
          <w:lang w:val="en-GB"/>
        </w:rPr>
      </w:pPr>
      <w:r>
        <w:rPr>
          <w:lang w:val="en-GB"/>
        </w:rPr>
        <w:t xml:space="preserve">The results obtained showed surprisingly much better results </w:t>
      </w:r>
      <w:r w:rsidR="00984214">
        <w:rPr>
          <w:lang w:val="en-GB"/>
        </w:rPr>
        <w:t>than</w:t>
      </w:r>
      <w:r>
        <w:rPr>
          <w:lang w:val="en-GB"/>
        </w:rPr>
        <w:t xml:space="preserve"> the</w:t>
      </w:r>
      <w:r w:rsidR="00984214">
        <w:rPr>
          <w:lang w:val="en-GB"/>
        </w:rPr>
        <w:t xml:space="preserve"> individual parameter fitting.</w:t>
      </w:r>
      <w:r>
        <w:rPr>
          <w:lang w:val="en-GB"/>
        </w:rPr>
        <w:t xml:space="preserve"> </w:t>
      </w:r>
      <w:r w:rsidR="00F66204">
        <w:rPr>
          <w:lang w:val="en-GB"/>
        </w:rPr>
        <w:t>The hybrid model</w:t>
      </w:r>
      <w:r w:rsidR="00D730A8">
        <w:rPr>
          <w:lang w:val="en-GB"/>
        </w:rPr>
        <w:t xml:space="preserve"> </w:t>
      </w:r>
      <w:r w:rsidR="00984214">
        <w:rPr>
          <w:lang w:val="en-GB"/>
        </w:rPr>
        <w:t>achieved an</w:t>
      </w:r>
      <w:r w:rsidR="005B698D">
        <w:rPr>
          <w:lang w:val="en-GB"/>
        </w:rPr>
        <w:t xml:space="preserve"> overall</w:t>
      </w:r>
      <w:r w:rsidR="00984214">
        <w:rPr>
          <w:lang w:val="en-GB"/>
        </w:rPr>
        <w:t xml:space="preserve"> R</w:t>
      </w:r>
      <w:r w:rsidR="00984214" w:rsidRPr="00984214">
        <w:rPr>
          <w:vertAlign w:val="superscript"/>
          <w:lang w:val="en-GB"/>
        </w:rPr>
        <w:t>2</w:t>
      </w:r>
      <w:r w:rsidR="00984214">
        <w:rPr>
          <w:lang w:val="en-GB"/>
        </w:rPr>
        <w:t xml:space="preserve"> of 0.97, an MAE </w:t>
      </w:r>
      <w:r w:rsidR="00984214" w:rsidRPr="008D72FF">
        <w:rPr>
          <w:lang w:val="en-GB"/>
        </w:rPr>
        <w:t>of</w:t>
      </w:r>
      <w:r w:rsidR="00160CA2" w:rsidRPr="008D72FF">
        <w:rPr>
          <w:lang w:val="en-GB"/>
        </w:rPr>
        <w:t xml:space="preserve"> </w:t>
      </w:r>
      <w:r w:rsidR="008D72FF" w:rsidRPr="008D72FF">
        <w:rPr>
          <w:lang w:val="en-GB"/>
        </w:rPr>
        <w:t>31.97</w:t>
      </w:r>
      <w:r w:rsidR="00160CA2" w:rsidRPr="008D72FF">
        <w:rPr>
          <w:lang w:val="en-GB"/>
        </w:rPr>
        <w:t xml:space="preserve"> </w:t>
      </w:r>
      <w:r w:rsidR="008D72FF" w:rsidRPr="008D72FF">
        <w:rPr>
          <w:lang w:val="en-GB"/>
        </w:rPr>
        <w:t>J</w:t>
      </w:r>
      <w:r w:rsidR="00160CA2" w:rsidRPr="008D72FF">
        <w:rPr>
          <w:lang w:val="en-GB"/>
        </w:rPr>
        <w:t>/mol-K</w:t>
      </w:r>
      <w:r w:rsidR="00160CA2">
        <w:rPr>
          <w:lang w:val="en-GB"/>
        </w:rPr>
        <w:t xml:space="preserve"> and</w:t>
      </w:r>
      <w:r w:rsidR="008521EA">
        <w:rPr>
          <w:lang w:val="en-GB"/>
        </w:rPr>
        <w:t xml:space="preserve"> </w:t>
      </w:r>
      <w:r w:rsidR="00AD3954">
        <w:rPr>
          <w:lang w:val="en-GB"/>
        </w:rPr>
        <w:t xml:space="preserve">an </w:t>
      </w:r>
      <w:r w:rsidR="00733564">
        <w:rPr>
          <w:lang w:val="en-GB"/>
        </w:rPr>
        <w:t>M</w:t>
      </w:r>
      <w:r w:rsidR="008521EA">
        <w:rPr>
          <w:lang w:val="en-GB"/>
        </w:rPr>
        <w:t>RE of 11.63</w:t>
      </w:r>
      <w:r w:rsidR="00AD3954">
        <w:rPr>
          <w:lang w:val="en-GB"/>
        </w:rPr>
        <w:t xml:space="preserve">%. </w:t>
      </w:r>
      <w:r w:rsidR="008C09C6">
        <w:rPr>
          <w:lang w:val="en-GB"/>
        </w:rPr>
        <w:t xml:space="preserve">The accuracy of the obtained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p</m:t>
            </m:r>
          </m:sub>
          <m:sup>
            <m:r>
              <w:rPr>
                <w:rFonts w:ascii="Cambria Math" w:hAnsi="Cambria Math"/>
                <w:lang w:val="en-GB"/>
              </w:rPr>
              <m:t>*</m:t>
            </m:r>
          </m:sup>
        </m:sSubSup>
      </m:oMath>
      <w:r w:rsidR="008C09C6">
        <w:rPr>
          <w:lang w:val="en-GB"/>
        </w:rPr>
        <w:t xml:space="preserve"> stand</w:t>
      </w:r>
      <w:r w:rsidR="00D730A8">
        <w:rPr>
          <w:lang w:val="en-GB"/>
        </w:rPr>
        <w:t>s</w:t>
      </w:r>
      <w:r w:rsidR="008C09C6">
        <w:rPr>
          <w:lang w:val="en-GB"/>
        </w:rPr>
        <w:t xml:space="preserve"> in contrast with th</w:t>
      </w:r>
      <w:r w:rsidR="00D730A8">
        <w:rPr>
          <w:lang w:val="en-GB"/>
        </w:rPr>
        <w:t>at of C and E</w:t>
      </w:r>
      <w:r w:rsidR="008C09C6">
        <w:rPr>
          <w:lang w:val="en-GB"/>
        </w:rPr>
        <w:t>, this can be attributed to i) deviations cancelling out,</w:t>
      </w:r>
      <w:r w:rsidR="00EF39AA">
        <w:rPr>
          <w:lang w:val="en-GB"/>
        </w:rPr>
        <w:t xml:space="preserve"> ii) the worst predicted parameters (C and E) are part of a quotient and thus their numerical value might not be</w:t>
      </w:r>
      <w:r w:rsidR="007A6C2B">
        <w:rPr>
          <w:lang w:val="en-GB"/>
        </w:rPr>
        <w:t xml:space="preserve"> </w:t>
      </w:r>
      <w:r w:rsidR="00EF39AA">
        <w:rPr>
          <w:lang w:val="en-GB"/>
        </w:rPr>
        <w:lastRenderedPageBreak/>
        <w:t xml:space="preserve">affected by </w:t>
      </w:r>
      <w:r w:rsidR="00D75E63">
        <w:rPr>
          <w:lang w:val="en-GB"/>
        </w:rPr>
        <w:t>the</w:t>
      </w:r>
      <w:r w:rsidR="00EF39AA">
        <w:rPr>
          <w:lang w:val="en-GB"/>
        </w:rPr>
        <w:t xml:space="preserve"> errors</w:t>
      </w:r>
      <w:r w:rsidR="00893C06">
        <w:rPr>
          <w:lang w:val="en-GB"/>
        </w:rPr>
        <w:t xml:space="preserve"> or iii) the contribution from the</w:t>
      </w:r>
      <w:r w:rsidR="00D75E63">
        <w:rPr>
          <w:lang w:val="en-GB"/>
        </w:rPr>
        <w:t xml:space="preserve"> quotients is</w:t>
      </w:r>
      <w:r w:rsidR="00893C06">
        <w:rPr>
          <w:lang w:val="en-GB"/>
        </w:rPr>
        <w:t xml:space="preserve"> negligible. </w:t>
      </w:r>
      <w:r w:rsidR="00D11652">
        <w:rPr>
          <w:lang w:val="en-GB"/>
        </w:rPr>
        <w:t xml:space="preserve">Further insights can </w:t>
      </w:r>
      <w:r w:rsidR="00893C06">
        <w:rPr>
          <w:lang w:val="en-GB"/>
        </w:rPr>
        <w:t xml:space="preserve">be </w:t>
      </w:r>
      <w:r w:rsidR="00D11652">
        <w:rPr>
          <w:lang w:val="en-GB"/>
        </w:rPr>
        <w:t>obtained</w:t>
      </w:r>
      <w:r w:rsidR="00893C06">
        <w:rPr>
          <w:lang w:val="en-GB"/>
        </w:rPr>
        <w:t xml:space="preserve"> using sensitivity</w:t>
      </w:r>
      <w:r w:rsidR="00D11652">
        <w:rPr>
          <w:lang w:val="en-GB"/>
        </w:rPr>
        <w:t xml:space="preserve"> and collinearity</w:t>
      </w:r>
      <w:r w:rsidR="00893C06">
        <w:rPr>
          <w:lang w:val="en-GB"/>
        </w:rPr>
        <w:t xml:space="preserve"> analysis </w:t>
      </w:r>
      <w:r w:rsidR="00733564">
        <w:rPr>
          <w:lang w:val="en-GB"/>
        </w:rPr>
        <w:t>and will be the subject of future work</w:t>
      </w:r>
      <w:r w:rsidR="00893C06">
        <w:rPr>
          <w:lang w:val="en-GB"/>
        </w:rPr>
        <w:t xml:space="preserve">. </w:t>
      </w:r>
      <w:r w:rsidR="00D11652">
        <w:rPr>
          <w:lang w:val="en-GB"/>
        </w:rPr>
        <w:t>Compared to the GC methods, t</w:t>
      </w:r>
      <w:r w:rsidR="00D730A8">
        <w:rPr>
          <w:lang w:val="en-GB"/>
        </w:rPr>
        <w:t xml:space="preserve">he results obtained </w:t>
      </w:r>
      <w:r w:rsidR="007A6C2B">
        <w:rPr>
          <w:lang w:val="en-GB"/>
        </w:rPr>
        <w:t>cover</w:t>
      </w:r>
      <w:r w:rsidR="00D730A8">
        <w:rPr>
          <w:lang w:val="en-GB"/>
        </w:rPr>
        <w:t xml:space="preserve"> a larger space</w:t>
      </w:r>
      <w:r w:rsidR="00D11652">
        <w:rPr>
          <w:lang w:val="en-GB"/>
        </w:rPr>
        <w:t>, while</w:t>
      </w:r>
      <w:r w:rsidR="007A6C2B">
        <w:rPr>
          <w:lang w:val="en-GB"/>
        </w:rPr>
        <w:t xml:space="preserve"> </w:t>
      </w:r>
      <w:r w:rsidR="00D730A8">
        <w:rPr>
          <w:lang w:val="en-GB"/>
        </w:rPr>
        <w:t>achiev</w:t>
      </w:r>
      <w:r w:rsidR="00D11652">
        <w:rPr>
          <w:lang w:val="en-GB"/>
        </w:rPr>
        <w:t>ing</w:t>
      </w:r>
      <w:r w:rsidR="00D730A8">
        <w:rPr>
          <w:lang w:val="en-GB"/>
        </w:rPr>
        <w:t xml:space="preserve"> slightly lower performance metrics. This can be </w:t>
      </w:r>
      <w:r w:rsidR="00D11652">
        <w:rPr>
          <w:lang w:val="en-GB"/>
        </w:rPr>
        <w:t xml:space="preserve">due </w:t>
      </w:r>
      <w:r w:rsidR="00D730A8">
        <w:rPr>
          <w:lang w:val="en-GB"/>
        </w:rPr>
        <w:t>to uneven data splitting (bias)</w:t>
      </w:r>
      <w:r w:rsidR="007F08A5">
        <w:rPr>
          <w:lang w:val="en-GB"/>
        </w:rPr>
        <w:t>, the goodness of fit of the individual parameters</w:t>
      </w:r>
      <w:r w:rsidR="00D730A8">
        <w:rPr>
          <w:lang w:val="en-GB"/>
        </w:rPr>
        <w:t xml:space="preserve"> </w:t>
      </w:r>
      <w:r w:rsidR="00D11652">
        <w:rPr>
          <w:lang w:val="en-GB"/>
        </w:rPr>
        <w:t>or inconsistencies in the data</w:t>
      </w:r>
      <w:r w:rsidR="00D730A8">
        <w:rPr>
          <w:lang w:val="en-GB"/>
        </w:rPr>
        <w:t xml:space="preserve">. </w:t>
      </w:r>
      <w:r w:rsidR="00286B22">
        <w:rPr>
          <w:lang w:val="en-GB"/>
        </w:rPr>
        <w:t xml:space="preserve">The obtained results were compared to a </w:t>
      </w:r>
      <w:r w:rsidR="007A6C2B">
        <w:rPr>
          <w:lang w:val="en-GB"/>
        </w:rPr>
        <w:t>purely</w:t>
      </w:r>
      <w:r w:rsidR="00286B22">
        <w:rPr>
          <w:lang w:val="en-GB"/>
        </w:rPr>
        <w:t xml:space="preserve"> data-driven approach using GNN</w:t>
      </w:r>
      <w:r w:rsidR="00443B1C">
        <w:rPr>
          <w:lang w:val="en-GB"/>
        </w:rPr>
        <w:t xml:space="preserve"> on a smaller subset of the data used herein (only experimental)</w:t>
      </w:r>
      <w:r w:rsidR="00D730A8">
        <w:rPr>
          <w:lang w:val="en-GB"/>
        </w:rPr>
        <w:t>, which obtained an R</w:t>
      </w:r>
      <w:r w:rsidR="00D730A8" w:rsidRPr="00D730A8">
        <w:rPr>
          <w:vertAlign w:val="superscript"/>
          <w:lang w:val="en-GB"/>
        </w:rPr>
        <w:t>2</w:t>
      </w:r>
      <w:r w:rsidR="00D730A8">
        <w:rPr>
          <w:lang w:val="en-GB"/>
        </w:rPr>
        <w:t xml:space="preserve"> of 0.99, </w:t>
      </w:r>
      <w:r w:rsidR="00D730A8" w:rsidRPr="00443B1C">
        <w:rPr>
          <w:lang w:val="en-GB"/>
        </w:rPr>
        <w:t xml:space="preserve">MAE of </w:t>
      </w:r>
      <w:r w:rsidR="00443B1C" w:rsidRPr="00443B1C">
        <w:rPr>
          <w:lang w:val="en-GB"/>
        </w:rPr>
        <w:t>1.65</w:t>
      </w:r>
      <w:r w:rsidR="00D730A8" w:rsidRPr="00443B1C">
        <w:rPr>
          <w:lang w:val="en-GB"/>
        </w:rPr>
        <w:t xml:space="preserve"> </w:t>
      </w:r>
      <w:r w:rsidR="00443B1C" w:rsidRPr="00443B1C">
        <w:rPr>
          <w:lang w:val="en-GB"/>
        </w:rPr>
        <w:t>J</w:t>
      </w:r>
      <w:r w:rsidR="00D730A8" w:rsidRPr="00443B1C">
        <w:rPr>
          <w:lang w:val="en-GB"/>
        </w:rPr>
        <w:t>/mol-K</w:t>
      </w:r>
      <w:r w:rsidR="00D730A8">
        <w:rPr>
          <w:lang w:val="en-GB"/>
        </w:rPr>
        <w:t xml:space="preserve"> and </w:t>
      </w:r>
      <w:r w:rsidR="00733564">
        <w:rPr>
          <w:lang w:val="en-GB"/>
        </w:rPr>
        <w:t>M</w:t>
      </w:r>
      <w:r w:rsidR="00D730A8">
        <w:rPr>
          <w:lang w:val="en-GB"/>
        </w:rPr>
        <w:t xml:space="preserve">RE of 1.1% </w:t>
      </w:r>
      <w:r w:rsidR="00D730A8">
        <w:rPr>
          <w:lang w:val="en-GB"/>
        </w:rPr>
        <w:fldChar w:fldCharType="begin"/>
      </w:r>
      <w:r w:rsidR="00D730A8">
        <w:rPr>
          <w:lang w:val="en-GB"/>
        </w:rPr>
        <w:instrText xml:space="preserve"> ADDIN ZOTERO_ITEM CSL_CITATION {"citationID":"cadROwWs","properties":{"formattedCitation":"(Aouichaoui et al., 2023a)","plainCitation":"(Aouichaoui et al., 2023a)","noteIndex":0},"citationItems":[{"id":19,"uris":["http://zotero.org/users/12178610/items/I3ASWBNU"],"itemData":{"id":19,"type":"chapter","abstract":"Property models are an integral part of many chemical engineering applications and have been the subject of a lot of interest, especially with recent advancements in deep learning such as graph neural networks. Despite being of major importance, little effort has been dedicated to functional properties where the property dependency goes beyond the molecular structural information and depends on the state variables such as temperature and pressure. In this work, we demonstrate a flexible framework to extend graph neural networks to account for such use cases. A total of 13 different temperature-dependent properties were modeled covering enthalpy of vaporization, various heat capacities, densities, and thermal conductivities as well as surface tension and vapor pressure. While many were successfully modeled with some reaching an average absolute relative error below 6%, some still require further attention such as surface tension and thermal conductivity to achieve good accuracy.","collection-title":"33 European Symposium on Computer Aided Process Engineering","container-title":"Computer Aided Chemical Engineering","license":"All rights reserved","note":"DOI: 10.1016/B978-0-443-15274-0.50091-3","page":"575-581","publisher":"Elsevier","source":"ScienceDirect","title":"S-GNN: State-Dependent Graph Neural Networks for Functional Molecular Properties","title-short":"S-GNN","URL":"https://www.sciencedirect.com/science/article/pii/B9780443152740500913","volume":"52","author":[{"family":"Aouichaoui","given":"Adem R. N."},{"family":"Cogliati","given":"Alessandro"},{"family":"Abildskov","given":"Jens"},{"family":"Sin","given":"Gürkan"}],"editor":[{"family":"Kokossis","given":"Antonios C."},{"family":"Georgiadis","given":"Michael C."},{"family":"Pistikopoulos","given":"Efstratios"}],"accessed":{"date-parts":[["2023",8,28]]},"issued":{"date-parts":[["2023",1,1]]}}}],"schema":"https://github.com/citation-style-language/schema/raw/master/csl-citation.json"} </w:instrText>
      </w:r>
      <w:r w:rsidR="00D730A8">
        <w:rPr>
          <w:lang w:val="en-GB"/>
        </w:rPr>
        <w:fldChar w:fldCharType="separate"/>
      </w:r>
      <w:r w:rsidR="00D730A8" w:rsidRPr="00C5662C">
        <w:t>(Aouichaoui et al., 2023a)</w:t>
      </w:r>
      <w:r w:rsidR="00D730A8">
        <w:rPr>
          <w:lang w:val="en-GB"/>
        </w:rPr>
        <w:fldChar w:fldCharType="end"/>
      </w:r>
      <w:r w:rsidR="00D730A8">
        <w:rPr>
          <w:lang w:val="en-GB"/>
        </w:rPr>
        <w:t>.</w:t>
      </w:r>
      <w:r w:rsidR="00B230E0">
        <w:rPr>
          <w:lang w:val="en-GB"/>
        </w:rPr>
        <w:t xml:space="preserve"> using the same subset of data, the current model achieves an R</w:t>
      </w:r>
      <w:r w:rsidR="00B230E0" w:rsidRPr="00B230E0">
        <w:rPr>
          <w:vertAlign w:val="superscript"/>
          <w:lang w:val="en-GB"/>
        </w:rPr>
        <w:t>2</w:t>
      </w:r>
      <w:r w:rsidR="00B230E0">
        <w:rPr>
          <w:lang w:val="en-GB"/>
        </w:rPr>
        <w:t>, MAE and MRE of</w:t>
      </w:r>
      <w:r w:rsidR="00BA4745">
        <w:rPr>
          <w:lang w:val="en-GB"/>
        </w:rPr>
        <w:t xml:space="preserve"> 0.96, 22.36 J/mol-K and 14.22% respectively. While the metrics </w:t>
      </w:r>
      <w:r w:rsidR="007A6C2B">
        <w:rPr>
          <w:lang w:val="en-GB"/>
        </w:rPr>
        <w:t>favour</w:t>
      </w:r>
      <w:r w:rsidR="00BA4745">
        <w:rPr>
          <w:lang w:val="en-GB"/>
        </w:rPr>
        <w:t xml:space="preserve"> the data-driven approach, it is important to note that the training methods were fundamentally different and as such it is not entirely possible to conclude which method is better.</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14F86599" w:rsidR="008D2649" w:rsidRDefault="00427C4F" w:rsidP="008D2649">
      <w:pPr>
        <w:pStyle w:val="Els-body-text"/>
        <w:spacing w:after="120"/>
        <w:rPr>
          <w:lang w:val="en-GB"/>
        </w:rPr>
      </w:pPr>
      <w:r w:rsidRPr="00ED12E7">
        <w:rPr>
          <w:lang w:val="en-GB"/>
        </w:rPr>
        <w:t xml:space="preserve">The study </w:t>
      </w:r>
      <w:r w:rsidR="00D75E63" w:rsidRPr="00ED12E7">
        <w:rPr>
          <w:lang w:val="en-GB"/>
        </w:rPr>
        <w:t xml:space="preserve">presented a hybrid model for the ideal gas heat capacity </w:t>
      </w:r>
      <w:r w:rsidR="001C7849" w:rsidRPr="00ED12E7">
        <w:rPr>
          <w:lang w:val="en-GB"/>
        </w:rPr>
        <w:t>that combines</w:t>
      </w:r>
      <w:r w:rsidR="00D75E63" w:rsidRPr="00ED12E7">
        <w:rPr>
          <w:lang w:val="en-GB"/>
        </w:rPr>
        <w:t xml:space="preserve"> </w:t>
      </w:r>
      <w:r w:rsidR="001C7849" w:rsidRPr="00ED12E7">
        <w:rPr>
          <w:lang w:val="en-GB"/>
        </w:rPr>
        <w:t>five</w:t>
      </w:r>
      <w:r w:rsidR="00D75E63" w:rsidRPr="00ED12E7">
        <w:rPr>
          <w:lang w:val="en-GB"/>
        </w:rPr>
        <w:t xml:space="preserve"> GNN</w:t>
      </w:r>
      <w:r w:rsidR="001C7849" w:rsidRPr="00ED12E7">
        <w:rPr>
          <w:lang w:val="en-GB"/>
        </w:rPr>
        <w:t>s</w:t>
      </w:r>
      <w:r w:rsidR="00D75E63" w:rsidRPr="00ED12E7">
        <w:rPr>
          <w:lang w:val="en-GB"/>
        </w:rPr>
        <w:t xml:space="preserve"> to predict five </w:t>
      </w:r>
      <w:r w:rsidR="007A6C2B">
        <w:rPr>
          <w:lang w:val="en-GB"/>
        </w:rPr>
        <w:t>compound-specific</w:t>
      </w:r>
      <w:r w:rsidR="00D75E63" w:rsidRPr="00ED12E7">
        <w:rPr>
          <w:lang w:val="en-GB"/>
        </w:rPr>
        <w:t xml:space="preserve"> constants which are used in a theoretically motivated correlation. </w:t>
      </w:r>
      <w:r w:rsidR="001C7849" w:rsidRPr="00ED12E7">
        <w:rPr>
          <w:lang w:val="en-GB"/>
        </w:rPr>
        <w:t xml:space="preserve">The results showed that the final prediction is good despite the presence of large errors on two of the five parameters. This can potentially be </w:t>
      </w:r>
      <w:r w:rsidR="00ED12E7">
        <w:rPr>
          <w:lang w:val="en-GB"/>
        </w:rPr>
        <w:t>due</w:t>
      </w:r>
      <w:r w:rsidR="001C7849" w:rsidRPr="00ED12E7">
        <w:rPr>
          <w:lang w:val="en-GB"/>
        </w:rPr>
        <w:t xml:space="preserve"> to collinearity between the parameters.</w:t>
      </w:r>
      <w:r w:rsidR="00ED12E7" w:rsidRPr="00ED12E7">
        <w:rPr>
          <w:lang w:val="en-GB"/>
        </w:rPr>
        <w:t xml:space="preserve"> The presented model can predict </w:t>
      </w:r>
      <w:r w:rsidR="007A6C2B">
        <w:rPr>
          <w:lang w:val="en-GB"/>
        </w:rPr>
        <w:t xml:space="preserve">the </w:t>
      </w:r>
      <w:r w:rsidR="00ED12E7" w:rsidRPr="00ED12E7">
        <w:rPr>
          <w:lang w:val="en-GB"/>
        </w:rPr>
        <w:t>functional properties of various organic compounds solely based on the structural information and the state variable (in this case the temperature).</w:t>
      </w:r>
      <w:r w:rsidR="007A6C2B">
        <w:rPr>
          <w:lang w:val="en-GB"/>
        </w:rPr>
        <w:t xml:space="preserve"> </w:t>
      </w:r>
      <w:r w:rsidR="007D66A3" w:rsidRPr="00ED12E7">
        <w:rPr>
          <w:lang w:val="en-GB"/>
        </w:rPr>
        <w:t>This could potentially be extended to cover other similarly obtained properties such as densities and vapour pressure.</w:t>
      </w:r>
    </w:p>
    <w:p w14:paraId="144DE6BF" w14:textId="608D0AD6" w:rsidR="008D2649" w:rsidRDefault="008D2649" w:rsidP="008D2649">
      <w:pPr>
        <w:pStyle w:val="Els-reference-head"/>
      </w:pPr>
      <w:r>
        <w:t>References</w:t>
      </w:r>
    </w:p>
    <w:p w14:paraId="5CA64C7B" w14:textId="321D5292" w:rsidR="00C5662C" w:rsidRPr="00C5662C" w:rsidRDefault="0022434F" w:rsidP="00817B90">
      <w:pPr>
        <w:pStyle w:val="Bibliography"/>
        <w:ind w:left="284" w:hanging="284"/>
        <w:jc w:val="both"/>
      </w:pPr>
      <w:r w:rsidRPr="0061195E">
        <w:rPr>
          <w:lang w:val="en-US"/>
        </w:rPr>
        <w:fldChar w:fldCharType="begin"/>
      </w:r>
      <w:r w:rsidRPr="0061195E">
        <w:rPr>
          <w:lang w:val="en-US"/>
        </w:rPr>
        <w:instrText xml:space="preserve"> ADDIN ZOTERO_BIBL {"uncited":[],"omitted":[],"custom":[]} CSL_BIBLIOGRAPHY </w:instrText>
      </w:r>
      <w:r w:rsidRPr="0061195E">
        <w:rPr>
          <w:lang w:val="en-US"/>
        </w:rPr>
        <w:fldChar w:fldCharType="separate"/>
      </w:r>
      <w:r w:rsidR="00C5662C" w:rsidRPr="00C5662C">
        <w:t xml:space="preserve">Aly, F.A., Lee, L.L., 1981. Self-consistent equations for calculating the ideal gas heat capacity, enthalpy, and entropy. Fluid Phase Equilibria 6, 169–179. </w:t>
      </w:r>
    </w:p>
    <w:p w14:paraId="72D0EC3D" w14:textId="7F688B5F" w:rsidR="00C5662C" w:rsidRPr="00817B90" w:rsidRDefault="00C5662C" w:rsidP="00817B90">
      <w:pPr>
        <w:pStyle w:val="Bibliography"/>
        <w:ind w:left="284" w:hanging="284"/>
        <w:jc w:val="both"/>
        <w:rPr>
          <w:lang w:val="en-US"/>
        </w:rPr>
      </w:pPr>
      <w:r w:rsidRPr="00C5662C">
        <w:t>Aouichaoui, A.R.N., Cogliati, A., Abildskov, J., Sin, G., 2023a. S-GNN: State-Dependent Graph Neural Networks for Functional Molecular Properties</w:t>
      </w:r>
      <w:r w:rsidR="00EF06CA">
        <w:t xml:space="preserve">, </w:t>
      </w:r>
      <w:r w:rsidRPr="00C5662C">
        <w:t xml:space="preserve">Computer Aided Chemical Engineering, 33 European Symposium on Computer Aided Process Engineering. </w:t>
      </w:r>
      <w:r w:rsidRPr="00817B90">
        <w:rPr>
          <w:lang w:val="en-US"/>
        </w:rPr>
        <w:t>Elsevier, pp. 575–581.</w:t>
      </w:r>
    </w:p>
    <w:p w14:paraId="5403CD08" w14:textId="47F24033" w:rsidR="00C5662C" w:rsidRPr="00C5662C" w:rsidRDefault="00C5662C" w:rsidP="00817B90">
      <w:pPr>
        <w:pStyle w:val="Bibliography"/>
        <w:ind w:left="284" w:hanging="284"/>
        <w:jc w:val="both"/>
      </w:pPr>
      <w:r w:rsidRPr="00B67194">
        <w:t xml:space="preserve">Aouichaoui, A.R.N., Fan, F., Abildskov, J., Sin, G., 2023b. </w:t>
      </w:r>
      <w:r w:rsidRPr="00C5662C">
        <w:t xml:space="preserve">Application of interpretable group-embedded graph neural networks for pure compound properties. Computers &amp; Chemical Engineering 176, 108291. </w:t>
      </w:r>
    </w:p>
    <w:p w14:paraId="30DD82E6" w14:textId="3395B9F2" w:rsidR="00C5662C" w:rsidRPr="00C5662C" w:rsidRDefault="00C5662C" w:rsidP="00817B90">
      <w:pPr>
        <w:pStyle w:val="Bibliography"/>
        <w:ind w:left="284" w:hanging="284"/>
        <w:jc w:val="both"/>
      </w:pPr>
      <w:r w:rsidRPr="00C5662C">
        <w:t xml:space="preserve">Benson, S.W., Cruickshank, F.R., Golden, D.M., Haugen, G.R., O’Neal, H.E., Rodgers, A.S., Shaw, R., Walsh, R., 1969. Additivity rules for the estimation of thermochemical properties. Chem. Rev. 69, 279–324. </w:t>
      </w:r>
    </w:p>
    <w:p w14:paraId="3CF386F9" w14:textId="57DA0321" w:rsidR="00C5662C" w:rsidRPr="00C5662C" w:rsidRDefault="00C5662C" w:rsidP="00817B90">
      <w:pPr>
        <w:pStyle w:val="Bibliography"/>
        <w:ind w:left="284" w:hanging="284"/>
        <w:jc w:val="both"/>
      </w:pPr>
      <w:r w:rsidRPr="00C5662C">
        <w:t xml:space="preserve">Joback, K.G., Reid, R.C., 1987. Estimation of pure component properties from group-contributions. Chemical Engineering Communications 57, 233–243. </w:t>
      </w:r>
    </w:p>
    <w:p w14:paraId="658DDAFE" w14:textId="120B5574" w:rsidR="00C5662C" w:rsidRPr="00C5662C" w:rsidRDefault="00C5662C" w:rsidP="00817B90">
      <w:pPr>
        <w:pStyle w:val="Bibliography"/>
        <w:ind w:left="284" w:hanging="284"/>
        <w:jc w:val="both"/>
      </w:pPr>
      <w:r w:rsidRPr="00C5662C">
        <w:t>Medina, E.I.S., Linke, S., Stoll, M., Sundmacher, K., 2022. Graph neural networks for the prediction of infinite dilution activity coefficients. Digital Discovery 1, 216–225.</w:t>
      </w:r>
    </w:p>
    <w:p w14:paraId="0E1728A1" w14:textId="77777777" w:rsidR="00C5662C" w:rsidRPr="00C5662C" w:rsidRDefault="00C5662C" w:rsidP="00EF06CA">
      <w:pPr>
        <w:pStyle w:val="Bibliography"/>
        <w:ind w:left="284" w:hanging="284"/>
        <w:jc w:val="both"/>
      </w:pPr>
      <w:r w:rsidRPr="00C5662C">
        <w:t>Rowley, R.I., Oscarson, W.V., Giles, N.F., 2019. DIPPR data compilation of pure chemical properties.</w:t>
      </w:r>
    </w:p>
    <w:p w14:paraId="297E609C" w14:textId="61B6E779" w:rsidR="00C5662C" w:rsidRPr="00C5662C" w:rsidRDefault="00C5662C" w:rsidP="00817B90">
      <w:pPr>
        <w:pStyle w:val="Bibliography"/>
        <w:ind w:left="284" w:hanging="284"/>
        <w:jc w:val="both"/>
      </w:pPr>
      <w:r w:rsidRPr="00C5662C">
        <w:t xml:space="preserve">Storn, R., Price, K., 1997. Differential Evolution – A Simple and Efficient Heuristic for global Optimization over Continuous Spaces. Journal of Global Optimization 11, 341–359. </w:t>
      </w:r>
    </w:p>
    <w:p w14:paraId="144DE6C3" w14:textId="04589966" w:rsidR="008D2649" w:rsidRDefault="00C5662C" w:rsidP="00440FF5">
      <w:pPr>
        <w:pStyle w:val="Bibliography"/>
        <w:ind w:left="284" w:hanging="284"/>
        <w:jc w:val="both"/>
        <w:rPr>
          <w:lang w:val="en-US"/>
        </w:rPr>
      </w:pPr>
      <w:r w:rsidRPr="00C5662C">
        <w:t xml:space="preserve">Xiong, Z., Wang, D., Liu, X., Zhong, F., Wan, X., Li, X., Li, Z., Luo, X., Chen, K., Jiang, H., Zheng, M., 2020. Pushing the Boundaries of Molecular Representation for Drug Discovery with the Graph Attention Mechanism. J. Med. Chem. 63, 8749–8760. </w:t>
      </w:r>
      <w:r w:rsidR="0022434F" w:rsidRPr="0061195E">
        <w:rPr>
          <w:lang w:val="en-US"/>
        </w:rPr>
        <w:fldChar w:fldCharType="end"/>
      </w:r>
    </w:p>
    <w:sectPr w:rsidR="008D2649" w:rsidSect="00F165FA">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6DB1" w14:textId="77777777" w:rsidR="00F165FA" w:rsidRDefault="00F165FA">
      <w:r>
        <w:separator/>
      </w:r>
    </w:p>
  </w:endnote>
  <w:endnote w:type="continuationSeparator" w:id="0">
    <w:p w14:paraId="5BC19F55" w14:textId="77777777" w:rsidR="00F165FA" w:rsidRDefault="00F165FA">
      <w:r>
        <w:continuationSeparator/>
      </w:r>
    </w:p>
  </w:endnote>
  <w:endnote w:type="continuationNotice" w:id="1">
    <w:p w14:paraId="62034CC4" w14:textId="77777777" w:rsidR="00F165FA" w:rsidRDefault="00F16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E2F9" w14:textId="77777777" w:rsidR="00F165FA" w:rsidRDefault="00F165FA">
      <w:r>
        <w:separator/>
      </w:r>
    </w:p>
  </w:footnote>
  <w:footnote w:type="continuationSeparator" w:id="0">
    <w:p w14:paraId="0DDF9EAE" w14:textId="77777777" w:rsidR="00F165FA" w:rsidRDefault="00F165FA">
      <w:r>
        <w:continuationSeparator/>
      </w:r>
    </w:p>
  </w:footnote>
  <w:footnote w:type="continuationNotice" w:id="1">
    <w:p w14:paraId="18E2A1B7" w14:textId="77777777" w:rsidR="00F165FA" w:rsidRDefault="00F16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E55904A" w:rsidR="00DD3D9E" w:rsidRDefault="00DD3D9E">
    <w:pPr>
      <w:pStyle w:val="Header"/>
      <w:tabs>
        <w:tab w:val="clear" w:pos="7200"/>
        <w:tab w:val="right" w:pos="7088"/>
      </w:tabs>
    </w:pPr>
    <w:r>
      <w:rPr>
        <w:rStyle w:val="PageNumber"/>
      </w:rPr>
      <w:tab/>
    </w:r>
    <w:r>
      <w:rPr>
        <w:rStyle w:val="PageNumber"/>
        <w:i/>
      </w:rPr>
      <w:tab/>
    </w:r>
    <w:r w:rsidR="0057264A">
      <w:rPr>
        <w:i/>
      </w:rPr>
      <w:t>A.R.N Aouchaoui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4832EE4" w:rsidR="00DD3D9E" w:rsidRDefault="006135C9" w:rsidP="006135C9">
    <w:pPr>
      <w:pStyle w:val="Header"/>
      <w:tabs>
        <w:tab w:val="clear" w:pos="7200"/>
        <w:tab w:val="right" w:pos="7088"/>
      </w:tabs>
      <w:rPr>
        <w:sz w:val="24"/>
      </w:rPr>
    </w:pPr>
    <w:r w:rsidRPr="006135C9">
      <w:rPr>
        <w:i/>
      </w:rPr>
      <w:t>Towards Self</w:t>
    </w:r>
    <w:r w:rsidR="00B230E0">
      <w:rPr>
        <w:i/>
      </w:rPr>
      <w:t>-</w:t>
    </w:r>
    <w:r w:rsidRPr="006135C9">
      <w:rPr>
        <w:i/>
      </w:rPr>
      <w:t xml:space="preserve">Consistent Graph Neural Networks for </w:t>
    </w:r>
    <w:r w:rsidR="008D36FE">
      <w:rPr>
        <w:i/>
      </w:rPr>
      <w:t>Predicting</w:t>
    </w:r>
    <w:r w:rsidRPr="006135C9">
      <w:rPr>
        <w:i/>
      </w:rPr>
      <w:t xml:space="preserve"> the Ideal Gas Heat Capacity, Enthalpy, </w:t>
    </w:r>
    <w:r w:rsidR="008D36FE">
      <w:rPr>
        <w:i/>
      </w:rPr>
      <w:t>a</w:t>
    </w:r>
    <w:r w:rsidRPr="006135C9">
      <w:rPr>
        <w:i/>
      </w:rPr>
      <w:t>nd Entropy</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358"/>
    <w:rsid w:val="0001203A"/>
    <w:rsid w:val="00014B36"/>
    <w:rsid w:val="0003193E"/>
    <w:rsid w:val="00033526"/>
    <w:rsid w:val="00043BA7"/>
    <w:rsid w:val="000442C5"/>
    <w:rsid w:val="00045B26"/>
    <w:rsid w:val="000519EC"/>
    <w:rsid w:val="00055B35"/>
    <w:rsid w:val="00071C50"/>
    <w:rsid w:val="000769E8"/>
    <w:rsid w:val="00094FED"/>
    <w:rsid w:val="000A08E1"/>
    <w:rsid w:val="000A56C9"/>
    <w:rsid w:val="000B2310"/>
    <w:rsid w:val="000B32BB"/>
    <w:rsid w:val="000C144D"/>
    <w:rsid w:val="000C19F2"/>
    <w:rsid w:val="000C2B9F"/>
    <w:rsid w:val="000D3D9B"/>
    <w:rsid w:val="000E41BF"/>
    <w:rsid w:val="000E7AEF"/>
    <w:rsid w:val="000F11A3"/>
    <w:rsid w:val="000F1AC5"/>
    <w:rsid w:val="00100D7D"/>
    <w:rsid w:val="00103793"/>
    <w:rsid w:val="00105972"/>
    <w:rsid w:val="00105A35"/>
    <w:rsid w:val="0011281C"/>
    <w:rsid w:val="00114248"/>
    <w:rsid w:val="001143E0"/>
    <w:rsid w:val="00115304"/>
    <w:rsid w:val="001165F1"/>
    <w:rsid w:val="001210E9"/>
    <w:rsid w:val="00127379"/>
    <w:rsid w:val="00132797"/>
    <w:rsid w:val="001333FA"/>
    <w:rsid w:val="001363DD"/>
    <w:rsid w:val="001403C2"/>
    <w:rsid w:val="00142500"/>
    <w:rsid w:val="00146FA1"/>
    <w:rsid w:val="00152CF7"/>
    <w:rsid w:val="0016032F"/>
    <w:rsid w:val="00160CA2"/>
    <w:rsid w:val="0017179C"/>
    <w:rsid w:val="00183B44"/>
    <w:rsid w:val="00186BBE"/>
    <w:rsid w:val="001879F6"/>
    <w:rsid w:val="00192AAF"/>
    <w:rsid w:val="00192B43"/>
    <w:rsid w:val="001970D2"/>
    <w:rsid w:val="001A4BA6"/>
    <w:rsid w:val="001B0AB4"/>
    <w:rsid w:val="001B3669"/>
    <w:rsid w:val="001B4DB6"/>
    <w:rsid w:val="001C0148"/>
    <w:rsid w:val="001C5465"/>
    <w:rsid w:val="001C5ADD"/>
    <w:rsid w:val="001C6B5B"/>
    <w:rsid w:val="001C757E"/>
    <w:rsid w:val="001C7849"/>
    <w:rsid w:val="001D0CEC"/>
    <w:rsid w:val="001D4C1B"/>
    <w:rsid w:val="001E3618"/>
    <w:rsid w:val="0020052F"/>
    <w:rsid w:val="00202527"/>
    <w:rsid w:val="0020390F"/>
    <w:rsid w:val="002068BF"/>
    <w:rsid w:val="00213CDC"/>
    <w:rsid w:val="00220CB3"/>
    <w:rsid w:val="0022434F"/>
    <w:rsid w:val="00225111"/>
    <w:rsid w:val="00235033"/>
    <w:rsid w:val="00240305"/>
    <w:rsid w:val="00241A91"/>
    <w:rsid w:val="0025002B"/>
    <w:rsid w:val="00251621"/>
    <w:rsid w:val="0025677E"/>
    <w:rsid w:val="00256FF3"/>
    <w:rsid w:val="002620DF"/>
    <w:rsid w:val="00264926"/>
    <w:rsid w:val="002729A8"/>
    <w:rsid w:val="00272F37"/>
    <w:rsid w:val="00273B59"/>
    <w:rsid w:val="00276CA6"/>
    <w:rsid w:val="00283275"/>
    <w:rsid w:val="00284AB1"/>
    <w:rsid w:val="00286454"/>
    <w:rsid w:val="00286B22"/>
    <w:rsid w:val="00290F74"/>
    <w:rsid w:val="00292632"/>
    <w:rsid w:val="002A78D8"/>
    <w:rsid w:val="002B0368"/>
    <w:rsid w:val="002C4AAE"/>
    <w:rsid w:val="002C4BB2"/>
    <w:rsid w:val="002C62DD"/>
    <w:rsid w:val="002D3116"/>
    <w:rsid w:val="002E4303"/>
    <w:rsid w:val="002E5A43"/>
    <w:rsid w:val="002E680E"/>
    <w:rsid w:val="002F0F20"/>
    <w:rsid w:val="002F4E19"/>
    <w:rsid w:val="002F56C6"/>
    <w:rsid w:val="0030029C"/>
    <w:rsid w:val="0030045E"/>
    <w:rsid w:val="00302745"/>
    <w:rsid w:val="00302B08"/>
    <w:rsid w:val="00303B01"/>
    <w:rsid w:val="00316B4F"/>
    <w:rsid w:val="00323FBE"/>
    <w:rsid w:val="00324524"/>
    <w:rsid w:val="00335F11"/>
    <w:rsid w:val="00341B3C"/>
    <w:rsid w:val="00355489"/>
    <w:rsid w:val="00372C6C"/>
    <w:rsid w:val="003738DF"/>
    <w:rsid w:val="00375CC3"/>
    <w:rsid w:val="0037741E"/>
    <w:rsid w:val="00382DC9"/>
    <w:rsid w:val="00382ED8"/>
    <w:rsid w:val="003925D6"/>
    <w:rsid w:val="00396B3D"/>
    <w:rsid w:val="003A25C8"/>
    <w:rsid w:val="003A78DB"/>
    <w:rsid w:val="003B1640"/>
    <w:rsid w:val="003B2179"/>
    <w:rsid w:val="003B2458"/>
    <w:rsid w:val="003C015E"/>
    <w:rsid w:val="003C2664"/>
    <w:rsid w:val="003C5874"/>
    <w:rsid w:val="003D062C"/>
    <w:rsid w:val="003D1582"/>
    <w:rsid w:val="003D2247"/>
    <w:rsid w:val="003D77B1"/>
    <w:rsid w:val="003D7E4C"/>
    <w:rsid w:val="003E0FE1"/>
    <w:rsid w:val="003E13D2"/>
    <w:rsid w:val="003E41C2"/>
    <w:rsid w:val="003F217A"/>
    <w:rsid w:val="003F5920"/>
    <w:rsid w:val="00410072"/>
    <w:rsid w:val="00423CE0"/>
    <w:rsid w:val="004243BF"/>
    <w:rsid w:val="00426467"/>
    <w:rsid w:val="0042661A"/>
    <w:rsid w:val="00426714"/>
    <w:rsid w:val="00427C4F"/>
    <w:rsid w:val="00440BC3"/>
    <w:rsid w:val="00440FF5"/>
    <w:rsid w:val="00443B1C"/>
    <w:rsid w:val="0044639C"/>
    <w:rsid w:val="0045627C"/>
    <w:rsid w:val="004574A4"/>
    <w:rsid w:val="004647DD"/>
    <w:rsid w:val="00473EE9"/>
    <w:rsid w:val="00474F44"/>
    <w:rsid w:val="0047745D"/>
    <w:rsid w:val="00477460"/>
    <w:rsid w:val="0047778B"/>
    <w:rsid w:val="00477BE8"/>
    <w:rsid w:val="004814A5"/>
    <w:rsid w:val="004915F4"/>
    <w:rsid w:val="0049772C"/>
    <w:rsid w:val="004A0BEF"/>
    <w:rsid w:val="004A3620"/>
    <w:rsid w:val="004A4081"/>
    <w:rsid w:val="004A4671"/>
    <w:rsid w:val="004B095A"/>
    <w:rsid w:val="004B2D93"/>
    <w:rsid w:val="004B744D"/>
    <w:rsid w:val="004C04E7"/>
    <w:rsid w:val="004C7A26"/>
    <w:rsid w:val="004D187D"/>
    <w:rsid w:val="004E0DDD"/>
    <w:rsid w:val="004F1566"/>
    <w:rsid w:val="004F2298"/>
    <w:rsid w:val="004F3193"/>
    <w:rsid w:val="004F322F"/>
    <w:rsid w:val="004F48A9"/>
    <w:rsid w:val="00501944"/>
    <w:rsid w:val="00504DDD"/>
    <w:rsid w:val="005062D2"/>
    <w:rsid w:val="005069C6"/>
    <w:rsid w:val="0050708C"/>
    <w:rsid w:val="005070F0"/>
    <w:rsid w:val="005115E9"/>
    <w:rsid w:val="005143B5"/>
    <w:rsid w:val="00517A2B"/>
    <w:rsid w:val="00521696"/>
    <w:rsid w:val="005232DF"/>
    <w:rsid w:val="00525DA9"/>
    <w:rsid w:val="00526FA3"/>
    <w:rsid w:val="0053232C"/>
    <w:rsid w:val="00533252"/>
    <w:rsid w:val="005348F2"/>
    <w:rsid w:val="005375DB"/>
    <w:rsid w:val="0054086A"/>
    <w:rsid w:val="005514FF"/>
    <w:rsid w:val="0055222E"/>
    <w:rsid w:val="00552EEB"/>
    <w:rsid w:val="0055560B"/>
    <w:rsid w:val="00563843"/>
    <w:rsid w:val="00571F28"/>
    <w:rsid w:val="00572371"/>
    <w:rsid w:val="005725B3"/>
    <w:rsid w:val="0057264A"/>
    <w:rsid w:val="00576AAD"/>
    <w:rsid w:val="00580D38"/>
    <w:rsid w:val="00583F37"/>
    <w:rsid w:val="005857CE"/>
    <w:rsid w:val="00585DAB"/>
    <w:rsid w:val="005860F2"/>
    <w:rsid w:val="0059426F"/>
    <w:rsid w:val="005A02DC"/>
    <w:rsid w:val="005A1695"/>
    <w:rsid w:val="005A470E"/>
    <w:rsid w:val="005A50AB"/>
    <w:rsid w:val="005B3B89"/>
    <w:rsid w:val="005B4539"/>
    <w:rsid w:val="005B698D"/>
    <w:rsid w:val="005B7475"/>
    <w:rsid w:val="005D216E"/>
    <w:rsid w:val="005D4ABB"/>
    <w:rsid w:val="005D67FA"/>
    <w:rsid w:val="005E6994"/>
    <w:rsid w:val="005F0B9B"/>
    <w:rsid w:val="005F1517"/>
    <w:rsid w:val="005F235C"/>
    <w:rsid w:val="005F4191"/>
    <w:rsid w:val="005F5072"/>
    <w:rsid w:val="005F5C54"/>
    <w:rsid w:val="005F719D"/>
    <w:rsid w:val="00601A4A"/>
    <w:rsid w:val="00603EBB"/>
    <w:rsid w:val="0061054F"/>
    <w:rsid w:val="0061195E"/>
    <w:rsid w:val="006134D4"/>
    <w:rsid w:val="006135C9"/>
    <w:rsid w:val="00613730"/>
    <w:rsid w:val="00615ABB"/>
    <w:rsid w:val="0062618E"/>
    <w:rsid w:val="00626742"/>
    <w:rsid w:val="00635C9C"/>
    <w:rsid w:val="0065018A"/>
    <w:rsid w:val="006552F6"/>
    <w:rsid w:val="0065642B"/>
    <w:rsid w:val="00657C67"/>
    <w:rsid w:val="0066140C"/>
    <w:rsid w:val="0066463F"/>
    <w:rsid w:val="00666FEA"/>
    <w:rsid w:val="00676816"/>
    <w:rsid w:val="00677D18"/>
    <w:rsid w:val="00682954"/>
    <w:rsid w:val="00691239"/>
    <w:rsid w:val="00691330"/>
    <w:rsid w:val="006922D8"/>
    <w:rsid w:val="00697DF8"/>
    <w:rsid w:val="006A11FA"/>
    <w:rsid w:val="006A1891"/>
    <w:rsid w:val="006A22B9"/>
    <w:rsid w:val="006A69BF"/>
    <w:rsid w:val="006B042B"/>
    <w:rsid w:val="006B3DE1"/>
    <w:rsid w:val="006C0EA5"/>
    <w:rsid w:val="006C1035"/>
    <w:rsid w:val="006C1A50"/>
    <w:rsid w:val="006C210A"/>
    <w:rsid w:val="006C4E32"/>
    <w:rsid w:val="006E0C87"/>
    <w:rsid w:val="006E649A"/>
    <w:rsid w:val="006F12BD"/>
    <w:rsid w:val="006F3EE3"/>
    <w:rsid w:val="006F5730"/>
    <w:rsid w:val="007014E0"/>
    <w:rsid w:val="00701DE9"/>
    <w:rsid w:val="0070299A"/>
    <w:rsid w:val="00707A24"/>
    <w:rsid w:val="00711DF4"/>
    <w:rsid w:val="007151CE"/>
    <w:rsid w:val="00716405"/>
    <w:rsid w:val="00721C45"/>
    <w:rsid w:val="007220F9"/>
    <w:rsid w:val="00722963"/>
    <w:rsid w:val="0072439D"/>
    <w:rsid w:val="007260D6"/>
    <w:rsid w:val="00733564"/>
    <w:rsid w:val="00733E52"/>
    <w:rsid w:val="00744861"/>
    <w:rsid w:val="007532D4"/>
    <w:rsid w:val="007572DE"/>
    <w:rsid w:val="00761426"/>
    <w:rsid w:val="0076489C"/>
    <w:rsid w:val="00772F0A"/>
    <w:rsid w:val="00775FA1"/>
    <w:rsid w:val="00785E31"/>
    <w:rsid w:val="00791403"/>
    <w:rsid w:val="00793D9F"/>
    <w:rsid w:val="007A6C2B"/>
    <w:rsid w:val="007A740B"/>
    <w:rsid w:val="007B2540"/>
    <w:rsid w:val="007B3A61"/>
    <w:rsid w:val="007B5C99"/>
    <w:rsid w:val="007B5E0B"/>
    <w:rsid w:val="007D070D"/>
    <w:rsid w:val="007D53FB"/>
    <w:rsid w:val="007D66A3"/>
    <w:rsid w:val="007D70A1"/>
    <w:rsid w:val="007F08A5"/>
    <w:rsid w:val="007F0B7F"/>
    <w:rsid w:val="007F21D3"/>
    <w:rsid w:val="007F4F81"/>
    <w:rsid w:val="007F5435"/>
    <w:rsid w:val="007F7BFF"/>
    <w:rsid w:val="0080074F"/>
    <w:rsid w:val="00802BAD"/>
    <w:rsid w:val="008100ED"/>
    <w:rsid w:val="00810D5C"/>
    <w:rsid w:val="00811987"/>
    <w:rsid w:val="00812C55"/>
    <w:rsid w:val="008132E8"/>
    <w:rsid w:val="00817A35"/>
    <w:rsid w:val="00817B90"/>
    <w:rsid w:val="00823407"/>
    <w:rsid w:val="008242F1"/>
    <w:rsid w:val="00826585"/>
    <w:rsid w:val="008338E7"/>
    <w:rsid w:val="00837970"/>
    <w:rsid w:val="00843791"/>
    <w:rsid w:val="008458AB"/>
    <w:rsid w:val="0085135F"/>
    <w:rsid w:val="008521EA"/>
    <w:rsid w:val="008526BE"/>
    <w:rsid w:val="00853EDE"/>
    <w:rsid w:val="008542F1"/>
    <w:rsid w:val="00863F95"/>
    <w:rsid w:val="008704C1"/>
    <w:rsid w:val="00873D83"/>
    <w:rsid w:val="00874BC9"/>
    <w:rsid w:val="0087515C"/>
    <w:rsid w:val="00875B0D"/>
    <w:rsid w:val="00876029"/>
    <w:rsid w:val="00880BB9"/>
    <w:rsid w:val="00884597"/>
    <w:rsid w:val="00892FA5"/>
    <w:rsid w:val="00893C06"/>
    <w:rsid w:val="00897506"/>
    <w:rsid w:val="008977A6"/>
    <w:rsid w:val="00897C55"/>
    <w:rsid w:val="008A0678"/>
    <w:rsid w:val="008A1F4E"/>
    <w:rsid w:val="008B0184"/>
    <w:rsid w:val="008B3C68"/>
    <w:rsid w:val="008B3CC1"/>
    <w:rsid w:val="008C09C6"/>
    <w:rsid w:val="008C5D02"/>
    <w:rsid w:val="008D2630"/>
    <w:rsid w:val="008D2649"/>
    <w:rsid w:val="008D36FE"/>
    <w:rsid w:val="008D3D53"/>
    <w:rsid w:val="008D5191"/>
    <w:rsid w:val="008D5390"/>
    <w:rsid w:val="008D72FF"/>
    <w:rsid w:val="008E4345"/>
    <w:rsid w:val="008E78AE"/>
    <w:rsid w:val="008F3FCB"/>
    <w:rsid w:val="008F6039"/>
    <w:rsid w:val="0090118E"/>
    <w:rsid w:val="00904B10"/>
    <w:rsid w:val="0090568D"/>
    <w:rsid w:val="009125C9"/>
    <w:rsid w:val="00913879"/>
    <w:rsid w:val="0091420B"/>
    <w:rsid w:val="00917661"/>
    <w:rsid w:val="0092146E"/>
    <w:rsid w:val="009239B2"/>
    <w:rsid w:val="00923B3F"/>
    <w:rsid w:val="00931AA7"/>
    <w:rsid w:val="00933487"/>
    <w:rsid w:val="00936235"/>
    <w:rsid w:val="00942206"/>
    <w:rsid w:val="00942BE3"/>
    <w:rsid w:val="00943202"/>
    <w:rsid w:val="00956203"/>
    <w:rsid w:val="00956F45"/>
    <w:rsid w:val="009602FC"/>
    <w:rsid w:val="00967EFA"/>
    <w:rsid w:val="00970E5D"/>
    <w:rsid w:val="00970FA4"/>
    <w:rsid w:val="0097701C"/>
    <w:rsid w:val="00980607"/>
    <w:rsid w:val="00980A65"/>
    <w:rsid w:val="00984214"/>
    <w:rsid w:val="009855AC"/>
    <w:rsid w:val="009939B4"/>
    <w:rsid w:val="009A2B85"/>
    <w:rsid w:val="009A4316"/>
    <w:rsid w:val="009B5083"/>
    <w:rsid w:val="009C5D2E"/>
    <w:rsid w:val="009C7E29"/>
    <w:rsid w:val="009C7FA4"/>
    <w:rsid w:val="009D2EDF"/>
    <w:rsid w:val="009E14AF"/>
    <w:rsid w:val="009E66C0"/>
    <w:rsid w:val="009F1A4F"/>
    <w:rsid w:val="009F555F"/>
    <w:rsid w:val="009F608A"/>
    <w:rsid w:val="009F6103"/>
    <w:rsid w:val="009F77DA"/>
    <w:rsid w:val="00A03438"/>
    <w:rsid w:val="00A17903"/>
    <w:rsid w:val="00A24B8E"/>
    <w:rsid w:val="00A25E70"/>
    <w:rsid w:val="00A33765"/>
    <w:rsid w:val="00A3460C"/>
    <w:rsid w:val="00A42E66"/>
    <w:rsid w:val="00A45FD4"/>
    <w:rsid w:val="00A51F91"/>
    <w:rsid w:val="00A62E02"/>
    <w:rsid w:val="00A63269"/>
    <w:rsid w:val="00A65FF8"/>
    <w:rsid w:val="00A7255F"/>
    <w:rsid w:val="00A74A6B"/>
    <w:rsid w:val="00A77B25"/>
    <w:rsid w:val="00A92377"/>
    <w:rsid w:val="00A924B1"/>
    <w:rsid w:val="00AA076E"/>
    <w:rsid w:val="00AB29ED"/>
    <w:rsid w:val="00AB5D86"/>
    <w:rsid w:val="00AC5B39"/>
    <w:rsid w:val="00AD3954"/>
    <w:rsid w:val="00AE4BD8"/>
    <w:rsid w:val="00AF44DD"/>
    <w:rsid w:val="00AF5557"/>
    <w:rsid w:val="00B0456F"/>
    <w:rsid w:val="00B069EB"/>
    <w:rsid w:val="00B11818"/>
    <w:rsid w:val="00B205C3"/>
    <w:rsid w:val="00B20B37"/>
    <w:rsid w:val="00B2298C"/>
    <w:rsid w:val="00B230E0"/>
    <w:rsid w:val="00B2379B"/>
    <w:rsid w:val="00B264F7"/>
    <w:rsid w:val="00B2789A"/>
    <w:rsid w:val="00B278C3"/>
    <w:rsid w:val="00B359DD"/>
    <w:rsid w:val="00B35FD7"/>
    <w:rsid w:val="00B4388F"/>
    <w:rsid w:val="00B5129F"/>
    <w:rsid w:val="00B5187A"/>
    <w:rsid w:val="00B52369"/>
    <w:rsid w:val="00B56F77"/>
    <w:rsid w:val="00B60457"/>
    <w:rsid w:val="00B63237"/>
    <w:rsid w:val="00B66A8F"/>
    <w:rsid w:val="00B67194"/>
    <w:rsid w:val="00B70A01"/>
    <w:rsid w:val="00B72559"/>
    <w:rsid w:val="00B734DF"/>
    <w:rsid w:val="00B7370A"/>
    <w:rsid w:val="00B73F62"/>
    <w:rsid w:val="00B758CB"/>
    <w:rsid w:val="00B77B15"/>
    <w:rsid w:val="00B8749E"/>
    <w:rsid w:val="00B91125"/>
    <w:rsid w:val="00B96627"/>
    <w:rsid w:val="00BA0918"/>
    <w:rsid w:val="00BA2A6F"/>
    <w:rsid w:val="00BA460F"/>
    <w:rsid w:val="00BA4745"/>
    <w:rsid w:val="00BA6C23"/>
    <w:rsid w:val="00BC2059"/>
    <w:rsid w:val="00BC3C24"/>
    <w:rsid w:val="00BC458C"/>
    <w:rsid w:val="00BC6772"/>
    <w:rsid w:val="00BD0AA4"/>
    <w:rsid w:val="00BD5AD3"/>
    <w:rsid w:val="00BD7660"/>
    <w:rsid w:val="00BE34BE"/>
    <w:rsid w:val="00BE3A88"/>
    <w:rsid w:val="00BE4504"/>
    <w:rsid w:val="00BF02E2"/>
    <w:rsid w:val="00BF5DB4"/>
    <w:rsid w:val="00C02051"/>
    <w:rsid w:val="00C06FA1"/>
    <w:rsid w:val="00C12BA0"/>
    <w:rsid w:val="00C14748"/>
    <w:rsid w:val="00C14AD3"/>
    <w:rsid w:val="00C20395"/>
    <w:rsid w:val="00C269ED"/>
    <w:rsid w:val="00C31AC6"/>
    <w:rsid w:val="00C42F48"/>
    <w:rsid w:val="00C521F3"/>
    <w:rsid w:val="00C5662C"/>
    <w:rsid w:val="00C5671F"/>
    <w:rsid w:val="00C61E5D"/>
    <w:rsid w:val="00C642F8"/>
    <w:rsid w:val="00C657DD"/>
    <w:rsid w:val="00C7497B"/>
    <w:rsid w:val="00C75C41"/>
    <w:rsid w:val="00C76120"/>
    <w:rsid w:val="00C8489E"/>
    <w:rsid w:val="00C960DC"/>
    <w:rsid w:val="00C96E6D"/>
    <w:rsid w:val="00CA2908"/>
    <w:rsid w:val="00CA5F87"/>
    <w:rsid w:val="00CA72DF"/>
    <w:rsid w:val="00CA74A4"/>
    <w:rsid w:val="00CB336C"/>
    <w:rsid w:val="00CC1291"/>
    <w:rsid w:val="00CC259E"/>
    <w:rsid w:val="00CC437A"/>
    <w:rsid w:val="00CD2D92"/>
    <w:rsid w:val="00CD70C1"/>
    <w:rsid w:val="00CD762A"/>
    <w:rsid w:val="00CE4A5B"/>
    <w:rsid w:val="00CF16CF"/>
    <w:rsid w:val="00D01992"/>
    <w:rsid w:val="00D01D19"/>
    <w:rsid w:val="00D02C75"/>
    <w:rsid w:val="00D035FE"/>
    <w:rsid w:val="00D056D5"/>
    <w:rsid w:val="00D065C0"/>
    <w:rsid w:val="00D076A3"/>
    <w:rsid w:val="00D10A5E"/>
    <w:rsid w:val="00D10E22"/>
    <w:rsid w:val="00D11652"/>
    <w:rsid w:val="00D11FBB"/>
    <w:rsid w:val="00D13D2C"/>
    <w:rsid w:val="00D155B5"/>
    <w:rsid w:val="00D1638F"/>
    <w:rsid w:val="00D21974"/>
    <w:rsid w:val="00D21B14"/>
    <w:rsid w:val="00D2244D"/>
    <w:rsid w:val="00D24C38"/>
    <w:rsid w:val="00D26CCB"/>
    <w:rsid w:val="00D32F59"/>
    <w:rsid w:val="00D35B5D"/>
    <w:rsid w:val="00D36C77"/>
    <w:rsid w:val="00D429F5"/>
    <w:rsid w:val="00D62E22"/>
    <w:rsid w:val="00D730A8"/>
    <w:rsid w:val="00D74BD6"/>
    <w:rsid w:val="00D75E63"/>
    <w:rsid w:val="00D76FD1"/>
    <w:rsid w:val="00D77917"/>
    <w:rsid w:val="00D824F9"/>
    <w:rsid w:val="00D83402"/>
    <w:rsid w:val="00D843D2"/>
    <w:rsid w:val="00D91945"/>
    <w:rsid w:val="00DA2856"/>
    <w:rsid w:val="00DB1561"/>
    <w:rsid w:val="00DB3E07"/>
    <w:rsid w:val="00DB46D4"/>
    <w:rsid w:val="00DB6B8B"/>
    <w:rsid w:val="00DC2F94"/>
    <w:rsid w:val="00DD26B4"/>
    <w:rsid w:val="00DD3D9E"/>
    <w:rsid w:val="00DD7908"/>
    <w:rsid w:val="00DE1617"/>
    <w:rsid w:val="00DE2299"/>
    <w:rsid w:val="00DE4188"/>
    <w:rsid w:val="00DF46E3"/>
    <w:rsid w:val="00DF629A"/>
    <w:rsid w:val="00E014A3"/>
    <w:rsid w:val="00E10FAA"/>
    <w:rsid w:val="00E21B3E"/>
    <w:rsid w:val="00E235A9"/>
    <w:rsid w:val="00E45C7A"/>
    <w:rsid w:val="00E5702F"/>
    <w:rsid w:val="00E57441"/>
    <w:rsid w:val="00E65CD7"/>
    <w:rsid w:val="00E67FD5"/>
    <w:rsid w:val="00E7758C"/>
    <w:rsid w:val="00E77D5C"/>
    <w:rsid w:val="00E82297"/>
    <w:rsid w:val="00E9288F"/>
    <w:rsid w:val="00E93E09"/>
    <w:rsid w:val="00E940A4"/>
    <w:rsid w:val="00E95896"/>
    <w:rsid w:val="00E97824"/>
    <w:rsid w:val="00EA18EA"/>
    <w:rsid w:val="00EA3147"/>
    <w:rsid w:val="00EA3481"/>
    <w:rsid w:val="00EA6BC5"/>
    <w:rsid w:val="00EC1C3B"/>
    <w:rsid w:val="00EC1E85"/>
    <w:rsid w:val="00EC251A"/>
    <w:rsid w:val="00EC5714"/>
    <w:rsid w:val="00EC74D0"/>
    <w:rsid w:val="00EC77D2"/>
    <w:rsid w:val="00ED12E7"/>
    <w:rsid w:val="00ED34EE"/>
    <w:rsid w:val="00ED3B7D"/>
    <w:rsid w:val="00ED3C5B"/>
    <w:rsid w:val="00ED4920"/>
    <w:rsid w:val="00EE3584"/>
    <w:rsid w:val="00EE6DE0"/>
    <w:rsid w:val="00EF06CA"/>
    <w:rsid w:val="00EF0941"/>
    <w:rsid w:val="00EF2214"/>
    <w:rsid w:val="00EF23E1"/>
    <w:rsid w:val="00EF39AA"/>
    <w:rsid w:val="00EF39FD"/>
    <w:rsid w:val="00EF4B50"/>
    <w:rsid w:val="00EF5F54"/>
    <w:rsid w:val="00EF6286"/>
    <w:rsid w:val="00EF764C"/>
    <w:rsid w:val="00F0645F"/>
    <w:rsid w:val="00F06842"/>
    <w:rsid w:val="00F107FD"/>
    <w:rsid w:val="00F14261"/>
    <w:rsid w:val="00F1516E"/>
    <w:rsid w:val="00F165FA"/>
    <w:rsid w:val="00F17164"/>
    <w:rsid w:val="00F175F8"/>
    <w:rsid w:val="00F32AE0"/>
    <w:rsid w:val="00F33587"/>
    <w:rsid w:val="00F34644"/>
    <w:rsid w:val="00F37618"/>
    <w:rsid w:val="00F4411B"/>
    <w:rsid w:val="00F44A0C"/>
    <w:rsid w:val="00F529F6"/>
    <w:rsid w:val="00F53B34"/>
    <w:rsid w:val="00F5772C"/>
    <w:rsid w:val="00F66204"/>
    <w:rsid w:val="00F66D30"/>
    <w:rsid w:val="00F71459"/>
    <w:rsid w:val="00F860AA"/>
    <w:rsid w:val="00F97CB2"/>
    <w:rsid w:val="00FA60D6"/>
    <w:rsid w:val="00FA6D87"/>
    <w:rsid w:val="00FB405E"/>
    <w:rsid w:val="00FB417A"/>
    <w:rsid w:val="00FB64A8"/>
    <w:rsid w:val="00FB7181"/>
    <w:rsid w:val="00FC0848"/>
    <w:rsid w:val="00FC459C"/>
    <w:rsid w:val="00FD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DE67F"/>
  <w14:defaultImageDpi w14:val="32767"/>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Normal"/>
    <w:next w:val="Normal"/>
    <w:uiPriority w:val="37"/>
    <w:unhideWhenUsed/>
    <w:rsid w:val="0022434F"/>
    <w:pPr>
      <w:ind w:left="720" w:hanging="720"/>
    </w:pPr>
  </w:style>
  <w:style w:type="character" w:styleId="PlaceholderText">
    <w:name w:val="Placeholder Text"/>
    <w:basedOn w:val="DefaultParagraphFont"/>
    <w:uiPriority w:val="99"/>
    <w:semiHidden/>
    <w:rsid w:val="0066463F"/>
    <w:rPr>
      <w:color w:val="666666"/>
    </w:rPr>
  </w:style>
  <w:style w:type="table" w:styleId="TableGrid">
    <w:name w:val="Table Grid"/>
    <w:basedOn w:val="TableNormal"/>
    <w:rsid w:val="00EC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2537</TotalTime>
  <Pages>6</Pages>
  <Words>2543</Words>
  <Characters>14330</Characters>
  <Application>Microsoft Office Word</Application>
  <DocSecurity>0</DocSecurity>
  <Lines>282</Lines>
  <Paragraphs>114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Adem Rosenkvist Nielsen Aouichaoui</cp:lastModifiedBy>
  <cp:revision>585</cp:revision>
  <cp:lastPrinted>2004-12-17T09:20:00Z</cp:lastPrinted>
  <dcterms:created xsi:type="dcterms:W3CDTF">2023-10-02T07:50:00Z</dcterms:created>
  <dcterms:modified xsi:type="dcterms:W3CDTF">2023-12-27T13:08:00Z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id="nQUBvRUG"/&gt;&lt;style id="http://www.zotero.org/styles/computers-and-chemical-engineering" hasBibliography="1" bibliographyStyleHasBeenSet="1"/&gt;&lt;prefs&gt;&lt;pref name="fieldType" value="Field"/&gt;&lt;/prefs&gt;&lt;/</vt:lpwstr>
  </property>
  <property fmtid="{D5CDD505-2E9C-101B-9397-08002B2CF9AE}" pid="11" name="ZOTERO_PREF_2">
    <vt:lpwstr>data&gt;</vt:lpwstr>
  </property>
</Properties>
</file>