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49E8212E" w:rsidR="00DD3D9E" w:rsidRPr="00456C3F" w:rsidRDefault="00253805">
      <w:pPr>
        <w:pStyle w:val="Els-Title"/>
        <w:rPr>
          <w:lang w:val="en-GB"/>
        </w:rPr>
      </w:pPr>
      <w:r w:rsidRPr="00456C3F">
        <w:rPr>
          <w:lang w:val="en-GB"/>
        </w:rPr>
        <w:t>Merging digitalization tools for training the new generation of bio-chemical engineers: challenges and perspectives</w:t>
      </w:r>
    </w:p>
    <w:p w14:paraId="7E599354" w14:textId="24217DE6" w:rsidR="00253805" w:rsidRPr="00456C3F" w:rsidRDefault="00253805" w:rsidP="00253805">
      <w:pPr>
        <w:pStyle w:val="Els-Author"/>
        <w:rPr>
          <w:vertAlign w:val="superscript"/>
          <w:lang w:val="es-CO"/>
        </w:rPr>
      </w:pPr>
      <w:r w:rsidRPr="00456C3F">
        <w:rPr>
          <w:lang w:val="es-CO"/>
        </w:rPr>
        <w:t>Oscar Andrés Prado-Rubio,</w:t>
      </w:r>
      <w:r w:rsidRPr="00456C3F">
        <w:rPr>
          <w:vertAlign w:val="superscript"/>
          <w:lang w:val="es-CO"/>
        </w:rPr>
        <w:t>a,b</w:t>
      </w:r>
      <w:r w:rsidR="003115F9" w:rsidRPr="00456C3F">
        <w:rPr>
          <w:vertAlign w:val="superscript"/>
          <w:lang w:val="es-CO"/>
        </w:rPr>
        <w:t>*</w:t>
      </w:r>
      <w:r w:rsidRPr="00456C3F">
        <w:rPr>
          <w:lang w:val="es-CO"/>
        </w:rPr>
        <w:t xml:space="preserve"> Jakob K</w:t>
      </w:r>
      <w:r w:rsidR="00700F21">
        <w:rPr>
          <w:lang w:val="es-CO"/>
        </w:rPr>
        <w:t>.</w:t>
      </w:r>
      <w:bookmarkStart w:id="0" w:name="_GoBack"/>
      <w:bookmarkEnd w:id="0"/>
      <w:r w:rsidRPr="00456C3F">
        <w:rPr>
          <w:lang w:val="es-CO"/>
        </w:rPr>
        <w:t xml:space="preserve"> Huusom</w:t>
      </w:r>
      <w:r w:rsidRPr="00456C3F">
        <w:rPr>
          <w:vertAlign w:val="superscript"/>
          <w:lang w:val="es-CO"/>
        </w:rPr>
        <w:t>b</w:t>
      </w:r>
    </w:p>
    <w:p w14:paraId="42D9F393" w14:textId="6A571A98" w:rsidR="00AC3448" w:rsidRPr="00456C3F" w:rsidRDefault="00253805" w:rsidP="00AC3448">
      <w:pPr>
        <w:pStyle w:val="Els-Affiliation"/>
        <w:spacing w:line="240" w:lineRule="auto"/>
        <w:rPr>
          <w:lang w:val="es-CO"/>
        </w:rPr>
      </w:pPr>
      <w:r w:rsidRPr="00456C3F">
        <w:rPr>
          <w:vertAlign w:val="superscript"/>
          <w:lang w:val="es-CO"/>
        </w:rPr>
        <w:t>a</w:t>
      </w:r>
      <w:r w:rsidRPr="00456C3F">
        <w:rPr>
          <w:lang w:val="es-CO"/>
        </w:rPr>
        <w:t>Departamento de Ingeniería Química, Universidad Nacional de Colombia – 170003 Manizales, Colombia</w:t>
      </w:r>
      <w:r w:rsidR="00AC3448" w:rsidRPr="00456C3F">
        <w:rPr>
          <w:lang w:val="es-CO"/>
        </w:rPr>
        <w:t>, *oaprador@unal.edu.co</w:t>
      </w:r>
    </w:p>
    <w:p w14:paraId="144DE682" w14:textId="795EBF33" w:rsidR="00DD3D9E" w:rsidRPr="00456C3F" w:rsidRDefault="00253805" w:rsidP="00AC3448">
      <w:pPr>
        <w:pStyle w:val="Els-Affiliation"/>
        <w:spacing w:line="240" w:lineRule="auto"/>
      </w:pPr>
      <w:r w:rsidRPr="00456C3F">
        <w:rPr>
          <w:vertAlign w:val="superscript"/>
        </w:rPr>
        <w:t>b</w:t>
      </w:r>
      <w:r w:rsidRPr="00456C3F">
        <w:t>Department of Chemical and Biochemical Engineering, Technical University of Denmark (DTU), DK-2800 Lyngby, Denmark</w:t>
      </w:r>
    </w:p>
    <w:p w14:paraId="144DE684" w14:textId="77777777" w:rsidR="008D2649" w:rsidRPr="00456C3F" w:rsidRDefault="008D2649" w:rsidP="008D2649">
      <w:pPr>
        <w:pStyle w:val="Els-Abstract"/>
        <w:rPr>
          <w:lang w:val="en-GB"/>
        </w:rPr>
      </w:pPr>
      <w:r w:rsidRPr="00456C3F">
        <w:rPr>
          <w:lang w:val="en-GB"/>
        </w:rPr>
        <w:t>Abstract</w:t>
      </w:r>
    </w:p>
    <w:p w14:paraId="5264257C" w14:textId="50CAA0AB" w:rsidR="00CD7876" w:rsidRPr="00456C3F" w:rsidRDefault="00CD7876" w:rsidP="008D2649">
      <w:pPr>
        <w:pStyle w:val="Els-body-text"/>
        <w:spacing w:after="120"/>
        <w:rPr>
          <w:lang w:val="en-GB"/>
        </w:rPr>
      </w:pPr>
      <w:r w:rsidRPr="00456C3F">
        <w:rPr>
          <w:lang w:val="en-GB"/>
        </w:rPr>
        <w:t xml:space="preserve">Digitalization is reshaping the qualifications required for a growing industry 4.0. Efforts are necessary to introduce those skills into the biochemical engineers’ competences. Future engineers need to feel comfortable designing and using digitalization tools to drive developments in biomanufacturing. </w:t>
      </w:r>
      <w:bookmarkStart w:id="1" w:name="_Hlk155520442"/>
      <w:r w:rsidRPr="00456C3F">
        <w:rPr>
          <w:lang w:val="en-GB"/>
        </w:rPr>
        <w:t>In this contribution</w:t>
      </w:r>
      <w:r w:rsidR="00AC3448" w:rsidRPr="00456C3F">
        <w:rPr>
          <w:lang w:val="en-GB"/>
        </w:rPr>
        <w:t>,</w:t>
      </w:r>
      <w:r w:rsidRPr="00456C3F">
        <w:rPr>
          <w:lang w:val="en-GB"/>
        </w:rPr>
        <w:t xml:space="preserve"> </w:t>
      </w:r>
      <w:r w:rsidR="00683299" w:rsidRPr="00456C3F">
        <w:rPr>
          <w:lang w:val="en-GB"/>
        </w:rPr>
        <w:t xml:space="preserve">we discuss the challenges of building digital objects </w:t>
      </w:r>
      <w:r w:rsidRPr="00456C3F">
        <w:rPr>
          <w:lang w:val="en-GB"/>
        </w:rPr>
        <w:t>for</w:t>
      </w:r>
      <w:r w:rsidR="00697B18" w:rsidRPr="00456C3F">
        <w:rPr>
          <w:lang w:val="en-GB"/>
        </w:rPr>
        <w:t xml:space="preserve"> novel</w:t>
      </w:r>
      <w:r w:rsidRPr="00456C3F">
        <w:rPr>
          <w:lang w:val="en-GB"/>
        </w:rPr>
        <w:t xml:space="preserve"> pilot units, to be used for student exercises and research</w:t>
      </w:r>
      <w:r w:rsidR="00AC3448" w:rsidRPr="00456C3F">
        <w:rPr>
          <w:lang w:val="en-GB"/>
        </w:rPr>
        <w:t xml:space="preserve"> towards more digital assisted operation</w:t>
      </w:r>
      <w:bookmarkEnd w:id="1"/>
      <w:r w:rsidR="00697B18" w:rsidRPr="00456C3F">
        <w:rPr>
          <w:lang w:val="en-GB"/>
        </w:rPr>
        <w:t xml:space="preserve"> </w:t>
      </w:r>
      <w:r w:rsidR="00697B18" w:rsidRPr="00456C3F">
        <w:t>within the context of digital twins</w:t>
      </w:r>
      <w:r w:rsidRPr="00456C3F">
        <w:rPr>
          <w:lang w:val="en-GB"/>
        </w:rPr>
        <w:t xml:space="preserve">. </w:t>
      </w:r>
      <w:r w:rsidR="00AC3448" w:rsidRPr="00456C3F">
        <w:rPr>
          <w:lang w:val="en-GB"/>
        </w:rPr>
        <w:t xml:space="preserve">Besides, relevant topics for digitalization strategy are discussed as planning, team assembly, and infrastructure upgrades. </w:t>
      </w:r>
      <w:r w:rsidR="00C91FAC" w:rsidRPr="00456C3F">
        <w:rPr>
          <w:lang w:val="en-GB"/>
        </w:rPr>
        <w:t>For illustration</w:t>
      </w:r>
      <w:r w:rsidRPr="00456C3F">
        <w:rPr>
          <w:lang w:val="en-GB"/>
        </w:rPr>
        <w:t xml:space="preserve">, </w:t>
      </w:r>
      <w:r w:rsidR="00C91FAC" w:rsidRPr="00456C3F">
        <w:rPr>
          <w:lang w:val="en-GB"/>
        </w:rPr>
        <w:t xml:space="preserve">obstacles of digitalization of </w:t>
      </w:r>
      <w:r w:rsidR="00683299" w:rsidRPr="00456C3F">
        <w:rPr>
          <w:lang w:val="en-GB"/>
        </w:rPr>
        <w:t xml:space="preserve">novel membrane technologies with </w:t>
      </w:r>
      <w:r w:rsidRPr="00456C3F">
        <w:rPr>
          <w:lang w:val="en-GB"/>
        </w:rPr>
        <w:t xml:space="preserve">time-variant nature and </w:t>
      </w:r>
      <w:r w:rsidR="00683299" w:rsidRPr="00456C3F">
        <w:rPr>
          <w:lang w:val="en-GB"/>
        </w:rPr>
        <w:t>limited process understanding</w:t>
      </w:r>
      <w:r w:rsidRPr="00456C3F">
        <w:rPr>
          <w:lang w:val="en-GB"/>
        </w:rPr>
        <w:t xml:space="preserve"> are </w:t>
      </w:r>
      <w:r w:rsidR="00697B18" w:rsidRPr="00456C3F">
        <w:rPr>
          <w:lang w:val="en-GB"/>
        </w:rPr>
        <w:t>discussed, focusing on the modelling approaches</w:t>
      </w:r>
      <w:r w:rsidRPr="00456C3F">
        <w:rPr>
          <w:lang w:val="en-GB"/>
        </w:rPr>
        <w:t xml:space="preserve"> from whiter hybrid models to pure data-driven representations. Perspectives on the future needs and potential implications are presented.</w:t>
      </w:r>
    </w:p>
    <w:p w14:paraId="144DE687" w14:textId="61C278A2" w:rsidR="008D2649" w:rsidRPr="00456C3F" w:rsidRDefault="008D2649" w:rsidP="008D2649">
      <w:pPr>
        <w:pStyle w:val="Els-body-text"/>
        <w:spacing w:after="120"/>
        <w:rPr>
          <w:lang w:val="en-GB"/>
        </w:rPr>
      </w:pPr>
      <w:r w:rsidRPr="00456C3F">
        <w:rPr>
          <w:b/>
          <w:bCs/>
          <w:lang w:val="en-GB"/>
        </w:rPr>
        <w:t>Keywords</w:t>
      </w:r>
      <w:r w:rsidRPr="00456C3F">
        <w:rPr>
          <w:lang w:val="en-GB"/>
        </w:rPr>
        <w:t xml:space="preserve">: </w:t>
      </w:r>
      <w:r w:rsidR="003115F9" w:rsidRPr="00456C3F">
        <w:rPr>
          <w:lang w:val="en-GB"/>
        </w:rPr>
        <w:t xml:space="preserve">Digitalization, </w:t>
      </w:r>
      <w:r w:rsidR="00CD7876" w:rsidRPr="00456C3F">
        <w:rPr>
          <w:lang w:val="en-GB"/>
        </w:rPr>
        <w:t>digital object, dynamic ultrafiltration</w:t>
      </w:r>
    </w:p>
    <w:p w14:paraId="144DE689" w14:textId="102B4623" w:rsidR="008D2649" w:rsidRPr="00456C3F" w:rsidRDefault="003115F9" w:rsidP="008D2649">
      <w:pPr>
        <w:pStyle w:val="Els-1storder-head"/>
        <w:rPr>
          <w:lang w:val="en-GB"/>
        </w:rPr>
      </w:pPr>
      <w:r w:rsidRPr="00456C3F">
        <w:rPr>
          <w:lang w:val="en-GB"/>
        </w:rPr>
        <w:t>Introduction</w:t>
      </w:r>
    </w:p>
    <w:p w14:paraId="1D8241D3" w14:textId="77777777" w:rsidR="003115F9" w:rsidRPr="00456C3F" w:rsidRDefault="003115F9" w:rsidP="003115F9">
      <w:pPr>
        <w:pStyle w:val="Els-body-text"/>
        <w:rPr>
          <w:lang w:val="en-GB"/>
        </w:rPr>
      </w:pPr>
    </w:p>
    <w:p w14:paraId="1507CFED" w14:textId="7A07BE27" w:rsidR="003115F9" w:rsidRPr="00456C3F" w:rsidRDefault="003115F9" w:rsidP="003115F9">
      <w:pPr>
        <w:pStyle w:val="Els-body-text"/>
        <w:rPr>
          <w:lang w:val="en-GB"/>
        </w:rPr>
      </w:pPr>
      <w:r w:rsidRPr="00456C3F">
        <w:rPr>
          <w:lang w:val="en-GB"/>
        </w:rPr>
        <w:t>Activities in Digitalization strategies are increasing at an outstanding rate</w:t>
      </w:r>
      <w:r w:rsidR="00FD738F" w:rsidRPr="00456C3F">
        <w:rPr>
          <w:lang w:val="en-GB"/>
        </w:rPr>
        <w:t xml:space="preserve"> in both Academia and Industry</w:t>
      </w:r>
      <w:r w:rsidRPr="00456C3F">
        <w:rPr>
          <w:lang w:val="en-GB"/>
        </w:rPr>
        <w:t xml:space="preserve">. </w:t>
      </w:r>
      <w:r w:rsidR="00DA0377" w:rsidRPr="00456C3F">
        <w:rPr>
          <w:lang w:val="en-GB"/>
        </w:rPr>
        <w:t>A</w:t>
      </w:r>
      <w:r w:rsidRPr="00456C3F">
        <w:rPr>
          <w:lang w:val="en-GB"/>
        </w:rPr>
        <w:t xml:space="preserve">cademic publications in Digital twins for Chemical Engineering have grown almost exponentially in </w:t>
      </w:r>
      <w:r w:rsidR="00724A19" w:rsidRPr="00456C3F">
        <w:rPr>
          <w:lang w:val="en-GB"/>
        </w:rPr>
        <w:t xml:space="preserve">the last 10 </w:t>
      </w:r>
      <w:r w:rsidRPr="00456C3F">
        <w:rPr>
          <w:lang w:val="en-GB"/>
        </w:rPr>
        <w:t>years (Source: Scopus). Besides, the Digital twin</w:t>
      </w:r>
      <w:r w:rsidR="005C56B8" w:rsidRPr="00456C3F">
        <w:rPr>
          <w:lang w:val="en-GB"/>
        </w:rPr>
        <w:t>s</w:t>
      </w:r>
      <w:r w:rsidRPr="00456C3F">
        <w:rPr>
          <w:lang w:val="en-GB"/>
        </w:rPr>
        <w:t xml:space="preserve"> market is reported between 10 </w:t>
      </w:r>
      <w:r w:rsidR="00DA0377" w:rsidRPr="00456C3F">
        <w:rPr>
          <w:lang w:val="en-GB"/>
        </w:rPr>
        <w:t>-</w:t>
      </w:r>
      <w:r w:rsidRPr="00456C3F">
        <w:rPr>
          <w:lang w:val="en-GB"/>
        </w:rPr>
        <w:t xml:space="preserve"> 13 billion USD (2022-2023), with a CAGR</w:t>
      </w:r>
      <w:r w:rsidR="00F210D2" w:rsidRPr="00456C3F">
        <w:rPr>
          <w:lang w:val="en-GB"/>
        </w:rPr>
        <w:t xml:space="preserve"> of</w:t>
      </w:r>
      <w:r w:rsidRPr="00456C3F">
        <w:rPr>
          <w:lang w:val="en-GB"/>
        </w:rPr>
        <w:t xml:space="preserve"> up to 61</w:t>
      </w:r>
      <w:r w:rsidR="00DA0377" w:rsidRPr="00456C3F">
        <w:rPr>
          <w:lang w:val="en-GB"/>
        </w:rPr>
        <w:t xml:space="preserve"> </w:t>
      </w:r>
      <w:r w:rsidRPr="00456C3F">
        <w:rPr>
          <w:lang w:val="en-GB"/>
        </w:rPr>
        <w:t>% for 2027</w:t>
      </w:r>
      <w:r w:rsidR="00724A19" w:rsidRPr="00456C3F">
        <w:rPr>
          <w:lang w:val="en-GB"/>
        </w:rPr>
        <w:t xml:space="preserve"> </w:t>
      </w:r>
      <w:r w:rsidR="00724A19" w:rsidRPr="00456C3F">
        <w:fldChar w:fldCharType="begin" w:fldLock="1"/>
      </w:r>
      <w:r w:rsidR="003A734E" w:rsidRPr="00456C3F">
        <w:rPr>
          <w:lang w:val="en-GB"/>
        </w:rPr>
        <w:instrText>ADDIN CSL_CITATION {"citationItems":[{"id":"ITEM-1","itemData":{"URL":"https://www.marketsandmarkets.com/Market-Reports/digital-twin-market-225269522.html?gad_source=1&amp;gclid=CjwKCAiA9dGqBhAqEiwAmRpTC1LPXcSkw8Ml80509z5RskbB496homTR_LsutjNGWpBS9dzrgEGk-RoCULIQAvD_BwE","accessed":{"date-parts":[["2023","11","15"]]},"author":[{"dropping-particle":"","family":"Markets and Markets","given":"","non-dropping-particle":"","parse-names":false,"suffix":""}],"id":"ITEM-1","issued":{"date-parts":[["2023"]]},"title":"Digital Twin Market Size, Share, Industry Report, Revenue Trends and Growth Drivers","type":"webpage"},"uris":["http://www.mendeley.com/documents/?uuid=9eb80d0a-0906-3df9-aee4-ba77c1a0d696"]}],"mendeley":{"formattedCitation":"(Markets and Markets, 2023)","plainTextFormattedCitation":"(Markets and Markets, 2023)","previouslyFormattedCitation":"(Markets and Markets, 2023)"},"properties":{"noteIndex":0},"schema":"https://github.com/citation-style-language/schema/raw/master/csl-citation.json"}</w:instrText>
      </w:r>
      <w:r w:rsidR="00724A19" w:rsidRPr="00456C3F">
        <w:fldChar w:fldCharType="separate"/>
      </w:r>
      <w:r w:rsidR="00941597" w:rsidRPr="00456C3F">
        <w:rPr>
          <w:noProof/>
          <w:lang w:val="en-GB"/>
        </w:rPr>
        <w:t>(Markets and Markets, 2023)</w:t>
      </w:r>
      <w:r w:rsidR="00724A19" w:rsidRPr="00456C3F">
        <w:fldChar w:fldCharType="end"/>
      </w:r>
      <w:r w:rsidRPr="00456C3F">
        <w:rPr>
          <w:lang w:val="en-GB"/>
        </w:rPr>
        <w:t xml:space="preserve">. </w:t>
      </w:r>
      <w:r w:rsidR="00724A19" w:rsidRPr="00456C3F">
        <w:rPr>
          <w:lang w:val="en-GB"/>
        </w:rPr>
        <w:t>The current picture of software development for digital twins has grown</w:t>
      </w:r>
      <w:r w:rsidR="00F210D2" w:rsidRPr="00456C3F">
        <w:rPr>
          <w:lang w:val="en-GB"/>
        </w:rPr>
        <w:t xml:space="preserve"> by</w:t>
      </w:r>
      <w:r w:rsidR="00724A19" w:rsidRPr="00456C3F">
        <w:rPr>
          <w:lang w:val="en-GB"/>
        </w:rPr>
        <w:t xml:space="preserve"> 71</w:t>
      </w:r>
      <w:r w:rsidR="00DA0377" w:rsidRPr="00456C3F">
        <w:rPr>
          <w:lang w:val="en-GB"/>
        </w:rPr>
        <w:t xml:space="preserve"> </w:t>
      </w:r>
      <w:r w:rsidR="00724A19" w:rsidRPr="00456C3F">
        <w:rPr>
          <w:lang w:val="en-GB"/>
        </w:rPr>
        <w:t xml:space="preserve">% between 2020 and 2022, </w:t>
      </w:r>
      <w:r w:rsidR="007E0B57" w:rsidRPr="00456C3F">
        <w:rPr>
          <w:lang w:val="en-GB"/>
        </w:rPr>
        <w:t xml:space="preserve">and from a survey, </w:t>
      </w:r>
      <w:r w:rsidR="00724A19" w:rsidRPr="00456C3F">
        <w:rPr>
          <w:lang w:val="en-GB"/>
        </w:rPr>
        <w:t>29</w:t>
      </w:r>
      <w:r w:rsidR="00DA0377" w:rsidRPr="00456C3F">
        <w:rPr>
          <w:lang w:val="en-GB"/>
        </w:rPr>
        <w:t xml:space="preserve"> </w:t>
      </w:r>
      <w:r w:rsidR="00724A19" w:rsidRPr="00456C3F">
        <w:rPr>
          <w:lang w:val="en-GB"/>
        </w:rPr>
        <w:t xml:space="preserve">% of worldwide </w:t>
      </w:r>
      <w:r w:rsidR="00A71093" w:rsidRPr="00456C3F">
        <w:rPr>
          <w:lang w:val="en-GB"/>
        </w:rPr>
        <w:t xml:space="preserve">manufacturing </w:t>
      </w:r>
      <w:r w:rsidR="00724A19" w:rsidRPr="00456C3F">
        <w:rPr>
          <w:lang w:val="en-GB"/>
        </w:rPr>
        <w:t>companies are implementing their digitalization strategies and 63</w:t>
      </w:r>
      <w:r w:rsidR="00DA0377" w:rsidRPr="00456C3F">
        <w:rPr>
          <w:lang w:val="en-GB"/>
        </w:rPr>
        <w:t xml:space="preserve"> </w:t>
      </w:r>
      <w:r w:rsidR="00724A19" w:rsidRPr="00456C3F">
        <w:rPr>
          <w:lang w:val="en-GB"/>
        </w:rPr>
        <w:t xml:space="preserve">% are developing them. </w:t>
      </w:r>
      <w:r w:rsidR="00E46FCE" w:rsidRPr="00456C3F">
        <w:rPr>
          <w:lang w:val="en-GB"/>
        </w:rPr>
        <w:t xml:space="preserve">An important driver </w:t>
      </w:r>
      <w:r w:rsidR="00DA0377" w:rsidRPr="00456C3F">
        <w:rPr>
          <w:lang w:val="en-GB"/>
        </w:rPr>
        <w:t>for</w:t>
      </w:r>
      <w:r w:rsidR="00E46FCE" w:rsidRPr="00456C3F">
        <w:rPr>
          <w:lang w:val="en-GB"/>
        </w:rPr>
        <w:t xml:space="preserve"> digitalization lies </w:t>
      </w:r>
      <w:r w:rsidR="00F210D2" w:rsidRPr="00456C3F">
        <w:rPr>
          <w:lang w:val="en-GB"/>
        </w:rPr>
        <w:t>i</w:t>
      </w:r>
      <w:r w:rsidR="00E46FCE" w:rsidRPr="00456C3F">
        <w:rPr>
          <w:lang w:val="en-GB"/>
        </w:rPr>
        <w:t xml:space="preserve">n the less capex-intensive upgrades required, where disruptive technologies are not </w:t>
      </w:r>
      <w:r w:rsidR="00F210D2" w:rsidRPr="00456C3F">
        <w:rPr>
          <w:lang w:val="en-GB"/>
        </w:rPr>
        <w:t>necessarily</w:t>
      </w:r>
      <w:r w:rsidR="00E46FCE" w:rsidRPr="00456C3F">
        <w:rPr>
          <w:lang w:val="en-GB"/>
        </w:rPr>
        <w:t xml:space="preserve"> linked to </w:t>
      </w:r>
      <w:r w:rsidR="005F6569" w:rsidRPr="00456C3F">
        <w:rPr>
          <w:lang w:val="en-GB"/>
        </w:rPr>
        <w:t>high investments</w:t>
      </w:r>
      <w:r w:rsidR="00E46FCE" w:rsidRPr="00456C3F">
        <w:rPr>
          <w:lang w:val="en-GB"/>
        </w:rPr>
        <w:t xml:space="preserve"> and it is expected</w:t>
      </w:r>
      <w:r w:rsidR="00DA0377" w:rsidRPr="00456C3F">
        <w:rPr>
          <w:lang w:val="en-GB"/>
        </w:rPr>
        <w:t xml:space="preserve"> that</w:t>
      </w:r>
      <w:r w:rsidR="00E46FCE" w:rsidRPr="00456C3F">
        <w:rPr>
          <w:lang w:val="en-GB"/>
        </w:rPr>
        <w:t xml:space="preserve"> only 40 % to 50 % of the cases require </w:t>
      </w:r>
      <w:r w:rsidR="005F6569" w:rsidRPr="00456C3F">
        <w:rPr>
          <w:lang w:val="en-GB"/>
        </w:rPr>
        <w:t>equipment replacement</w:t>
      </w:r>
      <w:r w:rsidR="00E46FCE" w:rsidRPr="00456C3F">
        <w:rPr>
          <w:lang w:val="en-GB"/>
        </w:rPr>
        <w:t xml:space="preserve"> </w:t>
      </w:r>
      <w:r w:rsidR="00CF5EC8" w:rsidRPr="00456C3F">
        <w:fldChar w:fldCharType="begin" w:fldLock="1"/>
      </w:r>
      <w:r w:rsidR="003A734E" w:rsidRPr="00456C3F">
        <w:rPr>
          <w:lang w:val="en-GB"/>
        </w:rPr>
        <w:instrText>ADDIN CSL_CITATION {"citationItems":[{"id":"ITEM-1","itemData":{"author":[{"dropping-particle":"","family":"McKinsey Digital","given":"","non-dropping-particle":"","parse-names":false,"suffix":""}],"id":"ITEM-1","issued":{"date-parts":[["2015"]]},"number-of-pages":"62","title":"Industry 4.0 How to navigate digitalization of the manufacturing sector","type":"report"},"uris":["http://www.mendeley.com/documents/?uuid=9ee48cdf-8dab-4e38-93d5-dd5251805e86"]}],"mendeley":{"formattedCitation":"(McKinsey Digital, 2015)","plainTextFormattedCitation":"(McKinsey Digital, 2015)","previouslyFormattedCitation":"(McKinsey Digital, 2015)"},"properties":{"noteIndex":0},"schema":"https://github.com/citation-style-language/schema/raw/master/csl-citation.json"}</w:instrText>
      </w:r>
      <w:r w:rsidR="00CF5EC8" w:rsidRPr="00456C3F">
        <w:fldChar w:fldCharType="separate"/>
      </w:r>
      <w:r w:rsidR="00941597" w:rsidRPr="00456C3F">
        <w:rPr>
          <w:noProof/>
          <w:lang w:val="en-GB"/>
        </w:rPr>
        <w:t>(McKinsey Digital, 2015)</w:t>
      </w:r>
      <w:r w:rsidR="00CF5EC8" w:rsidRPr="00456C3F">
        <w:fldChar w:fldCharType="end"/>
      </w:r>
      <w:r w:rsidR="00CF5EC8" w:rsidRPr="00456C3F">
        <w:rPr>
          <w:lang w:val="en-GB"/>
        </w:rPr>
        <w:t xml:space="preserve">. </w:t>
      </w:r>
      <w:r w:rsidRPr="00456C3F">
        <w:rPr>
          <w:lang w:val="en-GB"/>
        </w:rPr>
        <w:t>It is known that biomanufacturing processes are still operated relying on recipes and workers’ experience with limited monitoring and automation</w:t>
      </w:r>
      <w:r w:rsidR="0027229A" w:rsidRPr="00456C3F">
        <w:rPr>
          <w:lang w:val="en-GB"/>
        </w:rPr>
        <w:t xml:space="preserve"> </w:t>
      </w:r>
      <w:r w:rsidR="0027229A" w:rsidRPr="00456C3F">
        <w:fldChar w:fldCharType="begin" w:fldLock="1"/>
      </w:r>
      <w:r w:rsidR="003A734E" w:rsidRPr="00456C3F">
        <w:rPr>
          <w:lang w:val="en-GB"/>
        </w:rPr>
        <w:instrText>ADDIN CSL_CITATION {"citationItems":[{"id":"ITEM-1","itemData":{"DOI":"10.1021/ACS.IECR.1C01792/ASSET/IMAGES/LARGE/IE1C01792_0008.JPEG","ISSN":"15205045","abstract":"Biobased slurry processes and large-scale continuous chemical production share many similarities. These concern not only process technologies and equipment but also staffing (positions/educations) and plant operations, including methods and technologies for planning, scheduling, and control. Process Systems Engineering (PSE) approaches have been applied successfully in large-scale chemical production to optimize processes of high complexity. By replacing rules-of-thumb and oversimplified calculations with rigorous quantification and automation, PSE increases the profitability of a wide range of processes. Such improvement potential also exists in the bioindustry, which traditionally comprises many small-scale and batch plants deployed in food or pharmaceutical production. The article elucidates the most important operational challenges of such processes. It brings together academic research and industrial perspectives by contrasting a careful revision of literature with a survey of personnel working in industrial biobased production settings in Denmark. This analysis allows showing the existence of a gap between academic research focus and industrial need, for instance, concerning production processes with humans-in-the-loop. Furthermore, differences between chemical and biobased processes are pointed out, highlighting some limitations of applying PSE to biobased processes. A deeper understanding of these limitations is fundamental to assessing risks when identifying process improvement potential. Finally, the article suggests a possible roadmap for the development of frameworks for the optimization of industrial biobased processes based on existing works in chemical processing.","author":[{"dropping-particle":"","family":"Bähner","given":"Franz D.","non-dropping-particle":"","parse-names":false,"suffix":""},{"dropping-particle":"","family":"Prado-Rubio","given":"Oscar A.","non-dropping-particle":"","parse-names":false,"suffix":""},{"dropping-particle":"","family":"Huusom","given":"Jakob K.","non-dropping-particle":"","parse-names":false,"suffix":""}],"container-title":"Industrial and Engineering Chemistry Research","id":"ITEM-1","issue":"42","issued":{"date-parts":[["2021","10","27"]]},"page":"14985-15003","publisher":"American Chemical Society","title":"Challenges in Optimization and Control of Biobased Process Systems: An Industrial-Academic Perspective","type":"article-journal","volume":"60"},"uris":["http://www.mendeley.com/documents/?uuid=add47483-e74f-3fb8-9137-acab0104e046"]}],"mendeley":{"formattedCitation":"(Bähner et al., 2021)","plainTextFormattedCitation":"(Bähner et al., 2021)","previouslyFormattedCitation":"(Bähner et al., 2021)"},"properties":{"noteIndex":0},"schema":"https://github.com/citation-style-language/schema/raw/master/csl-citation.json"}</w:instrText>
      </w:r>
      <w:r w:rsidR="0027229A" w:rsidRPr="00456C3F">
        <w:fldChar w:fldCharType="separate"/>
      </w:r>
      <w:r w:rsidR="00941597" w:rsidRPr="00456C3F">
        <w:rPr>
          <w:noProof/>
          <w:lang w:val="en-GB"/>
        </w:rPr>
        <w:t>(Bähner et al., 2021)</w:t>
      </w:r>
      <w:r w:rsidR="0027229A" w:rsidRPr="00456C3F">
        <w:fldChar w:fldCharType="end"/>
      </w:r>
      <w:r w:rsidR="003F7D0A" w:rsidRPr="00456C3F">
        <w:rPr>
          <w:lang w:val="en-GB"/>
        </w:rPr>
        <w:t xml:space="preserve">. </w:t>
      </w:r>
      <w:r w:rsidR="00553679" w:rsidRPr="00456C3F">
        <w:rPr>
          <w:lang w:val="en-GB"/>
        </w:rPr>
        <w:t xml:space="preserve">Therefore, digitalization has great potential </w:t>
      </w:r>
      <w:r w:rsidR="00F210D2" w:rsidRPr="00456C3F">
        <w:rPr>
          <w:lang w:val="en-GB"/>
        </w:rPr>
        <w:t xml:space="preserve">to </w:t>
      </w:r>
      <w:r w:rsidR="00553679" w:rsidRPr="00456C3F">
        <w:rPr>
          <w:lang w:val="en-GB"/>
        </w:rPr>
        <w:t>propel the next generation of bioprocesses, where interactive communication between the real-plant</w:t>
      </w:r>
      <w:r w:rsidR="00A15BE9" w:rsidRPr="00456C3F">
        <w:rPr>
          <w:lang w:val="en-GB"/>
        </w:rPr>
        <w:t>,</w:t>
      </w:r>
      <w:r w:rsidR="00553679" w:rsidRPr="00456C3F">
        <w:rPr>
          <w:lang w:val="en-GB"/>
        </w:rPr>
        <w:t xml:space="preserve"> high-fidelity digital objects</w:t>
      </w:r>
      <w:r w:rsidR="00697B18" w:rsidRPr="00456C3F">
        <w:rPr>
          <w:lang w:val="en-GB"/>
        </w:rPr>
        <w:t xml:space="preserve"> </w:t>
      </w:r>
      <w:r w:rsidR="00697B18" w:rsidRPr="00456C3F">
        <w:t>(core of digital twins)</w:t>
      </w:r>
      <w:r w:rsidR="00A15BE9" w:rsidRPr="00456C3F">
        <w:rPr>
          <w:lang w:val="en-GB"/>
        </w:rPr>
        <w:t xml:space="preserve"> and users</w:t>
      </w:r>
      <w:r w:rsidR="00553679" w:rsidRPr="00456C3F">
        <w:rPr>
          <w:lang w:val="en-GB"/>
        </w:rPr>
        <w:t xml:space="preserve"> becomes a powerful decision-</w:t>
      </w:r>
      <w:r w:rsidR="008E25D0" w:rsidRPr="00456C3F">
        <w:rPr>
          <w:lang w:val="en-GB"/>
        </w:rPr>
        <w:t xml:space="preserve">support </w:t>
      </w:r>
      <w:r w:rsidR="00553679" w:rsidRPr="00456C3F">
        <w:rPr>
          <w:lang w:val="en-GB"/>
        </w:rPr>
        <w:t>tool useful from enhanced process</w:t>
      </w:r>
      <w:r w:rsidR="0027229A" w:rsidRPr="00456C3F">
        <w:rPr>
          <w:lang w:val="en-GB"/>
        </w:rPr>
        <w:t>/product</w:t>
      </w:r>
      <w:r w:rsidR="00553679" w:rsidRPr="00456C3F">
        <w:rPr>
          <w:lang w:val="en-GB"/>
        </w:rPr>
        <w:t xml:space="preserve"> development</w:t>
      </w:r>
      <w:r w:rsidR="00A15BE9" w:rsidRPr="00456C3F">
        <w:rPr>
          <w:lang w:val="en-GB"/>
        </w:rPr>
        <w:t>,</w:t>
      </w:r>
      <w:r w:rsidR="00553679" w:rsidRPr="00456C3F">
        <w:rPr>
          <w:lang w:val="en-GB"/>
        </w:rPr>
        <w:t xml:space="preserve"> up to </w:t>
      </w:r>
      <w:r w:rsidR="00C3781D" w:rsidRPr="00456C3F">
        <w:rPr>
          <w:lang w:val="en-GB"/>
        </w:rPr>
        <w:t>partially automated</w:t>
      </w:r>
      <w:r w:rsidR="00F0050C" w:rsidRPr="00456C3F">
        <w:rPr>
          <w:lang w:val="en-GB"/>
        </w:rPr>
        <w:t xml:space="preserve"> or </w:t>
      </w:r>
      <w:r w:rsidR="00553679" w:rsidRPr="00456C3F">
        <w:rPr>
          <w:lang w:val="en-GB"/>
        </w:rPr>
        <w:t xml:space="preserve">self-optimizing operation. </w:t>
      </w:r>
      <w:r w:rsidR="00C0216B" w:rsidRPr="00456C3F">
        <w:rPr>
          <w:lang w:val="en-GB"/>
        </w:rPr>
        <w:t xml:space="preserve">However, biomanufacturing is progressing in digitalization at a slower pace compared to telecommunications and finances, due to the </w:t>
      </w:r>
      <w:r w:rsidR="00DA0377" w:rsidRPr="00456C3F">
        <w:rPr>
          <w:lang w:val="en-GB"/>
        </w:rPr>
        <w:t>complex</w:t>
      </w:r>
      <w:r w:rsidR="00C0216B" w:rsidRPr="00456C3F">
        <w:rPr>
          <w:lang w:val="en-GB"/>
        </w:rPr>
        <w:t xml:space="preserve"> </w:t>
      </w:r>
      <w:r w:rsidR="001F2251" w:rsidRPr="00456C3F">
        <w:rPr>
          <w:lang w:val="en-GB"/>
        </w:rPr>
        <w:t xml:space="preserve">monitoring which </w:t>
      </w:r>
      <w:r w:rsidR="00DA0377" w:rsidRPr="00456C3F">
        <w:rPr>
          <w:lang w:val="en-GB"/>
        </w:rPr>
        <w:t xml:space="preserve">limits process </w:t>
      </w:r>
      <w:r w:rsidR="00DA0377" w:rsidRPr="00456C3F">
        <w:rPr>
          <w:lang w:val="en-GB"/>
        </w:rPr>
        <w:lastRenderedPageBreak/>
        <w:t>understanding,</w:t>
      </w:r>
      <w:r w:rsidR="00C0216B" w:rsidRPr="00456C3F">
        <w:rPr>
          <w:lang w:val="en-GB"/>
        </w:rPr>
        <w:t xml:space="preserve"> </w:t>
      </w:r>
      <w:r w:rsidR="00DA0377" w:rsidRPr="00456C3F">
        <w:rPr>
          <w:lang w:val="en-GB"/>
        </w:rPr>
        <w:t xml:space="preserve">lack of </w:t>
      </w:r>
      <w:r w:rsidR="00C0216B" w:rsidRPr="00456C3F">
        <w:rPr>
          <w:lang w:val="en-GB"/>
        </w:rPr>
        <w:t xml:space="preserve">confidence </w:t>
      </w:r>
      <w:r w:rsidR="00F210D2" w:rsidRPr="00456C3F">
        <w:rPr>
          <w:lang w:val="en-GB"/>
        </w:rPr>
        <w:t>i</w:t>
      </w:r>
      <w:r w:rsidR="00C0216B" w:rsidRPr="00456C3F">
        <w:rPr>
          <w:lang w:val="en-GB"/>
        </w:rPr>
        <w:t xml:space="preserve">n digital technologies </w:t>
      </w:r>
      <w:r w:rsidR="00DA0377" w:rsidRPr="00456C3F">
        <w:rPr>
          <w:lang w:val="en-GB"/>
        </w:rPr>
        <w:t>and it is not</w:t>
      </w:r>
      <w:r w:rsidR="00C0216B" w:rsidRPr="00456C3F">
        <w:rPr>
          <w:lang w:val="en-GB"/>
        </w:rPr>
        <w:t xml:space="preserve"> entirely clear </w:t>
      </w:r>
      <w:r w:rsidR="00F210D2" w:rsidRPr="00456C3F">
        <w:rPr>
          <w:lang w:val="en-GB"/>
        </w:rPr>
        <w:t xml:space="preserve">the </w:t>
      </w:r>
      <w:r w:rsidR="00C0216B" w:rsidRPr="00456C3F">
        <w:rPr>
          <w:lang w:val="en-GB"/>
        </w:rPr>
        <w:t xml:space="preserve">cost of implementation </w:t>
      </w:r>
      <w:r w:rsidR="00C0216B" w:rsidRPr="00456C3F">
        <w:fldChar w:fldCharType="begin" w:fldLock="1"/>
      </w:r>
      <w:r w:rsidR="003A734E" w:rsidRPr="00456C3F">
        <w:rPr>
          <w:lang w:val="en-GB"/>
        </w:rPr>
        <w:instrText>ADDIN CSL_CITATION {"citationItems":[{"id":"ITEM-1","itemData":{"ISBN":"0277-3791","abstract":"The sensitivity to temperature of Mg/Ca ratios in the shallow-infaunal benthic foraminifera Uvigerina spp. has been assessed. Core-top calibrations over similar to 1-20 degrees C show a range in sensitivity of 0.065-0.084 mmol/mol/degrees C but few data are available spanning the temperature range anticipated in deep-sea records over glacial-interglacial cycles. In contrast to epibenthic foraminiferal species, carbonate ion saturation appears not to affect Mg/Ca significantly. A method based on estimating the ratio of the temperature sensitivity of foraminiferal Mg/Ca to that Of delta(18)O(calcite) shows that sensitivity for Mg/Ca at the high end of the observed core-top range (similar to 0.1 mmol/mol/degrees C) is required for consistency with LGM-Holocene differences in each property as constrained by independent proxy data. This is supported by a Mg/Ca record for Uvigerina spp. generated for the Southern Ocean over the past 440,000 years from Ocean Drilling Program Site 1123 (Chatham Rise, New Zealand). The record shows variability that correlates with climate oscillations. The LGM deep ocean temperature derived from the Mg/Ca record is -1.1 +/- 0.3 degrees C. Transformation to temperature allows estimates to be made of changes in bottom water temperature and seawater delta(18)O and comparison made with literature records. Analysis reveals a similar to 2.5-kyr lead in the record of temperature over calcite delta(18)O and a longer lead over seawater delta(18)O. This is a reflection of larger phase offsets at eccentricity periods; phase offsets at tilt and precession are within error zero. (C) 2009 Elsevier Ltd. All rights reserved.","author":[{"dropping-particle":"","family":"Deloitte","given":"","non-dropping-particle":"","parse-names":false,"suffix":""}],"container-title":"Deloitte","id":"ITEM-1","issue":"January","issued":{"date-parts":[["2017"]]},"number-of-pages":"1-24","title":"Digital Transformation : Are chemical enterprises ready?","type":"report"},"uris":["http://www.mendeley.com/documents/?uuid=03b35dcb-ff70-46fe-8f57-eb0c1def38b6"]}],"mendeley":{"formattedCitation":"(Deloitte, 2017)","plainTextFormattedCitation":"(Deloitte, 2017)","previouslyFormattedCitation":"(Deloitte, 2017)"},"properties":{"noteIndex":0},"schema":"https://github.com/citation-style-language/schema/raw/master/csl-citation.json"}</w:instrText>
      </w:r>
      <w:r w:rsidR="00C0216B" w:rsidRPr="00456C3F">
        <w:fldChar w:fldCharType="separate"/>
      </w:r>
      <w:r w:rsidR="00941597" w:rsidRPr="00456C3F">
        <w:rPr>
          <w:noProof/>
          <w:lang w:val="en-GB"/>
        </w:rPr>
        <w:t>(Deloitte, 2017)</w:t>
      </w:r>
      <w:r w:rsidR="00C0216B" w:rsidRPr="00456C3F">
        <w:fldChar w:fldCharType="end"/>
      </w:r>
      <w:r w:rsidR="007734D4" w:rsidRPr="00456C3F">
        <w:rPr>
          <w:lang w:val="en-GB"/>
        </w:rPr>
        <w:t>.</w:t>
      </w:r>
      <w:r w:rsidR="00BB10FF" w:rsidRPr="00456C3F">
        <w:rPr>
          <w:lang w:val="en-GB"/>
        </w:rPr>
        <w:t xml:space="preserve"> </w:t>
      </w:r>
      <w:r w:rsidR="00B725A4" w:rsidRPr="00456C3F">
        <w:rPr>
          <w:lang w:val="en-GB"/>
        </w:rPr>
        <w:t xml:space="preserve">As the foundation for </w:t>
      </w:r>
      <w:r w:rsidR="007734D4" w:rsidRPr="00456C3F">
        <w:rPr>
          <w:lang w:val="en-GB"/>
        </w:rPr>
        <w:t xml:space="preserve">building the required understanding and </w:t>
      </w:r>
      <w:r w:rsidR="00B725A4" w:rsidRPr="00456C3F">
        <w:rPr>
          <w:lang w:val="en-GB"/>
        </w:rPr>
        <w:t xml:space="preserve">transforming biomanufacturing through digitalization, </w:t>
      </w:r>
      <w:r w:rsidR="00DA0377" w:rsidRPr="00456C3F">
        <w:rPr>
          <w:lang w:val="en-GB"/>
        </w:rPr>
        <w:t>a key</w:t>
      </w:r>
      <w:r w:rsidR="00B725A4" w:rsidRPr="00456C3F">
        <w:rPr>
          <w:lang w:val="en-GB"/>
        </w:rPr>
        <w:t xml:space="preserve"> step is to </w:t>
      </w:r>
      <w:r w:rsidR="009112AE" w:rsidRPr="00456C3F">
        <w:rPr>
          <w:lang w:val="en-GB"/>
        </w:rPr>
        <w:t xml:space="preserve">assemble a skilled and </w:t>
      </w:r>
      <w:r w:rsidR="00D61C45" w:rsidRPr="00456C3F">
        <w:rPr>
          <w:lang w:val="en-GB"/>
        </w:rPr>
        <w:t>empowered team</w:t>
      </w:r>
      <w:r w:rsidR="009112AE" w:rsidRPr="00456C3F">
        <w:rPr>
          <w:lang w:val="en-GB"/>
        </w:rPr>
        <w:t xml:space="preserve"> on</w:t>
      </w:r>
      <w:r w:rsidR="00B725A4" w:rsidRPr="00456C3F">
        <w:rPr>
          <w:lang w:val="en-GB"/>
        </w:rPr>
        <w:t xml:space="preserve"> digital competencies to set up governance and steering into designing </w:t>
      </w:r>
      <w:r w:rsidR="00F210D2" w:rsidRPr="00456C3F">
        <w:rPr>
          <w:lang w:val="en-GB"/>
        </w:rPr>
        <w:t xml:space="preserve">quick-release </w:t>
      </w:r>
      <w:r w:rsidR="00B725A4" w:rsidRPr="00456C3F">
        <w:rPr>
          <w:lang w:val="en-GB"/>
        </w:rPr>
        <w:t xml:space="preserve">digitalization strategies. </w:t>
      </w:r>
      <w:r w:rsidR="00DA0377" w:rsidRPr="00456C3F">
        <w:rPr>
          <w:lang w:val="en-GB"/>
        </w:rPr>
        <w:t>Biochemical</w:t>
      </w:r>
      <w:r w:rsidR="003F0FC5" w:rsidRPr="00456C3F">
        <w:rPr>
          <w:lang w:val="en-GB"/>
        </w:rPr>
        <w:t xml:space="preserve"> engineers are important players in digitalizing biomanufacturing. Nevertheless</w:t>
      </w:r>
      <w:r w:rsidRPr="00456C3F">
        <w:rPr>
          <w:lang w:val="en-GB"/>
        </w:rPr>
        <w:t xml:space="preserve">, it has been pointed out that there is a big gap between available technologies </w:t>
      </w:r>
      <w:r w:rsidR="003F0FC5" w:rsidRPr="00456C3F">
        <w:rPr>
          <w:lang w:val="en-GB"/>
        </w:rPr>
        <w:t xml:space="preserve">and harnessing them </w:t>
      </w:r>
      <w:r w:rsidRPr="00456C3F">
        <w:rPr>
          <w:lang w:val="en-GB"/>
        </w:rPr>
        <w:t>for PSE teaching/training practices</w:t>
      </w:r>
      <w:r w:rsidR="003F0FC5" w:rsidRPr="00456C3F">
        <w:rPr>
          <w:lang w:val="en-GB"/>
        </w:rPr>
        <w:t xml:space="preserve"> </w:t>
      </w:r>
      <w:r w:rsidRPr="00456C3F">
        <w:rPr>
          <w:lang w:val="en-GB"/>
        </w:rPr>
        <w:t xml:space="preserve">(Lewin </w:t>
      </w:r>
      <w:r w:rsidRPr="00456C3F">
        <w:rPr>
          <w:i/>
          <w:iCs/>
          <w:lang w:val="en-GB"/>
        </w:rPr>
        <w:t xml:space="preserve">et al., </w:t>
      </w:r>
      <w:r w:rsidRPr="00456C3F">
        <w:rPr>
          <w:lang w:val="en-GB"/>
        </w:rPr>
        <w:t>2023). Also, in a time of graduate</w:t>
      </w:r>
      <w:r w:rsidR="003F0FC5" w:rsidRPr="00456C3F">
        <w:rPr>
          <w:lang w:val="en-GB"/>
        </w:rPr>
        <w:t>s</w:t>
      </w:r>
      <w:r w:rsidRPr="00456C3F">
        <w:rPr>
          <w:lang w:val="en-GB"/>
        </w:rPr>
        <w:t xml:space="preserve"> considered digital natives, this does not mean they are competent</w:t>
      </w:r>
      <w:r w:rsidR="005F6569" w:rsidRPr="00456C3F">
        <w:rPr>
          <w:lang w:val="en-GB"/>
        </w:rPr>
        <w:t xml:space="preserve"> in technologies required in digitization of the manufacturing sector areas such as big data, internet of things, cloud technology, data analytics/intelligence,</w:t>
      </w:r>
      <w:r w:rsidR="00EB0ADD" w:rsidRPr="00456C3F">
        <w:rPr>
          <w:lang w:val="en-GB"/>
        </w:rPr>
        <w:t xml:space="preserve"> artificial </w:t>
      </w:r>
      <w:r w:rsidR="00D61C45" w:rsidRPr="00456C3F">
        <w:rPr>
          <w:lang w:val="en-GB"/>
        </w:rPr>
        <w:t>intelligence,</w:t>
      </w:r>
      <w:r w:rsidR="00EB0ADD" w:rsidRPr="00456C3F">
        <w:rPr>
          <w:lang w:val="en-GB"/>
        </w:rPr>
        <w:t xml:space="preserve"> and</w:t>
      </w:r>
      <w:r w:rsidR="005F6569" w:rsidRPr="00456C3F">
        <w:rPr>
          <w:lang w:val="en-GB"/>
        </w:rPr>
        <w:t xml:space="preserve"> physical-to-digital conversion</w:t>
      </w:r>
      <w:r w:rsidR="003E6EB3" w:rsidRPr="00456C3F">
        <w:rPr>
          <w:lang w:val="en-GB"/>
        </w:rPr>
        <w:t xml:space="preserve">. </w:t>
      </w:r>
      <w:r w:rsidRPr="00456C3F">
        <w:rPr>
          <w:lang w:val="en-GB"/>
        </w:rPr>
        <w:t xml:space="preserve">Then, there is a call to narrow the skills gap in future biochemical engineers for an industry going through a digital transformation. </w:t>
      </w:r>
    </w:p>
    <w:p w14:paraId="16F20453" w14:textId="77777777" w:rsidR="00EB0ADD" w:rsidRPr="00456C3F" w:rsidRDefault="00EB0ADD" w:rsidP="003115F9">
      <w:pPr>
        <w:pStyle w:val="Els-body-text"/>
        <w:rPr>
          <w:lang w:val="en-GB"/>
        </w:rPr>
      </w:pPr>
    </w:p>
    <w:p w14:paraId="263DFE49" w14:textId="68EC91CE" w:rsidR="00EB0ADD" w:rsidRPr="00456C3F" w:rsidRDefault="00056D35" w:rsidP="0069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56C3F">
        <w:t>T</w:t>
      </w:r>
      <w:r w:rsidR="00EB0ADD" w:rsidRPr="00456C3F">
        <w:t xml:space="preserve">he Department of Chemical and Biochemical Engineering at </w:t>
      </w:r>
      <w:r w:rsidR="00697B18" w:rsidRPr="00456C3F">
        <w:t>DTU</w:t>
      </w:r>
      <w:r w:rsidR="00EB0ADD" w:rsidRPr="00456C3F">
        <w:t xml:space="preserve"> has been maturing a Digitalization </w:t>
      </w:r>
      <w:r w:rsidRPr="00456C3F">
        <w:t xml:space="preserve">strategy. </w:t>
      </w:r>
      <w:r w:rsidR="00DA0377" w:rsidRPr="00456C3F">
        <w:t>T</w:t>
      </w:r>
      <w:r w:rsidRPr="00456C3F">
        <w:t xml:space="preserve">his includes the </w:t>
      </w:r>
      <w:r w:rsidR="00DA0377" w:rsidRPr="00456C3F">
        <w:t xml:space="preserve">transformation </w:t>
      </w:r>
      <w:r w:rsidR="00EB0ADD" w:rsidRPr="00456C3F">
        <w:t xml:space="preserve">of </w:t>
      </w:r>
      <w:r w:rsidR="00F210D2" w:rsidRPr="00456C3F">
        <w:t xml:space="preserve">the </w:t>
      </w:r>
      <w:r w:rsidR="00EB0ADD" w:rsidRPr="00456C3F">
        <w:t>pilot unit</w:t>
      </w:r>
      <w:r w:rsidR="00697B18" w:rsidRPr="00456C3F">
        <w:t>s</w:t>
      </w:r>
      <w:r w:rsidR="00EB0ADD" w:rsidRPr="00456C3F">
        <w:t xml:space="preserve"> </w:t>
      </w:r>
      <w:r w:rsidRPr="00456C3F">
        <w:t xml:space="preserve">hall </w:t>
      </w:r>
      <w:r w:rsidR="00A74428" w:rsidRPr="00456C3F">
        <w:t xml:space="preserve">for both teaching and </w:t>
      </w:r>
      <w:r w:rsidR="00EB0ADD" w:rsidRPr="00456C3F">
        <w:t>research</w:t>
      </w:r>
      <w:r w:rsidR="003A734E" w:rsidRPr="00456C3F">
        <w:t xml:space="preserve"> </w:t>
      </w:r>
      <w:r w:rsidR="003A734E" w:rsidRPr="00456C3F">
        <w:fldChar w:fldCharType="begin" w:fldLock="1"/>
      </w:r>
      <w:r w:rsidR="003A734E" w:rsidRPr="00456C3F">
        <w:instrText>ADDIN CSL_CITATION {"citationItems":[{"id":"ITEM-1","itemData":{"DOI":"10.1016/B978-0-323-85159-6.50254-2","ISSN":"1570-7946","abstract":"The pilot plant at the Chemical and Biochemical Engineering Department at DTU (DTU Kemiteknik, abbrv. DTU KT) serves as a facility for research &amp; education with access to various process equipment, commonly employed in up-and down-stream processes. Among the available equipment are fermenters, membranes, distillation columns, absorbers, desorbers, extractors, crystallizers, chromatography columns and all kind of high-temperature reactors and process equipment for particulates. The equipment is supplemented by mobile demonstration units for use at industrial sites and a large-scale maritime test station. These units are perfectly suited in combination with laboratory facilities to perform scale up studies together with the capabilities of a modern digital infrastructure. Some of the units are only operated manually while other units can be operated through human machine interfaces (HMI). In line with DTU's strategic objectives, DTU KT focuses on the development and application of an Industry 4.0 framework for its research and educational activities. Therefore, the pilot plant and laboratory facilities are going through a digital transformation, creating a suitable infrastructure that provides remote accessibility to all research and operational data. These efforts are presented in this work.","author":[{"dropping-particle":"","family":"Jones","given":"Mark Nicholas","non-dropping-particle":"","parse-names":false,"suffix":""},{"dropping-particle":"","family":"Stevnsborg","given":"Mads","non-dropping-particle":"","parse-names":false,"suffix":""},{"dropping-particle":"","family":"Nielsen","given":"Rasmus Fjordbak","non-dropping-particle":"","parse-names":false,"suffix":""},{"dropping-particle":"","family":"Carberry","given":"Deborah","non-dropping-particle":"","parse-names":false,"suffix":""},{"dropping-particle":"","family":"Bagherpour","given":"Khosrow","non-dropping-particle":"","parse-names":false,"suffix":""},{"dropping-particle":"","family":"Mansouri","given":"Seyed Soheil","non-dropping-particle":"","parse-names":false,"suffix":""},{"dropping-particle":"","family":"Larsen","given":"Steen","non-dropping-particle":"","parse-names":false,"suffix":""},{"dropping-particle":"V.","family":"Gernaey","given":"Krist","non-dropping-particle":"","parse-names":false,"suffix":""},{"dropping-particle":"","family":"Dreyer","given":"Jochen","non-dropping-particle":"","parse-names":false,"suffix":""},{"dropping-particle":"","family":"Woodley","given":"John","non-dropping-particle":"","parse-names":false,"suffix":""},{"dropping-particle":"","family":"Huusom","given":"Jakob Kjøbsted","non-dropping-particle":"","parse-names":false,"suffix":""},{"dropping-particle":"","family":"Dam-Johansen","given":"Kim","non-dropping-particle":"","parse-names":false,"suffix":""}],"container-title":"Computer Aided Chemical Engineering","id":"ITEM-1","issued":{"date-parts":[["2022","1","1"]]},"page":"1525-1530","publisher":"Elsevier","title":"Pilot Plant 4.0: A Review of Digitalization Efforts of the Chemical and Biochemical Engineering Department at the Technical University of Denmark (DTU)","type":"article-journal","volume":"49"},"uris":["http://www.mendeley.com/documents/?uuid=1ca56c58-68ab-3127-bb33-549b21cc3779"]}],"mendeley":{"formattedCitation":"(Jones et al., 2022)","plainTextFormattedCitation":"(Jones et al., 2022)"},"properties":{"noteIndex":0},"schema":"https://github.com/citation-style-language/schema/raw/master/csl-citation.json"}</w:instrText>
      </w:r>
      <w:r w:rsidR="003A734E" w:rsidRPr="00456C3F">
        <w:fldChar w:fldCharType="separate"/>
      </w:r>
      <w:r w:rsidR="003A734E" w:rsidRPr="00456C3F">
        <w:rPr>
          <w:noProof/>
        </w:rPr>
        <w:t>(Jones et al., 2022)</w:t>
      </w:r>
      <w:r w:rsidR="003A734E" w:rsidRPr="00456C3F">
        <w:fldChar w:fldCharType="end"/>
      </w:r>
      <w:r w:rsidR="00EB0ADD" w:rsidRPr="00456C3F">
        <w:t xml:space="preserve">. </w:t>
      </w:r>
      <w:r w:rsidR="00697B18" w:rsidRPr="00456C3F">
        <w:t xml:space="preserve">In this contribution, a discussion is made around challenges encountered in constructing digital objects aiming for future digital twins to assist students to develop the skills for dealing with digital tools/infrastructures, explore the potential of hybrid modelling combining data and first principles; and ultimately enhance their capabilities for problem solving designing or using </w:t>
      </w:r>
      <w:r w:rsidR="00697B18" w:rsidRPr="00456C3F">
        <w:rPr>
          <w:lang w:eastAsia="zh-TW"/>
        </w:rPr>
        <w:t>dockable digital entities.</w:t>
      </w:r>
      <w:r w:rsidR="0037624F" w:rsidRPr="00456C3F">
        <w:rPr>
          <w:lang w:eastAsia="zh-TW"/>
        </w:rPr>
        <w:t xml:space="preserve"> As illustrating cases, experiences with two novel dynamic membrane technologies are presented, where different approaches have been investigated to develop digital objects capable of predicting best operation scenarios (so</w:t>
      </w:r>
      <w:r w:rsidR="00F210D2" w:rsidRPr="00456C3F">
        <w:rPr>
          <w:lang w:eastAsia="zh-TW"/>
        </w:rPr>
        <w:t>-</w:t>
      </w:r>
      <w:r w:rsidR="0037624F" w:rsidRPr="00456C3F">
        <w:rPr>
          <w:lang w:eastAsia="zh-TW"/>
        </w:rPr>
        <w:t xml:space="preserve">called critical flux), </w:t>
      </w:r>
      <w:r w:rsidR="00DE36CB" w:rsidRPr="00456C3F">
        <w:rPr>
          <w:lang w:eastAsia="zh-TW"/>
        </w:rPr>
        <w:t xml:space="preserve">membrane rejection, </w:t>
      </w:r>
      <w:r w:rsidR="0037624F" w:rsidRPr="00456C3F">
        <w:rPr>
          <w:lang w:eastAsia="zh-TW"/>
        </w:rPr>
        <w:t>fault detection, and forecast fouling rate under uncertain operation.</w:t>
      </w:r>
      <w:r w:rsidR="00DA0377" w:rsidRPr="00456C3F">
        <w:rPr>
          <w:lang w:eastAsia="zh-TW"/>
        </w:rPr>
        <w:t xml:space="preserve"> Finally, some perspectives are presented </w:t>
      </w:r>
      <w:r w:rsidR="00F210D2" w:rsidRPr="00456C3F">
        <w:rPr>
          <w:lang w:eastAsia="zh-TW"/>
        </w:rPr>
        <w:t>on</w:t>
      </w:r>
      <w:r w:rsidR="00DA0377" w:rsidRPr="00456C3F">
        <w:rPr>
          <w:lang w:eastAsia="zh-TW"/>
        </w:rPr>
        <w:t xml:space="preserve"> the digital </w:t>
      </w:r>
      <w:r w:rsidR="00C072F4" w:rsidRPr="00456C3F">
        <w:rPr>
          <w:lang w:eastAsia="zh-TW"/>
        </w:rPr>
        <w:t>objects’</w:t>
      </w:r>
      <w:r w:rsidR="00DA0377" w:rsidRPr="00456C3F">
        <w:rPr>
          <w:lang w:eastAsia="zh-TW"/>
        </w:rPr>
        <w:t xml:space="preserve"> deployment and impact. </w:t>
      </w:r>
    </w:p>
    <w:p w14:paraId="144DE699" w14:textId="6AD041BB" w:rsidR="008D2649" w:rsidRPr="00456C3F" w:rsidRDefault="00781403" w:rsidP="008D2649">
      <w:pPr>
        <w:pStyle w:val="Els-1storder-head"/>
        <w:rPr>
          <w:lang w:val="en-GB"/>
        </w:rPr>
      </w:pPr>
      <w:r w:rsidRPr="00456C3F">
        <w:rPr>
          <w:lang w:val="en-GB"/>
        </w:rPr>
        <w:t>D</w:t>
      </w:r>
      <w:r w:rsidR="0013223F" w:rsidRPr="00456C3F">
        <w:rPr>
          <w:lang w:val="en-GB"/>
        </w:rPr>
        <w:t xml:space="preserve">eveloping digital objects for </w:t>
      </w:r>
      <w:r w:rsidRPr="00456C3F">
        <w:rPr>
          <w:lang w:val="en-GB"/>
        </w:rPr>
        <w:t>novel membrane technologies</w:t>
      </w:r>
    </w:p>
    <w:p w14:paraId="5DDE2606" w14:textId="77777777" w:rsidR="00B725A4" w:rsidRPr="00456C3F" w:rsidRDefault="00B725A4" w:rsidP="00B725A4">
      <w:pPr>
        <w:pStyle w:val="Els-body-text"/>
        <w:rPr>
          <w:lang w:val="en-GB"/>
        </w:rPr>
      </w:pPr>
    </w:p>
    <w:p w14:paraId="4A3F98CA" w14:textId="59117215" w:rsidR="00BB10FF" w:rsidRPr="00456C3F" w:rsidRDefault="000E2677" w:rsidP="00BB10FF">
      <w:pPr>
        <w:pStyle w:val="Els-body-text"/>
        <w:rPr>
          <w:lang w:val="en-GB"/>
        </w:rPr>
      </w:pPr>
      <w:r w:rsidRPr="00456C3F">
        <w:rPr>
          <w:lang w:val="en-GB"/>
        </w:rPr>
        <w:t>As part of t</w:t>
      </w:r>
      <w:r w:rsidR="00F64057" w:rsidRPr="00456C3F">
        <w:rPr>
          <w:lang w:val="en-GB"/>
        </w:rPr>
        <w:t xml:space="preserve">he </w:t>
      </w:r>
      <w:r w:rsidR="00F210D2" w:rsidRPr="00456C3F">
        <w:rPr>
          <w:lang w:val="en-GB"/>
        </w:rPr>
        <w:t>d</w:t>
      </w:r>
      <w:r w:rsidR="00F64057" w:rsidRPr="00456C3F">
        <w:rPr>
          <w:lang w:val="en-GB"/>
        </w:rPr>
        <w:t>igitalization strategy</w:t>
      </w:r>
      <w:r w:rsidRPr="00456C3F">
        <w:rPr>
          <w:lang w:val="en-GB"/>
        </w:rPr>
        <w:t>,</w:t>
      </w:r>
      <w:r w:rsidR="00F64057" w:rsidRPr="00456C3F">
        <w:rPr>
          <w:lang w:val="en-GB"/>
        </w:rPr>
        <w:t xml:space="preserve"> </w:t>
      </w:r>
      <w:r w:rsidRPr="00456C3F">
        <w:rPr>
          <w:lang w:val="en-GB"/>
        </w:rPr>
        <w:t>th</w:t>
      </w:r>
      <w:r w:rsidR="00F64057" w:rsidRPr="00456C3F">
        <w:rPr>
          <w:lang w:val="en-GB"/>
        </w:rPr>
        <w:t xml:space="preserve">e department has defined a first project aiming to </w:t>
      </w:r>
      <w:r w:rsidRPr="00456C3F">
        <w:rPr>
          <w:lang w:val="en-GB"/>
        </w:rPr>
        <w:t>develop</w:t>
      </w:r>
      <w:r w:rsidR="00F64057" w:rsidRPr="00456C3F">
        <w:rPr>
          <w:lang w:val="en-GB"/>
        </w:rPr>
        <w:t xml:space="preserve"> digitalization tools </w:t>
      </w:r>
      <w:r w:rsidRPr="00456C3F">
        <w:rPr>
          <w:lang w:val="en-GB"/>
        </w:rPr>
        <w:t>on the</w:t>
      </w:r>
      <w:r w:rsidR="00F64057" w:rsidRPr="00456C3F">
        <w:rPr>
          <w:lang w:val="en-GB"/>
        </w:rPr>
        <w:t xml:space="preserve"> equipment available in the pilot hall. </w:t>
      </w:r>
      <w:r w:rsidR="00BB10FF" w:rsidRPr="00456C3F">
        <w:rPr>
          <w:lang w:val="en-GB"/>
        </w:rPr>
        <w:t>The target is</w:t>
      </w:r>
      <w:r w:rsidR="00F64057" w:rsidRPr="00456C3F">
        <w:rPr>
          <w:lang w:val="en-GB"/>
        </w:rPr>
        <w:t xml:space="preserve"> </w:t>
      </w:r>
      <w:r w:rsidR="00D61C45" w:rsidRPr="00456C3F">
        <w:rPr>
          <w:lang w:val="en-GB"/>
        </w:rPr>
        <w:t>to</w:t>
      </w:r>
      <w:r w:rsidR="00F64057" w:rsidRPr="00456C3F">
        <w:rPr>
          <w:lang w:val="en-GB"/>
        </w:rPr>
        <w:t xml:space="preserve"> have a) a cloud-based system for data acquisition, storage, analysis and usage</w:t>
      </w:r>
      <w:r w:rsidR="00781403" w:rsidRPr="00456C3F">
        <w:rPr>
          <w:lang w:val="en-GB"/>
        </w:rPr>
        <w:t xml:space="preserve"> by digital objects</w:t>
      </w:r>
      <w:r w:rsidR="00F64057" w:rsidRPr="00456C3F">
        <w:rPr>
          <w:lang w:val="en-GB"/>
        </w:rPr>
        <w:t xml:space="preserve">, and b) Visualization tools for training. </w:t>
      </w:r>
      <w:r w:rsidR="00BB10FF" w:rsidRPr="00456C3F">
        <w:rPr>
          <w:lang w:val="en-GB"/>
        </w:rPr>
        <w:t>T</w:t>
      </w:r>
      <w:r w:rsidR="00F64057" w:rsidRPr="00456C3F">
        <w:rPr>
          <w:lang w:val="en-GB"/>
        </w:rPr>
        <w:t xml:space="preserve">he project execution could lead to </w:t>
      </w:r>
      <w:r w:rsidR="00F210D2" w:rsidRPr="00456C3F">
        <w:rPr>
          <w:lang w:val="en-GB"/>
        </w:rPr>
        <w:t>identifying</w:t>
      </w:r>
      <w:r w:rsidR="00F64057" w:rsidRPr="00456C3F">
        <w:rPr>
          <w:lang w:val="en-GB"/>
        </w:rPr>
        <w:t xml:space="preserve"> future directions from technical, </w:t>
      </w:r>
      <w:r w:rsidR="00D61C45" w:rsidRPr="00456C3F">
        <w:rPr>
          <w:lang w:val="en-GB"/>
        </w:rPr>
        <w:t>scientific,</w:t>
      </w:r>
      <w:r w:rsidR="00F64057" w:rsidRPr="00456C3F">
        <w:rPr>
          <w:lang w:val="en-GB"/>
        </w:rPr>
        <w:t xml:space="preserve"> and even philosophical perspectives </w:t>
      </w:r>
      <w:r w:rsidR="00BB10FF" w:rsidRPr="00456C3F">
        <w:rPr>
          <w:lang w:val="en-GB"/>
        </w:rPr>
        <w:t>for education in the pilot hall. For illustration</w:t>
      </w:r>
      <w:r w:rsidR="0013223F" w:rsidRPr="00456C3F">
        <w:rPr>
          <w:lang w:val="en-GB"/>
        </w:rPr>
        <w:t xml:space="preserve">, we have investigated two novel membrane technologies referred to as </w:t>
      </w:r>
      <w:r w:rsidR="00F210D2" w:rsidRPr="00456C3F">
        <w:rPr>
          <w:lang w:val="en-GB"/>
        </w:rPr>
        <w:t>high-frequency</w:t>
      </w:r>
      <w:r w:rsidR="0013223F" w:rsidRPr="00456C3F">
        <w:rPr>
          <w:lang w:val="en-GB"/>
        </w:rPr>
        <w:t xml:space="preserve"> backshock/backwash and vibrating membranes. </w:t>
      </w:r>
      <w:r w:rsidR="00697B18" w:rsidRPr="00456C3F">
        <w:t xml:space="preserve">Those technologies impose challenges at different complexity levels that are common to other dynamic systems or under development intensified processes with limited process understanding. </w:t>
      </w:r>
      <w:r w:rsidR="0013223F" w:rsidRPr="00456C3F">
        <w:rPr>
          <w:lang w:val="en-GB"/>
        </w:rPr>
        <w:t xml:space="preserve">A sketch of how the technologies work is shown in </w:t>
      </w:r>
      <w:r w:rsidR="0013223F" w:rsidRPr="00456C3F">
        <w:rPr>
          <w:lang w:val="en-GB"/>
        </w:rPr>
        <w:fldChar w:fldCharType="begin"/>
      </w:r>
      <w:r w:rsidR="0013223F" w:rsidRPr="00456C3F">
        <w:rPr>
          <w:lang w:val="en-GB"/>
        </w:rPr>
        <w:instrText xml:space="preserve"> REF _Ref151465321 \h </w:instrText>
      </w:r>
      <w:r w:rsidR="0013223F" w:rsidRPr="00456C3F">
        <w:rPr>
          <w:lang w:val="en-GB"/>
        </w:rPr>
      </w:r>
      <w:r w:rsidR="0013223F" w:rsidRPr="00456C3F">
        <w:rPr>
          <w:lang w:val="en-GB"/>
        </w:rPr>
        <w:fldChar w:fldCharType="separate"/>
      </w:r>
      <w:r w:rsidR="0013223F" w:rsidRPr="00456C3F">
        <w:rPr>
          <w:lang w:val="en-GB"/>
        </w:rPr>
        <w:t xml:space="preserve">Figure </w:t>
      </w:r>
      <w:r w:rsidR="0013223F" w:rsidRPr="00456C3F">
        <w:rPr>
          <w:noProof/>
          <w:lang w:val="en-GB"/>
        </w:rPr>
        <w:t>1</w:t>
      </w:r>
      <w:r w:rsidR="0013223F" w:rsidRPr="00456C3F">
        <w:rPr>
          <w:lang w:val="en-GB"/>
        </w:rPr>
        <w:fldChar w:fldCharType="end"/>
      </w:r>
      <w:r w:rsidR="0013223F" w:rsidRPr="00456C3F">
        <w:rPr>
          <w:lang w:val="en-GB"/>
        </w:rPr>
        <w:t xml:space="preserve">. </w:t>
      </w:r>
      <w:r w:rsidR="00DA0377" w:rsidRPr="00456C3F">
        <w:rPr>
          <w:lang w:val="en-GB"/>
        </w:rPr>
        <w:t>In t</w:t>
      </w:r>
      <w:r w:rsidR="0013223F" w:rsidRPr="00456C3F">
        <w:rPr>
          <w:lang w:val="en-GB"/>
        </w:rPr>
        <w:t xml:space="preserve">he </w:t>
      </w:r>
      <w:r w:rsidR="00F210D2" w:rsidRPr="00456C3F">
        <w:rPr>
          <w:lang w:val="en-GB"/>
        </w:rPr>
        <w:t>high-frequency</w:t>
      </w:r>
      <w:r w:rsidR="0013223F" w:rsidRPr="00456C3F">
        <w:rPr>
          <w:lang w:val="en-GB"/>
        </w:rPr>
        <w:t xml:space="preserve"> backshock/backwash system</w:t>
      </w:r>
      <w:r w:rsidR="00DA0377" w:rsidRPr="00456C3F">
        <w:rPr>
          <w:lang w:val="en-GB"/>
        </w:rPr>
        <w:t>,</w:t>
      </w:r>
      <w:r w:rsidR="008B1A2E" w:rsidRPr="00456C3F">
        <w:rPr>
          <w:lang w:val="en-GB"/>
        </w:rPr>
        <w:t xml:space="preserve"> </w:t>
      </w:r>
      <w:r w:rsidR="0013223F" w:rsidRPr="00456C3F">
        <w:rPr>
          <w:lang w:val="en-GB"/>
        </w:rPr>
        <w:t xml:space="preserve">two </w:t>
      </w:r>
      <w:r w:rsidR="00DE36CB" w:rsidRPr="00456C3F">
        <w:rPr>
          <w:lang w:val="en-GB"/>
        </w:rPr>
        <w:t>fouling</w:t>
      </w:r>
      <w:r w:rsidR="00461E78" w:rsidRPr="00456C3F">
        <w:rPr>
          <w:lang w:val="en-GB"/>
        </w:rPr>
        <w:t xml:space="preserve"> mitigation strategies are applied at different frequencies. </w:t>
      </w:r>
      <w:r w:rsidR="008B1A2E" w:rsidRPr="00456C3F">
        <w:rPr>
          <w:lang w:val="en-GB"/>
        </w:rPr>
        <w:t xml:space="preserve">Both strategies involve reversing the </w:t>
      </w:r>
      <w:r w:rsidR="00781403" w:rsidRPr="00456C3F">
        <w:rPr>
          <w:lang w:val="en-GB"/>
        </w:rPr>
        <w:t>transmembrane pressure</w:t>
      </w:r>
      <w:r w:rsidR="008B1A2E" w:rsidRPr="00456C3F">
        <w:rPr>
          <w:lang w:val="en-GB"/>
        </w:rPr>
        <w:t xml:space="preserve"> </w:t>
      </w:r>
      <w:r w:rsidR="00781403" w:rsidRPr="00456C3F">
        <w:rPr>
          <w:lang w:val="en-GB"/>
        </w:rPr>
        <w:t xml:space="preserve">to </w:t>
      </w:r>
      <w:r w:rsidRPr="00456C3F">
        <w:rPr>
          <w:lang w:val="en-GB"/>
        </w:rPr>
        <w:t>use</w:t>
      </w:r>
      <w:r w:rsidR="008B1A2E" w:rsidRPr="00456C3F">
        <w:rPr>
          <w:lang w:val="en-GB"/>
        </w:rPr>
        <w:t xml:space="preserve"> permeate </w:t>
      </w:r>
      <w:r w:rsidR="00C01A38" w:rsidRPr="00456C3F">
        <w:rPr>
          <w:lang w:val="en-GB"/>
        </w:rPr>
        <w:t xml:space="preserve">for </w:t>
      </w:r>
      <w:r w:rsidR="00781403" w:rsidRPr="00456C3F">
        <w:rPr>
          <w:lang w:val="en-GB"/>
        </w:rPr>
        <w:t>cleaning</w:t>
      </w:r>
      <w:r w:rsidR="008B1A2E" w:rsidRPr="00456C3F">
        <w:rPr>
          <w:lang w:val="en-GB"/>
        </w:rPr>
        <w:t xml:space="preserve">. </w:t>
      </w:r>
      <w:r w:rsidR="00DA0377" w:rsidRPr="00456C3F">
        <w:rPr>
          <w:lang w:val="en-GB"/>
        </w:rPr>
        <w:t>In t</w:t>
      </w:r>
      <w:r w:rsidR="008B1A2E" w:rsidRPr="00456C3F">
        <w:rPr>
          <w:lang w:val="en-GB"/>
        </w:rPr>
        <w:t xml:space="preserve">he vibrating membrane, </w:t>
      </w:r>
      <w:r w:rsidR="00F210D2" w:rsidRPr="00456C3F">
        <w:rPr>
          <w:lang w:val="en-GB"/>
        </w:rPr>
        <w:t>high-frequency</w:t>
      </w:r>
      <w:r w:rsidR="008B1A2E" w:rsidRPr="00456C3F">
        <w:rPr>
          <w:lang w:val="en-GB"/>
        </w:rPr>
        <w:t xml:space="preserve"> membrane vibration creates </w:t>
      </w:r>
      <w:r w:rsidR="004D1C7C" w:rsidRPr="00456C3F">
        <w:rPr>
          <w:lang w:val="en-GB"/>
        </w:rPr>
        <w:t>a high</w:t>
      </w:r>
      <w:r w:rsidR="008B1A2E" w:rsidRPr="00456C3F">
        <w:rPr>
          <w:lang w:val="en-GB"/>
        </w:rPr>
        <w:t xml:space="preserve"> shear rate </w:t>
      </w:r>
      <w:r w:rsidR="00781403" w:rsidRPr="00456C3F">
        <w:rPr>
          <w:lang w:val="en-GB"/>
        </w:rPr>
        <w:t xml:space="preserve">at the membrane surface </w:t>
      </w:r>
      <w:r w:rsidR="008B1A2E" w:rsidRPr="00456C3F">
        <w:rPr>
          <w:lang w:val="en-GB"/>
        </w:rPr>
        <w:t xml:space="preserve">which </w:t>
      </w:r>
      <w:r w:rsidR="00781403" w:rsidRPr="00456C3F">
        <w:rPr>
          <w:lang w:val="en-GB"/>
        </w:rPr>
        <w:t>mitigates fouling formation</w:t>
      </w:r>
      <w:r w:rsidR="008B1A2E" w:rsidRPr="00456C3F">
        <w:rPr>
          <w:lang w:val="en-GB"/>
        </w:rPr>
        <w:t>.</w:t>
      </w:r>
      <w:r w:rsidR="00DA0377" w:rsidRPr="00456C3F">
        <w:rPr>
          <w:lang w:val="en-GB"/>
        </w:rPr>
        <w:t xml:space="preserve"> Both technologies have shown remarkable performance for </w:t>
      </w:r>
      <w:r w:rsidR="00856FA8" w:rsidRPr="00456C3F">
        <w:rPr>
          <w:lang w:val="en-GB"/>
        </w:rPr>
        <w:t>biomanufacturing,</w:t>
      </w:r>
      <w:r w:rsidR="00DA0377" w:rsidRPr="00456C3F">
        <w:rPr>
          <w:lang w:val="en-GB"/>
        </w:rPr>
        <w:t xml:space="preserve"> but their operation is not </w:t>
      </w:r>
      <w:r w:rsidR="00C01A38" w:rsidRPr="00456C3F">
        <w:rPr>
          <w:lang w:val="en-GB"/>
        </w:rPr>
        <w:t xml:space="preserve">straightforward </w:t>
      </w:r>
      <w:r w:rsidR="00DA0377" w:rsidRPr="00456C3F">
        <w:rPr>
          <w:lang w:val="en-GB"/>
        </w:rPr>
        <w:t xml:space="preserve">and could benefit </w:t>
      </w:r>
      <w:r w:rsidR="00C01A38" w:rsidRPr="00456C3F">
        <w:rPr>
          <w:lang w:val="en-GB"/>
        </w:rPr>
        <w:t>from</w:t>
      </w:r>
      <w:r w:rsidR="00DA0377" w:rsidRPr="00456C3F">
        <w:rPr>
          <w:lang w:val="en-GB"/>
        </w:rPr>
        <w:t xml:space="preserve"> </w:t>
      </w:r>
      <w:r w:rsidR="00856FA8" w:rsidRPr="00456C3F">
        <w:rPr>
          <w:lang w:val="en-GB"/>
        </w:rPr>
        <w:t>digitalization</w:t>
      </w:r>
      <w:r w:rsidR="00DA0377" w:rsidRPr="00456C3F">
        <w:rPr>
          <w:lang w:val="en-GB"/>
        </w:rPr>
        <w:t>.</w:t>
      </w:r>
      <w:r w:rsidR="00BB10FF" w:rsidRPr="00456C3F">
        <w:rPr>
          <w:lang w:val="en-GB"/>
        </w:rPr>
        <w:t xml:space="preserve"> Relevant to this contribution, the three main aspects of the strategy for the first goal are depicted in </w:t>
      </w:r>
      <w:r w:rsidR="00BB10FF" w:rsidRPr="00456C3F">
        <w:rPr>
          <w:lang w:val="en-GB"/>
        </w:rPr>
        <w:fldChar w:fldCharType="begin"/>
      </w:r>
      <w:r w:rsidR="00BB10FF" w:rsidRPr="00456C3F">
        <w:rPr>
          <w:lang w:val="en-GB"/>
        </w:rPr>
        <w:instrText xml:space="preserve"> REF _Ref151032739 \h </w:instrText>
      </w:r>
      <w:r w:rsidR="00BB10FF" w:rsidRPr="00456C3F">
        <w:rPr>
          <w:lang w:val="en-GB"/>
        </w:rPr>
      </w:r>
      <w:r w:rsidR="00BB10FF" w:rsidRPr="00456C3F">
        <w:rPr>
          <w:lang w:val="en-GB"/>
        </w:rPr>
        <w:fldChar w:fldCharType="separate"/>
      </w:r>
      <w:r w:rsidR="00BB10FF" w:rsidRPr="00456C3F">
        <w:rPr>
          <w:lang w:val="en-GB"/>
        </w:rPr>
        <w:t xml:space="preserve">Figure </w:t>
      </w:r>
      <w:r w:rsidR="00BB10FF" w:rsidRPr="00456C3F">
        <w:rPr>
          <w:noProof/>
          <w:lang w:val="en-GB"/>
        </w:rPr>
        <w:t>2</w:t>
      </w:r>
      <w:r w:rsidR="00BB10FF" w:rsidRPr="00456C3F">
        <w:rPr>
          <w:lang w:val="en-GB"/>
        </w:rPr>
        <w:fldChar w:fldCharType="end"/>
      </w:r>
      <w:r w:rsidR="00BB10FF" w:rsidRPr="00456C3F">
        <w:rPr>
          <w:lang w:val="en-GB"/>
        </w:rPr>
        <w:t>; answering the questions Who (People), Through (Infrastructure), and What (Building digital objects). Those aspects are discussed in the following sections, focusing on the Digital Object implementation.</w:t>
      </w:r>
    </w:p>
    <w:p w14:paraId="3817812A" w14:textId="77777777" w:rsidR="00BB10FF" w:rsidRPr="00456C3F" w:rsidRDefault="00BB10FF" w:rsidP="00BB10FF">
      <w:pPr>
        <w:pStyle w:val="Els-body-text"/>
        <w:rPr>
          <w:lang w:val="en-GB"/>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456C3F" w:rsidRPr="00456C3F" w14:paraId="6AA457FC" w14:textId="77777777" w:rsidTr="007E2462">
        <w:trPr>
          <w:jc w:val="center"/>
        </w:trPr>
        <w:tc>
          <w:tcPr>
            <w:tcW w:w="3538" w:type="dxa"/>
          </w:tcPr>
          <w:p w14:paraId="64F12412" w14:textId="77777777" w:rsidR="0037624F" w:rsidRPr="00456C3F" w:rsidRDefault="0013223F" w:rsidP="007E2462">
            <w:pPr>
              <w:pStyle w:val="Els-body-text"/>
              <w:jc w:val="center"/>
              <w:rPr>
                <w:lang w:val="en-GB"/>
              </w:rPr>
            </w:pPr>
            <w:r w:rsidRPr="00456C3F">
              <w:rPr>
                <w:noProof/>
                <w:lang w:val="en-GB"/>
              </w:rPr>
              <w:drawing>
                <wp:inline distT="0" distB="0" distL="0" distR="0" wp14:anchorId="0829A31A" wp14:editId="03F5AA9F">
                  <wp:extent cx="1417088" cy="727165"/>
                  <wp:effectExtent l="0" t="0" r="0" b="0"/>
                  <wp:docPr id="7" name="Picture 6" descr="Backshock_diagra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Backshock_diagram1.png"/>
                          <pic:cNvPicPr>
                            <a:picLocks noChangeAspect="1"/>
                          </pic:cNvPicPr>
                        </pic:nvPicPr>
                        <pic:blipFill>
                          <a:blip r:embed="rId8" cstate="print"/>
                          <a:stretch>
                            <a:fillRect/>
                          </a:stretch>
                        </pic:blipFill>
                        <pic:spPr>
                          <a:xfrm>
                            <a:off x="0" y="0"/>
                            <a:ext cx="1451323" cy="744732"/>
                          </a:xfrm>
                          <a:prstGeom prst="rect">
                            <a:avLst/>
                          </a:prstGeom>
                        </pic:spPr>
                      </pic:pic>
                    </a:graphicData>
                  </a:graphic>
                </wp:inline>
              </w:drawing>
            </w:r>
          </w:p>
          <w:p w14:paraId="5359ED82" w14:textId="1570581E" w:rsidR="0013223F" w:rsidRPr="00456C3F" w:rsidRDefault="0013223F" w:rsidP="007E2462">
            <w:pPr>
              <w:pStyle w:val="Els-body-text"/>
              <w:jc w:val="center"/>
              <w:rPr>
                <w:lang w:val="en-GB"/>
              </w:rPr>
            </w:pPr>
            <w:r w:rsidRPr="00456C3F">
              <w:rPr>
                <w:noProof/>
                <w:lang w:val="en-GB"/>
              </w:rPr>
              <w:drawing>
                <wp:inline distT="0" distB="0" distL="0" distR="0" wp14:anchorId="11F13637" wp14:editId="128D8A5B">
                  <wp:extent cx="1440760" cy="692332"/>
                  <wp:effectExtent l="0" t="0" r="7620" b="0"/>
                  <wp:docPr id="6" name="Picture 5" descr="Backshock_diagra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Backshock_diagram2.png"/>
                          <pic:cNvPicPr>
                            <a:picLocks noChangeAspect="1"/>
                          </pic:cNvPicPr>
                        </pic:nvPicPr>
                        <pic:blipFill>
                          <a:blip r:embed="rId9" cstate="print"/>
                          <a:stretch>
                            <a:fillRect/>
                          </a:stretch>
                        </pic:blipFill>
                        <pic:spPr>
                          <a:xfrm>
                            <a:off x="0" y="0"/>
                            <a:ext cx="1496128" cy="718938"/>
                          </a:xfrm>
                          <a:prstGeom prst="rect">
                            <a:avLst/>
                          </a:prstGeom>
                        </pic:spPr>
                      </pic:pic>
                    </a:graphicData>
                  </a:graphic>
                </wp:inline>
              </w:drawing>
            </w:r>
          </w:p>
        </w:tc>
        <w:tc>
          <w:tcPr>
            <w:tcW w:w="3538" w:type="dxa"/>
          </w:tcPr>
          <w:p w14:paraId="24CE410A" w14:textId="7B281ED7" w:rsidR="0037624F" w:rsidRPr="00456C3F" w:rsidRDefault="0037624F" w:rsidP="007E2462">
            <w:pPr>
              <w:pStyle w:val="Els-body-text"/>
              <w:jc w:val="center"/>
              <w:rPr>
                <w:lang w:val="en-GB"/>
              </w:rPr>
            </w:pPr>
            <w:r w:rsidRPr="00456C3F">
              <w:rPr>
                <w:noProof/>
                <w:lang w:val="en-GB"/>
              </w:rPr>
              <w:drawing>
                <wp:inline distT="0" distB="0" distL="0" distR="0" wp14:anchorId="555B0205" wp14:editId="2864197D">
                  <wp:extent cx="1445623" cy="832898"/>
                  <wp:effectExtent l="0" t="0" r="2540" b="5715"/>
                  <wp:docPr id="20" name="Picture 19">
                    <a:extLst xmlns:a="http://schemas.openxmlformats.org/drawingml/2006/main">
                      <a:ext uri="{FF2B5EF4-FFF2-40B4-BE49-F238E27FC236}">
                        <a16:creationId xmlns:a16="http://schemas.microsoft.com/office/drawing/2014/main" id="{5041E00C-F7CB-7A4B-66E9-29DE305C39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5041E00C-F7CB-7A4B-66E9-29DE305C3961}"/>
                              </a:ext>
                            </a:extLst>
                          </pic:cNvPr>
                          <pic:cNvPicPr>
                            <a:picLocks noChangeAspect="1"/>
                          </pic:cNvPicPr>
                        </pic:nvPicPr>
                        <pic:blipFill>
                          <a:blip r:embed="rId10"/>
                          <a:stretch>
                            <a:fillRect/>
                          </a:stretch>
                        </pic:blipFill>
                        <pic:spPr>
                          <a:xfrm>
                            <a:off x="0" y="0"/>
                            <a:ext cx="1500398" cy="864457"/>
                          </a:xfrm>
                          <a:prstGeom prst="rect">
                            <a:avLst/>
                          </a:prstGeom>
                        </pic:spPr>
                      </pic:pic>
                    </a:graphicData>
                  </a:graphic>
                </wp:inline>
              </w:drawing>
            </w:r>
          </w:p>
          <w:p w14:paraId="3BF96BAB" w14:textId="0BB7CA08" w:rsidR="0037624F" w:rsidRPr="00456C3F" w:rsidRDefault="0037624F" w:rsidP="007E2462">
            <w:pPr>
              <w:pStyle w:val="Els-body-text"/>
              <w:jc w:val="center"/>
              <w:rPr>
                <w:lang w:val="en-GB"/>
              </w:rPr>
            </w:pPr>
            <w:r w:rsidRPr="00456C3F">
              <w:rPr>
                <w:noProof/>
                <w:lang w:val="en-GB"/>
              </w:rPr>
              <w:drawing>
                <wp:inline distT="0" distB="0" distL="0" distR="0" wp14:anchorId="2E828CE0" wp14:editId="7E1A77E8">
                  <wp:extent cx="1746069" cy="703012"/>
                  <wp:effectExtent l="0" t="0" r="6985" b="1905"/>
                  <wp:docPr id="27" name="Picture 26">
                    <a:extLst xmlns:a="http://schemas.openxmlformats.org/drawingml/2006/main">
                      <a:ext uri="{FF2B5EF4-FFF2-40B4-BE49-F238E27FC236}">
                        <a16:creationId xmlns:a16="http://schemas.microsoft.com/office/drawing/2014/main" id="{2E858ECF-0403-A9E7-1B1F-ACE545EDD8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2E858ECF-0403-A9E7-1B1F-ACE545EDD8E7}"/>
                              </a:ext>
                            </a:extLst>
                          </pic:cNvPr>
                          <pic:cNvPicPr>
                            <a:picLocks noChangeAspect="1"/>
                          </pic:cNvPicPr>
                        </pic:nvPicPr>
                        <pic:blipFill>
                          <a:blip r:embed="rId11"/>
                          <a:stretch>
                            <a:fillRect/>
                          </a:stretch>
                        </pic:blipFill>
                        <pic:spPr>
                          <a:xfrm>
                            <a:off x="0" y="0"/>
                            <a:ext cx="1821250" cy="733282"/>
                          </a:xfrm>
                          <a:prstGeom prst="rect">
                            <a:avLst/>
                          </a:prstGeom>
                        </pic:spPr>
                      </pic:pic>
                    </a:graphicData>
                  </a:graphic>
                </wp:inline>
              </w:drawing>
            </w:r>
          </w:p>
        </w:tc>
      </w:tr>
      <w:tr w:rsidR="00456C3F" w:rsidRPr="00456C3F" w14:paraId="3F1DA614" w14:textId="77777777" w:rsidTr="007E2462">
        <w:trPr>
          <w:jc w:val="center"/>
        </w:trPr>
        <w:tc>
          <w:tcPr>
            <w:tcW w:w="3538" w:type="dxa"/>
          </w:tcPr>
          <w:p w14:paraId="2973EBDD" w14:textId="0955E9C1" w:rsidR="0037624F" w:rsidRPr="00456C3F" w:rsidRDefault="00F210D2" w:rsidP="0013223F">
            <w:pPr>
              <w:pStyle w:val="Didascalia"/>
              <w:numPr>
                <w:ilvl w:val="0"/>
                <w:numId w:val="26"/>
              </w:numPr>
              <w:ind w:left="457"/>
              <w:rPr>
                <w:lang w:val="en-GB"/>
              </w:rPr>
            </w:pPr>
            <w:r w:rsidRPr="00456C3F">
              <w:rPr>
                <w:lang w:val="en-GB"/>
              </w:rPr>
              <w:t>High-frequency</w:t>
            </w:r>
            <w:r w:rsidR="0013223F" w:rsidRPr="00456C3F">
              <w:rPr>
                <w:lang w:val="en-GB"/>
              </w:rPr>
              <w:t xml:space="preserve"> backshock/backwash</w:t>
            </w:r>
          </w:p>
        </w:tc>
        <w:tc>
          <w:tcPr>
            <w:tcW w:w="3538" w:type="dxa"/>
          </w:tcPr>
          <w:p w14:paraId="5F2C3C99" w14:textId="4FBF3744" w:rsidR="0037624F" w:rsidRPr="00456C3F" w:rsidRDefault="0013223F" w:rsidP="0013223F">
            <w:pPr>
              <w:pStyle w:val="Didascalia"/>
              <w:numPr>
                <w:ilvl w:val="0"/>
                <w:numId w:val="26"/>
              </w:numPr>
              <w:ind w:left="319"/>
              <w:rPr>
                <w:lang w:val="en-GB"/>
              </w:rPr>
            </w:pPr>
            <w:r w:rsidRPr="00456C3F">
              <w:rPr>
                <w:lang w:val="en-GB"/>
              </w:rPr>
              <w:t>Vibrating membrane system</w:t>
            </w:r>
          </w:p>
        </w:tc>
      </w:tr>
    </w:tbl>
    <w:p w14:paraId="54BA9044" w14:textId="12315FD6" w:rsidR="0037624F" w:rsidRPr="00456C3F" w:rsidRDefault="0013223F" w:rsidP="0013223F">
      <w:pPr>
        <w:pStyle w:val="Didascalia"/>
        <w:rPr>
          <w:lang w:val="en-GB"/>
        </w:rPr>
      </w:pPr>
      <w:bookmarkStart w:id="2" w:name="_Ref151465321"/>
      <w:r w:rsidRPr="00456C3F">
        <w:rPr>
          <w:lang w:val="en-GB"/>
        </w:rPr>
        <w:t xml:space="preserve">Figure </w:t>
      </w:r>
      <w:r w:rsidRPr="00456C3F">
        <w:rPr>
          <w:lang w:val="en-GB"/>
        </w:rPr>
        <w:fldChar w:fldCharType="begin"/>
      </w:r>
      <w:r w:rsidRPr="00456C3F">
        <w:rPr>
          <w:lang w:val="en-GB"/>
        </w:rPr>
        <w:instrText xml:space="preserve"> SEQ Figure \* ARABIC </w:instrText>
      </w:r>
      <w:r w:rsidRPr="00456C3F">
        <w:rPr>
          <w:lang w:val="en-GB"/>
        </w:rPr>
        <w:fldChar w:fldCharType="separate"/>
      </w:r>
      <w:r w:rsidR="00DE36CB" w:rsidRPr="00456C3F">
        <w:rPr>
          <w:noProof/>
          <w:lang w:val="en-GB"/>
        </w:rPr>
        <w:t>1</w:t>
      </w:r>
      <w:r w:rsidRPr="00456C3F">
        <w:rPr>
          <w:lang w:val="en-GB"/>
        </w:rPr>
        <w:fldChar w:fldCharType="end"/>
      </w:r>
      <w:bookmarkEnd w:id="2"/>
      <w:r w:rsidRPr="00456C3F">
        <w:rPr>
          <w:lang w:val="en-GB"/>
        </w:rPr>
        <w:t xml:space="preserve">. Illustration of the antifouling mechanisms in </w:t>
      </w:r>
      <w:r w:rsidR="00781403" w:rsidRPr="00456C3F">
        <w:rPr>
          <w:lang w:val="en-GB"/>
        </w:rPr>
        <w:t xml:space="preserve">two </w:t>
      </w:r>
      <w:r w:rsidRPr="00456C3F">
        <w:rPr>
          <w:lang w:val="en-GB"/>
        </w:rPr>
        <w:t>dynamic ultrafiltration</w:t>
      </w:r>
      <w:r w:rsidR="00781403" w:rsidRPr="00456C3F">
        <w:rPr>
          <w:lang w:val="en-GB"/>
        </w:rPr>
        <w:t xml:space="preserve"> systems. </w:t>
      </w:r>
    </w:p>
    <w:p w14:paraId="4E9997ED" w14:textId="22F46E68" w:rsidR="008B1A2E" w:rsidRPr="00456C3F" w:rsidRDefault="00A21748" w:rsidP="00E94F4E">
      <w:pPr>
        <w:pStyle w:val="Els-body-text"/>
        <w:jc w:val="center"/>
        <w:rPr>
          <w:lang w:val="en-GB"/>
        </w:rPr>
      </w:pPr>
      <w:r w:rsidRPr="00456C3F">
        <w:rPr>
          <w:noProof/>
          <w:lang w:val="en-GB"/>
        </w:rPr>
        <w:drawing>
          <wp:inline distT="0" distB="0" distL="0" distR="0" wp14:anchorId="6A9B0A9F" wp14:editId="0817CA9D">
            <wp:extent cx="3714801" cy="1793966"/>
            <wp:effectExtent l="0" t="0" r="0" b="0"/>
            <wp:docPr id="735746265" name="Picture 1" descr="A diagram of software compon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46265" name="Picture 1" descr="A diagram of software components&#10;&#10;Description automatically generated"/>
                    <pic:cNvPicPr/>
                  </pic:nvPicPr>
                  <pic:blipFill>
                    <a:blip r:embed="rId12"/>
                    <a:stretch>
                      <a:fillRect/>
                    </a:stretch>
                  </pic:blipFill>
                  <pic:spPr>
                    <a:xfrm>
                      <a:off x="0" y="0"/>
                      <a:ext cx="3812515" cy="1841154"/>
                    </a:xfrm>
                    <a:prstGeom prst="rect">
                      <a:avLst/>
                    </a:prstGeom>
                  </pic:spPr>
                </pic:pic>
              </a:graphicData>
            </a:graphic>
          </wp:inline>
        </w:drawing>
      </w:r>
    </w:p>
    <w:p w14:paraId="75664F7D" w14:textId="4E7EEDEF" w:rsidR="008B1A2E" w:rsidRPr="00456C3F" w:rsidRDefault="008B1A2E" w:rsidP="008B1A2E">
      <w:pPr>
        <w:pStyle w:val="Didascalia"/>
        <w:rPr>
          <w:lang w:val="en-GB"/>
        </w:rPr>
      </w:pPr>
      <w:bookmarkStart w:id="3" w:name="_Ref151032739"/>
      <w:r w:rsidRPr="00456C3F">
        <w:rPr>
          <w:lang w:val="en-GB"/>
        </w:rPr>
        <w:t xml:space="preserve">Figure </w:t>
      </w:r>
      <w:r w:rsidRPr="00456C3F">
        <w:rPr>
          <w:lang w:val="en-GB"/>
        </w:rPr>
        <w:fldChar w:fldCharType="begin"/>
      </w:r>
      <w:r w:rsidRPr="00456C3F">
        <w:rPr>
          <w:lang w:val="en-GB"/>
        </w:rPr>
        <w:instrText xml:space="preserve"> SEQ Figure \* ARABIC </w:instrText>
      </w:r>
      <w:r w:rsidRPr="00456C3F">
        <w:rPr>
          <w:lang w:val="en-GB"/>
        </w:rPr>
        <w:fldChar w:fldCharType="separate"/>
      </w:r>
      <w:r w:rsidR="00DE36CB" w:rsidRPr="00456C3F">
        <w:rPr>
          <w:noProof/>
          <w:lang w:val="en-GB"/>
        </w:rPr>
        <w:t>2</w:t>
      </w:r>
      <w:r w:rsidRPr="00456C3F">
        <w:rPr>
          <w:lang w:val="en-GB"/>
        </w:rPr>
        <w:fldChar w:fldCharType="end"/>
      </w:r>
      <w:bookmarkEnd w:id="3"/>
      <w:r w:rsidRPr="00456C3F">
        <w:rPr>
          <w:lang w:val="en-GB"/>
        </w:rPr>
        <w:t>. Approach for building digital objects for pilot units</w:t>
      </w:r>
    </w:p>
    <w:p w14:paraId="7EA70800" w14:textId="3B7DA1B4" w:rsidR="00860BE7" w:rsidRPr="00456C3F" w:rsidRDefault="00D61C45" w:rsidP="00860BE7">
      <w:pPr>
        <w:pStyle w:val="Els-2ndorder-head"/>
        <w:rPr>
          <w:lang w:val="en-GB"/>
        </w:rPr>
      </w:pPr>
      <w:r w:rsidRPr="00456C3F">
        <w:rPr>
          <w:lang w:val="en-GB"/>
        </w:rPr>
        <w:t>Setting</w:t>
      </w:r>
      <w:r w:rsidR="00860BE7" w:rsidRPr="00456C3F">
        <w:rPr>
          <w:lang w:val="en-GB"/>
        </w:rPr>
        <w:t>-up the correct team</w:t>
      </w:r>
    </w:p>
    <w:p w14:paraId="598267B7" w14:textId="5F3BA7FE" w:rsidR="00860BE7" w:rsidRPr="00456C3F" w:rsidRDefault="005814A4" w:rsidP="00860BE7">
      <w:pPr>
        <w:pStyle w:val="Els-body-text"/>
        <w:rPr>
          <w:lang w:val="en-GB"/>
        </w:rPr>
      </w:pPr>
      <w:r w:rsidRPr="00456C3F">
        <w:rPr>
          <w:lang w:val="en-GB"/>
        </w:rPr>
        <w:t xml:space="preserve">The team involved included the head of the </w:t>
      </w:r>
      <w:r w:rsidR="002B0F73" w:rsidRPr="00456C3F">
        <w:rPr>
          <w:lang w:val="en-GB"/>
        </w:rPr>
        <w:t>department,</w:t>
      </w:r>
      <w:r w:rsidRPr="00456C3F">
        <w:rPr>
          <w:lang w:val="en-GB"/>
        </w:rPr>
        <w:t xml:space="preserve"> </w:t>
      </w:r>
      <w:r w:rsidR="002B0F73" w:rsidRPr="00456C3F">
        <w:rPr>
          <w:lang w:val="en-GB"/>
        </w:rPr>
        <w:t>f</w:t>
      </w:r>
      <w:r w:rsidRPr="00456C3F">
        <w:rPr>
          <w:lang w:val="en-GB"/>
        </w:rPr>
        <w:t xml:space="preserve">aculty members with experience in relevant areas (i.e., process control, pilot unit operation, equipment maintenance), </w:t>
      </w:r>
      <w:r w:rsidR="004D11CE" w:rsidRPr="00456C3F">
        <w:rPr>
          <w:lang w:val="en-GB"/>
        </w:rPr>
        <w:t xml:space="preserve">the </w:t>
      </w:r>
      <w:r w:rsidRPr="00456C3F">
        <w:rPr>
          <w:lang w:val="en-GB"/>
        </w:rPr>
        <w:t>University IT department and support researchers</w:t>
      </w:r>
      <w:r w:rsidR="002B0F73" w:rsidRPr="00456C3F">
        <w:rPr>
          <w:lang w:val="en-GB"/>
        </w:rPr>
        <w:t xml:space="preserve"> with projects in the area</w:t>
      </w:r>
      <w:r w:rsidRPr="00456C3F">
        <w:rPr>
          <w:lang w:val="en-GB"/>
        </w:rPr>
        <w:t xml:space="preserve">. In this manner, </w:t>
      </w:r>
      <w:r w:rsidR="002B0F73" w:rsidRPr="00456C3F">
        <w:rPr>
          <w:lang w:val="en-GB"/>
        </w:rPr>
        <w:t xml:space="preserve">there was a combination </w:t>
      </w:r>
      <w:r w:rsidR="004D11CE" w:rsidRPr="00456C3F">
        <w:rPr>
          <w:lang w:val="en-GB"/>
        </w:rPr>
        <w:t>of</w:t>
      </w:r>
      <w:r w:rsidR="002B0F73" w:rsidRPr="00456C3F">
        <w:rPr>
          <w:lang w:val="en-GB"/>
        </w:rPr>
        <w:t xml:space="preserve"> management capabilities and technical support to define specific activities and materialize them. Important topics where external consultancy is relevant are infrastructure, </w:t>
      </w:r>
      <w:r w:rsidR="00E03844" w:rsidRPr="00456C3F">
        <w:rPr>
          <w:lang w:val="en-GB"/>
        </w:rPr>
        <w:t>communication,</w:t>
      </w:r>
      <w:r w:rsidR="002B0F73" w:rsidRPr="00456C3F">
        <w:rPr>
          <w:lang w:val="en-GB"/>
        </w:rPr>
        <w:t xml:space="preserve"> and visualization. In an early stage, the main challenge is </w:t>
      </w:r>
      <w:r w:rsidR="00E03844" w:rsidRPr="00456C3F">
        <w:rPr>
          <w:lang w:val="en-GB"/>
        </w:rPr>
        <w:t>to establish a common reference language, due to the broad spectra of disciplines within the team. This difficulty was mitigated by performing workshops and regular meetings between key internal and external members.</w:t>
      </w:r>
      <w:r w:rsidR="008B1A2E" w:rsidRPr="00456C3F">
        <w:rPr>
          <w:lang w:val="en-GB"/>
        </w:rPr>
        <w:t xml:space="preserve"> </w:t>
      </w:r>
      <w:r w:rsidR="004D11CE" w:rsidRPr="00456C3F">
        <w:rPr>
          <w:lang w:val="en-GB"/>
        </w:rPr>
        <w:t>On</w:t>
      </w:r>
      <w:r w:rsidR="008B1A2E" w:rsidRPr="00456C3F">
        <w:rPr>
          <w:lang w:val="en-GB"/>
        </w:rPr>
        <w:t xml:space="preserve"> the other end, the digital object developers must be trained or under training in digitalization tools complemented by experienced researchers in the technology of interest. This could be challenging with novel technolog</w:t>
      </w:r>
      <w:r w:rsidR="000E2677" w:rsidRPr="00456C3F">
        <w:rPr>
          <w:lang w:val="en-GB"/>
        </w:rPr>
        <w:t>ies</w:t>
      </w:r>
      <w:r w:rsidR="008B1A2E" w:rsidRPr="00456C3F">
        <w:rPr>
          <w:lang w:val="en-GB"/>
        </w:rPr>
        <w:t xml:space="preserve"> where the process understanding should be built along the digital object development, therefore iteration </w:t>
      </w:r>
      <w:r w:rsidR="004D11CE" w:rsidRPr="00456C3F">
        <w:rPr>
          <w:lang w:val="en-GB"/>
        </w:rPr>
        <w:t>is</w:t>
      </w:r>
      <w:r w:rsidR="008B1A2E" w:rsidRPr="00456C3F">
        <w:rPr>
          <w:lang w:val="en-GB"/>
        </w:rPr>
        <w:t xml:space="preserve"> unavoidable. Also, it becomes a major endeavour accounting for the large number of units in a pilot laboratory. There, stepwise implementation </w:t>
      </w:r>
      <w:r w:rsidR="00856FA8" w:rsidRPr="00456C3F">
        <w:rPr>
          <w:lang w:val="en-GB"/>
        </w:rPr>
        <w:t>is</w:t>
      </w:r>
      <w:r w:rsidR="004D11CE" w:rsidRPr="00456C3F">
        <w:rPr>
          <w:lang w:val="en-GB"/>
        </w:rPr>
        <w:t xml:space="preserve"> the</w:t>
      </w:r>
      <w:r w:rsidR="008B1A2E" w:rsidRPr="00456C3F">
        <w:rPr>
          <w:lang w:val="en-GB"/>
        </w:rPr>
        <w:t xml:space="preserve"> most reasonable approach to build the required experience.</w:t>
      </w:r>
    </w:p>
    <w:p w14:paraId="40450B09" w14:textId="77777777" w:rsidR="00BE6D1F" w:rsidRPr="00456C3F" w:rsidRDefault="00BE6D1F" w:rsidP="00B725A4">
      <w:pPr>
        <w:pStyle w:val="Els-body-text"/>
        <w:rPr>
          <w:lang w:val="en-GB"/>
        </w:rPr>
      </w:pPr>
    </w:p>
    <w:p w14:paraId="144DE69A" w14:textId="5E92CB81" w:rsidR="008D2649" w:rsidRPr="00456C3F" w:rsidRDefault="00E03844" w:rsidP="008D2649">
      <w:pPr>
        <w:pStyle w:val="Els-2ndorder-head"/>
        <w:rPr>
          <w:lang w:val="en-GB"/>
        </w:rPr>
      </w:pPr>
      <w:r w:rsidRPr="00456C3F">
        <w:rPr>
          <w:lang w:val="en-GB"/>
        </w:rPr>
        <w:t>Infrastructure</w:t>
      </w:r>
      <w:r w:rsidR="000E2677" w:rsidRPr="00456C3F">
        <w:rPr>
          <w:lang w:val="en-GB"/>
        </w:rPr>
        <w:t xml:space="preserve"> upgrade</w:t>
      </w:r>
    </w:p>
    <w:p w14:paraId="0E8974D2" w14:textId="7B920126" w:rsidR="00F806BE" w:rsidRPr="00456C3F" w:rsidRDefault="00856FA8" w:rsidP="007B5790">
      <w:pPr>
        <w:pStyle w:val="Els-body-text"/>
        <w:rPr>
          <w:lang w:val="en-GB"/>
        </w:rPr>
      </w:pPr>
      <w:r w:rsidRPr="00456C3F">
        <w:rPr>
          <w:lang w:val="en-GB"/>
        </w:rPr>
        <w:t>To</w:t>
      </w:r>
      <w:r w:rsidR="00E03844" w:rsidRPr="00456C3F">
        <w:rPr>
          <w:lang w:val="en-GB"/>
        </w:rPr>
        <w:t xml:space="preserve"> </w:t>
      </w:r>
      <w:r w:rsidR="00F806BE" w:rsidRPr="00456C3F">
        <w:rPr>
          <w:lang w:val="en-GB"/>
        </w:rPr>
        <w:t xml:space="preserve">build the cloud-based system, </w:t>
      </w:r>
      <w:r w:rsidRPr="00456C3F">
        <w:rPr>
          <w:lang w:val="en-GB"/>
        </w:rPr>
        <w:t xml:space="preserve">hardware and software </w:t>
      </w:r>
      <w:r w:rsidR="00E15ACE" w:rsidRPr="00456C3F">
        <w:rPr>
          <w:lang w:val="en-GB"/>
        </w:rPr>
        <w:t>infrastructure</w:t>
      </w:r>
      <w:r w:rsidRPr="00456C3F">
        <w:rPr>
          <w:lang w:val="en-GB"/>
        </w:rPr>
        <w:t xml:space="preserve"> upgrades</w:t>
      </w:r>
      <w:r w:rsidR="00E15ACE" w:rsidRPr="00456C3F">
        <w:rPr>
          <w:lang w:val="en-GB"/>
        </w:rPr>
        <w:t xml:space="preserve"> </w:t>
      </w:r>
      <w:r w:rsidRPr="00456C3F">
        <w:rPr>
          <w:lang w:val="en-GB"/>
        </w:rPr>
        <w:t xml:space="preserve">are </w:t>
      </w:r>
      <w:r w:rsidR="00E15ACE" w:rsidRPr="00456C3F">
        <w:rPr>
          <w:lang w:val="en-GB"/>
        </w:rPr>
        <w:t>required</w:t>
      </w:r>
      <w:r w:rsidRPr="00456C3F">
        <w:rPr>
          <w:lang w:val="en-GB"/>
        </w:rPr>
        <w:t>, this is capex-intensive.</w:t>
      </w:r>
      <w:r w:rsidR="00E15ACE" w:rsidRPr="00456C3F">
        <w:rPr>
          <w:lang w:val="en-GB"/>
        </w:rPr>
        <w:t xml:space="preserve"> </w:t>
      </w:r>
      <w:r w:rsidR="00D2180B" w:rsidRPr="00456C3F">
        <w:rPr>
          <w:lang w:val="en-GB"/>
        </w:rPr>
        <w:t>T</w:t>
      </w:r>
      <w:r w:rsidR="00F806BE" w:rsidRPr="00456C3F">
        <w:rPr>
          <w:lang w:val="en-GB"/>
        </w:rPr>
        <w:t xml:space="preserve">he pilot plants were evaluated to determine their </w:t>
      </w:r>
      <w:r w:rsidR="00F806BE" w:rsidRPr="00456C3F">
        <w:rPr>
          <w:lang w:val="en-GB"/>
        </w:rPr>
        <w:lastRenderedPageBreak/>
        <w:t>instrumentation status and interconnectivity capabilities</w:t>
      </w:r>
      <w:r w:rsidR="00D2180B" w:rsidRPr="00456C3F">
        <w:rPr>
          <w:lang w:val="en-GB"/>
        </w:rPr>
        <w:t xml:space="preserve">. The details of </w:t>
      </w:r>
      <w:r w:rsidR="004D11CE" w:rsidRPr="00456C3F">
        <w:rPr>
          <w:lang w:val="en-GB"/>
        </w:rPr>
        <w:t xml:space="preserve">the </w:t>
      </w:r>
      <w:r w:rsidR="00D2180B" w:rsidRPr="00456C3F">
        <w:rPr>
          <w:lang w:val="en-GB"/>
        </w:rPr>
        <w:t xml:space="preserve">infrastructure </w:t>
      </w:r>
      <w:r w:rsidR="00A21A72" w:rsidRPr="00456C3F">
        <w:rPr>
          <w:lang w:val="en-GB"/>
        </w:rPr>
        <w:t xml:space="preserve">upgrade </w:t>
      </w:r>
      <w:r w:rsidR="00D2180B" w:rsidRPr="00456C3F">
        <w:rPr>
          <w:lang w:val="en-GB"/>
        </w:rPr>
        <w:t xml:space="preserve">can be revised in previous contributions </w:t>
      </w:r>
      <w:r w:rsidR="00B057DA" w:rsidRPr="00456C3F">
        <w:rPr>
          <w:lang w:val="en-GB"/>
        </w:rPr>
        <w:fldChar w:fldCharType="begin" w:fldLock="1"/>
      </w:r>
      <w:r w:rsidR="003A734E" w:rsidRPr="00456C3F">
        <w:rPr>
          <w:lang w:val="en-GB"/>
        </w:rPr>
        <w:instrText>ADDIN CSL_CITATION {"citationItems":[{"id":"ITEM-1","itemData":{"DOI":"10.1016/B978-0-323-85159-6.50254-2","ISSN":"1570-7946","abstract":"The pilot plant at the Chemical and Biochemical Engineering Department at DTU (DTU Kemiteknik, abbrv. DTU KT) serves as a facility for research &amp; education with access to various process equipment, commonly employed in up-and down-stream processes. Among the available equipment are fermenters, membranes, distillation columns, absorbers, desorbers, extractors, crystallizers, chromatography columns and all kind of high-temperature reactors and process equipment for particulates. The equipment is supplemented by mobile demonstration units for use at industrial sites and a large-scale maritime test station. These units are perfectly suited in combination with laboratory facilities to perform scale up studies together with the capabilities of a modern digital infrastructure. Some of the units are only operated manually while other units can be operated through human machine interfaces (HMI). In line with DTU's strategic objectives, DTU KT focuses on the development and application of an Industry 4.0 framework for its research and educational activities. Therefore, the pilot plant and laboratory facilities are going through a digital transformation, creating a suitable infrastructure that provides remote accessibility to all research and operational data. These efforts are presented in this work.","author":[{"dropping-particle":"","family":"Jones","given":"Mark Nicholas","non-dropping-particle":"","parse-names":false,"suffix":""},{"dropping-particle":"","family":"Stevnsborg","given":"Mads","non-dropping-particle":"","parse-names":false,"suffix":""},{"dropping-particle":"","family":"Nielsen","given":"Rasmus Fjordbak","non-dropping-particle":"","parse-names":false,"suffix":""},{"dropping-particle":"","family":"Carberry","given":"Deborah","non-dropping-particle":"","parse-names":false,"suffix":""},{"dropping-particle":"","family":"Bagherpour","given":"Khosrow","non-dropping-particle":"","parse-names":false,"suffix":""},{"dropping-particle":"","family":"Mansouri","given":"Seyed Soheil","non-dropping-particle":"","parse-names":false,"suffix":""},{"dropping-particle":"","family":"Larsen","given":"Steen","non-dropping-particle":"","parse-names":false,"suffix":""},{"dropping-particle":"V.","family":"Gernaey","given":"Krist","non-dropping-particle":"","parse-names":false,"suffix":""},{"dropping-particle":"","family":"Dreyer","given":"Jochen","non-dropping-particle":"","parse-names":false,"suffix":""},{"dropping-particle":"","family":"Woodley","given":"John","non-dropping-particle":"","parse-names":false,"suffix":""},{"dropping-particle":"","family":"Huusom","given":"Jakob Kjøbsted","non-dropping-particle":"","parse-names":false,"suffix":""},{"dropping-particle":"","family":"Dam-Johansen","given":"Kim","non-dropping-particle":"","parse-names":false,"suffix":""}],"container-title":"Computer Aided Chemical Engineering","id":"ITEM-1","issued":{"date-parts":[["2022","1","1"]]},"page":"1525-1530","publisher":"Elsevier","title":"Pilot Plant 4.0: A Review of Digitalization Efforts of the Chemical and Biochemical Engineering Department at the Technical University of Denmark (DTU)","type":"article-journal","volume":"49"},"uris":["http://www.mendeley.com/documents/?uuid=1ca56c58-68ab-3127-bb33-549b21cc3779"]},{"id":"ITEM-2","itemData":{"DOI":"10.1016/B978-0-443-15274-0.50409-1","ISSN":"1570-7946","abstract":"In the near future, tools brought on by digitalization will play a more significant role in technology development and operation for debottlenecking challenges in the biochemical industry. In that regard, a novel vibrating membrane filtration system at pilot scale is currently under investigation to fractionate bio-succinic acid fermentation broth. Remarkably sustained flux has been obtained that is 3.6 times higher than the best results found in literature. Experimental data was used to develop a digital object that combine a robust communication system and hybrid model to predict hydrodynamics and fouling rate. The digital object is used to forecast membrane performance 25 min ahead, predicting the flux with high accuracy (4% error) and the onset of the irreversible fouling formation during step-up experiments. These tools will become the core of a digital twin for the adaptive operation of the ultrafiltration system under uncertainty.","author":[{"dropping-particle":"","family":"Prado-Rubio","given":"Oscar A.","non-dropping-particle":"","parse-names":false,"suffix":""},{"dropping-particle":"","family":"Hui","given":"Wai Fung","non-dropping-particle":"","parse-names":false,"suffix":""},{"dropping-particle":"","family":"Stevnsborg","given":"Mads","non-dropping-particle":"","parse-names":false,"suffix":""},{"dropping-particle":"","family":"Pinelo","given":"Manuel","non-dropping-particle":"","parse-names":false,"suffix":""},{"dropping-particle":"","family":"Huusom","given":"Jakob Kjøbsted","non-dropping-particle":"","parse-names":false,"suffix":""}],"container-title":"Computer Aided Chemical Engineering","id":"ITEM-2","issued":{"date-parts":[["2023","1","1"]]},"page":"2575-2580","publisher":"Elsevier","title":"Digital-twin development for a novel vibrating membrane aiming at fractionating fermentation broths","type":"article-journal","volume":"52"},"uris":["http://www.mendeley.com/documents/?uuid=606e4225-43ea-369f-a8ed-e0c6286477a1"]}],"mendeley":{"formattedCitation":"(Jones et al., 2022; Prado-Rubio et al., 2023)","plainTextFormattedCitation":"(Jones et al., 2022; Prado-Rubio et al., 2023)","previouslyFormattedCitation":"(Jones et al., 2022; Prado-Rubio et al., 2023)"},"properties":{"noteIndex":0},"schema":"https://github.com/citation-style-language/schema/raw/master/csl-citation.json"}</w:instrText>
      </w:r>
      <w:r w:rsidR="00B057DA" w:rsidRPr="00456C3F">
        <w:rPr>
          <w:lang w:val="en-GB"/>
        </w:rPr>
        <w:fldChar w:fldCharType="separate"/>
      </w:r>
      <w:r w:rsidR="00941597" w:rsidRPr="00456C3F">
        <w:rPr>
          <w:noProof/>
          <w:lang w:val="en-GB"/>
        </w:rPr>
        <w:t>(Jones et al., 2022; Prado-Rubio et al., 2023)</w:t>
      </w:r>
      <w:r w:rsidR="00B057DA" w:rsidRPr="00456C3F">
        <w:rPr>
          <w:lang w:val="en-GB"/>
        </w:rPr>
        <w:fldChar w:fldCharType="end"/>
      </w:r>
      <w:r w:rsidR="00B057DA" w:rsidRPr="00456C3F">
        <w:rPr>
          <w:lang w:val="en-GB"/>
        </w:rPr>
        <w:t>. T</w:t>
      </w:r>
      <w:r w:rsidR="00D2180B" w:rsidRPr="00456C3F">
        <w:rPr>
          <w:lang w:val="en-GB"/>
        </w:rPr>
        <w:t xml:space="preserve">he </w:t>
      </w:r>
      <w:r w:rsidRPr="00456C3F">
        <w:rPr>
          <w:lang w:val="en-GB"/>
        </w:rPr>
        <w:t>hardware</w:t>
      </w:r>
      <w:r w:rsidR="00D2180B" w:rsidRPr="00456C3F">
        <w:rPr>
          <w:lang w:val="en-GB"/>
        </w:rPr>
        <w:t xml:space="preserve"> upgrade consisted mainly </w:t>
      </w:r>
      <w:r w:rsidR="00B057DA" w:rsidRPr="00456C3F">
        <w:rPr>
          <w:lang w:val="en-GB"/>
        </w:rPr>
        <w:t>of</w:t>
      </w:r>
      <w:r w:rsidR="00D2180B" w:rsidRPr="00456C3F">
        <w:rPr>
          <w:lang w:val="en-GB"/>
        </w:rPr>
        <w:t xml:space="preserve"> sensors, PLC</w:t>
      </w:r>
      <w:r w:rsidR="000E2677" w:rsidRPr="00456C3F">
        <w:rPr>
          <w:lang w:val="en-GB"/>
        </w:rPr>
        <w:t>s</w:t>
      </w:r>
      <w:r w:rsidR="00D2180B" w:rsidRPr="00456C3F">
        <w:rPr>
          <w:lang w:val="en-GB"/>
        </w:rPr>
        <w:t xml:space="preserve">, </w:t>
      </w:r>
      <w:r w:rsidR="004D11CE" w:rsidRPr="00456C3F">
        <w:rPr>
          <w:lang w:val="en-GB"/>
        </w:rPr>
        <w:t xml:space="preserve">a </w:t>
      </w:r>
      <w:r w:rsidR="00D2180B" w:rsidRPr="00456C3F">
        <w:rPr>
          <w:lang w:val="en-GB"/>
        </w:rPr>
        <w:t xml:space="preserve">system for connection (Cloud-connect) and </w:t>
      </w:r>
      <w:r w:rsidR="004D11CE" w:rsidRPr="00456C3F">
        <w:rPr>
          <w:lang w:val="en-GB"/>
        </w:rPr>
        <w:t>a s</w:t>
      </w:r>
      <w:r w:rsidR="00D2180B" w:rsidRPr="00456C3F">
        <w:rPr>
          <w:lang w:val="en-GB"/>
        </w:rPr>
        <w:t>erver for hosting.</w:t>
      </w:r>
      <w:r w:rsidR="00B057DA" w:rsidRPr="00456C3F">
        <w:rPr>
          <w:lang w:val="en-GB"/>
        </w:rPr>
        <w:t xml:space="preserve"> Software-wise, relevant acquisition consisted </w:t>
      </w:r>
      <w:r w:rsidR="004F4F55" w:rsidRPr="00456C3F">
        <w:rPr>
          <w:lang w:val="en-GB"/>
        </w:rPr>
        <w:t>of</w:t>
      </w:r>
      <w:r w:rsidR="00B057DA" w:rsidRPr="00456C3F">
        <w:rPr>
          <w:lang w:val="en-GB"/>
        </w:rPr>
        <w:t xml:space="preserve"> SCADA (WinCC</w:t>
      </w:r>
      <w:r w:rsidR="004F4F55" w:rsidRPr="00456C3F">
        <w:rPr>
          <w:lang w:val="en-GB"/>
        </w:rPr>
        <w:t xml:space="preserve"> + Kubernetes</w:t>
      </w:r>
      <w:r w:rsidR="00B057DA" w:rsidRPr="00456C3F">
        <w:rPr>
          <w:lang w:val="en-GB"/>
        </w:rPr>
        <w:t>), database (PostgreSQL) and IoT gateway.</w:t>
      </w:r>
      <w:r w:rsidRPr="00456C3F">
        <w:rPr>
          <w:lang w:val="en-GB"/>
        </w:rPr>
        <w:t xml:space="preserve"> </w:t>
      </w:r>
      <w:r w:rsidR="004D11CE" w:rsidRPr="00456C3F">
        <w:rPr>
          <w:lang w:val="en-GB"/>
        </w:rPr>
        <w:t>The k</w:t>
      </w:r>
      <w:r w:rsidR="004F4F55" w:rsidRPr="00456C3F">
        <w:rPr>
          <w:lang w:val="en-GB"/>
        </w:rPr>
        <w:t xml:space="preserve">ey </w:t>
      </w:r>
      <w:r w:rsidR="004D11CE" w:rsidRPr="00456C3F">
        <w:rPr>
          <w:lang w:val="en-GB"/>
        </w:rPr>
        <w:t>to</w:t>
      </w:r>
      <w:r w:rsidR="004F4F55" w:rsidRPr="00456C3F">
        <w:rPr>
          <w:lang w:val="en-GB"/>
        </w:rPr>
        <w:t xml:space="preserve"> </w:t>
      </w:r>
      <w:r w:rsidR="004D11CE" w:rsidRPr="00456C3F">
        <w:rPr>
          <w:lang w:val="en-GB"/>
        </w:rPr>
        <w:t xml:space="preserve">the </w:t>
      </w:r>
      <w:r w:rsidR="004F4F55" w:rsidRPr="00456C3F">
        <w:rPr>
          <w:lang w:val="en-GB"/>
        </w:rPr>
        <w:t xml:space="preserve">success was </w:t>
      </w:r>
      <w:r w:rsidR="002F130B" w:rsidRPr="00456C3F">
        <w:rPr>
          <w:lang w:val="en-GB"/>
        </w:rPr>
        <w:t xml:space="preserve">the appropriate </w:t>
      </w:r>
      <w:r w:rsidR="004F4F55" w:rsidRPr="00456C3F">
        <w:rPr>
          <w:lang w:val="en-GB"/>
        </w:rPr>
        <w:t>people selection</w:t>
      </w:r>
      <w:r w:rsidR="00A21A72" w:rsidRPr="00456C3F">
        <w:rPr>
          <w:lang w:val="en-GB"/>
        </w:rPr>
        <w:t xml:space="preserve"> particularly the external consultancy</w:t>
      </w:r>
      <w:r w:rsidR="002F130B" w:rsidRPr="00456C3F">
        <w:rPr>
          <w:lang w:val="en-GB"/>
        </w:rPr>
        <w:t xml:space="preserve">, allowing </w:t>
      </w:r>
      <w:r w:rsidR="004F4F55" w:rsidRPr="00456C3F">
        <w:rPr>
          <w:lang w:val="en-GB"/>
        </w:rPr>
        <w:t xml:space="preserve">to </w:t>
      </w:r>
      <w:r w:rsidR="00A21A72" w:rsidRPr="00456C3F">
        <w:rPr>
          <w:lang w:val="en-GB"/>
        </w:rPr>
        <w:t>navigate</w:t>
      </w:r>
      <w:r w:rsidR="004F4F55" w:rsidRPr="00456C3F">
        <w:rPr>
          <w:lang w:val="en-GB"/>
        </w:rPr>
        <w:t xml:space="preserve"> the complexity of diverse available technologies</w:t>
      </w:r>
      <w:r w:rsidR="002F130B" w:rsidRPr="00456C3F">
        <w:rPr>
          <w:lang w:val="en-GB"/>
        </w:rPr>
        <w:t>, communication protocols and how to merge them in</w:t>
      </w:r>
      <w:r w:rsidR="004D11CE" w:rsidRPr="00456C3F">
        <w:rPr>
          <w:lang w:val="en-GB"/>
        </w:rPr>
        <w:t>to</w:t>
      </w:r>
      <w:r w:rsidR="002F130B" w:rsidRPr="00456C3F">
        <w:rPr>
          <w:lang w:val="en-GB"/>
        </w:rPr>
        <w:t xml:space="preserve"> a scalable platform. </w:t>
      </w:r>
      <w:r w:rsidR="002A6168" w:rsidRPr="00456C3F">
        <w:rPr>
          <w:lang w:val="en-GB"/>
        </w:rPr>
        <w:t>The main bottleneck before implementation is budget</w:t>
      </w:r>
      <w:r w:rsidRPr="00456C3F">
        <w:rPr>
          <w:lang w:val="en-GB"/>
        </w:rPr>
        <w:t>. Secondly</w:t>
      </w:r>
      <w:r w:rsidR="00A30478" w:rsidRPr="00456C3F">
        <w:rPr>
          <w:lang w:val="en-GB"/>
        </w:rPr>
        <w:t>,</w:t>
      </w:r>
      <w:r w:rsidR="002A6168" w:rsidRPr="00456C3F">
        <w:rPr>
          <w:lang w:val="en-GB"/>
        </w:rPr>
        <w:t xml:space="preserve"> </w:t>
      </w:r>
      <w:r w:rsidRPr="00456C3F">
        <w:rPr>
          <w:lang w:val="en-GB"/>
        </w:rPr>
        <w:t xml:space="preserve">it was complex to design </w:t>
      </w:r>
      <w:r w:rsidR="00A30478" w:rsidRPr="00456C3F">
        <w:rPr>
          <w:lang w:val="en-GB"/>
        </w:rPr>
        <w:t xml:space="preserve">a flexible </w:t>
      </w:r>
      <w:r w:rsidR="00DA782F" w:rsidRPr="00456C3F">
        <w:rPr>
          <w:lang w:val="en-GB"/>
        </w:rPr>
        <w:t>cloud platform</w:t>
      </w:r>
      <w:r w:rsidR="002A6168" w:rsidRPr="00456C3F">
        <w:rPr>
          <w:lang w:val="en-GB"/>
        </w:rPr>
        <w:t xml:space="preserve"> </w:t>
      </w:r>
      <w:r w:rsidR="00A30478" w:rsidRPr="00456C3F">
        <w:rPr>
          <w:lang w:val="en-GB"/>
        </w:rPr>
        <w:t xml:space="preserve">for students </w:t>
      </w:r>
      <w:r w:rsidR="00DA782F" w:rsidRPr="00456C3F">
        <w:rPr>
          <w:lang w:val="en-GB"/>
        </w:rPr>
        <w:t>doing defined experiments as well as</w:t>
      </w:r>
      <w:r w:rsidR="00A30478" w:rsidRPr="00456C3F">
        <w:rPr>
          <w:lang w:val="en-GB"/>
        </w:rPr>
        <w:t xml:space="preserve"> researchers</w:t>
      </w:r>
      <w:r w:rsidR="00DA782F" w:rsidRPr="00456C3F">
        <w:rPr>
          <w:lang w:val="en-GB"/>
        </w:rPr>
        <w:t xml:space="preserve"> developing digital objects</w:t>
      </w:r>
      <w:r w:rsidR="00A30478" w:rsidRPr="00456C3F">
        <w:rPr>
          <w:lang w:val="en-GB"/>
        </w:rPr>
        <w:t xml:space="preserve">. </w:t>
      </w:r>
      <w:r w:rsidR="00DA782F" w:rsidRPr="00456C3F">
        <w:rPr>
          <w:lang w:val="en-GB"/>
        </w:rPr>
        <w:t xml:space="preserve">Sensitive topics addressed </w:t>
      </w:r>
      <w:r w:rsidR="00683299" w:rsidRPr="00456C3F">
        <w:rPr>
          <w:lang w:val="en-GB"/>
        </w:rPr>
        <w:t>are</w:t>
      </w:r>
      <w:r w:rsidR="00DA782F" w:rsidRPr="00456C3F">
        <w:rPr>
          <w:lang w:val="en-GB"/>
        </w:rPr>
        <w:t xml:space="preserve"> </w:t>
      </w:r>
      <w:r w:rsidR="004D11CE" w:rsidRPr="00456C3F">
        <w:rPr>
          <w:lang w:val="en-GB"/>
        </w:rPr>
        <w:t xml:space="preserve">the </w:t>
      </w:r>
      <w:r w:rsidR="00DA782F" w:rsidRPr="00456C3F">
        <w:rPr>
          <w:lang w:val="en-GB"/>
        </w:rPr>
        <w:t>communication</w:t>
      </w:r>
      <w:r w:rsidR="00826AFB" w:rsidRPr="00456C3F">
        <w:rPr>
          <w:lang w:val="en-GB"/>
        </w:rPr>
        <w:t xml:space="preserve"> strategy,</w:t>
      </w:r>
      <w:r w:rsidR="00DA782F" w:rsidRPr="00456C3F">
        <w:rPr>
          <w:lang w:val="en-GB"/>
        </w:rPr>
        <w:t xml:space="preserve"> merg</w:t>
      </w:r>
      <w:r w:rsidR="004D11CE" w:rsidRPr="00456C3F">
        <w:rPr>
          <w:lang w:val="en-GB"/>
        </w:rPr>
        <w:t>ing</w:t>
      </w:r>
      <w:r w:rsidR="00DA782F" w:rsidRPr="00456C3F">
        <w:rPr>
          <w:lang w:val="en-GB"/>
        </w:rPr>
        <w:t xml:space="preserve"> online measurements and metadata, space</w:t>
      </w:r>
      <w:r w:rsidR="004D11CE" w:rsidRPr="00456C3F">
        <w:rPr>
          <w:lang w:val="en-GB"/>
        </w:rPr>
        <w:t>-</w:t>
      </w:r>
      <w:r w:rsidR="00DA782F" w:rsidRPr="00456C3F">
        <w:rPr>
          <w:lang w:val="en-GB"/>
        </w:rPr>
        <w:t xml:space="preserve">efficient database design, SCADA design and objective-driven digital objects development. </w:t>
      </w:r>
    </w:p>
    <w:p w14:paraId="307175F2" w14:textId="77777777" w:rsidR="00F806BE" w:rsidRPr="00456C3F" w:rsidRDefault="00F806BE" w:rsidP="007B5790">
      <w:pPr>
        <w:pStyle w:val="Els-body-text"/>
        <w:rPr>
          <w:lang w:val="en-GB"/>
        </w:rPr>
      </w:pPr>
    </w:p>
    <w:p w14:paraId="7C348610" w14:textId="352913A2" w:rsidR="002A6168" w:rsidRPr="00456C3F" w:rsidRDefault="002A6168" w:rsidP="00E446C7">
      <w:pPr>
        <w:pStyle w:val="Els-2ndorder-head"/>
        <w:rPr>
          <w:lang w:val="en-GB"/>
        </w:rPr>
      </w:pPr>
      <w:r w:rsidRPr="00456C3F">
        <w:rPr>
          <w:lang w:val="en-GB"/>
        </w:rPr>
        <w:t>Digital Object</w:t>
      </w:r>
      <w:r w:rsidR="000E2677" w:rsidRPr="00456C3F">
        <w:rPr>
          <w:lang w:val="en-GB"/>
        </w:rPr>
        <w:t>s development</w:t>
      </w:r>
    </w:p>
    <w:p w14:paraId="2E72B81C" w14:textId="186FBF11" w:rsidR="00056890" w:rsidRPr="00456C3F" w:rsidRDefault="00A30478" w:rsidP="002A6168">
      <w:pPr>
        <w:pStyle w:val="Els-body-text"/>
        <w:rPr>
          <w:lang w:val="en-GB"/>
        </w:rPr>
      </w:pPr>
      <w:r w:rsidRPr="00456C3F">
        <w:rPr>
          <w:lang w:val="en-GB"/>
        </w:rPr>
        <w:t xml:space="preserve">Having the end in mind, digital objects representing pilot units </w:t>
      </w:r>
      <w:r w:rsidR="00DA782F" w:rsidRPr="00456C3F">
        <w:rPr>
          <w:lang w:val="en-GB"/>
        </w:rPr>
        <w:t>can use different modelling approaches</w:t>
      </w:r>
      <w:r w:rsidRPr="00456C3F">
        <w:rPr>
          <w:lang w:val="en-GB"/>
        </w:rPr>
        <w:t xml:space="preserve"> depending on the ultimate purpose</w:t>
      </w:r>
      <w:r w:rsidR="00A21748" w:rsidRPr="00456C3F">
        <w:rPr>
          <w:lang w:val="en-GB"/>
        </w:rPr>
        <w:t xml:space="preserve"> for the user (student/researcher)</w:t>
      </w:r>
      <w:r w:rsidR="00AC6823" w:rsidRPr="00456C3F">
        <w:rPr>
          <w:lang w:val="en-GB"/>
        </w:rPr>
        <w:t xml:space="preserve"> and information available</w:t>
      </w:r>
      <w:r w:rsidRPr="00456C3F">
        <w:rPr>
          <w:lang w:val="en-GB"/>
        </w:rPr>
        <w:t xml:space="preserve">. </w:t>
      </w:r>
      <w:r w:rsidR="00C3781D" w:rsidRPr="00456C3F">
        <w:rPr>
          <w:lang w:val="en-GB"/>
        </w:rPr>
        <w:t>As a decision support tool, real</w:t>
      </w:r>
      <w:r w:rsidR="00056890" w:rsidRPr="00456C3F">
        <w:rPr>
          <w:lang w:val="en-GB"/>
        </w:rPr>
        <w:t>-</w:t>
      </w:r>
      <w:r w:rsidR="00C3781D" w:rsidRPr="00456C3F">
        <w:rPr>
          <w:lang w:val="en-GB"/>
        </w:rPr>
        <w:t xml:space="preserve">time system states forecasting plus prediction of unmeasured quantities provide the user better process understanding while running experiments. </w:t>
      </w:r>
      <w:r w:rsidR="00DD0AD1" w:rsidRPr="00456C3F">
        <w:rPr>
          <w:lang w:val="en-GB"/>
        </w:rPr>
        <w:t xml:space="preserve">Then, </w:t>
      </w:r>
      <w:r w:rsidR="00056890" w:rsidRPr="00456C3F">
        <w:rPr>
          <w:lang w:val="en-GB"/>
        </w:rPr>
        <w:t xml:space="preserve">it brings higher learning experience </w:t>
      </w:r>
      <w:r w:rsidR="00DD0AD1" w:rsidRPr="00456C3F">
        <w:rPr>
          <w:lang w:val="en-GB"/>
        </w:rPr>
        <w:t xml:space="preserve">for students </w:t>
      </w:r>
      <w:r w:rsidR="00056890" w:rsidRPr="00456C3F">
        <w:rPr>
          <w:lang w:val="en-GB"/>
        </w:rPr>
        <w:t>during the experimental phase and not when the report is written. For researcher</w:t>
      </w:r>
      <w:r w:rsidR="00DD0AD1" w:rsidRPr="00456C3F">
        <w:rPr>
          <w:lang w:val="en-GB"/>
        </w:rPr>
        <w:t>s</w:t>
      </w:r>
      <w:r w:rsidR="00056890" w:rsidRPr="00456C3F">
        <w:rPr>
          <w:lang w:val="en-GB"/>
        </w:rPr>
        <w:t xml:space="preserve">, it can facilitate experimental design intervening the experiment ongoing and not when data are </w:t>
      </w:r>
      <w:r w:rsidR="00DD0AD1" w:rsidRPr="00456C3F">
        <w:rPr>
          <w:lang w:val="en-GB"/>
        </w:rPr>
        <w:t>analysed</w:t>
      </w:r>
      <w:r w:rsidR="00056890" w:rsidRPr="00456C3F">
        <w:rPr>
          <w:lang w:val="en-GB"/>
        </w:rPr>
        <w:t>.</w:t>
      </w:r>
    </w:p>
    <w:p w14:paraId="28C78322" w14:textId="0F4598BB" w:rsidR="00A30478" w:rsidRPr="00456C3F" w:rsidRDefault="00DD0AD1" w:rsidP="002A6168">
      <w:pPr>
        <w:pStyle w:val="Els-body-text"/>
        <w:rPr>
          <w:lang w:val="en-GB"/>
        </w:rPr>
      </w:pPr>
      <w:r w:rsidRPr="00456C3F">
        <w:rPr>
          <w:lang w:val="en-GB"/>
        </w:rPr>
        <w:t>Particularly</w:t>
      </w:r>
      <w:r w:rsidR="00056890" w:rsidRPr="00456C3F">
        <w:rPr>
          <w:lang w:val="en-GB"/>
        </w:rPr>
        <w:t xml:space="preserve">, in the membrane filtration cases, predicting membrane rejection or fouling rate can </w:t>
      </w:r>
      <w:r w:rsidRPr="00456C3F">
        <w:rPr>
          <w:lang w:val="en-GB"/>
        </w:rPr>
        <w:t xml:space="preserve">alert the user the membrane is operating under not favourable conditions. Due to the benefits of digital objects, </w:t>
      </w:r>
      <w:r w:rsidR="00AC6823" w:rsidRPr="00456C3F">
        <w:rPr>
          <w:lang w:val="en-GB"/>
        </w:rPr>
        <w:t xml:space="preserve">the new generation of engineering </w:t>
      </w:r>
      <w:r w:rsidR="0037624F" w:rsidRPr="00456C3F">
        <w:rPr>
          <w:lang w:val="en-GB"/>
        </w:rPr>
        <w:t>needs</w:t>
      </w:r>
      <w:r w:rsidR="00AC6823" w:rsidRPr="00456C3F">
        <w:rPr>
          <w:lang w:val="en-GB"/>
        </w:rPr>
        <w:t xml:space="preserve"> to become stronger in how to develop and utilize such tools.</w:t>
      </w:r>
      <w:r w:rsidR="00DA782F" w:rsidRPr="00456C3F">
        <w:rPr>
          <w:lang w:val="en-GB"/>
        </w:rPr>
        <w:t xml:space="preserve"> </w:t>
      </w:r>
      <w:r w:rsidR="00B224C2" w:rsidRPr="00456C3F">
        <w:rPr>
          <w:lang w:val="en-GB"/>
        </w:rPr>
        <w:t>Here</w:t>
      </w:r>
      <w:r w:rsidR="00683299" w:rsidRPr="00456C3F">
        <w:rPr>
          <w:lang w:val="en-GB"/>
        </w:rPr>
        <w:t xml:space="preserve"> we would like to discuss the challenges of building digital objects </w:t>
      </w:r>
      <w:r w:rsidR="00D83772" w:rsidRPr="00456C3F">
        <w:rPr>
          <w:lang w:val="en-GB"/>
        </w:rPr>
        <w:t>for</w:t>
      </w:r>
      <w:r w:rsidR="00683299" w:rsidRPr="00456C3F">
        <w:rPr>
          <w:lang w:val="en-GB"/>
        </w:rPr>
        <w:t xml:space="preserve"> </w:t>
      </w:r>
      <w:r w:rsidR="00BE7792" w:rsidRPr="00456C3F">
        <w:rPr>
          <w:lang w:val="en-GB"/>
        </w:rPr>
        <w:t xml:space="preserve">the mentioned </w:t>
      </w:r>
      <w:r w:rsidR="00683299" w:rsidRPr="00456C3F">
        <w:rPr>
          <w:lang w:val="en-GB"/>
        </w:rPr>
        <w:t>novel membrane technologies</w:t>
      </w:r>
      <w:r w:rsidR="00BE7792" w:rsidRPr="00456C3F">
        <w:rPr>
          <w:lang w:val="en-GB"/>
        </w:rPr>
        <w:t>.</w:t>
      </w:r>
      <w:r w:rsidR="00714CD4" w:rsidRPr="00456C3F">
        <w:rPr>
          <w:lang w:val="en-GB"/>
        </w:rPr>
        <w:t xml:space="preserve"> </w:t>
      </w:r>
    </w:p>
    <w:p w14:paraId="24ABD376" w14:textId="77777777" w:rsidR="00A30478" w:rsidRPr="00456C3F" w:rsidRDefault="00A30478" w:rsidP="002A6168">
      <w:pPr>
        <w:pStyle w:val="Els-body-text"/>
        <w:rPr>
          <w:lang w:val="en-GB"/>
        </w:rPr>
      </w:pPr>
    </w:p>
    <w:p w14:paraId="3CE703F5" w14:textId="61C417A3" w:rsidR="002A6168" w:rsidRPr="00456C3F" w:rsidRDefault="002A6168" w:rsidP="00E446C7">
      <w:pPr>
        <w:pStyle w:val="Els-3rdorder-head"/>
        <w:rPr>
          <w:lang w:val="en-GB"/>
        </w:rPr>
      </w:pPr>
      <w:r w:rsidRPr="00456C3F">
        <w:rPr>
          <w:lang w:val="en-GB"/>
        </w:rPr>
        <w:t>Monitoring and data pre-processing</w:t>
      </w:r>
    </w:p>
    <w:p w14:paraId="6AE7F867" w14:textId="556662B6" w:rsidR="00D83772" w:rsidRPr="00456C3F" w:rsidRDefault="00BE7792" w:rsidP="002A6168">
      <w:pPr>
        <w:pStyle w:val="Els-body-text"/>
        <w:rPr>
          <w:lang w:val="en-GB"/>
        </w:rPr>
      </w:pPr>
      <w:r w:rsidRPr="00456C3F">
        <w:rPr>
          <w:lang w:val="en-GB"/>
        </w:rPr>
        <w:t xml:space="preserve">Monitoring </w:t>
      </w:r>
      <w:r w:rsidR="0014227E" w:rsidRPr="00456C3F">
        <w:rPr>
          <w:lang w:val="en-GB"/>
        </w:rPr>
        <w:t xml:space="preserve">in biomanufacturing is </w:t>
      </w:r>
      <w:r w:rsidRPr="00456C3F">
        <w:rPr>
          <w:lang w:val="en-GB"/>
        </w:rPr>
        <w:t xml:space="preserve">complex. </w:t>
      </w:r>
      <w:r w:rsidR="0014227E" w:rsidRPr="00456C3F">
        <w:rPr>
          <w:lang w:val="en-GB"/>
        </w:rPr>
        <w:t xml:space="preserve">Normally, </w:t>
      </w:r>
      <w:r w:rsidR="000E2677" w:rsidRPr="00456C3F">
        <w:rPr>
          <w:lang w:val="en-GB"/>
        </w:rPr>
        <w:t xml:space="preserve">only </w:t>
      </w:r>
      <w:r w:rsidR="0014227E" w:rsidRPr="00456C3F">
        <w:rPr>
          <w:lang w:val="en-GB"/>
        </w:rPr>
        <w:t>regulatory variables (</w:t>
      </w:r>
      <w:r w:rsidR="00B224C2" w:rsidRPr="00456C3F">
        <w:rPr>
          <w:lang w:val="en-GB"/>
        </w:rPr>
        <w:t>e.g.,</w:t>
      </w:r>
      <w:r w:rsidR="0014227E" w:rsidRPr="00456C3F">
        <w:rPr>
          <w:lang w:val="en-GB"/>
        </w:rPr>
        <w:t xml:space="preserve"> T, P, F, L</w:t>
      </w:r>
      <w:r w:rsidR="00B224C2" w:rsidRPr="00456C3F">
        <w:rPr>
          <w:lang w:val="en-GB"/>
        </w:rPr>
        <w:t>, pH</w:t>
      </w:r>
      <w:r w:rsidR="0014227E" w:rsidRPr="00456C3F">
        <w:rPr>
          <w:lang w:val="en-GB"/>
        </w:rPr>
        <w:t>)</w:t>
      </w:r>
      <w:r w:rsidR="00714CD4" w:rsidRPr="00456C3F">
        <w:rPr>
          <w:lang w:val="en-GB"/>
        </w:rPr>
        <w:t xml:space="preserve"> are monitored at </w:t>
      </w:r>
      <w:r w:rsidR="00F210D2" w:rsidRPr="00456C3F">
        <w:rPr>
          <w:lang w:val="en-GB"/>
        </w:rPr>
        <w:t>high</w:t>
      </w:r>
      <w:r w:rsidR="00AC4682" w:rsidRPr="00456C3F">
        <w:rPr>
          <w:lang w:val="en-GB"/>
        </w:rPr>
        <w:t xml:space="preserve"> </w:t>
      </w:r>
      <w:r w:rsidR="00F210D2" w:rsidRPr="00456C3F">
        <w:rPr>
          <w:lang w:val="en-GB"/>
        </w:rPr>
        <w:t>frequency</w:t>
      </w:r>
      <w:r w:rsidR="0014227E" w:rsidRPr="00456C3F">
        <w:rPr>
          <w:lang w:val="en-GB"/>
        </w:rPr>
        <w:t>.</w:t>
      </w:r>
      <w:r w:rsidR="00714CD4" w:rsidRPr="00456C3F">
        <w:rPr>
          <w:lang w:val="en-GB"/>
        </w:rPr>
        <w:t xml:space="preserve"> </w:t>
      </w:r>
      <w:r w:rsidRPr="00456C3F">
        <w:rPr>
          <w:lang w:val="en-GB"/>
        </w:rPr>
        <w:t>On the contrary</w:t>
      </w:r>
      <w:r w:rsidR="00714CD4" w:rsidRPr="00456C3F">
        <w:rPr>
          <w:lang w:val="en-GB"/>
        </w:rPr>
        <w:t>, s</w:t>
      </w:r>
      <w:r w:rsidR="00B224C2" w:rsidRPr="00456C3F">
        <w:rPr>
          <w:lang w:val="en-GB"/>
        </w:rPr>
        <w:t>upervisory variables (i.e., concentrations) if available, are monitored at a lower frequency</w:t>
      </w:r>
      <w:r w:rsidR="00714CD4" w:rsidRPr="00456C3F">
        <w:rPr>
          <w:lang w:val="en-GB"/>
        </w:rPr>
        <w:t xml:space="preserve"> </w:t>
      </w:r>
      <w:r w:rsidRPr="00456C3F">
        <w:rPr>
          <w:lang w:val="en-GB"/>
        </w:rPr>
        <w:t>especially</w:t>
      </w:r>
      <w:r w:rsidR="00714CD4" w:rsidRPr="00456C3F">
        <w:rPr>
          <w:lang w:val="en-GB"/>
        </w:rPr>
        <w:t xml:space="preserve"> if</w:t>
      </w:r>
      <w:r w:rsidRPr="00456C3F">
        <w:rPr>
          <w:lang w:val="en-GB"/>
        </w:rPr>
        <w:t xml:space="preserve"> offline</w:t>
      </w:r>
      <w:r w:rsidR="00714CD4" w:rsidRPr="00456C3F">
        <w:rPr>
          <w:lang w:val="en-GB"/>
        </w:rPr>
        <w:t xml:space="preserve"> </w:t>
      </w:r>
      <w:r w:rsidR="00D1255F" w:rsidRPr="00456C3F">
        <w:rPr>
          <w:lang w:val="en-GB"/>
        </w:rPr>
        <w:t xml:space="preserve">lab analysis </w:t>
      </w:r>
      <w:r w:rsidRPr="00456C3F">
        <w:rPr>
          <w:lang w:val="en-GB"/>
        </w:rPr>
        <w:t>is</w:t>
      </w:r>
      <w:r w:rsidR="00D1255F" w:rsidRPr="00456C3F">
        <w:rPr>
          <w:lang w:val="en-GB"/>
        </w:rPr>
        <w:t xml:space="preserve"> required</w:t>
      </w:r>
      <w:r w:rsidR="00B224C2" w:rsidRPr="00456C3F">
        <w:rPr>
          <w:lang w:val="en-GB"/>
        </w:rPr>
        <w:t xml:space="preserve">. </w:t>
      </w:r>
      <w:r w:rsidRPr="00456C3F">
        <w:rPr>
          <w:lang w:val="en-GB"/>
        </w:rPr>
        <w:t xml:space="preserve">There are interesting developments in PAT for biomanufacturing and membrane technology, however, majorly are expensive or not massively available. </w:t>
      </w:r>
      <w:r w:rsidR="00926521" w:rsidRPr="00456C3F">
        <w:rPr>
          <w:lang w:val="en-GB"/>
        </w:rPr>
        <w:t>In dynamic</w:t>
      </w:r>
      <w:r w:rsidR="00714CD4" w:rsidRPr="00456C3F">
        <w:rPr>
          <w:lang w:val="en-GB"/>
        </w:rPr>
        <w:t xml:space="preserve"> filtration</w:t>
      </w:r>
      <w:r w:rsidR="00926521" w:rsidRPr="00456C3F">
        <w:rPr>
          <w:lang w:val="en-GB"/>
        </w:rPr>
        <w:t xml:space="preserve">, </w:t>
      </w:r>
      <w:r w:rsidR="00AC4682" w:rsidRPr="00456C3F">
        <w:rPr>
          <w:lang w:val="en-GB"/>
        </w:rPr>
        <w:t>the</w:t>
      </w:r>
      <w:r w:rsidR="00926521" w:rsidRPr="00456C3F">
        <w:rPr>
          <w:lang w:val="en-GB"/>
        </w:rPr>
        <w:t xml:space="preserve"> first obstacle</w:t>
      </w:r>
      <w:r w:rsidR="00714CD4" w:rsidRPr="00456C3F">
        <w:rPr>
          <w:lang w:val="en-GB"/>
        </w:rPr>
        <w:t xml:space="preserve"> is to have the infrastructure to store the data at the required frequency to capture the system</w:t>
      </w:r>
      <w:r w:rsidR="00AC4682" w:rsidRPr="00456C3F">
        <w:rPr>
          <w:lang w:val="en-GB"/>
        </w:rPr>
        <w:t>s’</w:t>
      </w:r>
      <w:r w:rsidR="00714CD4" w:rsidRPr="00456C3F">
        <w:rPr>
          <w:lang w:val="en-GB"/>
        </w:rPr>
        <w:t xml:space="preserve"> fast dynamics</w:t>
      </w:r>
      <w:r w:rsidR="00D1255F" w:rsidRPr="00456C3F">
        <w:rPr>
          <w:lang w:val="en-GB"/>
        </w:rPr>
        <w:t xml:space="preserve"> (i.e., less than 1 second), thus be</w:t>
      </w:r>
      <w:r w:rsidR="00AC4682" w:rsidRPr="00456C3F">
        <w:rPr>
          <w:lang w:val="en-GB"/>
        </w:rPr>
        <w:t>ing</w:t>
      </w:r>
      <w:r w:rsidR="00D1255F" w:rsidRPr="00456C3F">
        <w:rPr>
          <w:lang w:val="en-GB"/>
        </w:rPr>
        <w:t xml:space="preserve"> able to </w:t>
      </w:r>
      <w:r w:rsidR="00714CD4" w:rsidRPr="00456C3F">
        <w:rPr>
          <w:lang w:val="en-GB"/>
        </w:rPr>
        <w:t xml:space="preserve">perform long experimental campaigns relevant </w:t>
      </w:r>
      <w:r w:rsidR="00AC4682" w:rsidRPr="00456C3F">
        <w:rPr>
          <w:lang w:val="en-GB"/>
        </w:rPr>
        <w:t>at</w:t>
      </w:r>
      <w:r w:rsidR="00714CD4" w:rsidRPr="00456C3F">
        <w:rPr>
          <w:lang w:val="en-GB"/>
        </w:rPr>
        <w:t xml:space="preserve"> pilot scale. After significant experimentation performed with the </w:t>
      </w:r>
      <w:r w:rsidR="00F210D2" w:rsidRPr="00456C3F">
        <w:rPr>
          <w:lang w:val="en-GB"/>
        </w:rPr>
        <w:t>high-frequency</w:t>
      </w:r>
      <w:r w:rsidR="00714CD4" w:rsidRPr="00456C3F">
        <w:rPr>
          <w:lang w:val="en-GB"/>
        </w:rPr>
        <w:t xml:space="preserve"> backshock</w:t>
      </w:r>
      <w:r w:rsidR="00926602" w:rsidRPr="00456C3F">
        <w:rPr>
          <w:lang w:val="en-GB"/>
        </w:rPr>
        <w:t>/backwash</w:t>
      </w:r>
      <w:r w:rsidR="009E63A6" w:rsidRPr="00456C3F">
        <w:rPr>
          <w:lang w:val="en-GB"/>
        </w:rPr>
        <w:t xml:space="preserve"> system</w:t>
      </w:r>
      <w:r w:rsidR="00714CD4" w:rsidRPr="00456C3F">
        <w:rPr>
          <w:lang w:val="en-GB"/>
        </w:rPr>
        <w:t xml:space="preserve">, modelling showed the selected sampling time (allowed by PLC memory) was insufficient </w:t>
      </w:r>
      <w:r w:rsidR="00714CD4" w:rsidRPr="00456C3F">
        <w:fldChar w:fldCharType="begin" w:fldLock="1"/>
      </w:r>
      <w:r w:rsidR="003A734E" w:rsidRPr="00456C3F">
        <w:rPr>
          <w:lang w:val="en-GB"/>
        </w:rPr>
        <w:instrText>ADDIN CSL_CITATION {"citationItems":[{"id":"ITEM-1","itemData":{"DOI":"10.1016/B978-0-444-63965-3.50455-4","ISSN":"15707946","abstract":"In order to intensify membrane filtration technology for water purification, dynamic operation has been proposed. However, optimal operation of this system demands extensive experiments and sometimes cannot be reliably estimated due to its dynamic nature. In this contribution, system identification techniques are investigated in order to develop black box models for a real wastewater treatment application. Single Input-Single Output (SISO) structures have shown to be insufficient to model system behaviour, especially at high frequencies. On the other hand, by including known variance through multiple input signals, a Multiple Input-Single Output (MISO) approach has substantially increased the model quality and therefore was used to investigate the critical flux operation. The model structure showed significant changes around the critical flux operating point and therefore it is believed that those could be used to identify critical flux instead of using the demanding off line conventional methods. Using these results, a method for critical flux identification of dynamic systems is under development.","author":[{"dropping-particle":"","family":"Prado-Rubio","given":"Oscar A.","non-dropping-particle":"","parse-names":false,"suffix":""},{"dropping-particle":"","family":"Stosch","given":"Moritz","non-dropping-particle":"von","parse-names":false,"suffix":""}],"container-title":"Computer Aided Chemical Engineering","id":"ITEM-1","issued":{"date-parts":[["2017"]]},"page":"2719-2724","title":"Towards Sustainable Flux Determination for Dynamic Ultrafiltration through Multivariable System Identification","type":"article-journal","volume":"40"},"uris":["http://www.mendeley.com/documents/?uuid=07ec3d71-8ec7-402c-9cbe-bcf26e2754ec"]}],"mendeley":{"formattedCitation":"(Prado-Rubio &amp; von Stosch, 2017)","plainTextFormattedCitation":"(Prado-Rubio &amp; von Stosch, 2017)","previouslyFormattedCitation":"(Prado-Rubio &amp; von Stosch, 2017)"},"properties":{"noteIndex":0},"schema":"https://github.com/citation-style-language/schema/raw/master/csl-citation.json"}</w:instrText>
      </w:r>
      <w:r w:rsidR="00714CD4" w:rsidRPr="00456C3F">
        <w:fldChar w:fldCharType="separate"/>
      </w:r>
      <w:r w:rsidR="00941597" w:rsidRPr="00456C3F">
        <w:rPr>
          <w:noProof/>
          <w:lang w:val="en-GB"/>
        </w:rPr>
        <w:t>(Prado-Rubio &amp; von Stosch, 2017)</w:t>
      </w:r>
      <w:r w:rsidR="00714CD4" w:rsidRPr="00456C3F">
        <w:fldChar w:fldCharType="end"/>
      </w:r>
      <w:r w:rsidR="00714CD4" w:rsidRPr="00456C3F">
        <w:rPr>
          <w:lang w:val="en-GB"/>
        </w:rPr>
        <w:t>. This is corrected by having the cloud-based acquisition system</w:t>
      </w:r>
      <w:r w:rsidR="00AC6823" w:rsidRPr="00456C3F">
        <w:rPr>
          <w:lang w:val="en-GB"/>
        </w:rPr>
        <w:t xml:space="preserve"> as implemented</w:t>
      </w:r>
      <w:r w:rsidR="00714CD4" w:rsidRPr="00456C3F">
        <w:rPr>
          <w:lang w:val="en-GB"/>
        </w:rPr>
        <w:t xml:space="preserve"> for the vibrating membrane. </w:t>
      </w:r>
      <w:r w:rsidR="005B3300" w:rsidRPr="00456C3F">
        <w:rPr>
          <w:lang w:val="en-GB"/>
        </w:rPr>
        <w:t>Another</w:t>
      </w:r>
      <w:r w:rsidR="00D83772" w:rsidRPr="00456C3F">
        <w:rPr>
          <w:lang w:val="en-GB"/>
        </w:rPr>
        <w:t xml:space="preserve"> challenge regarding the </w:t>
      </w:r>
      <w:r w:rsidR="00F210D2" w:rsidRPr="00456C3F">
        <w:rPr>
          <w:lang w:val="en-GB"/>
        </w:rPr>
        <w:t>high-frequency</w:t>
      </w:r>
      <w:r w:rsidR="00D83772" w:rsidRPr="00456C3F">
        <w:rPr>
          <w:lang w:val="en-GB"/>
        </w:rPr>
        <w:t xml:space="preserve"> backshock</w:t>
      </w:r>
      <w:r w:rsidR="00461E78" w:rsidRPr="00456C3F">
        <w:rPr>
          <w:lang w:val="en-GB"/>
        </w:rPr>
        <w:t>/backwash</w:t>
      </w:r>
      <w:r w:rsidR="00D83772" w:rsidRPr="00456C3F">
        <w:rPr>
          <w:lang w:val="en-GB"/>
        </w:rPr>
        <w:t xml:space="preserve"> system is signal pre-processing. First, when information ha</w:t>
      </w:r>
      <w:r w:rsidR="00963AF4" w:rsidRPr="00456C3F">
        <w:rPr>
          <w:lang w:val="en-GB"/>
        </w:rPr>
        <w:t>s</w:t>
      </w:r>
      <w:r w:rsidR="00D83772" w:rsidRPr="00456C3F">
        <w:rPr>
          <w:lang w:val="en-GB"/>
        </w:rPr>
        <w:t xml:space="preserve"> not been recorded, then algorithms</w:t>
      </w:r>
      <w:r w:rsidR="00B11F1D" w:rsidRPr="00456C3F">
        <w:rPr>
          <w:lang w:val="en-GB"/>
        </w:rPr>
        <w:t xml:space="preserve"> </w:t>
      </w:r>
      <w:r w:rsidR="00697B18" w:rsidRPr="00456C3F">
        <w:rPr>
          <w:lang w:val="en-GB"/>
        </w:rPr>
        <w:t>must</w:t>
      </w:r>
      <w:r w:rsidR="00B11F1D" w:rsidRPr="00456C3F">
        <w:rPr>
          <w:lang w:val="en-GB"/>
        </w:rPr>
        <w:t xml:space="preserve"> be designed</w:t>
      </w:r>
      <w:r w:rsidR="00D83772" w:rsidRPr="00456C3F">
        <w:rPr>
          <w:lang w:val="en-GB"/>
        </w:rPr>
        <w:t xml:space="preserve"> for signal reconstruction</w:t>
      </w:r>
      <w:r w:rsidR="009E63A6" w:rsidRPr="00456C3F">
        <w:rPr>
          <w:lang w:val="en-GB"/>
        </w:rPr>
        <w:t xml:space="preserve"> necessary for modelling</w:t>
      </w:r>
      <w:r w:rsidR="00D83772" w:rsidRPr="00456C3F">
        <w:rPr>
          <w:lang w:val="en-GB"/>
        </w:rPr>
        <w:t xml:space="preserve"> </w:t>
      </w:r>
      <w:r w:rsidR="00D83772" w:rsidRPr="00456C3F">
        <w:rPr>
          <w:lang w:val="en-GB"/>
        </w:rPr>
        <w:fldChar w:fldCharType="begin" w:fldLock="1"/>
      </w:r>
      <w:r w:rsidR="003A734E" w:rsidRPr="00456C3F">
        <w:rPr>
          <w:lang w:val="en-GB"/>
        </w:rPr>
        <w:instrText>ADDIN CSL_CITATION {"citationItems":[{"id":"ITEM-1","itemData":{"DOI":"10.1016/B978-0-444-63965-3.50455-4","ISSN":"15707946","abstract":"In order to intensify membrane filtration technology for water purification, dynamic operation has been proposed. However, optimal operation of this system demands extensive experiments and sometimes cannot be reliably estimated due to its dynamic nature. In this contribution, system identification techniques are investigated in order to develop black box models for a real wastewater treatment application. Single Input-Single Output (SISO) structures have shown to be insufficient to model system behaviour, especially at high frequencies. On the other hand, by including known variance through multiple input signals, a Multiple Input-Single Output (MISO) approach has substantially increased the model quality and therefore was used to investigate the critical flux operation. The model structure showed significant changes around the critical flux operating point and therefore it is believed that those could be used to identify critical flux instead of using the demanding off line conventional methods. Using these results, a method for critical flux identification of dynamic systems is under development.","author":[{"dropping-particle":"","family":"Prado-Rubio","given":"Oscar A.","non-dropping-particle":"","parse-names":false,"suffix":""},{"dropping-particle":"","family":"Stosch","given":"Moritz","non-dropping-particle":"von","parse-names":false,"suffix":""}],"container-title":"Computer Aided Chemical Engineering","id":"ITEM-1","issued":{"date-parts":[["2017"]]},"page":"2719-2724","title":"Towards Sustainable Flux Determination for Dynamic Ultrafiltration through Multivariable System Identification","type":"article-journal","volume":"40"},"uris":["http://www.mendeley.com/documents/?uuid=07ec3d71-8ec7-402c-9cbe-bcf26e2754ec"]}],"mendeley":{"formattedCitation":"(Prado-Rubio &amp; von Stosch, 2017)","plainTextFormattedCitation":"(Prado-Rubio &amp; von Stosch, 2017)","previouslyFormattedCitation":"(Prado-Rubio &amp; von Stosch, 2017)"},"properties":{"noteIndex":0},"schema":"https://github.com/citation-style-language/schema/raw/master/csl-citation.json"}</w:instrText>
      </w:r>
      <w:r w:rsidR="00D83772" w:rsidRPr="00456C3F">
        <w:rPr>
          <w:lang w:val="en-GB"/>
        </w:rPr>
        <w:fldChar w:fldCharType="separate"/>
      </w:r>
      <w:r w:rsidR="00941597" w:rsidRPr="00456C3F">
        <w:rPr>
          <w:noProof/>
          <w:lang w:val="en-GB"/>
        </w:rPr>
        <w:t>(Prado-Rubio &amp; von Stosch, 2017)</w:t>
      </w:r>
      <w:r w:rsidR="00D83772" w:rsidRPr="00456C3F">
        <w:rPr>
          <w:lang w:val="en-GB"/>
        </w:rPr>
        <w:fldChar w:fldCharType="end"/>
      </w:r>
      <w:r w:rsidR="00D83772" w:rsidRPr="00456C3F">
        <w:rPr>
          <w:lang w:val="en-GB"/>
        </w:rPr>
        <w:t xml:space="preserve">. Secondly, </w:t>
      </w:r>
      <w:r w:rsidR="00B11F1D" w:rsidRPr="00456C3F">
        <w:rPr>
          <w:lang w:val="en-GB"/>
        </w:rPr>
        <w:t>system information is hidden within complex signals and noise elimination might imply losing system information. T</w:t>
      </w:r>
      <w:r w:rsidR="00D83772" w:rsidRPr="00456C3F">
        <w:rPr>
          <w:lang w:val="en-GB"/>
        </w:rPr>
        <w:t xml:space="preserve">o </w:t>
      </w:r>
      <w:r w:rsidR="00B11F1D" w:rsidRPr="00456C3F">
        <w:rPr>
          <w:lang w:val="en-GB"/>
        </w:rPr>
        <w:t>overcome this issue</w:t>
      </w:r>
      <w:r w:rsidR="00D83772" w:rsidRPr="00456C3F">
        <w:rPr>
          <w:lang w:val="en-GB"/>
        </w:rPr>
        <w:t xml:space="preserve">, </w:t>
      </w:r>
      <w:r w:rsidR="00B11F1D" w:rsidRPr="00456C3F">
        <w:rPr>
          <w:lang w:val="en-GB"/>
        </w:rPr>
        <w:t xml:space="preserve">wavelet </w:t>
      </w:r>
      <w:r w:rsidR="00D83772" w:rsidRPr="00456C3F">
        <w:rPr>
          <w:lang w:val="en-GB"/>
        </w:rPr>
        <w:t xml:space="preserve">feature extraction </w:t>
      </w:r>
      <w:r w:rsidR="00697B18" w:rsidRPr="00456C3F">
        <w:rPr>
          <w:lang w:val="en-GB"/>
        </w:rPr>
        <w:t>has</w:t>
      </w:r>
      <w:r w:rsidR="00B11F1D" w:rsidRPr="00456C3F">
        <w:rPr>
          <w:lang w:val="en-GB"/>
        </w:rPr>
        <w:t xml:space="preserve"> shown to be handy </w:t>
      </w:r>
      <w:r w:rsidR="004672C1" w:rsidRPr="00456C3F">
        <w:rPr>
          <w:lang w:val="en-GB"/>
        </w:rPr>
        <w:fldChar w:fldCharType="begin" w:fldLock="1"/>
      </w:r>
      <w:r w:rsidR="003A734E" w:rsidRPr="00456C3F">
        <w:rPr>
          <w:lang w:val="en-GB"/>
        </w:rPr>
        <w:instrText>ADDIN CSL_CITATION {"citationItems":[{"id":"ITEM-1","itemData":{"DOI":"10.1016/j.psep.2023.04.007","ISSN":"09575820","abstract":"In recent years, due to the increase in population and the number of industrial sites, water reclaim has become more relevant. Dynamic membrane filtration systems can play an important role for water reuse. Therefore, process monitoring of dynamic membrane systems is of great importance to ensure the water quality while considering environmental and economic factors. The exploitation of on-line monitoring of dynamic membrane systems in industrial operation is challenged by intentional disturbances such as backflush and backshock (i.e. used as cleaning strategies) and unintentional input fluctuations. Consequently, process inherent behaviour is hidden within very complex sensors signals. Therefore, critical flux identification or fouling characterization for process monitoring is not straightforward, leading to suboptimal operation. The present study establishes a fault detection framework from a classification viewpoint, capable of handling industrial data that is prone to noise and disturbances, while offering an effective yet straightforward approach. The case study is a pilot-scale dynamic ultrafiltration process which has been tested previously within an industrial facility for produced water reclamation. The dataset contains 18 experiments, where three of the experiments are faulty. These experiments were implemented in an oil recovery facility located in the Orinoquía region, Colombia. A feature analysis approach based on wavelets is developed to identify the key characteristics of the installed sensors while alleviating the noise effects. The process conditions are pinpointed by feeding the extracted features into several widely used classification methods including Multilayer Perceptron Neural Network (MLPNN), Support Vector Machine (SVM), and Principal Component Analysis (PCA) based classifiers. The results indicated that the MLPNN classifier has the highest detection accuracy of 99.7% with a low percentage of false alarms. The framework developed in this study is a vital part of a membrane system digitalization strategy, which can be integrated into automated surveillance strategies for monitoring of membrane systems toward effective fault detection.","author":[{"dropping-particle":"","family":"Zadkarami","given":"Morteza","non-dropping-particle":"","parse-names":false,"suffix":""},{"dropping-particle":"","family":"Safavi","given":"Ali Akbar","non-dropping-particle":"","parse-names":false,"suffix":""},{"dropping-particle":"V.","family":"Gernaey","given":"Krist","non-dropping-particle":"","parse-names":false,"suffix":""},{"dropping-particle":"","family":"Ramin","given":"Pedram","non-dropping-particle":"","parse-names":false,"suffix":""},{"dropping-particle":"","family":"Prado-Rubio","given":"Oscar A.","non-dropping-particle":"","parse-names":false,"suffix":""}],"container-title":"Process Safety and Environmental Protection","id":"ITEM-1","issue":"January","issued":{"date-parts":[["2023"]]},"page":"1-19","publisher":"Elsevier Ltd","title":"Designing a fault detection classifier framework for an industrial dynamic ultrafiltration membrane process using wavelet-based feature analysis","type":"article-journal","volume":"174"},"uris":["http://www.mendeley.com/documents/?uuid=d25fab96-bdca-4d06-8aaa-07eb971e0278"]}],"mendeley":{"formattedCitation":"(Zadkarami et al., 2023)","plainTextFormattedCitation":"(Zadkarami et al., 2023)","previouslyFormattedCitation":"(Zadkarami et al., 2023)"},"properties":{"noteIndex":0},"schema":"https://github.com/citation-style-language/schema/raw/master/csl-citation.json"}</w:instrText>
      </w:r>
      <w:r w:rsidR="004672C1" w:rsidRPr="00456C3F">
        <w:rPr>
          <w:lang w:val="en-GB"/>
        </w:rPr>
        <w:fldChar w:fldCharType="separate"/>
      </w:r>
      <w:r w:rsidR="00941597" w:rsidRPr="00456C3F">
        <w:rPr>
          <w:noProof/>
          <w:lang w:val="en-GB"/>
        </w:rPr>
        <w:t>(Zadkarami et al., 2023)</w:t>
      </w:r>
      <w:r w:rsidR="004672C1" w:rsidRPr="00456C3F">
        <w:rPr>
          <w:lang w:val="en-GB"/>
        </w:rPr>
        <w:fldChar w:fldCharType="end"/>
      </w:r>
      <w:r w:rsidR="004672C1" w:rsidRPr="00456C3F">
        <w:rPr>
          <w:lang w:val="en-GB"/>
        </w:rPr>
        <w:t>.</w:t>
      </w:r>
      <w:r w:rsidR="00FA5C1E" w:rsidRPr="00456C3F">
        <w:rPr>
          <w:lang w:val="en-GB"/>
        </w:rPr>
        <w:t xml:space="preserve"> </w:t>
      </w:r>
      <w:r w:rsidR="00B11F1D" w:rsidRPr="00456C3F">
        <w:rPr>
          <w:lang w:val="en-GB"/>
        </w:rPr>
        <w:t xml:space="preserve">This </w:t>
      </w:r>
      <w:r w:rsidR="00FA5C1E" w:rsidRPr="00456C3F">
        <w:rPr>
          <w:lang w:val="en-GB"/>
        </w:rPr>
        <w:t xml:space="preserve">approach requires hyperparameters tuning, </w:t>
      </w:r>
      <w:r w:rsidR="00474A62" w:rsidRPr="00456C3F">
        <w:rPr>
          <w:lang w:val="en-GB"/>
        </w:rPr>
        <w:t>but it</w:t>
      </w:r>
      <w:r w:rsidR="00FA5C1E" w:rsidRPr="00456C3F">
        <w:rPr>
          <w:lang w:val="en-GB"/>
        </w:rPr>
        <w:t xml:space="preserve"> can be made based on historical data.</w:t>
      </w:r>
      <w:r w:rsidR="00451585" w:rsidRPr="00456C3F">
        <w:rPr>
          <w:lang w:val="en-GB"/>
        </w:rPr>
        <w:t xml:space="preserve"> </w:t>
      </w:r>
      <w:r w:rsidR="00AC4682" w:rsidRPr="00456C3F">
        <w:rPr>
          <w:lang w:val="en-GB"/>
        </w:rPr>
        <w:t>Then</w:t>
      </w:r>
      <w:r w:rsidR="00451585" w:rsidRPr="00456C3F">
        <w:rPr>
          <w:lang w:val="en-GB"/>
        </w:rPr>
        <w:t xml:space="preserve">, conventional signal preprocessing techniques </w:t>
      </w:r>
      <w:r w:rsidR="009E63A6" w:rsidRPr="00456C3F">
        <w:rPr>
          <w:lang w:val="en-GB"/>
        </w:rPr>
        <w:t>can be used</w:t>
      </w:r>
      <w:r w:rsidR="00451585" w:rsidRPr="00456C3F">
        <w:rPr>
          <w:lang w:val="en-GB"/>
        </w:rPr>
        <w:t>.</w:t>
      </w:r>
    </w:p>
    <w:p w14:paraId="16FCF042" w14:textId="43C7DAF1" w:rsidR="00A30478" w:rsidRPr="00456C3F" w:rsidRDefault="002A6168" w:rsidP="00E446C7">
      <w:pPr>
        <w:pStyle w:val="Els-3rdorder-head"/>
        <w:rPr>
          <w:lang w:val="en-GB"/>
        </w:rPr>
      </w:pPr>
      <w:r w:rsidRPr="00456C3F">
        <w:rPr>
          <w:lang w:val="en-GB"/>
        </w:rPr>
        <w:lastRenderedPageBreak/>
        <w:t>Modelling approaches</w:t>
      </w:r>
      <w:r w:rsidR="00C63281" w:rsidRPr="00456C3F">
        <w:rPr>
          <w:lang w:val="en-GB"/>
        </w:rPr>
        <w:t xml:space="preserve"> for digital object development</w:t>
      </w:r>
    </w:p>
    <w:p w14:paraId="6740115D" w14:textId="75847E8E" w:rsidR="00C63281" w:rsidRPr="00456C3F" w:rsidRDefault="00AC6823" w:rsidP="002018B0">
      <w:pPr>
        <w:pStyle w:val="Els-body-text"/>
        <w:rPr>
          <w:lang w:val="en-GB"/>
        </w:rPr>
      </w:pPr>
      <w:r w:rsidRPr="00456C3F">
        <w:rPr>
          <w:lang w:val="en-GB"/>
        </w:rPr>
        <w:t xml:space="preserve">The modelling challenge lies in process understanding (defines whiteness), information available for parameter estimation and tuning/solving procedures fast enough to </w:t>
      </w:r>
      <w:r w:rsidR="00451585" w:rsidRPr="00456C3F">
        <w:rPr>
          <w:lang w:val="en-GB"/>
        </w:rPr>
        <w:t xml:space="preserve">be </w:t>
      </w:r>
      <w:r w:rsidRPr="00456C3F">
        <w:rPr>
          <w:lang w:val="en-GB"/>
        </w:rPr>
        <w:t>use</w:t>
      </w:r>
      <w:r w:rsidR="00451585" w:rsidRPr="00456C3F">
        <w:rPr>
          <w:lang w:val="en-GB"/>
        </w:rPr>
        <w:t>d</w:t>
      </w:r>
      <w:r w:rsidRPr="00456C3F">
        <w:rPr>
          <w:lang w:val="en-GB"/>
        </w:rPr>
        <w:t xml:space="preserve"> in real-time. </w:t>
      </w:r>
      <w:r w:rsidR="0037624F" w:rsidRPr="00456C3F">
        <w:rPr>
          <w:lang w:val="en-GB"/>
        </w:rPr>
        <w:t>For the investigated novel membrane technolog</w:t>
      </w:r>
      <w:r w:rsidR="008B1A2E" w:rsidRPr="00456C3F">
        <w:rPr>
          <w:lang w:val="en-GB"/>
        </w:rPr>
        <w:t>ies</w:t>
      </w:r>
      <w:r w:rsidR="00451585" w:rsidRPr="00456C3F">
        <w:rPr>
          <w:lang w:val="en-GB"/>
        </w:rPr>
        <w:t>,</w:t>
      </w:r>
      <w:r w:rsidR="008B1A2E" w:rsidRPr="00456C3F">
        <w:rPr>
          <w:lang w:val="en-GB"/>
        </w:rPr>
        <w:t xml:space="preserve"> there are two extremes which define the modelling approach based on the available information. </w:t>
      </w:r>
      <w:r w:rsidR="007B6103" w:rsidRPr="00456C3F">
        <w:rPr>
          <w:lang w:val="en-GB"/>
        </w:rPr>
        <w:t>The</w:t>
      </w:r>
      <w:r w:rsidR="00A50C23" w:rsidRPr="00456C3F">
        <w:rPr>
          <w:lang w:val="en-GB"/>
        </w:rPr>
        <w:t xml:space="preserve"> spectra of modelling approaches investigated for the dynamic systems are shown in </w:t>
      </w:r>
      <w:r w:rsidR="00A50C23" w:rsidRPr="00456C3F">
        <w:rPr>
          <w:lang w:val="en-GB"/>
        </w:rPr>
        <w:fldChar w:fldCharType="begin"/>
      </w:r>
      <w:r w:rsidR="00A50C23" w:rsidRPr="00456C3F">
        <w:rPr>
          <w:lang w:val="en-GB"/>
        </w:rPr>
        <w:instrText xml:space="preserve"> REF _Ref151467744 \h </w:instrText>
      </w:r>
      <w:r w:rsidR="00A50C23" w:rsidRPr="00456C3F">
        <w:rPr>
          <w:lang w:val="en-GB"/>
        </w:rPr>
      </w:r>
      <w:r w:rsidR="00A50C23" w:rsidRPr="00456C3F">
        <w:rPr>
          <w:lang w:val="en-GB"/>
        </w:rPr>
        <w:fldChar w:fldCharType="separate"/>
      </w:r>
      <w:r w:rsidR="00A50C23" w:rsidRPr="00456C3F">
        <w:rPr>
          <w:lang w:val="en-GB"/>
        </w:rPr>
        <w:t xml:space="preserve">Figure </w:t>
      </w:r>
      <w:r w:rsidR="00A50C23" w:rsidRPr="00456C3F">
        <w:rPr>
          <w:noProof/>
          <w:lang w:val="en-GB"/>
        </w:rPr>
        <w:t>3</w:t>
      </w:r>
      <w:r w:rsidR="00A50C23" w:rsidRPr="00456C3F">
        <w:rPr>
          <w:lang w:val="en-GB"/>
        </w:rPr>
        <w:fldChar w:fldCharType="end"/>
      </w:r>
      <w:r w:rsidR="00A50C23" w:rsidRPr="00456C3F">
        <w:rPr>
          <w:lang w:val="en-GB"/>
        </w:rPr>
        <w:t>.</w:t>
      </w:r>
    </w:p>
    <w:p w14:paraId="501035AE" w14:textId="77777777" w:rsidR="00C63281" w:rsidRPr="00456C3F" w:rsidRDefault="00C63281" w:rsidP="005118DC">
      <w:pPr>
        <w:pStyle w:val="Els-body-text"/>
        <w:jc w:val="center"/>
        <w:rPr>
          <w:lang w:val="en-GB"/>
        </w:rPr>
      </w:pPr>
      <w:r w:rsidRPr="00456C3F">
        <w:rPr>
          <w:noProof/>
          <w:lang w:val="en-GB"/>
        </w:rPr>
        <w:drawing>
          <wp:inline distT="0" distB="0" distL="0" distR="0" wp14:anchorId="1DBD0016" wp14:editId="5BE2328E">
            <wp:extent cx="3736700" cy="2070847"/>
            <wp:effectExtent l="0" t="0" r="0" b="5715"/>
            <wp:docPr id="1242570880" name="Picture 1"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70880" name="Picture 1" descr="A diagram of a model&#10;&#10;Description automatically generated"/>
                    <pic:cNvPicPr/>
                  </pic:nvPicPr>
                  <pic:blipFill>
                    <a:blip r:embed="rId13"/>
                    <a:stretch>
                      <a:fillRect/>
                    </a:stretch>
                  </pic:blipFill>
                  <pic:spPr>
                    <a:xfrm>
                      <a:off x="0" y="0"/>
                      <a:ext cx="3742013" cy="2073791"/>
                    </a:xfrm>
                    <a:prstGeom prst="rect">
                      <a:avLst/>
                    </a:prstGeom>
                  </pic:spPr>
                </pic:pic>
              </a:graphicData>
            </a:graphic>
          </wp:inline>
        </w:drawing>
      </w:r>
    </w:p>
    <w:p w14:paraId="18E82AC1" w14:textId="77777777" w:rsidR="00C63281" w:rsidRPr="00456C3F" w:rsidRDefault="00C63281" w:rsidP="00C63281">
      <w:pPr>
        <w:pStyle w:val="Didascalia"/>
        <w:rPr>
          <w:lang w:val="en-GB"/>
        </w:rPr>
      </w:pPr>
      <w:bookmarkStart w:id="4" w:name="_Ref151467744"/>
      <w:r w:rsidRPr="00456C3F">
        <w:rPr>
          <w:lang w:val="en-GB"/>
        </w:rPr>
        <w:t xml:space="preserve">Figure </w:t>
      </w:r>
      <w:r w:rsidRPr="00456C3F">
        <w:rPr>
          <w:lang w:val="en-GB"/>
        </w:rPr>
        <w:fldChar w:fldCharType="begin"/>
      </w:r>
      <w:r w:rsidRPr="00456C3F">
        <w:rPr>
          <w:lang w:val="en-GB"/>
        </w:rPr>
        <w:instrText xml:space="preserve"> SEQ Figure \* ARABIC </w:instrText>
      </w:r>
      <w:r w:rsidRPr="00456C3F">
        <w:rPr>
          <w:lang w:val="en-GB"/>
        </w:rPr>
        <w:fldChar w:fldCharType="separate"/>
      </w:r>
      <w:r w:rsidRPr="00456C3F">
        <w:rPr>
          <w:noProof/>
          <w:lang w:val="en-GB"/>
        </w:rPr>
        <w:t>3</w:t>
      </w:r>
      <w:r w:rsidRPr="00456C3F">
        <w:rPr>
          <w:lang w:val="en-GB"/>
        </w:rPr>
        <w:fldChar w:fldCharType="end"/>
      </w:r>
      <w:bookmarkEnd w:id="4"/>
      <w:r w:rsidRPr="00456C3F">
        <w:rPr>
          <w:lang w:val="en-GB"/>
        </w:rPr>
        <w:t>. Investigated modelling approaches for the novel dynamic membrane systems</w:t>
      </w:r>
    </w:p>
    <w:p w14:paraId="264D6DD1" w14:textId="77777777" w:rsidR="00A50C23" w:rsidRPr="00456C3F" w:rsidRDefault="00A50C23" w:rsidP="002018B0">
      <w:pPr>
        <w:pStyle w:val="Els-body-text"/>
        <w:rPr>
          <w:lang w:val="en-GB"/>
        </w:rPr>
      </w:pPr>
    </w:p>
    <w:p w14:paraId="4417A92A" w14:textId="5F6FC1B7" w:rsidR="002018B0" w:rsidRPr="00456C3F" w:rsidRDefault="00CC5C16" w:rsidP="005B3300">
      <w:pPr>
        <w:pStyle w:val="Els-body-text"/>
        <w:rPr>
          <w:lang w:val="en-GB"/>
        </w:rPr>
      </w:pPr>
      <w:r w:rsidRPr="00456C3F">
        <w:rPr>
          <w:lang w:val="en-GB"/>
        </w:rPr>
        <w:t>First</w:t>
      </w:r>
      <w:r w:rsidR="008B1A2E" w:rsidRPr="00456C3F">
        <w:rPr>
          <w:lang w:val="en-GB"/>
        </w:rPr>
        <w:t xml:space="preserve">, </w:t>
      </w:r>
      <w:r w:rsidR="00451585" w:rsidRPr="00456C3F">
        <w:rPr>
          <w:lang w:val="en-GB"/>
        </w:rPr>
        <w:t>information availability</w:t>
      </w:r>
      <w:r w:rsidRPr="00456C3F">
        <w:rPr>
          <w:lang w:val="en-GB"/>
        </w:rPr>
        <w:t xml:space="preserve"> could not be a</w:t>
      </w:r>
      <w:r w:rsidR="005B3300" w:rsidRPr="00456C3F">
        <w:rPr>
          <w:lang w:val="en-GB"/>
        </w:rPr>
        <w:t xml:space="preserve"> limitation in the case of well</w:t>
      </w:r>
      <w:r w:rsidR="007B6103" w:rsidRPr="00456C3F">
        <w:rPr>
          <w:lang w:val="en-GB"/>
        </w:rPr>
        <w:t>-</w:t>
      </w:r>
      <w:r w:rsidR="005B3300" w:rsidRPr="00456C3F">
        <w:rPr>
          <w:lang w:val="en-GB"/>
        </w:rPr>
        <w:t xml:space="preserve">understood processes </w:t>
      </w:r>
      <w:r w:rsidR="00A50C23" w:rsidRPr="00456C3F">
        <w:rPr>
          <w:lang w:val="en-GB"/>
        </w:rPr>
        <w:t>(</w:t>
      </w:r>
      <w:r w:rsidR="00451585" w:rsidRPr="00456C3F">
        <w:rPr>
          <w:lang w:val="en-GB"/>
        </w:rPr>
        <w:t>e.g.,</w:t>
      </w:r>
      <w:r w:rsidR="00C63281" w:rsidRPr="00456C3F">
        <w:rPr>
          <w:lang w:val="en-GB"/>
        </w:rPr>
        <w:t xml:space="preserve"> dextran filtration</w:t>
      </w:r>
      <w:r w:rsidR="00A50C23" w:rsidRPr="00456C3F">
        <w:rPr>
          <w:lang w:val="en-GB"/>
        </w:rPr>
        <w:t xml:space="preserve"> with no fouling)</w:t>
      </w:r>
      <w:r w:rsidR="005B3300" w:rsidRPr="00456C3F">
        <w:rPr>
          <w:lang w:val="en-GB"/>
        </w:rPr>
        <w:t xml:space="preserve"> </w:t>
      </w:r>
      <w:r w:rsidR="00451585" w:rsidRPr="00456C3F">
        <w:rPr>
          <w:lang w:val="en-GB"/>
        </w:rPr>
        <w:t xml:space="preserve">operated </w:t>
      </w:r>
      <w:r w:rsidR="005B3300" w:rsidRPr="00456C3F">
        <w:rPr>
          <w:lang w:val="en-GB"/>
        </w:rPr>
        <w:t>in controlled experiments (</w:t>
      </w:r>
      <w:r w:rsidR="00451585" w:rsidRPr="00456C3F">
        <w:rPr>
          <w:lang w:val="en-GB"/>
        </w:rPr>
        <w:t>minimum</w:t>
      </w:r>
      <w:r w:rsidR="005B3300" w:rsidRPr="00456C3F">
        <w:rPr>
          <w:lang w:val="en-GB"/>
        </w:rPr>
        <w:t xml:space="preserve"> uncertainty)</w:t>
      </w:r>
      <w:r w:rsidR="004D27A6" w:rsidRPr="00456C3F">
        <w:rPr>
          <w:lang w:val="en-GB"/>
        </w:rPr>
        <w:t xml:space="preserve">. </w:t>
      </w:r>
      <w:r w:rsidR="00451585" w:rsidRPr="00456C3F">
        <w:rPr>
          <w:lang w:val="en-GB"/>
        </w:rPr>
        <w:t>In this scenario, digital object</w:t>
      </w:r>
      <w:r w:rsidR="007B6103" w:rsidRPr="00456C3F">
        <w:rPr>
          <w:lang w:val="en-GB"/>
        </w:rPr>
        <w:t>s</w:t>
      </w:r>
      <w:r w:rsidR="00451585" w:rsidRPr="00456C3F">
        <w:rPr>
          <w:lang w:val="en-GB"/>
        </w:rPr>
        <w:t xml:space="preserve"> </w:t>
      </w:r>
      <w:r w:rsidR="00C63281" w:rsidRPr="00456C3F">
        <w:rPr>
          <w:lang w:val="en-GB"/>
        </w:rPr>
        <w:t xml:space="preserve">can include a strong deterministic part </w:t>
      </w:r>
      <w:r w:rsidR="005B3300" w:rsidRPr="00456C3F">
        <w:fldChar w:fldCharType="begin" w:fldLock="1"/>
      </w:r>
      <w:r w:rsidR="003A734E" w:rsidRPr="00456C3F">
        <w:rPr>
          <w:lang w:val="en-GB"/>
        </w:rPr>
        <w:instrText>ADDIN CSL_CITATION {"citationItems":[{"id":"ITEM-1","itemData":{"DOI":"10.1016/J.CEP.2021.108618","ISSN":"0255-2701","abstract":"Concentration polarization and fouling are the most important issues to be addressed when designing ultrafiltration (UF) and microfiltration (MF) units for a specific application. Dynamic operation in UF and MF, such as backshock, is a method that allows mitigating adverse effects of polarization and fouling thus enhancing the separation performance. However, there is a trade-off between operational conditions (i.e. backshock duration time BS, the time between backshock TBBS, and flux) to achieve the desired effects. Herein, two hybrid mathematical models are developed and tuned to predict the behavior of the polarization layer in dynamic UF (Radj2 of 0.9185 and 0.9626, respectively). Both hybrid models can estimate the concentration on the membrane surface (e.g. 27 g/L when BS is 1.25 s and TBBS is 5 s). The results illustrate the intensifying effect of dynamic operation by decreasing the Molecular Weight Cut-off up to 74 times without decreasing the membrane flux. The performed experiments and developed models provide system insights for membrane systems design where the rejection could be enhanced and tunned according to operating conditions rather than the membrane pore size.","author":[{"dropping-particle":"","family":"López-Murillo","given":"Luis Humberto","non-dropping-particle":"","parse-names":false,"suffix":""},{"dropping-particle":"","family":"Grisales-Díaz","given":"Víctor Hugo","non-dropping-particle":"","parse-names":false,"suffix":""},{"dropping-particle":"","family":"Pinelo","given":"Manuel","non-dropping-particle":"","parse-names":false,"suffix":""},{"dropping-particle":"","family":"Prado-Rubio","given":"Oscar Andrés","non-dropping-particle":"","parse-names":false,"suffix":""}],"container-title":"Chemical Engineering and Processing - Process Intensification","id":"ITEM-1","issued":{"date-parts":[["2021","12","1"]]},"page":"108618","publisher":"Elsevier","title":"Ultrafiltration intensification by dynamic operation: Insights from hybrid modeling","type":"article-journal","volume":"169"},"uris":["http://www.mendeley.com/documents/?uuid=3d37de92-cb71-3c47-bf7d-eebf0a28af19"]}],"mendeley":{"formattedCitation":"(López-Murillo et al., 2021)","plainTextFormattedCitation":"(López-Murillo et al., 2021)","previouslyFormattedCitation":"(López-Murillo et al., 2021)"},"properties":{"noteIndex":0},"schema":"https://github.com/citation-style-language/schema/raw/master/csl-citation.json"}</w:instrText>
      </w:r>
      <w:r w:rsidR="005B3300" w:rsidRPr="00456C3F">
        <w:fldChar w:fldCharType="separate"/>
      </w:r>
      <w:r w:rsidR="00941597" w:rsidRPr="00456C3F">
        <w:rPr>
          <w:noProof/>
          <w:lang w:val="en-GB"/>
        </w:rPr>
        <w:t>(López-Murillo et al., 2021)</w:t>
      </w:r>
      <w:r w:rsidR="005B3300" w:rsidRPr="00456C3F">
        <w:fldChar w:fldCharType="end"/>
      </w:r>
      <w:r w:rsidR="005B3300" w:rsidRPr="00456C3F">
        <w:rPr>
          <w:lang w:val="en-GB"/>
        </w:rPr>
        <w:t xml:space="preserve">. </w:t>
      </w:r>
      <w:r w:rsidR="009E63A6" w:rsidRPr="00456C3F">
        <w:rPr>
          <w:lang w:val="en-GB"/>
        </w:rPr>
        <w:t>Thus,</w:t>
      </w:r>
      <w:r w:rsidR="008B1A2E" w:rsidRPr="00456C3F">
        <w:rPr>
          <w:lang w:val="en-GB"/>
        </w:rPr>
        <w:t xml:space="preserve"> online measurements and metadata </w:t>
      </w:r>
      <w:r w:rsidR="009E63A6" w:rsidRPr="00456C3F">
        <w:rPr>
          <w:lang w:val="en-GB"/>
        </w:rPr>
        <w:t xml:space="preserve">are used to build a </w:t>
      </w:r>
      <w:r w:rsidR="004D27A6" w:rsidRPr="00456C3F">
        <w:rPr>
          <w:lang w:val="en-GB"/>
        </w:rPr>
        <w:t xml:space="preserve">whiter </w:t>
      </w:r>
      <w:r w:rsidR="008B1A2E" w:rsidRPr="00456C3F">
        <w:rPr>
          <w:lang w:val="en-GB"/>
        </w:rPr>
        <w:t xml:space="preserve">hybrid model to describe membrane flux, dynamic concentration profiles and solute rejection. </w:t>
      </w:r>
      <w:r w:rsidR="002018B0" w:rsidRPr="00456C3F">
        <w:rPr>
          <w:lang w:val="en-GB"/>
        </w:rPr>
        <w:t>As</w:t>
      </w:r>
      <w:r w:rsidR="007B6103" w:rsidRPr="00456C3F">
        <w:rPr>
          <w:lang w:val="en-GB"/>
        </w:rPr>
        <w:t xml:space="preserve"> a</w:t>
      </w:r>
      <w:r w:rsidR="002018B0" w:rsidRPr="00456C3F">
        <w:rPr>
          <w:lang w:val="en-GB"/>
        </w:rPr>
        <w:t xml:space="preserve"> </w:t>
      </w:r>
      <w:r w:rsidR="00451585" w:rsidRPr="00456C3F">
        <w:rPr>
          <w:lang w:val="en-GB"/>
        </w:rPr>
        <w:t xml:space="preserve">model </w:t>
      </w:r>
      <w:r w:rsidR="002018B0" w:rsidRPr="00456C3F">
        <w:rPr>
          <w:lang w:val="en-GB"/>
        </w:rPr>
        <w:t>backbone</w:t>
      </w:r>
      <w:r w:rsidR="00451585" w:rsidRPr="00456C3F">
        <w:rPr>
          <w:lang w:val="en-GB"/>
        </w:rPr>
        <w:t>,</w:t>
      </w:r>
      <w:r w:rsidR="002018B0" w:rsidRPr="00456C3F">
        <w:rPr>
          <w:lang w:val="en-GB"/>
        </w:rPr>
        <w:t xml:space="preserve"> </w:t>
      </w:r>
      <w:r w:rsidR="00451585" w:rsidRPr="00456C3F">
        <w:rPr>
          <w:lang w:val="en-GB"/>
        </w:rPr>
        <w:t xml:space="preserve">there is </w:t>
      </w:r>
      <w:r w:rsidR="00697B18" w:rsidRPr="00456C3F">
        <w:rPr>
          <w:lang w:val="en-GB"/>
        </w:rPr>
        <w:t xml:space="preserve">a </w:t>
      </w:r>
      <w:r w:rsidR="002018B0" w:rsidRPr="00456C3F">
        <w:rPr>
          <w:lang w:val="en-GB"/>
        </w:rPr>
        <w:t>mass balance</w:t>
      </w:r>
      <w:r w:rsidR="00451585" w:rsidRPr="00456C3F">
        <w:rPr>
          <w:lang w:val="en-GB"/>
        </w:rPr>
        <w:t xml:space="preserve"> in the boundary layer</w:t>
      </w:r>
      <w:r w:rsidR="002018B0" w:rsidRPr="00456C3F">
        <w:rPr>
          <w:lang w:val="en-GB"/>
        </w:rPr>
        <w:t xml:space="preserve"> (PDE) coupled with </w:t>
      </w:r>
      <w:r w:rsidR="00232FB1" w:rsidRPr="00456C3F">
        <w:rPr>
          <w:lang w:val="en-GB"/>
        </w:rPr>
        <w:t>Darcy’s</w:t>
      </w:r>
      <w:r w:rsidR="002018B0" w:rsidRPr="00456C3F">
        <w:rPr>
          <w:lang w:val="en-GB"/>
        </w:rPr>
        <w:t xml:space="preserve"> law to estimate the membrane flux. </w:t>
      </w:r>
      <w:r w:rsidR="00C63281" w:rsidRPr="00456C3F">
        <w:rPr>
          <w:lang w:val="en-GB"/>
        </w:rPr>
        <w:t>So</w:t>
      </w:r>
      <w:r w:rsidR="00232FB1" w:rsidRPr="00456C3F">
        <w:rPr>
          <w:lang w:val="en-GB"/>
        </w:rPr>
        <w:t xml:space="preserve">, black box models are used to determine the osmotic pressure and membrane intrinsic rejection. In this way, </w:t>
      </w:r>
      <w:r w:rsidR="002018B0" w:rsidRPr="00456C3F">
        <w:rPr>
          <w:lang w:val="en-GB"/>
        </w:rPr>
        <w:t xml:space="preserve">knowledge of transport phenomena </w:t>
      </w:r>
      <w:r w:rsidRPr="00456C3F">
        <w:rPr>
          <w:lang w:val="en-GB"/>
        </w:rPr>
        <w:t>is</w:t>
      </w:r>
      <w:r w:rsidR="002018B0" w:rsidRPr="00456C3F">
        <w:rPr>
          <w:lang w:val="en-GB"/>
        </w:rPr>
        <w:t xml:space="preserve"> </w:t>
      </w:r>
      <w:r w:rsidRPr="00456C3F">
        <w:rPr>
          <w:lang w:val="en-GB"/>
        </w:rPr>
        <w:t xml:space="preserve">harnessed and </w:t>
      </w:r>
      <w:r w:rsidR="00232FB1" w:rsidRPr="00456C3F">
        <w:rPr>
          <w:lang w:val="en-GB"/>
        </w:rPr>
        <w:t xml:space="preserve">just complemented by data-driven models for model parameters. This </w:t>
      </w:r>
      <w:r w:rsidRPr="00456C3F">
        <w:rPr>
          <w:lang w:val="en-GB"/>
        </w:rPr>
        <w:t xml:space="preserve">hybrid </w:t>
      </w:r>
      <w:r w:rsidR="00232FB1" w:rsidRPr="00456C3F">
        <w:rPr>
          <w:lang w:val="en-GB"/>
        </w:rPr>
        <w:t>model provides</w:t>
      </w:r>
      <w:r w:rsidR="002018B0" w:rsidRPr="00456C3F">
        <w:rPr>
          <w:lang w:val="en-GB"/>
        </w:rPr>
        <w:t xml:space="preserve"> </w:t>
      </w:r>
      <w:r w:rsidR="00232FB1" w:rsidRPr="00456C3F">
        <w:rPr>
          <w:lang w:val="en-GB"/>
        </w:rPr>
        <w:t xml:space="preserve">parameters </w:t>
      </w:r>
      <w:r w:rsidR="002018B0" w:rsidRPr="00456C3F">
        <w:rPr>
          <w:lang w:val="en-GB"/>
        </w:rPr>
        <w:t>interpretability</w:t>
      </w:r>
      <w:r w:rsidRPr="00456C3F">
        <w:rPr>
          <w:lang w:val="en-GB"/>
        </w:rPr>
        <w:t xml:space="preserve"> and</w:t>
      </w:r>
      <w:r w:rsidR="004D1C7C" w:rsidRPr="00456C3F">
        <w:rPr>
          <w:lang w:val="en-GB"/>
        </w:rPr>
        <w:t xml:space="preserve"> system insights</w:t>
      </w:r>
      <w:r w:rsidR="00FF19BB" w:rsidRPr="00456C3F">
        <w:rPr>
          <w:lang w:val="en-GB"/>
        </w:rPr>
        <w:t xml:space="preserve"> very useful for design</w:t>
      </w:r>
      <w:r w:rsidR="002018B0" w:rsidRPr="00456C3F">
        <w:rPr>
          <w:lang w:val="en-GB"/>
        </w:rPr>
        <w:t xml:space="preserve">. </w:t>
      </w:r>
      <w:r w:rsidR="00A50C23" w:rsidRPr="00456C3F">
        <w:rPr>
          <w:lang w:val="en-GB"/>
        </w:rPr>
        <w:t xml:space="preserve">As a drawback, </w:t>
      </w:r>
      <w:r w:rsidR="004D1C7C" w:rsidRPr="00456C3F">
        <w:rPr>
          <w:lang w:val="en-GB"/>
        </w:rPr>
        <w:t xml:space="preserve">due to the absence of fouling the system </w:t>
      </w:r>
      <w:r w:rsidRPr="00456C3F">
        <w:rPr>
          <w:lang w:val="en-GB"/>
        </w:rPr>
        <w:t>is</w:t>
      </w:r>
      <w:r w:rsidR="004D1C7C" w:rsidRPr="00456C3F">
        <w:rPr>
          <w:lang w:val="en-GB"/>
        </w:rPr>
        <w:t xml:space="preserve"> time-invariant, and the challenge is considerably lower. </w:t>
      </w:r>
    </w:p>
    <w:p w14:paraId="1DEB39B5" w14:textId="77777777" w:rsidR="00BB10FF" w:rsidRPr="00456C3F" w:rsidRDefault="00BB10FF" w:rsidP="005B3300">
      <w:pPr>
        <w:pStyle w:val="Els-body-text"/>
        <w:rPr>
          <w:lang w:val="en-GB"/>
        </w:rPr>
      </w:pPr>
    </w:p>
    <w:p w14:paraId="2CD9E93F" w14:textId="6B548DEE" w:rsidR="00402450" w:rsidRPr="00456C3F" w:rsidRDefault="008B1A2E" w:rsidP="005B3300">
      <w:pPr>
        <w:pStyle w:val="Els-body-text"/>
        <w:rPr>
          <w:lang w:val="en-GB"/>
        </w:rPr>
      </w:pPr>
      <w:r w:rsidRPr="00456C3F">
        <w:rPr>
          <w:lang w:val="en-GB"/>
        </w:rPr>
        <w:t xml:space="preserve">On the other hand, </w:t>
      </w:r>
      <w:r w:rsidR="00697B18" w:rsidRPr="00456C3F">
        <w:rPr>
          <w:lang w:val="en-GB"/>
        </w:rPr>
        <w:t>if</w:t>
      </w:r>
      <w:r w:rsidRPr="00456C3F">
        <w:rPr>
          <w:lang w:val="en-GB"/>
        </w:rPr>
        <w:t xml:space="preserve"> the </w:t>
      </w:r>
      <w:r w:rsidR="00F210D2" w:rsidRPr="00456C3F">
        <w:rPr>
          <w:lang w:val="en-GB"/>
        </w:rPr>
        <w:t>high-frequency</w:t>
      </w:r>
      <w:r w:rsidRPr="00456C3F">
        <w:rPr>
          <w:lang w:val="en-GB"/>
        </w:rPr>
        <w:t xml:space="preserve"> backshock/backwash system</w:t>
      </w:r>
      <w:r w:rsidR="005B3300" w:rsidRPr="00456C3F">
        <w:rPr>
          <w:lang w:val="en-GB"/>
        </w:rPr>
        <w:t xml:space="preserve"> </w:t>
      </w:r>
      <w:r w:rsidR="00697B18" w:rsidRPr="00456C3F">
        <w:rPr>
          <w:lang w:val="en-GB"/>
        </w:rPr>
        <w:t xml:space="preserve">is </w:t>
      </w:r>
      <w:r w:rsidR="005B3300" w:rsidRPr="00456C3F">
        <w:rPr>
          <w:lang w:val="en-GB"/>
        </w:rPr>
        <w:t>under uncertainty</w:t>
      </w:r>
      <w:r w:rsidR="004D1C7C" w:rsidRPr="00456C3F">
        <w:rPr>
          <w:lang w:val="en-GB"/>
        </w:rPr>
        <w:t xml:space="preserve"> of real industrial application</w:t>
      </w:r>
      <w:r w:rsidR="00697B18" w:rsidRPr="00456C3F">
        <w:rPr>
          <w:lang w:val="en-GB"/>
        </w:rPr>
        <w:t>, t</w:t>
      </w:r>
      <w:r w:rsidR="004D27A6" w:rsidRPr="00456C3F">
        <w:rPr>
          <w:lang w:val="en-GB"/>
        </w:rPr>
        <w:t>he</w:t>
      </w:r>
      <w:r w:rsidR="005B3300" w:rsidRPr="00456C3F">
        <w:rPr>
          <w:lang w:val="en-GB"/>
        </w:rPr>
        <w:t xml:space="preserve"> </w:t>
      </w:r>
      <w:r w:rsidR="004D27A6" w:rsidRPr="00456C3F">
        <w:rPr>
          <w:lang w:val="en-GB"/>
        </w:rPr>
        <w:t>lack of concentration monitoring and</w:t>
      </w:r>
      <w:r w:rsidR="009C2EAD" w:rsidRPr="00456C3F">
        <w:rPr>
          <w:lang w:val="en-GB"/>
        </w:rPr>
        <w:t xml:space="preserve"> dynamic</w:t>
      </w:r>
      <w:r w:rsidR="004D27A6" w:rsidRPr="00456C3F">
        <w:rPr>
          <w:lang w:val="en-GB"/>
        </w:rPr>
        <w:t xml:space="preserve"> operation </w:t>
      </w:r>
      <w:r w:rsidR="009C2EAD" w:rsidRPr="00456C3F">
        <w:rPr>
          <w:lang w:val="en-GB"/>
        </w:rPr>
        <w:t>forced the usage of</w:t>
      </w:r>
      <w:r w:rsidR="004D27A6" w:rsidRPr="00456C3F">
        <w:rPr>
          <w:lang w:val="en-GB"/>
        </w:rPr>
        <w:t xml:space="preserve"> darker hybrid </w:t>
      </w:r>
      <w:r w:rsidR="009C2EAD" w:rsidRPr="00456C3F">
        <w:rPr>
          <w:lang w:val="en-GB"/>
        </w:rPr>
        <w:t>approach</w:t>
      </w:r>
      <w:r w:rsidR="007B6103" w:rsidRPr="00456C3F">
        <w:rPr>
          <w:lang w:val="en-GB"/>
        </w:rPr>
        <w:t>es</w:t>
      </w:r>
      <w:r w:rsidR="009C2EAD" w:rsidRPr="00456C3F">
        <w:rPr>
          <w:lang w:val="en-GB"/>
        </w:rPr>
        <w:t xml:space="preserve"> </w:t>
      </w:r>
      <w:r w:rsidR="004D27A6" w:rsidRPr="00456C3F">
        <w:rPr>
          <w:lang w:val="en-GB"/>
        </w:rPr>
        <w:t>or fully data-drive</w:t>
      </w:r>
      <w:r w:rsidR="004D1C7C" w:rsidRPr="00456C3F">
        <w:rPr>
          <w:lang w:val="en-GB"/>
        </w:rPr>
        <w:t>n</w:t>
      </w:r>
      <w:r w:rsidR="004D27A6" w:rsidRPr="00456C3F">
        <w:rPr>
          <w:lang w:val="en-GB"/>
        </w:rPr>
        <w:t xml:space="preserve"> </w:t>
      </w:r>
      <w:r w:rsidR="004D1C7C" w:rsidRPr="00456C3F">
        <w:rPr>
          <w:lang w:val="en-GB"/>
        </w:rPr>
        <w:t>model</w:t>
      </w:r>
      <w:r w:rsidR="005B3300" w:rsidRPr="00456C3F">
        <w:rPr>
          <w:lang w:val="en-GB"/>
        </w:rPr>
        <w:t xml:space="preserve"> </w:t>
      </w:r>
      <w:r w:rsidR="005B3300" w:rsidRPr="00456C3F">
        <w:rPr>
          <w:lang w:val="en-GB"/>
        </w:rPr>
        <w:fldChar w:fldCharType="begin" w:fldLock="1"/>
      </w:r>
      <w:r w:rsidR="003A734E" w:rsidRPr="00456C3F">
        <w:rPr>
          <w:lang w:val="en-GB"/>
        </w:rPr>
        <w:instrText>ADDIN CSL_CITATION {"citationItems":[{"id":"ITEM-1","itemData":{"DOI":"10.1016/B978-0-444-63965-3.50455-4","ISSN":"15707946","abstract":"In order to intensify membrane filtration technology for water purification, dynamic operation has been proposed. However, optimal operation of this system demands extensive experiments and sometimes cannot be reliably estimated due to its dynamic nature. In this contribution, system identification techniques are investigated in order to develop black box models for a real wastewater treatment application. Single Input-Single Output (SISO) structures have shown to be insufficient to model system behaviour, especially at high frequencies. On the other hand, by including known variance through multiple input signals, a Multiple Input-Single Output (MISO) approach has substantially increased the model quality and therefore was used to investigate the critical flux operation. The model structure showed significant changes around the critical flux operating point and therefore it is believed that those could be used to identify critical flux instead of using the demanding off line conventional methods. Using these results, a method for critical flux identification of dynamic systems is under development.","author":[{"dropping-particle":"","family":"Prado-Rubio","given":"Oscar A.","non-dropping-particle":"","parse-names":false,"suffix":""},{"dropping-particle":"","family":"Stosch","given":"Moritz","non-dropping-particle":"von","parse-names":false,"suffix":""}],"container-title":"Computer Aided Chemical Engineering","id":"ITEM-1","issued":{"date-parts":[["2017"]]},"page":"2719-2724","title":"Towards Sustainable Flux Determination for Dynamic Ultrafiltration through Multivariable System Identification","type":"article-journal","volume":"40"},"uris":["http://www.mendeley.com/documents/?uuid=07ec3d71-8ec7-402c-9cbe-bcf26e2754ec"]},{"id":"ITEM-2","itemData":{"DOI":"10.1016/B978-0-444-63965-3.50034-9","ISSN":"15707946","abstract":"© 2017 Elsevier B.V. Membrane processes are an interesting alternative for water treatment because these are compact and they require low energy consumption and low or no chemical load. However, the performance of membrane processes are sensitive to water conditions and the operation deteriorates with time. For this reason, operational strategies for physical or chemical membrane cleaning are applied in order to prolong system operation. For control and design purposes, mathematical models that describe the impact of these inputs on the membrane performance are required. In this work, a hybrid model was developed for this purpose, combining Darcy's law and a neural network. The experimental data used are from the wastewater treatment of a petrochemical process. Two strategies of physical cleaning, back-shock and backwashing, are considered in the hybrid model. Additionally, the model can predict the behavior of the ultrafiltration process without cleaning. Hence, the hybrid model can be used for the optimization and the control of ultrafiltration processes under several strategies of operation.","author":[{"dropping-particle":"","family":"Díaz","given":"V.H.G.","non-dropping-particle":"","parse-names":false,"suffix":""},{"dropping-particle":"","family":"Prado-Rubio","given":"O.A.","non-dropping-particle":"","parse-names":false,"suffix":""},{"dropping-particle":"","family":"Willis","given":"M.J.","non-dropping-particle":"","parse-names":false,"suffix":""},{"dropping-particle":"","family":"Stosch","given":"M.","non-dropping-particle":"von","parse-names":false,"suffix":""}],"container-title":"Computer Aided Chemical Engineering","id":"ITEM-2","issued":{"date-parts":[["2017"]]},"title":"Dynamic hybrid model for ultrafiltration membrane processes","type":"book","volume":"40"},"uris":["http://www.mendeley.com/documents/?uuid=626e7530-59cb-3358-a9ac-7608549a0c06"]}],"mendeley":{"formattedCitation":"(Díaz et al., 2017; Prado-Rubio &amp; von Stosch, 2017)","plainTextFormattedCitation":"(Díaz et al., 2017; Prado-Rubio &amp; von Stosch, 2017)","previouslyFormattedCitation":"(Díaz et al., 2017; Prado-Rubio &amp; von Stosch, 2017)"},"properties":{"noteIndex":0},"schema":"https://github.com/citation-style-language/schema/raw/master/csl-citation.json"}</w:instrText>
      </w:r>
      <w:r w:rsidR="005B3300" w:rsidRPr="00456C3F">
        <w:rPr>
          <w:lang w:val="en-GB"/>
        </w:rPr>
        <w:fldChar w:fldCharType="separate"/>
      </w:r>
      <w:r w:rsidR="00941597" w:rsidRPr="00456C3F">
        <w:rPr>
          <w:noProof/>
          <w:lang w:val="en-GB"/>
        </w:rPr>
        <w:t>(Díaz et al., 2017; Prado-Rubio &amp; von Stosch, 2017)</w:t>
      </w:r>
      <w:r w:rsidR="005B3300" w:rsidRPr="00456C3F">
        <w:rPr>
          <w:lang w:val="en-GB"/>
        </w:rPr>
        <w:fldChar w:fldCharType="end"/>
      </w:r>
      <w:r w:rsidR="005B3300" w:rsidRPr="00456C3F">
        <w:rPr>
          <w:lang w:val="en-GB"/>
        </w:rPr>
        <w:t xml:space="preserve">. </w:t>
      </w:r>
      <w:r w:rsidR="009C2EAD" w:rsidRPr="00456C3F">
        <w:rPr>
          <w:lang w:val="en-GB"/>
        </w:rPr>
        <w:t>T</w:t>
      </w:r>
      <w:r w:rsidR="00FD6E20" w:rsidRPr="00456C3F">
        <w:rPr>
          <w:lang w:val="en-GB"/>
        </w:rPr>
        <w:t xml:space="preserve">he </w:t>
      </w:r>
      <w:r w:rsidR="00451585" w:rsidRPr="00456C3F">
        <w:rPr>
          <w:lang w:val="en-GB"/>
        </w:rPr>
        <w:t>flux</w:t>
      </w:r>
      <w:r w:rsidR="00FD6E20" w:rsidRPr="00456C3F">
        <w:rPr>
          <w:lang w:val="en-GB"/>
        </w:rPr>
        <w:t xml:space="preserve"> is modelled </w:t>
      </w:r>
      <w:r w:rsidR="009C2EAD" w:rsidRPr="00456C3F">
        <w:rPr>
          <w:lang w:val="en-GB"/>
        </w:rPr>
        <w:t xml:space="preserve">through Darcy’s law </w:t>
      </w:r>
      <w:r w:rsidR="00FD6E20" w:rsidRPr="00456C3F">
        <w:rPr>
          <w:lang w:val="en-GB"/>
        </w:rPr>
        <w:t>considering the osmotic pressure. Data-driven approaches are used to model the time-variant transport resistance. In that way,</w:t>
      </w:r>
      <w:r w:rsidR="007B6103" w:rsidRPr="00456C3F">
        <w:rPr>
          <w:lang w:val="en-GB"/>
        </w:rPr>
        <w:t xml:space="preserve"> the</w:t>
      </w:r>
      <w:r w:rsidR="00FD6E20" w:rsidRPr="00456C3F">
        <w:rPr>
          <w:lang w:val="en-GB"/>
        </w:rPr>
        <w:t xml:space="preserve"> fouling rate can be estimated in a wide range of operating conditions. Those approaches have shown high accuracy (&gt;95%)</w:t>
      </w:r>
      <w:r w:rsidR="00451585" w:rsidRPr="00456C3F">
        <w:rPr>
          <w:lang w:val="en-GB"/>
        </w:rPr>
        <w:t xml:space="preserve">, comparable with </w:t>
      </w:r>
      <w:r w:rsidR="00FF19BB" w:rsidRPr="00456C3F">
        <w:rPr>
          <w:lang w:val="en-GB"/>
        </w:rPr>
        <w:t xml:space="preserve">machine learning </w:t>
      </w:r>
      <w:r w:rsidR="00451585" w:rsidRPr="00456C3F">
        <w:rPr>
          <w:lang w:val="en-GB"/>
        </w:rPr>
        <w:t xml:space="preserve">results from </w:t>
      </w:r>
      <w:r w:rsidR="007B6103" w:rsidRPr="00456C3F">
        <w:rPr>
          <w:lang w:val="en-GB"/>
        </w:rPr>
        <w:t xml:space="preserve">the </w:t>
      </w:r>
      <w:r w:rsidR="00451585" w:rsidRPr="00456C3F">
        <w:rPr>
          <w:lang w:val="en-GB"/>
        </w:rPr>
        <w:t>literature</w:t>
      </w:r>
      <w:r w:rsidR="00FD6E20" w:rsidRPr="00456C3F">
        <w:rPr>
          <w:lang w:val="en-GB"/>
        </w:rPr>
        <w:t xml:space="preserve">. </w:t>
      </w:r>
      <w:r w:rsidR="00451585" w:rsidRPr="00456C3F">
        <w:rPr>
          <w:lang w:val="en-GB"/>
        </w:rPr>
        <w:t xml:space="preserve">Despite </w:t>
      </w:r>
      <w:r w:rsidR="009C2EAD" w:rsidRPr="00456C3F">
        <w:rPr>
          <w:lang w:val="en-GB"/>
        </w:rPr>
        <w:t>the performance</w:t>
      </w:r>
      <w:r w:rsidR="00FD6E20" w:rsidRPr="00456C3F">
        <w:rPr>
          <w:lang w:val="en-GB"/>
        </w:rPr>
        <w:t xml:space="preserve">, </w:t>
      </w:r>
      <w:r w:rsidR="00451585" w:rsidRPr="00456C3F">
        <w:rPr>
          <w:lang w:val="en-GB"/>
        </w:rPr>
        <w:t>there are some</w:t>
      </w:r>
      <w:r w:rsidR="00FD6E20" w:rsidRPr="00456C3F">
        <w:rPr>
          <w:lang w:val="en-GB"/>
        </w:rPr>
        <w:t xml:space="preserve"> </w:t>
      </w:r>
      <w:r w:rsidR="00B3486C" w:rsidRPr="00456C3F">
        <w:rPr>
          <w:lang w:val="en-GB"/>
        </w:rPr>
        <w:t>drawback</w:t>
      </w:r>
      <w:r w:rsidR="00451585" w:rsidRPr="00456C3F">
        <w:rPr>
          <w:lang w:val="en-GB"/>
        </w:rPr>
        <w:t>s</w:t>
      </w:r>
      <w:r w:rsidR="00FD6E20" w:rsidRPr="00456C3F">
        <w:rPr>
          <w:lang w:val="en-GB"/>
        </w:rPr>
        <w:t xml:space="preserve"> </w:t>
      </w:r>
      <w:r w:rsidR="00451585" w:rsidRPr="00456C3F">
        <w:rPr>
          <w:lang w:val="en-GB"/>
        </w:rPr>
        <w:t xml:space="preserve">as </w:t>
      </w:r>
      <w:r w:rsidR="00FF19BB" w:rsidRPr="00456C3F">
        <w:rPr>
          <w:lang w:val="en-GB"/>
        </w:rPr>
        <w:t xml:space="preserve">a) </w:t>
      </w:r>
      <w:r w:rsidR="00451585" w:rsidRPr="00456C3F">
        <w:rPr>
          <w:lang w:val="en-GB"/>
        </w:rPr>
        <w:t>there are still missing guidelines for model selection</w:t>
      </w:r>
      <w:r w:rsidR="007B6103" w:rsidRPr="00456C3F">
        <w:rPr>
          <w:lang w:val="en-GB"/>
        </w:rPr>
        <w:t xml:space="preserve"> and how much data is required</w:t>
      </w:r>
      <w:r w:rsidR="00FD6E20" w:rsidRPr="00456C3F">
        <w:rPr>
          <w:lang w:val="en-GB"/>
        </w:rPr>
        <w:t>,</w:t>
      </w:r>
      <w:r w:rsidR="00451585" w:rsidRPr="00456C3F">
        <w:rPr>
          <w:lang w:val="en-GB"/>
        </w:rPr>
        <w:t xml:space="preserve"> </w:t>
      </w:r>
      <w:r w:rsidR="00FF19BB" w:rsidRPr="00456C3F">
        <w:rPr>
          <w:lang w:val="en-GB"/>
        </w:rPr>
        <w:t xml:space="preserve">b) </w:t>
      </w:r>
      <w:r w:rsidR="00451585" w:rsidRPr="00456C3F">
        <w:rPr>
          <w:lang w:val="en-GB"/>
        </w:rPr>
        <w:t>models underperform</w:t>
      </w:r>
      <w:r w:rsidR="007B6103" w:rsidRPr="00456C3F">
        <w:rPr>
          <w:lang w:val="en-GB"/>
        </w:rPr>
        <w:t>ance</w:t>
      </w:r>
      <w:r w:rsidR="00451585" w:rsidRPr="00456C3F">
        <w:rPr>
          <w:lang w:val="en-GB"/>
        </w:rPr>
        <w:t xml:space="preserve"> </w:t>
      </w:r>
      <w:r w:rsidR="007B6103" w:rsidRPr="00456C3F">
        <w:rPr>
          <w:lang w:val="en-GB"/>
        </w:rPr>
        <w:t>during</w:t>
      </w:r>
      <w:r w:rsidR="00451585" w:rsidRPr="00456C3F">
        <w:rPr>
          <w:lang w:val="en-GB"/>
        </w:rPr>
        <w:t xml:space="preserve"> validation,</w:t>
      </w:r>
      <w:r w:rsidR="00FD6E20" w:rsidRPr="00456C3F">
        <w:rPr>
          <w:lang w:val="en-GB"/>
        </w:rPr>
        <w:t xml:space="preserve"> </w:t>
      </w:r>
      <w:r w:rsidR="00FF19BB" w:rsidRPr="00456C3F">
        <w:rPr>
          <w:lang w:val="en-GB"/>
        </w:rPr>
        <w:t xml:space="preserve">c) </w:t>
      </w:r>
      <w:r w:rsidR="00FD6E20" w:rsidRPr="00456C3F">
        <w:rPr>
          <w:lang w:val="en-GB"/>
        </w:rPr>
        <w:t>training time</w:t>
      </w:r>
      <w:r w:rsidR="00451585" w:rsidRPr="00456C3F">
        <w:rPr>
          <w:lang w:val="en-GB"/>
        </w:rPr>
        <w:t xml:space="preserve"> could be a problem in real-time applications, and </w:t>
      </w:r>
      <w:r w:rsidR="00FF19BB" w:rsidRPr="00456C3F">
        <w:rPr>
          <w:lang w:val="en-GB"/>
        </w:rPr>
        <w:t xml:space="preserve">d) </w:t>
      </w:r>
      <w:r w:rsidR="00451585" w:rsidRPr="00456C3F">
        <w:rPr>
          <w:lang w:val="en-GB"/>
        </w:rPr>
        <w:t>it is</w:t>
      </w:r>
      <w:r w:rsidR="00FD6E20" w:rsidRPr="00456C3F">
        <w:rPr>
          <w:lang w:val="en-GB"/>
        </w:rPr>
        <w:t xml:space="preserve"> uncertain </w:t>
      </w:r>
      <w:r w:rsidR="00451585" w:rsidRPr="00456C3F">
        <w:rPr>
          <w:lang w:val="en-GB"/>
        </w:rPr>
        <w:t xml:space="preserve">when to perform a </w:t>
      </w:r>
      <w:r w:rsidR="00FD6E20" w:rsidRPr="00456C3F">
        <w:rPr>
          <w:lang w:val="en-GB"/>
        </w:rPr>
        <w:t xml:space="preserve">recalibration. </w:t>
      </w:r>
      <w:r w:rsidR="00451585" w:rsidRPr="00456C3F">
        <w:rPr>
          <w:lang w:val="en-GB"/>
        </w:rPr>
        <w:t xml:space="preserve">To overcome the last issues, we have proposed to use online system identification which has shown comparable </w:t>
      </w:r>
      <w:r w:rsidR="00402450" w:rsidRPr="00456C3F">
        <w:rPr>
          <w:lang w:val="en-GB"/>
        </w:rPr>
        <w:t>quality</w:t>
      </w:r>
      <w:r w:rsidR="00451585" w:rsidRPr="00456C3F">
        <w:rPr>
          <w:lang w:val="en-GB"/>
        </w:rPr>
        <w:t xml:space="preserve"> </w:t>
      </w:r>
      <w:r w:rsidR="007B6103" w:rsidRPr="00456C3F">
        <w:rPr>
          <w:lang w:val="en-GB"/>
        </w:rPr>
        <w:t>to</w:t>
      </w:r>
      <w:r w:rsidR="00451585" w:rsidRPr="00456C3F">
        <w:rPr>
          <w:lang w:val="en-GB"/>
        </w:rPr>
        <w:t xml:space="preserve"> machine learning techniques</w:t>
      </w:r>
      <w:r w:rsidR="00402450" w:rsidRPr="00456C3F">
        <w:rPr>
          <w:lang w:val="en-GB"/>
        </w:rPr>
        <w:t xml:space="preserve"> but it can be trained in real-time and perform fouling rate forecasting </w:t>
      </w:r>
      <w:r w:rsidR="00402450" w:rsidRPr="00456C3F">
        <w:rPr>
          <w:lang w:val="en-GB"/>
        </w:rPr>
        <w:fldChar w:fldCharType="begin" w:fldLock="1"/>
      </w:r>
      <w:r w:rsidR="003A734E" w:rsidRPr="00456C3F">
        <w:rPr>
          <w:lang w:val="en-GB"/>
        </w:rPr>
        <w:instrText>ADDIN CSL_CITATION {"citationItems":[{"id":"ITEM-1","itemData":{"DOI":"10.1016/B978-0-443-15274-0.50409-1","ISSN":"1570-7946","abstract":"In the near future, tools brought on by digitalization will play a more significant role in technology development and operation for debottlenecking challenges in the biochemical industry. In that regard, a novel vibrating membrane filtration system at pilot scale is currently under investigation to fractionate bio-succinic acid fermentation broth. Remarkably sustained flux has been obtained that is 3.6 times higher than the best results found in literature. Experimental data was used to develop a digital object that combine a robust communication system and hybrid model to predict hydrodynamics and fouling rate. The digital object is used to forecast membrane performance 25 min ahead, predicting the flux with high accuracy (4% error) and the onset of the irreversible fouling formation during step-up experiments. These tools will become the core of a digital twin for the adaptive operation of the ultrafiltration system under uncertainty.","author":[{"dropping-particle":"","family":"Prado-Rubio","given":"Oscar A.","non-dropping-particle":"","parse-names":false,"suffix":""},{"dropping-particle":"","family":"Hui","given":"Wai Fung","non-dropping-particle":"","parse-names":false,"suffix":""},{"dropping-particle":"","family":"Stevnsborg","given":"Mads","non-dropping-particle":"","parse-names":false,"suffix":""},{"dropping-particle":"","family":"Pinelo","given":"Manuel","non-dropping-particle":"","parse-names":false,"suffix":""},{"dropping-particle":"","family":"Huusom","given":"Jakob Kjøbsted","non-dropping-particle":"","parse-names":false,"suffix":""}],"container-title":"Computer Aided Chemical Engineering","id":"ITEM-1","issued":{"date-parts":[["2023","1","1"]]},"page":"2575-2580","publisher":"Elsevier","title":"Digital-twin development for a novel vibrating membrane aiming at fractionating fermentation broths","type":"article-journal","volume":"52"},"uris":["http://www.mendeley.com/documents/?uuid=606e4225-43ea-369f-a8ed-e0c6286477a1"]}],"mendeley":{"formattedCitation":"(Prado-Rubio et al., 2023)","plainTextFormattedCitation":"(Prado-Rubio et al., 2023)","previouslyFormattedCitation":"(Prado-Rubio et al., 2023)"},"properties":{"noteIndex":0},"schema":"https://github.com/citation-style-language/schema/raw/master/csl-citation.json"}</w:instrText>
      </w:r>
      <w:r w:rsidR="00402450" w:rsidRPr="00456C3F">
        <w:rPr>
          <w:lang w:val="en-GB"/>
        </w:rPr>
        <w:fldChar w:fldCharType="separate"/>
      </w:r>
      <w:r w:rsidR="00941597" w:rsidRPr="00456C3F">
        <w:rPr>
          <w:noProof/>
          <w:lang w:val="en-GB"/>
        </w:rPr>
        <w:t>(Prado-Rubio et al., 2023)</w:t>
      </w:r>
      <w:r w:rsidR="00402450" w:rsidRPr="00456C3F">
        <w:rPr>
          <w:lang w:val="en-GB"/>
        </w:rPr>
        <w:fldChar w:fldCharType="end"/>
      </w:r>
      <w:r w:rsidR="00402450" w:rsidRPr="00456C3F">
        <w:rPr>
          <w:lang w:val="en-GB"/>
        </w:rPr>
        <w:t xml:space="preserve">. </w:t>
      </w:r>
    </w:p>
    <w:p w14:paraId="144DE6A1" w14:textId="623A6E07" w:rsidR="008D2649" w:rsidRPr="00456C3F" w:rsidRDefault="00AC3448" w:rsidP="008D2649">
      <w:pPr>
        <w:pStyle w:val="Els-1storder-head"/>
        <w:spacing w:after="120"/>
        <w:rPr>
          <w:lang w:val="en-GB"/>
        </w:rPr>
      </w:pPr>
      <w:r w:rsidRPr="00456C3F">
        <w:rPr>
          <w:lang w:val="en-GB"/>
        </w:rPr>
        <w:lastRenderedPageBreak/>
        <w:t xml:space="preserve">Conclusions and </w:t>
      </w:r>
      <w:r w:rsidR="002A6168" w:rsidRPr="00456C3F">
        <w:rPr>
          <w:lang w:val="en-GB"/>
        </w:rPr>
        <w:t>Per</w:t>
      </w:r>
      <w:r w:rsidR="00402450" w:rsidRPr="00456C3F">
        <w:rPr>
          <w:lang w:val="en-GB"/>
        </w:rPr>
        <w:t>s</w:t>
      </w:r>
      <w:r w:rsidR="002A6168" w:rsidRPr="00456C3F">
        <w:rPr>
          <w:lang w:val="en-GB"/>
        </w:rPr>
        <w:t>pectives</w:t>
      </w:r>
      <w:r w:rsidR="00402450" w:rsidRPr="00456C3F">
        <w:rPr>
          <w:lang w:val="en-GB"/>
        </w:rPr>
        <w:t xml:space="preserve"> </w:t>
      </w:r>
    </w:p>
    <w:p w14:paraId="5F66A7BF" w14:textId="556157F6" w:rsidR="00D61C45" w:rsidRPr="00456C3F" w:rsidRDefault="00537F2C" w:rsidP="00D61C45">
      <w:pPr>
        <w:pStyle w:val="Els-body-text"/>
      </w:pPr>
      <w:bookmarkStart w:id="5" w:name="_Hlk155522416"/>
      <w:r w:rsidRPr="00456C3F">
        <w:t>T</w:t>
      </w:r>
      <w:r w:rsidR="00D61C45" w:rsidRPr="00456C3F">
        <w:t xml:space="preserve">he increasing interest in digitalization is driving advances in </w:t>
      </w:r>
      <w:r w:rsidR="00EF1176" w:rsidRPr="00456C3F">
        <w:t>biomanufacturing</w:t>
      </w:r>
      <w:r w:rsidR="00D61C45" w:rsidRPr="00456C3F">
        <w:t xml:space="preserve">. Then, </w:t>
      </w:r>
      <w:r w:rsidR="005118DC" w:rsidRPr="00456C3F">
        <w:t xml:space="preserve">education </w:t>
      </w:r>
      <w:r w:rsidR="00D61C45" w:rsidRPr="00456C3F">
        <w:t>must cope with the future skills required in Industry 4.0</w:t>
      </w:r>
      <w:r w:rsidR="005118DC" w:rsidRPr="00456C3F">
        <w:t>, towards the development and usage of digital assisted tools</w:t>
      </w:r>
      <w:r w:rsidR="00D61C45" w:rsidRPr="00456C3F">
        <w:t xml:space="preserve">. </w:t>
      </w:r>
      <w:r w:rsidR="00DD0AD1" w:rsidRPr="00456C3F">
        <w:t>Relevant skills to be further developed</w:t>
      </w:r>
      <w:r w:rsidR="00EF1176" w:rsidRPr="00456C3F">
        <w:t xml:space="preserve"> for students</w:t>
      </w:r>
      <w:r w:rsidR="00DD0AD1" w:rsidRPr="00456C3F">
        <w:t xml:space="preserve"> are programming </w:t>
      </w:r>
      <w:r w:rsidR="00E446C7" w:rsidRPr="00456C3F">
        <w:t xml:space="preserve">in different environments </w:t>
      </w:r>
      <w:r w:rsidR="00DD0AD1" w:rsidRPr="00456C3F">
        <w:t xml:space="preserve">and numerical methods tuning for real-time applications. On the other hand, the implementation of digital objects becomes relevant for students’ training as a decision-support tool, where the forecasting capabilities of states and unmeasured KPIs can enable to obtain better experimental data and </w:t>
      </w:r>
      <w:r w:rsidR="00BB10FF" w:rsidRPr="00456C3F">
        <w:t>learning experience during the experiments.</w:t>
      </w:r>
      <w:r w:rsidR="00DD0AD1" w:rsidRPr="00456C3F">
        <w:t xml:space="preserve"> </w:t>
      </w:r>
      <w:r w:rsidR="00697B18" w:rsidRPr="00456C3F">
        <w:t xml:space="preserve">This is because the students can focus on the experience insights instead of dealing recipe-based tasks or solving by trial-and-error/intuition-based the experiment bottlenecks, accelerating their learning curve. </w:t>
      </w:r>
      <w:r w:rsidR="00D84A88" w:rsidRPr="00456C3F">
        <w:rPr>
          <w:lang w:val="en-GB"/>
        </w:rPr>
        <w:t xml:space="preserve">As a take-home message, the digital objects could be the combination of approaches. From one side, hybrid models and data-hungry machine learning could be used for process design or to identify best operation scenarios (through determination of critical flux and faulty conditions), either for automatic operation or as decision support tool for users.  </w:t>
      </w:r>
      <w:r w:rsidR="007D0AE3" w:rsidRPr="00456C3F">
        <w:rPr>
          <w:lang w:val="en-GB"/>
        </w:rPr>
        <w:t>As an alternative</w:t>
      </w:r>
      <w:r w:rsidR="00D84A88" w:rsidRPr="00456C3F">
        <w:rPr>
          <w:lang w:val="en-GB"/>
        </w:rPr>
        <w:t xml:space="preserve">, the data inexpensive method as online system identification could be used for short horizon forecasting complementing results from hybrid approaches. </w:t>
      </w:r>
      <w:r w:rsidR="00700BE6" w:rsidRPr="00456C3F">
        <w:t xml:space="preserve">Due to the emerging nature of this field, research </w:t>
      </w:r>
      <w:r w:rsidR="00D61C45" w:rsidRPr="00456C3F">
        <w:t xml:space="preserve">projects involving the design of digital objects </w:t>
      </w:r>
      <w:r w:rsidR="00DA72BF" w:rsidRPr="00456C3F">
        <w:t>facilitate</w:t>
      </w:r>
      <w:r w:rsidR="00700BE6" w:rsidRPr="00456C3F">
        <w:t xml:space="preserve"> increasing the required understanding</w:t>
      </w:r>
      <w:r w:rsidR="00DA72BF" w:rsidRPr="00456C3F">
        <w:t xml:space="preserve"> to massify their implementation</w:t>
      </w:r>
      <w:r w:rsidR="00700BE6" w:rsidRPr="00456C3F">
        <w:t xml:space="preserve">. </w:t>
      </w:r>
    </w:p>
    <w:p w14:paraId="0533DE02" w14:textId="77777777" w:rsidR="00A56B5C" w:rsidRPr="00456C3F" w:rsidRDefault="00A56B5C" w:rsidP="00D61C45">
      <w:pPr>
        <w:pStyle w:val="Els-body-text"/>
      </w:pPr>
    </w:p>
    <w:p w14:paraId="61A73C32" w14:textId="77777777" w:rsidR="00A56B5C" w:rsidRPr="00456C3F" w:rsidRDefault="00A56B5C" w:rsidP="00A56B5C">
      <w:pPr>
        <w:pStyle w:val="Els-body-text"/>
        <w:rPr>
          <w:b/>
          <w:bCs/>
          <w:lang w:val="en-GB"/>
        </w:rPr>
      </w:pPr>
      <w:r w:rsidRPr="00456C3F">
        <w:rPr>
          <w:b/>
          <w:bCs/>
          <w:lang w:val="en-GB"/>
        </w:rPr>
        <w:t>Acknowledgements</w:t>
      </w:r>
    </w:p>
    <w:p w14:paraId="67BD2B32" w14:textId="7E4FE6DF" w:rsidR="00A56B5C" w:rsidRPr="00456C3F" w:rsidRDefault="00A56B5C" w:rsidP="00A56B5C">
      <w:pPr>
        <w:pStyle w:val="Els-body-text"/>
        <w:rPr>
          <w:lang w:val="en-GB"/>
        </w:rPr>
      </w:pPr>
      <w:r w:rsidRPr="00456C3F">
        <w:rPr>
          <w:lang w:val="en-GB"/>
        </w:rPr>
        <w:t xml:space="preserve">This research was founded by Novo Nordisk Foundation grant NNF19SA0035474. </w:t>
      </w:r>
    </w:p>
    <w:bookmarkEnd w:id="5"/>
    <w:p w14:paraId="144DE6BF" w14:textId="608D0AD6" w:rsidR="008D2649" w:rsidRPr="00456C3F" w:rsidRDefault="008D2649" w:rsidP="008D2649">
      <w:pPr>
        <w:pStyle w:val="Els-reference-head"/>
        <w:rPr>
          <w:lang w:val="es-CO"/>
        </w:rPr>
      </w:pPr>
      <w:r w:rsidRPr="00456C3F">
        <w:rPr>
          <w:lang w:val="es-CO"/>
        </w:rPr>
        <w:t>References</w:t>
      </w:r>
    </w:p>
    <w:p w14:paraId="4E18D456" w14:textId="77777777" w:rsidR="00A74428" w:rsidRPr="00456C3F" w:rsidRDefault="00A74428" w:rsidP="00941597">
      <w:pPr>
        <w:pStyle w:val="Els-referenceno-number"/>
        <w:jc w:val="both"/>
        <w:rPr>
          <w:lang w:val="es-CO"/>
        </w:rPr>
      </w:pPr>
    </w:p>
    <w:p w14:paraId="64B347BF" w14:textId="0E77BA5A" w:rsidR="003A734E" w:rsidRPr="00456C3F" w:rsidRDefault="00A74428" w:rsidP="00E446C7">
      <w:pPr>
        <w:widowControl w:val="0"/>
        <w:autoSpaceDE w:val="0"/>
        <w:autoSpaceDN w:val="0"/>
        <w:adjustRightInd w:val="0"/>
        <w:jc w:val="both"/>
        <w:rPr>
          <w:noProof/>
          <w:sz w:val="18"/>
          <w:szCs w:val="24"/>
        </w:rPr>
      </w:pPr>
      <w:r w:rsidRPr="00456C3F">
        <w:fldChar w:fldCharType="begin" w:fldLock="1"/>
      </w:r>
      <w:r w:rsidRPr="00456C3F">
        <w:rPr>
          <w:lang w:val="es-CO"/>
        </w:rPr>
        <w:instrText xml:space="preserve">ADDIN Mendeley Bibliography CSL_BIBLIOGRAPHY </w:instrText>
      </w:r>
      <w:r w:rsidRPr="00456C3F">
        <w:fldChar w:fldCharType="separate"/>
      </w:r>
      <w:r w:rsidR="003A734E" w:rsidRPr="00456C3F">
        <w:rPr>
          <w:noProof/>
          <w:sz w:val="18"/>
          <w:szCs w:val="24"/>
          <w:lang w:val="es-CO"/>
        </w:rPr>
        <w:t xml:space="preserve">Bähner, F. D., Prado-Rubio, O. A., &amp; Huusom, J. K. (2021). </w:t>
      </w:r>
      <w:r w:rsidR="003A734E" w:rsidRPr="00456C3F">
        <w:rPr>
          <w:noProof/>
          <w:sz w:val="18"/>
          <w:szCs w:val="24"/>
        </w:rPr>
        <w:t xml:space="preserve">Challenges in Optimization and Control of Biobased Process Systems: An Industrial-Academic Perspective. </w:t>
      </w:r>
      <w:r w:rsidR="003A734E" w:rsidRPr="00456C3F">
        <w:rPr>
          <w:i/>
          <w:iCs/>
          <w:noProof/>
          <w:sz w:val="18"/>
          <w:szCs w:val="24"/>
        </w:rPr>
        <w:t>Industrial and Engineering Chemistry Research</w:t>
      </w:r>
      <w:r w:rsidR="003A734E" w:rsidRPr="00456C3F">
        <w:rPr>
          <w:noProof/>
          <w:sz w:val="18"/>
          <w:szCs w:val="24"/>
        </w:rPr>
        <w:t xml:space="preserve">, </w:t>
      </w:r>
      <w:r w:rsidR="003A734E" w:rsidRPr="00456C3F">
        <w:rPr>
          <w:i/>
          <w:iCs/>
          <w:noProof/>
          <w:sz w:val="18"/>
          <w:szCs w:val="24"/>
        </w:rPr>
        <w:t>60</w:t>
      </w:r>
      <w:r w:rsidR="003A734E" w:rsidRPr="00456C3F">
        <w:rPr>
          <w:noProof/>
          <w:sz w:val="18"/>
          <w:szCs w:val="24"/>
        </w:rPr>
        <w:t>(42), 14985–15003.</w:t>
      </w:r>
    </w:p>
    <w:p w14:paraId="4CD44978" w14:textId="77777777" w:rsidR="003A734E" w:rsidRPr="00456C3F" w:rsidRDefault="003A734E" w:rsidP="00E446C7">
      <w:pPr>
        <w:widowControl w:val="0"/>
        <w:autoSpaceDE w:val="0"/>
        <w:autoSpaceDN w:val="0"/>
        <w:adjustRightInd w:val="0"/>
        <w:jc w:val="both"/>
        <w:rPr>
          <w:noProof/>
          <w:sz w:val="18"/>
          <w:szCs w:val="24"/>
        </w:rPr>
      </w:pPr>
      <w:r w:rsidRPr="00456C3F">
        <w:rPr>
          <w:noProof/>
          <w:sz w:val="18"/>
          <w:szCs w:val="24"/>
        </w:rPr>
        <w:t xml:space="preserve">Deloitte. (2017). Digital Transformation : Are chemical enterprises ready? In </w:t>
      </w:r>
      <w:r w:rsidRPr="00456C3F">
        <w:rPr>
          <w:i/>
          <w:iCs/>
          <w:noProof/>
          <w:sz w:val="18"/>
          <w:szCs w:val="24"/>
        </w:rPr>
        <w:t>Deloitte</w:t>
      </w:r>
      <w:r w:rsidRPr="00456C3F">
        <w:rPr>
          <w:noProof/>
          <w:sz w:val="18"/>
          <w:szCs w:val="24"/>
        </w:rPr>
        <w:t xml:space="preserve"> (Issue January).</w:t>
      </w:r>
    </w:p>
    <w:p w14:paraId="07136DB1" w14:textId="77777777" w:rsidR="003A734E" w:rsidRPr="00456C3F" w:rsidRDefault="003A734E" w:rsidP="00E446C7">
      <w:pPr>
        <w:widowControl w:val="0"/>
        <w:autoSpaceDE w:val="0"/>
        <w:autoSpaceDN w:val="0"/>
        <w:adjustRightInd w:val="0"/>
        <w:jc w:val="both"/>
        <w:rPr>
          <w:noProof/>
          <w:sz w:val="18"/>
          <w:szCs w:val="24"/>
        </w:rPr>
      </w:pPr>
      <w:r w:rsidRPr="00456C3F">
        <w:rPr>
          <w:noProof/>
          <w:sz w:val="18"/>
          <w:szCs w:val="24"/>
        </w:rPr>
        <w:t xml:space="preserve">Díaz, V. H. G., Prado-Rubio, O. A., Willis, M. J., &amp; von Stosch, M. (2017). Dynamic hybrid model for ultrafiltration membrane processes. In </w:t>
      </w:r>
      <w:r w:rsidRPr="00456C3F">
        <w:rPr>
          <w:i/>
          <w:iCs/>
          <w:noProof/>
          <w:sz w:val="18"/>
          <w:szCs w:val="24"/>
        </w:rPr>
        <w:t>Computer Aided Chemical Engineering</w:t>
      </w:r>
      <w:r w:rsidRPr="00456C3F">
        <w:rPr>
          <w:noProof/>
          <w:sz w:val="18"/>
          <w:szCs w:val="24"/>
        </w:rPr>
        <w:t xml:space="preserve"> (Vol. 40).</w:t>
      </w:r>
    </w:p>
    <w:p w14:paraId="0F63E4C3" w14:textId="77777777" w:rsidR="003A734E" w:rsidRPr="00456C3F" w:rsidRDefault="003A734E" w:rsidP="00E446C7">
      <w:pPr>
        <w:widowControl w:val="0"/>
        <w:autoSpaceDE w:val="0"/>
        <w:autoSpaceDN w:val="0"/>
        <w:adjustRightInd w:val="0"/>
        <w:jc w:val="both"/>
        <w:rPr>
          <w:noProof/>
          <w:sz w:val="18"/>
          <w:szCs w:val="24"/>
        </w:rPr>
      </w:pPr>
      <w:r w:rsidRPr="00456C3F">
        <w:rPr>
          <w:noProof/>
          <w:sz w:val="18"/>
          <w:szCs w:val="24"/>
        </w:rPr>
        <w:t xml:space="preserve">Jones, M. N., Stevnsborg, M., Nielsen, R. F., Carberry, D., Bagherpour, K., Mansouri, S. S., Larsen, S., Gernaey, K. V., Dreyer, J., Woodley, J., Huusom, J. K., &amp; Dam-Johansen, K. (2022). Pilot Plant 4.0: A Review of Digitalization Efforts of the Chemical and Biochemical Engineering Department at the Technical University of Denmark (DTU). </w:t>
      </w:r>
      <w:r w:rsidRPr="00456C3F">
        <w:rPr>
          <w:i/>
          <w:iCs/>
          <w:noProof/>
          <w:sz w:val="18"/>
          <w:szCs w:val="24"/>
        </w:rPr>
        <w:t>Computer Aided Chemical Engineering</w:t>
      </w:r>
      <w:r w:rsidRPr="00456C3F">
        <w:rPr>
          <w:noProof/>
          <w:sz w:val="18"/>
          <w:szCs w:val="24"/>
        </w:rPr>
        <w:t xml:space="preserve">, </w:t>
      </w:r>
      <w:r w:rsidRPr="00456C3F">
        <w:rPr>
          <w:i/>
          <w:iCs/>
          <w:noProof/>
          <w:sz w:val="18"/>
          <w:szCs w:val="24"/>
        </w:rPr>
        <w:t>49</w:t>
      </w:r>
      <w:r w:rsidRPr="00456C3F">
        <w:rPr>
          <w:noProof/>
          <w:sz w:val="18"/>
          <w:szCs w:val="24"/>
        </w:rPr>
        <w:t>, 1525–1530.</w:t>
      </w:r>
    </w:p>
    <w:p w14:paraId="064BCEEE" w14:textId="77777777" w:rsidR="003A734E" w:rsidRPr="00456C3F" w:rsidRDefault="003A734E" w:rsidP="00E446C7">
      <w:pPr>
        <w:widowControl w:val="0"/>
        <w:autoSpaceDE w:val="0"/>
        <w:autoSpaceDN w:val="0"/>
        <w:adjustRightInd w:val="0"/>
        <w:jc w:val="both"/>
        <w:rPr>
          <w:noProof/>
          <w:sz w:val="18"/>
          <w:szCs w:val="24"/>
        </w:rPr>
      </w:pPr>
      <w:r w:rsidRPr="00456C3F">
        <w:rPr>
          <w:noProof/>
          <w:sz w:val="18"/>
          <w:szCs w:val="24"/>
        </w:rPr>
        <w:t xml:space="preserve">López-Murillo, L. H., Grisales-Díaz, V. H., Pinelo, M., &amp; Prado-Rubio, O. A. (2021). Ultrafiltration intensification by dynamic operation: Insights from hybrid modeling. </w:t>
      </w:r>
      <w:r w:rsidRPr="00456C3F">
        <w:rPr>
          <w:i/>
          <w:iCs/>
          <w:noProof/>
          <w:sz w:val="18"/>
          <w:szCs w:val="24"/>
        </w:rPr>
        <w:t>Chemical Engineering and Processing - Process Intensification</w:t>
      </w:r>
      <w:r w:rsidRPr="00456C3F">
        <w:rPr>
          <w:noProof/>
          <w:sz w:val="18"/>
          <w:szCs w:val="24"/>
        </w:rPr>
        <w:t xml:space="preserve">, </w:t>
      </w:r>
      <w:r w:rsidRPr="00456C3F">
        <w:rPr>
          <w:i/>
          <w:iCs/>
          <w:noProof/>
          <w:sz w:val="18"/>
          <w:szCs w:val="24"/>
        </w:rPr>
        <w:t>169</w:t>
      </w:r>
      <w:r w:rsidRPr="00456C3F">
        <w:rPr>
          <w:noProof/>
          <w:sz w:val="18"/>
          <w:szCs w:val="24"/>
        </w:rPr>
        <w:t>, 108618.</w:t>
      </w:r>
    </w:p>
    <w:p w14:paraId="254E3BE2" w14:textId="77777777" w:rsidR="003A734E" w:rsidRPr="00456C3F" w:rsidRDefault="003A734E" w:rsidP="00E446C7">
      <w:pPr>
        <w:widowControl w:val="0"/>
        <w:autoSpaceDE w:val="0"/>
        <w:autoSpaceDN w:val="0"/>
        <w:adjustRightInd w:val="0"/>
        <w:jc w:val="both"/>
        <w:rPr>
          <w:noProof/>
          <w:sz w:val="18"/>
          <w:szCs w:val="24"/>
        </w:rPr>
      </w:pPr>
      <w:r w:rsidRPr="00456C3F">
        <w:rPr>
          <w:noProof/>
          <w:sz w:val="18"/>
          <w:szCs w:val="24"/>
        </w:rPr>
        <w:t xml:space="preserve">Markets and Markets. (2023). </w:t>
      </w:r>
      <w:r w:rsidRPr="00456C3F">
        <w:rPr>
          <w:i/>
          <w:iCs/>
          <w:noProof/>
          <w:sz w:val="18"/>
          <w:szCs w:val="24"/>
        </w:rPr>
        <w:t>Digital Twin Market Size, Share, Industry Report, Revenue Trends and Growth Drivers</w:t>
      </w:r>
      <w:r w:rsidRPr="00456C3F">
        <w:rPr>
          <w:noProof/>
          <w:sz w:val="18"/>
          <w:szCs w:val="24"/>
        </w:rPr>
        <w:t>.</w:t>
      </w:r>
    </w:p>
    <w:p w14:paraId="455C0227" w14:textId="77777777" w:rsidR="003A734E" w:rsidRPr="00456C3F" w:rsidRDefault="003A734E" w:rsidP="00E446C7">
      <w:pPr>
        <w:widowControl w:val="0"/>
        <w:autoSpaceDE w:val="0"/>
        <w:autoSpaceDN w:val="0"/>
        <w:adjustRightInd w:val="0"/>
        <w:jc w:val="both"/>
        <w:rPr>
          <w:noProof/>
          <w:sz w:val="18"/>
          <w:szCs w:val="24"/>
        </w:rPr>
      </w:pPr>
      <w:r w:rsidRPr="00456C3F">
        <w:rPr>
          <w:noProof/>
          <w:sz w:val="18"/>
          <w:szCs w:val="24"/>
        </w:rPr>
        <w:t xml:space="preserve">McKinsey Digital. (2015). </w:t>
      </w:r>
      <w:r w:rsidRPr="00456C3F">
        <w:rPr>
          <w:i/>
          <w:iCs/>
          <w:noProof/>
          <w:sz w:val="18"/>
          <w:szCs w:val="24"/>
        </w:rPr>
        <w:t>Industry 4.0 How to navigate digitalization of the manufacturing sector</w:t>
      </w:r>
      <w:r w:rsidRPr="00456C3F">
        <w:rPr>
          <w:noProof/>
          <w:sz w:val="18"/>
          <w:szCs w:val="24"/>
        </w:rPr>
        <w:t>.</w:t>
      </w:r>
    </w:p>
    <w:p w14:paraId="75CB5CB8" w14:textId="77777777" w:rsidR="003A734E" w:rsidRPr="00456C3F" w:rsidRDefault="003A734E" w:rsidP="00E446C7">
      <w:pPr>
        <w:widowControl w:val="0"/>
        <w:autoSpaceDE w:val="0"/>
        <w:autoSpaceDN w:val="0"/>
        <w:adjustRightInd w:val="0"/>
        <w:jc w:val="both"/>
        <w:rPr>
          <w:noProof/>
          <w:sz w:val="18"/>
          <w:szCs w:val="24"/>
        </w:rPr>
      </w:pPr>
      <w:r w:rsidRPr="00456C3F">
        <w:rPr>
          <w:noProof/>
          <w:sz w:val="18"/>
          <w:szCs w:val="24"/>
          <w:lang w:val="es-CO"/>
        </w:rPr>
        <w:t xml:space="preserve">Prado-Rubio, O. A., Hui, W. F., Stevnsborg, M., Pinelo, M., &amp; Huusom, J. K. (2023). </w:t>
      </w:r>
      <w:r w:rsidRPr="00456C3F">
        <w:rPr>
          <w:noProof/>
          <w:sz w:val="18"/>
          <w:szCs w:val="24"/>
        </w:rPr>
        <w:t xml:space="preserve">Digital-twin development for a novel vibrating membrane aiming at fractionating fermentation broths. </w:t>
      </w:r>
      <w:r w:rsidRPr="00456C3F">
        <w:rPr>
          <w:i/>
          <w:iCs/>
          <w:noProof/>
          <w:sz w:val="18"/>
          <w:szCs w:val="24"/>
        </w:rPr>
        <w:t>Computer Aided Chemical Engineering</w:t>
      </w:r>
      <w:r w:rsidRPr="00456C3F">
        <w:rPr>
          <w:noProof/>
          <w:sz w:val="18"/>
          <w:szCs w:val="24"/>
        </w:rPr>
        <w:t xml:space="preserve">, </w:t>
      </w:r>
      <w:r w:rsidRPr="00456C3F">
        <w:rPr>
          <w:i/>
          <w:iCs/>
          <w:noProof/>
          <w:sz w:val="18"/>
          <w:szCs w:val="24"/>
        </w:rPr>
        <w:t>52</w:t>
      </w:r>
      <w:r w:rsidRPr="00456C3F">
        <w:rPr>
          <w:noProof/>
          <w:sz w:val="18"/>
          <w:szCs w:val="24"/>
        </w:rPr>
        <w:t>, 2575–2580.</w:t>
      </w:r>
    </w:p>
    <w:p w14:paraId="15B0F4C9" w14:textId="77777777" w:rsidR="003A734E" w:rsidRPr="00456C3F" w:rsidRDefault="003A734E" w:rsidP="00E446C7">
      <w:pPr>
        <w:widowControl w:val="0"/>
        <w:autoSpaceDE w:val="0"/>
        <w:autoSpaceDN w:val="0"/>
        <w:adjustRightInd w:val="0"/>
        <w:jc w:val="both"/>
        <w:rPr>
          <w:noProof/>
          <w:sz w:val="18"/>
          <w:szCs w:val="24"/>
        </w:rPr>
      </w:pPr>
      <w:r w:rsidRPr="00456C3F">
        <w:rPr>
          <w:noProof/>
          <w:sz w:val="18"/>
          <w:szCs w:val="24"/>
        </w:rPr>
        <w:t xml:space="preserve">Prado-Rubio, O. A., &amp; von Stosch, M. (2017). Towards Sustainable Flux Determination for Dynamic Ultrafiltration through Multivariable System Identification. </w:t>
      </w:r>
      <w:r w:rsidRPr="00456C3F">
        <w:rPr>
          <w:i/>
          <w:iCs/>
          <w:noProof/>
          <w:sz w:val="18"/>
          <w:szCs w:val="24"/>
        </w:rPr>
        <w:t>Computer Aided Chemical Engineering</w:t>
      </w:r>
      <w:r w:rsidRPr="00456C3F">
        <w:rPr>
          <w:noProof/>
          <w:sz w:val="18"/>
          <w:szCs w:val="24"/>
        </w:rPr>
        <w:t xml:space="preserve">, </w:t>
      </w:r>
      <w:r w:rsidRPr="00456C3F">
        <w:rPr>
          <w:i/>
          <w:iCs/>
          <w:noProof/>
          <w:sz w:val="18"/>
          <w:szCs w:val="24"/>
        </w:rPr>
        <w:t>40</w:t>
      </w:r>
      <w:r w:rsidRPr="00456C3F">
        <w:rPr>
          <w:noProof/>
          <w:sz w:val="18"/>
          <w:szCs w:val="24"/>
        </w:rPr>
        <w:t>, 2719–2724.</w:t>
      </w:r>
    </w:p>
    <w:p w14:paraId="144DE6C3" w14:textId="73B878F6" w:rsidR="008D2649" w:rsidRPr="00456C3F" w:rsidRDefault="003A734E" w:rsidP="00E446C7">
      <w:pPr>
        <w:widowControl w:val="0"/>
        <w:autoSpaceDE w:val="0"/>
        <w:autoSpaceDN w:val="0"/>
        <w:adjustRightInd w:val="0"/>
        <w:jc w:val="both"/>
      </w:pPr>
      <w:r w:rsidRPr="00456C3F">
        <w:rPr>
          <w:noProof/>
          <w:sz w:val="18"/>
          <w:szCs w:val="24"/>
        </w:rPr>
        <w:t xml:space="preserve">Zadkarami, M., Safavi, A. A., Gernaey, K. V., Ramin, P., &amp; Prado-Rubio, O. A. (2023). Designing a fault detection classifier framework for an industrial dynamic ultrafiltration membrane process using wavelet-based feature analysis. </w:t>
      </w:r>
      <w:r w:rsidRPr="00456C3F">
        <w:rPr>
          <w:i/>
          <w:iCs/>
          <w:noProof/>
          <w:sz w:val="18"/>
          <w:szCs w:val="24"/>
        </w:rPr>
        <w:t>Process Safety and Environmental Protection</w:t>
      </w:r>
      <w:r w:rsidRPr="00456C3F">
        <w:rPr>
          <w:noProof/>
          <w:sz w:val="18"/>
          <w:szCs w:val="24"/>
        </w:rPr>
        <w:t xml:space="preserve">, </w:t>
      </w:r>
      <w:r w:rsidRPr="00456C3F">
        <w:rPr>
          <w:i/>
          <w:iCs/>
          <w:noProof/>
          <w:sz w:val="18"/>
          <w:szCs w:val="24"/>
        </w:rPr>
        <w:t>174</w:t>
      </w:r>
      <w:r w:rsidRPr="00456C3F">
        <w:rPr>
          <w:noProof/>
          <w:sz w:val="18"/>
          <w:szCs w:val="24"/>
        </w:rPr>
        <w:t>, 1–19.</w:t>
      </w:r>
      <w:r w:rsidR="00A74428" w:rsidRPr="00456C3F">
        <w:fldChar w:fldCharType="end"/>
      </w:r>
    </w:p>
    <w:sectPr w:rsidR="008D2649" w:rsidRPr="00456C3F" w:rsidSect="00425307">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F036A" w14:textId="77777777" w:rsidR="00D11574" w:rsidRDefault="00D11574">
      <w:r>
        <w:separator/>
      </w:r>
    </w:p>
  </w:endnote>
  <w:endnote w:type="continuationSeparator" w:id="0">
    <w:p w14:paraId="32C7155C" w14:textId="77777777" w:rsidR="00D11574" w:rsidRDefault="00D1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1D23" w14:textId="77777777" w:rsidR="00D11574" w:rsidRDefault="00D11574">
      <w:r>
        <w:separator/>
      </w:r>
    </w:p>
  </w:footnote>
  <w:footnote w:type="continuationSeparator" w:id="0">
    <w:p w14:paraId="23174A90" w14:textId="77777777" w:rsidR="00D11574" w:rsidRDefault="00D11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0E4AD2D" w:rsidR="00DD3D9E" w:rsidRPr="00C0216B" w:rsidRDefault="00DD3D9E">
    <w:pPr>
      <w:pStyle w:val="Intestazione"/>
      <w:tabs>
        <w:tab w:val="clear" w:pos="7200"/>
        <w:tab w:val="right" w:pos="7088"/>
      </w:tabs>
      <w:rPr>
        <w:lang w:val="es-CO"/>
      </w:rPr>
    </w:pPr>
    <w:r>
      <w:rPr>
        <w:rStyle w:val="Numeropagina"/>
      </w:rPr>
      <w:tab/>
    </w:r>
    <w:r>
      <w:rPr>
        <w:rStyle w:val="Numeropagina"/>
        <w:i/>
      </w:rPr>
      <w:tab/>
    </w:r>
    <w:r w:rsidR="00C0216B" w:rsidRPr="00C0216B">
      <w:rPr>
        <w:rStyle w:val="Numeropagina"/>
        <w:i/>
        <w:lang w:val="es-CO"/>
      </w:rPr>
      <w:t>Oscar A. Prado-Rubio et a</w:t>
    </w:r>
    <w:r w:rsidR="00C0216B">
      <w:rPr>
        <w:rStyle w:val="Numeropagina"/>
        <w:i/>
        <w:lang w:val="es-CO"/>
      </w:rPr>
      <w:t>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0B3CEC0" w:rsidR="00DD3D9E" w:rsidRDefault="00A74428" w:rsidP="00AC3448">
    <w:pPr>
      <w:pStyle w:val="Intestazione"/>
      <w:tabs>
        <w:tab w:val="clear" w:pos="7200"/>
        <w:tab w:val="right" w:pos="7088"/>
      </w:tabs>
      <w:rPr>
        <w:sz w:val="24"/>
      </w:rPr>
    </w:pPr>
    <w:r w:rsidRPr="00A74428">
      <w:rPr>
        <w:i/>
      </w:rPr>
      <w:t>Merging  digitalization tools for training the new generation of bio-chemical engineers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1D3823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0E4324"/>
    <w:multiLevelType w:val="hybridMultilevel"/>
    <w:tmpl w:val="B56C8A24"/>
    <w:lvl w:ilvl="0" w:tplc="C1A0CD6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1B20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233D2A"/>
    <w:multiLevelType w:val="hybridMultilevel"/>
    <w:tmpl w:val="8FA401A0"/>
    <w:lvl w:ilvl="0" w:tplc="D71253A8">
      <w:start w:val="1"/>
      <w:numFmt w:val="bullet"/>
      <w:lvlText w:val="•"/>
      <w:lvlJc w:val="left"/>
      <w:pPr>
        <w:tabs>
          <w:tab w:val="num" w:pos="720"/>
        </w:tabs>
        <w:ind w:left="720" w:hanging="360"/>
      </w:pPr>
      <w:rPr>
        <w:rFonts w:ascii="Arial" w:hAnsi="Arial" w:hint="default"/>
      </w:rPr>
    </w:lvl>
    <w:lvl w:ilvl="1" w:tplc="A3742AE2" w:tentative="1">
      <w:start w:val="1"/>
      <w:numFmt w:val="bullet"/>
      <w:lvlText w:val="•"/>
      <w:lvlJc w:val="left"/>
      <w:pPr>
        <w:tabs>
          <w:tab w:val="num" w:pos="1440"/>
        </w:tabs>
        <w:ind w:left="1440" w:hanging="360"/>
      </w:pPr>
      <w:rPr>
        <w:rFonts w:ascii="Arial" w:hAnsi="Arial" w:hint="default"/>
      </w:rPr>
    </w:lvl>
    <w:lvl w:ilvl="2" w:tplc="8444BCBA" w:tentative="1">
      <w:start w:val="1"/>
      <w:numFmt w:val="bullet"/>
      <w:lvlText w:val="•"/>
      <w:lvlJc w:val="left"/>
      <w:pPr>
        <w:tabs>
          <w:tab w:val="num" w:pos="2160"/>
        </w:tabs>
        <w:ind w:left="2160" w:hanging="360"/>
      </w:pPr>
      <w:rPr>
        <w:rFonts w:ascii="Arial" w:hAnsi="Arial" w:hint="default"/>
      </w:rPr>
    </w:lvl>
    <w:lvl w:ilvl="3" w:tplc="E370E482" w:tentative="1">
      <w:start w:val="1"/>
      <w:numFmt w:val="bullet"/>
      <w:lvlText w:val="•"/>
      <w:lvlJc w:val="left"/>
      <w:pPr>
        <w:tabs>
          <w:tab w:val="num" w:pos="2880"/>
        </w:tabs>
        <w:ind w:left="2880" w:hanging="360"/>
      </w:pPr>
      <w:rPr>
        <w:rFonts w:ascii="Arial" w:hAnsi="Arial" w:hint="default"/>
      </w:rPr>
    </w:lvl>
    <w:lvl w:ilvl="4" w:tplc="127A428A" w:tentative="1">
      <w:start w:val="1"/>
      <w:numFmt w:val="bullet"/>
      <w:lvlText w:val="•"/>
      <w:lvlJc w:val="left"/>
      <w:pPr>
        <w:tabs>
          <w:tab w:val="num" w:pos="3600"/>
        </w:tabs>
        <w:ind w:left="3600" w:hanging="360"/>
      </w:pPr>
      <w:rPr>
        <w:rFonts w:ascii="Arial" w:hAnsi="Arial" w:hint="default"/>
      </w:rPr>
    </w:lvl>
    <w:lvl w:ilvl="5" w:tplc="17A67C4E" w:tentative="1">
      <w:start w:val="1"/>
      <w:numFmt w:val="bullet"/>
      <w:lvlText w:val="•"/>
      <w:lvlJc w:val="left"/>
      <w:pPr>
        <w:tabs>
          <w:tab w:val="num" w:pos="4320"/>
        </w:tabs>
        <w:ind w:left="4320" w:hanging="360"/>
      </w:pPr>
      <w:rPr>
        <w:rFonts w:ascii="Arial" w:hAnsi="Arial" w:hint="default"/>
      </w:rPr>
    </w:lvl>
    <w:lvl w:ilvl="6" w:tplc="4AE4980C" w:tentative="1">
      <w:start w:val="1"/>
      <w:numFmt w:val="bullet"/>
      <w:lvlText w:val="•"/>
      <w:lvlJc w:val="left"/>
      <w:pPr>
        <w:tabs>
          <w:tab w:val="num" w:pos="5040"/>
        </w:tabs>
        <w:ind w:left="5040" w:hanging="360"/>
      </w:pPr>
      <w:rPr>
        <w:rFonts w:ascii="Arial" w:hAnsi="Arial" w:hint="default"/>
      </w:rPr>
    </w:lvl>
    <w:lvl w:ilvl="7" w:tplc="7BFAC8DA" w:tentative="1">
      <w:start w:val="1"/>
      <w:numFmt w:val="bullet"/>
      <w:lvlText w:val="•"/>
      <w:lvlJc w:val="left"/>
      <w:pPr>
        <w:tabs>
          <w:tab w:val="num" w:pos="5760"/>
        </w:tabs>
        <w:ind w:left="5760" w:hanging="360"/>
      </w:pPr>
      <w:rPr>
        <w:rFonts w:ascii="Arial" w:hAnsi="Arial" w:hint="default"/>
      </w:rPr>
    </w:lvl>
    <w:lvl w:ilvl="8" w:tplc="0354E8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637F42EC"/>
    <w:multiLevelType w:val="hybridMultilevel"/>
    <w:tmpl w:val="3CD65E4C"/>
    <w:lvl w:ilvl="0" w:tplc="1B68C634">
      <w:start w:val="1"/>
      <w:numFmt w:val="bullet"/>
      <w:lvlText w:val="•"/>
      <w:lvlJc w:val="left"/>
      <w:pPr>
        <w:tabs>
          <w:tab w:val="num" w:pos="720"/>
        </w:tabs>
        <w:ind w:left="720" w:hanging="360"/>
      </w:pPr>
      <w:rPr>
        <w:rFonts w:ascii="Arial" w:hAnsi="Arial" w:hint="default"/>
      </w:rPr>
    </w:lvl>
    <w:lvl w:ilvl="1" w:tplc="3C306BB6" w:tentative="1">
      <w:start w:val="1"/>
      <w:numFmt w:val="bullet"/>
      <w:lvlText w:val="•"/>
      <w:lvlJc w:val="left"/>
      <w:pPr>
        <w:tabs>
          <w:tab w:val="num" w:pos="1440"/>
        </w:tabs>
        <w:ind w:left="1440" w:hanging="360"/>
      </w:pPr>
      <w:rPr>
        <w:rFonts w:ascii="Arial" w:hAnsi="Arial" w:hint="default"/>
      </w:rPr>
    </w:lvl>
    <w:lvl w:ilvl="2" w:tplc="A15E3300" w:tentative="1">
      <w:start w:val="1"/>
      <w:numFmt w:val="bullet"/>
      <w:lvlText w:val="•"/>
      <w:lvlJc w:val="left"/>
      <w:pPr>
        <w:tabs>
          <w:tab w:val="num" w:pos="2160"/>
        </w:tabs>
        <w:ind w:left="2160" w:hanging="360"/>
      </w:pPr>
      <w:rPr>
        <w:rFonts w:ascii="Arial" w:hAnsi="Arial" w:hint="default"/>
      </w:rPr>
    </w:lvl>
    <w:lvl w:ilvl="3" w:tplc="DB8C4E4A" w:tentative="1">
      <w:start w:val="1"/>
      <w:numFmt w:val="bullet"/>
      <w:lvlText w:val="•"/>
      <w:lvlJc w:val="left"/>
      <w:pPr>
        <w:tabs>
          <w:tab w:val="num" w:pos="2880"/>
        </w:tabs>
        <w:ind w:left="2880" w:hanging="360"/>
      </w:pPr>
      <w:rPr>
        <w:rFonts w:ascii="Arial" w:hAnsi="Arial" w:hint="default"/>
      </w:rPr>
    </w:lvl>
    <w:lvl w:ilvl="4" w:tplc="E2D49AEC" w:tentative="1">
      <w:start w:val="1"/>
      <w:numFmt w:val="bullet"/>
      <w:lvlText w:val="•"/>
      <w:lvlJc w:val="left"/>
      <w:pPr>
        <w:tabs>
          <w:tab w:val="num" w:pos="3600"/>
        </w:tabs>
        <w:ind w:left="3600" w:hanging="360"/>
      </w:pPr>
      <w:rPr>
        <w:rFonts w:ascii="Arial" w:hAnsi="Arial" w:hint="default"/>
      </w:rPr>
    </w:lvl>
    <w:lvl w:ilvl="5" w:tplc="D4020226" w:tentative="1">
      <w:start w:val="1"/>
      <w:numFmt w:val="bullet"/>
      <w:lvlText w:val="•"/>
      <w:lvlJc w:val="left"/>
      <w:pPr>
        <w:tabs>
          <w:tab w:val="num" w:pos="4320"/>
        </w:tabs>
        <w:ind w:left="4320" w:hanging="360"/>
      </w:pPr>
      <w:rPr>
        <w:rFonts w:ascii="Arial" w:hAnsi="Arial" w:hint="default"/>
      </w:rPr>
    </w:lvl>
    <w:lvl w:ilvl="6" w:tplc="CA861EF0" w:tentative="1">
      <w:start w:val="1"/>
      <w:numFmt w:val="bullet"/>
      <w:lvlText w:val="•"/>
      <w:lvlJc w:val="left"/>
      <w:pPr>
        <w:tabs>
          <w:tab w:val="num" w:pos="5040"/>
        </w:tabs>
        <w:ind w:left="5040" w:hanging="360"/>
      </w:pPr>
      <w:rPr>
        <w:rFonts w:ascii="Arial" w:hAnsi="Arial" w:hint="default"/>
      </w:rPr>
    </w:lvl>
    <w:lvl w:ilvl="7" w:tplc="2DC649DC" w:tentative="1">
      <w:start w:val="1"/>
      <w:numFmt w:val="bullet"/>
      <w:lvlText w:val="•"/>
      <w:lvlJc w:val="left"/>
      <w:pPr>
        <w:tabs>
          <w:tab w:val="num" w:pos="5760"/>
        </w:tabs>
        <w:ind w:left="5760" w:hanging="360"/>
      </w:pPr>
      <w:rPr>
        <w:rFonts w:ascii="Arial" w:hAnsi="Arial" w:hint="default"/>
      </w:rPr>
    </w:lvl>
    <w:lvl w:ilvl="8" w:tplc="DBB0859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6642EE3"/>
    <w:multiLevelType w:val="hybridMultilevel"/>
    <w:tmpl w:val="524A60FC"/>
    <w:lvl w:ilvl="0" w:tplc="F83A7BD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0"/>
  </w:num>
  <w:num w:numId="6">
    <w:abstractNumId w:val="8"/>
  </w:num>
  <w:num w:numId="7">
    <w:abstractNumId w:val="16"/>
  </w:num>
  <w:num w:numId="8">
    <w:abstractNumId w:val="1"/>
  </w:num>
  <w:num w:numId="9">
    <w:abstractNumId w:val="14"/>
  </w:num>
  <w:num w:numId="10">
    <w:abstractNumId w:val="19"/>
  </w:num>
  <w:num w:numId="11">
    <w:abstractNumId w:val="18"/>
  </w:num>
  <w:num w:numId="12">
    <w:abstractNumId w:val="7"/>
  </w:num>
  <w:num w:numId="13">
    <w:abstractNumId w:val="11"/>
  </w:num>
  <w:num w:numId="14">
    <w:abstractNumId w:val="2"/>
  </w:num>
  <w:num w:numId="15">
    <w:abstractNumId w:val="9"/>
  </w:num>
  <w:num w:numId="16">
    <w:abstractNumId w:val="5"/>
  </w:num>
  <w:num w:numId="17">
    <w:abstractNumId w:val="6"/>
  </w:num>
  <w:num w:numId="18">
    <w:abstractNumId w:val="12"/>
  </w:num>
  <w:num w:numId="19">
    <w:abstractNumId w:val="3"/>
  </w:num>
  <w:num w:numId="20">
    <w:abstractNumId w:val="17"/>
  </w:num>
  <w:num w:numId="21">
    <w:abstractNumId w:val="10"/>
  </w:num>
  <w:num w:numId="22">
    <w:abstractNumId w:val="6"/>
  </w:num>
  <w:num w:numId="23">
    <w:abstractNumId w:val="6"/>
  </w:num>
  <w:num w:numId="24">
    <w:abstractNumId w:val="13"/>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CA7"/>
    <w:rsid w:val="00056890"/>
    <w:rsid w:val="00056D35"/>
    <w:rsid w:val="000B5847"/>
    <w:rsid w:val="000D3D9B"/>
    <w:rsid w:val="000E2677"/>
    <w:rsid w:val="0013223F"/>
    <w:rsid w:val="0014227E"/>
    <w:rsid w:val="0016032F"/>
    <w:rsid w:val="00174639"/>
    <w:rsid w:val="001879F6"/>
    <w:rsid w:val="001C0148"/>
    <w:rsid w:val="001C757E"/>
    <w:rsid w:val="001E7C47"/>
    <w:rsid w:val="001F2251"/>
    <w:rsid w:val="002018B0"/>
    <w:rsid w:val="0020390F"/>
    <w:rsid w:val="00232FB1"/>
    <w:rsid w:val="00253805"/>
    <w:rsid w:val="00264926"/>
    <w:rsid w:val="0027229A"/>
    <w:rsid w:val="002A6168"/>
    <w:rsid w:val="002B0F73"/>
    <w:rsid w:val="002B4888"/>
    <w:rsid w:val="002F130B"/>
    <w:rsid w:val="002F1B87"/>
    <w:rsid w:val="00306905"/>
    <w:rsid w:val="003115F9"/>
    <w:rsid w:val="00362C91"/>
    <w:rsid w:val="0037624F"/>
    <w:rsid w:val="003A734E"/>
    <w:rsid w:val="003D1582"/>
    <w:rsid w:val="003D7E4C"/>
    <w:rsid w:val="003E41C2"/>
    <w:rsid w:val="003E6EB3"/>
    <w:rsid w:val="003F0FC5"/>
    <w:rsid w:val="003F7D0A"/>
    <w:rsid w:val="00402450"/>
    <w:rsid w:val="00425307"/>
    <w:rsid w:val="00451585"/>
    <w:rsid w:val="00456C3F"/>
    <w:rsid w:val="00461E78"/>
    <w:rsid w:val="004672C1"/>
    <w:rsid w:val="00474A62"/>
    <w:rsid w:val="0049772C"/>
    <w:rsid w:val="004D11CE"/>
    <w:rsid w:val="004D1C7C"/>
    <w:rsid w:val="004D27A6"/>
    <w:rsid w:val="004F4F55"/>
    <w:rsid w:val="005006FE"/>
    <w:rsid w:val="0050735D"/>
    <w:rsid w:val="005118DC"/>
    <w:rsid w:val="005254D0"/>
    <w:rsid w:val="005277CB"/>
    <w:rsid w:val="00537F2C"/>
    <w:rsid w:val="00552EEB"/>
    <w:rsid w:val="00553679"/>
    <w:rsid w:val="005814A4"/>
    <w:rsid w:val="005B3300"/>
    <w:rsid w:val="005C56B8"/>
    <w:rsid w:val="005F1675"/>
    <w:rsid w:val="005F6569"/>
    <w:rsid w:val="00680EF2"/>
    <w:rsid w:val="00683299"/>
    <w:rsid w:val="00697B18"/>
    <w:rsid w:val="006A69BF"/>
    <w:rsid w:val="006E6C06"/>
    <w:rsid w:val="00700BE6"/>
    <w:rsid w:val="00700F21"/>
    <w:rsid w:val="00711DF4"/>
    <w:rsid w:val="00714CD4"/>
    <w:rsid w:val="00724A19"/>
    <w:rsid w:val="007734D4"/>
    <w:rsid w:val="00781403"/>
    <w:rsid w:val="007B5790"/>
    <w:rsid w:val="007B6103"/>
    <w:rsid w:val="007D0AE3"/>
    <w:rsid w:val="007D70A1"/>
    <w:rsid w:val="007E0B57"/>
    <w:rsid w:val="007E2462"/>
    <w:rsid w:val="007E7C4C"/>
    <w:rsid w:val="007F330B"/>
    <w:rsid w:val="008132E8"/>
    <w:rsid w:val="00823407"/>
    <w:rsid w:val="00826781"/>
    <w:rsid w:val="00826AFB"/>
    <w:rsid w:val="00856FA8"/>
    <w:rsid w:val="00860BE7"/>
    <w:rsid w:val="008752F6"/>
    <w:rsid w:val="008B0184"/>
    <w:rsid w:val="008B1A2E"/>
    <w:rsid w:val="008C5D02"/>
    <w:rsid w:val="008D2649"/>
    <w:rsid w:val="008E25D0"/>
    <w:rsid w:val="008E3A4F"/>
    <w:rsid w:val="009049A6"/>
    <w:rsid w:val="0090568D"/>
    <w:rsid w:val="009112AE"/>
    <w:rsid w:val="009125C9"/>
    <w:rsid w:val="00913879"/>
    <w:rsid w:val="00917661"/>
    <w:rsid w:val="00926521"/>
    <w:rsid w:val="00926602"/>
    <w:rsid w:val="00941597"/>
    <w:rsid w:val="00963AF4"/>
    <w:rsid w:val="00970E5D"/>
    <w:rsid w:val="0097701C"/>
    <w:rsid w:val="00980A65"/>
    <w:rsid w:val="009B6E26"/>
    <w:rsid w:val="009C2EAD"/>
    <w:rsid w:val="009D5D1E"/>
    <w:rsid w:val="009E63A6"/>
    <w:rsid w:val="00A04345"/>
    <w:rsid w:val="00A15BE9"/>
    <w:rsid w:val="00A21748"/>
    <w:rsid w:val="00A21A72"/>
    <w:rsid w:val="00A234CE"/>
    <w:rsid w:val="00A25E70"/>
    <w:rsid w:val="00A30478"/>
    <w:rsid w:val="00A33765"/>
    <w:rsid w:val="00A50C23"/>
    <w:rsid w:val="00A56B5C"/>
    <w:rsid w:val="00A63269"/>
    <w:rsid w:val="00A71093"/>
    <w:rsid w:val="00A74428"/>
    <w:rsid w:val="00A92377"/>
    <w:rsid w:val="00A964EF"/>
    <w:rsid w:val="00AB29ED"/>
    <w:rsid w:val="00AC3448"/>
    <w:rsid w:val="00AC4682"/>
    <w:rsid w:val="00AC6823"/>
    <w:rsid w:val="00AE4BD8"/>
    <w:rsid w:val="00B057DA"/>
    <w:rsid w:val="00B11F1D"/>
    <w:rsid w:val="00B224C2"/>
    <w:rsid w:val="00B3486C"/>
    <w:rsid w:val="00B42DF9"/>
    <w:rsid w:val="00B4388F"/>
    <w:rsid w:val="00B520C2"/>
    <w:rsid w:val="00B63237"/>
    <w:rsid w:val="00B725A4"/>
    <w:rsid w:val="00B72708"/>
    <w:rsid w:val="00BB10FF"/>
    <w:rsid w:val="00BE6D1F"/>
    <w:rsid w:val="00BE7792"/>
    <w:rsid w:val="00C01A38"/>
    <w:rsid w:val="00C0216B"/>
    <w:rsid w:val="00C072F4"/>
    <w:rsid w:val="00C3781D"/>
    <w:rsid w:val="00C63281"/>
    <w:rsid w:val="00C91FAC"/>
    <w:rsid w:val="00C960DC"/>
    <w:rsid w:val="00CB301E"/>
    <w:rsid w:val="00CB318D"/>
    <w:rsid w:val="00CC5C16"/>
    <w:rsid w:val="00CC644E"/>
    <w:rsid w:val="00CD7876"/>
    <w:rsid w:val="00CF5EC8"/>
    <w:rsid w:val="00D02C75"/>
    <w:rsid w:val="00D10E22"/>
    <w:rsid w:val="00D11574"/>
    <w:rsid w:val="00D1255F"/>
    <w:rsid w:val="00D13D2C"/>
    <w:rsid w:val="00D2180B"/>
    <w:rsid w:val="00D61C45"/>
    <w:rsid w:val="00D62F41"/>
    <w:rsid w:val="00D83772"/>
    <w:rsid w:val="00D84A88"/>
    <w:rsid w:val="00DA0377"/>
    <w:rsid w:val="00DA302C"/>
    <w:rsid w:val="00DA5A85"/>
    <w:rsid w:val="00DA72BF"/>
    <w:rsid w:val="00DA782F"/>
    <w:rsid w:val="00DC2D61"/>
    <w:rsid w:val="00DC2F94"/>
    <w:rsid w:val="00DD0AD1"/>
    <w:rsid w:val="00DD3D9E"/>
    <w:rsid w:val="00DD7908"/>
    <w:rsid w:val="00DE36CB"/>
    <w:rsid w:val="00DF3E00"/>
    <w:rsid w:val="00E03844"/>
    <w:rsid w:val="00E15ACE"/>
    <w:rsid w:val="00E446C7"/>
    <w:rsid w:val="00E46FCE"/>
    <w:rsid w:val="00E82297"/>
    <w:rsid w:val="00E94F4E"/>
    <w:rsid w:val="00EB0ADD"/>
    <w:rsid w:val="00EF1176"/>
    <w:rsid w:val="00EF3249"/>
    <w:rsid w:val="00EF39FD"/>
    <w:rsid w:val="00F0050C"/>
    <w:rsid w:val="00F06842"/>
    <w:rsid w:val="00F107FD"/>
    <w:rsid w:val="00F210D2"/>
    <w:rsid w:val="00F64057"/>
    <w:rsid w:val="00F806BE"/>
    <w:rsid w:val="00F861C1"/>
    <w:rsid w:val="00F92244"/>
    <w:rsid w:val="00FA5C1E"/>
    <w:rsid w:val="00FB64A8"/>
    <w:rsid w:val="00FD6E20"/>
    <w:rsid w:val="00FD738F"/>
    <w:rsid w:val="00FF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2">
    <w:name w:val="heading 2"/>
    <w:basedOn w:val="Normale"/>
    <w:next w:val="Normale"/>
    <w:link w:val="Titolo2Carattere"/>
    <w:semiHidden/>
    <w:unhideWhenUsed/>
    <w:qFormat/>
    <w:rsid w:val="00B0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253805"/>
    <w:rPr>
      <w:color w:val="605E5C"/>
      <w:shd w:val="clear" w:color="auto" w:fill="E1DFDD"/>
    </w:rPr>
  </w:style>
  <w:style w:type="character" w:customStyle="1" w:styleId="Titolo2Carattere">
    <w:name w:val="Titolo 2 Carattere"/>
    <w:basedOn w:val="Carpredefinitoparagrafo"/>
    <w:link w:val="Titolo2"/>
    <w:semiHidden/>
    <w:rsid w:val="00B057DA"/>
    <w:rPr>
      <w:rFonts w:asciiTheme="majorHAnsi" w:eastAsiaTheme="majorEastAsia" w:hAnsiTheme="majorHAnsi" w:cstheme="majorBidi"/>
      <w:color w:val="365F91" w:themeColor="accent1" w:themeShade="BF"/>
      <w:sz w:val="26"/>
      <w:szCs w:val="26"/>
      <w:lang w:eastAsia="en-US"/>
    </w:rPr>
  </w:style>
  <w:style w:type="table" w:styleId="Grigliatabella">
    <w:name w:val="Table Grid"/>
    <w:basedOn w:val="Tabellanormale"/>
    <w:rsid w:val="00376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A15BE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630208">
      <w:bodyDiv w:val="1"/>
      <w:marLeft w:val="0"/>
      <w:marRight w:val="0"/>
      <w:marTop w:val="0"/>
      <w:marBottom w:val="0"/>
      <w:divBdr>
        <w:top w:val="none" w:sz="0" w:space="0" w:color="auto"/>
        <w:left w:val="none" w:sz="0" w:space="0" w:color="auto"/>
        <w:bottom w:val="none" w:sz="0" w:space="0" w:color="auto"/>
        <w:right w:val="none" w:sz="0" w:space="0" w:color="auto"/>
      </w:divBdr>
    </w:div>
    <w:div w:id="334918982">
      <w:bodyDiv w:val="1"/>
      <w:marLeft w:val="0"/>
      <w:marRight w:val="0"/>
      <w:marTop w:val="0"/>
      <w:marBottom w:val="0"/>
      <w:divBdr>
        <w:top w:val="none" w:sz="0" w:space="0" w:color="auto"/>
        <w:left w:val="none" w:sz="0" w:space="0" w:color="auto"/>
        <w:bottom w:val="none" w:sz="0" w:space="0" w:color="auto"/>
        <w:right w:val="none" w:sz="0" w:space="0" w:color="auto"/>
      </w:divBdr>
      <w:divsChild>
        <w:div w:id="1236471666">
          <w:marLeft w:val="446"/>
          <w:marRight w:val="0"/>
          <w:marTop w:val="0"/>
          <w:marBottom w:val="0"/>
          <w:divBdr>
            <w:top w:val="none" w:sz="0" w:space="0" w:color="auto"/>
            <w:left w:val="none" w:sz="0" w:space="0" w:color="auto"/>
            <w:bottom w:val="none" w:sz="0" w:space="0" w:color="auto"/>
            <w:right w:val="none" w:sz="0" w:space="0" w:color="auto"/>
          </w:divBdr>
        </w:div>
      </w:divsChild>
    </w:div>
    <w:div w:id="512693228">
      <w:bodyDiv w:val="1"/>
      <w:marLeft w:val="0"/>
      <w:marRight w:val="0"/>
      <w:marTop w:val="0"/>
      <w:marBottom w:val="0"/>
      <w:divBdr>
        <w:top w:val="none" w:sz="0" w:space="0" w:color="auto"/>
        <w:left w:val="none" w:sz="0" w:space="0" w:color="auto"/>
        <w:bottom w:val="none" w:sz="0" w:space="0" w:color="auto"/>
        <w:right w:val="none" w:sz="0" w:space="0" w:color="auto"/>
      </w:divBdr>
    </w:div>
    <w:div w:id="609092479">
      <w:bodyDiv w:val="1"/>
      <w:marLeft w:val="0"/>
      <w:marRight w:val="0"/>
      <w:marTop w:val="0"/>
      <w:marBottom w:val="0"/>
      <w:divBdr>
        <w:top w:val="none" w:sz="0" w:space="0" w:color="auto"/>
        <w:left w:val="none" w:sz="0" w:space="0" w:color="auto"/>
        <w:bottom w:val="none" w:sz="0" w:space="0" w:color="auto"/>
        <w:right w:val="none" w:sz="0" w:space="0" w:color="auto"/>
      </w:divBdr>
    </w:div>
    <w:div w:id="951789617">
      <w:bodyDiv w:val="1"/>
      <w:marLeft w:val="0"/>
      <w:marRight w:val="0"/>
      <w:marTop w:val="0"/>
      <w:marBottom w:val="0"/>
      <w:divBdr>
        <w:top w:val="none" w:sz="0" w:space="0" w:color="auto"/>
        <w:left w:val="none" w:sz="0" w:space="0" w:color="auto"/>
        <w:bottom w:val="none" w:sz="0" w:space="0" w:color="auto"/>
        <w:right w:val="none" w:sz="0" w:space="0" w:color="auto"/>
      </w:divBdr>
    </w:div>
    <w:div w:id="1680236139">
      <w:bodyDiv w:val="1"/>
      <w:marLeft w:val="0"/>
      <w:marRight w:val="0"/>
      <w:marTop w:val="0"/>
      <w:marBottom w:val="0"/>
      <w:divBdr>
        <w:top w:val="none" w:sz="0" w:space="0" w:color="auto"/>
        <w:left w:val="none" w:sz="0" w:space="0" w:color="auto"/>
        <w:bottom w:val="none" w:sz="0" w:space="0" w:color="auto"/>
        <w:right w:val="none" w:sz="0" w:space="0" w:color="auto"/>
      </w:divBdr>
      <w:divsChild>
        <w:div w:id="284772999">
          <w:marLeft w:val="446"/>
          <w:marRight w:val="0"/>
          <w:marTop w:val="0"/>
          <w:marBottom w:val="0"/>
          <w:divBdr>
            <w:top w:val="none" w:sz="0" w:space="0" w:color="auto"/>
            <w:left w:val="none" w:sz="0" w:space="0" w:color="auto"/>
            <w:bottom w:val="none" w:sz="0" w:space="0" w:color="auto"/>
            <w:right w:val="none" w:sz="0" w:space="0" w:color="auto"/>
          </w:divBdr>
        </w:div>
        <w:div w:id="1501460323">
          <w:marLeft w:val="446"/>
          <w:marRight w:val="0"/>
          <w:marTop w:val="0"/>
          <w:marBottom w:val="0"/>
          <w:divBdr>
            <w:top w:val="none" w:sz="0" w:space="0" w:color="auto"/>
            <w:left w:val="none" w:sz="0" w:space="0" w:color="auto"/>
            <w:bottom w:val="none" w:sz="0" w:space="0" w:color="auto"/>
            <w:right w:val="none" w:sz="0" w:space="0" w:color="auto"/>
          </w:divBdr>
        </w:div>
        <w:div w:id="646906632">
          <w:marLeft w:val="446"/>
          <w:marRight w:val="0"/>
          <w:marTop w:val="0"/>
          <w:marBottom w:val="0"/>
          <w:divBdr>
            <w:top w:val="none" w:sz="0" w:space="0" w:color="auto"/>
            <w:left w:val="none" w:sz="0" w:space="0" w:color="auto"/>
            <w:bottom w:val="none" w:sz="0" w:space="0" w:color="auto"/>
            <w:right w:val="none" w:sz="0" w:space="0" w:color="auto"/>
          </w:divBdr>
        </w:div>
      </w:divsChild>
    </w:div>
    <w:div w:id="1756122595">
      <w:bodyDiv w:val="1"/>
      <w:marLeft w:val="0"/>
      <w:marRight w:val="0"/>
      <w:marTop w:val="0"/>
      <w:marBottom w:val="0"/>
      <w:divBdr>
        <w:top w:val="none" w:sz="0" w:space="0" w:color="auto"/>
        <w:left w:val="none" w:sz="0" w:space="0" w:color="auto"/>
        <w:bottom w:val="none" w:sz="0" w:space="0" w:color="auto"/>
        <w:right w:val="none" w:sz="0" w:space="0" w:color="auto"/>
      </w:divBdr>
      <w:divsChild>
        <w:div w:id="893080285">
          <w:marLeft w:val="446"/>
          <w:marRight w:val="0"/>
          <w:marTop w:val="0"/>
          <w:marBottom w:val="0"/>
          <w:divBdr>
            <w:top w:val="none" w:sz="0" w:space="0" w:color="auto"/>
            <w:left w:val="none" w:sz="0" w:space="0" w:color="auto"/>
            <w:bottom w:val="none" w:sz="0" w:space="0" w:color="auto"/>
            <w:right w:val="none" w:sz="0" w:space="0" w:color="auto"/>
          </w:divBdr>
        </w:div>
        <w:div w:id="137499307">
          <w:marLeft w:val="446"/>
          <w:marRight w:val="0"/>
          <w:marTop w:val="0"/>
          <w:marBottom w:val="0"/>
          <w:divBdr>
            <w:top w:val="none" w:sz="0" w:space="0" w:color="auto"/>
            <w:left w:val="none" w:sz="0" w:space="0" w:color="auto"/>
            <w:bottom w:val="none" w:sz="0" w:space="0" w:color="auto"/>
            <w:right w:val="none" w:sz="0" w:space="0" w:color="auto"/>
          </w:divBdr>
        </w:div>
        <w:div w:id="1925264674">
          <w:marLeft w:val="446"/>
          <w:marRight w:val="0"/>
          <w:marTop w:val="0"/>
          <w:marBottom w:val="0"/>
          <w:divBdr>
            <w:top w:val="none" w:sz="0" w:space="0" w:color="auto"/>
            <w:left w:val="none" w:sz="0" w:space="0" w:color="auto"/>
            <w:bottom w:val="none" w:sz="0" w:space="0" w:color="auto"/>
            <w:right w:val="none" w:sz="0" w:space="0" w:color="auto"/>
          </w:divBdr>
        </w:div>
      </w:divsChild>
    </w:div>
    <w:div w:id="187303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7AA9-569C-4EDA-9FEE-41765F06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2680</Words>
  <Characters>50765</Characters>
  <Application>Microsoft Office Word</Application>
  <DocSecurity>0</DocSecurity>
  <Lines>423</Lines>
  <Paragraphs>106</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53339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3</cp:revision>
  <cp:lastPrinted>2004-12-17T09:20:00Z</cp:lastPrinted>
  <dcterms:created xsi:type="dcterms:W3CDTF">2024-01-11T11:27:00Z</dcterms:created>
  <dcterms:modified xsi:type="dcterms:W3CDTF">2024-01-21T11:43:00Z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Document_1">
    <vt:lpwstr>True</vt:lpwstr>
  </property>
  <property fmtid="{D5CDD505-2E9C-101B-9397-08002B2CF9AE}" pid="11" name="Mendeley Unique User Id_1">
    <vt:lpwstr>4d7ac1ad-0f63-3b85-a06e-32bc18c4ee58</vt:lpwstr>
  </property>
  <property fmtid="{D5CDD505-2E9C-101B-9397-08002B2CF9AE}" pid="12" name="Mendeley Citation Style_1">
    <vt:lpwstr>https://csl.mendeley.com/styles/486083851/APA-7th-noDOI</vt:lpwstr>
  </property>
  <property fmtid="{D5CDD505-2E9C-101B-9397-08002B2CF9AE}" pid="13" name="Mendeley Recent Style Id 0_1">
    <vt:lpwstr>http://www.zotero.org/styles/american-political-science-association</vt:lpwstr>
  </property>
  <property fmtid="{D5CDD505-2E9C-101B-9397-08002B2CF9AE}" pid="14" name="Mendeley Recent Style Name 0_1">
    <vt:lpwstr>American Political Science Association</vt:lpwstr>
  </property>
  <property fmtid="{D5CDD505-2E9C-101B-9397-08002B2CF9AE}" pid="15" name="Mendeley Recent Style Id 1_1">
    <vt:lpwstr>http://www.zotero.org/styles/apa</vt:lpwstr>
  </property>
  <property fmtid="{D5CDD505-2E9C-101B-9397-08002B2CF9AE}" pid="16" name="Mendeley Recent Style Name 1_1">
    <vt:lpwstr>American Psychological Association 7th edition</vt:lpwstr>
  </property>
  <property fmtid="{D5CDD505-2E9C-101B-9397-08002B2CF9AE}" pid="17" name="Mendeley Recent Style Id 2_1">
    <vt:lpwstr>http://www.zotero.org/styles/american-sociological-association</vt:lpwstr>
  </property>
  <property fmtid="{D5CDD505-2E9C-101B-9397-08002B2CF9AE}" pid="18" name="Mendeley Recent Style Name 2_1">
    <vt:lpwstr>American Sociological Association 6th edition</vt:lpwstr>
  </property>
  <property fmtid="{D5CDD505-2E9C-101B-9397-08002B2CF9AE}" pid="19" name="Mendeley Recent Style Id 3_1">
    <vt:lpwstr>http://www.zotero.org/styles/chemical-engineering-research-and-design</vt:lpwstr>
  </property>
  <property fmtid="{D5CDD505-2E9C-101B-9397-08002B2CF9AE}" pid="20" name="Mendeley Recent Style Name 3_1">
    <vt:lpwstr>Chemical Engineering Research and Design</vt:lpwstr>
  </property>
  <property fmtid="{D5CDD505-2E9C-101B-9397-08002B2CF9AE}" pid="21" name="Mendeley Recent Style Id 4_1">
    <vt:lpwstr>http://www.zotero.org/styles/chicago-author-date</vt:lpwstr>
  </property>
  <property fmtid="{D5CDD505-2E9C-101B-9397-08002B2CF9AE}" pid="22" name="Mendeley Recent Style Name 4_1">
    <vt:lpwstr>Chicago Manual of Style 17th edition (author-date)</vt:lpwstr>
  </property>
  <property fmtid="{D5CDD505-2E9C-101B-9397-08002B2CF9AE}" pid="23" name="Mendeley Recent Style Id 5_1">
    <vt:lpwstr>http://www.zotero.org/styles/harvard-cite-them-right</vt:lpwstr>
  </property>
  <property fmtid="{D5CDD505-2E9C-101B-9397-08002B2CF9AE}" pid="24" name="Mendeley Recent Style Name 5_1">
    <vt:lpwstr>Cite Them Right 11th edition - Harvard</vt:lpwstr>
  </property>
  <property fmtid="{D5CDD505-2E9C-101B-9397-08002B2CF9AE}" pid="25" name="Mendeley Recent Style Id 6_1">
    <vt:lpwstr>http://www.zotero.org/styles/ieee</vt:lpwstr>
  </property>
  <property fmtid="{D5CDD505-2E9C-101B-9397-08002B2CF9AE}" pid="26" name="Mendeley Recent Style Name 6_1">
    <vt:lpwstr>IEEE</vt:lpwstr>
  </property>
  <property fmtid="{D5CDD505-2E9C-101B-9397-08002B2CF9AE}" pid="27" name="Mendeley Recent Style Id 7_1">
    <vt:lpwstr>http://www.zotero.org/styles/modern-humanities-research-association</vt:lpwstr>
  </property>
  <property fmtid="{D5CDD505-2E9C-101B-9397-08002B2CF9AE}" pid="28" name="Mendeley Recent Style Name 7_1">
    <vt:lpwstr>Modern Humanities Research Association 3rd edition (note with bibliography)</vt:lpwstr>
  </property>
  <property fmtid="{D5CDD505-2E9C-101B-9397-08002B2CF9AE}" pid="29" name="Mendeley Recent Style Id 8_1">
    <vt:lpwstr>http://www.zotero.org/styles/modern-language-association</vt:lpwstr>
  </property>
  <property fmtid="{D5CDD505-2E9C-101B-9397-08002B2CF9AE}" pid="30" name="Mendeley Recent Style Name 8_1">
    <vt:lpwstr>Modern Language Association 9th edition</vt:lpwstr>
  </property>
  <property fmtid="{D5CDD505-2E9C-101B-9397-08002B2CF9AE}" pid="31" name="Mendeley Recent Style Id 9_1">
    <vt:lpwstr>https://csl.mendeley.com/styles/486083851/nature-2</vt:lpwstr>
  </property>
  <property fmtid="{D5CDD505-2E9C-101B-9397-08002B2CF9AE}" pid="32" name="Mendeley Recent Style Name 9_1">
    <vt:lpwstr>Nature - Oscar Andrés Prado-Rubio</vt:lpwstr>
  </property>
</Properties>
</file>